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rPr>
          <w:rFonts w:hint="eastAsia" w:ascii="宋体" w:hAnsi="宋体" w:eastAsia="宋体" w:cs="宋体"/>
          <w:b/>
          <w:bCs/>
          <w:color w:val="333333"/>
          <w:sz w:val="36"/>
          <w:szCs w:val="36"/>
          <w:lang w:eastAsia="zh-CN"/>
        </w:rPr>
      </w:pPr>
      <w:r>
        <w:rPr>
          <w:rFonts w:hint="eastAsia" w:ascii="宋体" w:hAnsi="宋体" w:eastAsia="宋体" w:cs="宋体"/>
          <w:b/>
          <w:bCs/>
          <w:color w:val="333333"/>
          <w:sz w:val="36"/>
          <w:szCs w:val="36"/>
          <w:lang w:eastAsia="zh-CN"/>
        </w:rPr>
        <w:t>南阳市人力资源和社会保障局</w:t>
      </w:r>
    </w:p>
    <w:p>
      <w:pPr>
        <w:shd w:val="clear" w:color="auto" w:fill="FFFFFF"/>
        <w:adjustRightInd/>
        <w:snapToGrid/>
        <w:spacing w:after="0"/>
        <w:jc w:val="center"/>
        <w:rPr>
          <w:rFonts w:hint="eastAsia" w:ascii="宋体" w:hAnsi="宋体" w:eastAsia="宋体" w:cs="宋体"/>
          <w:color w:val="333333"/>
          <w:sz w:val="24"/>
          <w:szCs w:val="24"/>
        </w:rPr>
      </w:pPr>
      <w:r>
        <w:rPr>
          <w:rFonts w:hint="eastAsia" w:ascii="宋体" w:hAnsi="宋体" w:eastAsia="宋体" w:cs="宋体"/>
          <w:b/>
          <w:bCs/>
          <w:color w:val="333333"/>
          <w:sz w:val="36"/>
          <w:szCs w:val="36"/>
          <w:lang w:val="en-US" w:eastAsia="zh-CN"/>
        </w:rPr>
        <w:t>2019年</w:t>
      </w:r>
      <w:r>
        <w:rPr>
          <w:rFonts w:hint="eastAsia" w:ascii="宋体" w:hAnsi="宋体" w:eastAsia="宋体" w:cs="宋体"/>
          <w:b/>
          <w:bCs/>
          <w:color w:val="333333"/>
          <w:sz w:val="36"/>
          <w:szCs w:val="36"/>
        </w:rPr>
        <w:t>政府信息公开工作年度报告</w:t>
      </w:r>
    </w:p>
    <w:p>
      <w:pPr>
        <w:shd w:val="clear" w:color="auto" w:fill="FFFFFF"/>
        <w:adjustRightInd/>
        <w:snapToGrid/>
        <w:spacing w:after="0"/>
        <w:ind w:firstLine="480"/>
        <w:jc w:val="both"/>
        <w:rPr>
          <w:rFonts w:hint="eastAsia" w:ascii="宋体" w:hAnsi="宋体" w:eastAsia="宋体" w:cs="宋体"/>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0" w:line="600" w:lineRule="atLeast"/>
        <w:ind w:firstLine="602" w:firstLineChars="200"/>
        <w:jc w:val="both"/>
        <w:textAlignment w:val="auto"/>
        <w:outlineLvl w:val="9"/>
        <w:rPr>
          <w:rFonts w:hint="eastAsia" w:ascii="宋体" w:hAnsi="宋体" w:eastAsia="宋体" w:cs="宋体"/>
          <w:color w:val="333333"/>
          <w:sz w:val="30"/>
          <w:szCs w:val="30"/>
        </w:rPr>
      </w:pPr>
      <w:r>
        <w:rPr>
          <w:rFonts w:hint="eastAsia" w:ascii="宋体" w:hAnsi="宋体" w:eastAsia="宋体" w:cs="宋体"/>
          <w:b/>
          <w:bCs/>
          <w:color w:val="333333"/>
          <w:sz w:val="30"/>
          <w:szCs w:val="30"/>
        </w:rPr>
        <w:t>一、总体情况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0" w:firstLineChars="200"/>
        <w:jc w:val="left"/>
        <w:textAlignment w:val="auto"/>
        <w:outlineLvl w:val="9"/>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0"/>
          <w:szCs w:val="30"/>
          <w:shd w:val="clear" w:color="auto" w:fill="FFFFFF"/>
        </w:rPr>
        <w:t>今年以来，市人社局紧紧围绕人社部、省人社厅、市委、市政府重大决策部署，深入贯彻《中华人民共和国政府信息公开条例》，认真落实《</w:t>
      </w:r>
      <w:r>
        <w:rPr>
          <w:rFonts w:hint="eastAsia" w:ascii="仿宋_GB2312" w:hAnsi="宋体" w:eastAsia="仿宋_GB2312" w:cs="仿宋_GB2312"/>
          <w:color w:val="000000"/>
          <w:kern w:val="0"/>
          <w:sz w:val="30"/>
          <w:szCs w:val="30"/>
          <w:shd w:val="clear" w:color="auto" w:fill="FFFFFF"/>
          <w:lang w:eastAsia="zh-CN"/>
        </w:rPr>
        <w:t>南阳市</w:t>
      </w:r>
      <w:r>
        <w:rPr>
          <w:rFonts w:hint="eastAsia" w:ascii="仿宋_GB2312" w:hAnsi="宋体" w:eastAsia="仿宋_GB2312" w:cs="仿宋_GB2312"/>
          <w:color w:val="000000"/>
          <w:kern w:val="0"/>
          <w:sz w:val="30"/>
          <w:szCs w:val="30"/>
          <w:shd w:val="clear" w:color="auto" w:fill="FFFFFF"/>
          <w:lang w:val="en-US" w:eastAsia="zh-CN"/>
        </w:rPr>
        <w:t>2019年政务公开工作要点</w:t>
      </w:r>
      <w:r>
        <w:rPr>
          <w:rFonts w:hint="eastAsia" w:ascii="仿宋_GB2312" w:hAnsi="宋体" w:eastAsia="仿宋_GB2312" w:cs="仿宋_GB2312"/>
          <w:color w:val="000000"/>
          <w:kern w:val="0"/>
          <w:sz w:val="30"/>
          <w:szCs w:val="30"/>
          <w:shd w:val="clear" w:color="auto" w:fill="FFFFFF"/>
        </w:rPr>
        <w:t>》有关要求</w:t>
      </w:r>
      <w:r>
        <w:rPr>
          <w:rFonts w:hint="eastAsia" w:ascii="仿宋_GB2312" w:hAnsi="宋体" w:eastAsia="仿宋_GB2312" w:cs="仿宋_GB2312"/>
          <w:color w:val="000000"/>
          <w:kern w:val="0"/>
          <w:sz w:val="30"/>
          <w:szCs w:val="30"/>
          <w:shd w:val="clear" w:color="auto" w:fill="FFFFFF"/>
          <w:lang w:eastAsia="zh-CN"/>
        </w:rPr>
        <w:t>，</w:t>
      </w:r>
      <w:r>
        <w:rPr>
          <w:rFonts w:hint="eastAsia" w:ascii="仿宋_GB2312" w:hAnsi="宋体" w:eastAsia="仿宋_GB2312" w:cs="仿宋_GB2312"/>
          <w:color w:val="000000"/>
          <w:kern w:val="0"/>
          <w:sz w:val="30"/>
          <w:szCs w:val="30"/>
          <w:shd w:val="clear" w:color="auto" w:fill="FFFFFF"/>
        </w:rPr>
        <w:t>紧紧围绕人力资源社会保障事业发展和人民群众关注关切</w:t>
      </w:r>
      <w:r>
        <w:rPr>
          <w:rFonts w:hint="eastAsia" w:ascii="仿宋_GB2312" w:hAnsi="宋体" w:eastAsia="仿宋_GB2312" w:cs="仿宋_GB2312"/>
          <w:color w:val="000000"/>
          <w:kern w:val="0"/>
          <w:sz w:val="30"/>
          <w:szCs w:val="30"/>
          <w:shd w:val="clear" w:color="auto" w:fill="FFFFFF"/>
          <w:lang w:eastAsia="zh-CN"/>
        </w:rPr>
        <w:t>，</w:t>
      </w:r>
      <w:r>
        <w:rPr>
          <w:rFonts w:hint="eastAsia" w:ascii="仿宋_GB2312" w:hAnsi="宋体" w:eastAsia="仿宋_GB2312" w:cs="仿宋_GB2312"/>
          <w:color w:val="000000"/>
          <w:kern w:val="0"/>
          <w:sz w:val="30"/>
          <w:szCs w:val="30"/>
          <w:shd w:val="clear" w:color="auto" w:fill="FFFFFF"/>
        </w:rPr>
        <w:t>做好政府信息公开工作</w:t>
      </w:r>
      <w:r>
        <w:rPr>
          <w:rFonts w:hint="eastAsia" w:ascii="仿宋_GB2312" w:hAnsi="宋体" w:eastAsia="仿宋_GB2312" w:cs="仿宋_GB2312"/>
          <w:color w:val="000000"/>
          <w:kern w:val="0"/>
          <w:sz w:val="30"/>
          <w:szCs w:val="30"/>
          <w:shd w:val="clear" w:color="auto" w:fill="FFFFFF"/>
          <w:lang w:eastAsia="zh-CN"/>
        </w:rPr>
        <w:t>。</w:t>
      </w:r>
      <w:r>
        <w:rPr>
          <w:rFonts w:hint="eastAsia" w:ascii="仿宋_GB2312" w:hAnsi="宋体" w:eastAsia="仿宋_GB2312" w:cs="仿宋_GB2312"/>
          <w:color w:val="000000"/>
          <w:kern w:val="0"/>
          <w:sz w:val="30"/>
          <w:szCs w:val="30"/>
          <w:shd w:val="clear" w:color="auto" w:fill="FFFFFF"/>
        </w:rPr>
        <w:t>加大重要政策解读力度，加强政务公开平台建设，提升政务服务水平，积极回应社会关切和政务舆情，</w:t>
      </w:r>
      <w:r>
        <w:rPr>
          <w:rFonts w:hint="eastAsia" w:ascii="仿宋_GB2312" w:hAnsi="宋体" w:eastAsia="仿宋_GB2312" w:cs="仿宋_GB2312"/>
          <w:color w:val="000000"/>
          <w:kern w:val="0"/>
          <w:sz w:val="30"/>
          <w:szCs w:val="30"/>
          <w:shd w:val="clear" w:color="auto" w:fill="FFFFFF"/>
          <w:lang w:eastAsia="zh-CN"/>
        </w:rPr>
        <w:t>政务</w:t>
      </w:r>
      <w:r>
        <w:rPr>
          <w:rFonts w:hint="eastAsia" w:ascii="仿宋_GB2312" w:hAnsi="宋体" w:eastAsia="仿宋_GB2312" w:cs="仿宋_GB2312"/>
          <w:color w:val="000000"/>
          <w:kern w:val="0"/>
          <w:sz w:val="30"/>
          <w:szCs w:val="30"/>
          <w:shd w:val="clear" w:color="auto" w:fill="FFFFFF"/>
        </w:rPr>
        <w:t>公开工作取得积极进展，切实保障了人民群众的知情权、参与权、表达权、监督权。</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eastAsia="zh-CN"/>
        </w:rPr>
      </w:pPr>
      <w:r>
        <w:rPr>
          <w:rFonts w:hint="eastAsia" w:ascii="仿宋_GB2312" w:hAnsi="宋体" w:eastAsia="仿宋_GB2312" w:cs="仿宋_GB2312"/>
          <w:b/>
          <w:bCs/>
          <w:color w:val="000000"/>
          <w:kern w:val="0"/>
          <w:sz w:val="30"/>
          <w:szCs w:val="30"/>
          <w:shd w:val="clear" w:color="auto" w:fill="FFFFFF"/>
          <w:lang w:val="en-US" w:eastAsia="zh-CN"/>
        </w:rPr>
        <w:t>1、主动公开情况。</w:t>
      </w:r>
      <w:r>
        <w:rPr>
          <w:rFonts w:hint="eastAsia" w:ascii="仿宋_GB2312" w:hAnsi="宋体" w:eastAsia="仿宋_GB2312" w:cs="仿宋_GB2312"/>
          <w:color w:val="000000"/>
          <w:kern w:val="0"/>
          <w:sz w:val="30"/>
          <w:szCs w:val="30"/>
          <w:shd w:val="clear" w:color="auto" w:fill="FFFFFF"/>
        </w:rPr>
        <w:t>市人社局以全力打造阳光人社为目标</w:t>
      </w:r>
      <w:r>
        <w:rPr>
          <w:rFonts w:hint="eastAsia" w:ascii="仿宋_GB2312" w:hAnsi="宋体" w:eastAsia="仿宋_GB2312" w:cs="仿宋_GB2312"/>
          <w:color w:val="000000"/>
          <w:kern w:val="0"/>
          <w:sz w:val="30"/>
          <w:szCs w:val="30"/>
          <w:shd w:val="clear" w:color="auto" w:fill="FFFFFF"/>
          <w:lang w:eastAsia="zh-CN"/>
        </w:rPr>
        <w:t>，把公开透明作为部门工作的基本要求，坚持以公开为常态、不公开为例外，积极推进“五公开”工作，及时回应社会关切，加强政策解读力度。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一是</w:t>
      </w:r>
      <w:r>
        <w:rPr>
          <w:rFonts w:hint="eastAsia" w:ascii="仿宋_GB2312" w:hAnsi="宋体" w:eastAsia="仿宋_GB2312" w:cs="仿宋_GB2312"/>
          <w:color w:val="000000"/>
          <w:kern w:val="0"/>
          <w:sz w:val="30"/>
          <w:szCs w:val="30"/>
          <w:shd w:val="clear" w:color="auto" w:fill="FFFFFF"/>
          <w:lang w:val="en-US" w:eastAsia="zh-CN"/>
        </w:rPr>
        <w:t>积极推进重点领域信息公开工作。积极做好就业创业、社会保障、人事人才等信息公开工作，在局门户网站设置了重点领域政府信息公开专栏，集中公开相关信息，建立一键链接，方便公众查询，做到应公开尽公开。设立了就业政策、创业服务政策、农民工就业政策、返乡创业等专栏分门别类公开，以适应不同群体需求，方便广大劳动者了解掌握就业岗位信息。加大援企稳岗工作公开力度，定期将符合失业保险稳岗补贴名单公开公示。充分发挥就业专项基金和失业保险基金对稳定就业的作用。全面公开灵活就业人员、城镇个体工商户等群体的缴费办法，通过门户网站及各大媒体、报刊等方式转发《河南省人力资源和社会保障厅 河南省财政厅　国家税务总局河南省税务局 关于灵活就业人员参加企业职工基本养老保险有关问题的通知》，公开对参保困难群体实施缴费补贴和助保贷款的政策，扩大社会保险覆盖面。</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color w:val="000000"/>
          <w:kern w:val="0"/>
          <w:sz w:val="30"/>
          <w:szCs w:val="30"/>
          <w:shd w:val="clear" w:color="auto" w:fill="FFFFFF"/>
          <w:lang w:val="en-US" w:eastAsia="zh-CN"/>
        </w:rPr>
        <w:t>重点对事业单位公开招聘、“三支一扶”人员招募等人事招聘工作进行了公开。公布事业单位公开招聘招考及公示信息公告10则，人事考试相关考试信息及时在南阳市人事考试网进行了公布。5月份，发布了《南阳市2019年高校毕业生“三支一扶”招募公告》，根据全省招募名额分配，2019年南阳市共招募高校毕业生“三支一扶”计划服务人员60名。发布规范中小学教师职称申报推荐工作，规范推荐办法和程序，加大公示公开力度，在单位“五公开”的基础上，实行申报职数、申报人员、评审结果通过河南职称网进行公示，自觉接受社会监督。</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二是</w:t>
      </w:r>
      <w:r>
        <w:rPr>
          <w:rFonts w:hint="eastAsia" w:ascii="仿宋_GB2312" w:hAnsi="宋体" w:eastAsia="仿宋_GB2312" w:cs="仿宋_GB2312"/>
          <w:color w:val="000000"/>
          <w:kern w:val="0"/>
          <w:sz w:val="30"/>
          <w:szCs w:val="30"/>
          <w:shd w:val="clear" w:color="auto" w:fill="FFFFFF"/>
          <w:lang w:val="en-US" w:eastAsia="zh-CN"/>
        </w:rPr>
        <w:t>详细公开部门预决算。在门户网站公开了《南阳市人力资源和社会保障局2018年度部门决算》和《南阳市人力资源和社会保障局2019年度部门预算》，内容包括收入支出预决算总体情况说明、收入预决算情况说明、支出预决算情况说明、一般公共预算财政拨款支出决算情况说明、一般公共预算财政拨款基本支出决算情况说明、一般公共预算财政拨款“三公”经费支出决算情况等。</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三是</w:t>
      </w:r>
      <w:r>
        <w:rPr>
          <w:rFonts w:hint="eastAsia" w:ascii="仿宋_GB2312" w:hAnsi="宋体" w:eastAsia="仿宋_GB2312" w:cs="仿宋_GB2312"/>
          <w:color w:val="000000"/>
          <w:kern w:val="0"/>
          <w:sz w:val="30"/>
          <w:szCs w:val="30"/>
          <w:shd w:val="clear" w:color="auto" w:fill="FFFFFF"/>
          <w:lang w:val="en-US" w:eastAsia="zh-CN"/>
        </w:rPr>
        <w:t>实现建议提案办理全公开。今年共接收、办理人大建议、政协提案23件，涉及社会保障、就业创业、人事人才等全局各个领域。我局按照要求，开设“建议提案办理”专题专栏，全面公开我局办理的建议提案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四是</w:t>
      </w:r>
      <w:r>
        <w:rPr>
          <w:rFonts w:hint="eastAsia" w:ascii="仿宋_GB2312" w:hAnsi="宋体" w:eastAsia="仿宋_GB2312" w:cs="仿宋_GB2312"/>
          <w:color w:val="000000"/>
          <w:kern w:val="0"/>
          <w:sz w:val="30"/>
          <w:szCs w:val="30"/>
          <w:shd w:val="clear" w:color="auto" w:fill="FFFFFF"/>
          <w:lang w:val="en-US" w:eastAsia="zh-CN"/>
        </w:rPr>
        <w:t>做好权责清单调整和公开工作。精心梳理编制行政执法权责清单。对全局的公共服务事项进行认真梳理，编制了8大类36项行政权力事项责任清单和权力清单的基础上，重点梳理了9项行政执法事项，编制了行政执法权责清单，完善了行政执法流程图及执法岗责体系，并通过局政府门户网站、宣传手册等形式向社会公开。</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五是</w:t>
      </w:r>
      <w:r>
        <w:rPr>
          <w:rFonts w:hint="eastAsia" w:ascii="仿宋_GB2312" w:hAnsi="宋体" w:eastAsia="仿宋_GB2312" w:cs="仿宋_GB2312"/>
          <w:color w:val="000000"/>
          <w:kern w:val="0"/>
          <w:sz w:val="30"/>
          <w:szCs w:val="30"/>
          <w:shd w:val="clear" w:color="auto" w:fill="FFFFFF"/>
          <w:lang w:val="en-US" w:eastAsia="zh-CN"/>
        </w:rPr>
        <w:t>信息公开方式多样化，提高公众知晓度。在门户网站开设“人社快报”栏目，全年共发布62篇人社动态要闻类信息，多种形式宣传人社政策，扩大群众知晓度。同时，“人社政策惠民生走基层”主题演出活动、“招才引智”活动、“双月大比武，礼赞新中国，奋进新时代”、就业创业扶贫“百日攻坚”行动等活动，也通过广播电视、报刊杂志、微信微博等途径，向广大群众公开报道、宣传，使人社政策更透明、更易懂。</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val="en-US" w:eastAsia="zh-CN"/>
        </w:rPr>
      </w:pPr>
      <w:r>
        <w:rPr>
          <w:rFonts w:hint="eastAsia" w:ascii="仿宋_GB2312" w:hAnsi="宋体" w:eastAsia="仿宋_GB2312" w:cs="仿宋_GB2312"/>
          <w:b/>
          <w:bCs/>
          <w:color w:val="000000"/>
          <w:kern w:val="0"/>
          <w:sz w:val="30"/>
          <w:szCs w:val="30"/>
          <w:shd w:val="clear" w:color="auto" w:fill="FFFFFF"/>
          <w:lang w:val="en-US" w:eastAsia="zh-CN"/>
        </w:rPr>
        <w:t>2、依申请公开情况。</w:t>
      </w:r>
      <w:r>
        <w:rPr>
          <w:rFonts w:hint="eastAsia" w:ascii="仿宋_GB2312" w:hAnsi="宋体" w:eastAsia="仿宋_GB2312" w:cs="仿宋_GB2312"/>
          <w:color w:val="000000"/>
          <w:kern w:val="0"/>
          <w:sz w:val="30"/>
          <w:szCs w:val="30"/>
          <w:shd w:val="clear" w:color="auto" w:fill="FFFFFF"/>
          <w:lang w:val="en-US" w:eastAsia="zh-CN"/>
        </w:rPr>
        <w:t>2019年通过网络、信函申请受理渠道，依法受理政府信息公开申请6件，其中无效申请2件，全部按要求办结。</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lang w:eastAsia="zh-CN"/>
        </w:rPr>
      </w:pPr>
      <w:r>
        <w:rPr>
          <w:rFonts w:hint="eastAsia" w:ascii="仿宋_GB2312" w:hAnsi="宋体" w:eastAsia="仿宋_GB2312" w:cs="仿宋_GB2312"/>
          <w:b/>
          <w:bCs/>
          <w:color w:val="000000"/>
          <w:kern w:val="0"/>
          <w:sz w:val="30"/>
          <w:szCs w:val="30"/>
          <w:shd w:val="clear" w:color="auto" w:fill="FFFFFF"/>
          <w:lang w:val="en-US" w:eastAsia="zh-CN"/>
        </w:rPr>
        <w:t>3、</w:t>
      </w:r>
      <w:r>
        <w:rPr>
          <w:rFonts w:hint="eastAsia" w:ascii="仿宋_GB2312" w:hAnsi="宋体" w:eastAsia="仿宋_GB2312" w:cs="仿宋_GB2312"/>
          <w:b/>
          <w:bCs/>
          <w:color w:val="000000"/>
          <w:kern w:val="0"/>
          <w:sz w:val="30"/>
          <w:szCs w:val="30"/>
          <w:shd w:val="clear" w:color="auto" w:fill="FFFFFF"/>
          <w:lang w:eastAsia="zh-CN"/>
        </w:rPr>
        <w:t>推进政务公开平台建设。</w:t>
      </w:r>
      <w:r>
        <w:rPr>
          <w:rFonts w:hint="eastAsia" w:ascii="仿宋_GB2312" w:hAnsi="宋体" w:eastAsia="仿宋_GB2312" w:cs="仿宋_GB2312"/>
          <w:color w:val="000000"/>
          <w:kern w:val="0"/>
          <w:sz w:val="30"/>
          <w:szCs w:val="30"/>
          <w:shd w:val="clear" w:color="auto" w:fill="FFFFFF"/>
        </w:rPr>
        <w:t>充分发挥门户网站信息公开第一平台作用，增强发布信息、解读政策、回应关切、引导舆论的功能</w:t>
      </w:r>
      <w:r>
        <w:rPr>
          <w:rFonts w:hint="eastAsia" w:ascii="仿宋_GB2312" w:hAnsi="宋体" w:eastAsia="仿宋_GB2312" w:cs="仿宋_GB2312"/>
          <w:color w:val="000000"/>
          <w:kern w:val="0"/>
          <w:sz w:val="30"/>
          <w:szCs w:val="30"/>
          <w:shd w:val="clear" w:color="auto" w:fill="FFFFFF"/>
          <w:lang w:eastAsia="zh-CN"/>
        </w:rPr>
        <w:t>，规范门户网站名称和域名管理，加强网站安全防护。用好政务新媒体，提高</w:t>
      </w:r>
      <w:r>
        <w:rPr>
          <w:rFonts w:hint="eastAsia" w:ascii="仿宋_GB2312" w:hAnsi="宋体" w:eastAsia="仿宋_GB2312" w:cs="仿宋_GB2312"/>
          <w:color w:val="000000"/>
          <w:kern w:val="0"/>
          <w:sz w:val="30"/>
          <w:szCs w:val="30"/>
          <w:shd w:val="clear" w:color="auto" w:fill="FFFFFF"/>
          <w:lang w:val="en-US" w:eastAsia="zh-CN"/>
        </w:rPr>
        <w:t>12333</w:t>
      </w:r>
      <w:r>
        <w:rPr>
          <w:rFonts w:hint="eastAsia" w:ascii="仿宋_GB2312" w:hAnsi="宋体" w:eastAsia="仿宋_GB2312" w:cs="仿宋_GB2312"/>
          <w:color w:val="000000"/>
          <w:kern w:val="0"/>
          <w:sz w:val="30"/>
          <w:szCs w:val="30"/>
          <w:shd w:val="clear" w:color="auto" w:fill="FFFFFF"/>
          <w:lang w:eastAsia="zh-CN"/>
        </w:rPr>
        <w:t>热线电话服务水平。</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宋体" w:eastAsia="仿宋_GB2312" w:cs="仿宋_GB2312"/>
          <w:color w:val="000000"/>
          <w:kern w:val="0"/>
          <w:sz w:val="30"/>
          <w:szCs w:val="30"/>
          <w:shd w:val="clear" w:color="auto" w:fill="FFFFFF"/>
        </w:rPr>
      </w:pPr>
      <w:r>
        <w:rPr>
          <w:rFonts w:hint="eastAsia" w:ascii="仿宋_GB2312" w:hAnsi="宋体" w:eastAsia="仿宋_GB2312" w:cs="仿宋_GB2312"/>
          <w:b/>
          <w:bCs/>
          <w:color w:val="000000"/>
          <w:kern w:val="0"/>
          <w:sz w:val="30"/>
          <w:szCs w:val="30"/>
          <w:shd w:val="clear" w:color="auto" w:fill="FFFFFF"/>
          <w:lang w:val="en-US" w:eastAsia="zh-CN"/>
        </w:rPr>
        <w:t>一是</w:t>
      </w:r>
      <w:r>
        <w:rPr>
          <w:rFonts w:hint="eastAsia" w:ascii="仿宋_GB2312" w:hAnsi="宋体" w:eastAsia="仿宋_GB2312" w:cs="仿宋_GB2312"/>
          <w:color w:val="000000"/>
          <w:kern w:val="0"/>
          <w:sz w:val="30"/>
          <w:szCs w:val="30"/>
          <w:shd w:val="clear" w:color="auto" w:fill="FFFFFF"/>
          <w:lang w:val="en-US" w:eastAsia="zh-CN"/>
        </w:rPr>
        <w:t>强化门户网站建设管理。</w:t>
      </w:r>
      <w:r>
        <w:rPr>
          <w:rFonts w:hint="eastAsia" w:ascii="仿宋_GB2312" w:hAnsi="宋体" w:eastAsia="仿宋_GB2312" w:cs="仿宋_GB2312"/>
          <w:color w:val="000000"/>
          <w:kern w:val="0"/>
          <w:sz w:val="30"/>
          <w:szCs w:val="30"/>
          <w:shd w:val="clear" w:color="auto" w:fill="FFFFFF"/>
        </w:rPr>
        <w:t>制定了政府网站管理应急预案，</w:t>
      </w:r>
      <w:r>
        <w:rPr>
          <w:rFonts w:hint="eastAsia" w:ascii="仿宋_GB2312" w:hAnsi="宋体" w:eastAsia="仿宋_GB2312" w:cs="仿宋_GB2312"/>
          <w:color w:val="000000"/>
          <w:kern w:val="0"/>
          <w:sz w:val="30"/>
          <w:szCs w:val="30"/>
          <w:shd w:val="clear" w:color="auto" w:fill="FFFFFF"/>
          <w:lang w:eastAsia="zh-CN"/>
        </w:rPr>
        <w:t>印发了《南阳市人社局门户网站暂行管理办法》，</w:t>
      </w:r>
      <w:r>
        <w:rPr>
          <w:rFonts w:hint="eastAsia" w:ascii="仿宋_GB2312" w:hAnsi="宋体" w:eastAsia="仿宋_GB2312" w:cs="仿宋_GB2312"/>
          <w:color w:val="000000"/>
          <w:kern w:val="0"/>
          <w:sz w:val="30"/>
          <w:szCs w:val="30"/>
          <w:shd w:val="clear" w:color="auto" w:fill="FFFFFF"/>
        </w:rPr>
        <w:t>不定期对服务器操作系统和软件系统进行补丁的更新，对重要文件、信息资源做到及时备份，数据恢复。聘请了第三方专业机构作为应急技术支援队伍，签订信息安全与保密协议，明确各方责任。此外，政务公开工作领导小组成员不定期对人社系统网站管理情况进行检查。检查结果显示，在系统运行中，无失泄密和受到过病毒木马等恶意代码感染，门户网站及业务系统未受到攻击和篡改（含内嵌恶意代码），运行良好。</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600" w:lineRule="atLeast"/>
        <w:ind w:right="220" w:rightChars="100" w:firstLine="602" w:firstLineChars="200"/>
        <w:jc w:val="left"/>
        <w:textAlignment w:val="auto"/>
        <w:outlineLvl w:val="9"/>
        <w:rPr>
          <w:rFonts w:hint="eastAsia" w:ascii="仿宋_GB2312" w:hAnsi="sans serif" w:eastAsia="仿宋_GB2312" w:cs="仿宋_GB2312"/>
          <w:b w:val="0"/>
          <w:i w:val="0"/>
          <w:caps w:val="0"/>
          <w:color w:val="000000"/>
          <w:spacing w:val="0"/>
          <w:sz w:val="32"/>
          <w:szCs w:val="32"/>
          <w:lang w:val="en-US" w:eastAsia="zh-CN"/>
        </w:rPr>
      </w:pPr>
      <w:r>
        <w:rPr>
          <w:rFonts w:hint="eastAsia" w:ascii="仿宋_GB2312" w:hAnsi="宋体" w:eastAsia="仿宋_GB2312" w:cs="仿宋_GB2312"/>
          <w:b/>
          <w:bCs/>
          <w:color w:val="000000"/>
          <w:kern w:val="0"/>
          <w:sz w:val="30"/>
          <w:szCs w:val="30"/>
          <w:shd w:val="clear" w:color="auto" w:fill="FFFFFF"/>
          <w:lang w:val="en-US" w:eastAsia="zh-CN"/>
        </w:rPr>
        <w:t>二是</w:t>
      </w:r>
      <w:r>
        <w:rPr>
          <w:rFonts w:hint="eastAsia" w:ascii="仿宋_GB2312" w:hAnsi="宋体" w:eastAsia="仿宋_GB2312" w:cs="仿宋_GB2312"/>
          <w:color w:val="000000"/>
          <w:kern w:val="0"/>
          <w:sz w:val="30"/>
          <w:szCs w:val="30"/>
          <w:shd w:val="clear" w:color="auto" w:fill="FFFFFF"/>
          <w:lang w:val="en-US" w:eastAsia="zh-CN"/>
        </w:rPr>
        <w:t>用好政务新媒体。充分发挥政务新媒体灵活便捷的优势，做好信息发布、政策解读和办事服务工作。目前我局开通了“南阳12333”、“南阳人社党建”微信公众号，共发布或者转载信息65条，信息发布严格内容审查把关，并设专人负责日常监管和信息维护。“南阳12333”微信公众号目前活跃用户数接近一万人，相继开通了“社保卡卡管信息查询”和“县（区）职城镇工参保信息查询”等功能。</w:t>
      </w: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仿宋_GB2312" w:hAnsi="宋体" w:eastAsia="仿宋_GB2312" w:cs="仿宋_GB2312"/>
          <w:color w:val="000000"/>
          <w:kern w:val="0"/>
          <w:sz w:val="32"/>
          <w:szCs w:val="32"/>
          <w:shd w:val="clear" w:color="auto" w:fill="FFFFFF"/>
        </w:rPr>
      </w:pPr>
    </w:p>
    <w:p>
      <w:pPr>
        <w:shd w:val="clear" w:color="auto" w:fill="FFFFFF"/>
        <w:adjustRightInd/>
        <w:snapToGrid/>
        <w:spacing w:after="240"/>
        <w:ind w:firstLine="480"/>
        <w:jc w:val="both"/>
        <w:rPr>
          <w:rFonts w:hint="eastAsia" w:ascii="宋体" w:hAnsi="宋体" w:eastAsia="宋体" w:cs="宋体"/>
          <w:color w:val="333333"/>
          <w:sz w:val="24"/>
          <w:szCs w:val="24"/>
        </w:rPr>
      </w:pPr>
      <w:r>
        <w:rPr>
          <w:rFonts w:hint="eastAsia" w:ascii="宋体" w:hAnsi="宋体" w:eastAsia="宋体" w:cs="宋体"/>
          <w:b/>
          <w:bCs/>
          <w:color w:val="333333"/>
          <w:sz w:val="30"/>
          <w:szCs w:val="30"/>
        </w:rPr>
        <w:t>二、主动公开政府信息情况</w:t>
      </w:r>
    </w:p>
    <w:tbl>
      <w:tblPr>
        <w:tblStyle w:val="6"/>
        <w:tblW w:w="8140" w:type="dxa"/>
        <w:jc w:val="center"/>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本年新</w:t>
            </w:r>
            <w:r>
              <w:rPr>
                <w:rFonts w:hint="eastAsia" w:ascii="宋体" w:hAnsi="宋体" w:eastAsia="宋体" w:cs="宋体"/>
                <w:color w:val="000000"/>
                <w:sz w:val="20"/>
                <w:szCs w:val="20"/>
              </w:rPr>
              <w:br w:type="textWrapping"/>
            </w:r>
            <w:r>
              <w:rPr>
                <w:rFonts w:ascii="宋体" w:hAnsi="宋体" w:eastAsia="宋体" w:cs="宋体"/>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本年新</w:t>
            </w:r>
            <w:r>
              <w:rPr>
                <w:rFonts w:hint="eastAsia" w:ascii="宋体" w:hAnsi="宋体" w:eastAsia="宋体" w:cs="宋体"/>
                <w:color w:val="000000"/>
                <w:sz w:val="20"/>
                <w:szCs w:val="20"/>
              </w:rPr>
              <w:br w:type="textWrapping"/>
            </w:r>
            <w:r>
              <w:rPr>
                <w:rFonts w:ascii="宋体" w:hAnsi="宋体" w:eastAsia="宋体" w:cs="宋体"/>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ind w:firstLine="200" w:firstLineChars="100"/>
              <w:jc w:val="left"/>
              <w:rPr>
                <w:rFonts w:ascii="宋体" w:hAnsi="宋体" w:eastAsia="宋体" w:cs="宋体"/>
                <w:sz w:val="24"/>
                <w:szCs w:val="24"/>
              </w:rPr>
            </w:pP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9</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6</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30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ind w:firstLine="200" w:firstLineChars="100"/>
              <w:rPr>
                <w:rFonts w:hint="eastAsia" w:ascii="宋体" w:hAnsi="宋体" w:eastAsia="宋体" w:cs="宋体"/>
                <w:sz w:val="24"/>
                <w:szCs w:val="24"/>
                <w:lang w:val="en-US" w:eastAsia="zh-CN"/>
              </w:rPr>
            </w:pPr>
            <w:r>
              <w:rPr>
                <w:rFonts w:hint="eastAsia" w:ascii="宋体" w:hAnsi="宋体" w:eastAsia="宋体" w:cs="宋体"/>
                <w:color w:val="00000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ind w:firstLine="200" w:firstLineChars="100"/>
              <w:rPr>
                <w:rFonts w:ascii="宋体" w:hAnsi="宋体" w:eastAsia="宋体" w:cs="宋体"/>
                <w:sz w:val="24"/>
                <w:szCs w:val="24"/>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bookmarkStart w:id="0" w:name="_GoBack"/>
            <w:bookmarkEnd w:id="0"/>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4</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 </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color w:val="00000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3</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275.3514万元</w:t>
            </w:r>
          </w:p>
        </w:tc>
      </w:tr>
    </w:tbl>
    <w:p>
      <w:pPr>
        <w:shd w:val="clear" w:color="auto" w:fill="FFFFFF"/>
        <w:adjustRightInd/>
        <w:snapToGrid/>
        <w:spacing w:after="0"/>
        <w:ind w:firstLine="480"/>
        <w:jc w:val="both"/>
        <w:rPr>
          <w:rFonts w:hint="eastAsia" w:ascii="宋体" w:hAnsi="宋体" w:eastAsia="宋体" w:cs="宋体"/>
          <w:color w:val="333333"/>
          <w:sz w:val="24"/>
          <w:szCs w:val="24"/>
        </w:rPr>
      </w:pPr>
    </w:p>
    <w:p>
      <w:pPr>
        <w:shd w:val="clear" w:color="auto" w:fill="FFFFFF"/>
        <w:adjustRightInd/>
        <w:snapToGrid/>
        <w:spacing w:after="240"/>
        <w:ind w:firstLine="480"/>
        <w:jc w:val="both"/>
        <w:rPr>
          <w:rFonts w:hint="eastAsia" w:ascii="宋体" w:hAnsi="宋体" w:eastAsia="宋体" w:cs="宋体"/>
          <w:b/>
          <w:bCs/>
          <w:color w:val="333333"/>
          <w:sz w:val="24"/>
          <w:szCs w:val="24"/>
        </w:rPr>
      </w:pPr>
    </w:p>
    <w:p>
      <w:pPr>
        <w:shd w:val="clear" w:color="auto" w:fill="FFFFFF"/>
        <w:adjustRightInd/>
        <w:snapToGrid/>
        <w:spacing w:after="240"/>
        <w:ind w:firstLine="480"/>
        <w:jc w:val="both"/>
        <w:rPr>
          <w:rFonts w:hint="eastAsia" w:ascii="宋体" w:hAnsi="宋体" w:eastAsia="宋体" w:cs="宋体"/>
          <w:b/>
          <w:bCs/>
          <w:color w:val="333333"/>
          <w:sz w:val="24"/>
          <w:szCs w:val="24"/>
        </w:rPr>
      </w:pPr>
    </w:p>
    <w:p>
      <w:pPr>
        <w:shd w:val="clear" w:color="auto" w:fill="FFFFFF"/>
        <w:adjustRightInd/>
        <w:snapToGrid/>
        <w:spacing w:after="240"/>
        <w:ind w:firstLine="480"/>
        <w:jc w:val="both"/>
        <w:rPr>
          <w:rFonts w:hint="eastAsia" w:ascii="宋体" w:hAnsi="宋体" w:eastAsia="宋体" w:cs="宋体"/>
          <w:b/>
          <w:bCs/>
          <w:color w:val="333333"/>
          <w:sz w:val="24"/>
          <w:szCs w:val="24"/>
        </w:rPr>
      </w:pPr>
    </w:p>
    <w:p>
      <w:pPr>
        <w:shd w:val="clear" w:color="auto" w:fill="FFFFFF"/>
        <w:adjustRightInd/>
        <w:snapToGrid/>
        <w:spacing w:after="0"/>
        <w:ind w:firstLine="480"/>
        <w:jc w:val="both"/>
        <w:rPr>
          <w:rFonts w:hint="eastAsia" w:ascii="宋体" w:hAnsi="宋体" w:eastAsia="宋体" w:cs="宋体"/>
          <w:b/>
          <w:bCs/>
          <w:color w:val="333333"/>
          <w:sz w:val="30"/>
          <w:szCs w:val="30"/>
        </w:rPr>
      </w:pPr>
      <w:r>
        <w:rPr>
          <w:rFonts w:hint="eastAsia" w:ascii="宋体" w:hAnsi="宋体" w:eastAsia="宋体" w:cs="宋体"/>
          <w:b/>
          <w:bCs/>
          <w:color w:val="333333"/>
          <w:sz w:val="30"/>
          <w:szCs w:val="30"/>
        </w:rPr>
        <w:t>三、收到和处理政府信息公开申请情况</w:t>
      </w:r>
    </w:p>
    <w:tbl>
      <w:tblPr>
        <w:tblStyle w:val="6"/>
        <w:tblW w:w="9071" w:type="dxa"/>
        <w:jc w:val="center"/>
        <w:tblInd w:w="0" w:type="dxa"/>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Layout w:type="fixed"/>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申请人情况</w:t>
            </w:r>
          </w:p>
        </w:tc>
      </w:tr>
      <w:tr>
        <w:tblPrEx>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总计</w:t>
            </w:r>
          </w:p>
        </w:tc>
      </w:tr>
      <w:tr>
        <w:tblPrEx>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13"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6</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6</w:t>
            </w: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4</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2</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2</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楷体" w:hAnsi="楷体" w:eastAsia="楷体" w:cs="宋体"/>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6</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6</w:t>
            </w:r>
            <w:r>
              <w:rPr>
                <w:rFonts w:ascii="Calibri" w:hAnsi="Calibri" w:eastAsia="宋体" w:cs="宋体"/>
                <w:sz w:val="20"/>
                <w:szCs w:val="20"/>
              </w:rPr>
              <w:t> </w:t>
            </w: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宋体" w:hAnsi="宋体" w:eastAsia="宋体" w:cs="宋体"/>
                <w:sz w:val="24"/>
                <w:szCs w:val="24"/>
              </w:rPr>
            </w:pPr>
            <w:r>
              <w:rPr>
                <w:rFonts w:hint="eastAsia" w:ascii="宋体" w:hAnsi="宋体" w:eastAsia="宋体" w:cs="宋体"/>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shd w:val="clear" w:color="auto" w:fill="FFFFFF"/>
        <w:adjustRightInd/>
        <w:snapToGrid/>
        <w:spacing w:after="0"/>
        <w:ind w:firstLine="480"/>
        <w:jc w:val="both"/>
        <w:rPr>
          <w:rFonts w:hint="eastAsia" w:ascii="宋体" w:hAnsi="宋体" w:eastAsia="宋体" w:cs="宋体"/>
          <w:color w:val="333333"/>
          <w:sz w:val="24"/>
          <w:szCs w:val="24"/>
        </w:rPr>
      </w:pPr>
    </w:p>
    <w:p>
      <w:pPr>
        <w:shd w:val="clear" w:color="auto" w:fill="FFFFFF"/>
        <w:adjustRightInd/>
        <w:snapToGrid/>
        <w:spacing w:after="0"/>
        <w:ind w:firstLine="480"/>
        <w:jc w:val="both"/>
        <w:rPr>
          <w:rFonts w:hint="eastAsia" w:ascii="宋体" w:hAnsi="宋体" w:eastAsia="宋体" w:cs="宋体"/>
          <w:b/>
          <w:bCs/>
          <w:color w:val="333333"/>
          <w:sz w:val="24"/>
          <w:szCs w:val="24"/>
        </w:rPr>
      </w:pPr>
    </w:p>
    <w:p>
      <w:pPr>
        <w:shd w:val="clear" w:color="auto" w:fill="FFFFFF"/>
        <w:adjustRightInd/>
        <w:snapToGrid/>
        <w:spacing w:after="0"/>
        <w:ind w:firstLine="480"/>
        <w:jc w:val="both"/>
        <w:rPr>
          <w:rFonts w:hint="eastAsia" w:ascii="宋体" w:hAnsi="宋体" w:eastAsia="宋体" w:cs="宋体"/>
          <w:b/>
          <w:bCs/>
          <w:color w:val="333333"/>
          <w:sz w:val="24"/>
          <w:szCs w:val="24"/>
        </w:rPr>
      </w:pPr>
    </w:p>
    <w:p>
      <w:pPr>
        <w:shd w:val="clear" w:color="auto" w:fill="FFFFFF"/>
        <w:adjustRightInd/>
        <w:snapToGrid/>
        <w:spacing w:after="0"/>
        <w:ind w:firstLine="480"/>
        <w:jc w:val="both"/>
        <w:rPr>
          <w:rFonts w:hint="eastAsia" w:ascii="宋体" w:hAnsi="宋体" w:eastAsia="宋体" w:cs="宋体"/>
          <w:b/>
          <w:bCs/>
          <w:color w:val="333333"/>
          <w:sz w:val="24"/>
          <w:szCs w:val="24"/>
        </w:rPr>
      </w:pPr>
    </w:p>
    <w:p>
      <w:pPr>
        <w:shd w:val="clear" w:color="auto" w:fill="FFFFFF"/>
        <w:adjustRightInd/>
        <w:snapToGrid/>
        <w:spacing w:after="0"/>
        <w:ind w:firstLine="480"/>
        <w:jc w:val="both"/>
        <w:rPr>
          <w:rFonts w:hint="eastAsia" w:ascii="宋体" w:hAnsi="宋体" w:eastAsia="宋体" w:cs="宋体"/>
          <w:b/>
          <w:bCs/>
          <w:color w:val="333333"/>
          <w:sz w:val="24"/>
          <w:szCs w:val="24"/>
        </w:rPr>
      </w:pPr>
    </w:p>
    <w:p>
      <w:pPr>
        <w:shd w:val="clear" w:color="auto" w:fill="FFFFFF"/>
        <w:adjustRightInd/>
        <w:snapToGrid/>
        <w:spacing w:after="0"/>
        <w:ind w:firstLine="480"/>
        <w:jc w:val="both"/>
        <w:rPr>
          <w:rFonts w:hint="eastAsia" w:ascii="宋体" w:hAnsi="宋体" w:eastAsia="宋体" w:cs="宋体"/>
          <w:color w:val="333333"/>
          <w:sz w:val="24"/>
          <w:szCs w:val="24"/>
        </w:rPr>
      </w:pPr>
      <w:r>
        <w:rPr>
          <w:rFonts w:hint="eastAsia" w:ascii="宋体" w:hAnsi="宋体" w:eastAsia="宋体" w:cs="宋体"/>
          <w:b/>
          <w:bCs/>
          <w:color w:val="333333"/>
          <w:sz w:val="30"/>
          <w:szCs w:val="30"/>
        </w:rPr>
        <w:t>四、政府信息公开行政复议、行政诉讼情况</w:t>
      </w:r>
    </w:p>
    <w:p>
      <w:pPr>
        <w:shd w:val="clear" w:color="auto" w:fill="FFFFFF"/>
        <w:adjustRightInd/>
        <w:snapToGrid/>
        <w:spacing w:after="0"/>
        <w:ind w:firstLine="480"/>
        <w:jc w:val="both"/>
        <w:rPr>
          <w:rFonts w:hint="eastAsia" w:ascii="宋体" w:hAnsi="宋体" w:eastAsia="宋体" w:cs="宋体"/>
          <w:color w:val="333333"/>
          <w:sz w:val="24"/>
          <w:szCs w:val="24"/>
        </w:rPr>
      </w:pPr>
    </w:p>
    <w:tbl>
      <w:tblPr>
        <w:tblStyle w:val="6"/>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adjustRightInd/>
              <w:snapToGrid/>
              <w:spacing w:after="0"/>
              <w:rPr>
                <w:rFonts w:ascii="宋体" w:hAnsi="宋体" w:eastAsia="宋体" w:cs="宋体"/>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color w:val="00000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Calibri" w:hAnsi="Calibri" w:eastAsia="宋体" w:cs="宋体"/>
                <w:sz w:val="20"/>
                <w:szCs w:val="20"/>
                <w:lang w:val="en-US" w:eastAsia="zh-CN"/>
              </w:rPr>
              <w:t>0</w:t>
            </w:r>
            <w:r>
              <w:rPr>
                <w:rFonts w:ascii="Calibri" w:hAnsi="Calibri" w:eastAsia="宋体" w:cs="宋体"/>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ascii="Calibri" w:hAnsi="Calibri" w:eastAsia="宋体" w:cs="宋体"/>
                <w:sz w:val="20"/>
                <w:szCs w:val="20"/>
              </w:rPr>
              <w:t> </w:t>
            </w:r>
            <w:r>
              <w:rPr>
                <w:rFonts w:hint="eastAsia" w:ascii="Calibri" w:hAnsi="Calibri" w:eastAsia="宋体" w:cs="宋体"/>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hint="eastAsia" w:ascii="宋体" w:hAnsi="宋体" w:eastAsia="宋体" w:cs="宋体"/>
                <w:sz w:val="20"/>
                <w:szCs w:val="20"/>
              </w:rPr>
              <w:t> </w:t>
            </w:r>
            <w:r>
              <w:rPr>
                <w:rFonts w:hint="eastAsia" w:ascii="宋体" w:hAnsi="宋体" w:eastAsia="宋体" w:cs="宋体"/>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lang w:val="en-US" w:eastAsia="zh-CN"/>
              </w:rPr>
              <w:t>0</w:t>
            </w:r>
            <w:r>
              <w:rPr>
                <w:rFonts w:hint="eastAsia" w:ascii="宋体" w:hAnsi="宋体" w:eastAsia="宋体" w:cs="宋体"/>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hint="eastAsia" w:ascii="宋体" w:hAnsi="宋体" w:eastAsia="宋体" w:cs="宋体"/>
                <w:sz w:val="20"/>
                <w:szCs w:val="20"/>
              </w:rPr>
              <w:t> </w:t>
            </w:r>
            <w:r>
              <w:rPr>
                <w:rFonts w:hint="eastAsia" w:ascii="宋体" w:hAnsi="宋体" w:eastAsia="宋体" w:cs="宋体"/>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lang w:val="en-US" w:eastAsia="zh-CN"/>
              </w:rPr>
              <w:t>0</w:t>
            </w:r>
            <w:r>
              <w:rPr>
                <w:rFonts w:hint="eastAsia" w:ascii="宋体" w:hAnsi="宋体" w:eastAsia="宋体" w:cs="宋体"/>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lang w:val="en-US" w:eastAsia="zh-CN"/>
              </w:rPr>
              <w:t>0</w:t>
            </w:r>
            <w:r>
              <w:rPr>
                <w:rFonts w:hint="eastAsia" w:ascii="宋体" w:hAnsi="宋体" w:eastAsia="宋体" w:cs="宋体"/>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hint="eastAsia" w:ascii="宋体" w:hAnsi="宋体" w:eastAsia="宋体" w:cs="宋体"/>
                <w:sz w:val="20"/>
                <w:szCs w:val="20"/>
              </w:rPr>
              <w:t> </w:t>
            </w:r>
            <w:r>
              <w:rPr>
                <w:rFonts w:hint="eastAsia" w:ascii="宋体" w:hAnsi="宋体" w:eastAsia="宋体" w:cs="宋体"/>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hint="eastAsia" w:ascii="宋体" w:hAnsi="宋体" w:eastAsia="宋体" w:cs="宋体"/>
                <w:sz w:val="24"/>
                <w:szCs w:val="24"/>
                <w:lang w:val="en-US"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0"/>
                <w:szCs w:val="20"/>
                <w:lang w:val="en-US" w:eastAsia="zh-CN"/>
              </w:rPr>
              <w:t>0</w:t>
            </w:r>
            <w:r>
              <w:rPr>
                <w:rFonts w:hint="eastAsia" w:ascii="宋体" w:hAnsi="宋体" w:eastAsia="宋体" w:cs="宋体"/>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shd w:val="clear" w:color="auto" w:fill="FFFFFF"/>
        <w:adjustRightInd/>
        <w:snapToGrid/>
        <w:spacing w:after="0"/>
        <w:jc w:val="center"/>
        <w:rPr>
          <w:rFonts w:hint="eastAsia" w:ascii="宋体" w:hAnsi="宋体" w:eastAsia="宋体" w:cs="宋体"/>
          <w:color w:val="333333"/>
          <w:sz w:val="24"/>
          <w:szCs w:val="24"/>
        </w:rPr>
      </w:pPr>
    </w:p>
    <w:p>
      <w:pPr>
        <w:shd w:val="clear" w:color="auto" w:fill="FFFFFF"/>
        <w:adjustRightInd/>
        <w:snapToGrid/>
        <w:spacing w:after="0"/>
        <w:ind w:firstLine="602" w:firstLineChars="200"/>
        <w:jc w:val="both"/>
        <w:rPr>
          <w:rFonts w:hint="eastAsia" w:ascii="宋体" w:hAnsi="宋体" w:eastAsia="宋体" w:cs="宋体"/>
          <w:color w:val="333333"/>
          <w:sz w:val="24"/>
          <w:szCs w:val="24"/>
        </w:rPr>
      </w:pPr>
      <w:r>
        <w:rPr>
          <w:rFonts w:hint="eastAsia" w:ascii="宋体" w:hAnsi="宋体" w:eastAsia="宋体" w:cs="宋体"/>
          <w:b/>
          <w:bCs/>
          <w:color w:val="333333"/>
          <w:sz w:val="30"/>
          <w:szCs w:val="30"/>
        </w:rPr>
        <w:t>五、存在的主要问题及改进情况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40" w:lineRule="exact"/>
        <w:ind w:right="220" w:rightChars="100" w:firstLine="600" w:firstLineChars="200"/>
        <w:jc w:val="left"/>
        <w:textAlignment w:val="auto"/>
        <w:outlineLvl w:val="9"/>
        <w:rPr>
          <w:rFonts w:hint="eastAsia" w:ascii="仿宋_GB2312" w:hAnsi="宋体" w:eastAsia="仿宋_GB2312" w:cs="仿宋_GB2312"/>
          <w:b w:val="0"/>
          <w:bCs w:val="0"/>
          <w:color w:val="000000"/>
          <w:kern w:val="0"/>
          <w:sz w:val="30"/>
          <w:szCs w:val="30"/>
          <w:shd w:val="clear" w:color="auto" w:fill="FFFFFF"/>
          <w:lang w:val="en-US" w:eastAsia="zh-CN"/>
        </w:rPr>
      </w:pPr>
      <w:r>
        <w:rPr>
          <w:rFonts w:hint="eastAsia" w:ascii="仿宋_GB2312" w:hAnsi="宋体" w:eastAsia="仿宋_GB2312" w:cs="仿宋_GB2312"/>
          <w:b w:val="0"/>
          <w:bCs w:val="0"/>
          <w:color w:val="000000"/>
          <w:kern w:val="0"/>
          <w:sz w:val="30"/>
          <w:szCs w:val="30"/>
          <w:shd w:val="clear" w:color="auto" w:fill="FFFFFF"/>
          <w:lang w:val="en-US" w:eastAsia="zh-CN"/>
        </w:rPr>
        <w:t>回顾一年来的工作，市人社局在政务公开工作中还存在一些问题。</w:t>
      </w:r>
      <w:r>
        <w:rPr>
          <w:rFonts w:hint="eastAsia" w:ascii="仿宋_GB2312" w:hAnsi="宋体" w:eastAsia="仿宋_GB2312" w:cs="仿宋_GB2312"/>
          <w:b/>
          <w:bCs/>
          <w:color w:val="000000"/>
          <w:kern w:val="0"/>
          <w:sz w:val="30"/>
          <w:szCs w:val="30"/>
          <w:shd w:val="clear" w:color="auto" w:fill="FFFFFF"/>
          <w:lang w:val="en-US" w:eastAsia="zh-CN"/>
        </w:rPr>
        <w:t>一是</w:t>
      </w:r>
      <w:r>
        <w:rPr>
          <w:rFonts w:hint="eastAsia" w:ascii="仿宋_GB2312" w:hAnsi="宋体" w:eastAsia="仿宋_GB2312" w:cs="仿宋_GB2312"/>
          <w:b w:val="0"/>
          <w:bCs w:val="0"/>
          <w:color w:val="000000"/>
          <w:kern w:val="0"/>
          <w:sz w:val="30"/>
          <w:szCs w:val="30"/>
          <w:shd w:val="clear" w:color="auto" w:fill="FFFFFF"/>
          <w:lang w:val="en-US" w:eastAsia="zh-CN"/>
        </w:rPr>
        <w:t>个别科室（单位）宣传和公开意识较弱，工作中的新政策、新措施、新成效缺乏主动公开的意识。</w:t>
      </w:r>
      <w:r>
        <w:rPr>
          <w:rFonts w:hint="eastAsia" w:ascii="仿宋_GB2312" w:hAnsi="宋体" w:eastAsia="仿宋_GB2312" w:cs="仿宋_GB2312"/>
          <w:b/>
          <w:bCs/>
          <w:color w:val="000000"/>
          <w:kern w:val="0"/>
          <w:sz w:val="30"/>
          <w:szCs w:val="30"/>
          <w:shd w:val="clear" w:color="auto" w:fill="FFFFFF"/>
          <w:lang w:val="en-US" w:eastAsia="zh-CN"/>
        </w:rPr>
        <w:t>二是</w:t>
      </w:r>
      <w:r>
        <w:rPr>
          <w:rFonts w:hint="eastAsia" w:ascii="仿宋_GB2312" w:hAnsi="宋体" w:eastAsia="仿宋_GB2312" w:cs="仿宋_GB2312"/>
          <w:b w:val="0"/>
          <w:bCs w:val="0"/>
          <w:color w:val="000000"/>
          <w:kern w:val="0"/>
          <w:sz w:val="30"/>
          <w:szCs w:val="30"/>
          <w:shd w:val="clear" w:color="auto" w:fill="FFFFFF"/>
          <w:lang w:val="en-US" w:eastAsia="zh-CN"/>
        </w:rPr>
        <w:t>新媒体公开渠道应用还不够，开设的政务新媒体平台太少，且功能单一，缺乏互动性。</w:t>
      </w:r>
      <w:r>
        <w:rPr>
          <w:rFonts w:hint="eastAsia" w:ascii="仿宋_GB2312" w:hAnsi="宋体" w:eastAsia="仿宋_GB2312" w:cs="仿宋_GB2312"/>
          <w:b/>
          <w:bCs/>
          <w:color w:val="000000"/>
          <w:kern w:val="0"/>
          <w:sz w:val="30"/>
          <w:szCs w:val="30"/>
          <w:shd w:val="clear" w:color="auto" w:fill="FFFFFF"/>
          <w:lang w:val="en-US" w:eastAsia="zh-CN"/>
        </w:rPr>
        <w:t>三是</w:t>
      </w:r>
      <w:r>
        <w:rPr>
          <w:rFonts w:hint="eastAsia" w:ascii="仿宋_GB2312" w:hAnsi="宋体" w:eastAsia="仿宋_GB2312" w:cs="仿宋_GB2312"/>
          <w:b w:val="0"/>
          <w:bCs w:val="0"/>
          <w:color w:val="000000"/>
          <w:kern w:val="0"/>
          <w:sz w:val="30"/>
          <w:szCs w:val="30"/>
          <w:shd w:val="clear" w:color="auto" w:fill="FFFFFF"/>
          <w:lang w:val="en-US" w:eastAsia="zh-CN"/>
        </w:rPr>
        <w:t>政务公开供给与公众信息获取需求之间仍然存在着差距，信息发布和更新效率有待进一步提高。</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40" w:lineRule="exact"/>
        <w:ind w:right="220" w:rightChars="100" w:firstLine="600" w:firstLineChars="200"/>
        <w:jc w:val="left"/>
        <w:textAlignment w:val="auto"/>
        <w:outlineLvl w:val="9"/>
        <w:rPr>
          <w:rFonts w:hint="eastAsia" w:ascii="仿宋_GB2312" w:hAnsi="宋体" w:eastAsia="仿宋_GB2312" w:cs="仿宋_GB2312"/>
          <w:b w:val="0"/>
          <w:bCs w:val="0"/>
          <w:color w:val="000000"/>
          <w:kern w:val="0"/>
          <w:sz w:val="32"/>
          <w:szCs w:val="32"/>
          <w:shd w:val="clear" w:color="auto" w:fill="FFFFFF"/>
        </w:rPr>
      </w:pPr>
      <w:r>
        <w:rPr>
          <w:rFonts w:hint="eastAsia" w:ascii="仿宋_GB2312" w:hAnsi="宋体" w:eastAsia="仿宋_GB2312" w:cs="仿宋_GB2312"/>
          <w:b w:val="0"/>
          <w:bCs w:val="0"/>
          <w:color w:val="000000"/>
          <w:kern w:val="0"/>
          <w:sz w:val="30"/>
          <w:szCs w:val="30"/>
          <w:shd w:val="clear" w:color="auto" w:fill="FFFFFF"/>
          <w:lang w:val="en-US" w:eastAsia="zh-CN"/>
        </w:rPr>
        <w:t>在今后的工作中，我们将积极做好以下工作，持续提升政府信息公开工作水平。</w:t>
      </w:r>
      <w:r>
        <w:rPr>
          <w:rFonts w:hint="eastAsia" w:ascii="仿宋_GB2312" w:hAnsi="宋体" w:eastAsia="仿宋_GB2312" w:cs="仿宋_GB2312"/>
          <w:b/>
          <w:bCs/>
          <w:color w:val="000000"/>
          <w:kern w:val="0"/>
          <w:sz w:val="30"/>
          <w:szCs w:val="30"/>
          <w:shd w:val="clear" w:color="auto" w:fill="FFFFFF"/>
          <w:lang w:val="en-US" w:eastAsia="zh-CN"/>
        </w:rPr>
        <w:t>一是</w:t>
      </w:r>
      <w:r>
        <w:rPr>
          <w:rFonts w:hint="eastAsia" w:ascii="仿宋_GB2312" w:hAnsi="宋体" w:eastAsia="仿宋_GB2312" w:cs="仿宋_GB2312"/>
          <w:b w:val="0"/>
          <w:bCs w:val="0"/>
          <w:color w:val="000000"/>
          <w:kern w:val="0"/>
          <w:sz w:val="30"/>
          <w:szCs w:val="30"/>
          <w:shd w:val="clear" w:color="auto" w:fill="FFFFFF"/>
          <w:lang w:val="en-US" w:eastAsia="zh-CN"/>
        </w:rPr>
        <w:t>继续提升信息化水平。进一步加大门户网站的日常监管，加强网站信息发布、解读回应、办事服务、互动交流等信息内容建设，提高集约化水平。充分运用“我为政府网站找错”监督平台，抓好政府网站管理工作。</w:t>
      </w:r>
      <w:r>
        <w:rPr>
          <w:rFonts w:hint="eastAsia" w:ascii="仿宋_GB2312" w:hAnsi="宋体" w:eastAsia="仿宋_GB2312" w:cs="仿宋_GB2312"/>
          <w:b/>
          <w:bCs/>
          <w:color w:val="000000"/>
          <w:kern w:val="0"/>
          <w:sz w:val="30"/>
          <w:szCs w:val="30"/>
          <w:shd w:val="clear" w:color="auto" w:fill="FFFFFF"/>
          <w:lang w:val="en-US" w:eastAsia="zh-CN"/>
        </w:rPr>
        <w:t>二是</w:t>
      </w:r>
      <w:r>
        <w:rPr>
          <w:rFonts w:hint="eastAsia" w:ascii="仿宋_GB2312" w:hAnsi="宋体" w:eastAsia="仿宋_GB2312" w:cs="仿宋_GB2312"/>
          <w:b w:val="0"/>
          <w:bCs w:val="0"/>
          <w:color w:val="000000"/>
          <w:kern w:val="0"/>
          <w:sz w:val="30"/>
          <w:szCs w:val="30"/>
          <w:shd w:val="clear" w:color="auto" w:fill="FFFFFF"/>
          <w:lang w:val="en-US" w:eastAsia="zh-CN"/>
        </w:rPr>
        <w:t>加大政策解读力度。通过新闻发布会、新闻通气会、在线访谈、网站设置专栏等形式，加大对关系民生的重大政策的解读力度，积极回应社会关切。</w:t>
      </w:r>
      <w:r>
        <w:rPr>
          <w:rFonts w:hint="eastAsia" w:ascii="仿宋_GB2312" w:hAnsi="宋体" w:eastAsia="仿宋_GB2312" w:cs="仿宋_GB2312"/>
          <w:b/>
          <w:bCs/>
          <w:color w:val="000000"/>
          <w:kern w:val="0"/>
          <w:sz w:val="30"/>
          <w:szCs w:val="30"/>
          <w:shd w:val="clear" w:color="auto" w:fill="FFFFFF"/>
          <w:lang w:val="en-US" w:eastAsia="zh-CN"/>
        </w:rPr>
        <w:t>三是</w:t>
      </w:r>
      <w:r>
        <w:rPr>
          <w:rFonts w:hint="eastAsia" w:ascii="仿宋_GB2312" w:hAnsi="宋体" w:eastAsia="仿宋_GB2312" w:cs="仿宋_GB2312"/>
          <w:b w:val="0"/>
          <w:bCs w:val="0"/>
          <w:color w:val="000000"/>
          <w:kern w:val="0"/>
          <w:sz w:val="30"/>
          <w:szCs w:val="30"/>
          <w:shd w:val="clear" w:color="auto" w:fill="FFFFFF"/>
          <w:lang w:val="en-US" w:eastAsia="zh-CN"/>
        </w:rPr>
        <w:t>持续做好重点领域政府信息公开。进一步做好就业和社会保险领域信息公开，保障公开专栏信息及时更新、准确无误。</w:t>
      </w:r>
    </w:p>
    <w:p>
      <w:pPr>
        <w:numPr>
          <w:ilvl w:val="0"/>
          <w:numId w:val="0"/>
        </w:numPr>
        <w:shd w:val="clear" w:color="auto" w:fill="FFFFFF"/>
        <w:adjustRightInd/>
        <w:snapToGrid/>
        <w:spacing w:after="0"/>
        <w:jc w:val="both"/>
        <w:rPr>
          <w:rFonts w:hint="eastAsia" w:ascii="宋体" w:hAnsi="宋体" w:eastAsia="宋体" w:cs="宋体"/>
          <w:b/>
          <w:bCs/>
          <w:color w:val="333333"/>
          <w:sz w:val="30"/>
          <w:szCs w:val="30"/>
        </w:rPr>
      </w:pPr>
    </w:p>
    <w:p>
      <w:pPr>
        <w:numPr>
          <w:ilvl w:val="0"/>
          <w:numId w:val="1"/>
        </w:numPr>
        <w:shd w:val="clear" w:color="auto" w:fill="FFFFFF"/>
        <w:adjustRightInd/>
        <w:snapToGrid/>
        <w:spacing w:after="0"/>
        <w:ind w:firstLine="602" w:firstLineChars="200"/>
        <w:jc w:val="both"/>
        <w:rPr>
          <w:rFonts w:hint="eastAsia" w:ascii="宋体" w:hAnsi="宋体" w:eastAsia="宋体" w:cs="宋体"/>
          <w:b/>
          <w:bCs/>
          <w:color w:val="333333"/>
          <w:sz w:val="30"/>
          <w:szCs w:val="30"/>
        </w:rPr>
      </w:pPr>
      <w:r>
        <w:rPr>
          <w:rFonts w:hint="eastAsia" w:ascii="宋体" w:hAnsi="宋体" w:eastAsia="宋体" w:cs="宋体"/>
          <w:b/>
          <w:bCs/>
          <w:color w:val="333333"/>
          <w:sz w:val="30"/>
          <w:szCs w:val="30"/>
        </w:rPr>
        <w:t>其他需要报告的事项</w:t>
      </w:r>
    </w:p>
    <w:p>
      <w:pPr>
        <w:numPr>
          <w:ilvl w:val="0"/>
          <w:numId w:val="0"/>
        </w:numPr>
        <w:shd w:val="clear" w:color="auto" w:fill="FFFFFF"/>
        <w:adjustRightInd/>
        <w:snapToGrid/>
        <w:spacing w:after="0"/>
        <w:ind w:firstLine="600" w:firstLineChars="200"/>
        <w:jc w:val="both"/>
        <w:rPr>
          <w:rFonts w:hint="eastAsia" w:eastAsia="微软雅黑"/>
          <w:lang w:eastAsia="zh-CN"/>
        </w:rPr>
      </w:pPr>
      <w:r>
        <w:rPr>
          <w:rFonts w:hint="eastAsia" w:ascii="仿宋_GB2312" w:hAnsi="宋体" w:eastAsia="仿宋_GB2312" w:cs="仿宋_GB2312"/>
          <w:b w:val="0"/>
          <w:bCs w:val="0"/>
          <w:color w:val="000000"/>
          <w:kern w:val="0"/>
          <w:sz w:val="30"/>
          <w:szCs w:val="30"/>
          <w:shd w:val="clear" w:color="auto" w:fill="FFFFFF"/>
          <w:lang w:val="en-US" w:eastAsia="zh-CN"/>
        </w:rPr>
        <w:t>无</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sans serif">
    <w:altName w:val="Courier New"/>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0031"/>
      <w:docPartObj>
        <w:docPartGallery w:val="autotext"/>
      </w:docPartObj>
    </w:sdtPr>
    <w:sdtContent>
      <w:p>
        <w:pPr>
          <w:pStyle w:val="2"/>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E0CCF"/>
    <w:multiLevelType w:val="singleLevel"/>
    <w:tmpl w:val="A74E0CC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6F72E5"/>
    <w:rsid w:val="00323B43"/>
    <w:rsid w:val="003D37D8"/>
    <w:rsid w:val="004358AB"/>
    <w:rsid w:val="006F72E5"/>
    <w:rsid w:val="008B7726"/>
    <w:rsid w:val="00D91D30"/>
    <w:rsid w:val="00F60DC5"/>
    <w:rsid w:val="00FC117F"/>
    <w:rsid w:val="130A278A"/>
    <w:rsid w:val="2F8121DF"/>
    <w:rsid w:val="3C5C4D46"/>
    <w:rsid w:val="3ECC11DD"/>
    <w:rsid w:val="542B7ACE"/>
    <w:rsid w:val="5B686870"/>
    <w:rsid w:val="677E3268"/>
    <w:rsid w:val="7F46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901</Words>
  <Characters>5141</Characters>
  <Lines>42</Lines>
  <Paragraphs>12</Paragraphs>
  <TotalTime>148</TotalTime>
  <ScaleCrop>false</ScaleCrop>
  <LinksUpToDate>false</LinksUpToDate>
  <CharactersWithSpaces>6030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2020-01-09T03:52:00Z</dcterms:created>
  <dc:creator>Users</dc:creator>
  <cp:lastModifiedBy>Administrator</cp:lastModifiedBy>
  <dcterms:modified xsi:type="dcterms:W3CDTF">2020-01-21T04:01:14Z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