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napToGrid/>
        <w:spacing w:line="700" w:lineRule="exact"/>
        <w:ind w:firstLine="0" w:firstLineChars="0"/>
        <w:textAlignment w:val="center"/>
        <w:rPr>
          <w:rFonts w:hint="eastAsia" w:ascii="黑体" w:hAnsi="黑体" w:eastAsia="黑体" w:cs="黑体"/>
          <w:szCs w:val="32"/>
          <w:lang w:eastAsia="zh-CN"/>
        </w:rPr>
      </w:pPr>
      <w:r>
        <w:rPr>
          <w:rFonts w:hint="eastAsia" w:ascii="黑体" w:hAnsi="黑体" w:eastAsia="黑体" w:cs="黑体"/>
          <w:szCs w:val="32"/>
        </w:rPr>
        <w:t>附件</w:t>
      </w:r>
      <w:r>
        <w:rPr>
          <w:rFonts w:hint="eastAsia" w:ascii="黑体" w:hAnsi="黑体" w:eastAsia="黑体" w:cs="黑体"/>
          <w:szCs w:val="32"/>
          <w:lang w:val="en-US" w:eastAsia="zh-CN"/>
        </w:rPr>
        <w:t>1</w:t>
      </w:r>
    </w:p>
    <w:p>
      <w:pPr>
        <w:pStyle w:val="2"/>
        <w:snapToGrid/>
        <w:spacing w:after="0" w:line="20" w:lineRule="exact"/>
        <w:ind w:firstLine="0" w:firstLineChars="0"/>
        <w:rPr>
          <w:rFonts w:ascii="宋体" w:hAnsi="宋体" w:eastAsia="宋体"/>
          <w:color w:val="000000"/>
          <w:sz w:val="22"/>
        </w:rPr>
      </w:pPr>
    </w:p>
    <w:p>
      <w:pPr>
        <w:autoSpaceDN w:val="0"/>
        <w:snapToGrid/>
        <w:spacing w:line="700" w:lineRule="exact"/>
        <w:ind w:firstLine="0" w:firstLineChars="0"/>
        <w:jc w:val="center"/>
        <w:textAlignment w:val="center"/>
        <w:rPr>
          <w:rFonts w:ascii="方正小标宋_GBK" w:hAnsi="方正小标宋_GBK" w:eastAsia="方正小标宋_GBK" w:cs="方正小标宋_GBK"/>
          <w:kern w:val="0"/>
          <w:sz w:val="44"/>
          <w:szCs w:val="44"/>
        </w:rPr>
      </w:pPr>
      <w:r>
        <w:rPr>
          <w:rFonts w:ascii="方正小标宋_GBK" w:hAnsi="方正小标宋_GBK" w:eastAsia="方正小标宋_GBK" w:cs="方正小标宋_GBK"/>
          <w:kern w:val="0"/>
          <w:sz w:val="44"/>
          <w:szCs w:val="44"/>
        </w:rPr>
        <w:t>南阳市</w:t>
      </w:r>
      <w:r>
        <w:rPr>
          <w:rFonts w:hint="eastAsia" w:ascii="方正小标宋_GBK" w:hAnsi="方正小标宋_GBK" w:eastAsia="方正小标宋_GBK" w:cs="方正小标宋_GBK"/>
          <w:kern w:val="0"/>
          <w:sz w:val="44"/>
          <w:szCs w:val="44"/>
        </w:rPr>
        <w:t>统计</w:t>
      </w:r>
      <w:r>
        <w:rPr>
          <w:rFonts w:ascii="方正小标宋_GBK" w:hAnsi="方正小标宋_GBK" w:eastAsia="方正小标宋_GBK" w:cs="方正小标宋_GBK"/>
          <w:kern w:val="0"/>
          <w:sz w:val="44"/>
          <w:szCs w:val="44"/>
        </w:rPr>
        <w:t>局</w:t>
      </w:r>
      <w:r>
        <w:rPr>
          <w:rFonts w:hint="eastAsia" w:ascii="方正小标宋_GBK" w:hAnsi="方正小标宋_GBK" w:eastAsia="方正小标宋_GBK" w:cs="方正小标宋_GBK"/>
          <w:kern w:val="0"/>
          <w:sz w:val="44"/>
          <w:szCs w:val="44"/>
        </w:rPr>
        <w:t>权责清单目录</w:t>
      </w:r>
    </w:p>
    <w:p>
      <w:pPr>
        <w:snapToGrid/>
        <w:spacing w:line="520" w:lineRule="exact"/>
        <w:ind w:firstLine="0" w:firstLineChars="0"/>
        <w:jc w:val="center"/>
        <w:rPr>
          <w:rFonts w:ascii="楷体_GB2312" w:hAnsi="楷体_GB2312" w:eastAsia="楷体_GB2312" w:cs="楷体_GB2312"/>
          <w:b/>
          <w:bCs/>
          <w:szCs w:val="32"/>
        </w:rPr>
      </w:pPr>
      <w:r>
        <w:rPr>
          <w:rFonts w:hint="eastAsia" w:ascii="楷体_GB2312" w:hAnsi="楷体_GB2312" w:eastAsia="楷体_GB2312" w:cs="楷体_GB2312"/>
          <w:b/>
          <w:bCs/>
          <w:szCs w:val="32"/>
        </w:rPr>
        <w:t>（共</w:t>
      </w:r>
      <w:r>
        <w:rPr>
          <w:rFonts w:hint="eastAsia" w:ascii="楷体_GB2312" w:hAnsi="楷体_GB2312" w:eastAsia="楷体_GB2312" w:cs="楷体_GB2312"/>
          <w:b/>
          <w:bCs/>
          <w:szCs w:val="32"/>
          <w:lang w:val="en-US" w:eastAsia="zh-CN"/>
        </w:rPr>
        <w:t>13</w:t>
      </w:r>
      <w:r>
        <w:rPr>
          <w:rFonts w:hint="eastAsia" w:ascii="楷体_GB2312" w:hAnsi="楷体_GB2312" w:eastAsia="楷体_GB2312" w:cs="楷体_GB2312"/>
          <w:b/>
          <w:bCs/>
          <w:szCs w:val="32"/>
        </w:rPr>
        <w:t>项）</w:t>
      </w:r>
    </w:p>
    <w:tbl>
      <w:tblPr>
        <w:tblStyle w:val="10"/>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026"/>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blHeader/>
          <w:jc w:val="center"/>
        </w:trPr>
        <w:tc>
          <w:tcPr>
            <w:tcW w:w="731" w:type="dxa"/>
            <w:vAlign w:val="center"/>
          </w:tcPr>
          <w:p>
            <w:pPr>
              <w:spacing w:line="240" w:lineRule="auto"/>
              <w:ind w:firstLine="0" w:firstLineChars="0"/>
              <w:jc w:val="center"/>
              <w:rPr>
                <w:rFonts w:hint="eastAsia" w:ascii="黑体" w:hAnsi="黑体" w:eastAsia="黑体" w:cs="黑体"/>
                <w:sz w:val="24"/>
              </w:rPr>
            </w:pPr>
            <w:r>
              <w:rPr>
                <w:rFonts w:hint="eastAsia" w:ascii="黑体" w:hAnsi="黑体" w:eastAsia="黑体" w:cs="黑体"/>
                <w:sz w:val="24"/>
              </w:rPr>
              <w:t>序号</w:t>
            </w:r>
          </w:p>
        </w:tc>
        <w:tc>
          <w:tcPr>
            <w:tcW w:w="7026" w:type="dxa"/>
            <w:vAlign w:val="center"/>
          </w:tcPr>
          <w:p>
            <w:pPr>
              <w:spacing w:line="240" w:lineRule="auto"/>
              <w:ind w:firstLine="0" w:firstLineChars="0"/>
              <w:jc w:val="center"/>
              <w:rPr>
                <w:rFonts w:hint="eastAsia" w:ascii="黑体" w:hAnsi="黑体" w:eastAsia="黑体" w:cs="黑体"/>
                <w:sz w:val="24"/>
              </w:rPr>
            </w:pPr>
            <w:r>
              <w:rPr>
                <w:rFonts w:hint="eastAsia" w:ascii="黑体" w:hAnsi="黑体" w:eastAsia="黑体" w:cs="黑体"/>
                <w:sz w:val="24"/>
              </w:rPr>
              <w:t>职权名称</w:t>
            </w:r>
          </w:p>
        </w:tc>
        <w:tc>
          <w:tcPr>
            <w:tcW w:w="1227" w:type="dxa"/>
            <w:vAlign w:val="center"/>
          </w:tcPr>
          <w:p>
            <w:pPr>
              <w:spacing w:line="240" w:lineRule="auto"/>
              <w:ind w:firstLine="0" w:firstLineChars="0"/>
              <w:jc w:val="center"/>
              <w:rPr>
                <w:rFonts w:hint="eastAsia" w:ascii="黑体" w:hAnsi="黑体" w:eastAsia="黑体" w:cs="黑体"/>
                <w:sz w:val="24"/>
              </w:rPr>
            </w:pPr>
            <w:r>
              <w:rPr>
                <w:rFonts w:hint="eastAsia" w:ascii="黑体" w:hAnsi="黑体" w:eastAsia="黑体" w:cs="黑体"/>
                <w:sz w:val="24"/>
              </w:rPr>
              <w:t>职权类别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84" w:type="dxa"/>
            <w:gridSpan w:val="3"/>
            <w:vAlign w:val="center"/>
          </w:tcPr>
          <w:p>
            <w:pPr>
              <w:spacing w:line="24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一、行政许可（</w:t>
            </w:r>
            <w:r>
              <w:rPr>
                <w:rFonts w:hint="eastAsia" w:cs="仿宋_GB2312"/>
                <w:b/>
                <w:bCs/>
                <w:sz w:val="24"/>
                <w:lang w:val="en-US" w:eastAsia="zh-CN"/>
              </w:rPr>
              <w:t>0</w:t>
            </w:r>
            <w:r>
              <w:rPr>
                <w:rFonts w:hint="eastAsia" w:ascii="仿宋_GB2312" w:hAnsi="仿宋_GB2312" w:eastAsia="仿宋_GB2312" w:cs="仿宋_GB2312"/>
                <w:b/>
                <w:bCs/>
                <w:sz w:val="24"/>
              </w:rPr>
              <w:t>项</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84" w:type="dxa"/>
            <w:gridSpan w:val="3"/>
            <w:vAlign w:val="center"/>
          </w:tcPr>
          <w:p>
            <w:pPr>
              <w:spacing w:line="24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二、行政处罚（</w:t>
            </w:r>
            <w:r>
              <w:rPr>
                <w:rFonts w:hint="eastAsia" w:cs="仿宋_GB2312"/>
                <w:b/>
                <w:bCs/>
                <w:sz w:val="24"/>
                <w:lang w:val="en-US" w:eastAsia="zh-CN"/>
              </w:rPr>
              <w:t>2</w:t>
            </w:r>
            <w:r>
              <w:rPr>
                <w:rFonts w:hint="eastAsia" w:ascii="仿宋_GB2312" w:hAnsi="仿宋_GB2312" w:eastAsia="仿宋_GB2312" w:cs="仿宋_GB2312"/>
                <w:b/>
                <w:bCs/>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spacing w:line="240" w:lineRule="auto"/>
              <w:ind w:firstLine="0" w:firstLineChars="0"/>
              <w:jc w:val="center"/>
              <w:rPr>
                <w:rFonts w:hint="eastAsia" w:ascii="仿宋_GB2312" w:hAnsi="仿宋_GB2312" w:eastAsia="仿宋_GB2312" w:cs="仿宋_GB2312"/>
                <w:b w:val="0"/>
                <w:bCs w:val="0"/>
                <w:sz w:val="24"/>
                <w:lang w:val="en-US" w:eastAsia="zh-CN"/>
              </w:rPr>
            </w:pPr>
            <w:r>
              <w:rPr>
                <w:rFonts w:hint="eastAsia" w:cs="仿宋_GB2312"/>
                <w:b w:val="0"/>
                <w:bCs w:val="0"/>
                <w:sz w:val="24"/>
                <w:lang w:val="en-US" w:eastAsia="zh-CN"/>
              </w:rPr>
              <w:t>1</w:t>
            </w:r>
          </w:p>
        </w:tc>
        <w:tc>
          <w:tcPr>
            <w:tcW w:w="7026" w:type="dxa"/>
            <w:vAlign w:val="center"/>
          </w:tcPr>
          <w:p>
            <w:pPr>
              <w:spacing w:line="240" w:lineRule="auto"/>
              <w:ind w:firstLine="0" w:firstLineChars="0"/>
              <w:jc w:val="left"/>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rPr>
              <w:t>统计调查对象拒绝提供统计资料、拒绝答复统计法律文书、阻碍统计调查、伪造、编造、篡改统计资料、迟报统计资料，提供不真实统计资料等违法行为的处罚</w:t>
            </w:r>
          </w:p>
        </w:tc>
        <w:tc>
          <w:tcPr>
            <w:tcW w:w="1227" w:type="dxa"/>
            <w:vAlign w:val="center"/>
          </w:tcPr>
          <w:p>
            <w:pPr>
              <w:spacing w:line="240" w:lineRule="auto"/>
              <w:ind w:firstLine="0" w:firstLineChars="0"/>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spacing w:line="240" w:lineRule="auto"/>
              <w:ind w:firstLine="0" w:firstLineChars="0"/>
              <w:jc w:val="center"/>
              <w:rPr>
                <w:rFonts w:hint="eastAsia" w:ascii="仿宋_GB2312" w:hAnsi="仿宋_GB2312" w:eastAsia="仿宋_GB2312" w:cs="仿宋_GB2312"/>
                <w:b w:val="0"/>
                <w:bCs w:val="0"/>
                <w:sz w:val="24"/>
                <w:lang w:val="en-US" w:eastAsia="zh-CN"/>
              </w:rPr>
            </w:pPr>
            <w:r>
              <w:rPr>
                <w:rFonts w:hint="eastAsia" w:cs="仿宋_GB2312"/>
                <w:b w:val="0"/>
                <w:bCs w:val="0"/>
                <w:sz w:val="24"/>
                <w:lang w:val="en-US" w:eastAsia="zh-CN"/>
              </w:rPr>
              <w:t>2</w:t>
            </w:r>
          </w:p>
        </w:tc>
        <w:tc>
          <w:tcPr>
            <w:tcW w:w="7026" w:type="dxa"/>
            <w:vAlign w:val="center"/>
          </w:tcPr>
          <w:p>
            <w:pPr>
              <w:spacing w:line="240" w:lineRule="auto"/>
              <w:ind w:firstLine="0" w:firstLineChars="0"/>
              <w:jc w:val="left"/>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rPr>
              <w:t>未设置原始记录、统计台账，或者隐匿、篡改、拒绝提供原始记录、统计台账、统计调查表违法行为的处罚</w:t>
            </w:r>
          </w:p>
        </w:tc>
        <w:tc>
          <w:tcPr>
            <w:tcW w:w="1227" w:type="dxa"/>
            <w:vAlign w:val="center"/>
          </w:tcPr>
          <w:p>
            <w:pPr>
              <w:spacing w:line="240" w:lineRule="auto"/>
              <w:ind w:firstLine="0" w:firstLineChars="0"/>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84" w:type="dxa"/>
            <w:gridSpan w:val="3"/>
            <w:vAlign w:val="center"/>
          </w:tcPr>
          <w:p>
            <w:pPr>
              <w:spacing w:line="24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三、行政强制（</w:t>
            </w:r>
            <w:r>
              <w:rPr>
                <w:rFonts w:hint="eastAsia" w:cs="仿宋_GB2312"/>
                <w:b/>
                <w:bCs/>
                <w:sz w:val="24"/>
                <w:lang w:val="en-US" w:eastAsia="zh-CN"/>
              </w:rPr>
              <w:t>1</w:t>
            </w:r>
            <w:r>
              <w:rPr>
                <w:rFonts w:hint="eastAsia" w:ascii="仿宋_GB2312" w:hAnsi="仿宋_GB2312" w:eastAsia="仿宋_GB2312" w:cs="仿宋_GB2312"/>
                <w:b/>
                <w:bCs/>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spacing w:line="240" w:lineRule="auto"/>
              <w:ind w:firstLine="0" w:firstLineChars="0"/>
              <w:jc w:val="center"/>
              <w:rPr>
                <w:rFonts w:hint="eastAsia" w:ascii="仿宋_GB2312" w:hAnsi="仿宋_GB2312" w:eastAsia="仿宋_GB2312" w:cs="仿宋_GB2312"/>
                <w:b w:val="0"/>
                <w:bCs w:val="0"/>
                <w:sz w:val="24"/>
                <w:lang w:val="en-US" w:eastAsia="zh-CN"/>
              </w:rPr>
            </w:pPr>
            <w:r>
              <w:rPr>
                <w:rFonts w:hint="eastAsia" w:cs="仿宋_GB2312"/>
                <w:b w:val="0"/>
                <w:bCs w:val="0"/>
                <w:sz w:val="24"/>
                <w:lang w:val="en-US" w:eastAsia="zh-CN"/>
              </w:rPr>
              <w:t>1</w:t>
            </w:r>
          </w:p>
        </w:tc>
        <w:tc>
          <w:tcPr>
            <w:tcW w:w="7026" w:type="dxa"/>
            <w:vAlign w:val="center"/>
          </w:tcPr>
          <w:p>
            <w:pPr>
              <w:spacing w:line="240" w:lineRule="auto"/>
              <w:ind w:firstLine="0" w:firstLineChars="0"/>
              <w:jc w:val="left"/>
              <w:rPr>
                <w:rFonts w:hint="eastAsia" w:ascii="仿宋_GB2312" w:hAnsi="仿宋_GB2312" w:eastAsia="仿宋_GB2312" w:cs="仿宋_GB2312"/>
                <w:b/>
                <w:bCs/>
                <w:sz w:val="24"/>
              </w:rPr>
            </w:pPr>
            <w:r>
              <w:rPr>
                <w:rFonts w:hint="eastAsia" w:ascii="仿宋_GB2312" w:hAnsi="仿宋_GB2312" w:eastAsia="仿宋_GB2312" w:cs="仿宋_GB2312"/>
                <w:b w:val="0"/>
                <w:bCs w:val="0"/>
                <w:sz w:val="24"/>
              </w:rPr>
              <w:t>登记保存检查对象的有关原始记录和凭证、统计台账、统计调查表、会计资料等其他相关证明材料</w:t>
            </w:r>
          </w:p>
        </w:tc>
        <w:tc>
          <w:tcPr>
            <w:tcW w:w="1227" w:type="dxa"/>
            <w:vAlign w:val="center"/>
          </w:tcPr>
          <w:p>
            <w:pPr>
              <w:spacing w:line="240" w:lineRule="auto"/>
              <w:ind w:firstLine="0" w:firstLineChars="0"/>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84" w:type="dxa"/>
            <w:gridSpan w:val="3"/>
            <w:vAlign w:val="center"/>
          </w:tcPr>
          <w:p>
            <w:pPr>
              <w:spacing w:line="24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四、行政征收（</w:t>
            </w:r>
            <w:r>
              <w:rPr>
                <w:rFonts w:hint="eastAsia" w:cs="仿宋_GB2312"/>
                <w:b/>
                <w:bCs/>
                <w:sz w:val="24"/>
                <w:lang w:val="en-US" w:eastAsia="zh-CN"/>
              </w:rPr>
              <w:t>0</w:t>
            </w:r>
            <w:r>
              <w:rPr>
                <w:rFonts w:hint="eastAsia" w:ascii="仿宋_GB2312" w:hAnsi="仿宋_GB2312" w:eastAsia="仿宋_GB2312" w:cs="仿宋_GB2312"/>
                <w:b/>
                <w:bCs/>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84" w:type="dxa"/>
            <w:gridSpan w:val="3"/>
            <w:vAlign w:val="center"/>
          </w:tcPr>
          <w:p>
            <w:pPr>
              <w:spacing w:line="24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五、行政给付（</w:t>
            </w:r>
            <w:r>
              <w:rPr>
                <w:rFonts w:hint="eastAsia" w:cs="仿宋_GB2312"/>
                <w:b/>
                <w:bCs/>
                <w:sz w:val="24"/>
                <w:lang w:val="en-US" w:eastAsia="zh-CN"/>
              </w:rPr>
              <w:t>0</w:t>
            </w:r>
            <w:r>
              <w:rPr>
                <w:rFonts w:hint="eastAsia" w:ascii="仿宋_GB2312" w:hAnsi="仿宋_GB2312" w:eastAsia="仿宋_GB2312" w:cs="仿宋_GB2312"/>
                <w:b/>
                <w:bCs/>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84" w:type="dxa"/>
            <w:gridSpan w:val="3"/>
            <w:vAlign w:val="center"/>
          </w:tcPr>
          <w:p>
            <w:pPr>
              <w:spacing w:line="24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六、行政检查（</w:t>
            </w:r>
            <w:r>
              <w:rPr>
                <w:rFonts w:hint="eastAsia" w:cs="仿宋_GB2312"/>
                <w:b/>
                <w:bCs/>
                <w:sz w:val="24"/>
                <w:lang w:val="en-US" w:eastAsia="zh-CN"/>
              </w:rPr>
              <w:t>1</w:t>
            </w:r>
            <w:r>
              <w:rPr>
                <w:rFonts w:hint="eastAsia" w:ascii="仿宋_GB2312" w:hAnsi="仿宋_GB2312" w:eastAsia="仿宋_GB2312" w:cs="仿宋_GB2312"/>
                <w:b/>
                <w:bCs/>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spacing w:line="240" w:lineRule="auto"/>
              <w:ind w:firstLine="0" w:firstLineChars="0"/>
              <w:jc w:val="center"/>
              <w:rPr>
                <w:rFonts w:hint="eastAsia" w:ascii="仿宋_GB2312" w:hAnsi="仿宋_GB2312" w:eastAsia="仿宋_GB2312" w:cs="仿宋_GB2312"/>
                <w:b w:val="0"/>
                <w:bCs w:val="0"/>
                <w:sz w:val="24"/>
                <w:lang w:val="en-US" w:eastAsia="zh-CN"/>
              </w:rPr>
            </w:pPr>
            <w:r>
              <w:rPr>
                <w:rFonts w:hint="eastAsia" w:cs="仿宋_GB2312"/>
                <w:b w:val="0"/>
                <w:bCs w:val="0"/>
                <w:sz w:val="24"/>
                <w:lang w:val="en-US" w:eastAsia="zh-CN"/>
              </w:rPr>
              <w:t>1</w:t>
            </w:r>
          </w:p>
        </w:tc>
        <w:tc>
          <w:tcPr>
            <w:tcW w:w="7026" w:type="dxa"/>
            <w:vAlign w:val="center"/>
          </w:tcPr>
          <w:p>
            <w:pPr>
              <w:spacing w:line="24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val="0"/>
                <w:bCs w:val="0"/>
                <w:sz w:val="24"/>
              </w:rPr>
              <w:t>统计执法监督检查</w:t>
            </w:r>
          </w:p>
        </w:tc>
        <w:tc>
          <w:tcPr>
            <w:tcW w:w="1227" w:type="dxa"/>
            <w:vAlign w:val="center"/>
          </w:tcPr>
          <w:p>
            <w:pPr>
              <w:spacing w:line="240" w:lineRule="auto"/>
              <w:ind w:firstLine="0" w:firstLineChars="0"/>
              <w:jc w:val="center"/>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val="0"/>
                <w:sz w:val="24"/>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84" w:type="dxa"/>
            <w:gridSpan w:val="3"/>
            <w:vAlign w:val="center"/>
          </w:tcPr>
          <w:p>
            <w:pPr>
              <w:spacing w:line="24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七、行政确认（</w:t>
            </w:r>
            <w:r>
              <w:rPr>
                <w:rFonts w:hint="eastAsia" w:cs="仿宋_GB2312"/>
                <w:b/>
                <w:bCs/>
                <w:sz w:val="24"/>
                <w:lang w:val="en-US" w:eastAsia="zh-CN"/>
              </w:rPr>
              <w:t>0</w:t>
            </w:r>
            <w:r>
              <w:rPr>
                <w:rFonts w:hint="eastAsia" w:ascii="仿宋_GB2312" w:hAnsi="仿宋_GB2312" w:eastAsia="仿宋_GB2312" w:cs="仿宋_GB2312"/>
                <w:b/>
                <w:bCs/>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84" w:type="dxa"/>
            <w:gridSpan w:val="3"/>
            <w:vAlign w:val="center"/>
          </w:tcPr>
          <w:p>
            <w:pPr>
              <w:spacing w:line="24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八、行政裁决（</w:t>
            </w:r>
            <w:r>
              <w:rPr>
                <w:rFonts w:hint="eastAsia" w:cs="仿宋_GB2312"/>
                <w:b/>
                <w:bCs/>
                <w:sz w:val="24"/>
                <w:lang w:val="en-US" w:eastAsia="zh-CN"/>
              </w:rPr>
              <w:t>0</w:t>
            </w:r>
            <w:r>
              <w:rPr>
                <w:rFonts w:hint="eastAsia" w:ascii="仿宋_GB2312" w:hAnsi="仿宋_GB2312" w:eastAsia="仿宋_GB2312" w:cs="仿宋_GB2312"/>
                <w:b/>
                <w:bCs/>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84" w:type="dxa"/>
            <w:gridSpan w:val="3"/>
            <w:vAlign w:val="center"/>
          </w:tcPr>
          <w:p>
            <w:pPr>
              <w:spacing w:line="24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九、行政奖励（7项）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spacing w:line="240" w:lineRule="auto"/>
              <w:ind w:firstLine="0" w:firstLineChars="0"/>
              <w:jc w:val="center"/>
              <w:rPr>
                <w:rFonts w:hint="eastAsia" w:ascii="仿宋_GB2312" w:hAnsi="仿宋_GB2312" w:eastAsia="仿宋_GB2312" w:cs="仿宋_GB2312"/>
                <w:sz w:val="24"/>
                <w:lang w:val="en-US" w:eastAsia="zh-CN"/>
              </w:rPr>
            </w:pPr>
            <w:r>
              <w:rPr>
                <w:rFonts w:hint="eastAsia" w:cs="仿宋_GB2312"/>
                <w:sz w:val="24"/>
                <w:lang w:val="en-US" w:eastAsia="zh-CN"/>
              </w:rPr>
              <w:t>1</w:t>
            </w:r>
          </w:p>
        </w:tc>
        <w:tc>
          <w:tcPr>
            <w:tcW w:w="7026" w:type="dxa"/>
            <w:vAlign w:val="center"/>
          </w:tcPr>
          <w:p>
            <w:pPr>
              <w:spacing w:line="240" w:lineRule="auto"/>
              <w:ind w:firstLine="0" w:firstLineChars="0"/>
              <w:jc w:val="lef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对经济普查违法行为举报有功的个人给予奖励</w:t>
            </w:r>
          </w:p>
        </w:tc>
        <w:tc>
          <w:tcPr>
            <w:tcW w:w="1227" w:type="dxa"/>
            <w:vAlign w:val="center"/>
          </w:tcPr>
          <w:p>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spacing w:line="240" w:lineRule="auto"/>
              <w:ind w:firstLine="0" w:firstLineChars="0"/>
              <w:jc w:val="center"/>
              <w:rPr>
                <w:rFonts w:hint="eastAsia" w:ascii="仿宋_GB2312" w:hAnsi="仿宋_GB2312" w:eastAsia="仿宋_GB2312" w:cs="仿宋_GB2312"/>
                <w:sz w:val="24"/>
                <w:lang w:val="en-US" w:eastAsia="zh-CN"/>
              </w:rPr>
            </w:pPr>
            <w:r>
              <w:rPr>
                <w:rFonts w:hint="eastAsia" w:cs="仿宋_GB2312"/>
                <w:sz w:val="24"/>
                <w:lang w:val="en-US" w:eastAsia="zh-CN"/>
              </w:rPr>
              <w:t>2</w:t>
            </w:r>
          </w:p>
        </w:tc>
        <w:tc>
          <w:tcPr>
            <w:tcW w:w="7026" w:type="dxa"/>
            <w:vAlign w:val="center"/>
          </w:tcPr>
          <w:p>
            <w:pPr>
              <w:spacing w:line="240" w:lineRule="auto"/>
              <w:ind w:firstLine="0" w:firstLineChars="0"/>
              <w:jc w:val="lef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对经济普查中表现突出的集体和个人给予表彰和奖励</w:t>
            </w:r>
          </w:p>
        </w:tc>
        <w:tc>
          <w:tcPr>
            <w:tcW w:w="1227" w:type="dxa"/>
            <w:vAlign w:val="center"/>
          </w:tcPr>
          <w:p>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spacing w:line="240" w:lineRule="auto"/>
              <w:ind w:firstLine="0" w:firstLineChars="0"/>
              <w:jc w:val="center"/>
              <w:rPr>
                <w:rFonts w:hint="eastAsia" w:ascii="仿宋_GB2312" w:hAnsi="仿宋_GB2312" w:eastAsia="仿宋_GB2312" w:cs="仿宋_GB2312"/>
                <w:sz w:val="24"/>
                <w:lang w:val="en-US" w:eastAsia="zh-CN"/>
              </w:rPr>
            </w:pPr>
            <w:r>
              <w:rPr>
                <w:rFonts w:hint="eastAsia" w:cs="仿宋_GB2312"/>
                <w:sz w:val="24"/>
                <w:lang w:val="en-US" w:eastAsia="zh-CN"/>
              </w:rPr>
              <w:t>3</w:t>
            </w:r>
          </w:p>
        </w:tc>
        <w:tc>
          <w:tcPr>
            <w:tcW w:w="7026" w:type="dxa"/>
            <w:vAlign w:val="center"/>
          </w:tcPr>
          <w:p>
            <w:pPr>
              <w:spacing w:line="240" w:lineRule="auto"/>
              <w:ind w:firstLine="0" w:firstLineChars="0"/>
              <w:jc w:val="lef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对农业普查违法行为举报有功的个人给予奖励</w:t>
            </w:r>
          </w:p>
        </w:tc>
        <w:tc>
          <w:tcPr>
            <w:tcW w:w="1227" w:type="dxa"/>
            <w:vAlign w:val="center"/>
          </w:tcPr>
          <w:p>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spacing w:line="240" w:lineRule="auto"/>
              <w:ind w:firstLine="0" w:firstLineChars="0"/>
              <w:jc w:val="center"/>
              <w:rPr>
                <w:rFonts w:hint="eastAsia" w:ascii="仿宋_GB2312" w:hAnsi="仿宋_GB2312" w:eastAsia="仿宋_GB2312" w:cs="仿宋_GB2312"/>
                <w:sz w:val="24"/>
                <w:lang w:val="en-US" w:eastAsia="zh-CN"/>
              </w:rPr>
            </w:pPr>
            <w:r>
              <w:rPr>
                <w:rFonts w:hint="eastAsia" w:cs="仿宋_GB2312"/>
                <w:sz w:val="24"/>
                <w:lang w:val="en-US" w:eastAsia="zh-CN"/>
              </w:rPr>
              <w:t>4</w:t>
            </w:r>
          </w:p>
        </w:tc>
        <w:tc>
          <w:tcPr>
            <w:tcW w:w="7026" w:type="dxa"/>
            <w:vAlign w:val="center"/>
          </w:tcPr>
          <w:p>
            <w:pPr>
              <w:spacing w:line="240" w:lineRule="auto"/>
              <w:ind w:firstLine="0" w:firstLineChars="0"/>
              <w:jc w:val="lef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对农业普查中表现突出的集体和个人给予奖励</w:t>
            </w:r>
          </w:p>
        </w:tc>
        <w:tc>
          <w:tcPr>
            <w:tcW w:w="1227" w:type="dxa"/>
            <w:vAlign w:val="center"/>
          </w:tcPr>
          <w:p>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spacing w:line="240" w:lineRule="auto"/>
              <w:ind w:firstLine="0" w:firstLineChars="0"/>
              <w:jc w:val="center"/>
              <w:rPr>
                <w:rFonts w:hint="eastAsia" w:ascii="仿宋_GB2312" w:hAnsi="仿宋_GB2312" w:eastAsia="仿宋_GB2312" w:cs="仿宋_GB2312"/>
                <w:sz w:val="24"/>
                <w:lang w:val="en-US" w:eastAsia="zh-CN"/>
              </w:rPr>
            </w:pPr>
            <w:r>
              <w:rPr>
                <w:rFonts w:hint="eastAsia" w:cs="仿宋_GB2312"/>
                <w:sz w:val="24"/>
                <w:lang w:val="en-US" w:eastAsia="zh-CN"/>
              </w:rPr>
              <w:t>5</w:t>
            </w:r>
          </w:p>
        </w:tc>
        <w:tc>
          <w:tcPr>
            <w:tcW w:w="7026" w:type="dxa"/>
            <w:vAlign w:val="center"/>
          </w:tcPr>
          <w:p>
            <w:pPr>
              <w:spacing w:line="240" w:lineRule="auto"/>
              <w:ind w:firstLine="0" w:firstLineChars="0"/>
              <w:jc w:val="lef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对人口普查中表现突出的集体和个人给予表彰和奖励</w:t>
            </w:r>
          </w:p>
        </w:tc>
        <w:tc>
          <w:tcPr>
            <w:tcW w:w="1227" w:type="dxa"/>
            <w:vAlign w:val="center"/>
          </w:tcPr>
          <w:p>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spacing w:line="240" w:lineRule="auto"/>
              <w:ind w:firstLine="0" w:firstLineChars="0"/>
              <w:jc w:val="center"/>
              <w:rPr>
                <w:rFonts w:hint="eastAsia" w:ascii="仿宋_GB2312" w:hAnsi="仿宋_GB2312" w:eastAsia="仿宋_GB2312" w:cs="仿宋_GB2312"/>
                <w:sz w:val="24"/>
                <w:lang w:val="en-US" w:eastAsia="zh-CN"/>
              </w:rPr>
            </w:pPr>
            <w:r>
              <w:rPr>
                <w:rFonts w:hint="eastAsia" w:cs="仿宋_GB2312"/>
                <w:sz w:val="24"/>
                <w:lang w:val="en-US" w:eastAsia="zh-CN"/>
              </w:rPr>
              <w:t>6</w:t>
            </w:r>
          </w:p>
        </w:tc>
        <w:tc>
          <w:tcPr>
            <w:tcW w:w="7026" w:type="dxa"/>
            <w:vAlign w:val="center"/>
          </w:tcPr>
          <w:p>
            <w:pPr>
              <w:spacing w:line="240" w:lineRule="auto"/>
              <w:ind w:firstLine="0" w:firstLineChars="0"/>
              <w:jc w:val="lef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对统计工作中作出突出贡献、取得显著成绩的单位和个人给予表彰和奖励</w:t>
            </w:r>
          </w:p>
        </w:tc>
        <w:tc>
          <w:tcPr>
            <w:tcW w:w="1227" w:type="dxa"/>
            <w:vAlign w:val="center"/>
          </w:tcPr>
          <w:p>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7026" w:type="dxa"/>
            <w:vAlign w:val="center"/>
          </w:tcPr>
          <w:p>
            <w:pPr>
              <w:spacing w:line="240" w:lineRule="auto"/>
              <w:ind w:firstLine="0" w:firstLineChars="0"/>
              <w:jc w:val="lef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对统计中弄虚作假等违法行为检举有功的单位和个人给予表彰和奖励</w:t>
            </w:r>
          </w:p>
        </w:tc>
        <w:tc>
          <w:tcPr>
            <w:tcW w:w="1227" w:type="dxa"/>
            <w:vAlign w:val="center"/>
          </w:tcPr>
          <w:p>
            <w:pPr>
              <w:spacing w:line="240" w:lineRule="auto"/>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84" w:type="dxa"/>
            <w:gridSpan w:val="3"/>
            <w:vAlign w:val="center"/>
          </w:tcPr>
          <w:p>
            <w:pPr>
              <w:spacing w:line="240" w:lineRule="auto"/>
              <w:ind w:firstLine="0" w:firstLineChars="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十、其他职权（</w:t>
            </w:r>
            <w:r>
              <w:rPr>
                <w:rFonts w:hint="eastAsia" w:cs="仿宋_GB2312"/>
                <w:b/>
                <w:bCs/>
                <w:sz w:val="24"/>
                <w:lang w:val="en-US" w:eastAsia="zh-CN"/>
              </w:rPr>
              <w:t>2</w:t>
            </w:r>
            <w:r>
              <w:rPr>
                <w:rFonts w:hint="eastAsia" w:ascii="仿宋_GB2312" w:hAnsi="仿宋_GB2312" w:eastAsia="仿宋_GB2312" w:cs="仿宋_GB2312"/>
                <w:b/>
                <w:bCs/>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spacing w:line="240" w:lineRule="auto"/>
              <w:ind w:firstLine="0" w:firstLineChars="0"/>
              <w:jc w:val="center"/>
              <w:rPr>
                <w:rFonts w:hint="eastAsia" w:ascii="仿宋_GB2312" w:hAnsi="仿宋_GB2312" w:eastAsia="仿宋_GB2312" w:cs="仿宋_GB2312"/>
                <w:b w:val="0"/>
                <w:bCs w:val="0"/>
                <w:sz w:val="24"/>
                <w:lang w:val="en-US" w:eastAsia="zh-CN"/>
              </w:rPr>
            </w:pPr>
            <w:r>
              <w:rPr>
                <w:rFonts w:hint="eastAsia" w:cs="仿宋_GB2312"/>
                <w:b w:val="0"/>
                <w:bCs w:val="0"/>
                <w:sz w:val="24"/>
                <w:lang w:val="en-US" w:eastAsia="zh-CN"/>
              </w:rPr>
              <w:t>1</w:t>
            </w:r>
          </w:p>
        </w:tc>
        <w:tc>
          <w:tcPr>
            <w:tcW w:w="7026" w:type="dxa"/>
            <w:vAlign w:val="center"/>
          </w:tcPr>
          <w:p>
            <w:pPr>
              <w:spacing w:line="240" w:lineRule="auto"/>
              <w:ind w:firstLine="0" w:firstLineChars="0"/>
              <w:jc w:val="lef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部门公布统计数据备案</w:t>
            </w:r>
          </w:p>
        </w:tc>
        <w:tc>
          <w:tcPr>
            <w:tcW w:w="1227" w:type="dxa"/>
            <w:vAlign w:val="center"/>
          </w:tcPr>
          <w:p>
            <w:pPr>
              <w:spacing w:line="240" w:lineRule="auto"/>
              <w:ind w:firstLine="0" w:firstLineChars="0"/>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1" w:type="dxa"/>
            <w:vAlign w:val="center"/>
          </w:tcPr>
          <w:p>
            <w:pPr>
              <w:spacing w:line="240" w:lineRule="auto"/>
              <w:ind w:firstLine="0" w:firstLineChars="0"/>
              <w:jc w:val="center"/>
              <w:rPr>
                <w:rFonts w:hint="eastAsia" w:ascii="仿宋_GB2312" w:hAnsi="仿宋_GB2312" w:eastAsia="仿宋_GB2312" w:cs="仿宋_GB2312"/>
                <w:b w:val="0"/>
                <w:bCs w:val="0"/>
                <w:sz w:val="24"/>
                <w:lang w:val="en-US" w:eastAsia="zh-CN"/>
              </w:rPr>
            </w:pPr>
            <w:r>
              <w:rPr>
                <w:rFonts w:hint="eastAsia" w:cs="仿宋_GB2312"/>
                <w:b w:val="0"/>
                <w:bCs w:val="0"/>
                <w:sz w:val="24"/>
                <w:lang w:val="en-US" w:eastAsia="zh-CN"/>
              </w:rPr>
              <w:t>2</w:t>
            </w:r>
          </w:p>
        </w:tc>
        <w:tc>
          <w:tcPr>
            <w:tcW w:w="7026" w:type="dxa"/>
            <w:vAlign w:val="center"/>
          </w:tcPr>
          <w:p>
            <w:pPr>
              <w:spacing w:line="240" w:lineRule="auto"/>
              <w:ind w:firstLine="0" w:firstLineChars="0"/>
              <w:jc w:val="left"/>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统计调查项目审批</w:t>
            </w:r>
          </w:p>
        </w:tc>
        <w:tc>
          <w:tcPr>
            <w:tcW w:w="1227" w:type="dxa"/>
            <w:vAlign w:val="center"/>
          </w:tcPr>
          <w:p>
            <w:pPr>
              <w:spacing w:line="240" w:lineRule="auto"/>
              <w:ind w:firstLine="0" w:firstLineChars="0"/>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其他职权</w:t>
            </w:r>
          </w:p>
        </w:tc>
      </w:tr>
    </w:tbl>
    <w:p>
      <w:pPr>
        <w:ind w:firstLine="640"/>
        <w:sectPr>
          <w:footerReference r:id="rId5" w:type="default"/>
          <w:pgSz w:w="11906" w:h="16838"/>
          <w:pgMar w:top="1531" w:right="1474" w:bottom="1531" w:left="1587" w:header="851" w:footer="850" w:gutter="0"/>
          <w:pgNumType w:fmt="numberInDash" w:start="3"/>
          <w:cols w:space="0" w:num="1"/>
          <w:rtlGutter w:val="0"/>
          <w:docGrid w:type="lines" w:linePitch="323" w:charSpace="0"/>
        </w:sectPr>
      </w:pPr>
      <w:bookmarkStart w:id="0" w:name="_GoBack"/>
      <w:bookmarkEnd w:id="0"/>
    </w:p>
    <w:p>
      <w:pPr>
        <w:autoSpaceDN w:val="0"/>
        <w:snapToGrid/>
        <w:spacing w:line="700" w:lineRule="exact"/>
        <w:ind w:firstLine="0" w:firstLineChars="0"/>
        <w:textAlignment w:val="center"/>
        <w:rPr>
          <w:rFonts w:hint="eastAsia" w:ascii="黑体" w:hAnsi="黑体" w:eastAsia="黑体" w:cs="黑体"/>
          <w:szCs w:val="32"/>
          <w:lang w:eastAsia="zh-CN"/>
        </w:rPr>
      </w:pPr>
      <w:r>
        <w:rPr>
          <w:rFonts w:hint="eastAsia" w:ascii="黑体" w:hAnsi="黑体" w:eastAsia="黑体" w:cs="黑体"/>
          <w:szCs w:val="32"/>
        </w:rPr>
        <w:t>附件</w:t>
      </w:r>
      <w:r>
        <w:rPr>
          <w:rFonts w:hint="eastAsia" w:ascii="黑体" w:hAnsi="黑体" w:eastAsia="黑体" w:cs="黑体"/>
          <w:szCs w:val="32"/>
          <w:lang w:val="en-US" w:eastAsia="zh-CN"/>
        </w:rPr>
        <w:t>2</w:t>
      </w:r>
    </w:p>
    <w:p>
      <w:pPr>
        <w:autoSpaceDN w:val="0"/>
        <w:snapToGrid/>
        <w:spacing w:line="700" w:lineRule="exact"/>
        <w:ind w:firstLine="0" w:firstLineChars="0"/>
        <w:jc w:val="center"/>
        <w:textAlignment w:val="center"/>
        <w:rPr>
          <w:rFonts w:hint="eastAsia" w:ascii="方正小标宋_GBK" w:hAnsi="方正小标宋_GBK" w:eastAsia="方正小标宋_GBK" w:cs="方正小标宋_GBK"/>
          <w:sz w:val="44"/>
          <w:szCs w:val="44"/>
          <w:lang w:eastAsia="zh-CN"/>
        </w:rPr>
      </w:pPr>
      <w:r>
        <w:rPr>
          <w:rFonts w:ascii="方正小标宋_GBK" w:hAnsi="方正小标宋_GBK" w:eastAsia="方正小标宋_GBK" w:cs="方正小标宋_GBK"/>
          <w:kern w:val="0"/>
          <w:sz w:val="44"/>
          <w:szCs w:val="44"/>
        </w:rPr>
        <w:t>南阳市</w:t>
      </w:r>
      <w:r>
        <w:rPr>
          <w:rFonts w:hint="eastAsia" w:ascii="方正小标宋_GBK" w:hAnsi="方正小标宋_GBK" w:eastAsia="方正小标宋_GBK" w:cs="方正小标宋_GBK"/>
          <w:kern w:val="0"/>
          <w:sz w:val="44"/>
          <w:szCs w:val="44"/>
        </w:rPr>
        <w:t>统计</w:t>
      </w:r>
      <w:r>
        <w:rPr>
          <w:rFonts w:ascii="方正小标宋_GBK" w:hAnsi="方正小标宋_GBK" w:eastAsia="方正小标宋_GBK" w:cs="方正小标宋_GBK"/>
          <w:kern w:val="0"/>
          <w:sz w:val="44"/>
          <w:szCs w:val="44"/>
        </w:rPr>
        <w:t>局</w:t>
      </w:r>
      <w:r>
        <w:rPr>
          <w:rFonts w:hint="eastAsia" w:ascii="方正小标宋_GBK" w:hAnsi="方正小标宋_GBK" w:eastAsia="方正小标宋_GBK" w:cs="方正小标宋_GBK"/>
          <w:kern w:val="0"/>
          <w:sz w:val="44"/>
          <w:szCs w:val="44"/>
          <w:lang w:eastAsia="zh-CN"/>
        </w:rPr>
        <w:t>调整的权责清单</w:t>
      </w:r>
    </w:p>
    <w:p>
      <w:pPr>
        <w:pStyle w:val="2"/>
        <w:snapToGrid/>
        <w:spacing w:after="0" w:line="400" w:lineRule="exact"/>
        <w:ind w:firstLine="0" w:firstLineChars="0"/>
        <w:rPr>
          <w:rFonts w:cs="仿宋_GB2312"/>
          <w:color w:val="000000"/>
          <w:sz w:val="24"/>
        </w:rPr>
      </w:pPr>
    </w:p>
    <w:tbl>
      <w:tblPr>
        <w:tblStyle w:val="10"/>
        <w:tblW w:w="14128" w:type="dxa"/>
        <w:jc w:val="center"/>
        <w:tblLayout w:type="fixed"/>
        <w:tblCellMar>
          <w:top w:w="0" w:type="dxa"/>
          <w:left w:w="15" w:type="dxa"/>
          <w:bottom w:w="0" w:type="dxa"/>
          <w:right w:w="15" w:type="dxa"/>
        </w:tblCellMar>
      </w:tblPr>
      <w:tblGrid>
        <w:gridCol w:w="999"/>
        <w:gridCol w:w="2041"/>
        <w:gridCol w:w="4876"/>
        <w:gridCol w:w="980"/>
        <w:gridCol w:w="980"/>
        <w:gridCol w:w="2891"/>
        <w:gridCol w:w="1361"/>
      </w:tblGrid>
      <w:tr>
        <w:tblPrEx>
          <w:tblCellMar>
            <w:top w:w="0" w:type="dxa"/>
            <w:left w:w="15" w:type="dxa"/>
            <w:bottom w:w="0" w:type="dxa"/>
            <w:right w:w="15" w:type="dxa"/>
          </w:tblCellMar>
        </w:tblPrEx>
        <w:trPr>
          <w:trHeight w:val="794" w:hRule="atLeast"/>
          <w:jc w:val="center"/>
        </w:trPr>
        <w:tc>
          <w:tcPr>
            <w:tcW w:w="999" w:type="dxa"/>
            <w:tcBorders>
              <w:top w:val="single" w:color="000000" w:sz="4" w:space="0"/>
              <w:left w:val="single" w:color="000000" w:sz="4" w:space="0"/>
              <w:bottom w:val="single" w:color="000000" w:sz="4" w:space="0"/>
              <w:right w:val="single" w:color="000000" w:sz="4" w:space="0"/>
            </w:tcBorders>
            <w:vAlign w:val="center"/>
          </w:tcPr>
          <w:p>
            <w:pPr>
              <w:pStyle w:val="2"/>
              <w:snapToGrid/>
              <w:spacing w:after="0"/>
              <w:ind w:firstLine="0" w:firstLineChars="0"/>
              <w:jc w:val="center"/>
              <w:rPr>
                <w:rFonts w:ascii="黑体" w:hAnsi="黑体" w:eastAsia="黑体" w:cs="黑体"/>
                <w:sz w:val="24"/>
              </w:rPr>
            </w:pPr>
            <w:r>
              <w:rPr>
                <w:rFonts w:hint="eastAsia" w:ascii="黑体" w:hAnsi="黑体" w:eastAsia="黑体" w:cs="黑体"/>
                <w:sz w:val="24"/>
              </w:rPr>
              <w:t>序号</w:t>
            </w:r>
          </w:p>
        </w:tc>
        <w:tc>
          <w:tcPr>
            <w:tcW w:w="2041" w:type="dxa"/>
            <w:tcBorders>
              <w:top w:val="single" w:color="000000" w:sz="4" w:space="0"/>
              <w:left w:val="single" w:color="000000" w:sz="4" w:space="0"/>
              <w:bottom w:val="single" w:color="000000" w:sz="4" w:space="0"/>
              <w:right w:val="single" w:color="000000" w:sz="4" w:space="0"/>
            </w:tcBorders>
            <w:vAlign w:val="center"/>
          </w:tcPr>
          <w:p>
            <w:pPr>
              <w:autoSpaceDN w:val="0"/>
              <w:snapToGrid/>
              <w:spacing w:line="400" w:lineRule="exact"/>
              <w:ind w:firstLine="0" w:firstLineChars="0"/>
              <w:jc w:val="center"/>
              <w:textAlignment w:val="center"/>
              <w:rPr>
                <w:rFonts w:ascii="黑体" w:hAnsi="黑体" w:eastAsia="黑体" w:cs="黑体"/>
                <w:color w:val="000000"/>
                <w:sz w:val="24"/>
              </w:rPr>
            </w:pPr>
            <w:r>
              <w:rPr>
                <w:rFonts w:hint="eastAsia" w:ascii="黑体" w:hAnsi="黑体" w:eastAsia="黑体" w:cs="黑体"/>
                <w:color w:val="000000"/>
                <w:sz w:val="24"/>
              </w:rPr>
              <w:t>项目名称</w:t>
            </w:r>
          </w:p>
        </w:tc>
        <w:tc>
          <w:tcPr>
            <w:tcW w:w="4876" w:type="dxa"/>
            <w:tcBorders>
              <w:top w:val="single" w:color="000000" w:sz="4" w:space="0"/>
              <w:left w:val="single" w:color="000000" w:sz="4" w:space="0"/>
              <w:bottom w:val="single" w:color="000000" w:sz="4" w:space="0"/>
              <w:right w:val="single" w:color="000000" w:sz="4" w:space="0"/>
            </w:tcBorders>
            <w:vAlign w:val="center"/>
          </w:tcPr>
          <w:p>
            <w:pPr>
              <w:autoSpaceDN w:val="0"/>
              <w:snapToGrid/>
              <w:spacing w:line="400" w:lineRule="exact"/>
              <w:ind w:firstLine="0" w:firstLineChars="0"/>
              <w:jc w:val="center"/>
              <w:textAlignment w:val="center"/>
              <w:rPr>
                <w:rFonts w:ascii="黑体" w:hAnsi="黑体" w:eastAsia="黑体" w:cs="黑体"/>
                <w:color w:val="000000"/>
                <w:sz w:val="24"/>
              </w:rPr>
            </w:pPr>
            <w:r>
              <w:rPr>
                <w:rFonts w:hint="eastAsia" w:ascii="黑体" w:hAnsi="黑体" w:eastAsia="黑体" w:cs="黑体"/>
                <w:color w:val="000000"/>
                <w:sz w:val="24"/>
              </w:rPr>
              <w:t>实施依据</w:t>
            </w:r>
          </w:p>
        </w:tc>
        <w:tc>
          <w:tcPr>
            <w:tcW w:w="980" w:type="dxa"/>
            <w:tcBorders>
              <w:top w:val="single" w:color="000000" w:sz="4" w:space="0"/>
              <w:left w:val="single" w:color="000000" w:sz="4" w:space="0"/>
              <w:bottom w:val="single" w:color="000000" w:sz="4" w:space="0"/>
              <w:right w:val="single" w:color="000000" w:sz="4" w:space="0"/>
            </w:tcBorders>
            <w:vAlign w:val="center"/>
          </w:tcPr>
          <w:p>
            <w:pPr>
              <w:autoSpaceDN w:val="0"/>
              <w:snapToGrid/>
              <w:spacing w:line="400" w:lineRule="exact"/>
              <w:ind w:firstLine="0" w:firstLineChars="0"/>
              <w:jc w:val="center"/>
              <w:textAlignment w:val="center"/>
              <w:rPr>
                <w:rFonts w:ascii="黑体" w:hAnsi="黑体" w:eastAsia="黑体" w:cs="黑体"/>
                <w:color w:val="000000"/>
                <w:sz w:val="24"/>
              </w:rPr>
            </w:pPr>
            <w:r>
              <w:rPr>
                <w:rFonts w:hint="eastAsia" w:ascii="黑体" w:hAnsi="黑体" w:eastAsia="黑体" w:cs="黑体"/>
                <w:color w:val="000000"/>
                <w:sz w:val="24"/>
              </w:rPr>
              <w:t>职权</w:t>
            </w:r>
          </w:p>
          <w:p>
            <w:pPr>
              <w:autoSpaceDN w:val="0"/>
              <w:snapToGrid/>
              <w:spacing w:line="400" w:lineRule="exact"/>
              <w:ind w:firstLine="0" w:firstLineChars="0"/>
              <w:jc w:val="center"/>
              <w:textAlignment w:val="center"/>
              <w:rPr>
                <w:rFonts w:ascii="黑体" w:hAnsi="黑体" w:eastAsia="黑体" w:cs="黑体"/>
                <w:color w:val="000000"/>
                <w:sz w:val="24"/>
              </w:rPr>
            </w:pPr>
            <w:r>
              <w:rPr>
                <w:rFonts w:hint="eastAsia" w:ascii="黑体" w:hAnsi="黑体" w:eastAsia="黑体" w:cs="黑体"/>
                <w:color w:val="000000"/>
                <w:sz w:val="24"/>
              </w:rPr>
              <w:t>类别</w:t>
            </w:r>
          </w:p>
        </w:tc>
        <w:tc>
          <w:tcPr>
            <w:tcW w:w="980" w:type="dxa"/>
            <w:tcBorders>
              <w:top w:val="single" w:color="000000" w:sz="4" w:space="0"/>
              <w:left w:val="single" w:color="000000" w:sz="4" w:space="0"/>
              <w:bottom w:val="single" w:color="000000" w:sz="4" w:space="0"/>
              <w:right w:val="single" w:color="000000" w:sz="4" w:space="0"/>
            </w:tcBorders>
            <w:vAlign w:val="center"/>
          </w:tcPr>
          <w:p>
            <w:pPr>
              <w:autoSpaceDN w:val="0"/>
              <w:snapToGrid/>
              <w:spacing w:line="400" w:lineRule="exact"/>
              <w:ind w:firstLine="0" w:firstLineChars="0"/>
              <w:jc w:val="center"/>
              <w:textAlignment w:val="center"/>
              <w:rPr>
                <w:rFonts w:ascii="黑体" w:hAnsi="黑体" w:eastAsia="黑体" w:cs="黑体"/>
                <w:color w:val="000000"/>
                <w:sz w:val="24"/>
              </w:rPr>
            </w:pPr>
            <w:r>
              <w:rPr>
                <w:rFonts w:hint="eastAsia" w:ascii="黑体" w:hAnsi="黑体" w:eastAsia="黑体" w:cs="黑体"/>
                <w:color w:val="000000"/>
                <w:sz w:val="24"/>
              </w:rPr>
              <w:t>办理</w:t>
            </w:r>
          </w:p>
          <w:p>
            <w:pPr>
              <w:autoSpaceDN w:val="0"/>
              <w:snapToGrid/>
              <w:spacing w:line="400" w:lineRule="exact"/>
              <w:ind w:firstLine="0" w:firstLineChars="0"/>
              <w:jc w:val="center"/>
              <w:textAlignment w:val="center"/>
              <w:rPr>
                <w:rFonts w:ascii="黑体" w:hAnsi="黑体" w:eastAsia="黑体" w:cs="黑体"/>
                <w:color w:val="000000"/>
                <w:sz w:val="24"/>
              </w:rPr>
            </w:pPr>
            <w:r>
              <w:rPr>
                <w:rFonts w:hint="eastAsia" w:ascii="黑体" w:hAnsi="黑体" w:eastAsia="黑体" w:cs="黑体"/>
                <w:color w:val="000000"/>
                <w:sz w:val="24"/>
              </w:rPr>
              <w:t>环节</w:t>
            </w:r>
          </w:p>
        </w:tc>
        <w:tc>
          <w:tcPr>
            <w:tcW w:w="2891" w:type="dxa"/>
            <w:tcBorders>
              <w:top w:val="single" w:color="000000" w:sz="4" w:space="0"/>
              <w:left w:val="single" w:color="000000" w:sz="4" w:space="0"/>
              <w:bottom w:val="single" w:color="000000" w:sz="4" w:space="0"/>
              <w:right w:val="single" w:color="000000" w:sz="4" w:space="0"/>
            </w:tcBorders>
            <w:vAlign w:val="center"/>
          </w:tcPr>
          <w:p>
            <w:pPr>
              <w:autoSpaceDN w:val="0"/>
              <w:snapToGrid/>
              <w:spacing w:line="400" w:lineRule="exact"/>
              <w:ind w:firstLine="0" w:firstLineChars="0"/>
              <w:jc w:val="center"/>
              <w:textAlignment w:val="center"/>
              <w:rPr>
                <w:rFonts w:ascii="黑体" w:hAnsi="黑体" w:eastAsia="黑体" w:cs="黑体"/>
                <w:color w:val="000000"/>
                <w:sz w:val="24"/>
              </w:rPr>
            </w:pPr>
            <w:r>
              <w:rPr>
                <w:rFonts w:hint="eastAsia" w:ascii="黑体" w:hAnsi="黑体" w:eastAsia="黑体" w:cs="黑体"/>
                <w:color w:val="000000"/>
                <w:sz w:val="24"/>
              </w:rPr>
              <w:t>责任事项</w:t>
            </w:r>
          </w:p>
        </w:tc>
        <w:tc>
          <w:tcPr>
            <w:tcW w:w="1361" w:type="dxa"/>
            <w:tcBorders>
              <w:top w:val="single" w:color="000000" w:sz="4" w:space="0"/>
              <w:left w:val="single" w:color="000000" w:sz="4" w:space="0"/>
              <w:bottom w:val="single" w:color="000000" w:sz="4" w:space="0"/>
              <w:right w:val="single" w:color="000000" w:sz="4" w:space="0"/>
            </w:tcBorders>
            <w:vAlign w:val="center"/>
          </w:tcPr>
          <w:p>
            <w:pPr>
              <w:autoSpaceDN w:val="0"/>
              <w:snapToGrid/>
              <w:spacing w:line="400" w:lineRule="exact"/>
              <w:ind w:firstLine="0" w:firstLineChars="0"/>
              <w:jc w:val="center"/>
              <w:textAlignment w:val="center"/>
              <w:rPr>
                <w:rFonts w:ascii="黑体" w:hAnsi="黑体" w:eastAsia="黑体" w:cs="黑体"/>
                <w:color w:val="000000"/>
                <w:sz w:val="24"/>
              </w:rPr>
            </w:pPr>
            <w:r>
              <w:rPr>
                <w:rFonts w:hint="eastAsia" w:ascii="黑体" w:hAnsi="黑体" w:eastAsia="黑体" w:cs="黑体"/>
                <w:color w:val="000000"/>
                <w:sz w:val="24"/>
              </w:rPr>
              <w:t>责任科室</w:t>
            </w:r>
          </w:p>
        </w:tc>
      </w:tr>
      <w:tr>
        <w:tblPrEx>
          <w:tblCellMar>
            <w:top w:w="0" w:type="dxa"/>
            <w:left w:w="15" w:type="dxa"/>
            <w:bottom w:w="0" w:type="dxa"/>
            <w:right w:w="15" w:type="dxa"/>
          </w:tblCellMar>
        </w:tblPrEx>
        <w:trPr>
          <w:trHeight w:val="3685" w:hRule="atLeast"/>
          <w:jc w:val="center"/>
        </w:trPr>
        <w:tc>
          <w:tcPr>
            <w:tcW w:w="999" w:type="dxa"/>
            <w:vMerge w:val="restart"/>
            <w:tcBorders>
              <w:top w:val="single" w:color="000000" w:sz="4" w:space="0"/>
              <w:left w:val="single" w:color="000000" w:sz="4" w:space="0"/>
              <w:right w:val="single" w:color="000000" w:sz="4" w:space="0"/>
            </w:tcBorders>
            <w:vAlign w:val="center"/>
          </w:tcPr>
          <w:p>
            <w:pPr>
              <w:autoSpaceDN w:val="0"/>
              <w:ind w:firstLine="0" w:firstLineChars="0"/>
              <w:jc w:val="center"/>
              <w:textAlignment w:val="center"/>
              <w:rPr>
                <w:color w:val="000000"/>
                <w:sz w:val="24"/>
              </w:rPr>
            </w:pPr>
            <w:r>
              <w:rPr>
                <w:color w:val="000000"/>
                <w:sz w:val="24"/>
              </w:rPr>
              <w:t>1</w:t>
            </w:r>
          </w:p>
        </w:tc>
        <w:tc>
          <w:tcPr>
            <w:tcW w:w="2041" w:type="dxa"/>
            <w:tcBorders>
              <w:top w:val="single" w:color="000000" w:sz="4" w:space="0"/>
              <w:left w:val="single" w:color="000000" w:sz="4" w:space="0"/>
              <w:bottom w:val="single" w:color="000000" w:sz="4" w:space="0"/>
              <w:right w:val="single" w:color="000000" w:sz="4" w:space="0"/>
            </w:tcBorders>
            <w:vAlign w:val="center"/>
          </w:tcPr>
          <w:p>
            <w:pPr>
              <w:autoSpaceDN w:val="0"/>
              <w:ind w:firstLine="960" w:firstLineChars="400"/>
              <w:jc w:val="center"/>
              <w:textAlignment w:val="center"/>
              <w:rPr>
                <w:color w:val="000000"/>
                <w:sz w:val="24"/>
              </w:rPr>
            </w:pPr>
            <w:r>
              <w:rPr>
                <w:rFonts w:hint="eastAsia"/>
                <w:color w:val="000000"/>
                <w:sz w:val="24"/>
              </w:rPr>
              <w:t>无</w:t>
            </w:r>
          </w:p>
        </w:tc>
        <w:tc>
          <w:tcPr>
            <w:tcW w:w="4876" w:type="dxa"/>
            <w:tcBorders>
              <w:top w:val="single" w:color="000000" w:sz="4" w:space="0"/>
              <w:left w:val="single" w:color="000000" w:sz="4" w:space="0"/>
              <w:bottom w:val="single" w:color="000000" w:sz="4" w:space="0"/>
              <w:right w:val="single" w:color="000000" w:sz="4" w:space="0"/>
            </w:tcBorders>
            <w:vAlign w:val="center"/>
          </w:tcPr>
          <w:p>
            <w:pPr>
              <w:autoSpaceDN w:val="0"/>
              <w:ind w:firstLine="0" w:firstLineChars="0"/>
              <w:jc w:val="center"/>
              <w:textAlignment w:val="center"/>
              <w:rPr>
                <w:color w:val="000000"/>
                <w:sz w:val="24"/>
              </w:rPr>
            </w:pPr>
            <w:r>
              <w:rPr>
                <w:rFonts w:hint="eastAsia"/>
                <w:color w:val="000000"/>
                <w:sz w:val="24"/>
              </w:rPr>
              <w:t>无</w:t>
            </w:r>
          </w:p>
        </w:tc>
        <w:tc>
          <w:tcPr>
            <w:tcW w:w="980" w:type="dxa"/>
            <w:tcBorders>
              <w:top w:val="single" w:color="000000" w:sz="4" w:space="0"/>
              <w:left w:val="single" w:color="000000" w:sz="4" w:space="0"/>
              <w:bottom w:val="single" w:color="000000" w:sz="4" w:space="0"/>
              <w:right w:val="single" w:color="000000" w:sz="4" w:space="0"/>
            </w:tcBorders>
            <w:vAlign w:val="center"/>
          </w:tcPr>
          <w:p>
            <w:pPr>
              <w:autoSpaceDN w:val="0"/>
              <w:ind w:firstLine="0" w:firstLineChars="0"/>
              <w:jc w:val="center"/>
              <w:textAlignment w:val="center"/>
              <w:rPr>
                <w:color w:val="000000"/>
                <w:sz w:val="24"/>
              </w:rPr>
            </w:pPr>
            <w:r>
              <w:rPr>
                <w:rFonts w:hint="eastAsia"/>
                <w:color w:val="000000"/>
                <w:sz w:val="24"/>
              </w:rPr>
              <w:t>无</w:t>
            </w:r>
          </w:p>
        </w:tc>
        <w:tc>
          <w:tcPr>
            <w:tcW w:w="980" w:type="dxa"/>
            <w:tcBorders>
              <w:top w:val="single" w:color="000000" w:sz="4" w:space="0"/>
              <w:left w:val="single" w:color="000000" w:sz="4" w:space="0"/>
              <w:bottom w:val="single" w:color="000000" w:sz="4" w:space="0"/>
              <w:right w:val="single" w:color="000000" w:sz="4" w:space="0"/>
            </w:tcBorders>
            <w:vAlign w:val="center"/>
          </w:tcPr>
          <w:p>
            <w:pPr>
              <w:autoSpaceDN w:val="0"/>
              <w:ind w:firstLine="0" w:firstLineChars="0"/>
              <w:jc w:val="center"/>
              <w:textAlignment w:val="center"/>
              <w:rPr>
                <w:rFonts w:ascii="宋体" w:hAnsi="宋体" w:eastAsia="宋体"/>
                <w:color w:val="000000"/>
                <w:sz w:val="24"/>
              </w:rPr>
            </w:pPr>
            <w:r>
              <w:rPr>
                <w:rFonts w:hint="eastAsia"/>
                <w:color w:val="000000"/>
                <w:sz w:val="24"/>
              </w:rPr>
              <w:t>无</w:t>
            </w:r>
          </w:p>
        </w:tc>
        <w:tc>
          <w:tcPr>
            <w:tcW w:w="2891" w:type="dxa"/>
            <w:tcBorders>
              <w:top w:val="single" w:color="000000" w:sz="4" w:space="0"/>
              <w:left w:val="single" w:color="000000" w:sz="4" w:space="0"/>
              <w:bottom w:val="single" w:color="000000" w:sz="4" w:space="0"/>
              <w:right w:val="single" w:color="000000" w:sz="4" w:space="0"/>
            </w:tcBorders>
            <w:vAlign w:val="center"/>
          </w:tcPr>
          <w:p>
            <w:pPr>
              <w:autoSpaceDN w:val="0"/>
              <w:ind w:firstLine="0" w:firstLineChars="0"/>
              <w:jc w:val="center"/>
              <w:textAlignment w:val="center"/>
              <w:rPr>
                <w:color w:val="000000"/>
                <w:sz w:val="24"/>
              </w:rPr>
            </w:pPr>
            <w:r>
              <w:rPr>
                <w:rFonts w:hint="eastAsia"/>
                <w:color w:val="000000"/>
                <w:sz w:val="24"/>
              </w:rPr>
              <w:t>无</w:t>
            </w:r>
          </w:p>
        </w:tc>
        <w:tc>
          <w:tcPr>
            <w:tcW w:w="1361" w:type="dxa"/>
            <w:tcBorders>
              <w:top w:val="single" w:color="000000" w:sz="4" w:space="0"/>
              <w:left w:val="single" w:color="000000" w:sz="4" w:space="0"/>
              <w:bottom w:val="single" w:color="000000" w:sz="4" w:space="0"/>
              <w:right w:val="single" w:color="000000" w:sz="4" w:space="0"/>
            </w:tcBorders>
            <w:vAlign w:val="center"/>
          </w:tcPr>
          <w:p>
            <w:pPr>
              <w:autoSpaceDN w:val="0"/>
              <w:ind w:firstLine="0" w:firstLineChars="0"/>
              <w:jc w:val="center"/>
              <w:textAlignment w:val="center"/>
              <w:rPr>
                <w:color w:val="000000"/>
                <w:sz w:val="24"/>
              </w:rPr>
            </w:pPr>
            <w:r>
              <w:rPr>
                <w:rFonts w:hint="eastAsia"/>
                <w:color w:val="000000"/>
                <w:sz w:val="24"/>
              </w:rPr>
              <w:t>无</w:t>
            </w:r>
          </w:p>
        </w:tc>
      </w:tr>
      <w:tr>
        <w:tblPrEx>
          <w:tblCellMar>
            <w:top w:w="0" w:type="dxa"/>
            <w:left w:w="15" w:type="dxa"/>
            <w:bottom w:w="0" w:type="dxa"/>
            <w:right w:w="15" w:type="dxa"/>
          </w:tblCellMar>
        </w:tblPrEx>
        <w:trPr>
          <w:trHeight w:val="680" w:hRule="atLeast"/>
          <w:jc w:val="center"/>
        </w:trPr>
        <w:tc>
          <w:tcPr>
            <w:tcW w:w="999" w:type="dxa"/>
            <w:vMerge w:val="continue"/>
            <w:tcBorders>
              <w:left w:val="single" w:color="000000" w:sz="4" w:space="0"/>
              <w:right w:val="single" w:color="000000" w:sz="4" w:space="0"/>
            </w:tcBorders>
            <w:vAlign w:val="center"/>
          </w:tcPr>
          <w:p>
            <w:pPr>
              <w:autoSpaceDN w:val="0"/>
              <w:ind w:firstLine="0" w:firstLineChars="0"/>
              <w:jc w:val="center"/>
              <w:textAlignment w:val="center"/>
              <w:rPr>
                <w:color w:val="000000"/>
                <w:sz w:val="24"/>
              </w:rPr>
            </w:pPr>
          </w:p>
        </w:tc>
        <w:tc>
          <w:tcPr>
            <w:tcW w:w="13129" w:type="dxa"/>
            <w:gridSpan w:val="6"/>
            <w:tcBorders>
              <w:top w:val="single" w:color="000000" w:sz="4" w:space="0"/>
              <w:left w:val="single" w:color="000000" w:sz="4" w:space="0"/>
              <w:bottom w:val="single" w:color="000000" w:sz="4" w:space="0"/>
              <w:right w:val="single" w:color="000000" w:sz="4" w:space="0"/>
            </w:tcBorders>
            <w:vAlign w:val="center"/>
          </w:tcPr>
          <w:p>
            <w:pPr>
              <w:autoSpaceDN w:val="0"/>
              <w:ind w:firstLine="0" w:firstLineChars="0"/>
              <w:jc w:val="left"/>
              <w:textAlignment w:val="center"/>
              <w:rPr>
                <w:rFonts w:ascii="黑体" w:hAnsi="黑体" w:eastAsia="黑体" w:cs="黑体"/>
                <w:color w:val="000000"/>
                <w:sz w:val="24"/>
              </w:rPr>
            </w:pPr>
            <w:r>
              <w:rPr>
                <w:rFonts w:hint="eastAsia" w:ascii="黑体" w:hAnsi="黑体" w:eastAsia="黑体" w:cs="黑体"/>
                <w:color w:val="000000"/>
                <w:sz w:val="24"/>
              </w:rPr>
              <w:t>拟调整情况：</w:t>
            </w:r>
          </w:p>
        </w:tc>
      </w:tr>
      <w:tr>
        <w:tblPrEx>
          <w:tblCellMar>
            <w:top w:w="0" w:type="dxa"/>
            <w:left w:w="15" w:type="dxa"/>
            <w:bottom w:w="0" w:type="dxa"/>
            <w:right w:w="15" w:type="dxa"/>
          </w:tblCellMar>
        </w:tblPrEx>
        <w:trPr>
          <w:trHeight w:val="680" w:hRule="atLeast"/>
          <w:jc w:val="center"/>
        </w:trPr>
        <w:tc>
          <w:tcPr>
            <w:tcW w:w="999" w:type="dxa"/>
            <w:vMerge w:val="continue"/>
            <w:tcBorders>
              <w:left w:val="single" w:color="000000" w:sz="4" w:space="0"/>
              <w:bottom w:val="single" w:color="auto" w:sz="4" w:space="0"/>
              <w:right w:val="single" w:color="000000" w:sz="4" w:space="0"/>
            </w:tcBorders>
            <w:vAlign w:val="center"/>
          </w:tcPr>
          <w:p>
            <w:pPr>
              <w:autoSpaceDN w:val="0"/>
              <w:ind w:firstLine="0" w:firstLineChars="0"/>
              <w:jc w:val="center"/>
              <w:textAlignment w:val="center"/>
              <w:rPr>
                <w:color w:val="000000"/>
                <w:sz w:val="24"/>
              </w:rPr>
            </w:pPr>
          </w:p>
        </w:tc>
        <w:tc>
          <w:tcPr>
            <w:tcW w:w="13129" w:type="dxa"/>
            <w:gridSpan w:val="6"/>
            <w:tcBorders>
              <w:top w:val="single" w:color="000000" w:sz="4" w:space="0"/>
              <w:left w:val="single" w:color="000000" w:sz="4" w:space="0"/>
              <w:bottom w:val="single" w:color="000000" w:sz="4" w:space="0"/>
              <w:right w:val="single" w:color="000000" w:sz="4" w:space="0"/>
            </w:tcBorders>
            <w:vAlign w:val="center"/>
          </w:tcPr>
          <w:p>
            <w:pPr>
              <w:autoSpaceDN w:val="0"/>
              <w:ind w:firstLine="0" w:firstLineChars="0"/>
              <w:jc w:val="left"/>
              <w:textAlignment w:val="center"/>
              <w:rPr>
                <w:rFonts w:ascii="黑体" w:hAnsi="黑体" w:eastAsia="黑体" w:cs="黑体"/>
                <w:color w:val="000000"/>
                <w:sz w:val="24"/>
              </w:rPr>
            </w:pPr>
            <w:r>
              <w:rPr>
                <w:rFonts w:hint="eastAsia" w:ascii="黑体" w:hAnsi="黑体" w:eastAsia="黑体" w:cs="黑体"/>
                <w:color w:val="000000"/>
                <w:sz w:val="24"/>
              </w:rPr>
              <w:t>拟调整原因：</w:t>
            </w:r>
          </w:p>
        </w:tc>
      </w:tr>
    </w:tbl>
    <w:p>
      <w:pPr>
        <w:autoSpaceDN w:val="0"/>
        <w:spacing w:line="240" w:lineRule="auto"/>
        <w:ind w:firstLine="0" w:firstLineChars="0"/>
        <w:textAlignment w:val="center"/>
      </w:pPr>
    </w:p>
    <w:p>
      <w:pPr>
        <w:pStyle w:val="2"/>
        <w:ind w:firstLine="480"/>
        <w:rPr>
          <w:rFonts w:cs="仿宋_GB2312"/>
          <w:sz w:val="24"/>
        </w:rPr>
        <w:sectPr>
          <w:headerReference r:id="rId6" w:type="default"/>
          <w:footerReference r:id="rId7" w:type="default"/>
          <w:pgSz w:w="16838" w:h="11906" w:orient="landscape"/>
          <w:pgMar w:top="1928" w:right="1531" w:bottom="1531" w:left="1531" w:header="851" w:footer="1134" w:gutter="0"/>
          <w:pgNumType w:fmt="numberInDash"/>
          <w:cols w:space="720" w:num="1"/>
          <w:docGrid w:type="lines" w:linePitch="313" w:charSpace="0"/>
        </w:sectPr>
      </w:pPr>
    </w:p>
    <w:p>
      <w:pPr>
        <w:autoSpaceDN w:val="0"/>
        <w:snapToGrid/>
        <w:spacing w:line="700" w:lineRule="exact"/>
        <w:ind w:firstLine="0" w:firstLineChars="0"/>
        <w:textAlignment w:val="center"/>
        <w:rPr>
          <w:rFonts w:ascii="黑体" w:hAnsi="黑体" w:eastAsia="黑体" w:cs="黑体"/>
          <w:szCs w:val="32"/>
        </w:rPr>
      </w:pPr>
      <w:r>
        <w:rPr>
          <w:rFonts w:hint="eastAsia" w:ascii="黑体" w:hAnsi="黑体" w:eastAsia="黑体" w:cs="黑体"/>
          <w:szCs w:val="32"/>
        </w:rPr>
        <w:t>附件3</w:t>
      </w:r>
    </w:p>
    <w:p>
      <w:pPr>
        <w:widowControl/>
        <w:snapToGrid/>
        <w:spacing w:line="240" w:lineRule="auto"/>
        <w:ind w:firstLine="0" w:firstLineChars="0"/>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rPr>
        <w:t>南阳市统计局保留的权责清单</w:t>
      </w:r>
    </w:p>
    <w:tbl>
      <w:tblPr>
        <w:tblStyle w:val="10"/>
        <w:tblW w:w="14979" w:type="dxa"/>
        <w:tblInd w:w="-462" w:type="dxa"/>
        <w:tblLayout w:type="fixed"/>
        <w:tblCellMar>
          <w:top w:w="0" w:type="dxa"/>
          <w:left w:w="108" w:type="dxa"/>
          <w:bottom w:w="0" w:type="dxa"/>
          <w:right w:w="108" w:type="dxa"/>
        </w:tblCellMar>
      </w:tblPr>
      <w:tblGrid>
        <w:gridCol w:w="402"/>
        <w:gridCol w:w="1014"/>
        <w:gridCol w:w="5704"/>
        <w:gridCol w:w="634"/>
        <w:gridCol w:w="646"/>
        <w:gridCol w:w="3368"/>
        <w:gridCol w:w="2577"/>
        <w:gridCol w:w="634"/>
      </w:tblGrid>
      <w:tr>
        <w:tblPrEx>
          <w:tblCellMar>
            <w:top w:w="0" w:type="dxa"/>
            <w:left w:w="108" w:type="dxa"/>
            <w:bottom w:w="0" w:type="dxa"/>
            <w:right w:w="108" w:type="dxa"/>
          </w:tblCellMar>
        </w:tblPrEx>
        <w:trPr>
          <w:trHeight w:val="762" w:hRule="atLeast"/>
          <w:tblHeader/>
        </w:trPr>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int="eastAsia" w:ascii="黑体" w:hAnsi="黑体" w:eastAsia="黑体" w:cs="黑体"/>
                <w:kern w:val="0"/>
                <w:sz w:val="18"/>
                <w:szCs w:val="18"/>
              </w:rPr>
            </w:pPr>
            <w:r>
              <w:rPr>
                <w:rFonts w:hint="eastAsia" w:ascii="黑体" w:hAnsi="黑体" w:eastAsia="黑体" w:cs="黑体"/>
                <w:kern w:val="0"/>
                <w:sz w:val="18"/>
                <w:szCs w:val="18"/>
              </w:rPr>
              <w:t>序号</w:t>
            </w:r>
          </w:p>
        </w:tc>
        <w:tc>
          <w:tcPr>
            <w:tcW w:w="1014" w:type="dxa"/>
            <w:tcBorders>
              <w:top w:val="single" w:color="auto" w:sz="4" w:space="0"/>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int="eastAsia" w:ascii="黑体" w:hAnsi="黑体" w:eastAsia="黑体" w:cs="黑体"/>
                <w:kern w:val="0"/>
                <w:sz w:val="18"/>
                <w:szCs w:val="18"/>
              </w:rPr>
            </w:pPr>
            <w:r>
              <w:rPr>
                <w:rFonts w:hint="eastAsia" w:ascii="黑体" w:hAnsi="黑体" w:eastAsia="黑体" w:cs="黑体"/>
                <w:kern w:val="0"/>
                <w:sz w:val="18"/>
                <w:szCs w:val="18"/>
              </w:rPr>
              <w:t>项目名称</w:t>
            </w:r>
          </w:p>
        </w:tc>
        <w:tc>
          <w:tcPr>
            <w:tcW w:w="5704" w:type="dxa"/>
            <w:tcBorders>
              <w:top w:val="single" w:color="auto" w:sz="4" w:space="0"/>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int="eastAsia" w:ascii="黑体" w:hAnsi="黑体" w:eastAsia="黑体" w:cs="黑体"/>
                <w:kern w:val="0"/>
                <w:sz w:val="18"/>
                <w:szCs w:val="18"/>
              </w:rPr>
            </w:pPr>
            <w:r>
              <w:rPr>
                <w:rFonts w:hint="eastAsia" w:ascii="黑体" w:hAnsi="黑体" w:eastAsia="黑体" w:cs="黑体"/>
                <w:kern w:val="0"/>
                <w:sz w:val="18"/>
                <w:szCs w:val="18"/>
              </w:rPr>
              <w:t>实施依据</w:t>
            </w:r>
          </w:p>
        </w:tc>
        <w:tc>
          <w:tcPr>
            <w:tcW w:w="634" w:type="dxa"/>
            <w:tcBorders>
              <w:top w:val="single" w:color="auto" w:sz="4" w:space="0"/>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int="eastAsia" w:ascii="黑体" w:hAnsi="黑体" w:eastAsia="黑体" w:cs="黑体"/>
                <w:kern w:val="0"/>
                <w:sz w:val="18"/>
                <w:szCs w:val="18"/>
              </w:rPr>
            </w:pPr>
            <w:r>
              <w:rPr>
                <w:rFonts w:hint="eastAsia" w:ascii="黑体" w:hAnsi="黑体" w:eastAsia="黑体" w:cs="黑体"/>
                <w:kern w:val="0"/>
                <w:sz w:val="18"/>
                <w:szCs w:val="18"/>
              </w:rPr>
              <w:t>职权类别</w:t>
            </w: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int="eastAsia" w:ascii="黑体" w:hAnsi="黑体" w:eastAsia="黑体" w:cs="黑体"/>
                <w:kern w:val="0"/>
                <w:sz w:val="18"/>
                <w:szCs w:val="18"/>
              </w:rPr>
            </w:pPr>
            <w:r>
              <w:rPr>
                <w:rFonts w:hint="eastAsia" w:ascii="黑体" w:hAnsi="黑体" w:eastAsia="黑体" w:cs="黑体"/>
                <w:kern w:val="0"/>
                <w:sz w:val="18"/>
                <w:szCs w:val="18"/>
              </w:rPr>
              <w:t>办理</w:t>
            </w:r>
            <w:r>
              <w:rPr>
                <w:rFonts w:hint="eastAsia" w:ascii="黑体" w:hAnsi="黑体" w:eastAsia="黑体" w:cs="黑体"/>
                <w:kern w:val="0"/>
                <w:sz w:val="18"/>
                <w:szCs w:val="18"/>
              </w:rPr>
              <w:br w:type="textWrapping"/>
            </w:r>
            <w:r>
              <w:rPr>
                <w:rFonts w:hint="eastAsia" w:ascii="黑体" w:hAnsi="黑体" w:eastAsia="黑体" w:cs="黑体"/>
                <w:kern w:val="0"/>
                <w:sz w:val="18"/>
                <w:szCs w:val="18"/>
              </w:rPr>
              <w:t>环节</w:t>
            </w:r>
          </w:p>
        </w:tc>
        <w:tc>
          <w:tcPr>
            <w:tcW w:w="3368" w:type="dxa"/>
            <w:tcBorders>
              <w:top w:val="single" w:color="auto" w:sz="4" w:space="0"/>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int="eastAsia" w:ascii="黑体" w:hAnsi="黑体" w:eastAsia="黑体" w:cs="黑体"/>
                <w:kern w:val="0"/>
                <w:sz w:val="18"/>
                <w:szCs w:val="18"/>
              </w:rPr>
            </w:pPr>
            <w:r>
              <w:rPr>
                <w:rFonts w:hint="eastAsia" w:ascii="黑体" w:hAnsi="黑体" w:eastAsia="黑体" w:cs="黑体"/>
                <w:kern w:val="0"/>
                <w:sz w:val="18"/>
                <w:szCs w:val="18"/>
              </w:rPr>
              <w:t>责任事项</w:t>
            </w:r>
          </w:p>
        </w:tc>
        <w:tc>
          <w:tcPr>
            <w:tcW w:w="2577" w:type="dxa"/>
            <w:tcBorders>
              <w:top w:val="single" w:color="auto" w:sz="4" w:space="0"/>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int="eastAsia" w:ascii="黑体" w:hAnsi="黑体" w:eastAsia="黑体" w:cs="黑体"/>
                <w:kern w:val="0"/>
                <w:sz w:val="18"/>
                <w:szCs w:val="18"/>
              </w:rPr>
            </w:pPr>
            <w:r>
              <w:rPr>
                <w:rFonts w:hint="eastAsia" w:ascii="黑体" w:hAnsi="黑体" w:eastAsia="黑体" w:cs="黑体"/>
                <w:kern w:val="0"/>
                <w:sz w:val="18"/>
                <w:szCs w:val="18"/>
              </w:rPr>
              <w:t>追责情形</w:t>
            </w:r>
          </w:p>
        </w:tc>
        <w:tc>
          <w:tcPr>
            <w:tcW w:w="634" w:type="dxa"/>
            <w:tcBorders>
              <w:top w:val="single" w:color="auto" w:sz="4" w:space="0"/>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int="eastAsia" w:ascii="黑体" w:hAnsi="黑体" w:eastAsia="黑体" w:cs="黑体"/>
                <w:kern w:val="0"/>
                <w:sz w:val="18"/>
                <w:szCs w:val="18"/>
              </w:rPr>
            </w:pPr>
            <w:r>
              <w:rPr>
                <w:rFonts w:hint="eastAsia" w:ascii="黑体" w:hAnsi="黑体" w:eastAsia="黑体" w:cs="黑体"/>
                <w:kern w:val="0"/>
                <w:sz w:val="18"/>
                <w:szCs w:val="18"/>
              </w:rPr>
              <w:t>责任处室</w:t>
            </w:r>
          </w:p>
        </w:tc>
      </w:tr>
      <w:tr>
        <w:tblPrEx>
          <w:tblCellMar>
            <w:top w:w="0" w:type="dxa"/>
            <w:left w:w="108" w:type="dxa"/>
            <w:bottom w:w="0" w:type="dxa"/>
            <w:right w:w="108" w:type="dxa"/>
          </w:tblCellMar>
        </w:tblPrEx>
        <w:trPr>
          <w:trHeight w:val="113" w:hRule="atLeast"/>
        </w:trPr>
        <w:tc>
          <w:tcPr>
            <w:tcW w:w="40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1</w:t>
            </w:r>
          </w:p>
        </w:tc>
        <w:tc>
          <w:tcPr>
            <w:tcW w:w="10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统计调查对象拒绝提供统计资料、拒绝答复统计法律文书、阻碍统计调查、伪造、编造、篡改统计资料、迟报统计资料，提供不真实统计资料等违法行为的处罚</w:t>
            </w:r>
          </w:p>
        </w:tc>
        <w:tc>
          <w:tcPr>
            <w:tcW w:w="5704"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auto"/>
              <w:rPr>
                <w:rFonts w:hAnsi="宋体" w:cs="宋体"/>
                <w:kern w:val="0"/>
                <w:sz w:val="18"/>
                <w:szCs w:val="18"/>
              </w:rPr>
            </w:pPr>
            <w:r>
              <w:rPr>
                <w:rFonts w:hint="eastAsia" w:hAnsi="宋体" w:cs="宋体"/>
                <w:kern w:val="0"/>
                <w:sz w:val="18"/>
                <w:szCs w:val="18"/>
              </w:rPr>
              <w:t>《中华人民共和国统计法》（2009年6月27日第十一届全国人民代表大会常务委员会第九次会议修订）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 （一）拒绝提供统计资料或者经催报后仍未按时提供统计资料的； （二）提供不真实或者不完整的统计资料的； （三）拒绝答复或者不如实答复统计检查查询书的； （四）拒绝、阻碍统计调查、统计检查的； （五）转移、隐匿、篡改、毁弃或者拒绝提供原始记录和凭证、统计台账、统计调查表及其他相关证明和资料的。 企业事业单位或者其他组织有前款所列行为之一的，可以并处五万元以下的罚款；情节严重的，并处五万元以上二十万元以下的罚款。 个体工商户有本条第一款所列行为之一的，由县级以上人民政府统计机构责令改正，给予警告，可以并处一万元以下的罚款。</w:t>
            </w:r>
            <w:r>
              <w:rPr>
                <w:rFonts w:hint="eastAsia" w:hAnsi="宋体" w:cs="宋体"/>
                <w:kern w:val="0"/>
                <w:sz w:val="18"/>
                <w:szCs w:val="18"/>
              </w:rPr>
              <w:br w:type="textWrapping"/>
            </w:r>
            <w:r>
              <w:rPr>
                <w:rFonts w:hint="eastAsia" w:hAnsi="宋体" w:cs="宋体"/>
                <w:kern w:val="0"/>
                <w:sz w:val="18"/>
                <w:szCs w:val="18"/>
              </w:rPr>
              <w:t xml:space="preserve"> 《全国经济普查条例（2018年修订）》(中华人民共和国国务院令第702号），2018年8月11日公布实施。)第三十六条:经济普查对象（个体经营户除外）有下列行为之一的，由县级以上人民政府统计机构责令改正，给予警告，可以予以通报；其直接负责的主管人员和其他直接责任人员属于国家工作人员的，依法给予处分：（一）拒绝或者妨碍接受经济普查机构、经济普查人员依法进行的调查的；（二）提供虚假或者不完整的经济普查资料的；（三）未按时提供与经济普查有关的资料，经催报后仍未提供的。企业事业单位或者其他组织有前款所列行为之一的，可以并处5万元以下的罚款；情节严重的，并处5万元以上20万元以下的罚款。个体经营户有本条第一款所列行为之一的，由县级以上人民政府统计机构责令改正，给予警告，可以并处1万元以下的罚款。         </w:t>
            </w:r>
            <w:r>
              <w:rPr>
                <w:rFonts w:hint="eastAsia" w:hAnsi="宋体" w:cs="宋体"/>
                <w:kern w:val="0"/>
                <w:sz w:val="18"/>
                <w:szCs w:val="18"/>
              </w:rPr>
              <w:br w:type="textWrapping"/>
            </w:r>
            <w:r>
              <w:rPr>
                <w:rFonts w:hint="eastAsia" w:hAnsi="宋体" w:cs="宋体"/>
                <w:kern w:val="0"/>
                <w:sz w:val="18"/>
                <w:szCs w:val="18"/>
              </w:rPr>
              <w:t>《全国农业普查条例》( 中华人民共和国国务院令第473号)三十九条:农业普查对象有下列违法行为之一的，由县级以上人民政府统计机构或者国家统计局派出的调查队责令改正，给予通报批评；情节严重的，对负有直接责任的主管人员和其他直接责任人员依法给予行政处分或者纪律处分：（一）拒绝或者妨碍普查办公室、普查人员依法进行调查的；（二）提供虚假或者不完整的农业普查资料的；（三）未按时提供与农业普查有关的资料，经催报后仍未提供的；（四）拒绝、推诿和阻挠依法进行的农业普查执法检查的；（五）在接受农业普查执法检查时，转移、隐匿、篡改、毁弃原始记录、统计台账、普查表、会计资料及其他相关资料的。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r>
              <w:rPr>
                <w:rFonts w:hint="eastAsia" w:hAnsi="宋体" w:cs="宋体"/>
                <w:kern w:val="0"/>
                <w:sz w:val="18"/>
                <w:szCs w:val="18"/>
              </w:rPr>
              <w:br w:type="textWrapping"/>
            </w:r>
            <w:r>
              <w:rPr>
                <w:rFonts w:hint="eastAsia" w:hAnsi="宋体" w:cs="宋体"/>
                <w:kern w:val="0"/>
                <w:sz w:val="18"/>
                <w:szCs w:val="18"/>
              </w:rPr>
              <w:t xml:space="preserve">　　农业普查对象有本条第一款第（一）、（四）项所列违法行为之一的，由公安机关依法给予治安管理处罚。                    </w:t>
            </w:r>
            <w:r>
              <w:rPr>
                <w:rFonts w:hint="eastAsia" w:hAnsi="宋体" w:cs="宋体"/>
                <w:kern w:val="0"/>
                <w:sz w:val="18"/>
                <w:szCs w:val="18"/>
              </w:rPr>
              <w:br w:type="textWrapping"/>
            </w:r>
            <w:r>
              <w:rPr>
                <w:rFonts w:hint="eastAsia" w:hAnsi="宋体" w:cs="宋体"/>
                <w:kern w:val="0"/>
                <w:sz w:val="18"/>
                <w:szCs w:val="18"/>
              </w:rPr>
              <w:t>《全国人口普查条例》(中华人民共和国国务院令第576号)第三十六条  人口普查对象拒绝提供人口普查所需的资料，或者提供不真实、不完整的人口普查资料的，由县级以上人民政府统计机构责令改正，予以批评教育。　人口普查对象阻碍普查机构和普查人员依法开展人口普查工作，构成违反治安管理行为的，由公安机关依法给予处罚。</w:t>
            </w:r>
            <w:r>
              <w:rPr>
                <w:rFonts w:hint="eastAsia" w:hAnsi="宋体" w:cs="宋体"/>
                <w:kern w:val="0"/>
                <w:sz w:val="18"/>
                <w:szCs w:val="18"/>
              </w:rPr>
              <w:br w:type="textWrapping"/>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行政处罚</w:t>
            </w:r>
          </w:p>
        </w:tc>
        <w:tc>
          <w:tcPr>
            <w:tcW w:w="646" w:type="dxa"/>
            <w:tcBorders>
              <w:top w:val="nil"/>
              <w:left w:val="nil"/>
              <w:bottom w:val="single" w:color="auto" w:sz="4" w:space="0"/>
              <w:right w:val="single" w:color="auto" w:sz="4" w:space="0"/>
            </w:tcBorders>
            <w:shd w:val="clear" w:color="auto" w:fill="auto"/>
            <w:noWrap/>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立案</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立案责任：检查中发现或者接到举报投诉统计违法行为或有关部门移送的此类违法案件，予以审查，决定是否立案。</w:t>
            </w:r>
          </w:p>
        </w:tc>
        <w:tc>
          <w:tcPr>
            <w:tcW w:w="2577"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left"/>
              <w:rPr>
                <w:rFonts w:hAnsi="宋体" w:cs="宋体"/>
                <w:kern w:val="0"/>
                <w:sz w:val="18"/>
                <w:szCs w:val="18"/>
              </w:rPr>
            </w:pPr>
            <w:r>
              <w:rPr>
                <w:rFonts w:hint="eastAsia" w:hAnsi="宋体" w:cs="宋体"/>
                <w:kern w:val="0"/>
                <w:sz w:val="18"/>
                <w:szCs w:val="18"/>
              </w:rPr>
              <w:t>因不履行或不正确履行行政职责，出现以下情形的，行政机关及相关工作人员应承担相应责任：</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1.不具备行政执法资格实施行政处罚的；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2.没有法律和事实依据实施行政处罚的；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3.违反规定设立处罚种类或者改变处罚幅度的；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4.违反法定程序进行处罚的；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5.违反保密义务，泄露商业秘密、个人信息或者提供、泄露在执法检查中获得的能够识别或者推断单个统计调查对象身份的资料，造成损害的或经济损失的；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6.符合听证条件、行政管理相对人要求听证，应予组织听证而不组织听证的；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7.在行政处罚过程中发生腐败行为的；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8.其他违反法律法规政策规定的行为。</w:t>
            </w:r>
            <w:r>
              <w:rPr>
                <w:rFonts w:hint="eastAsia" w:hAnsi="宋体" w:cs="宋体"/>
                <w:kern w:val="0"/>
                <w:sz w:val="18"/>
                <w:szCs w:val="18"/>
              </w:rPr>
              <w:t>　</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政策法规科、执法监督科</w:t>
            </w:r>
          </w:p>
        </w:tc>
      </w:tr>
      <w:tr>
        <w:tblPrEx>
          <w:tblCellMar>
            <w:top w:w="0" w:type="dxa"/>
            <w:left w:w="108" w:type="dxa"/>
            <w:bottom w:w="0" w:type="dxa"/>
            <w:right w:w="108" w:type="dxa"/>
          </w:tblCellMar>
        </w:tblPrEx>
        <w:trPr>
          <w:trHeight w:val="113"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noWrap/>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调查</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13"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noWrap/>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审查</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审查责任：对案件违法事实、证据、调查取证程序、法律适用、处罚种类和幅度、当事人陈述和申辩理由等方面进行审查，提出处理意见。</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500"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noWrap/>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告知</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告知责任：在做出行政处罚决定前，书面告知当事人拟作出处罚决定的事实、理由、依据、处罚内容，以及当事人享有的陈述权、申辩权或听证权。自收到告知书起五个工作日内未行使陈述、申辩权，未要求听证的，视为放弃此权利。</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380"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noWrap/>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决定</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决定责任：依法需要给予行政处罚的，应制作《统计行政处罚决定书》，载明违法事实和证据、处罚依据和内容、申请行政复议或提起行政诉讼的途径和期限等内容。</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062"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noWrap/>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送达</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送达责任：行政处罚决定书在7日内送达当事人。</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320"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noWrap/>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执行</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执行责任：监督当事人在决定的期限内，履行生效的行政处罚决定。当事人在法定期限内未申请行政复议或提起行政诉讼，又不履行的，可依法采取强制执行或者申请人民法院强制执行。</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540"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noWrap/>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3368" w:type="dxa"/>
            <w:tcBorders>
              <w:top w:val="nil"/>
              <w:left w:val="nil"/>
              <w:bottom w:val="single" w:color="auto" w:sz="4" w:space="0"/>
              <w:right w:val="single" w:color="auto" w:sz="4" w:space="0"/>
            </w:tcBorders>
            <w:shd w:val="clear" w:color="auto" w:fill="auto"/>
            <w:noWrap/>
            <w:vAlign w:val="center"/>
          </w:tcPr>
          <w:p>
            <w:pPr>
              <w:widowControl/>
              <w:snapToGrid/>
              <w:spacing w:line="240" w:lineRule="auto"/>
              <w:ind w:firstLine="0" w:firstLineChars="0"/>
              <w:jc w:val="left"/>
              <w:rPr>
                <w:rFonts w:hAnsi="宋体" w:cs="宋体"/>
                <w:kern w:val="0"/>
                <w:sz w:val="18"/>
                <w:szCs w:val="18"/>
              </w:rPr>
            </w:pPr>
            <w:r>
              <w:rPr>
                <w:rFonts w:hint="eastAsia" w:hAnsi="宋体" w:cs="宋体"/>
                <w:kern w:val="0"/>
                <w:sz w:val="18"/>
                <w:szCs w:val="18"/>
              </w:rPr>
              <w:t>其他法律法规规章文件规定应履行的责任。</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757" w:hRule="atLeast"/>
        </w:trPr>
        <w:tc>
          <w:tcPr>
            <w:tcW w:w="40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2</w:t>
            </w:r>
          </w:p>
        </w:tc>
        <w:tc>
          <w:tcPr>
            <w:tcW w:w="10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未设置原始记录、统计台账，或者隐匿、篡改、拒绝提供原始记录、统计台账、统计调查表违法行为的处罚</w:t>
            </w:r>
          </w:p>
        </w:tc>
        <w:tc>
          <w:tcPr>
            <w:tcW w:w="570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中华人民共和国统计法》（2009年6月27日第十一届全国人民代表大会常务委员会第九次会议修订）第四十二条：作为统计调查对象的国家机关、企业事业单位或者其他组织迟报统计资料，或者未按照国家有关规定设置原始记录、统计台账的，由县级以上人民政府统计机构责令改正，给予警告。 企业事业单位或者其他组织有前款所列行为之一的，可以并处一万元以下的罚款。个体工商户迟报统计资料的，由县级以上人民政府统计机构责令改正，给予警告，可以并处一千元以下的罚款</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行政处罚</w:t>
            </w: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立案</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立案责任：对检查中发现或者接受违法行为投诉或举报的，依法作出立案受理或不予受理决定（不予受理应当告知理由）。</w:t>
            </w:r>
          </w:p>
        </w:tc>
        <w:tc>
          <w:tcPr>
            <w:tcW w:w="2577"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left"/>
              <w:rPr>
                <w:rFonts w:hAnsi="宋体" w:cs="宋体"/>
                <w:kern w:val="0"/>
                <w:sz w:val="18"/>
                <w:szCs w:val="18"/>
              </w:rPr>
            </w:pPr>
            <w:r>
              <w:rPr>
                <w:rFonts w:hint="eastAsia" w:hAnsi="宋体" w:cs="宋体"/>
                <w:kern w:val="0"/>
                <w:sz w:val="18"/>
                <w:szCs w:val="18"/>
              </w:rPr>
              <w:t>因不履行或不正确履行行政职责，出现以下情形的，行政机关及相关工作人员应承担相应责任：</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1.不具备行政执法资格实施行政处罚的；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2.没有法律和事实依据实施行政处罚的；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3.违反规定设立处罚种类或者改变处罚幅度的；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4.违反法定程序进行处罚的；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5.违反保密义务，泄露商业秘密、个人信息或者提供、泄露在执法检查中获得的能够识别或者推断单个统计调查对象身份的资料，造成损害的或经济损失的；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6.符合听证条件、行政管理相对人要求听证，应予组织听证而不组织听证的；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7.在行政处罚过程中发生腐败行为的；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8.其他违反法律法规政策规定的行为。</w:t>
            </w:r>
            <w:r>
              <w:rPr>
                <w:rFonts w:hint="eastAsia" w:hAnsi="宋体" w:cs="宋体"/>
                <w:kern w:val="0"/>
                <w:sz w:val="18"/>
                <w:szCs w:val="18"/>
              </w:rPr>
              <w:t>　</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政策法规科、执法监督科</w:t>
            </w:r>
          </w:p>
        </w:tc>
      </w:tr>
      <w:tr>
        <w:tblPrEx>
          <w:tblCellMar>
            <w:top w:w="0" w:type="dxa"/>
            <w:left w:w="108" w:type="dxa"/>
            <w:bottom w:w="0" w:type="dxa"/>
            <w:right w:w="108" w:type="dxa"/>
          </w:tblCellMar>
        </w:tblPrEx>
        <w:trPr>
          <w:trHeight w:val="1757"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调查</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757"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审查</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审查责任：对案件违法事实、证据、调查取证程序、法律适用、处罚种类和幅度、当事人陈述和申辩理由等方面进行审查，提出处理意见。</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757"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告知</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告知责任：在做出行政处罚决定前，书面告知当事人拟作出处罚决定的事实、理由、依据、处罚内容，以及当事人享有的陈述权、申辩权或听证权。自收到告知书起五个工作日内未行使陈述、申辩权，未要求听证的，视为放弃此权利。</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757"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决定</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决定责任：依法需要给予行政处罚的，应制作《统计行政处罚决定书》，载明违法事实和证据、处罚依据和内容、申请行政复议或提起行政诉讼的途径和期限等内容。</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757"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送达</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送达责任：行政处罚决定书在7日内送达当事人。</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757"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执行</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执行责任：监督当事人在决定的期限内，履行生效的行政处罚决定。当事人在法定期限内未申请行政复议或提起行政诉讼，又不履行的，可依法采取强制执行或者申请人民法院强制执行。</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757"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其他法律法规规章文件规定应履行的责任。</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361" w:hRule="atLeast"/>
        </w:trPr>
        <w:tc>
          <w:tcPr>
            <w:tcW w:w="402"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3</w:t>
            </w:r>
          </w:p>
        </w:tc>
        <w:tc>
          <w:tcPr>
            <w:tcW w:w="10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登记保存检查对象的有关原始记录和凭证、统计台账、统计调查表、会计资料等其他相关证明材料</w:t>
            </w:r>
          </w:p>
        </w:tc>
        <w:tc>
          <w:tcPr>
            <w:tcW w:w="570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《中华人民共和国统计法》（2009年6月27日第十一届全国人民代表大会常务委员会第九次会议修订）第三十五条：县级以上人民政府统计机构在调查统计违法行为或者核查统计数据时，有权采取下列措施： （一）发出统计检查查询书，向检查对象查询有关事项； （二）要求检查对象提供有关原始记录和凭证、统计台账、统计调查表、会计资料及其他相关证明和资料； （三）就与检查有关的事项询问有关人员； （四）进入检查对象的业务场所和统计数据处理信息系统进行检查、核对； （五）经本机构负责人批准，登记保存检查对象的有关原始记录和凭证、统计台账、统计调查表、会计资料及其他相关证明和资料； （六）对与检查事项有关的情况和资料进行记录、录音、录像、照相和复制。 县级以上人民政府统计机构进行监督检查时，监督检查人员不得少于二人，并应当出示执法证件；未出示的，有关单位和个人有权拒绝检查。”</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行政强制</w:t>
            </w: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催告</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催告责任：对企业进行统计检查时，以下达整改通知书等方式履行告知义务，催告相对人履行义务或纠正违法行为的期限、方式，告知当事人依法享有的陈述权和申辩权。</w:t>
            </w:r>
          </w:p>
        </w:tc>
        <w:tc>
          <w:tcPr>
            <w:tcW w:w="2577"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left"/>
              <w:rPr>
                <w:rFonts w:hAnsi="宋体" w:cs="宋体"/>
                <w:kern w:val="0"/>
                <w:sz w:val="18"/>
                <w:szCs w:val="18"/>
              </w:rPr>
            </w:pPr>
            <w:r>
              <w:rPr>
                <w:rFonts w:hint="eastAsia" w:hAnsi="宋体" w:cs="宋体"/>
                <w:kern w:val="0"/>
                <w:sz w:val="18"/>
                <w:szCs w:val="18"/>
              </w:rPr>
              <w:t>因不履行或不正确履行行政职责，出现以下情形的，行政机关及相关工作人员应承担相应责任：</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1.不具备行政执法资格实施行政处罚的；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2.没有法律和事实依据实施行政处罚的；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3.违反规定设立处罚种类或者改变处罚幅度的；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4.违反法定程序进行处罚的；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5.违反保密义务，泄露商业秘密、个人信息或者提供、泄露在执法检查中获得的能够识别或者推断单个统计调查对象身份的资料，造成损害的或经济损失的；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6.符合听证条件、行政管理相对人要求听证，应予组织听证而不组织听证的；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7.在行政处罚过程中发生腐败行为的；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8.其他违反法律法规政策规定的行为。</w:t>
            </w:r>
            <w:r>
              <w:rPr>
                <w:rFonts w:hint="eastAsia" w:hAnsi="宋体" w:cs="宋体"/>
                <w:kern w:val="0"/>
                <w:sz w:val="18"/>
                <w:szCs w:val="18"/>
              </w:rPr>
              <w:t>　</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政策法规科、执法监督科</w:t>
            </w:r>
          </w:p>
        </w:tc>
      </w:tr>
      <w:tr>
        <w:tblPrEx>
          <w:tblCellMar>
            <w:top w:w="0" w:type="dxa"/>
            <w:left w:w="108" w:type="dxa"/>
            <w:bottom w:w="0" w:type="dxa"/>
            <w:right w:w="108" w:type="dxa"/>
          </w:tblCellMar>
        </w:tblPrEx>
        <w:trPr>
          <w:trHeight w:val="1361"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决定</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决定责任：组织人员进行审查，核实事实。充分听取当事人的陈述，对当事人提出的事实、理由和证据，应当进行记录、复核。以事实为依据。</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361"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执行</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执行责任：由县级以上统计机构实施。</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361"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事后监管</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事后监管责任：通过发放统计整改责任书防止违法行为发生。</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361"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其他法律法规规章文件规定的应履行的责任。</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4</w:t>
            </w:r>
          </w:p>
        </w:tc>
        <w:tc>
          <w:tcPr>
            <w:tcW w:w="10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统计执法监督检查</w:t>
            </w:r>
          </w:p>
        </w:tc>
        <w:tc>
          <w:tcPr>
            <w:tcW w:w="5704"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textAlignment w:val="auto"/>
              <w:rPr>
                <w:rFonts w:hAnsi="宋体" w:cs="宋体"/>
                <w:kern w:val="0"/>
                <w:sz w:val="18"/>
                <w:szCs w:val="18"/>
              </w:rPr>
            </w:pPr>
            <w:r>
              <w:rPr>
                <w:rFonts w:hint="eastAsia" w:hAnsi="宋体" w:cs="宋体"/>
                <w:kern w:val="0"/>
                <w:sz w:val="18"/>
                <w:szCs w:val="18"/>
              </w:rPr>
              <w:t>《统计执法监督检查办法(2019修订)》（2017年7月5日中华人民共和国国家统计局令第21号公布，根据2019年11月14日《国家统计局关于修改〈统计执法监督检查办法〉的决定》（中华人民共和国国家统计局令第28号）修订，并于2019年11月21日公布实施。）第三条：国家统计局统计执法监督局在国家统计局领导下，具体负责对全国统计执法监督检查工作的组织管理，指导监督地方统计机构和国家调查队统计执法监督检查机构工作，检查各地方、各部门统计法执行情况，查处重大统计违法行为。</w:t>
            </w:r>
            <w:r>
              <w:rPr>
                <w:rFonts w:hint="eastAsia" w:hAnsi="宋体" w:cs="宋体"/>
                <w:kern w:val="0"/>
                <w:sz w:val="18"/>
                <w:szCs w:val="18"/>
              </w:rPr>
              <w:br w:type="textWrapping"/>
            </w:r>
            <w:r>
              <w:rPr>
                <w:rFonts w:hint="eastAsia" w:hAnsi="宋体" w:cs="宋体"/>
                <w:kern w:val="0"/>
                <w:sz w:val="18"/>
                <w:szCs w:val="18"/>
              </w:rPr>
              <w:t>　　地方统计机构和国家调查队应当建立统计执法监督检查沟通协作机制。                                第十三条：县级以上人民政府统计机构和有关部门应当建立统计执法监督检查工作机制和相关制度，综合运用“双随机”抽查、专项检查、重点检查、实地核查等方式，组织开展本地区、本部门、本单位统计执法监督检查工作。</w:t>
            </w:r>
            <w:r>
              <w:rPr>
                <w:rFonts w:hint="eastAsia" w:hAnsi="宋体" w:cs="宋体"/>
                <w:kern w:val="0"/>
                <w:sz w:val="18"/>
                <w:szCs w:val="18"/>
              </w:rPr>
              <w:br w:type="textWrapping"/>
            </w:r>
            <w:r>
              <w:rPr>
                <w:rFonts w:hint="eastAsia" w:hAnsi="宋体" w:cs="宋体"/>
                <w:kern w:val="0"/>
                <w:sz w:val="18"/>
                <w:szCs w:val="18"/>
              </w:rPr>
              <w:t>按照国家有关规定，实施统计执法监督检查全过程记录制度。</w:t>
            </w:r>
            <w:r>
              <w:rPr>
                <w:rFonts w:hint="eastAsia" w:hAnsi="宋体" w:cs="宋体"/>
                <w:kern w:val="0"/>
                <w:sz w:val="18"/>
                <w:szCs w:val="18"/>
              </w:rPr>
              <w:br w:type="textWrapping"/>
            </w:r>
            <w:r>
              <w:rPr>
                <w:rFonts w:hint="eastAsia" w:hAnsi="宋体" w:cs="宋体"/>
                <w:kern w:val="0"/>
                <w:sz w:val="18"/>
                <w:szCs w:val="18"/>
              </w:rPr>
              <w:t>第十四条：统计执法监督检查事项包括：</w:t>
            </w:r>
            <w:r>
              <w:rPr>
                <w:rFonts w:hint="eastAsia" w:hAnsi="宋体" w:cs="宋体"/>
                <w:kern w:val="0"/>
                <w:sz w:val="18"/>
                <w:szCs w:val="18"/>
              </w:rPr>
              <w:br w:type="textWrapping"/>
            </w:r>
            <w:r>
              <w:rPr>
                <w:rFonts w:hint="eastAsia" w:hAnsi="宋体" w:cs="宋体"/>
                <w:kern w:val="0"/>
                <w:sz w:val="18"/>
                <w:szCs w:val="18"/>
              </w:rPr>
              <w:t>（一）地方各级人民政府、政府统计机构和有关部门以及各单位及其负责人遵守、执行统计法律法规规章和国家统计规则、政令情况；</w:t>
            </w:r>
            <w:r>
              <w:rPr>
                <w:rFonts w:hint="eastAsia" w:hAnsi="宋体" w:cs="宋体"/>
                <w:kern w:val="0"/>
                <w:sz w:val="18"/>
                <w:szCs w:val="18"/>
              </w:rPr>
              <w:br w:type="textWrapping"/>
            </w:r>
            <w:r>
              <w:rPr>
                <w:rFonts w:hint="eastAsia" w:hAnsi="宋体" w:cs="宋体"/>
                <w:kern w:val="0"/>
                <w:sz w:val="18"/>
                <w:szCs w:val="18"/>
              </w:rPr>
              <w:t>（二）地方各级人民政府、政府统计机构和有关部门建立防范和惩治统计造假、弄虚作假责任制和问责制情况；</w:t>
            </w:r>
            <w:r>
              <w:rPr>
                <w:rFonts w:hint="eastAsia" w:hAnsi="宋体" w:cs="宋体"/>
                <w:kern w:val="0"/>
                <w:sz w:val="18"/>
                <w:szCs w:val="18"/>
              </w:rPr>
              <w:br w:type="textWrapping"/>
            </w:r>
            <w:r>
              <w:rPr>
                <w:rFonts w:hint="eastAsia" w:hAnsi="宋体" w:cs="宋体"/>
                <w:kern w:val="0"/>
                <w:sz w:val="18"/>
                <w:szCs w:val="18"/>
              </w:rPr>
              <w:t>（三）统计机构和统计人员依法独立行使统计调查、统计报告、统计监督职权情况；</w:t>
            </w:r>
            <w:r>
              <w:rPr>
                <w:rFonts w:hint="eastAsia" w:hAnsi="宋体" w:cs="宋体"/>
                <w:kern w:val="0"/>
                <w:sz w:val="18"/>
                <w:szCs w:val="18"/>
              </w:rPr>
              <w:br w:type="textWrapping"/>
            </w:r>
            <w:r>
              <w:rPr>
                <w:rFonts w:hint="eastAsia" w:hAnsi="宋体" w:cs="宋体"/>
                <w:kern w:val="0"/>
                <w:sz w:val="18"/>
                <w:szCs w:val="18"/>
              </w:rPr>
              <w:t>（四）国家机关、企业事业单位和其他组织以及个体工商户和个人等统计调查对象遵守统计法律法规规章、统计调查制度情况；</w:t>
            </w:r>
            <w:r>
              <w:rPr>
                <w:rFonts w:hint="eastAsia" w:hAnsi="宋体" w:cs="宋体"/>
                <w:kern w:val="0"/>
                <w:sz w:val="18"/>
                <w:szCs w:val="18"/>
              </w:rPr>
              <w:br w:type="textWrapping"/>
            </w:r>
            <w:r>
              <w:rPr>
                <w:rFonts w:hint="eastAsia" w:hAnsi="宋体" w:cs="宋体"/>
                <w:kern w:val="0"/>
                <w:sz w:val="18"/>
                <w:szCs w:val="18"/>
              </w:rPr>
              <w:t>（五）依法开展涉外统计调查和民间统计调查情况；</w:t>
            </w:r>
            <w:r>
              <w:rPr>
                <w:rFonts w:hint="eastAsia" w:hAnsi="宋体" w:cs="宋体"/>
                <w:kern w:val="0"/>
                <w:sz w:val="18"/>
                <w:szCs w:val="18"/>
              </w:rPr>
              <w:br w:type="textWrapping"/>
            </w:r>
            <w:r>
              <w:rPr>
                <w:rFonts w:hint="eastAsia" w:hAnsi="宋体" w:cs="宋体"/>
                <w:kern w:val="0"/>
                <w:sz w:val="18"/>
                <w:szCs w:val="18"/>
              </w:rPr>
              <w:t>（六）法律法规规章规定的其他事项。</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行政检查</w:t>
            </w: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告知</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告知责任： 统计部门应当提前通知被检查对象，告知统计执法检查机关的名称，检查的依据、范围、内容、方式和时间，对被检查对象的具体要求等。</w:t>
            </w:r>
          </w:p>
        </w:tc>
        <w:tc>
          <w:tcPr>
            <w:tcW w:w="2577"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left"/>
              <w:rPr>
                <w:rFonts w:hAnsi="宋体" w:cs="宋体"/>
                <w:kern w:val="0"/>
                <w:sz w:val="18"/>
                <w:szCs w:val="18"/>
              </w:rPr>
            </w:pPr>
            <w:r>
              <w:rPr>
                <w:rFonts w:hint="eastAsia" w:hAnsi="宋体" w:cs="宋体"/>
                <w:kern w:val="0"/>
                <w:sz w:val="18"/>
                <w:szCs w:val="18"/>
              </w:rPr>
              <w:t>因不履行或不正确履行行政职责，出现以下情形的，行政机关及相关工作人员应承担相应责任：</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1.不具备行政执法资格实施行政处罚的；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2.没有法律和事实依据实施行政处罚的；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3.违反规定设立处罚种类或者改变处罚幅度的；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4.违反法定程序进行处罚的；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5.违反保密义务，泄露商业秘密、个人信息或者提供、泄露在执法检查中获得的能够识别或者推断单个统计调查对象身份的资料，造成损害的或经济损失的；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6.符合听证条件、行政管理相对人要求听证，应予组织听证而不组织听证的；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7.在行政处罚过程中发生腐败行为的；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8.其他违反法律法规政策规定的行为。</w:t>
            </w:r>
            <w:r>
              <w:rPr>
                <w:rFonts w:hint="eastAsia" w:hAnsi="宋体" w:cs="宋体"/>
                <w:kern w:val="0"/>
                <w:sz w:val="18"/>
                <w:szCs w:val="18"/>
              </w:rPr>
              <w:t>　</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政策法规科、执法监督科</w:t>
            </w: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检查</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 xml:space="preserve">检查责任：统计部门对统计工作检查，指定专人负责，及时组织调查。检查人员不得少于两人，调查时应出示证件。执法人员应保守有关秘密。 </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处理</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 xml:space="preserve">处理责任：处理调查报告，对调查事实、证据、调查取证程序、法律适用、处罚种类和幅度等方面进行审查，提出处理意见（主要证据不足时，以适当的方式补充调查）。 </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监督</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监管责任： 强化统计工作秩序和统计数据质量检查情况的监管。</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其他法律法规规章文件规定应履行的责任。</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5</w:t>
            </w:r>
          </w:p>
        </w:tc>
        <w:tc>
          <w:tcPr>
            <w:tcW w:w="10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对经济普查违法行为举报有功的个人给予奖励</w:t>
            </w:r>
          </w:p>
        </w:tc>
        <w:tc>
          <w:tcPr>
            <w:tcW w:w="570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全国经济普查条例（2018年修订）》》(中华人民共和国国务院令第702号）第三十七条：各级经济普查机构应当设立举报电话，接受社会各界对经济普查中单位和个人违法行为的检举和监督，并对举报有功人员给予奖励。</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行政奖励</w:t>
            </w: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受理</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受理责任：及时制定并公开奖励方案，明确奖励标准、审核流程等内容。</w:t>
            </w:r>
          </w:p>
        </w:tc>
        <w:tc>
          <w:tcPr>
            <w:tcW w:w="2577"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left"/>
              <w:rPr>
                <w:rFonts w:hAnsi="宋体" w:cs="宋体"/>
                <w:kern w:val="0"/>
                <w:sz w:val="18"/>
                <w:szCs w:val="18"/>
              </w:rPr>
            </w:pPr>
            <w:r>
              <w:rPr>
                <w:rFonts w:hint="eastAsia" w:hAnsi="宋体" w:cs="宋体"/>
                <w:kern w:val="0"/>
                <w:sz w:val="18"/>
                <w:szCs w:val="18"/>
              </w:rPr>
              <w:t>　因不履行或不正确履行行政职责，有下列情形之一的，行政机关及相关工作人员应承担相应责任：</w:t>
            </w:r>
          </w:p>
          <w:p>
            <w:pPr>
              <w:widowControl/>
              <w:snapToGrid/>
              <w:spacing w:line="240" w:lineRule="auto"/>
              <w:ind w:firstLine="0" w:firstLineChars="0"/>
              <w:jc w:val="left"/>
              <w:rPr>
                <w:rFonts w:hAnsi="宋体" w:cs="宋体"/>
                <w:kern w:val="0"/>
                <w:sz w:val="18"/>
                <w:szCs w:val="18"/>
              </w:rPr>
            </w:pPr>
            <w:r>
              <w:rPr>
                <w:rFonts w:hint="cs" w:hAnsi="宋体" w:cs="宋体"/>
                <w:kern w:val="0"/>
                <w:sz w:val="18"/>
                <w:szCs w:val="18"/>
              </w:rPr>
              <w:t>    </w:t>
            </w:r>
            <w:r>
              <w:rPr>
                <w:rFonts w:hAnsi="宋体" w:cs="宋体"/>
                <w:kern w:val="0"/>
                <w:sz w:val="18"/>
                <w:szCs w:val="18"/>
              </w:rPr>
              <w:t>1.未按规定权限、程序实施考评的;</w:t>
            </w:r>
          </w:p>
          <w:p>
            <w:pPr>
              <w:widowControl/>
              <w:snapToGrid/>
              <w:spacing w:line="240" w:lineRule="auto"/>
              <w:ind w:firstLine="0" w:firstLineChars="0"/>
              <w:jc w:val="left"/>
              <w:rPr>
                <w:rFonts w:hAnsi="宋体" w:cs="宋体"/>
                <w:kern w:val="0"/>
                <w:sz w:val="18"/>
                <w:szCs w:val="18"/>
              </w:rPr>
            </w:pPr>
            <w:r>
              <w:rPr>
                <w:rFonts w:hint="cs" w:hAnsi="宋体" w:cs="宋体"/>
                <w:kern w:val="0"/>
                <w:sz w:val="18"/>
                <w:szCs w:val="18"/>
              </w:rPr>
              <w:t>    </w:t>
            </w:r>
            <w:r>
              <w:rPr>
                <w:rFonts w:hAnsi="宋体" w:cs="宋体"/>
                <w:kern w:val="0"/>
                <w:sz w:val="18"/>
                <w:szCs w:val="18"/>
              </w:rPr>
              <w:t>2.未进行集体研究以权谋私的；</w:t>
            </w:r>
          </w:p>
          <w:p>
            <w:pPr>
              <w:widowControl/>
              <w:snapToGrid/>
              <w:spacing w:line="240" w:lineRule="auto"/>
              <w:ind w:firstLine="0" w:firstLineChars="0"/>
              <w:jc w:val="left"/>
              <w:rPr>
                <w:rFonts w:hAnsi="宋体" w:cs="宋体"/>
                <w:kern w:val="0"/>
                <w:sz w:val="18"/>
                <w:szCs w:val="18"/>
              </w:rPr>
            </w:pPr>
            <w:r>
              <w:rPr>
                <w:rFonts w:hint="cs" w:hAnsi="宋体" w:cs="宋体"/>
                <w:kern w:val="0"/>
                <w:sz w:val="18"/>
                <w:szCs w:val="18"/>
              </w:rPr>
              <w:t>    </w:t>
            </w:r>
            <w:r>
              <w:rPr>
                <w:rFonts w:hAnsi="宋体" w:cs="宋体"/>
                <w:kern w:val="0"/>
                <w:sz w:val="18"/>
                <w:szCs w:val="18"/>
              </w:rPr>
              <w:t>3.其他违反法律法规等规定的行为。</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经济普查办公室</w:t>
            </w: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审查</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审查责任：对奖励对象的材料进行审查；提出拟办意见。</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公示</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公示责任：依法对准予公开的内容进行公示。</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决定</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决定责任：作出予以表彰或不予表彰决定（不予表彰的，应当告知理由）；制发评选表彰文书。</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其他法律法规规章文件规定的应履行的责任。</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6</w:t>
            </w:r>
          </w:p>
        </w:tc>
        <w:tc>
          <w:tcPr>
            <w:tcW w:w="10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对经济普查中表现突出的集体和个人给予表彰和奖励</w:t>
            </w:r>
          </w:p>
        </w:tc>
        <w:tc>
          <w:tcPr>
            <w:tcW w:w="570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《全国经济普查条例（2018年修订）》(国务院令第702号）第三十四条：对在经济普查工作中贡献突出的先进集体和先进个人，由各级经济普查机构给予表彰和奖励。</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行政奖励</w:t>
            </w: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受理</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受理责任：对申报集体或个人表彰和奖励的材料进行受理。</w:t>
            </w:r>
          </w:p>
        </w:tc>
        <w:tc>
          <w:tcPr>
            <w:tcW w:w="2577"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left"/>
              <w:rPr>
                <w:rFonts w:hAnsi="宋体" w:cs="宋体"/>
                <w:kern w:val="0"/>
                <w:sz w:val="18"/>
                <w:szCs w:val="18"/>
              </w:rPr>
            </w:pPr>
            <w:r>
              <w:rPr>
                <w:rFonts w:hint="eastAsia" w:hAnsi="宋体" w:cs="宋体"/>
                <w:kern w:val="0"/>
                <w:sz w:val="18"/>
                <w:szCs w:val="18"/>
              </w:rPr>
              <w:t>因不履行或不正确履行行政职责，有下列情形之一的，行政机关及相关工作人员应承担相应责任：</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1.未按规定权限、程序实施考评的;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2.未进行集体研究以权谋私的；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3.其他违反法律法规等规定的行为。</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经济普查办公室</w:t>
            </w: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审查</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审查责任：对奖励对象的材料进行审查；提出拟办意见。</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公示</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公示责任：依法对准予公开的内容进行公示。</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决定</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决定责任：作出予以表彰或不予表彰决定（不予表彰的，应当告知理由）；制发评选表彰文书。</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其他法律法规规章文件规定的应履行的责任。</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7</w:t>
            </w:r>
          </w:p>
        </w:tc>
        <w:tc>
          <w:tcPr>
            <w:tcW w:w="10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对农业普查违法行为举报有功的个人给予奖励</w:t>
            </w:r>
          </w:p>
        </w:tc>
        <w:tc>
          <w:tcPr>
            <w:tcW w:w="570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《全国农业普查条例》(中华人民共和国国务院令第473号)第四十一条：普查办公室应当设立举报电话和信箱，接受社会各界对农业普查违法行为的检举和监督，并对举报有功人员给予奖励。</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行政奖励</w:t>
            </w: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受理</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受理责任：及时制定并公开奖励方案，明确奖励标准、审核流程等内容。</w:t>
            </w:r>
          </w:p>
        </w:tc>
        <w:tc>
          <w:tcPr>
            <w:tcW w:w="2577"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left"/>
              <w:rPr>
                <w:rFonts w:hAnsi="宋体" w:cs="宋体"/>
                <w:kern w:val="0"/>
                <w:sz w:val="18"/>
                <w:szCs w:val="18"/>
              </w:rPr>
            </w:pPr>
            <w:r>
              <w:rPr>
                <w:rFonts w:hint="eastAsia" w:hAnsi="宋体" w:cs="宋体"/>
                <w:kern w:val="0"/>
                <w:sz w:val="18"/>
                <w:szCs w:val="18"/>
              </w:rPr>
              <w:t>因不履行或不正确履行行政职责，有下列情形之一的，行政机关及相关工作人员应承担相应责任：</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1.未按规定权限、程序实施考评的;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2.未进行集体研究以权谋私的；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3.其他违反法律法规等规定的行为。</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农业普查办公室</w:t>
            </w: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审查</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审查责任：对奖励对象的材料进行审查；提出拟办意见。</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公示</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公示责任：依法对准予公开的内容进行公示。</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决定</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决定责任：作出予以表彰或不予表彰决定（不予表彰的，应当告知理由）；制发评选表彰文书。</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其他法律法规规章文件规定的应履行的责任。</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8</w:t>
            </w:r>
          </w:p>
        </w:tc>
        <w:tc>
          <w:tcPr>
            <w:tcW w:w="10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对农业普查中表现突出的集体和个人给予奖励</w:t>
            </w:r>
          </w:p>
        </w:tc>
        <w:tc>
          <w:tcPr>
            <w:tcW w:w="570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《全国农业普查条例》(中华人民共和国国务院令第473号)第三十六条：对认真执行本条例，忠于职守，坚持原则，做出显著成绩的单位和个人，应当给予奖励。</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行政奖励</w:t>
            </w: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受理</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受理责任：对申报集体或个人表彰和奖励的材料进行受理。</w:t>
            </w:r>
          </w:p>
        </w:tc>
        <w:tc>
          <w:tcPr>
            <w:tcW w:w="2577"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left"/>
              <w:rPr>
                <w:rFonts w:hAnsi="宋体" w:cs="宋体"/>
                <w:kern w:val="0"/>
                <w:sz w:val="18"/>
                <w:szCs w:val="18"/>
              </w:rPr>
            </w:pPr>
            <w:r>
              <w:rPr>
                <w:rFonts w:hint="eastAsia" w:hAnsi="宋体" w:cs="宋体"/>
                <w:kern w:val="0"/>
                <w:sz w:val="18"/>
                <w:szCs w:val="18"/>
              </w:rPr>
              <w:t>因不履行或不正确履行行政职责，有下列情形之一的，行政机关及相关工作人员应承担相应责任：</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1.未按规定权限、程序实施考评的;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2.未进行集体研究以权谋私的；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3.其他违反法律法规等规定的行为。</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农业普查办公室</w:t>
            </w: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审查</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审查责任：对奖励对象的材料进行审查；提出拟办意见。</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公示</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公示责任：依法对准予公开的内容进行公示。</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决定</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决定责任：作出予以表彰或不予表彰决定（不予表彰的，应当告知理由）；制发评选表彰文书。</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其他法律法规规章文件规定的应履行的责任。</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587" w:hRule="atLeast"/>
        </w:trPr>
        <w:tc>
          <w:tcPr>
            <w:tcW w:w="402"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9</w:t>
            </w:r>
          </w:p>
        </w:tc>
        <w:tc>
          <w:tcPr>
            <w:tcW w:w="10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 xml:space="preserve">对人口普查中表现突出的集体和个人给予表彰和奖励 </w:t>
            </w:r>
          </w:p>
        </w:tc>
        <w:tc>
          <w:tcPr>
            <w:tcW w:w="570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《全国人口普查条例》（中华人民共和国国务院令第576号）第十条：对认真执行本条例，忠于职守、坚持原则，做出显著成绩的单位和个人，按照国家有关规定给予表彰和奖励。</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行政奖励</w:t>
            </w: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受理</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受理责任：对申报集体或个人表彰和奖励的材料进行受理。</w:t>
            </w:r>
          </w:p>
        </w:tc>
        <w:tc>
          <w:tcPr>
            <w:tcW w:w="2577"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left"/>
              <w:rPr>
                <w:rFonts w:hAnsi="宋体" w:cs="宋体"/>
                <w:kern w:val="0"/>
                <w:sz w:val="18"/>
                <w:szCs w:val="18"/>
              </w:rPr>
            </w:pPr>
            <w:r>
              <w:rPr>
                <w:rFonts w:hint="eastAsia" w:hAnsi="宋体" w:cs="宋体"/>
                <w:kern w:val="0"/>
                <w:sz w:val="18"/>
                <w:szCs w:val="18"/>
              </w:rPr>
              <w:t>因不履行或不正确履行行政职责，有下列情形之一的，行政机关及相关工作人员应承担相应责任：</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1.未按规定权限、程序实施考评的;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2.未进行集体研究以权谋私的；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3.其他违反法律法规等规定的行为。</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人口普查办公室</w:t>
            </w:r>
          </w:p>
        </w:tc>
      </w:tr>
      <w:tr>
        <w:tblPrEx>
          <w:tblCellMar>
            <w:top w:w="0" w:type="dxa"/>
            <w:left w:w="108" w:type="dxa"/>
            <w:bottom w:w="0" w:type="dxa"/>
            <w:right w:w="108" w:type="dxa"/>
          </w:tblCellMar>
        </w:tblPrEx>
        <w:trPr>
          <w:trHeight w:val="1587"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审查</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审查责任：对奖励对象的材料进行审查；提出拟办意见。</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587"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公示</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公示责任：依法对准予公开的内容进行公示。</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587"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决定</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决定责任：作出予以表彰或不予表彰决定（不予表彰的，应当告知理由）；制发评选表彰文书。</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587"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其他法律法规规章文件规定的应履行的责任。</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531" w:hRule="atLeast"/>
        </w:trPr>
        <w:tc>
          <w:tcPr>
            <w:tcW w:w="402"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10</w:t>
            </w:r>
          </w:p>
        </w:tc>
        <w:tc>
          <w:tcPr>
            <w:tcW w:w="10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对统计中弄虚作假等违法行为检举有功的单位和个人给予奖励</w:t>
            </w:r>
          </w:p>
        </w:tc>
        <w:tc>
          <w:tcPr>
            <w:tcW w:w="570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中华人民共和国统计法》（2009年6月27日第十一届全国人民代表大会常务委员会第九次会议修订）第八条：统计工作应当接受社会公众的监督。任何单位和个人有权检举统计中弄虚作假等违法行为。对检举有功的单位和个人应当给予表彰和奖励。</w:t>
            </w:r>
            <w:r>
              <w:rPr>
                <w:rFonts w:hint="eastAsia" w:hAnsi="宋体" w:cs="宋体"/>
                <w:kern w:val="0"/>
                <w:sz w:val="18"/>
                <w:szCs w:val="18"/>
              </w:rPr>
              <w:br w:type="textWrapping"/>
            </w:r>
            <w:r>
              <w:rPr>
                <w:rFonts w:hint="eastAsia" w:hAnsi="宋体" w:cs="宋体"/>
                <w:kern w:val="0"/>
                <w:sz w:val="18"/>
                <w:szCs w:val="18"/>
              </w:rPr>
              <w:t>《河南省统计管理条例》（2014年12月4日河南省第十二届人民代表大会常务委员会第十一次会议通过）第九条：统计工作应当接受社会公众的监督。任何单位和个人有权检举统计工作中的违法行为。对检举有功的单位和个人按照有关规定给予表彰和奖励。</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行政奖励</w:t>
            </w: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受理</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受理责任：及时制定并公开奖励方案，明确奖励标准、审核流程等内容。</w:t>
            </w:r>
          </w:p>
        </w:tc>
        <w:tc>
          <w:tcPr>
            <w:tcW w:w="2577"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left"/>
              <w:rPr>
                <w:rFonts w:hAnsi="宋体" w:cs="宋体"/>
                <w:kern w:val="0"/>
                <w:sz w:val="18"/>
                <w:szCs w:val="18"/>
              </w:rPr>
            </w:pPr>
            <w:r>
              <w:rPr>
                <w:rFonts w:hint="eastAsia" w:hAnsi="宋体" w:cs="宋体"/>
                <w:kern w:val="0"/>
                <w:sz w:val="18"/>
                <w:szCs w:val="18"/>
              </w:rPr>
              <w:t>　因不履行或不正确履行行政职责，有下列情形之一的，行政机关及相关工作人员应承担相应责任：</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1.未按规定权限、程序实施考评的;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2.未进行集体研究以权谋私的；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3.其他违反法律法规等规定的行为。</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政策法规科、执法监督科</w:t>
            </w:r>
          </w:p>
        </w:tc>
      </w:tr>
      <w:tr>
        <w:tblPrEx>
          <w:tblCellMar>
            <w:top w:w="0" w:type="dxa"/>
            <w:left w:w="108" w:type="dxa"/>
            <w:bottom w:w="0" w:type="dxa"/>
            <w:right w:w="108" w:type="dxa"/>
          </w:tblCellMar>
        </w:tblPrEx>
        <w:trPr>
          <w:trHeight w:val="1531"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审查</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审查责任：对奖励对象的材料进行审查；提出拟办意见。</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531"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公示</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公示责任：依法对准予公开的内容进行公示。</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531"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决定</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决定责任：作出予以表彰或不予表彰决定（不予表彰的，应当告知理由）；制发评选表彰文书。</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531"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其他法律法规规章文件规定的应履行的责任。</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587" w:hRule="atLeast"/>
        </w:trPr>
        <w:tc>
          <w:tcPr>
            <w:tcW w:w="402"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11</w:t>
            </w:r>
          </w:p>
        </w:tc>
        <w:tc>
          <w:tcPr>
            <w:tcW w:w="10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对统计工作中作出突出贡献、取得显著成绩的单位和个人给予表彰和奖励</w:t>
            </w:r>
          </w:p>
        </w:tc>
        <w:tc>
          <w:tcPr>
            <w:tcW w:w="570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 xml:space="preserve">《中华人民共和国统计法实施条例》（1987年1月19日国务院批准，根据2005年12月16日《国务院关于修改&lt;中华人民共和国统计法实施细则&gt;的决定》修订，2006年2月1日起施行。）第三十五条：对在统计工作中做出突出贡献、取得显著成绩的单位和个人，按照国家有关规定给予表彰和奖励。                                         </w:t>
            </w:r>
            <w:r>
              <w:rPr>
                <w:rFonts w:hint="eastAsia" w:hAnsi="宋体" w:cs="宋体"/>
                <w:kern w:val="0"/>
                <w:sz w:val="18"/>
                <w:szCs w:val="18"/>
              </w:rPr>
              <w:br w:type="page"/>
            </w:r>
            <w:r>
              <w:rPr>
                <w:rFonts w:hint="eastAsia" w:hAnsi="宋体" w:cs="宋体"/>
                <w:kern w:val="0"/>
                <w:sz w:val="18"/>
                <w:szCs w:val="18"/>
              </w:rPr>
              <w:t>《河南省统计管理条例》（2014年12月4日河南省第十二届人民代表大会常务委员会第十一次会议通过）第十七条：对在统计工作中作出突出贡献，取得显著成绩的单位和个人，应当按照有关规定给予表彰和奖励。</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行政奖励</w:t>
            </w: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受理</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受理责任：对申报集体或个人表彰和奖励的材料进行受理。</w:t>
            </w:r>
          </w:p>
        </w:tc>
        <w:tc>
          <w:tcPr>
            <w:tcW w:w="2577"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left"/>
              <w:rPr>
                <w:rFonts w:hAnsi="宋体" w:cs="宋体"/>
                <w:kern w:val="0"/>
                <w:sz w:val="18"/>
                <w:szCs w:val="18"/>
              </w:rPr>
            </w:pPr>
            <w:r>
              <w:rPr>
                <w:rFonts w:hint="eastAsia" w:hAnsi="宋体" w:cs="宋体"/>
                <w:kern w:val="0"/>
                <w:sz w:val="18"/>
                <w:szCs w:val="18"/>
              </w:rPr>
              <w:t>因不履行或不正确履行行政职责，有下列情形之一的，行政机关及相关工作人员应承担相应责任：</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1.未按规定权限、程序实施考评的;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2.未进行集体研究以权谋私的；</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3.其他违反法律法规等规定的行为。</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人事科</w:t>
            </w:r>
          </w:p>
        </w:tc>
      </w:tr>
      <w:tr>
        <w:tblPrEx>
          <w:tblCellMar>
            <w:top w:w="0" w:type="dxa"/>
            <w:left w:w="108" w:type="dxa"/>
            <w:bottom w:w="0" w:type="dxa"/>
            <w:right w:w="108" w:type="dxa"/>
          </w:tblCellMar>
        </w:tblPrEx>
        <w:trPr>
          <w:trHeight w:val="1587"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审查</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审查责任：对奖励对象的材料进行审查；提出拟办意见。</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587"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公示</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公示责任：依法对准予公开的内容进行公示。</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587"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决定</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决定责任：作出予以表彰或不予表彰决定（不予表彰的，应当告知理由）；制发评选表彰文书。</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587"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其他法律法规规章文件规定的应履行的责任。</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12</w:t>
            </w:r>
          </w:p>
        </w:tc>
        <w:tc>
          <w:tcPr>
            <w:tcW w:w="10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部门公布统计数据备案</w:t>
            </w:r>
          </w:p>
        </w:tc>
        <w:tc>
          <w:tcPr>
            <w:tcW w:w="570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br w:type="textWrapping"/>
            </w:r>
            <w:r>
              <w:rPr>
                <w:rFonts w:hint="eastAsia" w:hAnsi="宋体" w:cs="宋体"/>
                <w:kern w:val="0"/>
                <w:sz w:val="18"/>
                <w:szCs w:val="18"/>
              </w:rPr>
              <w:t>《河南省统计管理条例》（2014年12月4日河南省第十二届人民代表大会常务委员会第十一次会议通过）第三十条：县级以上人民政府有关部门统计调查取得的统计数据，由有关部门公布；与县级以上人民政府统计机构统计指标体系中的数据有重复、交叉的，应当与同级人民政府统计机构协商一致后，由有关部门公布。县级以上人民政府有关部门公布统计数据，应当自公布之日起十日内报同级人民政府统计机构备案。</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其他职权</w:t>
            </w:r>
          </w:p>
        </w:tc>
        <w:tc>
          <w:tcPr>
            <w:tcW w:w="646" w:type="dxa"/>
            <w:tcBorders>
              <w:top w:val="nil"/>
              <w:left w:val="nil"/>
              <w:bottom w:val="nil"/>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建立统计数据备案管理制度</w:t>
            </w:r>
          </w:p>
        </w:tc>
        <w:tc>
          <w:tcPr>
            <w:tcW w:w="3368" w:type="dxa"/>
            <w:tcBorders>
              <w:top w:val="nil"/>
              <w:left w:val="nil"/>
              <w:bottom w:val="nil"/>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建立部门数据备案管理制度，确定被按数据的范围。</w:t>
            </w:r>
          </w:p>
        </w:tc>
        <w:tc>
          <w:tcPr>
            <w:tcW w:w="2577"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left"/>
              <w:rPr>
                <w:rFonts w:hAnsi="宋体" w:cs="宋体"/>
                <w:kern w:val="0"/>
                <w:sz w:val="18"/>
                <w:szCs w:val="18"/>
              </w:rPr>
            </w:pPr>
            <w:r>
              <w:rPr>
                <w:rFonts w:hint="eastAsia" w:hAnsi="宋体" w:cs="宋体"/>
                <w:kern w:val="0"/>
                <w:sz w:val="18"/>
                <w:szCs w:val="18"/>
              </w:rPr>
              <w:t>　因不履行或不正确履行行政职责，有下列情形之一的，行政机关及相关工作人员应承担相应责任：</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1.未按规定权限、程序</w:t>
            </w:r>
            <w:r>
              <w:rPr>
                <w:rFonts w:hint="eastAsia" w:hAnsi="宋体" w:cs="宋体"/>
                <w:kern w:val="0"/>
                <w:sz w:val="18"/>
                <w:szCs w:val="18"/>
              </w:rPr>
              <w:t>时间报同级人民政府机构备案的</w:t>
            </w:r>
            <w:r>
              <w:rPr>
                <w:rFonts w:hAnsi="宋体" w:cs="宋体"/>
                <w:kern w:val="0"/>
                <w:sz w:val="18"/>
                <w:szCs w:val="18"/>
              </w:rPr>
              <w:t>;</w:t>
            </w:r>
          </w:p>
          <w:p>
            <w:pPr>
              <w:widowControl/>
              <w:snapToGrid/>
              <w:spacing w:line="240" w:lineRule="auto"/>
              <w:ind w:firstLine="0" w:firstLineChars="0"/>
              <w:jc w:val="left"/>
              <w:rPr>
                <w:rFonts w:hAnsi="宋体" w:cs="宋体"/>
                <w:kern w:val="0"/>
                <w:sz w:val="18"/>
                <w:szCs w:val="18"/>
              </w:rPr>
            </w:pPr>
            <w:r>
              <w:rPr>
                <w:rFonts w:hAnsi="宋体" w:cs="宋体"/>
                <w:kern w:val="0"/>
                <w:sz w:val="18"/>
                <w:szCs w:val="18"/>
              </w:rPr>
              <w:t>2.其他违反法律法规等规定的行为。</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综合科</w:t>
            </w: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single" w:color="auto" w:sz="4" w:space="0"/>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确定备案部门</w:t>
            </w:r>
          </w:p>
        </w:tc>
        <w:tc>
          <w:tcPr>
            <w:tcW w:w="3368" w:type="dxa"/>
            <w:tcBorders>
              <w:top w:val="single" w:color="auto" w:sz="4" w:space="0"/>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确定可能有备案数据的部门（单位）。</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部门数据备案</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实施备案，不随意对外提供部门备案数据。</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归档保存</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整理存档。</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474"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事后监督</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事后督查。</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191" w:hRule="atLeast"/>
        </w:trPr>
        <w:tc>
          <w:tcPr>
            <w:tcW w:w="402"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13</w:t>
            </w:r>
          </w:p>
        </w:tc>
        <w:tc>
          <w:tcPr>
            <w:tcW w:w="101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统计调查项目审批</w:t>
            </w:r>
          </w:p>
        </w:tc>
        <w:tc>
          <w:tcPr>
            <w:tcW w:w="570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中华人民共和国统计法》（2009年6月27日第十一届全国人民代表大会常务委员会第九次会议修订）第十二条：地方统计调查项目由县级以上地方人民政府统计机构和有关部门分别制定或者共同制定。其中，由省级人民政府统计机构单独制定或者和有关部门共同制定的，报国家统计局审批；由省级以下人民政府统计机构单独制定或者和有关部门共同制定的，报省级人民政府统计机构审批；由县级以上地方人民政府有关部门制定的，报本级人民政府统计机构审批。</w:t>
            </w:r>
            <w:r>
              <w:rPr>
                <w:rFonts w:hint="eastAsia" w:hAnsi="宋体" w:cs="宋体"/>
                <w:kern w:val="0"/>
                <w:sz w:val="18"/>
                <w:szCs w:val="18"/>
              </w:rPr>
              <w:br w:type="page"/>
            </w:r>
            <w:r>
              <w:rPr>
                <w:rFonts w:hint="eastAsia" w:hAnsi="宋体" w:cs="宋体"/>
                <w:kern w:val="0"/>
                <w:sz w:val="18"/>
                <w:szCs w:val="18"/>
              </w:rPr>
              <w:t>《河南省统计管理条例》（2014年12月4日河南省第十二届人民代表大会常务委员会第十一次会议通过）第十八条  省人民政府统计机构单独制定或者和有关部门共同制定的统计调查项目，报国家统计局审批。省辖市、县（市、区）人民政府统计机构单独制定或者和有关部门共同制定的统计调查项目，报省人民政府统计机构审批。县级以上人民政府有关部门单独制定或者和其他有关部门共同制定的统计调查项目，报本级人民政府统计机构审批。</w:t>
            </w: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其他职权</w:t>
            </w: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受理</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受理责任：公示依法应当提交的材料；一次性告知补正材料；依法受理或不予受理（不予受理应当告知理由）。</w:t>
            </w:r>
          </w:p>
        </w:tc>
        <w:tc>
          <w:tcPr>
            <w:tcW w:w="2577"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jc w:val="left"/>
              <w:rPr>
                <w:rFonts w:hAnsi="宋体" w:cs="宋体"/>
                <w:kern w:val="0"/>
                <w:sz w:val="18"/>
                <w:szCs w:val="18"/>
              </w:rPr>
            </w:pPr>
            <w:r>
              <w:rPr>
                <w:rFonts w:hint="eastAsia" w:hAnsi="仿宋"/>
                <w:color w:val="3D3D3D"/>
                <w:sz w:val="18"/>
                <w:szCs w:val="18"/>
                <w:shd w:val="clear" w:color="auto" w:fill="FFFFFF"/>
              </w:rPr>
              <w:t>《中华人民共和国行政许可法》第七十二条 行政机关及其工作人员违反本法的规定，有下列情形之一的，由其上级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tc>
        <w:tc>
          <w:tcPr>
            <w:tcW w:w="634"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设计管理科</w:t>
            </w:r>
          </w:p>
        </w:tc>
      </w:tr>
      <w:tr>
        <w:tblPrEx>
          <w:tblCellMar>
            <w:top w:w="0" w:type="dxa"/>
            <w:left w:w="108" w:type="dxa"/>
            <w:bottom w:w="0" w:type="dxa"/>
            <w:right w:w="108" w:type="dxa"/>
          </w:tblCellMar>
        </w:tblPrEx>
        <w:trPr>
          <w:trHeight w:val="1191"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审查</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审查责任：根据需要征求部门意见、项目审批前公示；提出初审意见。</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统计调查项目审议小组</w:t>
            </w:r>
          </w:p>
        </w:tc>
      </w:tr>
      <w:tr>
        <w:tblPrEx>
          <w:tblCellMar>
            <w:top w:w="0" w:type="dxa"/>
            <w:left w:w="108" w:type="dxa"/>
            <w:bottom w:w="0" w:type="dxa"/>
            <w:right w:w="108" w:type="dxa"/>
          </w:tblCellMar>
        </w:tblPrEx>
        <w:trPr>
          <w:trHeight w:val="1191"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决定</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决定责任：作出决定（不予行政许可的应当告知理由）；按时办结；法定告知。</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191"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送达</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送达责任：制发送达文书；信息公开。</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191"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事后监督</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事后监管责任：加强项目实施过程中的监督检查，确保项目建设内容与核准内容一致。</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1191" w:hRule="atLeast"/>
        </w:trPr>
        <w:tc>
          <w:tcPr>
            <w:tcW w:w="402"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101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570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46"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jc w:val="center"/>
              <w:rPr>
                <w:rFonts w:hAnsi="宋体" w:cs="宋体"/>
                <w:kern w:val="0"/>
                <w:sz w:val="18"/>
                <w:szCs w:val="18"/>
              </w:rPr>
            </w:pPr>
            <w:r>
              <w:rPr>
                <w:rFonts w:hint="eastAsia" w:hAnsi="宋体" w:cs="宋体"/>
                <w:kern w:val="0"/>
                <w:sz w:val="18"/>
                <w:szCs w:val="18"/>
              </w:rPr>
              <w:t>　</w:t>
            </w:r>
          </w:p>
        </w:tc>
        <w:tc>
          <w:tcPr>
            <w:tcW w:w="3368" w:type="dxa"/>
            <w:tcBorders>
              <w:top w:val="nil"/>
              <w:left w:val="nil"/>
              <w:bottom w:val="single" w:color="auto" w:sz="4" w:space="0"/>
              <w:right w:val="single" w:color="auto" w:sz="4" w:space="0"/>
            </w:tcBorders>
            <w:shd w:val="clear" w:color="auto" w:fill="auto"/>
            <w:vAlign w:val="center"/>
          </w:tcPr>
          <w:p>
            <w:pPr>
              <w:widowControl/>
              <w:snapToGrid/>
              <w:spacing w:line="240" w:lineRule="auto"/>
              <w:ind w:firstLine="0" w:firstLineChars="0"/>
              <w:rPr>
                <w:rFonts w:hAnsi="宋体" w:cs="宋体"/>
                <w:kern w:val="0"/>
                <w:sz w:val="18"/>
                <w:szCs w:val="18"/>
              </w:rPr>
            </w:pPr>
            <w:r>
              <w:rPr>
                <w:rFonts w:hint="eastAsia" w:hAnsi="宋体" w:cs="宋体"/>
                <w:kern w:val="0"/>
                <w:sz w:val="18"/>
                <w:szCs w:val="18"/>
              </w:rPr>
              <w:t>其他法律法规规章文件规定应履行的责任。</w:t>
            </w:r>
          </w:p>
        </w:tc>
        <w:tc>
          <w:tcPr>
            <w:tcW w:w="2577"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c>
          <w:tcPr>
            <w:tcW w:w="634" w:type="dxa"/>
            <w:vMerge w:val="continue"/>
            <w:tcBorders>
              <w:top w:val="nil"/>
              <w:left w:val="single" w:color="auto" w:sz="4" w:space="0"/>
              <w:bottom w:val="single" w:color="000000" w:sz="4" w:space="0"/>
              <w:right w:val="single" w:color="auto" w:sz="4" w:space="0"/>
            </w:tcBorders>
            <w:vAlign w:val="center"/>
          </w:tcPr>
          <w:p>
            <w:pPr>
              <w:widowControl/>
              <w:snapToGrid/>
              <w:spacing w:line="240" w:lineRule="auto"/>
              <w:ind w:firstLine="0" w:firstLineChars="0"/>
              <w:jc w:val="left"/>
              <w:rPr>
                <w:rFonts w:hAnsi="宋体" w:cs="宋体"/>
                <w:kern w:val="0"/>
                <w:sz w:val="18"/>
                <w:szCs w:val="18"/>
              </w:rPr>
            </w:pPr>
          </w:p>
        </w:tc>
      </w:tr>
      <w:tr>
        <w:tblPrEx>
          <w:tblCellMar>
            <w:top w:w="0" w:type="dxa"/>
            <w:left w:w="108" w:type="dxa"/>
            <w:bottom w:w="0" w:type="dxa"/>
            <w:right w:w="108" w:type="dxa"/>
          </w:tblCellMar>
        </w:tblPrEx>
        <w:trPr>
          <w:trHeight w:val="397" w:hRule="atLeast"/>
        </w:trPr>
        <w:tc>
          <w:tcPr>
            <w:tcW w:w="14979"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napToGrid/>
              <w:spacing w:line="240" w:lineRule="auto"/>
              <w:ind w:firstLine="0" w:firstLineChars="0"/>
              <w:jc w:val="left"/>
              <w:rPr>
                <w:rFonts w:hAnsi="宋体" w:cs="宋体"/>
                <w:kern w:val="0"/>
                <w:sz w:val="18"/>
                <w:szCs w:val="18"/>
              </w:rPr>
            </w:pPr>
            <w:r>
              <w:rPr>
                <w:rFonts w:hint="eastAsia" w:hAnsi="宋体" w:cs="宋体"/>
                <w:kern w:val="0"/>
                <w:sz w:val="18"/>
                <w:szCs w:val="18"/>
              </w:rPr>
              <w:t xml:space="preserve">服务电话：0377-60160051  投诉机构:南阳市纪委监委驻驻市审计局纪检监察组  投诉电话：0377-60160026  </w:t>
            </w:r>
          </w:p>
        </w:tc>
      </w:tr>
      <w:tr>
        <w:tblPrEx>
          <w:tblCellMar>
            <w:top w:w="0" w:type="dxa"/>
            <w:left w:w="108" w:type="dxa"/>
            <w:bottom w:w="0" w:type="dxa"/>
            <w:right w:w="108" w:type="dxa"/>
          </w:tblCellMar>
        </w:tblPrEx>
        <w:trPr>
          <w:trHeight w:val="397" w:hRule="atLeast"/>
        </w:trPr>
        <w:tc>
          <w:tcPr>
            <w:tcW w:w="14979"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spacing w:line="240" w:lineRule="auto"/>
              <w:ind w:firstLine="0" w:firstLineChars="0"/>
              <w:jc w:val="left"/>
              <w:rPr>
                <w:rFonts w:hAnsi="宋体" w:cs="宋体"/>
                <w:kern w:val="0"/>
                <w:sz w:val="18"/>
                <w:szCs w:val="18"/>
              </w:rPr>
            </w:pPr>
            <w:r>
              <w:rPr>
                <w:rFonts w:hint="eastAsia" w:hAnsi="宋体" w:cs="宋体"/>
                <w:kern w:val="0"/>
                <w:sz w:val="18"/>
                <w:szCs w:val="18"/>
              </w:rPr>
              <w:t>受理地点：南阳市市民中心1号楼三楼西345室</w:t>
            </w:r>
          </w:p>
        </w:tc>
      </w:tr>
    </w:tbl>
    <w:p>
      <w:pPr>
        <w:pStyle w:val="2"/>
        <w:keepNext w:val="0"/>
        <w:keepLines w:val="0"/>
        <w:pageBreakBefore w:val="0"/>
        <w:widowControl w:val="0"/>
        <w:kinsoku/>
        <w:wordWrap/>
        <w:overflowPunct/>
        <w:topLinePunct w:val="0"/>
        <w:autoSpaceDE/>
        <w:autoSpaceDN/>
        <w:bidi w:val="0"/>
        <w:adjustRightInd/>
        <w:snapToGrid w:val="0"/>
        <w:spacing w:after="0" w:line="20" w:lineRule="exact"/>
        <w:ind w:firstLine="0" w:firstLineChars="0"/>
        <w:textAlignment w:val="auto"/>
        <w:rPr>
          <w:sz w:val="18"/>
          <w:szCs w:val="18"/>
        </w:rPr>
      </w:pPr>
    </w:p>
    <w:sectPr>
      <w:pgSz w:w="16838" w:h="11906" w:orient="landscape"/>
      <w:pgMar w:top="1417" w:right="1440" w:bottom="1134" w:left="1440" w:header="851" w:footer="850" w:gutter="0"/>
      <w:pgNumType w:fmt="numberInDash"/>
      <w:cols w:space="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3">
      <wne:acd wne:acdName="acd0"/>
    </wne:keymap>
    <wne:keymap wne:kcmPrimary="055A">
      <wne:acd wne:acdName="acd1"/>
    </wne:keymap>
  </wne:keymaps>
  <wne:acds>
    <wne:acd wne:argValue="AgBsUYdlOgBja4dlKAApf9uPKQA=" wne:acdName="acd0" wne:fciIndexBasedOn="0065"/>
    <wne:acd wne:argValue="AgBsUYdlOgBja4dl"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ind w:firstLine="0" w:firstLineChars="0"/>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firstLine="0" w:firstLineChars="0"/>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0" w:firstLineChars="0"/>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ind w:firstLine="0" w:firstLineChars="0"/>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xZjdiMzEwZDc5NGMwYWE5MjFkOGRjZTAzZWZkMWIifQ=="/>
  </w:docVars>
  <w:rsids>
    <w:rsidRoot w:val="00432687"/>
    <w:rsid w:val="000A5A18"/>
    <w:rsid w:val="000C6BA8"/>
    <w:rsid w:val="001F5D21"/>
    <w:rsid w:val="002010B7"/>
    <w:rsid w:val="0023679B"/>
    <w:rsid w:val="002657F5"/>
    <w:rsid w:val="00312573"/>
    <w:rsid w:val="00335DAD"/>
    <w:rsid w:val="00415F4D"/>
    <w:rsid w:val="004259A8"/>
    <w:rsid w:val="00432687"/>
    <w:rsid w:val="004F669A"/>
    <w:rsid w:val="00566931"/>
    <w:rsid w:val="005805F3"/>
    <w:rsid w:val="005A12AA"/>
    <w:rsid w:val="006B568E"/>
    <w:rsid w:val="006F0EC3"/>
    <w:rsid w:val="006F34FD"/>
    <w:rsid w:val="00AE1569"/>
    <w:rsid w:val="00B207F9"/>
    <w:rsid w:val="00B54B98"/>
    <w:rsid w:val="00BB00AC"/>
    <w:rsid w:val="00C278A4"/>
    <w:rsid w:val="00C50E1C"/>
    <w:rsid w:val="00E10583"/>
    <w:rsid w:val="00E65962"/>
    <w:rsid w:val="00EA5B16"/>
    <w:rsid w:val="00F967D5"/>
    <w:rsid w:val="01C06764"/>
    <w:rsid w:val="021C7630"/>
    <w:rsid w:val="02D71FFA"/>
    <w:rsid w:val="035C18FA"/>
    <w:rsid w:val="0A6726FC"/>
    <w:rsid w:val="0F5D70C5"/>
    <w:rsid w:val="10AB4F02"/>
    <w:rsid w:val="11F8418B"/>
    <w:rsid w:val="120733B2"/>
    <w:rsid w:val="125044C4"/>
    <w:rsid w:val="156306B4"/>
    <w:rsid w:val="160E0421"/>
    <w:rsid w:val="17CB7675"/>
    <w:rsid w:val="199470D0"/>
    <w:rsid w:val="19AF1D8D"/>
    <w:rsid w:val="1D1C5E8C"/>
    <w:rsid w:val="1DCD0060"/>
    <w:rsid w:val="1E043695"/>
    <w:rsid w:val="21F56674"/>
    <w:rsid w:val="223413DD"/>
    <w:rsid w:val="22952FCD"/>
    <w:rsid w:val="26597D3C"/>
    <w:rsid w:val="293145AD"/>
    <w:rsid w:val="2B421339"/>
    <w:rsid w:val="2C3D6A1A"/>
    <w:rsid w:val="2C6732F6"/>
    <w:rsid w:val="2C9362F8"/>
    <w:rsid w:val="2E513812"/>
    <w:rsid w:val="32C1350D"/>
    <w:rsid w:val="352C5D76"/>
    <w:rsid w:val="39E13DBD"/>
    <w:rsid w:val="40200357"/>
    <w:rsid w:val="44371BBD"/>
    <w:rsid w:val="451C00AC"/>
    <w:rsid w:val="47E12D4F"/>
    <w:rsid w:val="48E042B9"/>
    <w:rsid w:val="4B191327"/>
    <w:rsid w:val="4F8C6163"/>
    <w:rsid w:val="52706CA5"/>
    <w:rsid w:val="53D628EC"/>
    <w:rsid w:val="5B2949B5"/>
    <w:rsid w:val="5E0A577D"/>
    <w:rsid w:val="629F123B"/>
    <w:rsid w:val="65F47619"/>
    <w:rsid w:val="689B63E2"/>
    <w:rsid w:val="68B8584F"/>
    <w:rsid w:val="6C1A7F04"/>
    <w:rsid w:val="6D13030B"/>
    <w:rsid w:val="70902282"/>
    <w:rsid w:val="71EE2D3B"/>
    <w:rsid w:val="7337187B"/>
    <w:rsid w:val="748E5B4B"/>
    <w:rsid w:val="75DE53D0"/>
    <w:rsid w:val="77A23069"/>
    <w:rsid w:val="7A5C1115"/>
    <w:rsid w:val="7AB029C4"/>
    <w:rsid w:val="7ADE0E8D"/>
    <w:rsid w:val="7BBD55F7"/>
    <w:rsid w:val="7FAB7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600" w:lineRule="exact"/>
      <w:ind w:firstLine="1044" w:firstLineChars="200"/>
      <w:jc w:val="both"/>
    </w:pPr>
    <w:rPr>
      <w:rFonts w:ascii="仿宋_GB2312" w:hAnsi="仿宋_GB2312" w:eastAsia="仿宋_GB2312" w:cs="Times New Roman"/>
      <w:kern w:val="2"/>
      <w:sz w:val="32"/>
      <w:szCs w:val="24"/>
      <w:lang w:val="en-US" w:eastAsia="zh-CN" w:bidi="ar-SA"/>
    </w:rPr>
  </w:style>
  <w:style w:type="paragraph" w:styleId="3">
    <w:name w:val="heading 1"/>
    <w:basedOn w:val="1"/>
    <w:next w:val="1"/>
    <w:link w:val="12"/>
    <w:qFormat/>
    <w:uiPriority w:val="0"/>
    <w:pPr>
      <w:keepNext/>
      <w:keepLines/>
      <w:adjustRightInd w:val="0"/>
      <w:spacing w:line="700" w:lineRule="exact"/>
      <w:ind w:firstLine="0" w:firstLineChars="0"/>
      <w:jc w:val="center"/>
      <w:outlineLvl w:val="0"/>
    </w:pPr>
    <w:rPr>
      <w:rFonts w:ascii="方正小标宋简体" w:hAnsi="方正小标宋简体" w:eastAsia="方正小标宋_GBK" w:cs="宋体"/>
      <w:bCs/>
      <w:kern w:val="44"/>
      <w:sz w:val="44"/>
      <w:szCs w:val="44"/>
    </w:rPr>
  </w:style>
  <w:style w:type="paragraph" w:styleId="4">
    <w:name w:val="heading 2"/>
    <w:basedOn w:val="1"/>
    <w:next w:val="1"/>
    <w:unhideWhenUsed/>
    <w:qFormat/>
    <w:uiPriority w:val="0"/>
    <w:pPr>
      <w:keepNext/>
      <w:keepLines/>
      <w:ind w:firstLine="880"/>
      <w:outlineLvl w:val="1"/>
    </w:pPr>
    <w:rPr>
      <w:rFonts w:ascii="黑体" w:hAnsi="黑体" w:eastAsia="黑体"/>
    </w:rPr>
  </w:style>
  <w:style w:type="paragraph" w:styleId="5">
    <w:name w:val="heading 3"/>
    <w:basedOn w:val="1"/>
    <w:next w:val="1"/>
    <w:semiHidden/>
    <w:unhideWhenUsed/>
    <w:qFormat/>
    <w:uiPriority w:val="0"/>
    <w:pPr>
      <w:keepNext/>
      <w:keepLines/>
      <w:outlineLvl w:val="2"/>
    </w:pPr>
    <w:rPr>
      <w:rFonts w:ascii="楷体_GB2312" w:hAnsi="楷体_GB2312" w:eastAsia="楷体_GB2312"/>
      <w:b/>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Plain Text"/>
    <w:basedOn w:val="1"/>
    <w:unhideWhenUsed/>
    <w:qFormat/>
    <w:uiPriority w:val="99"/>
    <w:rPr>
      <w:rFonts w:ascii="宋体" w:hAnsi="Courier New" w:cs="Courier New"/>
    </w:rPr>
  </w:style>
  <w:style w:type="paragraph" w:styleId="7">
    <w:name w:val="footer"/>
    <w:basedOn w:val="1"/>
    <w:qFormat/>
    <w:uiPriority w:val="0"/>
    <w:pPr>
      <w:tabs>
        <w:tab w:val="center" w:pos="4153"/>
        <w:tab w:val="right" w:pos="8306"/>
      </w:tabs>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9">
    <w:name w:val="Normal (Web)"/>
    <w:basedOn w:val="1"/>
    <w:qFormat/>
    <w:uiPriority w:val="0"/>
    <w:pPr>
      <w:spacing w:beforeAutospacing="1" w:afterAutospacing="1"/>
      <w:jc w:val="left"/>
    </w:pPr>
    <w:rPr>
      <w:kern w:val="0"/>
      <w:sz w:val="24"/>
    </w:rPr>
  </w:style>
  <w:style w:type="character" w:customStyle="1" w:styleId="12">
    <w:name w:val="标题 1 字符"/>
    <w:link w:val="3"/>
    <w:semiHidden/>
    <w:qFormat/>
    <w:uiPriority w:val="0"/>
    <w:rPr>
      <w:rFonts w:ascii="方正小标宋简体" w:hAnsi="方正小标宋简体" w:eastAsia="方正小标宋_GBK" w:cs="宋体"/>
      <w:bCs/>
      <w:kern w:val="44"/>
      <w:sz w:val="44"/>
      <w:szCs w:val="44"/>
    </w:rPr>
  </w:style>
  <w:style w:type="paragraph" w:customStyle="1" w:styleId="13">
    <w:name w:val="普通(网站)1"/>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4AD318-A544-456E-9AAA-A63284385724}">
  <ds:schemaRefs/>
</ds:datastoreItem>
</file>

<file path=docProps/app.xml><?xml version="1.0" encoding="utf-8"?>
<Properties xmlns="http://schemas.openxmlformats.org/officeDocument/2006/extended-properties" xmlns:vt="http://schemas.openxmlformats.org/officeDocument/2006/docPropsVTypes">
  <Template>Normal</Template>
  <Pages>22</Pages>
  <Words>1862</Words>
  <Characters>10618</Characters>
  <Lines>88</Lines>
  <Paragraphs>24</Paragraphs>
  <TotalTime>4</TotalTime>
  <ScaleCrop>false</ScaleCrop>
  <LinksUpToDate>false</LinksUpToDate>
  <CharactersWithSpaces>12456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2023-08-31T10:47:00Z</dcterms:created>
  <dc:creator>Administrator</dc:creator>
  <cp:lastModifiedBy>Administrator</cp:lastModifiedBy>
  <cp:lastPrinted>2023-08-15T10:46:00Z</cp:lastPrinted>
  <dcterms:modified xsi:type="dcterms:W3CDTF">2023-10-08T09:51:56Z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D97BF699E94E46FE8132815577D1DA09_13</vt:lpwstr>
  </property>
</Properties>
</file>