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jc w:val="both"/>
        <w:textAlignment w:val="auto"/>
        <w:rPr>
          <w:rFonts w:hint="eastAsia" w:ascii="Times New Roman" w:hAnsi="Times New Roman" w:eastAsia="方正小标宋简体" w:cs="Times New Roman"/>
          <w:cap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aps/>
          <w:sz w:val="44"/>
          <w:szCs w:val="44"/>
        </w:rPr>
        <w:t>南阳市基础测绘“十四五”专项规划</w:t>
      </w:r>
      <w:r>
        <w:rPr>
          <w:rFonts w:hint="eastAsia" w:ascii="Times New Roman" w:hAnsi="Times New Roman" w:eastAsia="方正小标宋简体" w:cs="Times New Roman"/>
          <w:caps/>
          <w:sz w:val="44"/>
          <w:szCs w:val="44"/>
          <w:lang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jc w:val="both"/>
        <w:textAlignment w:val="auto"/>
        <w:rPr>
          <w:rFonts w:hint="eastAsia" w:ascii="Times New Roman" w:hAnsi="Times New Roman" w:eastAsia="方正小标宋简体" w:cs="Times New Roman"/>
          <w:caps/>
          <w:sz w:val="44"/>
          <w:szCs w:val="44"/>
          <w:lang w:eastAsia="zh-CN"/>
        </w:rPr>
      </w:pPr>
    </w:p>
    <w:p>
      <w:pPr>
        <w:ind w:firstLine="960" w:firstLineChars="300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南阳市“十四五”基础测绘规划(2021-2025)见下网址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Times New Roman" w:hAnsi="Times New Roman" w:eastAsia="方正小标宋简体" w:cs="Times New Roman"/>
          <w:caps/>
          <w:sz w:val="44"/>
          <w:szCs w:val="44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instrText xml:space="preserve"> HYPERLINK "http://www.nanyang.gov.cn/gk/513104.htm" </w:instrTex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fldChar w:fldCharType="separate"/>
      </w:r>
      <w:r>
        <w:rPr>
          <w:rStyle w:val="9"/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http://www.nanyang.gov.cn/gk//513104.htm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fldChar w:fldCharType="end"/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drawing>
          <wp:inline distT="0" distB="0" distL="114300" distR="114300">
            <wp:extent cx="5758815" cy="3407410"/>
            <wp:effectExtent l="0" t="0" r="1905" b="635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“十四五”时期是南阳市乘势而上、全面开启建设社会主义现代化新征程、迈进新时代的第一个五年规划期；处于全新的机构改革背景下，如何更好的履行《中华人民共和国测绘法》赋予的使命，切实支撑保障自然资源“两统一”职责，更好服务支撑全市国民经济社会发展，已成为南阳市基础测绘工作的一项重要使命。根据《中华人民共和国测绘法》《基础测绘条例》和《河南省测绘管理条例》《全国基础测绘中长期规划纲要（2015-2030）》《全国基础测绘“十四五”规划编制指南》《河南省“十四五”基础测绘规划》及《南阳市国民经济和社会发展第十四个五年规划和二○三五年远景目标纲要》等相关法律法规和政策文件要求，结合全市经济社会发展需要和基础测绘发展实际编制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了《南阳市基础测绘“十四五”专项规划》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期限为五年（2021-2025年）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tabs>
          <w:tab w:val="left" w:pos="4320"/>
        </w:tabs>
        <w:autoSpaceDE w:val="0"/>
        <w:autoSpaceDN w:val="0"/>
        <w:adjustRightInd w:val="0"/>
        <w:spacing w:line="360" w:lineRule="auto"/>
        <w:ind w:firstLine="643" w:firstLineChars="200"/>
        <w:outlineLvl w:val="0"/>
        <w:rPr>
          <w:rFonts w:hint="eastAsia" w:ascii="楷体" w:hAnsi="楷体" w:cs="Times New Roman"/>
          <w:b/>
          <w:bCs/>
          <w:sz w:val="32"/>
          <w:szCs w:val="32"/>
        </w:rPr>
      </w:pPr>
      <w:bookmarkStart w:id="0" w:name="_Toc3539"/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一、</w:t>
      </w:r>
      <w:bookmarkEnd w:id="0"/>
      <w:bookmarkStart w:id="1" w:name="_Toc15489"/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总结</w:t>
      </w:r>
      <w:r>
        <w:rPr>
          <w:rFonts w:hint="eastAsia" w:ascii="楷体" w:hAnsi="楷体" w:cs="Times New Roman"/>
          <w:b/>
          <w:bCs/>
          <w:sz w:val="32"/>
          <w:szCs w:val="32"/>
        </w:rPr>
        <w:fldChar w:fldCharType="begin"/>
      </w:r>
      <w:r>
        <w:rPr>
          <w:rFonts w:hint="eastAsia" w:ascii="楷体" w:hAnsi="楷体" w:cs="Times New Roman"/>
          <w:b/>
          <w:bCs/>
          <w:sz w:val="32"/>
          <w:szCs w:val="32"/>
        </w:rPr>
        <w:instrText xml:space="preserve"> HYPERLINK \l "_Toc58660424" </w:instrText>
      </w:r>
      <w:r>
        <w:rPr>
          <w:rFonts w:hint="eastAsia" w:ascii="楷体" w:hAnsi="楷体" w:cs="Times New Roman"/>
          <w:b/>
          <w:bCs/>
          <w:sz w:val="32"/>
          <w:szCs w:val="32"/>
        </w:rPr>
        <w:fldChar w:fldCharType="separate"/>
      </w:r>
      <w:r>
        <w:rPr>
          <w:rFonts w:hint="eastAsia" w:ascii="楷体" w:hAnsi="楷体" w:cs="Times New Roman"/>
          <w:b/>
          <w:bCs/>
          <w:sz w:val="32"/>
          <w:szCs w:val="32"/>
        </w:rPr>
        <w:t>“十三五”基础测绘地理信息取得的成绩</w:t>
      </w:r>
      <w:r>
        <w:rPr>
          <w:rFonts w:hint="eastAsia" w:ascii="楷体" w:hAnsi="楷体" w:cs="Times New Roman"/>
          <w:b/>
          <w:bCs/>
          <w:sz w:val="32"/>
          <w:szCs w:val="32"/>
        </w:rPr>
        <w:fldChar w:fldCharType="end"/>
      </w:r>
      <w:bookmarkEnd w:id="1"/>
    </w:p>
    <w:p>
      <w:pPr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“十三五”期间，南阳市基础测绘工作紧紧围绕经济社会发展和重大民生工程需要，以数字城市、卫星导航定位基准站、基本比例尺地理信息数据库建设等重大工程为抓手，不断壮大基础测绘的规模与效益，提升测绘服务保障能力和水平，夯实基础测绘逐渐落实，测绘体制机制不断完善，现代化测绘基准持续优化，基础地理信息资源愈加丰富，公共服务水平进一步提升，产业规模不断扩大，测绘地理信息成果推广应用不断深化。“十三五”期间基础测绘直接产值约3亿元，带动测绘地理信息相关产业产值达15亿元，为南阳市经济发展和民众生活提供了坚实的数据基础和技术支撑。</w:t>
      </w:r>
    </w:p>
    <w:p>
      <w:pPr>
        <w:pStyle w:val="10"/>
        <w:numPr>
          <w:ilvl w:val="0"/>
          <w:numId w:val="0"/>
        </w:numPr>
        <w:spacing w:line="360" w:lineRule="auto"/>
        <w:ind w:left="643" w:leftChars="0"/>
        <w:outlineLvl w:val="2"/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</w:rPr>
      </w:pPr>
      <w:bookmarkStart w:id="2" w:name="_Toc7709"/>
      <w:r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</w:rPr>
        <w:t>现代化测绘基准</w:t>
      </w:r>
      <w:bookmarkEnd w:id="2"/>
      <w:r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</w:rPr>
        <w:t>建设日趋完善</w:t>
      </w:r>
    </w:p>
    <w:p>
      <w:pPr>
        <w:tabs>
          <w:tab w:val="left" w:pos="4320"/>
        </w:tabs>
        <w:autoSpaceDE w:val="0"/>
        <w:autoSpaceDN w:val="0"/>
        <w:adjustRightInd w:val="0"/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按照《河南省国土资源厅 河南省测绘地理信息局关于加强使用2000国家大地坐标系的通知》文件要求，南阳市国土资源空间数据2000国家大地坐标系转换工作于2018年完成，主要包含南阳市所辖区县共计1.47TB数据，实现了2000国家大地坐标系推广使用工作要求。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ind w:firstLine="480" w:firstLineChars="200"/>
        <w:contextualSpacing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5400" cy="3819525"/>
            <wp:effectExtent l="0" t="0" r="0" b="5715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320"/>
        </w:tabs>
        <w:autoSpaceDE w:val="0"/>
        <w:autoSpaceDN w:val="0"/>
        <w:adjustRightInd w:val="0"/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依据《河南省卫星导航定位基准站建设总体规划（2016-2020）》的要求，依托市、县测绘主管部门，2017年建设完成了27座卫星导航定位基准站，并纳入省级卫星导航定位基准服务系统，形成了覆盖全市范围内三维、动态、高精度的现代化测绘基准体系。目前已为全市41家测绘资质单位免费提供53个CORS系统账号，北斗卫星导航定位基准服务系统已在自然资源调查、住建、规划、水利、交通、扶贫等领域得到广泛应用。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ind w:firstLine="640" w:firstLineChars="200"/>
        <w:contextualSpacing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drawing>
          <wp:inline distT="0" distB="0" distL="114300" distR="114300">
            <wp:extent cx="3810000" cy="2857500"/>
            <wp:effectExtent l="0" t="0" r="0" b="7620"/>
            <wp:docPr id="14" name="图片 14" descr="3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.web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320"/>
        </w:tabs>
        <w:autoSpaceDE w:val="0"/>
        <w:autoSpaceDN w:val="0"/>
        <w:adjustRightInd w:val="0"/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10"/>
        <w:numPr>
          <w:ilvl w:val="0"/>
          <w:numId w:val="0"/>
        </w:numPr>
        <w:spacing w:line="360" w:lineRule="auto"/>
        <w:ind w:left="643" w:leftChars="0"/>
        <w:outlineLvl w:val="2"/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</w:rPr>
      </w:pPr>
      <w:bookmarkStart w:id="3" w:name="_Toc24013"/>
      <w:r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</w:rPr>
        <w:t>基础地理信息资源日益丰富</w:t>
      </w:r>
      <w:bookmarkEnd w:id="3"/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（1）数字城市、数字县域成果</w:t>
      </w:r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“十三五”期间，数字南阳地理空间框架建设项目（数字南阳）完成，建立了覆盖全市域1∶10000，建成区1∶500、1∶1000、1∶2000、1∶5000多尺度、多类型的基础测绘成果数据库；完成“数字桐柏”、“数字安棚”和“数字石佛寺”地理空间框架建设。其中“数字桐柏”完成了县城规划区45平方千米基础测绘成果数据库和四个示范应用系统；“数字安棚”完成镇建成区及化工城13平方千米范围内1∶1000地形图测绘及数据库建设；“数字石佛寺”完成镇核心区5平方千米1∶500数字地形图修测及数据库建设，镇规划区10平方千米1∶1000数字地形图测绘及数据库建设。</w:t>
      </w:r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（2）基本比例尺地理信息成果</w:t>
      </w:r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contextualSpacing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drawing>
          <wp:inline distT="0" distB="0" distL="114300" distR="114300">
            <wp:extent cx="4716780" cy="2286000"/>
            <wp:effectExtent l="0" t="0" r="7620" b="0"/>
            <wp:docPr id="2" name="图片 2" descr="4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.web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“十三五”期间，完成了南阳市1∶10000比例尺地形图全市覆盖；完成了1∶1000比例尺地形图1018.8平方千米覆盖，主要涉及南阳市规划控制区450平方千米、西峡县城控制区143平方千米、南召县城控制区100平方千米、内乡县城控制区75平方千米、新野县城控制区50平方千米、桐柏县城规划区45平方千米、镇平县城西新区和产业集聚区30平方千米、淅川县覆盖乡镇及村102.8平方千米、桐柏县安鹏镇建成区及化工城13平方千米、镇平县石佛寺镇规划区10平方千米。</w:t>
      </w:r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“自然资源和地理空间数据库”项目于2019年12月顺利通过专家验收。完成了5大类35小类的标准规范制订，完成了国土、规划、交通、水利、卫生、环保、林业、农业和气象等九个行业11个行业专题库建设，形成41个子库共710个图层的自然资源与空间地理数据库。实现统一标准、互联互通、应用拓展、共享服务,为“一张蓝图”提供基础数据支撑，推动市县区实现业务联动、信息协同、精准治理。</w:t>
      </w:r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智慧南阳建筑物和地名地址数据库于2019年4月全部建设完成，建立了规划区450平方千米内的建筑物和地名地址数据库，数据库包含21.83万栋建筑物、9.25万条地名地址信息和60.99万张照片，并搭建了南阳市建筑物与地名地址数据库管理系统，实现建筑物和地名地址数据库的集中统一管理，有效地解决了建筑物地理信息更新难的问题，保障建筑物基础数据库的现势性，为“智慧南阳”的各类典型应用建设提供重要的数据支撑。</w:t>
      </w:r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（3）数字正射影像图成果</w:t>
      </w:r>
    </w:p>
    <w:p>
      <w:pPr>
        <w:tabs>
          <w:tab w:val="left" w:pos="0"/>
          <w:tab w:val="left" w:pos="4320"/>
        </w:tabs>
        <w:autoSpaceDE w:val="0"/>
        <w:autoSpaceDN w:val="0"/>
        <w:adjustRightInd w:val="0"/>
        <w:spacing w:line="60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实现了南阳市亚米级卫星遥感影像全域覆盖；优于0.1米分辨率航空影像覆盖西峡县城控制区143平方千米、内乡县城控制区100平方千米、南召县城控制区100平方千米；优于0.05米分辨率航空影像覆盖桐柏县城规划区45平方千米、方城县中心城区75平方千米。</w:t>
      </w:r>
    </w:p>
    <w:p>
      <w:pPr>
        <w:tabs>
          <w:tab w:val="left" w:pos="0"/>
        </w:tabs>
        <w:spacing w:line="60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（4）三维成果</w:t>
      </w:r>
    </w:p>
    <w:p>
      <w:pPr>
        <w:tabs>
          <w:tab w:val="left" w:pos="0"/>
          <w:tab w:val="left" w:pos="4320"/>
        </w:tabs>
        <w:autoSpaceDE w:val="0"/>
        <w:autoSpaceDN w:val="0"/>
        <w:adjustRightInd w:val="0"/>
        <w:spacing w:line="60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完成了南阳城区125平方千米、桐柏县城规划区45平方千米的三维模型建设，并建设了南阳市三维规划辅助决策系统、桐柏县三维信息管理辅助决策系统等决策管理系统，为规划部门提供了更加真实、直观的城市景观展现，助力科学、合理的进行城市规划与管理。</w:t>
      </w:r>
    </w:p>
    <w:p>
      <w:pPr>
        <w:pStyle w:val="10"/>
        <w:numPr>
          <w:ilvl w:val="0"/>
          <w:numId w:val="0"/>
        </w:numPr>
        <w:spacing w:line="360" w:lineRule="auto"/>
        <w:ind w:left="643" w:leftChars="0"/>
        <w:outlineLvl w:val="2"/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</w:rPr>
      </w:pPr>
      <w:bookmarkStart w:id="4" w:name="_Toc19143"/>
      <w:r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</w:rPr>
        <w:t>地理信息公共服务能力不断提高</w:t>
      </w:r>
    </w:p>
    <w:bookmarkEnd w:id="4"/>
    <w:p>
      <w:pPr>
        <w:spacing w:line="60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bookmarkStart w:id="5" w:name="_Toc29605"/>
      <w:r>
        <w:rPr>
          <w:rFonts w:hint="eastAsia" w:ascii="仿宋" w:hAnsi="仿宋" w:eastAsia="仿宋" w:cs="仿宋_GB2312"/>
          <w:sz w:val="32"/>
          <w:szCs w:val="32"/>
        </w:rPr>
        <w:t>在上述基础地理信息成果的基础上，进行整合加工，提取交通、水系、居民点、境界线等与政务应用和社会化应用紧密相关的数据，建设完成了地理信息公共服务平台公众版“天地图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ascii="仿宋" w:hAnsi="仿宋" w:eastAsia="仿宋" w:cs="仿宋"/>
          <w:sz w:val="32"/>
          <w:szCs w:val="32"/>
        </w:rPr>
        <w:t>南阳”。</w:t>
      </w:r>
      <w:r>
        <w:rPr>
          <w:rFonts w:hint="eastAsia" w:ascii="仿宋" w:hAnsi="仿宋" w:eastAsia="仿宋" w:cs="仿宋_GB2312"/>
          <w:sz w:val="32"/>
          <w:szCs w:val="32"/>
        </w:rPr>
        <w:t>2016年12月取得审图号正式上线运行，2017年经审核评估后接入国家和省级节点。2020年完成了“天地图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ascii="仿宋" w:hAnsi="仿宋" w:eastAsia="仿宋" w:cs="仿宋"/>
          <w:sz w:val="32"/>
          <w:szCs w:val="32"/>
        </w:rPr>
        <w:t>南阳”五统一建设工作。</w:t>
      </w:r>
      <w:r>
        <w:rPr>
          <w:rFonts w:hint="eastAsia" w:ascii="仿宋" w:hAnsi="仿宋" w:eastAsia="仿宋" w:cs="仿宋_GB2312"/>
          <w:sz w:val="32"/>
          <w:szCs w:val="32"/>
        </w:rPr>
        <w:t>2020年“天地图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ascii="仿宋" w:hAnsi="仿宋" w:eastAsia="仿宋" w:cs="仿宋"/>
          <w:sz w:val="32"/>
          <w:szCs w:val="32"/>
        </w:rPr>
        <w:t>南阳”服务于新型冠状病毒疫情防控工作，通过信息平台网站发布每日疫情分布图，在打赢疫情防控阻击战中发挥了积极的作用。</w:t>
      </w:r>
    </w:p>
    <w:p>
      <w:pPr>
        <w:spacing w:line="600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“多规合一”</w:t>
      </w:r>
      <w:r>
        <w:rPr>
          <w:rFonts w:hint="eastAsia" w:ascii="仿宋" w:hAnsi="仿宋" w:eastAsia="仿宋" w:cs="仿宋"/>
          <w:sz w:val="32"/>
          <w:szCs w:val="32"/>
        </w:rPr>
        <w:t>业务协同平台于2019年10月上线运行，为各部门、各区县开通了248个平台账号，实现了部门空间信息共享和线上会商，为工程建设项目审批制度改革、增速提效提供了助力。目前已有63个项目通过平台进行策划生成，138个项目通过平台进行了意见征集。</w:t>
      </w:r>
    </w:p>
    <w:p>
      <w:pPr>
        <w:spacing w:line="600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自然资源和规划一体化业务管理平台于2020年6月1日正式上线试运行，率先在河南省开启原国土和原规划业务信息化整合及应用。截止目前，864条公文通过一体化平台进行办理，46条审批事项已启动运行。</w:t>
      </w:r>
    </w:p>
    <w:bookmarkEnd w:id="5"/>
    <w:p>
      <w:pPr>
        <w:tabs>
          <w:tab w:val="left" w:pos="2442"/>
        </w:tabs>
      </w:pPr>
      <w:r>
        <w:tab/>
      </w:r>
    </w:p>
    <w:p>
      <w:pP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drawing>
          <wp:inline distT="0" distB="0" distL="114300" distR="114300">
            <wp:extent cx="3810000" cy="2857500"/>
            <wp:effectExtent l="0" t="0" r="0" b="7620"/>
            <wp:docPr id="1" name="图片 1" descr="3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.web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南阳市“十四五”基础测绘规划(2021-2025)</w:t>
      </w:r>
    </w:p>
    <w:p>
      <w:pP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instrText xml:space="preserve"> HYPERLINK "http://www.nanyang.gov.cn/gk/513104.htm" </w:instrTex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fldChar w:fldCharType="separate"/>
      </w:r>
      <w:r>
        <w:rPr>
          <w:rStyle w:val="9"/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http://www.nanyang.gov.cn/gk//513104.htm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fldChar w:fldCharType="end"/>
      </w:r>
    </w:p>
    <w:p>
      <w:pP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17" w:bottom="1701" w:left="1417" w:header="851" w:footer="113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3749389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3749389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spacing w:line="360" w:lineRule="auto"/>
      <w:ind w:right="278"/>
      <w:jc w:val="left"/>
      <w:rPr>
        <w:rFonts w:ascii="Times New Roman" w:hAnsi="Times New Roman" w:eastAsia="仿宋" w:cs="Times New Roman"/>
        <w:sz w:val="18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DEzZjFiMTg5MWIwZmQ2MTllNGE1MjE3ODlhMGQifQ=="/>
  </w:docVars>
  <w:rsids>
    <w:rsidRoot w:val="329020E7"/>
    <w:rsid w:val="2DEC06A8"/>
    <w:rsid w:val="31320ADB"/>
    <w:rsid w:val="3290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50" w:beforeLines="50" w:after="50" w:afterLines="50" w:line="360" w:lineRule="auto"/>
      <w:ind w:firstLine="200" w:firstLineChars="200"/>
      <w:outlineLvl w:val="1"/>
    </w:pPr>
    <w:rPr>
      <w:rFonts w:ascii="Arial" w:hAnsi="Arial" w:eastAsia="楷体"/>
      <w:b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2459</Words>
  <Characters>2633</Characters>
  <Lines>0</Lines>
  <Paragraphs>0</Paragraphs>
  <TotalTime>0</TotalTime>
  <ScaleCrop>false</ScaleCrop>
  <LinksUpToDate>false</LinksUpToDate>
  <CharactersWithSpaces>2639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2022-12-15T02:06:00Z</dcterms:created>
  <dc:creator>蓝天白云</dc:creator>
  <cp:lastModifiedBy>青丝</cp:lastModifiedBy>
  <dcterms:modified xsi:type="dcterms:W3CDTF">2022-12-20T03:09:50Z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2394521619B44611A11C86888C76E734</vt:lpwstr>
  </property>
</Properties>
</file>