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80" w:lineRule="exact"/>
        <w:jc w:val="center"/>
        <w:rPr>
          <w:rFonts w:hint="eastAsia" w:ascii="黑体" w:hAnsi="黑体" w:eastAsia="黑体" w:cs="黑体"/>
          <w:color w:val="auto"/>
          <w:sz w:val="44"/>
          <w:szCs w:val="44"/>
        </w:rPr>
      </w:pPr>
      <w:r>
        <w:rPr>
          <w:rFonts w:hint="eastAsia" w:ascii="黑体" w:hAnsi="黑体" w:eastAsia="黑体" w:cs="黑体"/>
          <w:color w:val="auto"/>
          <w:sz w:val="44"/>
          <w:szCs w:val="44"/>
        </w:rPr>
        <w:t>南阳市民政局保留</w:t>
      </w:r>
      <w:r>
        <w:rPr>
          <w:rFonts w:hint="eastAsia" w:ascii="黑体" w:hAnsi="黑体" w:eastAsia="黑体" w:cs="黑体"/>
          <w:color w:val="auto"/>
          <w:sz w:val="44"/>
          <w:szCs w:val="44"/>
          <w:lang w:eastAsia="zh-CN"/>
        </w:rPr>
        <w:t>的</w:t>
      </w:r>
      <w:r>
        <w:rPr>
          <w:rFonts w:hint="eastAsia" w:ascii="黑体" w:hAnsi="黑体" w:eastAsia="黑体" w:cs="黑体"/>
          <w:color w:val="auto"/>
          <w:sz w:val="44"/>
          <w:szCs w:val="44"/>
        </w:rPr>
        <w:t>权责清单</w:t>
      </w:r>
    </w:p>
    <w:tbl>
      <w:tblPr>
        <w:tblStyle w:val="5"/>
        <w:tblW w:w="150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450"/>
        <w:gridCol w:w="1590"/>
        <w:gridCol w:w="7075"/>
        <w:gridCol w:w="586"/>
        <w:gridCol w:w="982"/>
        <w:gridCol w:w="3075"/>
        <w:gridCol w:w="13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67" w:hRule="atLeast"/>
          <w:jc w:val="center"/>
        </w:trPr>
        <w:tc>
          <w:tcPr>
            <w:tcW w:w="450"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序号</w:t>
            </w:r>
          </w:p>
        </w:tc>
        <w:tc>
          <w:tcPr>
            <w:tcW w:w="1590"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项目名称</w:t>
            </w:r>
          </w:p>
        </w:tc>
        <w:tc>
          <w:tcPr>
            <w:tcW w:w="7075"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实施依据</w:t>
            </w:r>
          </w:p>
        </w:tc>
        <w:tc>
          <w:tcPr>
            <w:tcW w:w="5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职权类别</w:t>
            </w: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办理</w:t>
            </w:r>
          </w:p>
          <w:p>
            <w:pPr>
              <w:widowControl/>
              <w:wordWrap/>
              <w:adjustRightInd/>
              <w:snapToGrid/>
              <w:spacing w:before="0" w:after="0" w:line="300" w:lineRule="exact"/>
              <w:ind w:left="0" w:leftChars="0" w:right="0" w:firstLine="0" w:firstLineChars="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环节</w:t>
            </w:r>
          </w:p>
        </w:tc>
        <w:tc>
          <w:tcPr>
            <w:tcW w:w="3075"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责任事项</w:t>
            </w:r>
          </w:p>
        </w:tc>
        <w:tc>
          <w:tcPr>
            <w:tcW w:w="1305"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责任处室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87" w:hRule="atLeast"/>
          <w:jc w:val="center"/>
        </w:trPr>
        <w:tc>
          <w:tcPr>
            <w:tcW w:w="45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1</w:t>
            </w:r>
          </w:p>
        </w:tc>
        <w:tc>
          <w:tcPr>
            <w:tcW w:w="1590" w:type="dxa"/>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建设殡仪服务站及骨灰堂审批</w:t>
            </w:r>
          </w:p>
        </w:tc>
        <w:tc>
          <w:tcPr>
            <w:tcW w:w="7075" w:type="dxa"/>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《殡葬管理条例</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1997年7月21日国务院令225号，2012年11月予以修改</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 xml:space="preserve">第三条：国务院民政部门负责全国的殡葬管理工作。县级以上地方人民政府民政部门负责本行政区域内的殡葬管理工作。第八条：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农村为村民设置公益性墓地，经乡级人民政府审核同意后，报县级人民政府民政部门审批。                         </w:t>
            </w:r>
            <w:r>
              <w:rPr>
                <w:rFonts w:hint="eastAsia" w:ascii="仿宋_GB2312" w:hAnsi="仿宋_GB2312" w:eastAsia="仿宋_GB2312" w:cs="仿宋_GB2312"/>
                <w:color w:val="auto"/>
                <w:kern w:val="0"/>
                <w:sz w:val="22"/>
                <w:szCs w:val="22"/>
                <w:lang w:val="en-US" w:eastAsia="zh-CN"/>
              </w:rPr>
              <w:t xml:space="preserve">     </w:t>
            </w:r>
          </w:p>
        </w:tc>
        <w:tc>
          <w:tcPr>
            <w:tcW w:w="586"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行政许可</w:t>
            </w: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收件</w:t>
            </w:r>
          </w:p>
        </w:tc>
        <w:tc>
          <w:tcPr>
            <w:tcW w:w="3075"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综合受理窗口公示应提交的材料，一次性告知补正材料。</w:t>
            </w:r>
          </w:p>
        </w:tc>
        <w:tc>
          <w:tcPr>
            <w:tcW w:w="1305"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行政审批</w:t>
            </w:r>
            <w:r>
              <w:rPr>
                <w:rFonts w:hint="eastAsia" w:ascii="仿宋_GB2312" w:hAnsi="仿宋_GB2312" w:eastAsia="仿宋_GB2312" w:cs="仿宋_GB2312"/>
                <w:color w:val="auto"/>
                <w:kern w:val="0"/>
                <w:sz w:val="22"/>
                <w:szCs w:val="22"/>
                <w:lang w:val="en-US" w:eastAsia="zh-CN"/>
              </w:rPr>
              <w:t>服务</w:t>
            </w:r>
            <w:r>
              <w:rPr>
                <w:rFonts w:hint="eastAsia" w:ascii="仿宋_GB2312" w:hAnsi="仿宋_GB2312" w:eastAsia="仿宋_GB2312" w:cs="仿宋_GB2312"/>
                <w:color w:val="auto"/>
                <w:kern w:val="0"/>
                <w:sz w:val="22"/>
                <w:szCs w:val="22"/>
              </w:rPr>
              <w:t>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10"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75"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w:t>
            </w:r>
          </w:p>
        </w:tc>
        <w:tc>
          <w:tcPr>
            <w:tcW w:w="3075"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对申请材料进行初步审核，受理或不予受理（不予受理的依法告知理由）。</w:t>
            </w:r>
          </w:p>
        </w:tc>
        <w:tc>
          <w:tcPr>
            <w:tcW w:w="1305"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行政审批</w:t>
            </w:r>
            <w:r>
              <w:rPr>
                <w:rFonts w:hint="eastAsia" w:ascii="仿宋_GB2312" w:hAnsi="仿宋_GB2312" w:eastAsia="仿宋_GB2312" w:cs="仿宋_GB2312"/>
                <w:color w:val="auto"/>
                <w:kern w:val="0"/>
                <w:sz w:val="22"/>
                <w:szCs w:val="22"/>
                <w:lang w:val="en-US" w:eastAsia="zh-CN"/>
              </w:rPr>
              <w:t>服务</w:t>
            </w:r>
            <w:r>
              <w:rPr>
                <w:rFonts w:hint="eastAsia" w:ascii="仿宋_GB2312" w:hAnsi="仿宋_GB2312" w:eastAsia="仿宋_GB2312" w:cs="仿宋_GB2312"/>
                <w:color w:val="auto"/>
                <w:kern w:val="0"/>
                <w:sz w:val="22"/>
                <w:szCs w:val="22"/>
              </w:rPr>
              <w:t>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79"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75"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审核</w:t>
            </w:r>
          </w:p>
        </w:tc>
        <w:tc>
          <w:tcPr>
            <w:tcW w:w="3075"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科室对申报材料内容进行审查，并提交局长办公会研究。</w:t>
            </w:r>
          </w:p>
        </w:tc>
        <w:tc>
          <w:tcPr>
            <w:tcW w:w="1305"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行政审批</w:t>
            </w:r>
            <w:r>
              <w:rPr>
                <w:rFonts w:hint="eastAsia" w:ascii="仿宋_GB2312" w:hAnsi="仿宋_GB2312" w:eastAsia="仿宋_GB2312" w:cs="仿宋_GB2312"/>
                <w:color w:val="auto"/>
                <w:kern w:val="0"/>
                <w:sz w:val="22"/>
                <w:szCs w:val="22"/>
                <w:lang w:val="en-US" w:eastAsia="zh-CN"/>
              </w:rPr>
              <w:t>服务</w:t>
            </w:r>
            <w:r>
              <w:rPr>
                <w:rFonts w:hint="eastAsia" w:ascii="仿宋_GB2312" w:hAnsi="仿宋_GB2312" w:eastAsia="仿宋_GB2312" w:cs="仿宋_GB2312"/>
                <w:color w:val="auto"/>
                <w:kern w:val="0"/>
                <w:sz w:val="22"/>
                <w:szCs w:val="22"/>
              </w:rPr>
              <w:t>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20"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75"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w:t>
            </w:r>
          </w:p>
        </w:tc>
        <w:tc>
          <w:tcPr>
            <w:tcW w:w="3075"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大厅综合受理窗口将相关材料送达申请人。</w:t>
            </w:r>
          </w:p>
        </w:tc>
        <w:tc>
          <w:tcPr>
            <w:tcW w:w="1305"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行政审批</w:t>
            </w:r>
            <w:r>
              <w:rPr>
                <w:rFonts w:hint="eastAsia" w:ascii="仿宋_GB2312" w:hAnsi="仿宋_GB2312" w:eastAsia="仿宋_GB2312" w:cs="仿宋_GB2312"/>
                <w:color w:val="auto"/>
                <w:kern w:val="0"/>
                <w:sz w:val="22"/>
                <w:szCs w:val="22"/>
                <w:lang w:val="en-US" w:eastAsia="zh-CN"/>
              </w:rPr>
              <w:t>服务</w:t>
            </w:r>
            <w:r>
              <w:rPr>
                <w:rFonts w:hint="eastAsia" w:ascii="仿宋_GB2312" w:hAnsi="仿宋_GB2312" w:eastAsia="仿宋_GB2312" w:cs="仿宋_GB2312"/>
                <w:color w:val="auto"/>
                <w:kern w:val="0"/>
                <w:sz w:val="22"/>
                <w:szCs w:val="22"/>
              </w:rPr>
              <w:t>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15063" w:type="dxa"/>
            <w:gridSpan w:val="7"/>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服务电话： 0377-6</w:t>
            </w:r>
            <w:r>
              <w:rPr>
                <w:rFonts w:hint="eastAsia" w:ascii="仿宋_GB2312" w:hAnsi="仿宋_GB2312" w:eastAsia="仿宋_GB2312" w:cs="仿宋_GB2312"/>
                <w:color w:val="auto"/>
                <w:kern w:val="0"/>
                <w:sz w:val="22"/>
                <w:szCs w:val="22"/>
                <w:lang w:val="en-US" w:eastAsia="zh-CN"/>
              </w:rPr>
              <w:t>1387716</w:t>
            </w:r>
            <w:r>
              <w:rPr>
                <w:rFonts w:hint="eastAsia" w:ascii="仿宋_GB2312" w:hAnsi="仿宋_GB2312" w:eastAsia="仿宋_GB2312" w:cs="仿宋_GB2312"/>
                <w:color w:val="auto"/>
                <w:kern w:val="0"/>
                <w:sz w:val="22"/>
                <w:szCs w:val="22"/>
              </w:rPr>
              <w:t xml:space="preserve">                 投诉机构:南阳市纪委监委驻市民政局纪检监察组                     投诉电话：0377-63137277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15063" w:type="dxa"/>
            <w:gridSpan w:val="7"/>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受理地点： 南阳市范蠡路1666号3号楼一楼北厅综合受理窗口</w:t>
            </w:r>
          </w:p>
        </w:tc>
      </w:tr>
    </w:tbl>
    <w:tbl>
      <w:tblPr>
        <w:tblStyle w:val="5"/>
        <w:tblpPr w:leftFromText="180" w:rightFromText="180" w:vertAnchor="text" w:horzAnchor="page" w:tblpX="837" w:tblpY="222"/>
        <w:tblOverlap w:val="never"/>
        <w:tblW w:w="15263" w:type="dxa"/>
        <w:tblInd w:w="-1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450"/>
        <w:gridCol w:w="1573"/>
        <w:gridCol w:w="7092"/>
        <w:gridCol w:w="604"/>
        <w:gridCol w:w="964"/>
        <w:gridCol w:w="3250"/>
        <w:gridCol w:w="13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06" w:hRule="atLeast"/>
        </w:trPr>
        <w:tc>
          <w:tcPr>
            <w:tcW w:w="45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序号</w:t>
            </w:r>
          </w:p>
        </w:tc>
        <w:tc>
          <w:tcPr>
            <w:tcW w:w="1573"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项目名称</w:t>
            </w:r>
          </w:p>
        </w:tc>
        <w:tc>
          <w:tcPr>
            <w:tcW w:w="7092" w:type="dxa"/>
            <w:tcMar>
              <w:top w:w="15" w:type="dxa"/>
              <w:left w:w="15" w:type="dxa"/>
              <w:right w:w="15" w:type="dxa"/>
            </w:tcMar>
            <w:vAlign w:val="top"/>
          </w:tcPr>
          <w:p>
            <w:pPr>
              <w:pStyle w:val="2"/>
              <w:widowControl w:val="0"/>
              <w:wordWrap/>
              <w:adjustRightInd/>
              <w:snapToGrid/>
              <w:spacing w:before="0" w:after="0" w:line="300" w:lineRule="exact"/>
              <w:ind w:left="0" w:leftChars="0" w:right="0" w:firstLine="0" w:firstLineChars="0"/>
              <w:jc w:val="center"/>
              <w:textAlignment w:val="auto"/>
              <w:outlineLvl w:val="9"/>
              <w:rPr>
                <w:rFonts w:hint="eastAsia" w:ascii="黑体" w:hAnsi="黑体" w:eastAsia="黑体" w:cs="黑体"/>
                <w:color w:val="auto"/>
                <w:sz w:val="22"/>
                <w:szCs w:val="22"/>
                <w:lang w:eastAsia="zh-CN"/>
              </w:rPr>
            </w:pPr>
          </w:p>
          <w:p>
            <w:pPr>
              <w:pStyle w:val="2"/>
              <w:widowControl w:val="0"/>
              <w:wordWrap/>
              <w:adjustRightInd/>
              <w:snapToGrid/>
              <w:spacing w:before="0" w:after="0" w:line="300" w:lineRule="exact"/>
              <w:ind w:left="0" w:leftChars="0" w:right="0" w:firstLine="0" w:firstLineChars="0"/>
              <w:jc w:val="center"/>
              <w:textAlignment w:val="auto"/>
              <w:outlineLvl w:val="9"/>
              <w:rPr>
                <w:rFonts w:hint="eastAsia" w:ascii="黑体" w:hAnsi="黑体" w:eastAsia="黑体" w:cs="黑体"/>
                <w:color w:val="auto"/>
                <w:sz w:val="22"/>
                <w:szCs w:val="22"/>
                <w:lang w:eastAsia="zh-CN"/>
              </w:rPr>
            </w:pPr>
            <w:r>
              <w:rPr>
                <w:rFonts w:hint="eastAsia" w:ascii="黑体" w:hAnsi="黑体" w:eastAsia="黑体" w:cs="黑体"/>
                <w:color w:val="auto"/>
                <w:sz w:val="22"/>
                <w:szCs w:val="22"/>
                <w:lang w:eastAsia="zh-CN"/>
              </w:rPr>
              <w:t>实施依据</w:t>
            </w:r>
          </w:p>
        </w:tc>
        <w:tc>
          <w:tcPr>
            <w:tcW w:w="60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职权类别</w:t>
            </w:r>
          </w:p>
        </w:tc>
        <w:tc>
          <w:tcPr>
            <w:tcW w:w="96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办理</w:t>
            </w:r>
          </w:p>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环节</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责任事项</w:t>
            </w:r>
          </w:p>
        </w:tc>
        <w:tc>
          <w:tcPr>
            <w:tcW w:w="133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sz w:val="22"/>
                <w:szCs w:val="22"/>
                <w:lang w:eastAsia="zh-CN"/>
              </w:rPr>
            </w:pPr>
            <w:r>
              <w:rPr>
                <w:rFonts w:hint="eastAsia" w:ascii="黑体" w:hAnsi="黑体" w:eastAsia="黑体" w:cs="黑体"/>
                <w:color w:val="auto"/>
                <w:sz w:val="22"/>
                <w:szCs w:val="22"/>
                <w:lang w:eastAsia="zh-CN"/>
              </w:rPr>
              <w:t>责任处室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41" w:hRule="atLeast"/>
        </w:trPr>
        <w:tc>
          <w:tcPr>
            <w:tcW w:w="45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kern w:val="0"/>
                <w:sz w:val="22"/>
                <w:szCs w:val="22"/>
              </w:rPr>
              <w:t>2</w:t>
            </w:r>
          </w:p>
        </w:tc>
        <w:tc>
          <w:tcPr>
            <w:tcW w:w="1573" w:type="dxa"/>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社会团体成立、变更、注销登记</w:t>
            </w:r>
          </w:p>
        </w:tc>
        <w:tc>
          <w:tcPr>
            <w:tcW w:w="7092" w:type="dxa"/>
            <w:vMerge w:val="restart"/>
            <w:tcMar>
              <w:top w:w="15" w:type="dxa"/>
              <w:left w:w="15" w:type="dxa"/>
              <w:right w:w="15" w:type="dxa"/>
            </w:tcMar>
            <w:vAlign w:val="top"/>
          </w:tcPr>
          <w:p>
            <w:pPr>
              <w:widowControl/>
              <w:wordWrap/>
              <w:adjustRightInd/>
              <w:snapToGrid/>
              <w:spacing w:before="0" w:after="0" w:line="300" w:lineRule="exact"/>
              <w:ind w:left="0" w:leftChars="0" w:right="0"/>
              <w:jc w:val="left"/>
              <w:textAlignment w:val="top"/>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团体登记管理条例》（国务院令第250号）第六条：国务院民政部门和县级以上地方各级人民政府民政部门是本级人民政府的社会团体登记管理机关（以下简称登记管理机关）。国务院有关部门和县级以上地方各级人民政府有关部门、国务院或者县级以上地方各级人民政府授权的组织，是有关行业、学科或者业务范围内社会团体的业务主管单位（以下简称业务主管单位）。法律、行政法规对社会团体的监督管理另有规定的，依照有关法律、行政法规的规定执行。第七条：全国性的社会团体，由国务院的登记管理机关负责登记管理；地方性的社会团体，由所在地人民政府的登记管理机关负责登记管理；跨行政区域的社会团体，由所跨行政区域的共同上一级人民政府的登记管理机关负责登记管理。</w:t>
            </w:r>
            <w:r>
              <w:rPr>
                <w:rFonts w:hint="eastAsia" w:ascii="仿宋_GB2312" w:hAnsi="仿宋_GB2312" w:eastAsia="仿宋_GB2312" w:cs="仿宋_GB2312"/>
                <w:b w:val="0"/>
                <w:bCs w:val="0"/>
                <w:color w:val="auto"/>
                <w:kern w:val="0"/>
                <w:sz w:val="22"/>
                <w:szCs w:val="22"/>
              </w:rPr>
              <w:t>第十一条：申请登记社会团体，发起人应当向登记管理机关提交下列文件：(一)登记申请书；(二)业务主管单位的批准文件；(三)验资报告、场所使用权证明；(四)发起人和拟任负责人的基本情况、身份证明；(五)章程草案。第十二条：登记管理机关应当自收到本条例第十一条所列全部有效文件之日起60日内，作出准予或者不予登记的决定。准予登记的，发给《社会团体法人登记证书》；不予登记的，应当向发起人说明理由。社会团体登记事项包括：名称、住所、宗旨、业务范围、活动地域、法定代表人、活动资金和业务主管单位。社会团体的法定代表人，不得同时担任其他社会团体的法定代表人。第十九条：社会团体有下列情形之一的，应当在业务主管单位审查同意后，向登记管理机关申请注销登记：(一)完成社会团体章程规定的宗旨的；(二)自行解散的；(三)分立、合并的；(四)由于其他原因终止的。第二十一条：社会团体应当自清算结束之日起15日内向登记管理机关办理注销登记。办理注销登记，应当提交法定代表人签署的注销登记申请书、业务主管单位的审查文件和清算报告书。登记管理机关准予注销登记的，发给注销证明文件，收缴该社会团体的登记证书、印章和财务凭证。</w:t>
            </w:r>
          </w:p>
        </w:tc>
        <w:tc>
          <w:tcPr>
            <w:tcW w:w="604"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行政许可</w:t>
            </w:r>
          </w:p>
        </w:tc>
        <w:tc>
          <w:tcPr>
            <w:tcW w:w="96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收件</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收件责任：对办事人提供的材料进行核查，申请材料齐全，予以收件；材料不完整的，退回并告知原因。</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32" w:hRule="atLeast"/>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vMerge w:val="continue"/>
            <w:tcMar>
              <w:top w:w="15" w:type="dxa"/>
              <w:left w:w="15" w:type="dxa"/>
              <w:right w:w="15" w:type="dxa"/>
            </w:tcMar>
            <w:vAlign w:val="top"/>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0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6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受理责任：对申请材料进行初审，材料符合相关要求的，予以受理，出具《受理通知书》；材料不符合相关要求的，不予受理，出具《不予受理通知书》，并说明理由。</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rightChars="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32" w:hRule="atLeast"/>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vMerge w:val="continue"/>
            <w:tcMar>
              <w:top w:w="15" w:type="dxa"/>
              <w:left w:w="15" w:type="dxa"/>
              <w:right w:w="15" w:type="dxa"/>
            </w:tcMar>
            <w:vAlign w:val="top"/>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0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6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审核</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审核责任：对材料内容进行审核；按照法律法规规定，需启动特殊环节的，依法进行辅助审查。审核通过，上报审批；审核不通过，退回材料并告知原因。</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rightChars="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90" w:hRule="atLeast"/>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vMerge w:val="continue"/>
            <w:tcMar>
              <w:top w:w="15" w:type="dxa"/>
              <w:left w:w="15" w:type="dxa"/>
              <w:right w:w="15" w:type="dxa"/>
            </w:tcMar>
            <w:vAlign w:val="top"/>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0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6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送达责任：按规定送达当事人。</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3" w:hRule="atLeast"/>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vMerge w:val="continue"/>
            <w:tcMar>
              <w:top w:w="15" w:type="dxa"/>
              <w:left w:w="15" w:type="dxa"/>
              <w:right w:w="15" w:type="dxa"/>
            </w:tcMar>
            <w:vAlign w:val="top"/>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0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64"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其他法律法规规章文件规定应履行的责任。</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3" w:hRule="atLeast"/>
        </w:trPr>
        <w:tc>
          <w:tcPr>
            <w:tcW w:w="45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序号</w:t>
            </w:r>
          </w:p>
        </w:tc>
        <w:tc>
          <w:tcPr>
            <w:tcW w:w="1573"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rPr>
            </w:pPr>
            <w:r>
              <w:rPr>
                <w:rFonts w:hint="eastAsia" w:ascii="黑体" w:hAnsi="黑体" w:eastAsia="黑体" w:cs="黑体"/>
                <w:color w:val="auto"/>
                <w:kern w:val="0"/>
                <w:sz w:val="22"/>
                <w:szCs w:val="22"/>
                <w:lang w:eastAsia="zh-CN"/>
              </w:rPr>
              <w:t>项目名称</w:t>
            </w:r>
          </w:p>
        </w:tc>
        <w:tc>
          <w:tcPr>
            <w:tcW w:w="7092" w:type="dxa"/>
            <w:tcMar>
              <w:top w:w="15" w:type="dxa"/>
              <w:left w:w="15" w:type="dxa"/>
              <w:right w:w="15" w:type="dxa"/>
            </w:tcMar>
            <w:vAlign w:val="top"/>
          </w:tcPr>
          <w:p>
            <w:pPr>
              <w:pStyle w:val="2"/>
              <w:widowControl w:val="0"/>
              <w:wordWrap/>
              <w:adjustRightInd/>
              <w:snapToGrid/>
              <w:spacing w:before="0" w:after="0" w:line="300" w:lineRule="exact"/>
              <w:ind w:left="0" w:leftChars="0" w:right="0" w:firstLine="0" w:firstLineChars="0"/>
              <w:jc w:val="center"/>
              <w:textAlignment w:val="auto"/>
              <w:outlineLvl w:val="9"/>
              <w:rPr>
                <w:rFonts w:hint="eastAsia" w:ascii="黑体" w:hAnsi="黑体" w:eastAsia="黑体" w:cs="黑体"/>
                <w:color w:val="auto"/>
                <w:sz w:val="22"/>
                <w:szCs w:val="22"/>
                <w:lang w:eastAsia="zh-CN"/>
              </w:rPr>
            </w:pPr>
          </w:p>
          <w:p>
            <w:pPr>
              <w:pStyle w:val="2"/>
              <w:widowControl w:val="0"/>
              <w:wordWrap/>
              <w:adjustRightInd/>
              <w:snapToGrid/>
              <w:spacing w:before="0" w:after="0" w:line="300" w:lineRule="exact"/>
              <w:ind w:left="0" w:leftChars="0" w:right="0" w:firstLine="0" w:firstLineChars="0"/>
              <w:jc w:val="center"/>
              <w:textAlignment w:val="auto"/>
              <w:outlineLvl w:val="9"/>
              <w:rPr>
                <w:rFonts w:hint="eastAsia" w:ascii="黑体" w:hAnsi="黑体" w:eastAsia="黑体" w:cs="黑体"/>
                <w:color w:val="auto"/>
                <w:kern w:val="0"/>
                <w:sz w:val="22"/>
                <w:szCs w:val="22"/>
              </w:rPr>
            </w:pPr>
            <w:r>
              <w:rPr>
                <w:rFonts w:hint="eastAsia" w:ascii="黑体" w:hAnsi="黑体" w:eastAsia="黑体" w:cs="黑体"/>
                <w:color w:val="auto"/>
                <w:sz w:val="22"/>
                <w:szCs w:val="22"/>
                <w:lang w:eastAsia="zh-CN"/>
              </w:rPr>
              <w:t>实施依据</w:t>
            </w:r>
          </w:p>
        </w:tc>
        <w:tc>
          <w:tcPr>
            <w:tcW w:w="60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rPr>
            </w:pPr>
            <w:r>
              <w:rPr>
                <w:rFonts w:hint="eastAsia" w:ascii="黑体" w:hAnsi="黑体" w:eastAsia="黑体" w:cs="黑体"/>
                <w:color w:val="auto"/>
                <w:kern w:val="0"/>
                <w:sz w:val="22"/>
                <w:szCs w:val="22"/>
                <w:lang w:eastAsia="zh-CN"/>
              </w:rPr>
              <w:t>职权类别</w:t>
            </w:r>
          </w:p>
        </w:tc>
        <w:tc>
          <w:tcPr>
            <w:tcW w:w="96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办理</w:t>
            </w:r>
          </w:p>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rPr>
            </w:pPr>
            <w:r>
              <w:rPr>
                <w:rFonts w:hint="eastAsia" w:ascii="黑体" w:hAnsi="黑体" w:eastAsia="黑体" w:cs="黑体"/>
                <w:color w:val="auto"/>
                <w:kern w:val="0"/>
                <w:sz w:val="22"/>
                <w:szCs w:val="22"/>
                <w:lang w:eastAsia="zh-CN"/>
              </w:rPr>
              <w:t>环节</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rPr>
            </w:pPr>
            <w:r>
              <w:rPr>
                <w:rFonts w:hint="eastAsia" w:ascii="黑体" w:hAnsi="黑体" w:eastAsia="黑体" w:cs="黑体"/>
                <w:color w:val="auto"/>
                <w:kern w:val="0"/>
                <w:sz w:val="22"/>
                <w:szCs w:val="22"/>
                <w:lang w:eastAsia="zh-CN"/>
              </w:rPr>
              <w:t>责任事项</w:t>
            </w:r>
          </w:p>
        </w:tc>
        <w:tc>
          <w:tcPr>
            <w:tcW w:w="133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sz w:val="22"/>
                <w:szCs w:val="22"/>
              </w:rPr>
            </w:pPr>
            <w:r>
              <w:rPr>
                <w:rFonts w:hint="eastAsia" w:ascii="黑体" w:hAnsi="黑体" w:eastAsia="黑体" w:cs="黑体"/>
                <w:color w:val="auto"/>
                <w:sz w:val="22"/>
                <w:szCs w:val="22"/>
                <w:lang w:eastAsia="zh-CN"/>
              </w:rPr>
              <w:t>责任处室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74" w:hRule="atLeast"/>
        </w:trPr>
        <w:tc>
          <w:tcPr>
            <w:tcW w:w="45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kern w:val="0"/>
                <w:sz w:val="22"/>
                <w:szCs w:val="22"/>
                <w:lang w:eastAsia="zh-CN"/>
              </w:rPr>
              <w:t>3</w:t>
            </w:r>
          </w:p>
        </w:tc>
        <w:tc>
          <w:tcPr>
            <w:tcW w:w="1573" w:type="dxa"/>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民办非企业单位成立、变更、注销登记</w:t>
            </w:r>
          </w:p>
        </w:tc>
        <w:tc>
          <w:tcPr>
            <w:tcW w:w="7092" w:type="dxa"/>
            <w:vMerge w:val="restart"/>
            <w:tcMar>
              <w:top w:w="15" w:type="dxa"/>
              <w:left w:w="15" w:type="dxa"/>
              <w:right w:w="15" w:type="dxa"/>
            </w:tcMar>
            <w:vAlign w:val="center"/>
          </w:tcPr>
          <w:p>
            <w:pPr>
              <w:widowControl/>
              <w:wordWrap/>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民办非企业单位登记管理暂行条例》（国务院令第251号）第三条：成立民办非企业单位，应当经其业务主管单位审查同意，并依照本条例的规定登记。第五条：国务院民政部门和县级以上地方各级人民政府民政部门是本级人民政府的民办非企业单位登记管理机关（以下简称登记管理机关）。国务院有关部门和县级以上地方各级人民政府的有关部门、国务院或者县级以上地方各级人民政府授权的组织，是有关行业、业务范围内民办非企业单位的业务主管单位（以下简称业务主管单位）。法律、行政法规对民办非企业单位的监督管理另有规定的，依照有关法律、行政法规的规定执行。第八条：申请登记民办非企业单位，应当具备下列条件：（一）经业务主管单位审查同意；（二）有规范的名称、必要的组织机构；（三）有与其业务活动相适应的从业人员；（四）有与其业务活动相适应的合法财产；（五）有必要的场所。民办非企业单位的名称应当符合国务院民政部门的规定，不得冠以"中国"、"全国"、"中华"等字样。第九条：申请民办非企业单位登记，举办者应当向登记管理机关提交下列文件：（一）登记申请书；（二）业务主管单位的批准文件；（三）场所使用权证明；（四）验资报告；（五）拟任负责人的基本情况、身份证明；（六）章程草案。第十五条：民办非企业单位的登记事项需要变更的，应当自业务主管单位审查同意之日起３０日内，向登记管理机关申请变更登记。民办非企业单位修改章程，应当自业务主管单位审查同意之日起３０日内，报登记管理机关核准。第十六条：民办非企业单位自行解散的，分立、合并的，或者由于其他原因需要注销登记的，应当向登记管理机关办理注销登记。民办非企业单位在办理注销登记前，应当在业务主管单位和其他有关机关的指导下，成立清算组织，完成清算工作。清算期间，民办非企业单位不得开展清算以外的活动。第十七条：民办非企业单位法定代表人或者负责人应当自完成清算之日起１５日内，向登记管理机关办理注销登记。办理注销登记，须提交注销登记申请书、业务主管单位的审查文件和清算报告。登记管理机关准予注销登记的，发给注销证明文件，收缴登记证书、印章和财务凭证。</w:t>
            </w:r>
          </w:p>
        </w:tc>
        <w:tc>
          <w:tcPr>
            <w:tcW w:w="604"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行政许可</w:t>
            </w:r>
          </w:p>
        </w:tc>
        <w:tc>
          <w:tcPr>
            <w:tcW w:w="96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收件</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收件责任：对办事人提供的材料进行核查，申请材料齐全，予以收件；材料不完整的，退回并告知原因。</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9" w:hRule="atLeast"/>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0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6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受理责任：对申请材料进行初审，材料符合相关要求的，予以受理，出具《受理通知书》；材料不符合相关要求的，不予受理，出具《不予受理通知书》，并说明理由。</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41" w:hRule="atLeast"/>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0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6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审核</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审核责任：对材料内容进行审核；按照法律法规规定，需启动特殊环节的，依法进行辅助审查。审核通过，上报审批；审核不通过，退回材料并告知原因。</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03" w:hRule="atLeast"/>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0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6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送达责任：按规定送达当事人。</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shd w:val="clear" w:color="070000" w:fill="FFFFFF"/>
              </w:rPr>
              <w:t>服务科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48" w:hRule="atLeast"/>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0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64"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其他法律法规规章文件规定应履行的责任。</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bl>
    <w:p>
      <w:pPr>
        <w:widowControl/>
        <w:wordWrap/>
        <w:adjustRightInd/>
        <w:snapToGrid/>
        <w:spacing w:before="0" w:after="0" w:line="20" w:lineRule="exact"/>
        <w:ind w:left="0" w:leftChars="0" w:right="0" w:firstLine="0" w:firstLineChars="0"/>
        <w:jc w:val="center"/>
        <w:textAlignment w:val="center"/>
        <w:outlineLvl w:val="9"/>
        <w:rPr>
          <w:rFonts w:hint="eastAsia" w:ascii="仿宋_GB2312" w:hAnsi="仿宋_GB2312" w:eastAsia="仿宋_GB2312" w:cs="仿宋_GB2312"/>
          <w:color w:val="auto"/>
          <w:sz w:val="22"/>
          <w:szCs w:val="22"/>
        </w:rPr>
      </w:pPr>
    </w:p>
    <w:tbl>
      <w:tblPr>
        <w:tblStyle w:val="5"/>
        <w:tblpPr w:leftFromText="180" w:rightFromText="180" w:vertAnchor="text" w:horzAnchor="page" w:tblpX="792" w:tblpY="267"/>
        <w:tblOverlap w:val="never"/>
        <w:tblW w:w="1526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450"/>
        <w:gridCol w:w="1573"/>
        <w:gridCol w:w="7092"/>
        <w:gridCol w:w="604"/>
        <w:gridCol w:w="964"/>
        <w:gridCol w:w="3250"/>
        <w:gridCol w:w="13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51" w:hRule="atLeast"/>
        </w:trPr>
        <w:tc>
          <w:tcPr>
            <w:tcW w:w="45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序号</w:t>
            </w:r>
          </w:p>
        </w:tc>
        <w:tc>
          <w:tcPr>
            <w:tcW w:w="1573"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项目名称</w:t>
            </w:r>
          </w:p>
        </w:tc>
        <w:tc>
          <w:tcPr>
            <w:tcW w:w="7092" w:type="dxa"/>
            <w:tcMar>
              <w:top w:w="15" w:type="dxa"/>
              <w:left w:w="15" w:type="dxa"/>
              <w:right w:w="15" w:type="dxa"/>
            </w:tcMar>
            <w:vAlign w:val="top"/>
          </w:tcPr>
          <w:p>
            <w:pPr>
              <w:pStyle w:val="2"/>
              <w:widowControl w:val="0"/>
              <w:wordWrap/>
              <w:adjustRightInd/>
              <w:snapToGrid/>
              <w:spacing w:before="0" w:after="0" w:line="300" w:lineRule="exact"/>
              <w:ind w:left="0" w:leftChars="0" w:right="0" w:firstLine="0" w:firstLineChars="0"/>
              <w:jc w:val="center"/>
              <w:textAlignment w:val="auto"/>
              <w:outlineLvl w:val="9"/>
              <w:rPr>
                <w:rFonts w:hint="eastAsia" w:ascii="黑体" w:hAnsi="黑体" w:eastAsia="黑体" w:cs="黑体"/>
                <w:color w:val="auto"/>
                <w:sz w:val="22"/>
                <w:szCs w:val="22"/>
                <w:lang w:eastAsia="zh-CN"/>
              </w:rPr>
            </w:pPr>
          </w:p>
          <w:p>
            <w:pPr>
              <w:pStyle w:val="2"/>
              <w:widowControl w:val="0"/>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sz w:val="22"/>
                <w:szCs w:val="22"/>
                <w:lang w:eastAsia="zh-CN"/>
              </w:rPr>
              <w:t>实施依据</w:t>
            </w:r>
          </w:p>
        </w:tc>
        <w:tc>
          <w:tcPr>
            <w:tcW w:w="60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职权类别</w:t>
            </w:r>
          </w:p>
        </w:tc>
        <w:tc>
          <w:tcPr>
            <w:tcW w:w="96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办理</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环节</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责任事项</w:t>
            </w:r>
          </w:p>
        </w:tc>
        <w:tc>
          <w:tcPr>
            <w:tcW w:w="133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黑体" w:hAnsi="黑体" w:eastAsia="黑体" w:cs="黑体"/>
                <w:color w:val="auto"/>
                <w:sz w:val="22"/>
                <w:szCs w:val="22"/>
                <w:lang w:eastAsia="zh-CN"/>
              </w:rPr>
              <w:t>责任处室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13" w:hRule="atLeast"/>
        </w:trPr>
        <w:tc>
          <w:tcPr>
            <w:tcW w:w="45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kern w:val="0"/>
                <w:sz w:val="22"/>
                <w:szCs w:val="22"/>
              </w:rPr>
              <w:t>4</w:t>
            </w:r>
          </w:p>
        </w:tc>
        <w:tc>
          <w:tcPr>
            <w:tcW w:w="1573" w:type="dxa"/>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公开募捐资格审核</w:t>
            </w:r>
          </w:p>
        </w:tc>
        <w:tc>
          <w:tcPr>
            <w:tcW w:w="7092" w:type="dxa"/>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rPr>
              <w:t>《中华人民共和国慈善法》第二十二条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法律、行政法规规定自登记之日起可以公开募捐的基金会和社会团体，由民政部门直接发给公开募捐资格证书。</w:t>
            </w:r>
          </w:p>
        </w:tc>
        <w:tc>
          <w:tcPr>
            <w:tcW w:w="604"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行政许可</w:t>
            </w:r>
          </w:p>
        </w:tc>
        <w:tc>
          <w:tcPr>
            <w:tcW w:w="96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收件</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收件责任：对办事人提供的材料进行核查，申请材料齐全，予以收件；材料不完整的，退回并告知原因。</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81" w:hRule="atLeast"/>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0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6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受理责任：对申请材料进行初审，材料符合相关要求的，予以受理，出具《受理通知书》；材料不符合相关要求的，不予受理，出具《不予受理通知书》，并说明理由。</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81" w:hRule="atLeast"/>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0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6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审核</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审核责任：对材料内容进行审核；按照法律法规规定，需启动特殊环节的，依法进行辅助审查。审核通过，上报审批；审核不通过，退回材料并告知原因。</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50" w:hRule="atLeast"/>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0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6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送达责任：按规定送达当事人。</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90" w:hRule="atLeast"/>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0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64"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其他法律法规规章文件规定应履行的责任。</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2" w:hRule="atLeast"/>
        </w:trPr>
        <w:tc>
          <w:tcPr>
            <w:tcW w:w="45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序号</w:t>
            </w:r>
          </w:p>
        </w:tc>
        <w:tc>
          <w:tcPr>
            <w:tcW w:w="1573"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项目名称</w:t>
            </w:r>
          </w:p>
        </w:tc>
        <w:tc>
          <w:tcPr>
            <w:tcW w:w="7092" w:type="dxa"/>
            <w:tcMar>
              <w:top w:w="15" w:type="dxa"/>
              <w:left w:w="15" w:type="dxa"/>
              <w:right w:w="15" w:type="dxa"/>
            </w:tcMar>
            <w:vAlign w:val="top"/>
          </w:tcPr>
          <w:p>
            <w:pPr>
              <w:pStyle w:val="2"/>
              <w:widowControl w:val="0"/>
              <w:wordWrap/>
              <w:adjustRightInd/>
              <w:snapToGrid/>
              <w:spacing w:before="0" w:after="0" w:line="300" w:lineRule="exact"/>
              <w:ind w:left="0" w:leftChars="0" w:right="0" w:firstLine="0" w:firstLineChars="0"/>
              <w:jc w:val="center"/>
              <w:textAlignment w:val="auto"/>
              <w:outlineLvl w:val="9"/>
              <w:rPr>
                <w:rFonts w:hint="eastAsia" w:ascii="黑体" w:hAnsi="黑体" w:eastAsia="黑体" w:cs="黑体"/>
                <w:color w:val="auto"/>
                <w:sz w:val="22"/>
                <w:szCs w:val="22"/>
                <w:lang w:eastAsia="zh-CN"/>
              </w:rPr>
            </w:pPr>
          </w:p>
          <w:p>
            <w:pPr>
              <w:pStyle w:val="2"/>
              <w:widowControl w:val="0"/>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sz w:val="22"/>
                <w:szCs w:val="22"/>
                <w:lang w:eastAsia="zh-CN"/>
              </w:rPr>
              <w:t>实施依据</w:t>
            </w:r>
          </w:p>
        </w:tc>
        <w:tc>
          <w:tcPr>
            <w:tcW w:w="60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职权类别</w:t>
            </w:r>
          </w:p>
        </w:tc>
        <w:tc>
          <w:tcPr>
            <w:tcW w:w="96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办理</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环节</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责任事项</w:t>
            </w:r>
          </w:p>
        </w:tc>
        <w:tc>
          <w:tcPr>
            <w:tcW w:w="133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黑体" w:hAnsi="黑体" w:eastAsia="黑体" w:cs="黑体"/>
                <w:color w:val="auto"/>
                <w:sz w:val="22"/>
                <w:szCs w:val="22"/>
                <w:lang w:eastAsia="zh-CN"/>
              </w:rPr>
              <w:t>责任处室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95" w:hRule="atLeast"/>
        </w:trPr>
        <w:tc>
          <w:tcPr>
            <w:tcW w:w="45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kern w:val="0"/>
                <w:sz w:val="22"/>
                <w:szCs w:val="22"/>
              </w:rPr>
              <w:t>5</w:t>
            </w:r>
          </w:p>
        </w:tc>
        <w:tc>
          <w:tcPr>
            <w:tcW w:w="1573" w:type="dxa"/>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社会团体修改章程核准</w:t>
            </w:r>
          </w:p>
        </w:tc>
        <w:tc>
          <w:tcPr>
            <w:tcW w:w="7092" w:type="dxa"/>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rPr>
              <w:t>《社会团体登记管理条例》（国务院令第250号）第六条：国务院民政部门和县级以上地方各级人民政府民政部门是本级人民政府的社会团体登记管理机关（以下简称登记管理机关）。国务院有关部门和县级以上地方各级人民政府有关部门、国务院或者县级以上地方各级人民政府授权的组织，是有关行业、学科或者业务范围内社会团体的业务主管单位（以下简称业务主管单位）。法律、行政法规对社会团体的监督管理另有规定的，依照有关法律、行政法规的规定执行。第七条：全国性的社会团体，由国务院的登记管理机关负责登记管理；地方性的社会团体，由所在地人民政府的登记管理机关负责登记管理；跨行政区域的社会团体，由所跨行政区域的共同上一级人民政府的登记管理机关负责登记管理。</w:t>
            </w:r>
            <w:r>
              <w:rPr>
                <w:rFonts w:hint="eastAsia" w:ascii="仿宋_GB2312" w:hAnsi="仿宋_GB2312" w:eastAsia="仿宋_GB2312" w:cs="仿宋_GB2312"/>
                <w:b w:val="0"/>
                <w:bCs w:val="0"/>
                <w:color w:val="auto"/>
                <w:kern w:val="0"/>
                <w:sz w:val="22"/>
                <w:szCs w:val="22"/>
              </w:rPr>
              <w:t>第十一条：申请登记社会团体，发起人应当向登记管理机关提交下列文件：(一)登记申请书；(二)业务主管单位的批准文件；(三)验资报告、场所使用权证明；(四)发起人和拟任负责人的基本情况、身份证明；(五)章程草案。第十二条：登记管理机关应当自收到本条例第十一条所列全部有效文件之日起60日内，作出准予或者不予登记的决定。准予登记的，发给《社会团体法人登记证书》；不予登记的，应当向发起人说明理由。社会团体登记事项包括：名称、住所、宗旨、业务范围、活动地域、法定代表人、活动资金和业务主管单位。社会团体的法定代表人，不得同时担任其他社会团体的法定代表人。第十九条：社会团体有下列情形之一的，应当在业务主管单位审查同意后，向登记管理机关申请注销登记：(一)完成社会团体章程规定的宗旨的；(二)自行解散的；(三)分立、合并的；(四)由于其他原因终止的。第二十一条：社会团体应当自清算结束之日起15日内向登记管理机关办理注销登记。办理注销登记，应当提交法定代表人签署的注销登记申请书、业务主管单位的审查文件和清算报告书。登记管理机关准予注销登记的，发给注销证明文件，收缴该社会团体的登记证书、印章和财务凭证。</w:t>
            </w:r>
          </w:p>
        </w:tc>
        <w:tc>
          <w:tcPr>
            <w:tcW w:w="604"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行政许可</w:t>
            </w:r>
          </w:p>
        </w:tc>
        <w:tc>
          <w:tcPr>
            <w:tcW w:w="96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收件</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收件责任：对社会组织提供的材料进行核查，申请材料齐全，予以收件；材料不完整的，退回并告知原因。</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25" w:hRule="atLeast"/>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0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6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受理责任：对申请材料进行初审，材料符合相关要求的，予以受理，出具《受理通知书》；材料不符合相关要求的，不予受理，出具《不予受理通知书》，并说明理由。</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01" w:hRule="atLeast"/>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0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6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审核</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审核责任：对材料内容进行审核；按照法律法规规定，需启动特殊环节的，依法进行辅助审查。审核通过，上报审批；审核不通过，退回材料并告知原因。</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65" w:hRule="atLeast"/>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0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6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送达责任：按规定送达当事人。</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94" w:hRule="atLeast"/>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0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64"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其他法律法规规章文件规定应履行的责任。</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44" w:hRule="atLeast"/>
        </w:trPr>
        <w:tc>
          <w:tcPr>
            <w:tcW w:w="45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序号</w:t>
            </w:r>
          </w:p>
        </w:tc>
        <w:tc>
          <w:tcPr>
            <w:tcW w:w="1573"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项目名称</w:t>
            </w:r>
          </w:p>
        </w:tc>
        <w:tc>
          <w:tcPr>
            <w:tcW w:w="7092" w:type="dxa"/>
            <w:tcMar>
              <w:top w:w="15" w:type="dxa"/>
              <w:left w:w="15" w:type="dxa"/>
              <w:right w:w="15" w:type="dxa"/>
            </w:tcMar>
            <w:vAlign w:val="top"/>
          </w:tcPr>
          <w:p>
            <w:pPr>
              <w:pStyle w:val="2"/>
              <w:widowControl w:val="0"/>
              <w:wordWrap/>
              <w:adjustRightInd/>
              <w:snapToGrid/>
              <w:spacing w:before="0" w:after="0" w:line="300" w:lineRule="exact"/>
              <w:ind w:left="0" w:leftChars="0" w:right="0" w:firstLine="0" w:firstLineChars="0"/>
              <w:jc w:val="center"/>
              <w:textAlignment w:val="auto"/>
              <w:outlineLvl w:val="9"/>
              <w:rPr>
                <w:rFonts w:hint="eastAsia" w:ascii="黑体" w:hAnsi="黑体" w:eastAsia="黑体" w:cs="黑体"/>
                <w:color w:val="auto"/>
                <w:sz w:val="22"/>
                <w:szCs w:val="22"/>
                <w:lang w:eastAsia="zh-CN"/>
              </w:rPr>
            </w:pPr>
          </w:p>
          <w:p>
            <w:pPr>
              <w:pStyle w:val="2"/>
              <w:widowControl w:val="0"/>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sz w:val="22"/>
                <w:szCs w:val="22"/>
                <w:lang w:eastAsia="zh-CN"/>
              </w:rPr>
              <w:t>实施依据</w:t>
            </w:r>
          </w:p>
        </w:tc>
        <w:tc>
          <w:tcPr>
            <w:tcW w:w="60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职权类别</w:t>
            </w:r>
          </w:p>
        </w:tc>
        <w:tc>
          <w:tcPr>
            <w:tcW w:w="96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办理</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环节</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责任事项</w:t>
            </w:r>
          </w:p>
        </w:tc>
        <w:tc>
          <w:tcPr>
            <w:tcW w:w="133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黑体" w:hAnsi="黑体" w:eastAsia="黑体" w:cs="黑体"/>
                <w:color w:val="auto"/>
                <w:sz w:val="22"/>
                <w:szCs w:val="22"/>
                <w:lang w:eastAsia="zh-CN"/>
              </w:rPr>
              <w:t>责任处室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54" w:hRule="atLeast"/>
        </w:trPr>
        <w:tc>
          <w:tcPr>
            <w:tcW w:w="45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kern w:val="0"/>
                <w:sz w:val="22"/>
                <w:szCs w:val="22"/>
              </w:rPr>
              <w:t>6</w:t>
            </w:r>
          </w:p>
        </w:tc>
        <w:tc>
          <w:tcPr>
            <w:tcW w:w="1573" w:type="dxa"/>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民办非企业单位修改章程核准</w:t>
            </w:r>
          </w:p>
        </w:tc>
        <w:tc>
          <w:tcPr>
            <w:tcW w:w="7092" w:type="dxa"/>
            <w:vMerge w:val="restart"/>
            <w:tcMar>
              <w:top w:w="15" w:type="dxa"/>
              <w:left w:w="15" w:type="dxa"/>
              <w:right w:w="15" w:type="dxa"/>
            </w:tcMar>
            <w:vAlign w:val="center"/>
          </w:tcPr>
          <w:p>
            <w:pPr>
              <w:widowControl/>
              <w:wordWrap/>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w:t>
            </w:r>
            <w:r>
              <w:rPr>
                <w:rFonts w:hint="eastAsia" w:ascii="仿宋_GB2312" w:hAnsi="仿宋_GB2312" w:eastAsia="仿宋_GB2312" w:cs="仿宋_GB2312"/>
                <w:color w:val="auto"/>
                <w:spacing w:val="-6"/>
                <w:kern w:val="0"/>
                <w:sz w:val="22"/>
                <w:szCs w:val="22"/>
              </w:rPr>
              <w:t>民办非企业单位登记管理暂行条例》（国务院令第251号）第三条：成立民办非企业单位，应当经其业务主管单位审查同意，并依照本条例的规定登记。第五条：国务院民政部门和县级以上地方各级人民政府民政部门是本级人民政府的民办非企业单位登记管理机关（以下简称登记管理机关）。国务院有关部门和县级以上地方各级人民政府的有关部门、国务院或者县级以上地方各级人民政府授权的组织，是有关行业、业务范围内民办非企业单位的业务主管单位（以下简称业务主管单位）。法律、行政法规对民办非企业单位的监督管理另有规定的，依照有关法律、行政法规的规定执行。第八条：申请登记民办非企业单位，应当具备下列条件：（一）经业务主管单位审查同意；（二）有规范的名称、必要的组织机构；（三）有与其业务活动相适应的从业人员；（四）有与其业务活动相适应的合法财产；（五）有必要的场所。民办非企业单位的名称应当符合国务院民政部门的规定，不得冠以"中国"、"全国"、"中华"等字样。第九条：申请民办非企业单位登记，举办者应当向登记管理机关提交下列文件：（一）登记申请书；（二）业务主管单位的批准文件；（三）场所使用权证明；（四）验资报告；（五）拟任负责人的基本情况、身份证明；（六）章程草案。第十五条：民办非企业单位的登记事项需要变更的，应当自业务主管单位审查同意之日起３０日内，向登记管理机关申请变更登记。民办非企业单位修改章程，应当自业务主管单位审查同意之日起３０日内，报登记管理机关核准。第十六条：民办非企业单位自行解散的，分立、合并的，或者由于其他原因需要注销登记的，应当向登记管理机关办理注销登记。民办非企业单位在办理注销登记前，应当在业务主管单位和其他有关机关的指导下，成立清算组织，完成清算工作。清算期间，民办非企业单位不得开展清算以外的活动。第十七条：民办非企业单位法定代表人或者负责人应当自完成清算之日起１５日内，向登记管理机关办理注销登记。办理注销登记，须提交注销登记申请书、业务主管单位的审查文件和清算报告。登记管理机关准予</w:t>
            </w:r>
            <w:r>
              <w:rPr>
                <w:rFonts w:hint="eastAsia" w:ascii="仿宋_GB2312" w:hAnsi="仿宋_GB2312" w:eastAsia="仿宋_GB2312" w:cs="仿宋_GB2312"/>
                <w:color w:val="auto"/>
                <w:kern w:val="0"/>
                <w:sz w:val="22"/>
                <w:szCs w:val="22"/>
              </w:rPr>
              <w:t>注销登记的，发给注销证明文件，收缴登记证书、印章和财务凭证。</w:t>
            </w:r>
          </w:p>
        </w:tc>
        <w:tc>
          <w:tcPr>
            <w:tcW w:w="604"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行政许可</w:t>
            </w:r>
          </w:p>
        </w:tc>
        <w:tc>
          <w:tcPr>
            <w:tcW w:w="96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收件</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收件责任：对社会组织提供的材料进行核查，申请材料齐全，予以收件；材料不完整的，退回并告知原因。</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03" w:hRule="atLeast"/>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0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6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受理责任：对申请材料进行初审，材料符合相关要求的，予以受理，出具《受理通知书》；材料不符合相关要求的，不予受理，出具《不予受理通知书》，并说明理由。</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shd w:val="clear" w:color="070000" w:fill="FFFFFF"/>
              </w:rPr>
              <w:t>服务科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44" w:hRule="atLeast"/>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0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6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审核</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审核责任：对材料内容进行审核；按照法律法规规定，需启动特殊环节的，依法进行辅助审查。审核通过，上报审批；审核不通过，退回材料并告知原因。</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shd w:val="clear" w:color="070000" w:fill="FFFFFF"/>
              </w:rPr>
              <w:t>服务科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3" w:hRule="atLeast"/>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0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6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送达责任：按规定送达当事人。</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shd w:val="clear" w:color="070000" w:fill="FFFFFF"/>
              </w:rPr>
              <w:t>服务科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38" w:hRule="atLeast"/>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0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64"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其他法律法规规章文件规定应履行的责任。</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exact"/>
        </w:trPr>
        <w:tc>
          <w:tcPr>
            <w:tcW w:w="15263" w:type="dxa"/>
            <w:gridSpan w:val="7"/>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服务电话：0377-6</w:t>
            </w:r>
            <w:r>
              <w:rPr>
                <w:rFonts w:hint="eastAsia" w:ascii="仿宋_GB2312" w:hAnsi="仿宋_GB2312" w:eastAsia="仿宋_GB2312" w:cs="仿宋_GB2312"/>
                <w:color w:val="auto"/>
                <w:kern w:val="0"/>
                <w:sz w:val="22"/>
                <w:szCs w:val="22"/>
                <w:lang w:val="en-US" w:eastAsia="zh-CN"/>
              </w:rPr>
              <w:t>1387716</w:t>
            </w:r>
            <w:r>
              <w:rPr>
                <w:rFonts w:hint="eastAsia" w:ascii="仿宋_GB2312" w:hAnsi="仿宋_GB2312" w:eastAsia="仿宋_GB2312" w:cs="仿宋_GB2312"/>
                <w:color w:val="auto"/>
                <w:kern w:val="0"/>
                <w:sz w:val="22"/>
                <w:szCs w:val="22"/>
              </w:rPr>
              <w:t xml:space="preserve">           投诉机构:南阳市纪委监委驻市民政局纪检监察组                        投诉电话：0377-63137277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exact"/>
        </w:trPr>
        <w:tc>
          <w:tcPr>
            <w:tcW w:w="15263" w:type="dxa"/>
            <w:gridSpan w:val="7"/>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受理地点：南阳市宛城区仲景街道范蠡路东路1666号市行政审批服务中心南区3号楼一楼综合窗口</w:t>
            </w:r>
          </w:p>
        </w:tc>
      </w:tr>
    </w:tbl>
    <w:p>
      <w:pPr>
        <w:pStyle w:val="2"/>
        <w:widowControl w:val="0"/>
        <w:wordWrap/>
        <w:adjustRightInd/>
        <w:snapToGrid/>
        <w:spacing w:before="0" w:after="0" w:line="20" w:lineRule="exact"/>
        <w:ind w:left="0" w:leftChars="0" w:right="0" w:firstLine="0" w:firstLineChars="0"/>
        <w:jc w:val="both"/>
        <w:textAlignment w:val="auto"/>
        <w:outlineLvl w:val="9"/>
        <w:rPr>
          <w:rFonts w:hint="eastAsia" w:ascii="仿宋_GB2312" w:hAnsi="仿宋_GB2312" w:eastAsia="仿宋_GB2312" w:cs="仿宋_GB2312"/>
          <w:color w:val="auto"/>
          <w:sz w:val="22"/>
          <w:szCs w:val="22"/>
        </w:rPr>
      </w:pPr>
    </w:p>
    <w:tbl>
      <w:tblPr>
        <w:tblStyle w:val="5"/>
        <w:tblW w:w="1520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450"/>
        <w:gridCol w:w="1573"/>
        <w:gridCol w:w="6382"/>
        <w:gridCol w:w="986"/>
        <w:gridCol w:w="814"/>
        <w:gridCol w:w="3728"/>
        <w:gridCol w:w="12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45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序号</w:t>
            </w:r>
          </w:p>
        </w:tc>
        <w:tc>
          <w:tcPr>
            <w:tcW w:w="1573"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项目名称</w:t>
            </w:r>
          </w:p>
        </w:tc>
        <w:tc>
          <w:tcPr>
            <w:tcW w:w="6382" w:type="dxa"/>
            <w:tcMar>
              <w:top w:w="15" w:type="dxa"/>
              <w:left w:w="15" w:type="dxa"/>
              <w:right w:w="15" w:type="dxa"/>
            </w:tcMar>
            <w:vAlign w:val="top"/>
          </w:tcPr>
          <w:p>
            <w:pPr>
              <w:pStyle w:val="2"/>
              <w:widowControl w:val="0"/>
              <w:wordWrap/>
              <w:adjustRightInd/>
              <w:snapToGrid/>
              <w:spacing w:before="0" w:after="0" w:line="300" w:lineRule="exact"/>
              <w:ind w:left="0" w:leftChars="0" w:right="0" w:firstLine="0" w:firstLineChars="0"/>
              <w:jc w:val="center"/>
              <w:textAlignment w:val="auto"/>
              <w:outlineLvl w:val="9"/>
              <w:rPr>
                <w:rFonts w:hint="eastAsia" w:ascii="黑体" w:hAnsi="黑体" w:eastAsia="黑体" w:cs="黑体"/>
                <w:color w:val="auto"/>
                <w:sz w:val="22"/>
                <w:szCs w:val="22"/>
                <w:lang w:eastAsia="zh-CN"/>
              </w:rPr>
            </w:pPr>
          </w:p>
          <w:p>
            <w:pPr>
              <w:pStyle w:val="2"/>
              <w:widowControl w:val="0"/>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sz w:val="22"/>
                <w:szCs w:val="22"/>
                <w:lang w:eastAsia="zh-CN"/>
              </w:rPr>
              <w:t>实施依据</w:t>
            </w:r>
          </w:p>
        </w:tc>
        <w:tc>
          <w:tcPr>
            <w:tcW w:w="986"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职权类别</w:t>
            </w:r>
          </w:p>
        </w:tc>
        <w:tc>
          <w:tcPr>
            <w:tcW w:w="81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办理</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环节</w:t>
            </w:r>
          </w:p>
        </w:tc>
        <w:tc>
          <w:tcPr>
            <w:tcW w:w="3728"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责任事项</w:t>
            </w:r>
          </w:p>
        </w:tc>
        <w:tc>
          <w:tcPr>
            <w:tcW w:w="1269"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sz w:val="22"/>
                <w:szCs w:val="22"/>
                <w:lang w:eastAsia="zh-CN"/>
              </w:rPr>
              <w:t>责任处室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78" w:hRule="atLeast"/>
          <w:jc w:val="center"/>
        </w:trPr>
        <w:tc>
          <w:tcPr>
            <w:tcW w:w="450" w:type="dxa"/>
            <w:vMerge w:val="restart"/>
            <w:tcMar>
              <w:top w:w="15" w:type="dxa"/>
              <w:left w:w="15" w:type="dxa"/>
              <w:right w:w="15" w:type="dxa"/>
            </w:tcMar>
            <w:vAlign w:val="center"/>
          </w:tcPr>
          <w:p>
            <w:pPr>
              <w:pStyle w:val="2"/>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7</w:t>
            </w:r>
          </w:p>
        </w:tc>
        <w:tc>
          <w:tcPr>
            <w:tcW w:w="1573" w:type="dxa"/>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未经批准，擅自兴建殡葬设施的处罚</w:t>
            </w:r>
          </w:p>
        </w:tc>
        <w:tc>
          <w:tcPr>
            <w:tcW w:w="6382" w:type="dxa"/>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《殡葬管理条例》第五章罚则第十八条</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未经批准，擅自兴建殡葬设施的，由民政部门会同建设、土地行政管理部门予以取缔，责令恢复原状，没收违法所得，可以并处违法所得1倍以上3倍以下的罚款。</w:t>
            </w:r>
          </w:p>
        </w:tc>
        <w:tc>
          <w:tcPr>
            <w:tcW w:w="986"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行政处罚</w:t>
            </w:r>
          </w:p>
        </w:tc>
        <w:tc>
          <w:tcPr>
            <w:tcW w:w="81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立案</w:t>
            </w:r>
          </w:p>
        </w:tc>
        <w:tc>
          <w:tcPr>
            <w:tcW w:w="3728"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检查中发现未经批准，擅自兴建殡葬设施，予以审查，决定是否立案。</w:t>
            </w:r>
          </w:p>
        </w:tc>
        <w:tc>
          <w:tcPr>
            <w:tcW w:w="1269"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00"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38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9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1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调查</w:t>
            </w:r>
          </w:p>
        </w:tc>
        <w:tc>
          <w:tcPr>
            <w:tcW w:w="3728"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会同建设、土地行政管理部门对案件进行现场检查，查明事实。</w:t>
            </w:r>
          </w:p>
        </w:tc>
        <w:tc>
          <w:tcPr>
            <w:tcW w:w="1269"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18"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38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9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1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w:t>
            </w:r>
          </w:p>
        </w:tc>
        <w:tc>
          <w:tcPr>
            <w:tcW w:w="3728"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会同建设、土地行政管理部门对案件违法事实、证据、调查取证程序、法律适用、处罚幅度，提出处罚意见。</w:t>
            </w:r>
          </w:p>
        </w:tc>
        <w:tc>
          <w:tcPr>
            <w:tcW w:w="1269"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87"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38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9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1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p>
        </w:tc>
        <w:tc>
          <w:tcPr>
            <w:tcW w:w="3728"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备注：依据《南阳市深化殡葬改革工作实施意见》市自然资源与规划局的任务分工：依法加强对丧葬用地的管理，履行土地执法检查职责，严肃查处未经批准违法占地、违法转让或出租土地、非法批准使用土地等建设公墓、农村公益性公墓及殡葬施设的违法行为。</w:t>
            </w:r>
          </w:p>
        </w:tc>
        <w:tc>
          <w:tcPr>
            <w:tcW w:w="1269"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23" w:hRule="atLeast"/>
          <w:jc w:val="center"/>
        </w:trPr>
        <w:tc>
          <w:tcPr>
            <w:tcW w:w="45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序号</w:t>
            </w:r>
          </w:p>
        </w:tc>
        <w:tc>
          <w:tcPr>
            <w:tcW w:w="1573"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项目名称</w:t>
            </w:r>
          </w:p>
        </w:tc>
        <w:tc>
          <w:tcPr>
            <w:tcW w:w="6382" w:type="dxa"/>
            <w:tcMar>
              <w:top w:w="15" w:type="dxa"/>
              <w:left w:w="15" w:type="dxa"/>
              <w:right w:w="15" w:type="dxa"/>
            </w:tcMar>
            <w:vAlign w:val="top"/>
          </w:tcPr>
          <w:p>
            <w:pPr>
              <w:pStyle w:val="2"/>
              <w:widowControl w:val="0"/>
              <w:wordWrap/>
              <w:adjustRightInd/>
              <w:snapToGrid/>
              <w:spacing w:before="0" w:after="0" w:line="300" w:lineRule="exact"/>
              <w:ind w:left="0" w:leftChars="0" w:right="0" w:firstLine="0" w:firstLineChars="0"/>
              <w:jc w:val="center"/>
              <w:textAlignment w:val="auto"/>
              <w:outlineLvl w:val="9"/>
              <w:rPr>
                <w:rFonts w:hint="eastAsia" w:ascii="黑体" w:hAnsi="黑体" w:eastAsia="黑体" w:cs="黑体"/>
                <w:color w:val="auto"/>
                <w:sz w:val="22"/>
                <w:szCs w:val="22"/>
                <w:lang w:eastAsia="zh-CN"/>
              </w:rPr>
            </w:pPr>
          </w:p>
          <w:p>
            <w:pPr>
              <w:pStyle w:val="2"/>
              <w:widowControl w:val="0"/>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sz w:val="22"/>
                <w:szCs w:val="22"/>
                <w:lang w:eastAsia="zh-CN"/>
              </w:rPr>
              <w:t>实施依据</w:t>
            </w:r>
          </w:p>
        </w:tc>
        <w:tc>
          <w:tcPr>
            <w:tcW w:w="986"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职权类别</w:t>
            </w:r>
          </w:p>
        </w:tc>
        <w:tc>
          <w:tcPr>
            <w:tcW w:w="81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办理</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环节</w:t>
            </w:r>
          </w:p>
        </w:tc>
        <w:tc>
          <w:tcPr>
            <w:tcW w:w="3728"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责任事项</w:t>
            </w:r>
          </w:p>
        </w:tc>
        <w:tc>
          <w:tcPr>
            <w:tcW w:w="1269"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sz w:val="22"/>
                <w:szCs w:val="22"/>
                <w:lang w:eastAsia="zh-CN"/>
              </w:rPr>
              <w:t>责任处室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93" w:hRule="atLeast"/>
          <w:jc w:val="center"/>
        </w:trPr>
        <w:tc>
          <w:tcPr>
            <w:tcW w:w="45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8</w:t>
            </w:r>
          </w:p>
        </w:tc>
        <w:tc>
          <w:tcPr>
            <w:tcW w:w="1573" w:type="dxa"/>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墓穴占地面积超过省、自治区、直辖市人民政府规定的标准的处罚</w:t>
            </w:r>
          </w:p>
        </w:tc>
        <w:tc>
          <w:tcPr>
            <w:tcW w:w="6382" w:type="dxa"/>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《殡葬管理条例》第五章罚则第十九条</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墓穴占地面积超过省、自治区、直辖市人民政府规定的标准的，由民政部门责令限期改正，没收违法所得，可以并处违法所得1倍以上3倍以下的罚款。</w:t>
            </w:r>
          </w:p>
        </w:tc>
        <w:tc>
          <w:tcPr>
            <w:tcW w:w="986"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行政处罚</w:t>
            </w:r>
          </w:p>
        </w:tc>
        <w:tc>
          <w:tcPr>
            <w:tcW w:w="81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立案</w:t>
            </w:r>
          </w:p>
        </w:tc>
        <w:tc>
          <w:tcPr>
            <w:tcW w:w="3728"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检查中发现墓穴占地面积超过规定标注的，予以审查，决定是否立案。</w:t>
            </w:r>
          </w:p>
        </w:tc>
        <w:tc>
          <w:tcPr>
            <w:tcW w:w="1269"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15" w:hRule="atLeast"/>
          <w:jc w:val="center"/>
        </w:trPr>
        <w:tc>
          <w:tcPr>
            <w:tcW w:w="450"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382"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9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1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调查</w:t>
            </w:r>
          </w:p>
        </w:tc>
        <w:tc>
          <w:tcPr>
            <w:tcW w:w="3728"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会同土地部门对案件进行现场检查，查明事实。</w:t>
            </w:r>
          </w:p>
        </w:tc>
        <w:tc>
          <w:tcPr>
            <w:tcW w:w="1269"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20" w:hRule="atLeast"/>
          <w:jc w:val="center"/>
        </w:trPr>
        <w:tc>
          <w:tcPr>
            <w:tcW w:w="450" w:type="dxa"/>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c>
          <w:tcPr>
            <w:tcW w:w="1573" w:type="dxa"/>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p>
        </w:tc>
        <w:tc>
          <w:tcPr>
            <w:tcW w:w="6382" w:type="dxa"/>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p>
        </w:tc>
        <w:tc>
          <w:tcPr>
            <w:tcW w:w="986" w:type="dxa"/>
            <w:vMerge w:val="restart"/>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行政处罚</w:t>
            </w:r>
          </w:p>
        </w:tc>
        <w:tc>
          <w:tcPr>
            <w:tcW w:w="81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w:t>
            </w:r>
          </w:p>
        </w:tc>
        <w:tc>
          <w:tcPr>
            <w:tcW w:w="3728"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会同土地部门对案件违法事实、证据、调查取证程序、法律适用、处罚幅度，提出处罚意见。</w:t>
            </w:r>
          </w:p>
        </w:tc>
        <w:tc>
          <w:tcPr>
            <w:tcW w:w="1269"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13" w:hRule="atLeast"/>
          <w:jc w:val="center"/>
        </w:trPr>
        <w:tc>
          <w:tcPr>
            <w:tcW w:w="450"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382"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9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1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val="en-US" w:eastAsia="zh-CN"/>
              </w:rPr>
              <w:t>告知</w:t>
            </w:r>
          </w:p>
        </w:tc>
        <w:tc>
          <w:tcPr>
            <w:tcW w:w="3728"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val="en-US" w:eastAsia="zh-CN"/>
              </w:rPr>
              <w:t>在做出行政处罚决定前，书面告知当事人拟做出处罚决定的事实、理由、依据、处罚内容，以及当事人享有的陈述权、申辩权和听证权。</w:t>
            </w:r>
          </w:p>
        </w:tc>
        <w:tc>
          <w:tcPr>
            <w:tcW w:w="1269"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val="en-US" w:eastAsia="zh-CN"/>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13" w:hRule="atLeast"/>
          <w:jc w:val="center"/>
        </w:trPr>
        <w:tc>
          <w:tcPr>
            <w:tcW w:w="450"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382"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9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1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val="en-US" w:eastAsia="zh-CN"/>
              </w:rPr>
              <w:t>决定</w:t>
            </w:r>
          </w:p>
        </w:tc>
        <w:tc>
          <w:tcPr>
            <w:tcW w:w="3728"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val="en-US" w:eastAsia="zh-CN"/>
              </w:rPr>
              <w:t>依法需要给予行政处罚的，应制作《行政处罚决定书》，载明违法事实和证据、处罚依据和内容、申请行政复议或提起行政诉讼的途径和期限等内容。</w:t>
            </w:r>
          </w:p>
        </w:tc>
        <w:tc>
          <w:tcPr>
            <w:tcW w:w="1269"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val="en-US" w:eastAsia="zh-CN"/>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6" w:hRule="atLeast"/>
          <w:jc w:val="center"/>
        </w:trPr>
        <w:tc>
          <w:tcPr>
            <w:tcW w:w="450"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382"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9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1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val="en-US" w:eastAsia="zh-CN"/>
              </w:rPr>
              <w:t xml:space="preserve">送达 </w:t>
            </w:r>
          </w:p>
        </w:tc>
        <w:tc>
          <w:tcPr>
            <w:tcW w:w="3728"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val="en-US" w:eastAsia="zh-CN"/>
              </w:rPr>
              <w:t>行政处罚决定书在7日内送达当事人。</w:t>
            </w:r>
          </w:p>
        </w:tc>
        <w:tc>
          <w:tcPr>
            <w:tcW w:w="1269"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val="en-US" w:eastAsia="zh-CN"/>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13" w:hRule="atLeast"/>
          <w:jc w:val="center"/>
        </w:trPr>
        <w:tc>
          <w:tcPr>
            <w:tcW w:w="450"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382"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9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14"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val="en-US" w:eastAsia="zh-CN"/>
              </w:rPr>
              <w:t>执行</w:t>
            </w:r>
          </w:p>
        </w:tc>
        <w:tc>
          <w:tcPr>
            <w:tcW w:w="3728"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val="en-US" w:eastAsia="zh-CN"/>
              </w:rPr>
              <w:t>监督当事人在决定的期限内，履行生效的行政处罚决定。当事人在法定期限内不申请行政复议或提起行政诉讼，又不履行的，可依法采取强制执行或申请人民法院强制执行。</w:t>
            </w:r>
          </w:p>
        </w:tc>
        <w:tc>
          <w:tcPr>
            <w:tcW w:w="1269"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val="en-US" w:eastAsia="zh-CN"/>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450"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382"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9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14" w:type="dxa"/>
            <w:vMerge w:val="continue"/>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lang w:val="en-US" w:eastAsia="zh-CN"/>
              </w:rPr>
            </w:pPr>
          </w:p>
        </w:tc>
        <w:tc>
          <w:tcPr>
            <w:tcW w:w="3728"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其他法律法规规章文件规定应履行的责任。</w:t>
            </w:r>
          </w:p>
        </w:tc>
        <w:tc>
          <w:tcPr>
            <w:tcW w:w="1269"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0"/>
                <w:sz w:val="22"/>
                <w:szCs w:val="22"/>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5" w:hRule="atLeast"/>
          <w:jc w:val="center"/>
        </w:trPr>
        <w:tc>
          <w:tcPr>
            <w:tcW w:w="45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序号</w:t>
            </w:r>
          </w:p>
        </w:tc>
        <w:tc>
          <w:tcPr>
            <w:tcW w:w="1573"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项目名称</w:t>
            </w:r>
          </w:p>
        </w:tc>
        <w:tc>
          <w:tcPr>
            <w:tcW w:w="6382" w:type="dxa"/>
            <w:tcMar>
              <w:top w:w="15" w:type="dxa"/>
              <w:left w:w="15" w:type="dxa"/>
              <w:right w:w="15" w:type="dxa"/>
            </w:tcMar>
            <w:vAlign w:val="center"/>
          </w:tcPr>
          <w:p>
            <w:pPr>
              <w:pStyle w:val="2"/>
              <w:widowControl w:val="0"/>
              <w:wordWrap/>
              <w:adjustRightInd/>
              <w:snapToGrid/>
              <w:spacing w:before="0" w:after="0" w:line="20" w:lineRule="exact"/>
              <w:ind w:left="0" w:leftChars="0" w:right="0" w:firstLine="0" w:firstLineChars="0"/>
              <w:jc w:val="center"/>
              <w:textAlignment w:val="auto"/>
              <w:outlineLvl w:val="9"/>
              <w:rPr>
                <w:rFonts w:hint="eastAsia" w:ascii="黑体" w:hAnsi="黑体" w:eastAsia="黑体" w:cs="黑体"/>
                <w:color w:val="auto"/>
                <w:sz w:val="22"/>
                <w:szCs w:val="22"/>
                <w:lang w:eastAsia="zh-CN"/>
              </w:rPr>
            </w:pPr>
          </w:p>
          <w:p>
            <w:pPr>
              <w:pStyle w:val="2"/>
              <w:widowControl w:val="0"/>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sz w:val="22"/>
                <w:szCs w:val="22"/>
                <w:lang w:eastAsia="zh-CN"/>
              </w:rPr>
              <w:t>实施依据</w:t>
            </w:r>
          </w:p>
        </w:tc>
        <w:tc>
          <w:tcPr>
            <w:tcW w:w="986"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职权类别</w:t>
            </w:r>
          </w:p>
        </w:tc>
        <w:tc>
          <w:tcPr>
            <w:tcW w:w="81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办理</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环节</w:t>
            </w:r>
          </w:p>
        </w:tc>
        <w:tc>
          <w:tcPr>
            <w:tcW w:w="3728"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责任事项</w:t>
            </w:r>
          </w:p>
        </w:tc>
        <w:tc>
          <w:tcPr>
            <w:tcW w:w="1269"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sz w:val="22"/>
                <w:szCs w:val="22"/>
                <w:lang w:eastAsia="zh-CN"/>
              </w:rPr>
              <w:t>责任处室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80" w:hRule="atLeast"/>
          <w:jc w:val="center"/>
        </w:trPr>
        <w:tc>
          <w:tcPr>
            <w:tcW w:w="45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9</w:t>
            </w:r>
          </w:p>
        </w:tc>
        <w:tc>
          <w:tcPr>
            <w:tcW w:w="1573" w:type="dxa"/>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制造、销售不符合国家技术标准的殡葬设备，制造、销售封建迷信殡葬用品的处罚</w:t>
            </w:r>
          </w:p>
        </w:tc>
        <w:tc>
          <w:tcPr>
            <w:tcW w:w="6382" w:type="dxa"/>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《殡葬管理条例》第五章罚则第二十二条</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制造、销售不符合国家技术标准的殡葬设备的，由民政部门会同工商行政管理部门责令停止制造、销售，可以并处制造、销售金额1倍以上3倍以下的罚款。制造、销售封建迷信殡葬用品的，由民政部门会同工商行政管理部门予以没收，可以并处制造、销售金额1倍以上3倍以下的罚款。</w:t>
            </w:r>
          </w:p>
        </w:tc>
        <w:tc>
          <w:tcPr>
            <w:tcW w:w="986"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行政处罚</w:t>
            </w:r>
          </w:p>
        </w:tc>
        <w:tc>
          <w:tcPr>
            <w:tcW w:w="81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立案</w:t>
            </w:r>
          </w:p>
        </w:tc>
        <w:tc>
          <w:tcPr>
            <w:tcW w:w="3728"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检查中发现制造、销售不符合国家技术标准的殡葬设备的，予以审查，决定是否立案。</w:t>
            </w:r>
          </w:p>
        </w:tc>
        <w:tc>
          <w:tcPr>
            <w:tcW w:w="1269"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16"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38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9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1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调查</w:t>
            </w:r>
          </w:p>
        </w:tc>
        <w:tc>
          <w:tcPr>
            <w:tcW w:w="3728"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会同市场监督管理部门对案件进行现场检查，查明事实。</w:t>
            </w:r>
          </w:p>
        </w:tc>
        <w:tc>
          <w:tcPr>
            <w:tcW w:w="1269"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38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9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1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w:t>
            </w:r>
          </w:p>
        </w:tc>
        <w:tc>
          <w:tcPr>
            <w:tcW w:w="3728"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会同市场监督管理部门对案件违法事实、证据、调查取证程序、法律适用、处罚幅度，提出处罚意见。</w:t>
            </w:r>
          </w:p>
        </w:tc>
        <w:tc>
          <w:tcPr>
            <w:tcW w:w="1269"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16"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38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9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1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p>
        </w:tc>
        <w:tc>
          <w:tcPr>
            <w:tcW w:w="3728"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备注：依据《河南省殡葬管理办法》第六章第四十条，制止无效的予以没收，并由工商行政管理部门依法予以处罚。</w:t>
            </w:r>
          </w:p>
        </w:tc>
        <w:tc>
          <w:tcPr>
            <w:tcW w:w="1269"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15202" w:type="dxa"/>
            <w:gridSpan w:val="7"/>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服务电话： 0377-63160381                    投诉机构:南阳市纪委监委驻市民政局纪检监察组                      投诉电话：0377-63137277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15202" w:type="dxa"/>
            <w:gridSpan w:val="7"/>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kern w:val="0"/>
                <w:sz w:val="22"/>
                <w:szCs w:val="22"/>
              </w:rPr>
              <w:t>受理地点： 南阳市范蠡路1666号北区1号楼636</w:t>
            </w:r>
            <w:r>
              <w:rPr>
                <w:rFonts w:hint="eastAsia" w:ascii="仿宋_GB2312" w:hAnsi="仿宋_GB2312" w:eastAsia="仿宋_GB2312" w:cs="仿宋_GB2312"/>
                <w:color w:val="auto"/>
                <w:kern w:val="0"/>
                <w:sz w:val="22"/>
                <w:szCs w:val="22"/>
                <w:lang w:eastAsia="zh-CN"/>
              </w:rPr>
              <w:t>室</w:t>
            </w:r>
          </w:p>
        </w:tc>
      </w:tr>
    </w:tbl>
    <w:p>
      <w:pPr>
        <w:pStyle w:val="2"/>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bl>
      <w:tblPr>
        <w:tblStyle w:val="5"/>
        <w:tblW w:w="14687"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450"/>
        <w:gridCol w:w="1590"/>
        <w:gridCol w:w="6026"/>
        <w:gridCol w:w="664"/>
        <w:gridCol w:w="857"/>
        <w:gridCol w:w="4446"/>
        <w:gridCol w:w="6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2" w:hRule="atLeast"/>
          <w:tblHeader/>
        </w:trPr>
        <w:tc>
          <w:tcPr>
            <w:tcW w:w="45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序号</w:t>
            </w:r>
          </w:p>
        </w:tc>
        <w:tc>
          <w:tcPr>
            <w:tcW w:w="159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项目名称</w:t>
            </w:r>
          </w:p>
        </w:tc>
        <w:tc>
          <w:tcPr>
            <w:tcW w:w="6026" w:type="dxa"/>
            <w:tcMar>
              <w:top w:w="15" w:type="dxa"/>
              <w:left w:w="15" w:type="dxa"/>
              <w:right w:w="15" w:type="dxa"/>
            </w:tcMar>
            <w:vAlign w:val="center"/>
          </w:tcPr>
          <w:p>
            <w:pPr>
              <w:pStyle w:val="2"/>
              <w:widowControl w:val="0"/>
              <w:wordWrap/>
              <w:adjustRightInd/>
              <w:snapToGrid/>
              <w:spacing w:before="0" w:after="0" w:line="20" w:lineRule="exact"/>
              <w:ind w:left="0" w:leftChars="0" w:right="0" w:firstLine="0" w:firstLineChars="0"/>
              <w:jc w:val="center"/>
              <w:textAlignment w:val="auto"/>
              <w:outlineLvl w:val="9"/>
              <w:rPr>
                <w:rFonts w:hint="eastAsia" w:ascii="黑体" w:hAnsi="黑体" w:eastAsia="黑体" w:cs="黑体"/>
                <w:color w:val="auto"/>
                <w:sz w:val="22"/>
                <w:szCs w:val="22"/>
                <w:lang w:eastAsia="zh-CN"/>
              </w:rPr>
            </w:pPr>
          </w:p>
          <w:p>
            <w:pPr>
              <w:pStyle w:val="2"/>
              <w:widowControl w:val="0"/>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sz w:val="22"/>
                <w:szCs w:val="22"/>
                <w:lang w:eastAsia="zh-CN"/>
              </w:rPr>
              <w:t>实施依据</w:t>
            </w:r>
          </w:p>
        </w:tc>
        <w:tc>
          <w:tcPr>
            <w:tcW w:w="66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职权类别</w:t>
            </w:r>
          </w:p>
        </w:tc>
        <w:tc>
          <w:tcPr>
            <w:tcW w:w="857"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办理</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环节</w:t>
            </w:r>
          </w:p>
        </w:tc>
        <w:tc>
          <w:tcPr>
            <w:tcW w:w="4446"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责任事项</w:t>
            </w:r>
          </w:p>
        </w:tc>
        <w:tc>
          <w:tcPr>
            <w:tcW w:w="65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sz w:val="22"/>
                <w:szCs w:val="22"/>
                <w:lang w:eastAsia="zh-CN"/>
              </w:rPr>
              <w:t>责任处室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4" w:hRule="atLeast"/>
        </w:trPr>
        <w:tc>
          <w:tcPr>
            <w:tcW w:w="45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kern w:val="0"/>
                <w:sz w:val="22"/>
                <w:szCs w:val="22"/>
              </w:rPr>
              <w:t>10</w:t>
            </w:r>
          </w:p>
        </w:tc>
        <w:tc>
          <w:tcPr>
            <w:tcW w:w="1590" w:type="dxa"/>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故意损毁或者擅自移动界桩或者其他行政区域界线标志物的处罚</w:t>
            </w:r>
          </w:p>
        </w:tc>
        <w:tc>
          <w:tcPr>
            <w:tcW w:w="6026" w:type="dxa"/>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rPr>
              <w:t>《行政区域界线管理条例》</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国务院令第353号）第十七条：违反本条例的规定，故意损毁或者擅自移动界桩或者其他行政区域界线标志物的，应当支付修复标志物的费用，并由所在地负责管理该行政区域界线标志物的人民政府民政部门处1000元以下的罚款；构成违法治安管理行为的，并依法给予治安管理处罚。</w:t>
            </w:r>
          </w:p>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河南省行政区域界线管理办法》（省政府令第123号）第十九条：违反本办法的规定，故意损毁或者擅自移动界桩或者其他行政区域界线标志物的，应当支付修复标志物的费用，并由所在地负责管理该行政区域界线标志物的人民政府民政部门处1000元以下的罚款；构成违法治安管理行为的，并依法给予治安管理处罚。</w:t>
            </w:r>
          </w:p>
        </w:tc>
        <w:tc>
          <w:tcPr>
            <w:tcW w:w="664"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行政处罚</w:t>
            </w:r>
          </w:p>
        </w:tc>
        <w:tc>
          <w:tcPr>
            <w:tcW w:w="857"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立案</w:t>
            </w:r>
          </w:p>
        </w:tc>
        <w:tc>
          <w:tcPr>
            <w:tcW w:w="4446" w:type="dxa"/>
            <w:tcMar>
              <w:top w:w="15" w:type="dxa"/>
              <w:left w:w="15" w:type="dxa"/>
              <w:right w:w="15" w:type="dxa"/>
            </w:tcMar>
            <w:vAlign w:val="top"/>
          </w:tcPr>
          <w:p>
            <w:pPr>
              <w:widowControl/>
              <w:wordWrap/>
              <w:adjustRightInd/>
              <w:snapToGrid/>
              <w:spacing w:before="0" w:after="0" w:line="300" w:lineRule="exact"/>
              <w:ind w:left="0" w:leftChars="0" w:right="0"/>
              <w:jc w:val="left"/>
              <w:textAlignment w:val="top"/>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立案责任：对检查中发现、接到举报投诉故意损毁或者擅自移动界桩或者其他行政区域界线标志物或有关部门移送的此类违法案件予以审查，决定是否立案。</w:t>
            </w:r>
          </w:p>
        </w:tc>
        <w:tc>
          <w:tcPr>
            <w:tcW w:w="654"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区划地名科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48" w:hRule="atLeast"/>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026"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6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调查</w:t>
            </w:r>
          </w:p>
        </w:tc>
        <w:tc>
          <w:tcPr>
            <w:tcW w:w="4446"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调查责任：对立案的案件，案件承办人员及时、全面、客观、公正地调查收集与案件有关的证据，查明事实，必要时可进行现场检查。与当事人有直接</w:t>
            </w:r>
            <w:r>
              <w:rPr>
                <w:rFonts w:hint="eastAsia" w:ascii="仿宋_GB2312" w:hAnsi="仿宋_GB2312" w:eastAsia="仿宋_GB2312" w:cs="仿宋_GB2312"/>
                <w:color w:val="auto"/>
                <w:kern w:val="0"/>
                <w:sz w:val="22"/>
                <w:szCs w:val="22"/>
                <w:lang w:val="en-US" w:eastAsia="zh-CN"/>
              </w:rPr>
              <w:t>利害</w:t>
            </w:r>
            <w:r>
              <w:rPr>
                <w:rFonts w:hint="eastAsia" w:ascii="仿宋_GB2312" w:hAnsi="仿宋_GB2312" w:eastAsia="仿宋_GB2312" w:cs="仿宋_GB2312"/>
                <w:color w:val="auto"/>
                <w:kern w:val="0"/>
                <w:sz w:val="22"/>
                <w:szCs w:val="22"/>
              </w:rPr>
              <w:t>关系的应当回避；执法人员不得少于两人；调查取证时应出示执法证件；允许当事人辩解</w:t>
            </w:r>
            <w:r>
              <w:rPr>
                <w:rFonts w:hint="eastAsia" w:ascii="仿宋_GB2312" w:hAnsi="仿宋_GB2312" w:eastAsia="仿宋_GB2312" w:cs="仿宋_GB2312"/>
                <w:color w:val="auto"/>
                <w:kern w:val="0"/>
                <w:sz w:val="22"/>
                <w:szCs w:val="22"/>
                <w:lang w:eastAsia="zh-CN"/>
              </w:rPr>
              <w:t>陈述</w:t>
            </w:r>
            <w:r>
              <w:rPr>
                <w:rFonts w:hint="eastAsia" w:ascii="仿宋_GB2312" w:hAnsi="仿宋_GB2312" w:eastAsia="仿宋_GB2312" w:cs="仿宋_GB2312"/>
                <w:color w:val="auto"/>
                <w:kern w:val="0"/>
                <w:sz w:val="22"/>
                <w:szCs w:val="22"/>
              </w:rPr>
              <w:t>。</w:t>
            </w:r>
          </w:p>
        </w:tc>
        <w:tc>
          <w:tcPr>
            <w:tcW w:w="65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37" w:hRule="atLeast"/>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026"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6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w:t>
            </w:r>
          </w:p>
        </w:tc>
        <w:tc>
          <w:tcPr>
            <w:tcW w:w="4446"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审查责任：对案件违法事实、证据、调查取证程序、法律适用、处罚种类和幅度、当事人</w:t>
            </w:r>
            <w:r>
              <w:rPr>
                <w:rFonts w:hint="eastAsia" w:ascii="仿宋_GB2312" w:hAnsi="仿宋_GB2312" w:eastAsia="仿宋_GB2312" w:cs="仿宋_GB2312"/>
                <w:color w:val="auto"/>
                <w:kern w:val="0"/>
                <w:sz w:val="22"/>
                <w:szCs w:val="22"/>
                <w:lang w:eastAsia="zh-CN"/>
              </w:rPr>
              <w:t>陈述</w:t>
            </w:r>
            <w:r>
              <w:rPr>
                <w:rFonts w:hint="eastAsia" w:ascii="仿宋_GB2312" w:hAnsi="仿宋_GB2312" w:eastAsia="仿宋_GB2312" w:cs="仿宋_GB2312"/>
                <w:color w:val="auto"/>
                <w:kern w:val="0"/>
                <w:sz w:val="22"/>
                <w:szCs w:val="22"/>
              </w:rPr>
              <w:t>和申辩理由等方面进行审查，提出处理意见。</w:t>
            </w:r>
          </w:p>
        </w:tc>
        <w:tc>
          <w:tcPr>
            <w:tcW w:w="65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33" w:hRule="atLeast"/>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026"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6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告知</w:t>
            </w:r>
          </w:p>
        </w:tc>
        <w:tc>
          <w:tcPr>
            <w:tcW w:w="4446"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kern w:val="0"/>
                <w:sz w:val="22"/>
                <w:szCs w:val="22"/>
              </w:rPr>
              <w:t>告知责任：在做出行政处罚决定前，书面告知当事人拟做出处罚决定的事实、理由、依据、处罚内容，以及当事人享有的</w:t>
            </w:r>
            <w:r>
              <w:rPr>
                <w:rFonts w:hint="eastAsia" w:ascii="仿宋_GB2312" w:hAnsi="仿宋_GB2312" w:eastAsia="仿宋_GB2312" w:cs="仿宋_GB2312"/>
                <w:color w:val="auto"/>
                <w:kern w:val="0"/>
                <w:sz w:val="22"/>
                <w:szCs w:val="22"/>
                <w:lang w:eastAsia="zh-CN"/>
              </w:rPr>
              <w:t>陈述权</w:t>
            </w:r>
            <w:r>
              <w:rPr>
                <w:rFonts w:hint="eastAsia" w:ascii="仿宋_GB2312" w:hAnsi="仿宋_GB2312" w:eastAsia="仿宋_GB2312" w:cs="仿宋_GB2312"/>
                <w:color w:val="auto"/>
                <w:kern w:val="0"/>
                <w:sz w:val="22"/>
                <w:szCs w:val="22"/>
              </w:rPr>
              <w:t>、申辩权和听证权</w:t>
            </w:r>
            <w:r>
              <w:rPr>
                <w:rFonts w:hint="eastAsia" w:ascii="仿宋_GB2312" w:hAnsi="仿宋_GB2312" w:eastAsia="仿宋_GB2312" w:cs="仿宋_GB2312"/>
                <w:color w:val="auto"/>
                <w:kern w:val="0"/>
                <w:sz w:val="22"/>
                <w:szCs w:val="22"/>
                <w:lang w:eastAsia="zh-CN"/>
              </w:rPr>
              <w:t>。</w:t>
            </w:r>
          </w:p>
        </w:tc>
        <w:tc>
          <w:tcPr>
            <w:tcW w:w="65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29" w:hRule="atLeast"/>
        </w:trPr>
        <w:tc>
          <w:tcPr>
            <w:tcW w:w="45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kern w:val="0"/>
                <w:sz w:val="22"/>
                <w:szCs w:val="22"/>
              </w:rPr>
              <w:t>10</w:t>
            </w:r>
          </w:p>
        </w:tc>
        <w:tc>
          <w:tcPr>
            <w:tcW w:w="1590" w:type="dxa"/>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故意损毁或者擅自移动界桩或者其他行政区域界线标志物的处罚</w:t>
            </w:r>
          </w:p>
        </w:tc>
        <w:tc>
          <w:tcPr>
            <w:tcW w:w="6026" w:type="dxa"/>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行政区域界线管理条例》（国务院令第353号）第十七条：违反本条例的规定，故意损毁或者擅自移动界桩或者其他行政区域界线标志物的，应当支付修复标志物的费用，并由所在地负责管理该行政区域界线标志物的人民政府民政部门处1000元以下的罚款；构成违法治安管理行为的，并依法给予治安管理处罚。</w:t>
            </w:r>
          </w:p>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河南省行政区域界线管理办法》（省政府令第123号）第十九条：违反本办法的规定，故意损毁或者擅自移动界桩或者其他行政区域界线标志物的，应当支付修复标志物的费用，并由所在地负责管理该行政区域界线标志物的人民政府民政部门处1000元以下的罚款；构成违法治安管理行为的，并依法给予治安管理处罚。</w:t>
            </w:r>
          </w:p>
        </w:tc>
        <w:tc>
          <w:tcPr>
            <w:tcW w:w="664"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行政处罚</w:t>
            </w:r>
          </w:p>
        </w:tc>
        <w:tc>
          <w:tcPr>
            <w:tcW w:w="857"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w:t>
            </w:r>
          </w:p>
        </w:tc>
        <w:tc>
          <w:tcPr>
            <w:tcW w:w="444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决定责任：依法需要给予行政处罚的，应制作《行政处罚决定书》，载明违法事实和证据、处罚依据和内容、申请行政复议或提起行政诉讼的途径和期限等内容。</w:t>
            </w:r>
          </w:p>
        </w:tc>
        <w:tc>
          <w:tcPr>
            <w:tcW w:w="65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13" w:hRule="atLeast"/>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026"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6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w:t>
            </w:r>
          </w:p>
        </w:tc>
        <w:tc>
          <w:tcPr>
            <w:tcW w:w="444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送达责任：行政处罚决定书应当在宣告后当场交付当事人；当事人不在场的，行政机关应当在七日内依照民事诉讼法的有关规定，将行政处罚决定书送达当事人。</w:t>
            </w:r>
          </w:p>
        </w:tc>
        <w:tc>
          <w:tcPr>
            <w:tcW w:w="65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08" w:hRule="atLeast"/>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026"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6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执行</w:t>
            </w:r>
          </w:p>
        </w:tc>
        <w:tc>
          <w:tcPr>
            <w:tcW w:w="444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kern w:val="0"/>
                <w:sz w:val="22"/>
                <w:szCs w:val="22"/>
              </w:rPr>
              <w:t>执行责任：监督当事人在决定的期限内，履行生效的行政处罚决定。当事人在法定期限内没有申请行政复议或提起行政诉讼，又不履行的，可申请人民法院强制执行</w:t>
            </w:r>
            <w:r>
              <w:rPr>
                <w:rFonts w:hint="eastAsia" w:ascii="仿宋_GB2312" w:hAnsi="仿宋_GB2312" w:eastAsia="仿宋_GB2312" w:cs="仿宋_GB2312"/>
                <w:color w:val="auto"/>
                <w:kern w:val="0"/>
                <w:sz w:val="22"/>
                <w:szCs w:val="22"/>
                <w:lang w:eastAsia="zh-CN"/>
              </w:rPr>
              <w:t>。</w:t>
            </w:r>
          </w:p>
        </w:tc>
        <w:tc>
          <w:tcPr>
            <w:tcW w:w="65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96" w:hRule="atLeast"/>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026"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6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444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其他法律法规规章文件规定应履行的责任。</w:t>
            </w:r>
          </w:p>
        </w:tc>
        <w:tc>
          <w:tcPr>
            <w:tcW w:w="65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5" w:hRule="atLeast"/>
        </w:trPr>
        <w:tc>
          <w:tcPr>
            <w:tcW w:w="45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kern w:val="0"/>
                <w:sz w:val="22"/>
                <w:szCs w:val="22"/>
              </w:rPr>
              <w:t>11</w:t>
            </w:r>
          </w:p>
        </w:tc>
        <w:tc>
          <w:tcPr>
            <w:tcW w:w="1590" w:type="dxa"/>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擅自对地名进行命名、更名与销名,公开使用未经批准的地名,擅自设置、移动、涂改、遮盖、损毁地名标志的处罚</w:t>
            </w:r>
          </w:p>
        </w:tc>
        <w:tc>
          <w:tcPr>
            <w:tcW w:w="6026" w:type="dxa"/>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《河南省地名管理办法》第三十二条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违反本办法规定,有下列行为之一的,由当地县级以上民政部门责令限期改正;逾期不改正的,处以200元以上1000元以下罚款:(一)擅自对地名进行命名、更名与销名的;(二)公开使用未经批准的地名的;(三)擅自设置、移动、涂改、遮盖、损毁地名标志的。</w:t>
            </w:r>
          </w:p>
        </w:tc>
        <w:tc>
          <w:tcPr>
            <w:tcW w:w="664"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行政处罚</w:t>
            </w:r>
          </w:p>
        </w:tc>
        <w:tc>
          <w:tcPr>
            <w:tcW w:w="857"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立案</w:t>
            </w:r>
          </w:p>
        </w:tc>
        <w:tc>
          <w:tcPr>
            <w:tcW w:w="4446" w:type="dxa"/>
            <w:tcMar>
              <w:top w:w="15" w:type="dxa"/>
              <w:left w:w="15" w:type="dxa"/>
              <w:right w:w="15" w:type="dxa"/>
            </w:tcMar>
            <w:vAlign w:val="center"/>
          </w:tcPr>
          <w:p>
            <w:pPr>
              <w:widowControl/>
              <w:wordWrap/>
              <w:adjustRightInd/>
              <w:snapToGrid/>
              <w:spacing w:before="0" w:after="0" w:line="300" w:lineRule="exact"/>
              <w:ind w:left="0" w:leftChars="0" w:right="0"/>
              <w:jc w:val="both"/>
              <w:textAlignment w:val="top"/>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立案责任：对检查或接到举报违反《河南省地名管理办法》案件予以审查，决定是否立案。</w:t>
            </w:r>
          </w:p>
        </w:tc>
        <w:tc>
          <w:tcPr>
            <w:tcW w:w="654"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区划地名科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450" w:type="dxa"/>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kern w:val="0"/>
                <w:sz w:val="22"/>
                <w:szCs w:val="22"/>
              </w:rPr>
            </w:pPr>
          </w:p>
        </w:tc>
        <w:tc>
          <w:tcPr>
            <w:tcW w:w="1590" w:type="dxa"/>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kern w:val="0"/>
                <w:sz w:val="22"/>
                <w:szCs w:val="22"/>
              </w:rPr>
            </w:pPr>
          </w:p>
        </w:tc>
        <w:tc>
          <w:tcPr>
            <w:tcW w:w="6026" w:type="dxa"/>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0"/>
                <w:sz w:val="22"/>
                <w:szCs w:val="22"/>
              </w:rPr>
            </w:pPr>
          </w:p>
        </w:tc>
        <w:tc>
          <w:tcPr>
            <w:tcW w:w="664" w:type="dxa"/>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c>
          <w:tcPr>
            <w:tcW w:w="857"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调查</w:t>
            </w:r>
          </w:p>
        </w:tc>
        <w:tc>
          <w:tcPr>
            <w:tcW w:w="4446"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调查责任：对立案的案件，案件承办人员及时、全面、客观、公正地调查收集与案件有关的证据，查明事实，执法人员不得少于两人；调查取证时应出示执法证件；允许当事人辩解</w:t>
            </w:r>
            <w:r>
              <w:rPr>
                <w:rFonts w:hint="eastAsia" w:ascii="仿宋_GB2312" w:hAnsi="仿宋_GB2312" w:eastAsia="仿宋_GB2312" w:cs="仿宋_GB2312"/>
                <w:color w:val="auto"/>
                <w:kern w:val="0"/>
                <w:sz w:val="22"/>
                <w:szCs w:val="22"/>
                <w:lang w:eastAsia="zh-CN"/>
              </w:rPr>
              <w:t>陈述</w:t>
            </w:r>
            <w:r>
              <w:rPr>
                <w:rFonts w:hint="eastAsia" w:ascii="仿宋_GB2312" w:hAnsi="仿宋_GB2312" w:eastAsia="仿宋_GB2312" w:cs="仿宋_GB2312"/>
                <w:color w:val="auto"/>
                <w:kern w:val="0"/>
                <w:sz w:val="22"/>
                <w:szCs w:val="22"/>
              </w:rPr>
              <w:t>。</w:t>
            </w:r>
          </w:p>
        </w:tc>
        <w:tc>
          <w:tcPr>
            <w:tcW w:w="65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30" w:hRule="atLeast"/>
        </w:trPr>
        <w:tc>
          <w:tcPr>
            <w:tcW w:w="450"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026"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64"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w:t>
            </w:r>
          </w:p>
        </w:tc>
        <w:tc>
          <w:tcPr>
            <w:tcW w:w="4446"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审查责任：对案件违法事实、证据、调查取证程序、法律适用、处罚种类和幅度、当事人</w:t>
            </w:r>
            <w:r>
              <w:rPr>
                <w:rFonts w:hint="eastAsia" w:ascii="仿宋_GB2312" w:hAnsi="仿宋_GB2312" w:eastAsia="仿宋_GB2312" w:cs="仿宋_GB2312"/>
                <w:color w:val="auto"/>
                <w:kern w:val="0"/>
                <w:sz w:val="22"/>
                <w:szCs w:val="22"/>
                <w:lang w:eastAsia="zh-CN"/>
              </w:rPr>
              <w:t>陈述</w:t>
            </w:r>
            <w:r>
              <w:rPr>
                <w:rFonts w:hint="eastAsia" w:ascii="仿宋_GB2312" w:hAnsi="仿宋_GB2312" w:eastAsia="仿宋_GB2312" w:cs="仿宋_GB2312"/>
                <w:color w:val="auto"/>
                <w:kern w:val="0"/>
                <w:sz w:val="22"/>
                <w:szCs w:val="22"/>
              </w:rPr>
              <w:t>和申辩理由等方面进行审查，提出处理意见。</w:t>
            </w:r>
          </w:p>
        </w:tc>
        <w:tc>
          <w:tcPr>
            <w:tcW w:w="65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450"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026"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64"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告知</w:t>
            </w:r>
          </w:p>
        </w:tc>
        <w:tc>
          <w:tcPr>
            <w:tcW w:w="4446"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告知责任：在做出行政处罚决定前，书面告知当事人拟做出处罚决定的事实、理由、依据、处罚内容，以及当事人享有的</w:t>
            </w:r>
            <w:r>
              <w:rPr>
                <w:rFonts w:hint="eastAsia" w:ascii="仿宋_GB2312" w:hAnsi="仿宋_GB2312" w:eastAsia="仿宋_GB2312" w:cs="仿宋_GB2312"/>
                <w:color w:val="auto"/>
                <w:kern w:val="0"/>
                <w:sz w:val="22"/>
                <w:szCs w:val="22"/>
                <w:lang w:eastAsia="zh-CN"/>
              </w:rPr>
              <w:t>陈述权</w:t>
            </w:r>
            <w:r>
              <w:rPr>
                <w:rFonts w:hint="eastAsia" w:ascii="仿宋_GB2312" w:hAnsi="仿宋_GB2312" w:eastAsia="仿宋_GB2312" w:cs="仿宋_GB2312"/>
                <w:color w:val="auto"/>
                <w:kern w:val="0"/>
                <w:sz w:val="22"/>
                <w:szCs w:val="22"/>
              </w:rPr>
              <w:t>、申辩权和听证权。</w:t>
            </w:r>
          </w:p>
        </w:tc>
        <w:tc>
          <w:tcPr>
            <w:tcW w:w="65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450"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026"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64"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w:t>
            </w:r>
          </w:p>
        </w:tc>
        <w:tc>
          <w:tcPr>
            <w:tcW w:w="4446"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决定责任：依法需要给予行政处罚的，应制作《行政处罚决定书》，载明违法事实和依据、处罚依据和内容、申请行政复议或提起行政诉讼的途径和期限等内容。</w:t>
            </w:r>
          </w:p>
        </w:tc>
        <w:tc>
          <w:tcPr>
            <w:tcW w:w="65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trPr>
        <w:tc>
          <w:tcPr>
            <w:tcW w:w="450"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026"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64"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w:t>
            </w:r>
          </w:p>
        </w:tc>
        <w:tc>
          <w:tcPr>
            <w:tcW w:w="4446"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送达责任：行政处罚决定书应当在宣告当场交付当事人；当事人不在场时，行政机关应当在七日内依照民事诉讼法的有关规定，将行政处罚决定书送达当事人。</w:t>
            </w:r>
          </w:p>
        </w:tc>
        <w:tc>
          <w:tcPr>
            <w:tcW w:w="65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82" w:hRule="atLeast"/>
        </w:trPr>
        <w:tc>
          <w:tcPr>
            <w:tcW w:w="450" w:type="dxa"/>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p>
        </w:tc>
        <w:tc>
          <w:tcPr>
            <w:tcW w:w="1590" w:type="dxa"/>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p>
        </w:tc>
        <w:tc>
          <w:tcPr>
            <w:tcW w:w="6026" w:type="dxa"/>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p>
        </w:tc>
        <w:tc>
          <w:tcPr>
            <w:tcW w:w="66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c>
          <w:tcPr>
            <w:tcW w:w="857"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执行</w:t>
            </w:r>
          </w:p>
        </w:tc>
        <w:tc>
          <w:tcPr>
            <w:tcW w:w="4446"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kern w:val="0"/>
                <w:sz w:val="22"/>
                <w:szCs w:val="22"/>
              </w:rPr>
              <w:t>执行责任：监督当事人在决定的期限内（15日内），履行生效的行政处罚决定。当事人在法定期限内没有申请行政复议或提起行政诉讼，又不履行的，可申请人民法院强制执行</w:t>
            </w:r>
            <w:r>
              <w:rPr>
                <w:rFonts w:hint="eastAsia" w:ascii="仿宋_GB2312" w:hAnsi="仿宋_GB2312" w:eastAsia="仿宋_GB2312" w:cs="仿宋_GB2312"/>
                <w:color w:val="auto"/>
                <w:kern w:val="0"/>
                <w:sz w:val="22"/>
                <w:szCs w:val="22"/>
                <w:lang w:eastAsia="zh-CN"/>
              </w:rPr>
              <w:t>。</w:t>
            </w:r>
          </w:p>
        </w:tc>
        <w:tc>
          <w:tcPr>
            <w:tcW w:w="65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77" w:hRule="atLeast"/>
        </w:trPr>
        <w:tc>
          <w:tcPr>
            <w:tcW w:w="45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kern w:val="0"/>
                <w:sz w:val="22"/>
                <w:szCs w:val="22"/>
                <w:lang w:eastAsia="zh-CN"/>
              </w:rPr>
              <w:t>12</w:t>
            </w:r>
          </w:p>
        </w:tc>
        <w:tc>
          <w:tcPr>
            <w:tcW w:w="1590" w:type="dxa"/>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擅自编制行政区域界线详图，或者绘制的地图的行政区域界线的画法与行政区域界线详图的画法不一致的处罚</w:t>
            </w:r>
          </w:p>
        </w:tc>
        <w:tc>
          <w:tcPr>
            <w:tcW w:w="6026" w:type="dxa"/>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区域界线管理条例》（国务院令第353号）第十八条：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10000元以下的罚款。</w:t>
            </w:r>
          </w:p>
        </w:tc>
        <w:tc>
          <w:tcPr>
            <w:tcW w:w="664"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行政处罚</w:t>
            </w:r>
          </w:p>
        </w:tc>
        <w:tc>
          <w:tcPr>
            <w:tcW w:w="857"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立案</w:t>
            </w:r>
          </w:p>
        </w:tc>
        <w:tc>
          <w:tcPr>
            <w:tcW w:w="4446" w:type="dxa"/>
            <w:tcMar>
              <w:top w:w="15" w:type="dxa"/>
              <w:left w:w="15" w:type="dxa"/>
              <w:right w:w="15" w:type="dxa"/>
            </w:tcMar>
            <w:vAlign w:val="top"/>
          </w:tcPr>
          <w:p>
            <w:pPr>
              <w:widowControl/>
              <w:wordWrap/>
              <w:adjustRightInd/>
              <w:snapToGrid/>
              <w:spacing w:before="0" w:after="0" w:line="300" w:lineRule="exact"/>
              <w:ind w:left="0" w:leftChars="0" w:right="0"/>
              <w:jc w:val="left"/>
              <w:textAlignment w:val="top"/>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立案责任：对检查中发现、接到举报投诉擅自编制行政区域界线详图，或者绘制的地图的行政区域界线的画法与行政区域界线详图的画法不一致或有关部门移送的此类违法案件予以审查，决定是否立案。</w:t>
            </w:r>
          </w:p>
        </w:tc>
        <w:tc>
          <w:tcPr>
            <w:tcW w:w="654"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区划地名科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22" w:hRule="atLeast"/>
        </w:trPr>
        <w:tc>
          <w:tcPr>
            <w:tcW w:w="450"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026"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6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调查</w:t>
            </w:r>
          </w:p>
        </w:tc>
        <w:tc>
          <w:tcPr>
            <w:tcW w:w="4446"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调查责任：对立案的案件，案件承办人员及时、全面、客观、公正地调查收集与案件有关的证据，查明事实，必要时可进行现场检查。与当事人有直接</w:t>
            </w:r>
            <w:r>
              <w:rPr>
                <w:rFonts w:hint="eastAsia" w:ascii="仿宋_GB2312" w:hAnsi="仿宋_GB2312" w:eastAsia="仿宋_GB2312" w:cs="仿宋_GB2312"/>
                <w:color w:val="auto"/>
                <w:kern w:val="0"/>
                <w:sz w:val="22"/>
                <w:szCs w:val="22"/>
                <w:lang w:val="en-US" w:eastAsia="zh-CN"/>
              </w:rPr>
              <w:t>利害</w:t>
            </w:r>
            <w:r>
              <w:rPr>
                <w:rFonts w:hint="eastAsia" w:ascii="仿宋_GB2312" w:hAnsi="仿宋_GB2312" w:eastAsia="仿宋_GB2312" w:cs="仿宋_GB2312"/>
                <w:color w:val="auto"/>
                <w:kern w:val="0"/>
                <w:sz w:val="22"/>
                <w:szCs w:val="22"/>
              </w:rPr>
              <w:t>关系的应当回避；执法人员不得少于两人；调查取证时应出示执法证件；允许当事人辩解</w:t>
            </w:r>
            <w:r>
              <w:rPr>
                <w:rFonts w:hint="eastAsia" w:ascii="仿宋_GB2312" w:hAnsi="仿宋_GB2312" w:eastAsia="仿宋_GB2312" w:cs="仿宋_GB2312"/>
                <w:color w:val="auto"/>
                <w:kern w:val="0"/>
                <w:sz w:val="22"/>
                <w:szCs w:val="22"/>
                <w:lang w:eastAsia="zh-CN"/>
              </w:rPr>
              <w:t>陈述</w:t>
            </w:r>
            <w:r>
              <w:rPr>
                <w:rFonts w:hint="eastAsia" w:ascii="仿宋_GB2312" w:hAnsi="仿宋_GB2312" w:eastAsia="仿宋_GB2312" w:cs="仿宋_GB2312"/>
                <w:color w:val="auto"/>
                <w:kern w:val="0"/>
                <w:sz w:val="22"/>
                <w:szCs w:val="22"/>
              </w:rPr>
              <w:t>。</w:t>
            </w:r>
          </w:p>
        </w:tc>
        <w:tc>
          <w:tcPr>
            <w:tcW w:w="65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29" w:hRule="atLeast"/>
        </w:trPr>
        <w:tc>
          <w:tcPr>
            <w:tcW w:w="450"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026"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6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w:t>
            </w:r>
          </w:p>
        </w:tc>
        <w:tc>
          <w:tcPr>
            <w:tcW w:w="4446"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审查责任：对案件违法事实、证据、调查取证程序、法律适用、处罚种类和幅度、当事人</w:t>
            </w:r>
            <w:r>
              <w:rPr>
                <w:rFonts w:hint="eastAsia" w:ascii="仿宋_GB2312" w:hAnsi="仿宋_GB2312" w:eastAsia="仿宋_GB2312" w:cs="仿宋_GB2312"/>
                <w:color w:val="auto"/>
                <w:kern w:val="0"/>
                <w:sz w:val="22"/>
                <w:szCs w:val="22"/>
                <w:lang w:eastAsia="zh-CN"/>
              </w:rPr>
              <w:t>陈述</w:t>
            </w:r>
            <w:r>
              <w:rPr>
                <w:rFonts w:hint="eastAsia" w:ascii="仿宋_GB2312" w:hAnsi="仿宋_GB2312" w:eastAsia="仿宋_GB2312" w:cs="仿宋_GB2312"/>
                <w:color w:val="auto"/>
                <w:kern w:val="0"/>
                <w:sz w:val="22"/>
                <w:szCs w:val="22"/>
              </w:rPr>
              <w:t>和申辩理由等方面进行审查，提出处理意见。</w:t>
            </w:r>
          </w:p>
        </w:tc>
        <w:tc>
          <w:tcPr>
            <w:tcW w:w="65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16" w:hRule="atLeast"/>
        </w:trPr>
        <w:tc>
          <w:tcPr>
            <w:tcW w:w="450" w:type="dxa"/>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p>
        </w:tc>
        <w:tc>
          <w:tcPr>
            <w:tcW w:w="1590" w:type="dxa"/>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p>
        </w:tc>
        <w:tc>
          <w:tcPr>
            <w:tcW w:w="6026" w:type="dxa"/>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p>
        </w:tc>
        <w:tc>
          <w:tcPr>
            <w:tcW w:w="664"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行政处罚</w:t>
            </w:r>
          </w:p>
        </w:tc>
        <w:tc>
          <w:tcPr>
            <w:tcW w:w="857"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告知</w:t>
            </w:r>
          </w:p>
        </w:tc>
        <w:tc>
          <w:tcPr>
            <w:tcW w:w="4446"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告知责任：在做出行政处罚决定前，书面告知当事人拟做出处罚决定的事实、理由、依据、处罚内容，以及当事人享有的</w:t>
            </w:r>
            <w:r>
              <w:rPr>
                <w:rFonts w:hint="eastAsia" w:ascii="仿宋_GB2312" w:hAnsi="仿宋_GB2312" w:eastAsia="仿宋_GB2312" w:cs="仿宋_GB2312"/>
                <w:color w:val="auto"/>
                <w:kern w:val="0"/>
                <w:sz w:val="22"/>
                <w:szCs w:val="22"/>
                <w:lang w:eastAsia="zh-CN"/>
              </w:rPr>
              <w:t>陈述权</w:t>
            </w:r>
            <w:r>
              <w:rPr>
                <w:rFonts w:hint="eastAsia" w:ascii="仿宋_GB2312" w:hAnsi="仿宋_GB2312" w:eastAsia="仿宋_GB2312" w:cs="仿宋_GB2312"/>
                <w:color w:val="auto"/>
                <w:kern w:val="0"/>
                <w:sz w:val="22"/>
                <w:szCs w:val="22"/>
              </w:rPr>
              <w:t>、申辩权和听证权。</w:t>
            </w:r>
          </w:p>
        </w:tc>
        <w:tc>
          <w:tcPr>
            <w:tcW w:w="65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96" w:hRule="atLeast"/>
        </w:trPr>
        <w:tc>
          <w:tcPr>
            <w:tcW w:w="450"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lang w:val="en-US" w:eastAsia="zh-CN"/>
              </w:rPr>
            </w:pPr>
          </w:p>
        </w:tc>
        <w:tc>
          <w:tcPr>
            <w:tcW w:w="1590"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026"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64" w:type="dxa"/>
            <w:vMerge w:val="restart"/>
            <w:tcMar>
              <w:top w:w="15" w:type="dxa"/>
              <w:left w:w="15" w:type="dxa"/>
              <w:right w:w="15" w:type="dxa"/>
            </w:tcMar>
            <w:vAlign w:val="center"/>
          </w:tcPr>
          <w:p>
            <w:pPr>
              <w:tabs>
                <w:tab w:val="left" w:pos="222"/>
              </w:tabs>
              <w:wordWrap/>
              <w:adjustRightInd/>
              <w:snapToGrid/>
              <w:spacing w:before="0" w:after="0" w:line="300" w:lineRule="exact"/>
              <w:ind w:left="0" w:leftChars="0" w:right="0"/>
              <w:jc w:val="left"/>
              <w:outlineLvl w:val="9"/>
              <w:rPr>
                <w:rFonts w:hint="default" w:ascii="仿宋_GB2312" w:hAnsi="仿宋_GB2312" w:eastAsia="仿宋_GB2312" w:cs="仿宋_GB2312"/>
                <w:color w:val="auto"/>
                <w:sz w:val="22"/>
                <w:szCs w:val="22"/>
                <w:lang w:val="en" w:eastAsia="zh-CN"/>
              </w:rPr>
            </w:pPr>
            <w:r>
              <w:rPr>
                <w:rFonts w:hint="eastAsia" w:ascii="仿宋_GB2312" w:hAnsi="仿宋_GB2312" w:eastAsia="仿宋_GB2312" w:cs="仿宋_GB2312"/>
                <w:color w:val="auto"/>
                <w:sz w:val="22"/>
                <w:szCs w:val="22"/>
                <w:lang w:val="en" w:eastAsia="zh-CN"/>
              </w:rPr>
              <w:t>行政处罚</w:t>
            </w:r>
          </w:p>
        </w:tc>
        <w:tc>
          <w:tcPr>
            <w:tcW w:w="857"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w:t>
            </w:r>
          </w:p>
        </w:tc>
        <w:tc>
          <w:tcPr>
            <w:tcW w:w="4446"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决定责任：依法需要给予行政处罚的，应制作《行政处罚决定书》，载明违法事实和证据、处罚依据和内容、申请行政复议或提起行政诉讼的途径和期限等内容。</w:t>
            </w:r>
          </w:p>
        </w:tc>
        <w:tc>
          <w:tcPr>
            <w:tcW w:w="654" w:type="dxa"/>
            <w:vMerge w:val="restart"/>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区划地名科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06" w:hRule="atLeast"/>
        </w:trPr>
        <w:tc>
          <w:tcPr>
            <w:tcW w:w="450"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026"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6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w:t>
            </w:r>
          </w:p>
        </w:tc>
        <w:tc>
          <w:tcPr>
            <w:tcW w:w="4446"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送达责任：行政处罚决定书应当在宣告后当场交付当事人；当事人不在场的，行政机关应当在七日内依照民事诉讼法的有关规定，将行政处罚决定书送达当事人。</w:t>
            </w:r>
          </w:p>
        </w:tc>
        <w:tc>
          <w:tcPr>
            <w:tcW w:w="65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22" w:hRule="atLeast"/>
        </w:trPr>
        <w:tc>
          <w:tcPr>
            <w:tcW w:w="450"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026"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6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执行</w:t>
            </w:r>
          </w:p>
        </w:tc>
        <w:tc>
          <w:tcPr>
            <w:tcW w:w="4446"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执行责任：监督当事人在决定的期限内（15日内），履行生效的行政处罚决定。当事人在法定期限内没有申请行政复议或提起行政诉讼，又不履行的，可申请人民法院强制执行。</w:t>
            </w:r>
          </w:p>
        </w:tc>
        <w:tc>
          <w:tcPr>
            <w:tcW w:w="65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7" w:hRule="atLeast"/>
        </w:trPr>
        <w:tc>
          <w:tcPr>
            <w:tcW w:w="450"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026"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64"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4446"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其他法律法规规章文件规定应履行的责任。</w:t>
            </w:r>
          </w:p>
        </w:tc>
        <w:tc>
          <w:tcPr>
            <w:tcW w:w="654"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7" w:hRule="atLeast"/>
        </w:trPr>
        <w:tc>
          <w:tcPr>
            <w:tcW w:w="14687" w:type="dxa"/>
            <w:gridSpan w:val="7"/>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服务电话：0377-63136243                     投诉机构:南阳市纪委监委驻市民政局纪检监察组                  投诉电话：0377-63137277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9" w:hRule="atLeast"/>
        </w:trPr>
        <w:tc>
          <w:tcPr>
            <w:tcW w:w="14687" w:type="dxa"/>
            <w:gridSpan w:val="7"/>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受理地点：南阳市范蠡东路1666号市民服务中心北区一号楼545</w:t>
            </w:r>
            <w:r>
              <w:rPr>
                <w:rFonts w:hint="eastAsia" w:ascii="仿宋_GB2312" w:hAnsi="仿宋_GB2312" w:eastAsia="仿宋_GB2312" w:cs="仿宋_GB2312"/>
                <w:color w:val="auto"/>
                <w:kern w:val="0"/>
                <w:sz w:val="22"/>
                <w:szCs w:val="22"/>
                <w:lang w:eastAsia="zh-CN"/>
              </w:rPr>
              <w:t>室</w:t>
            </w:r>
          </w:p>
        </w:tc>
      </w:tr>
    </w:tbl>
    <w:p>
      <w:pPr>
        <w:pStyle w:val="2"/>
        <w:wordWrap/>
        <w:adjustRightInd/>
        <w:snapToGrid/>
        <w:spacing w:before="0" w:after="0" w:line="300" w:lineRule="exact"/>
        <w:ind w:left="0" w:leftChars="0" w:right="0"/>
        <w:outlineLvl w:val="9"/>
        <w:rPr>
          <w:color w:val="auto"/>
        </w:rPr>
        <w:sectPr>
          <w:headerReference r:id="rId3" w:type="default"/>
          <w:footerReference r:id="rId4" w:type="default"/>
          <w:pgSz w:w="16838" w:h="11906" w:orient="landscape"/>
          <w:pgMar w:top="1587" w:right="1134" w:bottom="1247" w:left="1134" w:header="851" w:footer="992" w:gutter="0"/>
          <w:pgNumType w:fmt="numberInDash"/>
          <w:cols w:space="0" w:num="1"/>
          <w:docGrid w:type="lines" w:linePitch="453" w:charSpace="0"/>
        </w:sectPr>
      </w:pPr>
    </w:p>
    <w:tbl>
      <w:tblPr>
        <w:tblStyle w:val="5"/>
        <w:tblW w:w="145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
        <w:gridCol w:w="4"/>
        <w:gridCol w:w="5"/>
        <w:gridCol w:w="752"/>
        <w:gridCol w:w="29"/>
        <w:gridCol w:w="4"/>
        <w:gridCol w:w="1453"/>
        <w:gridCol w:w="4"/>
        <w:gridCol w:w="41"/>
        <w:gridCol w:w="3830"/>
        <w:gridCol w:w="33"/>
        <w:gridCol w:w="587"/>
        <w:gridCol w:w="29"/>
        <w:gridCol w:w="4"/>
        <w:gridCol w:w="824"/>
        <w:gridCol w:w="29"/>
        <w:gridCol w:w="4"/>
        <w:gridCol w:w="5682"/>
        <w:gridCol w:w="145"/>
        <w:gridCol w:w="29"/>
        <w:gridCol w:w="4"/>
        <w:gridCol w:w="867"/>
        <w:gridCol w:w="130"/>
        <w:gridCol w:w="22"/>
        <w:gridCol w:w="19"/>
        <w:gridCol w:w="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wBefore w:w="11" w:type="dxa"/>
          <w:trHeight w:val="23" w:hRule="atLeast"/>
          <w:tblHeader/>
          <w:jc w:val="center"/>
        </w:trPr>
        <w:tc>
          <w:tcPr>
            <w:tcW w:w="790"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序</w:t>
            </w:r>
          </w:p>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号</w:t>
            </w:r>
          </w:p>
        </w:tc>
        <w:tc>
          <w:tcPr>
            <w:tcW w:w="1457"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项目名称</w:t>
            </w:r>
          </w:p>
        </w:tc>
        <w:tc>
          <w:tcPr>
            <w:tcW w:w="3904"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实施依据</w:t>
            </w:r>
          </w:p>
        </w:tc>
        <w:tc>
          <w:tcPr>
            <w:tcW w:w="620"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职权类别</w:t>
            </w:r>
          </w:p>
        </w:tc>
        <w:tc>
          <w:tcPr>
            <w:tcW w:w="857"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办理</w:t>
            </w:r>
          </w:p>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环节</w:t>
            </w:r>
          </w:p>
        </w:tc>
        <w:tc>
          <w:tcPr>
            <w:tcW w:w="5860"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责任事项</w:t>
            </w:r>
          </w:p>
        </w:tc>
        <w:tc>
          <w:tcPr>
            <w:tcW w:w="1060" w:type="dxa"/>
            <w:gridSpan w:val="5"/>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责任</w:t>
            </w:r>
          </w:p>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处室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wBefore w:w="11" w:type="dxa"/>
          <w:trHeight w:val="1275" w:hRule="atLeast"/>
          <w:jc w:val="center"/>
        </w:trPr>
        <w:tc>
          <w:tcPr>
            <w:tcW w:w="790" w:type="dxa"/>
            <w:gridSpan w:val="4"/>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kern w:val="0"/>
                <w:sz w:val="22"/>
                <w:szCs w:val="22"/>
              </w:rPr>
              <w:t>13</w:t>
            </w:r>
          </w:p>
        </w:tc>
        <w:tc>
          <w:tcPr>
            <w:tcW w:w="1457" w:type="dxa"/>
            <w:gridSpan w:val="2"/>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社会团体在申请登记时弄虚作假，骗取登记的，或者自取得社会团体法人登记证书之日起1年未开展活动的处罚</w:t>
            </w:r>
          </w:p>
        </w:tc>
        <w:tc>
          <w:tcPr>
            <w:tcW w:w="3904" w:type="dxa"/>
            <w:gridSpan w:val="3"/>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《社会团体登记管理条例》（国务院令第250号）第二十九条：社会团体在申请登记时弄虚作假，骗取登记的，或者自取得《社会团体法人登记证书》之日起1年未开展活动的，由登记管理机关予以撤销登记。</w:t>
            </w:r>
          </w:p>
        </w:tc>
        <w:tc>
          <w:tcPr>
            <w:tcW w:w="620" w:type="dxa"/>
            <w:gridSpan w:val="3"/>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行政处罚</w:t>
            </w:r>
          </w:p>
        </w:tc>
        <w:tc>
          <w:tcPr>
            <w:tcW w:w="857"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立案</w:t>
            </w:r>
          </w:p>
        </w:tc>
        <w:tc>
          <w:tcPr>
            <w:tcW w:w="5860" w:type="dxa"/>
            <w:gridSpan w:val="4"/>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立案责任：检查中发现或者接到举报社会团体在申请登记时弄虚作假，骗取登记，或者自取得《社会团体法人登记证书》 之日起1年未开展活动的违法行为或有关部门移送的此类违法案件，予以审查，决定是否立案。</w:t>
            </w:r>
          </w:p>
        </w:tc>
        <w:tc>
          <w:tcPr>
            <w:tcW w:w="1060" w:type="dxa"/>
            <w:gridSpan w:val="5"/>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wBefore w:w="11" w:type="dxa"/>
          <w:trHeight w:val="1560" w:hRule="atLeast"/>
          <w:jc w:val="center"/>
        </w:trPr>
        <w:tc>
          <w:tcPr>
            <w:tcW w:w="790"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57" w:type="dxa"/>
            <w:gridSpan w:val="2"/>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调查</w:t>
            </w:r>
          </w:p>
        </w:tc>
        <w:tc>
          <w:tcPr>
            <w:tcW w:w="5860" w:type="dxa"/>
            <w:gridSpan w:val="4"/>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1060" w:type="dxa"/>
            <w:gridSpan w:val="5"/>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wBefore w:w="11" w:type="dxa"/>
          <w:trHeight w:val="23" w:hRule="atLeast"/>
          <w:jc w:val="center"/>
        </w:trPr>
        <w:tc>
          <w:tcPr>
            <w:tcW w:w="790"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57" w:type="dxa"/>
            <w:gridSpan w:val="2"/>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w:t>
            </w:r>
          </w:p>
        </w:tc>
        <w:tc>
          <w:tcPr>
            <w:tcW w:w="5860" w:type="dxa"/>
            <w:gridSpan w:val="4"/>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审查责任：对案件违法事实、证据、调查取证程序、法律适用、处罚种类和幅度、当事人陈述和申辩理由等方面进行审查，提出处理意见。</w:t>
            </w:r>
          </w:p>
        </w:tc>
        <w:tc>
          <w:tcPr>
            <w:tcW w:w="1060" w:type="dxa"/>
            <w:gridSpan w:val="5"/>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wBefore w:w="11" w:type="dxa"/>
          <w:trHeight w:val="1080" w:hRule="atLeast"/>
          <w:jc w:val="center"/>
        </w:trPr>
        <w:tc>
          <w:tcPr>
            <w:tcW w:w="790"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57" w:type="dxa"/>
            <w:gridSpan w:val="2"/>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告知</w:t>
            </w:r>
          </w:p>
        </w:tc>
        <w:tc>
          <w:tcPr>
            <w:tcW w:w="5860" w:type="dxa"/>
            <w:gridSpan w:val="4"/>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告知责任：在做出行政处罚决定前，书面告知当事人拟作出处罚决定的事实、理由、依据、处罚内容，以及当事人享有的陈述权、申辩权或听证权。</w:t>
            </w:r>
          </w:p>
        </w:tc>
        <w:tc>
          <w:tcPr>
            <w:tcW w:w="1060" w:type="dxa"/>
            <w:gridSpan w:val="5"/>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wBefore w:w="11" w:type="dxa"/>
          <w:trHeight w:val="1095" w:hRule="atLeast"/>
          <w:jc w:val="center"/>
        </w:trPr>
        <w:tc>
          <w:tcPr>
            <w:tcW w:w="790"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57" w:type="dxa"/>
            <w:gridSpan w:val="2"/>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w:t>
            </w:r>
          </w:p>
        </w:tc>
        <w:tc>
          <w:tcPr>
            <w:tcW w:w="5860" w:type="dxa"/>
            <w:gridSpan w:val="4"/>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决定责任：依法需要给予行政处罚的，应制作《行政处罚决定书》，载明违法事实和证据、处罚依据和内容、申请行政复议或提起行政诉讼的途径和期限等内容。</w:t>
            </w:r>
          </w:p>
        </w:tc>
        <w:tc>
          <w:tcPr>
            <w:tcW w:w="1060" w:type="dxa"/>
            <w:gridSpan w:val="5"/>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wBefore w:w="11" w:type="dxa"/>
          <w:trHeight w:val="515" w:hRule="atLeast"/>
          <w:jc w:val="center"/>
        </w:trPr>
        <w:tc>
          <w:tcPr>
            <w:tcW w:w="790" w:type="dxa"/>
            <w:gridSpan w:val="4"/>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p>
        </w:tc>
        <w:tc>
          <w:tcPr>
            <w:tcW w:w="1457" w:type="dxa"/>
            <w:gridSpan w:val="2"/>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p>
        </w:tc>
        <w:tc>
          <w:tcPr>
            <w:tcW w:w="620" w:type="dxa"/>
            <w:gridSpan w:val="3"/>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c>
          <w:tcPr>
            <w:tcW w:w="857"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w:t>
            </w:r>
          </w:p>
        </w:tc>
        <w:tc>
          <w:tcPr>
            <w:tcW w:w="5860" w:type="dxa"/>
            <w:gridSpan w:val="4"/>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送达责任：行政处罚决定书在7日内送达当事人。</w:t>
            </w:r>
          </w:p>
        </w:tc>
        <w:tc>
          <w:tcPr>
            <w:tcW w:w="1060" w:type="dxa"/>
            <w:gridSpan w:val="5"/>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wBefore w:w="11" w:type="dxa"/>
          <w:trHeight w:val="874" w:hRule="atLeast"/>
          <w:jc w:val="center"/>
        </w:trPr>
        <w:tc>
          <w:tcPr>
            <w:tcW w:w="790"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57" w:type="dxa"/>
            <w:gridSpan w:val="2"/>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执行</w:t>
            </w:r>
          </w:p>
        </w:tc>
        <w:tc>
          <w:tcPr>
            <w:tcW w:w="5860" w:type="dxa"/>
            <w:gridSpan w:val="4"/>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执行责任：监督当事人在决定的期限内，履行生效的行政处罚决定。当事人在法定期限内不申请行政复议或提起行政诉讼，又不履行的，可依法采取强制执行或者申请人民法院强制执行。</w:t>
            </w:r>
          </w:p>
        </w:tc>
        <w:tc>
          <w:tcPr>
            <w:tcW w:w="1060" w:type="dxa"/>
            <w:gridSpan w:val="5"/>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wBefore w:w="11" w:type="dxa"/>
          <w:trHeight w:val="421" w:hRule="atLeast"/>
          <w:jc w:val="center"/>
        </w:trPr>
        <w:tc>
          <w:tcPr>
            <w:tcW w:w="790"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57" w:type="dxa"/>
            <w:gridSpan w:val="2"/>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gridSpan w:val="3"/>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5860" w:type="dxa"/>
            <w:gridSpan w:val="4"/>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其他法律法规规章文件规定应履行的责任。</w:t>
            </w:r>
          </w:p>
        </w:tc>
        <w:tc>
          <w:tcPr>
            <w:tcW w:w="1060" w:type="dxa"/>
            <w:gridSpan w:val="5"/>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4"/>
          <w:wBefore w:w="11" w:type="dxa"/>
          <w:wAfter w:w="193" w:type="dxa"/>
          <w:trHeight w:val="1105" w:hRule="atLeast"/>
          <w:jc w:val="center"/>
        </w:trPr>
        <w:tc>
          <w:tcPr>
            <w:tcW w:w="790" w:type="dxa"/>
            <w:gridSpan w:val="4"/>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kern w:val="0"/>
                <w:sz w:val="22"/>
                <w:szCs w:val="22"/>
              </w:rPr>
              <w:t>14</w:t>
            </w:r>
          </w:p>
        </w:tc>
        <w:tc>
          <w:tcPr>
            <w:tcW w:w="1457" w:type="dxa"/>
            <w:gridSpan w:val="2"/>
            <w:vMerge w:val="restart"/>
            <w:tcMar>
              <w:top w:w="15" w:type="dxa"/>
              <w:left w:w="15" w:type="dxa"/>
              <w:right w:w="15" w:type="dxa"/>
            </w:tcMar>
            <w:vAlign w:val="center"/>
          </w:tcPr>
          <w:p>
            <w:pPr>
              <w:widowControl/>
              <w:wordWrap/>
              <w:adjustRightInd/>
              <w:snapToGrid/>
              <w:spacing w:before="0" w:after="0" w:line="280" w:lineRule="exact"/>
              <w:ind w:left="0" w:leftChars="0" w:right="0" w:firstLine="0" w:firstLineChars="0"/>
              <w:jc w:val="both"/>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0"/>
                <w:szCs w:val="20"/>
              </w:rPr>
              <w:t>社会团体涂改、出租、出借社会团体法人证书，或者出租、出借社会团体印章；超出章程规定的宗旨和业务范围进行活动；拒不接受或者不按照规定接受监督检查；不按照规定办理变更登记；违反规定设立分支机构、代表机构，或者对分支机构、代表机构疏于管理，造成严重后果的；从事营利性的经营活动的；侵占、私分、挪用社会团体资产或者所接受的捐赠、资助的；违反国家有关规定收取费用、筹集资金或者接受、使用捐赠、资助的处罚</w:t>
            </w:r>
          </w:p>
        </w:tc>
        <w:tc>
          <w:tcPr>
            <w:tcW w:w="3904" w:type="dxa"/>
            <w:gridSpan w:val="3"/>
            <w:vMerge w:val="restart"/>
            <w:tcMar>
              <w:top w:w="15" w:type="dxa"/>
              <w:left w:w="15" w:type="dxa"/>
              <w:right w:w="15" w:type="dxa"/>
            </w:tcMar>
            <w:vAlign w:val="center"/>
          </w:tcPr>
          <w:p>
            <w:pPr>
              <w:widowControl/>
              <w:wordWrap/>
              <w:adjustRightInd/>
              <w:snapToGrid/>
              <w:spacing w:before="0" w:after="0" w:line="300" w:lineRule="exact"/>
              <w:ind w:left="0" w:leftChars="0" w:right="0"/>
              <w:jc w:val="both"/>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团体登记管理条例》（国务院令第250号）第三十条：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二）超出章程规定的宗旨和业务范围进行活动的；（三）拒不接受或者不按照规定接受监督检查的；（四）不按照规定办理变更登记的；（五）违反规定设立分支机构、代表机构，或者对分支机构、代表机构疏于管理，造成严重后果的；（六）从事营利性的经营活动的；（七）侵占、私分、挪用社会团体资产或者所接受的捐赠、资助的；（八）违反国家有关规定收取费用、筹集资金或者接受、使用捐赠、资助的。前款规定的行为有违法经营额或者违法所得的，予以没收，可以并处违法经营额1倍以上3倍以下或者违法所得3倍以上5倍以下的罚款。</w:t>
            </w:r>
          </w:p>
        </w:tc>
        <w:tc>
          <w:tcPr>
            <w:tcW w:w="620" w:type="dxa"/>
            <w:gridSpan w:val="3"/>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行政处罚</w:t>
            </w:r>
          </w:p>
        </w:tc>
        <w:tc>
          <w:tcPr>
            <w:tcW w:w="857"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立案</w:t>
            </w:r>
          </w:p>
        </w:tc>
        <w:tc>
          <w:tcPr>
            <w:tcW w:w="5682"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立案责任：检查中发现或者接到举报社会团体存在违反社会团体登记管理规定的行为或有关部门移送的此类违法案件，予以审查，决定是否立案。</w:t>
            </w:r>
          </w:p>
        </w:tc>
        <w:tc>
          <w:tcPr>
            <w:tcW w:w="1045"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4"/>
          <w:wBefore w:w="11" w:type="dxa"/>
          <w:wAfter w:w="193" w:type="dxa"/>
          <w:trHeight w:val="1146" w:hRule="atLeast"/>
          <w:jc w:val="center"/>
        </w:trPr>
        <w:tc>
          <w:tcPr>
            <w:tcW w:w="790"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57" w:type="dxa"/>
            <w:gridSpan w:val="2"/>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调查</w:t>
            </w:r>
          </w:p>
        </w:tc>
        <w:tc>
          <w:tcPr>
            <w:tcW w:w="5682"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1045"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4"/>
          <w:wBefore w:w="11" w:type="dxa"/>
          <w:wAfter w:w="193" w:type="dxa"/>
          <w:trHeight w:val="90" w:hRule="atLeast"/>
          <w:jc w:val="center"/>
        </w:trPr>
        <w:tc>
          <w:tcPr>
            <w:tcW w:w="790"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lang w:eastAsia="zh-CN"/>
              </w:rPr>
            </w:pPr>
          </w:p>
        </w:tc>
        <w:tc>
          <w:tcPr>
            <w:tcW w:w="1457" w:type="dxa"/>
            <w:gridSpan w:val="2"/>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w:t>
            </w:r>
          </w:p>
        </w:tc>
        <w:tc>
          <w:tcPr>
            <w:tcW w:w="5682"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审查责任：对案件违法事实、证据、调查取证程序、法律适用、处罚种类和幅度、当事人陈述和申辩理由等方面进行审查，提出处理意见。</w:t>
            </w:r>
          </w:p>
        </w:tc>
        <w:tc>
          <w:tcPr>
            <w:tcW w:w="1045"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4"/>
          <w:wBefore w:w="11" w:type="dxa"/>
          <w:wAfter w:w="193" w:type="dxa"/>
          <w:trHeight w:val="931" w:hRule="atLeast"/>
          <w:jc w:val="center"/>
        </w:trPr>
        <w:tc>
          <w:tcPr>
            <w:tcW w:w="790"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57" w:type="dxa"/>
            <w:gridSpan w:val="2"/>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restart"/>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告知</w:t>
            </w:r>
          </w:p>
        </w:tc>
        <w:tc>
          <w:tcPr>
            <w:tcW w:w="5682"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告知责任：在做出行政处罚决定前，书面告知当事人拟作出处罚决定的事实、理由、依据、处罚内容，以及当事人享有的陈述权、申辩权或听证权。</w:t>
            </w:r>
          </w:p>
        </w:tc>
        <w:tc>
          <w:tcPr>
            <w:tcW w:w="1045"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4"/>
          <w:wBefore w:w="11" w:type="dxa"/>
          <w:wAfter w:w="193" w:type="dxa"/>
          <w:trHeight w:val="543" w:hRule="atLeast"/>
          <w:jc w:val="center"/>
        </w:trPr>
        <w:tc>
          <w:tcPr>
            <w:tcW w:w="790"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57" w:type="dxa"/>
            <w:gridSpan w:val="2"/>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w:t>
            </w:r>
          </w:p>
        </w:tc>
        <w:tc>
          <w:tcPr>
            <w:tcW w:w="5682"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决定责任：依法需要给予行政处罚的，应制作《行政处罚决定书》，载明违法事实和证据、处罚依据和内容、申请行政复议或提起行政诉讼的途径和期限等内容。</w:t>
            </w:r>
          </w:p>
        </w:tc>
        <w:tc>
          <w:tcPr>
            <w:tcW w:w="1045"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4"/>
          <w:wBefore w:w="11" w:type="dxa"/>
          <w:wAfter w:w="193" w:type="dxa"/>
          <w:trHeight w:val="645" w:hRule="atLeast"/>
          <w:jc w:val="center"/>
        </w:trPr>
        <w:tc>
          <w:tcPr>
            <w:tcW w:w="790"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57" w:type="dxa"/>
            <w:gridSpan w:val="2"/>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送到</w:t>
            </w:r>
          </w:p>
        </w:tc>
        <w:tc>
          <w:tcPr>
            <w:tcW w:w="5682"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送达责任：行政处罚决定书在7日内送达当事人。</w:t>
            </w:r>
          </w:p>
        </w:tc>
        <w:tc>
          <w:tcPr>
            <w:tcW w:w="1045"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4"/>
          <w:wBefore w:w="11" w:type="dxa"/>
          <w:wAfter w:w="193" w:type="dxa"/>
          <w:trHeight w:val="1465" w:hRule="atLeast"/>
          <w:jc w:val="center"/>
        </w:trPr>
        <w:tc>
          <w:tcPr>
            <w:tcW w:w="790"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57" w:type="dxa"/>
            <w:gridSpan w:val="2"/>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执行</w:t>
            </w:r>
          </w:p>
        </w:tc>
        <w:tc>
          <w:tcPr>
            <w:tcW w:w="5682"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执行责任：监督当事人在决定的期限内，履行生效的行政处罚决定。当事人在法定期限内不申请行政复议或提起行政诉讼，又不履行的，可依法采取强制执行或者申请人民法院强制执行。</w:t>
            </w:r>
          </w:p>
        </w:tc>
        <w:tc>
          <w:tcPr>
            <w:tcW w:w="1045"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4"/>
          <w:wBefore w:w="11" w:type="dxa"/>
          <w:wAfter w:w="193" w:type="dxa"/>
          <w:trHeight w:val="448" w:hRule="atLeast"/>
          <w:jc w:val="center"/>
        </w:trPr>
        <w:tc>
          <w:tcPr>
            <w:tcW w:w="790" w:type="dxa"/>
            <w:gridSpan w:val="4"/>
            <w:vMerge w:val="continue"/>
            <w:tcBorders>
              <w:left w:val="nil"/>
              <w:bottom w:val="single" w:color="auto" w:sz="4" w:space="0"/>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57" w:type="dxa"/>
            <w:gridSpan w:val="2"/>
            <w:vMerge w:val="continue"/>
            <w:tcBorders>
              <w:left w:val="nil"/>
              <w:bottom w:val="single" w:color="auto" w:sz="4" w:space="0"/>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bottom w:val="single" w:color="auto" w:sz="4" w:space="0"/>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Borders>
              <w:bottom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gridSpan w:val="3"/>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5682"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其他法律法规规章文件规定应履行的责任。</w:t>
            </w:r>
          </w:p>
        </w:tc>
        <w:tc>
          <w:tcPr>
            <w:tcW w:w="1045" w:type="dxa"/>
            <w:gridSpan w:val="4"/>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4"/>
          <w:wBefore w:w="11" w:type="dxa"/>
          <w:wAfter w:w="193" w:type="dxa"/>
          <w:trHeight w:val="1178" w:hRule="atLeast"/>
          <w:jc w:val="center"/>
        </w:trPr>
        <w:tc>
          <w:tcPr>
            <w:tcW w:w="790" w:type="dxa"/>
            <w:gridSpan w:val="4"/>
            <w:tcBorders>
              <w:top w:val="single" w:color="auto" w:sz="4" w:space="0"/>
              <w:left w:val="single" w:color="auto" w:sz="4" w:space="0"/>
              <w:bottom w:val="nil"/>
              <w:right w:val="single" w:color="auto" w:sz="4" w:space="0"/>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p>
        </w:tc>
        <w:tc>
          <w:tcPr>
            <w:tcW w:w="1457" w:type="dxa"/>
            <w:gridSpan w:val="2"/>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社会团体的活动违反其他法律、法规的，有关国家机关认为应当撤销登记的处罚</w:t>
            </w:r>
          </w:p>
        </w:tc>
        <w:tc>
          <w:tcPr>
            <w:tcW w:w="3904" w:type="dxa"/>
            <w:gridSpan w:val="3"/>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《社会团体登记管理条例》</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国务院令第250号）第三十一条：社会团体的活动违反其他法律、法规的，由有关国家机关依法处理；有关国家机关认为应当撤销登记的，由登记管理机关撤销登记。</w:t>
            </w:r>
          </w:p>
        </w:tc>
        <w:tc>
          <w:tcPr>
            <w:tcW w:w="620" w:type="dxa"/>
            <w:gridSpan w:val="3"/>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行政处罚</w:t>
            </w:r>
          </w:p>
        </w:tc>
        <w:tc>
          <w:tcPr>
            <w:tcW w:w="857" w:type="dxa"/>
            <w:gridSpan w:val="3"/>
            <w:tcBorders>
              <w:left w:val="single" w:color="auto" w:sz="4" w:space="0"/>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立案</w:t>
            </w:r>
          </w:p>
        </w:tc>
        <w:tc>
          <w:tcPr>
            <w:tcW w:w="5682"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立案责任：有关部门移送的国家机关认为应当撤销登记的案件，予以审查，决定是否立案。</w:t>
            </w:r>
          </w:p>
        </w:tc>
        <w:tc>
          <w:tcPr>
            <w:tcW w:w="1045"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4"/>
          <w:wBefore w:w="11" w:type="dxa"/>
          <w:wAfter w:w="193" w:type="dxa"/>
          <w:trHeight w:val="1252" w:hRule="atLeast"/>
          <w:jc w:val="center"/>
        </w:trPr>
        <w:tc>
          <w:tcPr>
            <w:tcW w:w="790" w:type="dxa"/>
            <w:gridSpan w:val="4"/>
            <w:vMerge w:val="restart"/>
            <w:tcBorders>
              <w:top w:val="nil"/>
              <w:left w:val="single" w:color="auto" w:sz="4" w:space="0"/>
              <w:bottom w:val="nil"/>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15</w:t>
            </w:r>
          </w:p>
        </w:tc>
        <w:tc>
          <w:tcPr>
            <w:tcW w:w="1457" w:type="dxa"/>
            <w:gridSpan w:val="2"/>
            <w:vMerge w:val="continue"/>
            <w:tcBorders>
              <w:top w:val="nil"/>
              <w:left w:val="single" w:color="auto" w:sz="4" w:space="0"/>
              <w:bottom w:val="nil"/>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top w:val="nil"/>
              <w:left w:val="single" w:color="auto" w:sz="4" w:space="0"/>
              <w:bottom w:val="nil"/>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Borders>
              <w:top w:val="nil"/>
              <w:left w:val="single" w:color="auto" w:sz="4" w:space="0"/>
              <w:bottom w:val="nil"/>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gridSpan w:val="3"/>
            <w:tcBorders>
              <w:left w:val="single" w:color="auto" w:sz="4" w:space="0"/>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调查</w:t>
            </w:r>
          </w:p>
        </w:tc>
        <w:tc>
          <w:tcPr>
            <w:tcW w:w="5682"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1045"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4"/>
          <w:wBefore w:w="11" w:type="dxa"/>
          <w:wAfter w:w="193" w:type="dxa"/>
          <w:trHeight w:val="1258" w:hRule="atLeast"/>
          <w:jc w:val="center"/>
        </w:trPr>
        <w:tc>
          <w:tcPr>
            <w:tcW w:w="790" w:type="dxa"/>
            <w:gridSpan w:val="4"/>
            <w:vMerge w:val="continue"/>
            <w:tcBorders>
              <w:top w:val="nil"/>
              <w:left w:val="single" w:color="auto" w:sz="4" w:space="0"/>
              <w:bottom w:val="nil"/>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57" w:type="dxa"/>
            <w:gridSpan w:val="2"/>
            <w:vMerge w:val="continue"/>
            <w:tcBorders>
              <w:top w:val="nil"/>
              <w:left w:val="single" w:color="auto" w:sz="4" w:space="0"/>
              <w:bottom w:val="nil"/>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top w:val="nil"/>
              <w:left w:val="single" w:color="auto" w:sz="4" w:space="0"/>
              <w:bottom w:val="nil"/>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Borders>
              <w:top w:val="nil"/>
              <w:left w:val="single" w:color="auto" w:sz="4" w:space="0"/>
              <w:bottom w:val="nil"/>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gridSpan w:val="3"/>
            <w:tcBorders>
              <w:left w:val="single" w:color="auto" w:sz="4" w:space="0"/>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w:t>
            </w:r>
          </w:p>
        </w:tc>
        <w:tc>
          <w:tcPr>
            <w:tcW w:w="5682"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审查责任：对案件违法事实、证据、调查取证程序、法律适用、处罚种类和幅度、当事人陈述和申辩理由等方面进行审查，提出处理意见。</w:t>
            </w:r>
          </w:p>
        </w:tc>
        <w:tc>
          <w:tcPr>
            <w:tcW w:w="1045"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4"/>
          <w:wBefore w:w="11" w:type="dxa"/>
          <w:wAfter w:w="193" w:type="dxa"/>
          <w:trHeight w:val="23" w:hRule="atLeast"/>
          <w:jc w:val="center"/>
        </w:trPr>
        <w:tc>
          <w:tcPr>
            <w:tcW w:w="790" w:type="dxa"/>
            <w:gridSpan w:val="4"/>
            <w:vMerge w:val="continue"/>
            <w:tcBorders>
              <w:top w:val="nil"/>
              <w:left w:val="single" w:color="auto" w:sz="4" w:space="0"/>
              <w:bottom w:val="nil"/>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57" w:type="dxa"/>
            <w:gridSpan w:val="2"/>
            <w:vMerge w:val="continue"/>
            <w:tcBorders>
              <w:top w:val="nil"/>
              <w:left w:val="single" w:color="auto" w:sz="4" w:space="0"/>
              <w:bottom w:val="nil"/>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top w:val="nil"/>
              <w:left w:val="single" w:color="auto" w:sz="4" w:space="0"/>
              <w:bottom w:val="nil"/>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Borders>
              <w:top w:val="nil"/>
              <w:left w:val="single" w:color="auto" w:sz="4" w:space="0"/>
              <w:bottom w:val="nil"/>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gridSpan w:val="3"/>
            <w:tcBorders>
              <w:left w:val="single" w:color="auto" w:sz="4" w:space="0"/>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告知</w:t>
            </w:r>
          </w:p>
        </w:tc>
        <w:tc>
          <w:tcPr>
            <w:tcW w:w="5682"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告知责任：在做出行政处罚决定前，书面告知当事人拟作出处罚决定的事实、理由、依据、处罚内容，以及当事人享有的陈述权、申辩权或听证权。</w:t>
            </w:r>
          </w:p>
        </w:tc>
        <w:tc>
          <w:tcPr>
            <w:tcW w:w="1045"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4"/>
          <w:wBefore w:w="11" w:type="dxa"/>
          <w:wAfter w:w="193" w:type="dxa"/>
          <w:trHeight w:val="23" w:hRule="atLeast"/>
          <w:jc w:val="center"/>
        </w:trPr>
        <w:tc>
          <w:tcPr>
            <w:tcW w:w="790" w:type="dxa"/>
            <w:gridSpan w:val="4"/>
            <w:vMerge w:val="continue"/>
            <w:tcBorders>
              <w:top w:val="nil"/>
              <w:left w:val="single" w:color="auto" w:sz="4" w:space="0"/>
              <w:bottom w:val="nil"/>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57" w:type="dxa"/>
            <w:gridSpan w:val="2"/>
            <w:vMerge w:val="continue"/>
            <w:tcBorders>
              <w:top w:val="nil"/>
              <w:left w:val="single" w:color="auto" w:sz="4" w:space="0"/>
              <w:bottom w:val="nil"/>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top w:val="nil"/>
              <w:left w:val="single" w:color="auto" w:sz="4" w:space="0"/>
              <w:bottom w:val="nil"/>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Borders>
              <w:top w:val="nil"/>
              <w:left w:val="single" w:color="auto" w:sz="4" w:space="0"/>
              <w:bottom w:val="nil"/>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gridSpan w:val="3"/>
            <w:tcBorders>
              <w:left w:val="single" w:color="auto" w:sz="4" w:space="0"/>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w:t>
            </w:r>
          </w:p>
        </w:tc>
        <w:tc>
          <w:tcPr>
            <w:tcW w:w="5682"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决定责任：依法需要给予行政处罚的，应制作《行政处罚决定书》，载明违法事实和证据、处罚依据和内容、申请行政复议或提起行政诉讼的途径和期限等内容。</w:t>
            </w:r>
          </w:p>
        </w:tc>
        <w:tc>
          <w:tcPr>
            <w:tcW w:w="1045"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4"/>
          <w:wBefore w:w="11" w:type="dxa"/>
          <w:wAfter w:w="193" w:type="dxa"/>
          <w:trHeight w:val="23" w:hRule="atLeast"/>
          <w:jc w:val="center"/>
        </w:trPr>
        <w:tc>
          <w:tcPr>
            <w:tcW w:w="790" w:type="dxa"/>
            <w:gridSpan w:val="4"/>
            <w:vMerge w:val="continue"/>
            <w:tcBorders>
              <w:top w:val="nil"/>
              <w:left w:val="single" w:color="auto" w:sz="4" w:space="0"/>
              <w:bottom w:val="nil"/>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57" w:type="dxa"/>
            <w:gridSpan w:val="2"/>
            <w:vMerge w:val="continue"/>
            <w:tcBorders>
              <w:top w:val="nil"/>
              <w:left w:val="single" w:color="auto" w:sz="4" w:space="0"/>
              <w:bottom w:val="nil"/>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top w:val="nil"/>
              <w:left w:val="single" w:color="auto" w:sz="4" w:space="0"/>
              <w:bottom w:val="nil"/>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Borders>
              <w:top w:val="nil"/>
              <w:left w:val="single" w:color="auto" w:sz="4" w:space="0"/>
              <w:bottom w:val="nil"/>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gridSpan w:val="3"/>
            <w:tcBorders>
              <w:left w:val="single" w:color="auto" w:sz="4" w:space="0"/>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送到</w:t>
            </w:r>
          </w:p>
        </w:tc>
        <w:tc>
          <w:tcPr>
            <w:tcW w:w="5682"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送达责任：行政处罚决定书在7日内送达当事人。</w:t>
            </w:r>
          </w:p>
        </w:tc>
        <w:tc>
          <w:tcPr>
            <w:tcW w:w="1045"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7" w:type="dxa"/>
          <w:wAfter w:w="193" w:type="dxa"/>
          <w:trHeight w:val="1352" w:hRule="atLeast"/>
          <w:jc w:val="center"/>
        </w:trPr>
        <w:tc>
          <w:tcPr>
            <w:tcW w:w="790" w:type="dxa"/>
            <w:gridSpan w:val="4"/>
            <w:tcBorders>
              <w:top w:val="nil"/>
              <w:left w:val="single" w:color="auto" w:sz="4" w:space="0"/>
              <w:bottom w:val="nil"/>
              <w:right w:val="single" w:color="auto" w:sz="4" w:space="0"/>
            </w:tcBorders>
            <w:tcMar>
              <w:top w:w="15" w:type="dxa"/>
              <w:left w:w="15" w:type="dxa"/>
              <w:right w:w="15" w:type="dxa"/>
            </w:tcMar>
            <w:vAlign w:val="center"/>
          </w:tcPr>
          <w:p>
            <w:pPr>
              <w:pStyle w:val="2"/>
              <w:jc w:val="center"/>
              <w:rPr>
                <w:rFonts w:hint="eastAsia"/>
                <w:color w:val="auto"/>
                <w:lang w:eastAsia="zh-CN"/>
              </w:rPr>
            </w:pPr>
          </w:p>
        </w:tc>
        <w:tc>
          <w:tcPr>
            <w:tcW w:w="1457" w:type="dxa"/>
            <w:gridSpan w:val="2"/>
            <w:tcBorders>
              <w:top w:val="nil"/>
              <w:left w:val="single" w:color="auto" w:sz="4" w:space="0"/>
              <w:bottom w:val="nil"/>
              <w:right w:val="single" w:color="auto" w:sz="4" w:space="0"/>
            </w:tcBorders>
            <w:tcMar>
              <w:top w:w="15" w:type="dxa"/>
              <w:left w:w="15" w:type="dxa"/>
              <w:right w:w="15" w:type="dxa"/>
            </w:tcMar>
            <w:vAlign w:val="center"/>
          </w:tcPr>
          <w:p>
            <w:pPr>
              <w:pStyle w:val="2"/>
              <w:jc w:val="center"/>
              <w:rPr>
                <w:rFonts w:hint="eastAsia" w:ascii="仿宋_GB2312" w:hAnsi="仿宋_GB2312" w:eastAsia="仿宋_GB2312" w:cs="仿宋_GB2312"/>
                <w:color w:val="auto"/>
                <w:sz w:val="22"/>
                <w:szCs w:val="22"/>
              </w:rPr>
            </w:pPr>
          </w:p>
        </w:tc>
        <w:tc>
          <w:tcPr>
            <w:tcW w:w="3908" w:type="dxa"/>
            <w:gridSpan w:val="4"/>
            <w:tcBorders>
              <w:top w:val="nil"/>
              <w:left w:val="single" w:color="auto" w:sz="4" w:space="0"/>
              <w:bottom w:val="nil"/>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616" w:type="dxa"/>
            <w:gridSpan w:val="2"/>
            <w:tcBorders>
              <w:top w:val="nil"/>
              <w:left w:val="single" w:color="auto" w:sz="4" w:space="0"/>
              <w:bottom w:val="nil"/>
              <w:right w:val="single" w:color="auto" w:sz="4" w:space="0"/>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c>
          <w:tcPr>
            <w:tcW w:w="857" w:type="dxa"/>
            <w:gridSpan w:val="3"/>
            <w:tcBorders>
              <w:left w:val="single" w:color="auto" w:sz="4" w:space="0"/>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c>
          <w:tcPr>
            <w:tcW w:w="5686" w:type="dxa"/>
            <w:gridSpan w:val="2"/>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执行责任：监督当事人在决定的期限内，履行生效的行政处罚决定。当事人在法定期限内不申请行政复议或提起行政诉讼，又不履行的，可依法采取强制执行或者申请人民法院强制执行。</w:t>
            </w:r>
          </w:p>
        </w:tc>
        <w:tc>
          <w:tcPr>
            <w:tcW w:w="1045"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7" w:type="dxa"/>
          <w:wAfter w:w="22" w:type="dxa"/>
          <w:trHeight w:val="361" w:hRule="atLeast"/>
          <w:jc w:val="center"/>
        </w:trPr>
        <w:tc>
          <w:tcPr>
            <w:tcW w:w="790" w:type="dxa"/>
            <w:gridSpan w:val="4"/>
            <w:tcBorders>
              <w:top w:val="nil"/>
              <w:left w:val="single" w:color="auto" w:sz="4" w:space="0"/>
              <w:bottom w:val="single" w:color="auto" w:sz="4" w:space="0"/>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57"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8" w:type="dxa"/>
            <w:gridSpan w:val="4"/>
            <w:tcBorders>
              <w:top w:val="nil"/>
              <w:left w:val="single" w:color="auto" w:sz="4" w:space="0"/>
              <w:bottom w:val="single" w:color="auto" w:sz="4" w:space="0"/>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16"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gridSpan w:val="3"/>
            <w:tcBorders>
              <w:lef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5860" w:type="dxa"/>
            <w:gridSpan w:val="4"/>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其他法律法规规章文件规定应履行的责任。</w:t>
            </w:r>
          </w:p>
        </w:tc>
        <w:tc>
          <w:tcPr>
            <w:tcW w:w="1042" w:type="dxa"/>
            <w:gridSpan w:val="5"/>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7" w:type="dxa"/>
          <w:wAfter w:w="22" w:type="dxa"/>
          <w:trHeight w:val="1146" w:hRule="atLeast"/>
          <w:jc w:val="center"/>
        </w:trPr>
        <w:tc>
          <w:tcPr>
            <w:tcW w:w="790" w:type="dxa"/>
            <w:gridSpan w:val="4"/>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kern w:val="0"/>
                <w:sz w:val="22"/>
                <w:szCs w:val="22"/>
              </w:rPr>
              <w:t>16</w:t>
            </w:r>
          </w:p>
        </w:tc>
        <w:tc>
          <w:tcPr>
            <w:tcW w:w="1461" w:type="dxa"/>
            <w:gridSpan w:val="3"/>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筹备期间开展筹备以外的活动，或者未经登记，擅自以社会团体名义进行活动，以及被撤销登记的社会团体继续以社会团体的名义进行活动的处罚</w:t>
            </w:r>
          </w:p>
        </w:tc>
        <w:tc>
          <w:tcPr>
            <w:tcW w:w="3904" w:type="dxa"/>
            <w:gridSpan w:val="3"/>
            <w:vMerge w:val="restart"/>
            <w:tcBorders>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left"/>
              <w:outlineLvl w:val="9"/>
              <w:rPr>
                <w:color w:val="auto"/>
              </w:rPr>
            </w:pPr>
            <w:r>
              <w:rPr>
                <w:rFonts w:hint="eastAsia" w:ascii="仿宋_GB2312" w:hAnsi="仿宋_GB2312" w:eastAsia="仿宋_GB2312" w:cs="仿宋_GB2312"/>
                <w:color w:val="auto"/>
                <w:kern w:val="0"/>
                <w:sz w:val="22"/>
                <w:szCs w:val="22"/>
              </w:rPr>
              <w:t>《社会团体登记管理条例》（国务院令第250号）第三十二条：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616" w:type="dxa"/>
            <w:gridSpan w:val="2"/>
            <w:tcBorders>
              <w:top w:val="single" w:color="auto" w:sz="4" w:space="0"/>
              <w:left w:val="single" w:color="auto" w:sz="4" w:space="0"/>
              <w:bottom w:val="nil"/>
              <w:right w:val="single" w:color="auto" w:sz="4" w:space="0"/>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c>
          <w:tcPr>
            <w:tcW w:w="857" w:type="dxa"/>
            <w:gridSpan w:val="3"/>
            <w:tcBorders>
              <w:left w:val="single" w:color="auto" w:sz="4" w:space="0"/>
              <w:bottom w:val="single" w:color="auto" w:sz="4" w:space="0"/>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立案</w:t>
            </w:r>
          </w:p>
        </w:tc>
        <w:tc>
          <w:tcPr>
            <w:tcW w:w="5864" w:type="dxa"/>
            <w:gridSpan w:val="5"/>
            <w:tcBorders>
              <w:bottom w:val="single" w:color="auto" w:sz="4" w:space="0"/>
            </w:tcBorders>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立案责任：检查中发现或者接到举报未经批准，擅自开展社会团体筹备活动，或者未经登记，擅自以社会团体名义进行活动，以及被撤销登记的社会团体继续以社会团体的名义进行活动的行为或有关部门移送的此类违法案件，予以审查，决定是否立案。</w:t>
            </w:r>
          </w:p>
        </w:tc>
        <w:tc>
          <w:tcPr>
            <w:tcW w:w="1038" w:type="dxa"/>
            <w:gridSpan w:val="4"/>
            <w:tcBorders>
              <w:bottom w:val="single" w:color="auto" w:sz="4" w:space="0"/>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7" w:type="dxa"/>
          <w:wAfter w:w="22" w:type="dxa"/>
          <w:trHeight w:val="1229" w:hRule="atLeast"/>
          <w:jc w:val="center"/>
        </w:trPr>
        <w:tc>
          <w:tcPr>
            <w:tcW w:w="790"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61"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left"/>
              <w:outlineLvl w:val="9"/>
              <w:rPr>
                <w:color w:val="auto"/>
              </w:rPr>
            </w:pPr>
          </w:p>
        </w:tc>
        <w:tc>
          <w:tcPr>
            <w:tcW w:w="616" w:type="dxa"/>
            <w:gridSpan w:val="2"/>
            <w:tcBorders>
              <w:top w:val="nil"/>
              <w:left w:val="single" w:color="auto" w:sz="4" w:space="0"/>
              <w:bottom w:val="nil"/>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gridSpan w:val="3"/>
            <w:tcBorders>
              <w:left w:val="single" w:color="auto" w:sz="4" w:space="0"/>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调查</w:t>
            </w:r>
          </w:p>
        </w:tc>
        <w:tc>
          <w:tcPr>
            <w:tcW w:w="5864" w:type="dxa"/>
            <w:gridSpan w:val="5"/>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1038"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7" w:type="dxa"/>
          <w:wAfter w:w="22" w:type="dxa"/>
          <w:trHeight w:val="796" w:hRule="atLeast"/>
          <w:jc w:val="center"/>
        </w:trPr>
        <w:tc>
          <w:tcPr>
            <w:tcW w:w="790" w:type="dxa"/>
            <w:gridSpan w:val="4"/>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p>
        </w:tc>
        <w:tc>
          <w:tcPr>
            <w:tcW w:w="1461" w:type="dxa"/>
            <w:gridSpan w:val="3"/>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left"/>
              <w:outlineLvl w:val="9"/>
              <w:rPr>
                <w:color w:val="auto"/>
              </w:rPr>
            </w:pPr>
          </w:p>
        </w:tc>
        <w:tc>
          <w:tcPr>
            <w:tcW w:w="616" w:type="dxa"/>
            <w:gridSpan w:val="2"/>
            <w:tcBorders>
              <w:top w:val="nil"/>
              <w:left w:val="single" w:color="auto" w:sz="4" w:space="0"/>
              <w:bottom w:val="nil"/>
              <w:right w:val="single" w:color="auto" w:sz="4" w:space="0"/>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行政处罚</w:t>
            </w:r>
          </w:p>
        </w:tc>
        <w:tc>
          <w:tcPr>
            <w:tcW w:w="857" w:type="dxa"/>
            <w:gridSpan w:val="3"/>
            <w:tcBorders>
              <w:left w:val="single" w:color="auto" w:sz="4" w:space="0"/>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w:t>
            </w:r>
          </w:p>
        </w:tc>
        <w:tc>
          <w:tcPr>
            <w:tcW w:w="5864" w:type="dxa"/>
            <w:gridSpan w:val="5"/>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审查责任：对案件违法事实、证据、调查取证程序、法律适用、处罚种类和幅度、当事人陈述和申辩理由等方面进行审查，提出处理意见。</w:t>
            </w:r>
          </w:p>
        </w:tc>
        <w:tc>
          <w:tcPr>
            <w:tcW w:w="1038"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7" w:type="dxa"/>
          <w:wAfter w:w="22" w:type="dxa"/>
          <w:trHeight w:val="23" w:hRule="atLeast"/>
          <w:jc w:val="center"/>
        </w:trPr>
        <w:tc>
          <w:tcPr>
            <w:tcW w:w="790"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61"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single" w:color="auto" w:sz="4" w:space="0"/>
            </w:tcBorders>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color w:val="auto"/>
              </w:rPr>
            </w:pPr>
          </w:p>
        </w:tc>
        <w:tc>
          <w:tcPr>
            <w:tcW w:w="620" w:type="dxa"/>
            <w:gridSpan w:val="3"/>
            <w:tcBorders>
              <w:top w:val="nil"/>
              <w:left w:val="single" w:color="auto" w:sz="4" w:space="0"/>
              <w:bottom w:val="nil"/>
              <w:right w:val="single" w:color="auto" w:sz="4" w:space="0"/>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c>
          <w:tcPr>
            <w:tcW w:w="853" w:type="dxa"/>
            <w:gridSpan w:val="2"/>
            <w:tcBorders>
              <w:left w:val="single" w:color="auto" w:sz="4" w:space="0"/>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告知</w:t>
            </w:r>
          </w:p>
        </w:tc>
        <w:tc>
          <w:tcPr>
            <w:tcW w:w="5864" w:type="dxa"/>
            <w:gridSpan w:val="5"/>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告知责任：在做出行政处罚决定前，书面告知当事人拟作出处罚决定的事实、理由、依据、处罚内容，以及当事人享有的陈述权、申辩权或听证权。</w:t>
            </w:r>
          </w:p>
        </w:tc>
        <w:tc>
          <w:tcPr>
            <w:tcW w:w="1038"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7" w:type="dxa"/>
          <w:wAfter w:w="22" w:type="dxa"/>
          <w:trHeight w:val="870" w:hRule="atLeast"/>
          <w:jc w:val="center"/>
        </w:trPr>
        <w:tc>
          <w:tcPr>
            <w:tcW w:w="790"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61"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restart"/>
            <w:tcBorders>
              <w:top w:val="nil"/>
              <w:left w:val="single" w:color="auto" w:sz="4" w:space="0"/>
              <w:bottom w:val="single" w:color="auto" w:sz="4" w:space="0"/>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3" w:type="dxa"/>
            <w:gridSpan w:val="2"/>
            <w:tcBorders>
              <w:left w:val="single" w:color="auto" w:sz="4" w:space="0"/>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w:t>
            </w:r>
          </w:p>
        </w:tc>
        <w:tc>
          <w:tcPr>
            <w:tcW w:w="5864" w:type="dxa"/>
            <w:gridSpan w:val="5"/>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决定责任：依法需要给予行政处罚的，应制作《行政处罚决定书》，载明违法事实和证据、处罚依据和内容、申请行政复议或提起行政诉讼的途径和期限等内容。</w:t>
            </w:r>
          </w:p>
        </w:tc>
        <w:tc>
          <w:tcPr>
            <w:tcW w:w="1038"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7" w:type="dxa"/>
          <w:wAfter w:w="22" w:type="dxa"/>
          <w:trHeight w:val="603" w:hRule="atLeast"/>
          <w:jc w:val="center"/>
        </w:trPr>
        <w:tc>
          <w:tcPr>
            <w:tcW w:w="790"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61"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3" w:type="dxa"/>
            <w:gridSpan w:val="2"/>
            <w:tcBorders>
              <w:left w:val="single" w:color="auto" w:sz="4" w:space="0"/>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送到</w:t>
            </w:r>
          </w:p>
        </w:tc>
        <w:tc>
          <w:tcPr>
            <w:tcW w:w="5864" w:type="dxa"/>
            <w:gridSpan w:val="5"/>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送达责任：行政处罚决定书在7日内送达当事人。</w:t>
            </w:r>
          </w:p>
        </w:tc>
        <w:tc>
          <w:tcPr>
            <w:tcW w:w="1038"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7" w:type="dxa"/>
          <w:wAfter w:w="22" w:type="dxa"/>
          <w:trHeight w:val="23" w:hRule="atLeast"/>
          <w:jc w:val="center"/>
        </w:trPr>
        <w:tc>
          <w:tcPr>
            <w:tcW w:w="790"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61"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3" w:type="dxa"/>
            <w:gridSpan w:val="2"/>
            <w:tcBorders>
              <w:left w:val="single" w:color="auto" w:sz="4" w:space="0"/>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执行</w:t>
            </w:r>
          </w:p>
        </w:tc>
        <w:tc>
          <w:tcPr>
            <w:tcW w:w="5864" w:type="dxa"/>
            <w:gridSpan w:val="5"/>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执行责任：监督当事人在决定的期限内，履行生效的行政处罚决定。当事人在法定期限内不申请行政复议或提起行政诉讼，又不履行的，可依法采取强制执行或者申请人民法院强制执行。</w:t>
            </w:r>
          </w:p>
        </w:tc>
        <w:tc>
          <w:tcPr>
            <w:tcW w:w="1038"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7" w:type="dxa"/>
          <w:wAfter w:w="22" w:type="dxa"/>
          <w:trHeight w:val="23" w:hRule="atLeast"/>
          <w:jc w:val="center"/>
        </w:trPr>
        <w:tc>
          <w:tcPr>
            <w:tcW w:w="790"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61"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3" w:type="dxa"/>
            <w:gridSpan w:val="2"/>
            <w:tcBorders>
              <w:lef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5864" w:type="dxa"/>
            <w:gridSpan w:val="5"/>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其他法律法规规章文件规定应履行的责任。</w:t>
            </w:r>
          </w:p>
        </w:tc>
        <w:tc>
          <w:tcPr>
            <w:tcW w:w="1038" w:type="dxa"/>
            <w:gridSpan w:val="4"/>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7" w:type="dxa"/>
          <w:wAfter w:w="22" w:type="dxa"/>
          <w:trHeight w:val="1333" w:hRule="atLeast"/>
          <w:jc w:val="center"/>
        </w:trPr>
        <w:tc>
          <w:tcPr>
            <w:tcW w:w="790" w:type="dxa"/>
            <w:gridSpan w:val="4"/>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kern w:val="0"/>
                <w:sz w:val="22"/>
                <w:szCs w:val="22"/>
              </w:rPr>
              <w:t>17</w:t>
            </w:r>
          </w:p>
        </w:tc>
        <w:tc>
          <w:tcPr>
            <w:tcW w:w="1461" w:type="dxa"/>
            <w:gridSpan w:val="3"/>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民办非企业单位在申请登记时弄虚作假，骗取登记的，或者业务主管单位撤销批准的处罚</w:t>
            </w:r>
          </w:p>
        </w:tc>
        <w:tc>
          <w:tcPr>
            <w:tcW w:w="3904" w:type="dxa"/>
            <w:gridSpan w:val="3"/>
            <w:vMerge w:val="restart"/>
            <w:tcMar>
              <w:top w:w="15" w:type="dxa"/>
              <w:left w:w="15" w:type="dxa"/>
              <w:right w:w="15" w:type="dxa"/>
            </w:tcMar>
            <w:vAlign w:val="center"/>
          </w:tcPr>
          <w:p>
            <w:pPr>
              <w:widowControl/>
              <w:wordWrap/>
              <w:adjustRightInd/>
              <w:snapToGrid/>
              <w:spacing w:before="0" w:after="0" w:line="300" w:lineRule="exact"/>
              <w:ind w:left="0" w:leftChars="0" w:right="0"/>
              <w:jc w:val="both"/>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《民办非企业单位登记管理暂行条例》（国务院令第251号）第二十四条：民办非企业单位在申请登记时弄虚作假，骗取登记的或者业务主管单位撤销批准的由登记管理机关予以撤销登记。</w:t>
            </w:r>
          </w:p>
        </w:tc>
        <w:tc>
          <w:tcPr>
            <w:tcW w:w="620" w:type="dxa"/>
            <w:gridSpan w:val="3"/>
            <w:vMerge w:val="restart"/>
            <w:tcBorders>
              <w:top w:val="single" w:color="auto" w:sz="4" w:space="0"/>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行政处罚</w:t>
            </w:r>
          </w:p>
        </w:tc>
        <w:tc>
          <w:tcPr>
            <w:tcW w:w="853"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立案</w:t>
            </w:r>
          </w:p>
        </w:tc>
        <w:tc>
          <w:tcPr>
            <w:tcW w:w="5864" w:type="dxa"/>
            <w:gridSpan w:val="5"/>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立案责任：检查中发现或者接到举报民办非企业单位在申请登记时弄虚作假，骗取登记的，或者业务主管单位撤销批准的行为或有关部门移送的此类违法案件，予以审查，决定是否立案。</w:t>
            </w:r>
          </w:p>
        </w:tc>
        <w:tc>
          <w:tcPr>
            <w:tcW w:w="1038"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7" w:type="dxa"/>
          <w:wAfter w:w="22" w:type="dxa"/>
          <w:trHeight w:val="1350" w:hRule="atLeast"/>
          <w:jc w:val="center"/>
        </w:trPr>
        <w:tc>
          <w:tcPr>
            <w:tcW w:w="790"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61"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3"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调查</w:t>
            </w:r>
          </w:p>
        </w:tc>
        <w:tc>
          <w:tcPr>
            <w:tcW w:w="5864" w:type="dxa"/>
            <w:gridSpan w:val="5"/>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1038"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7" w:type="dxa"/>
          <w:wAfter w:w="22" w:type="dxa"/>
          <w:trHeight w:val="1151" w:hRule="atLeast"/>
          <w:jc w:val="center"/>
        </w:trPr>
        <w:tc>
          <w:tcPr>
            <w:tcW w:w="790"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61"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3"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w:t>
            </w:r>
          </w:p>
        </w:tc>
        <w:tc>
          <w:tcPr>
            <w:tcW w:w="5864" w:type="dxa"/>
            <w:gridSpan w:val="5"/>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审查责任：对案件违法事实、证据、调查取证程序、法律适用、处罚种类和幅度、当事人陈述和申辩理由等方面进行审查，提出处理意见。</w:t>
            </w:r>
          </w:p>
        </w:tc>
        <w:tc>
          <w:tcPr>
            <w:tcW w:w="1038"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7" w:type="dxa"/>
          <w:wAfter w:w="22" w:type="dxa"/>
          <w:trHeight w:val="23" w:hRule="atLeast"/>
          <w:jc w:val="center"/>
        </w:trPr>
        <w:tc>
          <w:tcPr>
            <w:tcW w:w="790"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61"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3"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告知</w:t>
            </w:r>
          </w:p>
        </w:tc>
        <w:tc>
          <w:tcPr>
            <w:tcW w:w="5864" w:type="dxa"/>
            <w:gridSpan w:val="5"/>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告知责任：在做出行政处罚决定前，书面告知当事人拟作出处罚决定的事实、理由、依据、处罚内容，以及当事人享有的陈述权、申辩权或听证权。</w:t>
            </w:r>
          </w:p>
        </w:tc>
        <w:tc>
          <w:tcPr>
            <w:tcW w:w="1038"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7" w:type="dxa"/>
          <w:wAfter w:w="22" w:type="dxa"/>
          <w:trHeight w:val="23" w:hRule="atLeast"/>
          <w:jc w:val="center"/>
        </w:trPr>
        <w:tc>
          <w:tcPr>
            <w:tcW w:w="790"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61"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3"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w:t>
            </w:r>
          </w:p>
        </w:tc>
        <w:tc>
          <w:tcPr>
            <w:tcW w:w="5864" w:type="dxa"/>
            <w:gridSpan w:val="5"/>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决定责任：依法需要给予行政处罚的，应制作《行政处罚决定书》，载明违法事实和证据、处罚依据和内容、申请行政复议或提起行政诉讼的途径和期限等内容。</w:t>
            </w:r>
          </w:p>
        </w:tc>
        <w:tc>
          <w:tcPr>
            <w:tcW w:w="1038"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7" w:type="dxa"/>
          <w:wAfter w:w="22" w:type="dxa"/>
          <w:trHeight w:val="23" w:hRule="atLeast"/>
          <w:jc w:val="center"/>
        </w:trPr>
        <w:tc>
          <w:tcPr>
            <w:tcW w:w="790"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61"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3"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送到</w:t>
            </w:r>
          </w:p>
        </w:tc>
        <w:tc>
          <w:tcPr>
            <w:tcW w:w="5864" w:type="dxa"/>
            <w:gridSpan w:val="5"/>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送达责任：行政处罚决定书在7日内送达当事人。</w:t>
            </w:r>
          </w:p>
        </w:tc>
        <w:tc>
          <w:tcPr>
            <w:tcW w:w="1038"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7" w:type="dxa"/>
          <w:wAfter w:w="22" w:type="dxa"/>
          <w:trHeight w:val="1027" w:hRule="atLeast"/>
          <w:jc w:val="center"/>
        </w:trPr>
        <w:tc>
          <w:tcPr>
            <w:tcW w:w="790" w:type="dxa"/>
            <w:gridSpan w:val="4"/>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p>
        </w:tc>
        <w:tc>
          <w:tcPr>
            <w:tcW w:w="1461" w:type="dxa"/>
            <w:gridSpan w:val="3"/>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p>
        </w:tc>
        <w:tc>
          <w:tcPr>
            <w:tcW w:w="620" w:type="dxa"/>
            <w:gridSpan w:val="3"/>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c>
          <w:tcPr>
            <w:tcW w:w="853"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执行</w:t>
            </w:r>
          </w:p>
        </w:tc>
        <w:tc>
          <w:tcPr>
            <w:tcW w:w="5864" w:type="dxa"/>
            <w:gridSpan w:val="5"/>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执行责任：监督当事人在决定的期限内，履行生效的行政处罚决定。当事人在法定期限内不申请行政复议或提起行政诉讼，又不履行的，可依法采取强制执行或者申请人民法院强制执行。</w:t>
            </w:r>
          </w:p>
        </w:tc>
        <w:tc>
          <w:tcPr>
            <w:tcW w:w="1038"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7" w:type="dxa"/>
          <w:wAfter w:w="22" w:type="dxa"/>
          <w:trHeight w:val="648" w:hRule="atLeast"/>
          <w:jc w:val="center"/>
        </w:trPr>
        <w:tc>
          <w:tcPr>
            <w:tcW w:w="790"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61"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Borders>
              <w:left w:val="nil"/>
              <w:bottom w:val="single" w:color="auto" w:sz="4" w:space="0"/>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3" w:type="dxa"/>
            <w:gridSpan w:val="2"/>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5864" w:type="dxa"/>
            <w:gridSpan w:val="5"/>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其他法律法规规章文件规定应履行的责任。</w:t>
            </w:r>
          </w:p>
        </w:tc>
        <w:tc>
          <w:tcPr>
            <w:tcW w:w="1038" w:type="dxa"/>
            <w:gridSpan w:val="4"/>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7" w:type="dxa"/>
          <w:wAfter w:w="22" w:type="dxa"/>
          <w:trHeight w:val="1840" w:hRule="atLeast"/>
          <w:jc w:val="center"/>
        </w:trPr>
        <w:tc>
          <w:tcPr>
            <w:tcW w:w="790" w:type="dxa"/>
            <w:gridSpan w:val="4"/>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kern w:val="0"/>
                <w:sz w:val="22"/>
                <w:szCs w:val="22"/>
              </w:rPr>
              <w:t>18</w:t>
            </w:r>
          </w:p>
        </w:tc>
        <w:tc>
          <w:tcPr>
            <w:tcW w:w="1461" w:type="dxa"/>
            <w:gridSpan w:val="3"/>
            <w:vMerge w:val="restart"/>
            <w:tcMar>
              <w:top w:w="15" w:type="dxa"/>
              <w:left w:w="15" w:type="dxa"/>
              <w:right w:w="15" w:type="dxa"/>
            </w:tcMar>
            <w:vAlign w:val="center"/>
          </w:tcPr>
          <w:p>
            <w:pPr>
              <w:widowControl/>
              <w:wordWrap/>
              <w:adjustRightInd/>
              <w:snapToGrid/>
              <w:spacing w:before="0" w:after="0" w:line="280" w:lineRule="exact"/>
              <w:ind w:left="0" w:leftChars="0" w:right="0" w:firstLine="0" w:firstLineChars="0"/>
              <w:jc w:val="both"/>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涂改、出租、出借民办非企业单位登记证书，或者出租、出借民办非企业单位印章的；民办非企业单位超出章程规定的宗旨和业务范围进行活动的；拒不接受或者不按照规定接受监督检查的；不按照规定办理变更登记的；设立分支机构的；从事营利性的经营活动的；侵占、私分、挪用民办非企业单位的资产或者所接受的捐赠、资助的；违反国家有关规定收取费用、筹集资金或者接受、使用捐赠、资助的处罚</w:t>
            </w:r>
          </w:p>
        </w:tc>
        <w:tc>
          <w:tcPr>
            <w:tcW w:w="3904" w:type="dxa"/>
            <w:gridSpan w:val="3"/>
            <w:vMerge w:val="restart"/>
            <w:tcMar>
              <w:top w:w="15" w:type="dxa"/>
              <w:left w:w="15" w:type="dxa"/>
              <w:right w:w="15" w:type="dxa"/>
            </w:tcMar>
            <w:vAlign w:val="center"/>
          </w:tcPr>
          <w:p>
            <w:pPr>
              <w:widowControl/>
              <w:wordWrap/>
              <w:adjustRightInd/>
              <w:snapToGrid/>
              <w:spacing w:before="0" w:after="0" w:line="300" w:lineRule="exact"/>
              <w:ind w:left="0" w:leftChars="0" w:right="0"/>
              <w:jc w:val="both"/>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民办非企业单位登记管理暂行条例》（国务院令第251号）第二十五条：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二）超出其章程规定的宗旨和业务范围进行活动的；（三）拒不接受或者不按照规定接受监督检查的；（四）不按照规定办理变更登记的；（五）设立分支机构的；（六）从事营利性的经营活动的；（七）侵占、私分、挪用民办非企业单位的资产或者所接受的捐赠、资助的；（八）违反国家有关规定收取费用、筹集资金或者接受使用捐赠、资助的。前款规定的行为有违法经营额或者违法所得的，予以没收，可以并处违法经营额1倍以上3倍以下或者违法所得3倍以上5倍以下的罚款。</w:t>
            </w:r>
          </w:p>
        </w:tc>
        <w:tc>
          <w:tcPr>
            <w:tcW w:w="620" w:type="dxa"/>
            <w:gridSpan w:val="3"/>
            <w:vMerge w:val="restart"/>
            <w:tcBorders>
              <w:top w:val="single" w:color="auto" w:sz="4" w:space="0"/>
              <w:bottom w:val="single" w:color="auto" w:sz="4" w:space="0"/>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行政处罚</w:t>
            </w:r>
          </w:p>
        </w:tc>
        <w:tc>
          <w:tcPr>
            <w:tcW w:w="853"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立案</w:t>
            </w:r>
          </w:p>
        </w:tc>
        <w:tc>
          <w:tcPr>
            <w:tcW w:w="5864" w:type="dxa"/>
            <w:gridSpan w:val="5"/>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立案责任：检查中发现或者接到举报民办非企业单位存在违反民办非企业单位登记管理规定的行为或有关部门移送的此类违法案件，予以审查，决定是否立案。</w:t>
            </w:r>
          </w:p>
        </w:tc>
        <w:tc>
          <w:tcPr>
            <w:tcW w:w="1038"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7" w:type="dxa"/>
          <w:wAfter w:w="22" w:type="dxa"/>
          <w:trHeight w:val="3660" w:hRule="atLeast"/>
          <w:jc w:val="center"/>
        </w:trPr>
        <w:tc>
          <w:tcPr>
            <w:tcW w:w="790" w:type="dxa"/>
            <w:gridSpan w:val="4"/>
            <w:vMerge w:val="continue"/>
            <w:tcBorders>
              <w:bottom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61" w:type="dxa"/>
            <w:gridSpan w:val="3"/>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Borders>
              <w:top w:val="single" w:color="auto" w:sz="4" w:space="0"/>
              <w:bottom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3"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调查</w:t>
            </w:r>
          </w:p>
        </w:tc>
        <w:tc>
          <w:tcPr>
            <w:tcW w:w="5864" w:type="dxa"/>
            <w:gridSpan w:val="5"/>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1038"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1"/>
          <w:wBefore w:w="11" w:type="dxa"/>
          <w:wAfter w:w="22" w:type="dxa"/>
          <w:trHeight w:val="1623" w:hRule="atLeast"/>
          <w:jc w:val="center"/>
        </w:trPr>
        <w:tc>
          <w:tcPr>
            <w:tcW w:w="790" w:type="dxa"/>
            <w:gridSpan w:val="4"/>
            <w:vMerge w:val="restart"/>
            <w:tcBorders>
              <w:top w:val="single" w:color="auto" w:sz="4" w:space="0"/>
              <w:left w:val="single" w:color="auto" w:sz="4" w:space="0"/>
              <w:bottom w:val="nil"/>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kern w:val="0"/>
                <w:sz w:val="22"/>
                <w:szCs w:val="22"/>
              </w:rPr>
              <w:t>18</w:t>
            </w:r>
          </w:p>
        </w:tc>
        <w:tc>
          <w:tcPr>
            <w:tcW w:w="1457" w:type="dxa"/>
            <w:gridSpan w:val="2"/>
            <w:vMerge w:val="restart"/>
            <w:tcBorders>
              <w:left w:val="single" w:color="auto" w:sz="4" w:space="0"/>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restart"/>
            <w:tcMar>
              <w:top w:w="15" w:type="dxa"/>
              <w:left w:w="15" w:type="dxa"/>
              <w:right w:w="15" w:type="dxa"/>
            </w:tcMar>
            <w:vAlign w:val="center"/>
          </w:tcPr>
          <w:p>
            <w:pPr>
              <w:widowControl/>
              <w:wordWrap/>
              <w:adjustRightInd/>
              <w:snapToGrid/>
              <w:spacing w:before="0" w:after="0" w:line="300" w:lineRule="exact"/>
              <w:ind w:left="0" w:leftChars="0" w:right="0"/>
              <w:jc w:val="both"/>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民办非企业单位登记管理暂行条例》（国务院令第251号）第二十五条：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二）超出其章程规定的宗旨和业务范围进行活动的；（三）拒不接受或者不按照规定接受监督检查的；（四）不按照规定办理变更登记的；（五）设立分支机构的；（六）从事营利性的经营活动的；（七）侵占、私分、挪用民办非企业单位的资产或者所接受的捐赠、资助的；（八）违反国家有关规定收取费用、筹集资金或者接受使用捐赠、资助的。前款规定的行为有违法经营额或者违法所得的，予以没收，可以并处违法经营额1倍以上3倍以下或者违法所得3倍以上5倍以下的罚款。</w:t>
            </w:r>
          </w:p>
        </w:tc>
        <w:tc>
          <w:tcPr>
            <w:tcW w:w="620" w:type="dxa"/>
            <w:gridSpan w:val="3"/>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行政处罚</w:t>
            </w:r>
          </w:p>
        </w:tc>
        <w:tc>
          <w:tcPr>
            <w:tcW w:w="853"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w:t>
            </w:r>
          </w:p>
        </w:tc>
        <w:tc>
          <w:tcPr>
            <w:tcW w:w="5864" w:type="dxa"/>
            <w:gridSpan w:val="5"/>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审查责任：对案件违法事实、证据、调查取证程序、法律适用、处罚种类和幅度、当事人陈述和申辩理由等方面进行审查，提出处理意见。</w:t>
            </w:r>
          </w:p>
        </w:tc>
        <w:tc>
          <w:tcPr>
            <w:tcW w:w="1038"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1"/>
          <w:wBefore w:w="11" w:type="dxa"/>
          <w:wAfter w:w="22" w:type="dxa"/>
          <w:trHeight w:val="1713" w:hRule="atLeast"/>
          <w:jc w:val="center"/>
        </w:trPr>
        <w:tc>
          <w:tcPr>
            <w:tcW w:w="790" w:type="dxa"/>
            <w:gridSpan w:val="4"/>
            <w:vMerge w:val="continue"/>
            <w:tcBorders>
              <w:top w:val="nil"/>
              <w:left w:val="single" w:color="auto" w:sz="4" w:space="0"/>
              <w:bottom w:val="nil"/>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57" w:type="dxa"/>
            <w:gridSpan w:val="2"/>
            <w:vMerge w:val="continue"/>
            <w:tcBorders>
              <w:left w:val="single" w:color="auto" w:sz="4" w:space="0"/>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3"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告知</w:t>
            </w:r>
          </w:p>
        </w:tc>
        <w:tc>
          <w:tcPr>
            <w:tcW w:w="5864" w:type="dxa"/>
            <w:gridSpan w:val="5"/>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告知责任：在做出行政处罚决定前，书面告知当事人拟作出处罚决定的事实、理由、依据、处罚内容，以及当事人享有的陈述权、申辩权或听证权。</w:t>
            </w:r>
          </w:p>
        </w:tc>
        <w:tc>
          <w:tcPr>
            <w:tcW w:w="1038"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1"/>
          <w:wBefore w:w="11" w:type="dxa"/>
          <w:wAfter w:w="22" w:type="dxa"/>
          <w:trHeight w:val="1589" w:hRule="atLeast"/>
          <w:jc w:val="center"/>
        </w:trPr>
        <w:tc>
          <w:tcPr>
            <w:tcW w:w="790" w:type="dxa"/>
            <w:gridSpan w:val="4"/>
            <w:vMerge w:val="continue"/>
            <w:tcBorders>
              <w:top w:val="nil"/>
              <w:left w:val="single" w:color="auto" w:sz="4" w:space="0"/>
              <w:bottom w:val="nil"/>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57" w:type="dxa"/>
            <w:gridSpan w:val="2"/>
            <w:vMerge w:val="continue"/>
            <w:tcBorders>
              <w:left w:val="single" w:color="auto" w:sz="4" w:space="0"/>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3"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w:t>
            </w:r>
          </w:p>
        </w:tc>
        <w:tc>
          <w:tcPr>
            <w:tcW w:w="5864" w:type="dxa"/>
            <w:gridSpan w:val="5"/>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决定责任：依法需要给予行政处罚的，应制作《行政处罚决定书》，载明违法事实和证据、处罚依据和内容、申请行政复议或提起行政诉讼的途径和期限等内容。</w:t>
            </w:r>
          </w:p>
        </w:tc>
        <w:tc>
          <w:tcPr>
            <w:tcW w:w="1038"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1"/>
          <w:wBefore w:w="11" w:type="dxa"/>
          <w:wAfter w:w="22" w:type="dxa"/>
          <w:trHeight w:val="90" w:hRule="atLeast"/>
          <w:jc w:val="center"/>
        </w:trPr>
        <w:tc>
          <w:tcPr>
            <w:tcW w:w="790" w:type="dxa"/>
            <w:gridSpan w:val="4"/>
            <w:vMerge w:val="continue"/>
            <w:tcBorders>
              <w:top w:val="nil"/>
              <w:left w:val="single" w:color="auto" w:sz="4" w:space="0"/>
              <w:bottom w:val="nil"/>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57" w:type="dxa"/>
            <w:gridSpan w:val="2"/>
            <w:vMerge w:val="continue"/>
            <w:tcBorders>
              <w:left w:val="single" w:color="auto" w:sz="4" w:space="0"/>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3"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w:t>
            </w:r>
          </w:p>
        </w:tc>
        <w:tc>
          <w:tcPr>
            <w:tcW w:w="5864" w:type="dxa"/>
            <w:gridSpan w:val="5"/>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送达责任：行政处罚决定书在7日内送达当事人。</w:t>
            </w:r>
          </w:p>
        </w:tc>
        <w:tc>
          <w:tcPr>
            <w:tcW w:w="1038"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1"/>
          <w:wBefore w:w="11" w:type="dxa"/>
          <w:wAfter w:w="22" w:type="dxa"/>
          <w:trHeight w:val="1715" w:hRule="atLeast"/>
          <w:jc w:val="center"/>
        </w:trPr>
        <w:tc>
          <w:tcPr>
            <w:tcW w:w="790" w:type="dxa"/>
            <w:gridSpan w:val="4"/>
            <w:vMerge w:val="continue"/>
            <w:tcBorders>
              <w:top w:val="nil"/>
              <w:left w:val="single" w:color="auto" w:sz="4" w:space="0"/>
              <w:bottom w:val="nil"/>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57" w:type="dxa"/>
            <w:gridSpan w:val="2"/>
            <w:vMerge w:val="continue"/>
            <w:tcBorders>
              <w:left w:val="single" w:color="auto" w:sz="4" w:space="0"/>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3"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执行</w:t>
            </w:r>
          </w:p>
        </w:tc>
        <w:tc>
          <w:tcPr>
            <w:tcW w:w="5864" w:type="dxa"/>
            <w:gridSpan w:val="5"/>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执行责任：监督当事人在决定的期限内，履行生效的行政处罚决定。当事人在法定期限内不申请行政复议或提起行政诉讼，又不履行的，可依法采取强制执行或者申请人民法院强制执行。</w:t>
            </w:r>
          </w:p>
        </w:tc>
        <w:tc>
          <w:tcPr>
            <w:tcW w:w="1038"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3"/>
          <w:gridAfter w:val="1"/>
          <w:wBefore w:w="16" w:type="dxa"/>
          <w:wAfter w:w="22" w:type="dxa"/>
          <w:trHeight w:val="718" w:hRule="atLeast"/>
          <w:jc w:val="center"/>
        </w:trPr>
        <w:tc>
          <w:tcPr>
            <w:tcW w:w="785" w:type="dxa"/>
            <w:gridSpan w:val="3"/>
            <w:tcBorders>
              <w:top w:val="nil"/>
              <w:left w:val="single" w:color="auto" w:sz="4" w:space="0"/>
              <w:bottom w:val="single" w:color="auto" w:sz="4" w:space="0"/>
              <w:right w:val="single" w:color="auto" w:sz="4" w:space="0"/>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57" w:type="dxa"/>
            <w:gridSpan w:val="2"/>
            <w:vMerge w:val="continue"/>
            <w:tcBorders>
              <w:left w:val="single" w:color="auto" w:sz="4" w:space="0"/>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3" w:type="dxa"/>
            <w:gridSpan w:val="2"/>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5864" w:type="dxa"/>
            <w:gridSpan w:val="5"/>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其他法律法规规章文件规定应履行的责任。</w:t>
            </w:r>
          </w:p>
        </w:tc>
        <w:tc>
          <w:tcPr>
            <w:tcW w:w="1038" w:type="dxa"/>
            <w:gridSpan w:val="4"/>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3"/>
          <w:wAfter w:w="63" w:type="dxa"/>
          <w:trHeight w:val="1695" w:hRule="atLeast"/>
          <w:jc w:val="center"/>
        </w:trPr>
        <w:tc>
          <w:tcPr>
            <w:tcW w:w="768" w:type="dxa"/>
            <w:gridSpan w:val="4"/>
            <w:vMerge w:val="restart"/>
            <w:tcBorders>
              <w:top w:val="single" w:color="auto" w:sz="4" w:space="0"/>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19</w:t>
            </w:r>
          </w:p>
        </w:tc>
        <w:tc>
          <w:tcPr>
            <w:tcW w:w="1531" w:type="dxa"/>
            <w:gridSpan w:val="5"/>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未经登记，擅自以民办非企业单位的名义进行活动的，或者被撤销登记的民办非企业单位继续以民办非企业单位的名义进行活动的处罚</w:t>
            </w:r>
          </w:p>
        </w:tc>
        <w:tc>
          <w:tcPr>
            <w:tcW w:w="383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民办非企业单位登记管理暂行条例》（国务院令第251号）第二十七条：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620" w:type="dxa"/>
            <w:gridSpan w:val="2"/>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行政处罚</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c>
          <w:tcPr>
            <w:tcW w:w="857"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立案</w:t>
            </w:r>
          </w:p>
        </w:tc>
        <w:tc>
          <w:tcPr>
            <w:tcW w:w="5860" w:type="dxa"/>
            <w:gridSpan w:val="4"/>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立案责任：检查中发现或者接到举报未经登记，擅自以民办非企业单位的名义进行活动的，或者被撤销登记的民办非企业单位继续以民办非企业单位的名义进行活动的行为或有关部门移送的此类违法案件，予以审查，决定是否立案。</w:t>
            </w:r>
          </w:p>
        </w:tc>
        <w:tc>
          <w:tcPr>
            <w:tcW w:w="1030"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3"/>
          <w:wAfter w:w="63" w:type="dxa"/>
          <w:trHeight w:val="1260" w:hRule="atLeast"/>
          <w:jc w:val="center"/>
        </w:trPr>
        <w:tc>
          <w:tcPr>
            <w:tcW w:w="768"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31" w:type="dxa"/>
            <w:gridSpan w:val="5"/>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830"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2"/>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调查</w:t>
            </w:r>
          </w:p>
        </w:tc>
        <w:tc>
          <w:tcPr>
            <w:tcW w:w="5860" w:type="dxa"/>
            <w:gridSpan w:val="4"/>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1030"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3"/>
          <w:wAfter w:w="63" w:type="dxa"/>
          <w:trHeight w:val="1025" w:hRule="atLeast"/>
          <w:jc w:val="center"/>
        </w:trPr>
        <w:tc>
          <w:tcPr>
            <w:tcW w:w="768"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31" w:type="dxa"/>
            <w:gridSpan w:val="5"/>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830"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2"/>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w:t>
            </w:r>
          </w:p>
        </w:tc>
        <w:tc>
          <w:tcPr>
            <w:tcW w:w="5860" w:type="dxa"/>
            <w:gridSpan w:val="4"/>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审查责任：对案件违法事实、证据、调查取证程序、法律适用、处罚种类和幅度、当事人陈述和申辩理由等方面进行审查，提出处理意见。</w:t>
            </w:r>
          </w:p>
        </w:tc>
        <w:tc>
          <w:tcPr>
            <w:tcW w:w="1030"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3"/>
          <w:wAfter w:w="63" w:type="dxa"/>
          <w:trHeight w:val="652" w:hRule="atLeast"/>
          <w:jc w:val="center"/>
        </w:trPr>
        <w:tc>
          <w:tcPr>
            <w:tcW w:w="768"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31" w:type="dxa"/>
            <w:gridSpan w:val="5"/>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830"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2"/>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告知</w:t>
            </w:r>
          </w:p>
        </w:tc>
        <w:tc>
          <w:tcPr>
            <w:tcW w:w="5860" w:type="dxa"/>
            <w:gridSpan w:val="4"/>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告知责任：在做出行政处罚决定前，书面告知当事人拟作出处罚决定的事实、理由、依据、处罚内容，以及当事人享有的陈述权、申辩权或听证权。</w:t>
            </w:r>
          </w:p>
        </w:tc>
        <w:tc>
          <w:tcPr>
            <w:tcW w:w="1030"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2"/>
          <w:wAfter w:w="41" w:type="dxa"/>
          <w:trHeight w:val="900" w:hRule="atLeast"/>
          <w:jc w:val="center"/>
        </w:trPr>
        <w:tc>
          <w:tcPr>
            <w:tcW w:w="768"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31" w:type="dxa"/>
            <w:gridSpan w:val="5"/>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830"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2"/>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w:t>
            </w:r>
          </w:p>
        </w:tc>
        <w:tc>
          <w:tcPr>
            <w:tcW w:w="5860" w:type="dxa"/>
            <w:gridSpan w:val="4"/>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决定责任：依法需要给予行政处罚的，应制作《行政处罚决定书》，载明违法事实和证据、处罚依据和内容、申请行政复议或提起行政诉讼的途径和期限等内容。</w:t>
            </w:r>
          </w:p>
        </w:tc>
        <w:tc>
          <w:tcPr>
            <w:tcW w:w="1052" w:type="dxa"/>
            <w:gridSpan w:val="5"/>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2"/>
          <w:wAfter w:w="41" w:type="dxa"/>
          <w:trHeight w:val="23" w:hRule="atLeast"/>
          <w:jc w:val="center"/>
        </w:trPr>
        <w:tc>
          <w:tcPr>
            <w:tcW w:w="768" w:type="dxa"/>
            <w:gridSpan w:val="4"/>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p>
        </w:tc>
        <w:tc>
          <w:tcPr>
            <w:tcW w:w="1531" w:type="dxa"/>
            <w:gridSpan w:val="5"/>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p>
        </w:tc>
        <w:tc>
          <w:tcPr>
            <w:tcW w:w="3830" w:type="dxa"/>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p>
        </w:tc>
        <w:tc>
          <w:tcPr>
            <w:tcW w:w="620" w:type="dxa"/>
            <w:gridSpan w:val="2"/>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c>
          <w:tcPr>
            <w:tcW w:w="857"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w:t>
            </w:r>
          </w:p>
        </w:tc>
        <w:tc>
          <w:tcPr>
            <w:tcW w:w="5860" w:type="dxa"/>
            <w:gridSpan w:val="4"/>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送达责任：行政处罚决定书在7日内送达当事人。</w:t>
            </w:r>
          </w:p>
        </w:tc>
        <w:tc>
          <w:tcPr>
            <w:tcW w:w="1052" w:type="dxa"/>
            <w:gridSpan w:val="5"/>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2"/>
          <w:wAfter w:w="41" w:type="dxa"/>
          <w:trHeight w:val="23" w:hRule="atLeast"/>
          <w:jc w:val="center"/>
        </w:trPr>
        <w:tc>
          <w:tcPr>
            <w:tcW w:w="768"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31" w:type="dxa"/>
            <w:gridSpan w:val="5"/>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830"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2"/>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执行</w:t>
            </w:r>
          </w:p>
        </w:tc>
        <w:tc>
          <w:tcPr>
            <w:tcW w:w="5860" w:type="dxa"/>
            <w:gridSpan w:val="4"/>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执行责任：监督当事人在决定的期限内，履行生效的行政处罚决定。当事人在法定期限内不申请行政复议或提起行政诉讼，又不履行的，可依法采取强制执行或者申请人民法院强制执行。</w:t>
            </w:r>
          </w:p>
        </w:tc>
        <w:tc>
          <w:tcPr>
            <w:tcW w:w="1052" w:type="dxa"/>
            <w:gridSpan w:val="5"/>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2"/>
          <w:wAfter w:w="41" w:type="dxa"/>
          <w:trHeight w:val="437" w:hRule="atLeast"/>
          <w:jc w:val="center"/>
        </w:trPr>
        <w:tc>
          <w:tcPr>
            <w:tcW w:w="768" w:type="dxa"/>
            <w:gridSpan w:val="4"/>
            <w:vMerge w:val="continue"/>
            <w:tcBorders>
              <w:left w:val="nil"/>
              <w:bottom w:val="single" w:color="auto" w:sz="4" w:space="0"/>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31" w:type="dxa"/>
            <w:gridSpan w:val="5"/>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830"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2"/>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90" w:type="dxa"/>
            <w:gridSpan w:val="5"/>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5827" w:type="dxa"/>
            <w:gridSpan w:val="2"/>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其他法律法规规章文件规定应履行的责任。</w:t>
            </w:r>
          </w:p>
        </w:tc>
        <w:tc>
          <w:tcPr>
            <w:tcW w:w="1052" w:type="dxa"/>
            <w:gridSpan w:val="5"/>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2"/>
          <w:wBefore w:w="11" w:type="dxa"/>
          <w:wAfter w:w="41" w:type="dxa"/>
          <w:trHeight w:val="696" w:hRule="atLeast"/>
          <w:jc w:val="center"/>
        </w:trPr>
        <w:tc>
          <w:tcPr>
            <w:tcW w:w="790" w:type="dxa"/>
            <w:gridSpan w:val="4"/>
            <w:vMerge w:val="restart"/>
            <w:tcBorders>
              <w:top w:val="single" w:color="auto" w:sz="4" w:space="0"/>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kern w:val="0"/>
                <w:sz w:val="22"/>
                <w:szCs w:val="22"/>
              </w:rPr>
              <w:t>20</w:t>
            </w:r>
          </w:p>
        </w:tc>
        <w:tc>
          <w:tcPr>
            <w:tcW w:w="1457" w:type="dxa"/>
            <w:gridSpan w:val="2"/>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民办非企业单位的活动违反其他法律、法规，有关国家机关认为应当撤销登记的处罚</w:t>
            </w:r>
          </w:p>
        </w:tc>
        <w:tc>
          <w:tcPr>
            <w:tcW w:w="3904" w:type="dxa"/>
            <w:gridSpan w:val="3"/>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民办非企业单位登记管理暂行条例》（国务院令第251号）第五条：国务院民政部门和县级以上地方各级人民政府民政部门是本级人民政府的民办非企业单位登记管理机关（以下简称登记管理机关）。国务院有关部门和县级以上地方各级人民政府的有关部门、国务院或者县级以上地方各级人民政府授权的组织，是有关行业、业务范围内民办非企业单位的业务主管单位（以下简称业务主管单位）。第二十六条：民办非企业单位的活动违反其他法律、法规的，由有关国家机关依法处理；有关国家机关认为应当撤销登记的，由登记管理机关撤销登记。</w:t>
            </w:r>
          </w:p>
        </w:tc>
        <w:tc>
          <w:tcPr>
            <w:tcW w:w="620" w:type="dxa"/>
            <w:gridSpan w:val="3"/>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行政处罚</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c>
          <w:tcPr>
            <w:tcW w:w="857"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立案</w:t>
            </w:r>
          </w:p>
        </w:tc>
        <w:tc>
          <w:tcPr>
            <w:tcW w:w="5860" w:type="dxa"/>
            <w:gridSpan w:val="4"/>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立案责任：有关部门移送的国家机关认为应当撤销登记的违法案件，予以审查，决定是否立案。</w:t>
            </w:r>
          </w:p>
        </w:tc>
        <w:tc>
          <w:tcPr>
            <w:tcW w:w="1019"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2"/>
          <w:wBefore w:w="11" w:type="dxa"/>
          <w:wAfter w:w="41" w:type="dxa"/>
          <w:trHeight w:val="1401" w:hRule="atLeast"/>
          <w:jc w:val="center"/>
        </w:trPr>
        <w:tc>
          <w:tcPr>
            <w:tcW w:w="790"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57" w:type="dxa"/>
            <w:gridSpan w:val="2"/>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调查</w:t>
            </w:r>
          </w:p>
        </w:tc>
        <w:tc>
          <w:tcPr>
            <w:tcW w:w="5860" w:type="dxa"/>
            <w:gridSpan w:val="4"/>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1019"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2"/>
          <w:wBefore w:w="11" w:type="dxa"/>
          <w:wAfter w:w="41" w:type="dxa"/>
          <w:trHeight w:val="902" w:hRule="atLeast"/>
          <w:jc w:val="center"/>
        </w:trPr>
        <w:tc>
          <w:tcPr>
            <w:tcW w:w="790"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57" w:type="dxa"/>
            <w:gridSpan w:val="2"/>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w:t>
            </w:r>
          </w:p>
        </w:tc>
        <w:tc>
          <w:tcPr>
            <w:tcW w:w="5860" w:type="dxa"/>
            <w:gridSpan w:val="4"/>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审查责任：对案件违法事实、证据、调查取证程序、法律适用、处罚种类和幅度、当事人陈述和申辩理由等方面进行审查，提出处理意见。</w:t>
            </w:r>
          </w:p>
        </w:tc>
        <w:tc>
          <w:tcPr>
            <w:tcW w:w="1019"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2"/>
          <w:wBefore w:w="11" w:type="dxa"/>
          <w:wAfter w:w="41" w:type="dxa"/>
          <w:trHeight w:val="840" w:hRule="atLeast"/>
          <w:jc w:val="center"/>
        </w:trPr>
        <w:tc>
          <w:tcPr>
            <w:tcW w:w="790" w:type="dxa"/>
            <w:gridSpan w:val="4"/>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p>
        </w:tc>
        <w:tc>
          <w:tcPr>
            <w:tcW w:w="1457" w:type="dxa"/>
            <w:gridSpan w:val="2"/>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p>
        </w:tc>
        <w:tc>
          <w:tcPr>
            <w:tcW w:w="620" w:type="dxa"/>
            <w:gridSpan w:val="3"/>
            <w:vMerge w:val="continue"/>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c>
          <w:tcPr>
            <w:tcW w:w="857"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告知</w:t>
            </w:r>
          </w:p>
        </w:tc>
        <w:tc>
          <w:tcPr>
            <w:tcW w:w="5860" w:type="dxa"/>
            <w:gridSpan w:val="4"/>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告知责任：在做出行政处罚决定前，书面告知当事人拟作出处罚决定的事实、理由、依据、处罚内容，以及当事人享有的陈述权、申辩权或听证权。</w:t>
            </w:r>
          </w:p>
        </w:tc>
        <w:tc>
          <w:tcPr>
            <w:tcW w:w="1019"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2"/>
          <w:wBefore w:w="11" w:type="dxa"/>
          <w:wAfter w:w="41" w:type="dxa"/>
          <w:trHeight w:val="1032" w:hRule="atLeast"/>
          <w:jc w:val="center"/>
        </w:trPr>
        <w:tc>
          <w:tcPr>
            <w:tcW w:w="790"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57" w:type="dxa"/>
            <w:gridSpan w:val="2"/>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w:t>
            </w:r>
          </w:p>
        </w:tc>
        <w:tc>
          <w:tcPr>
            <w:tcW w:w="5860" w:type="dxa"/>
            <w:gridSpan w:val="4"/>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决定责任：依法需要给予行政处罚的，应制作《行政处罚决定书》，载明违法事实和证据、处罚依据和内容、申请行政复议或提起行政诉讼的途径和期限等内容。</w:t>
            </w:r>
          </w:p>
        </w:tc>
        <w:tc>
          <w:tcPr>
            <w:tcW w:w="1019"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2"/>
          <w:wBefore w:w="11" w:type="dxa"/>
          <w:wAfter w:w="41" w:type="dxa"/>
          <w:trHeight w:val="441" w:hRule="atLeast"/>
          <w:jc w:val="center"/>
        </w:trPr>
        <w:tc>
          <w:tcPr>
            <w:tcW w:w="790"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57" w:type="dxa"/>
            <w:gridSpan w:val="2"/>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w:t>
            </w:r>
          </w:p>
        </w:tc>
        <w:tc>
          <w:tcPr>
            <w:tcW w:w="5860" w:type="dxa"/>
            <w:gridSpan w:val="4"/>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送达责任：行政处罚决定书在7日内送达当事人。</w:t>
            </w:r>
          </w:p>
        </w:tc>
        <w:tc>
          <w:tcPr>
            <w:tcW w:w="1019"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2"/>
          <w:wBefore w:w="11" w:type="dxa"/>
          <w:wAfter w:w="41" w:type="dxa"/>
          <w:trHeight w:val="1169" w:hRule="atLeast"/>
          <w:jc w:val="center"/>
        </w:trPr>
        <w:tc>
          <w:tcPr>
            <w:tcW w:w="790"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57" w:type="dxa"/>
            <w:gridSpan w:val="2"/>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执行</w:t>
            </w:r>
          </w:p>
        </w:tc>
        <w:tc>
          <w:tcPr>
            <w:tcW w:w="5860" w:type="dxa"/>
            <w:gridSpan w:val="4"/>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执行责任：监督当事人在决定的期限内，履行生效的行政处罚决定。当事人在法定期限内不申请行政复议或提起行政诉讼，又不履行的，可依法采取强制执行或者申请人民法院强制执行。</w:t>
            </w:r>
          </w:p>
        </w:tc>
        <w:tc>
          <w:tcPr>
            <w:tcW w:w="1019" w:type="dxa"/>
            <w:gridSpan w:val="3"/>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2"/>
          <w:wBefore w:w="11" w:type="dxa"/>
          <w:wAfter w:w="41" w:type="dxa"/>
          <w:trHeight w:val="90" w:hRule="atLeast"/>
          <w:jc w:val="center"/>
        </w:trPr>
        <w:tc>
          <w:tcPr>
            <w:tcW w:w="790" w:type="dxa"/>
            <w:gridSpan w:val="4"/>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457" w:type="dxa"/>
            <w:gridSpan w:val="2"/>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3904"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620"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857" w:type="dxa"/>
            <w:gridSpan w:val="3"/>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5860" w:type="dxa"/>
            <w:gridSpan w:val="4"/>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其他法律法规规章文件规定应履行的责任。</w:t>
            </w:r>
          </w:p>
        </w:tc>
        <w:tc>
          <w:tcPr>
            <w:tcW w:w="1019" w:type="dxa"/>
            <w:gridSpan w:val="3"/>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2"/>
          <w:wBefore w:w="11" w:type="dxa"/>
          <w:wAfter w:w="41" w:type="dxa"/>
          <w:trHeight w:val="395" w:hRule="atLeast"/>
          <w:jc w:val="center"/>
        </w:trPr>
        <w:tc>
          <w:tcPr>
            <w:tcW w:w="14507" w:type="dxa"/>
            <w:gridSpan w:val="22"/>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服务电话：0377-63173027                投诉机构：派驻纪检监察组                                  投诉电话：0377-63137277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2"/>
          <w:gridAfter w:val="2"/>
          <w:wBefore w:w="11" w:type="dxa"/>
          <w:wAfter w:w="41" w:type="dxa"/>
          <w:trHeight w:val="384" w:hRule="atLeast"/>
          <w:jc w:val="center"/>
        </w:trPr>
        <w:tc>
          <w:tcPr>
            <w:tcW w:w="14507" w:type="dxa"/>
            <w:gridSpan w:val="22"/>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受理地点：南阳市宛城区仲景街道范蠡路东路1666号市行政审批服务中心北区1号楼533室</w:t>
            </w:r>
          </w:p>
        </w:tc>
      </w:tr>
    </w:tbl>
    <w:p>
      <w:pPr>
        <w:pStyle w:val="2"/>
        <w:widowControl w:val="0"/>
        <w:wordWrap/>
        <w:adjustRightInd/>
        <w:snapToGrid/>
        <w:spacing w:before="0" w:after="0" w:line="300" w:lineRule="exact"/>
        <w:ind w:left="0" w:leftChars="0" w:right="0"/>
        <w:textAlignment w:val="auto"/>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w:t>
      </w:r>
    </w:p>
    <w:tbl>
      <w:tblPr>
        <w:tblStyle w:val="5"/>
        <w:tblW w:w="139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
        <w:gridCol w:w="326"/>
        <w:gridCol w:w="25"/>
        <w:gridCol w:w="913"/>
        <w:gridCol w:w="25"/>
        <w:gridCol w:w="6871"/>
        <w:gridCol w:w="196"/>
        <w:gridCol w:w="390"/>
        <w:gridCol w:w="196"/>
        <w:gridCol w:w="786"/>
        <w:gridCol w:w="196"/>
        <w:gridCol w:w="3250"/>
        <w:gridCol w:w="51"/>
        <w:gridCol w:w="619"/>
        <w:gridCol w:w="5"/>
        <w:gridCol w:w="3"/>
        <w:gridCol w:w="2"/>
        <w:gridCol w:w="12"/>
        <w:gridCol w:w="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14" w:type="dxa"/>
          <w:wAfter w:w="52" w:type="dxa"/>
          <w:trHeight w:val="557" w:hRule="atLeast"/>
          <w:tblHeader/>
          <w:jc w:val="center"/>
        </w:trPr>
        <w:tc>
          <w:tcPr>
            <w:tcW w:w="326" w:type="dxa"/>
            <w:tcMar>
              <w:top w:w="15" w:type="dxa"/>
              <w:left w:w="15" w:type="dxa"/>
              <w:right w:w="15" w:type="dxa"/>
            </w:tcMar>
            <w:vAlign w:val="center"/>
          </w:tcPr>
          <w:p>
            <w:pPr>
              <w:widowControl/>
              <w:wordWrap/>
              <w:adjustRightInd/>
              <w:snapToGrid/>
              <w:spacing w:before="0" w:after="0" w:line="260" w:lineRule="exact"/>
              <w:ind w:left="0" w:leftChars="0" w:right="0" w:firstLine="0" w:firstLineChars="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序号</w:t>
            </w:r>
          </w:p>
        </w:tc>
        <w:tc>
          <w:tcPr>
            <w:tcW w:w="938" w:type="dxa"/>
            <w:gridSpan w:val="2"/>
            <w:tcMar>
              <w:top w:w="15" w:type="dxa"/>
              <w:left w:w="15" w:type="dxa"/>
              <w:right w:w="15" w:type="dxa"/>
            </w:tcMar>
            <w:vAlign w:val="center"/>
          </w:tcPr>
          <w:p>
            <w:pPr>
              <w:widowControl/>
              <w:wordWrap/>
              <w:adjustRightInd/>
              <w:snapToGrid/>
              <w:spacing w:before="0" w:after="0" w:line="260" w:lineRule="exact"/>
              <w:ind w:left="0" w:leftChars="0" w:right="0" w:firstLine="0" w:firstLineChars="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项目名称</w:t>
            </w:r>
          </w:p>
        </w:tc>
        <w:tc>
          <w:tcPr>
            <w:tcW w:w="7092" w:type="dxa"/>
            <w:gridSpan w:val="3"/>
            <w:tcMar>
              <w:top w:w="15" w:type="dxa"/>
              <w:left w:w="15" w:type="dxa"/>
              <w:right w:w="15" w:type="dxa"/>
            </w:tcMar>
            <w:vAlign w:val="center"/>
          </w:tcPr>
          <w:p>
            <w:pPr>
              <w:widowControl/>
              <w:shd w:val="clear" w:color="050000" w:fill="FFFFFF"/>
              <w:wordWrap/>
              <w:adjustRightInd/>
              <w:snapToGrid/>
              <w:spacing w:before="0" w:after="0" w:afterAutospacing="0" w:line="260" w:lineRule="exact"/>
              <w:ind w:left="0" w:leftChars="0" w:right="0" w:firstLine="0" w:firstLineChars="0"/>
              <w:jc w:val="center"/>
              <w:textAlignment w:val="auto"/>
              <w:outlineLvl w:val="9"/>
              <w:rPr>
                <w:rFonts w:hint="eastAsia" w:ascii="黑体" w:hAnsi="黑体" w:eastAsia="黑体" w:cs="黑体"/>
                <w:b w:val="0"/>
                <w:bCs w:val="0"/>
                <w:color w:val="auto"/>
                <w:kern w:val="0"/>
                <w:sz w:val="22"/>
                <w:szCs w:val="22"/>
                <w:lang w:eastAsia="zh-CN"/>
              </w:rPr>
            </w:pPr>
            <w:r>
              <w:rPr>
                <w:rFonts w:hint="eastAsia" w:ascii="黑体" w:hAnsi="黑体" w:eastAsia="黑体" w:cs="黑体"/>
                <w:b w:val="0"/>
                <w:bCs w:val="0"/>
                <w:color w:val="auto"/>
                <w:kern w:val="0"/>
                <w:sz w:val="22"/>
                <w:szCs w:val="22"/>
                <w:lang w:eastAsia="zh-CN"/>
              </w:rPr>
              <w:t>实施依据</w:t>
            </w:r>
          </w:p>
        </w:tc>
        <w:tc>
          <w:tcPr>
            <w:tcW w:w="586" w:type="dxa"/>
            <w:gridSpan w:val="2"/>
            <w:tcMar>
              <w:top w:w="15" w:type="dxa"/>
              <w:left w:w="15" w:type="dxa"/>
              <w:right w:w="15" w:type="dxa"/>
            </w:tcMar>
            <w:vAlign w:val="center"/>
          </w:tcPr>
          <w:p>
            <w:pPr>
              <w:widowControl/>
              <w:wordWrap/>
              <w:adjustRightInd/>
              <w:snapToGrid/>
              <w:spacing w:before="0" w:after="0" w:line="260" w:lineRule="exact"/>
              <w:ind w:left="0" w:leftChars="0" w:right="0" w:firstLine="0" w:firstLineChars="0"/>
              <w:jc w:val="center"/>
              <w:outlineLvl w:val="9"/>
              <w:rPr>
                <w:rFonts w:hint="eastAsia" w:ascii="黑体" w:hAnsi="黑体" w:eastAsia="黑体" w:cs="黑体"/>
                <w:color w:val="auto"/>
                <w:sz w:val="22"/>
                <w:szCs w:val="22"/>
                <w:lang w:eastAsia="zh-CN"/>
              </w:rPr>
            </w:pPr>
            <w:r>
              <w:rPr>
                <w:rFonts w:hint="eastAsia" w:ascii="黑体" w:hAnsi="黑体" w:eastAsia="黑体" w:cs="黑体"/>
                <w:color w:val="auto"/>
                <w:sz w:val="22"/>
                <w:szCs w:val="22"/>
                <w:lang w:eastAsia="zh-CN"/>
              </w:rPr>
              <w:t>职权类别</w:t>
            </w:r>
          </w:p>
        </w:tc>
        <w:tc>
          <w:tcPr>
            <w:tcW w:w="982" w:type="dxa"/>
            <w:gridSpan w:val="2"/>
            <w:tcMar>
              <w:top w:w="15" w:type="dxa"/>
              <w:left w:w="15" w:type="dxa"/>
              <w:right w:w="15" w:type="dxa"/>
            </w:tcMar>
            <w:vAlign w:val="center"/>
          </w:tcPr>
          <w:p>
            <w:pPr>
              <w:widowControl/>
              <w:wordWrap/>
              <w:adjustRightInd/>
              <w:snapToGrid/>
              <w:spacing w:before="0" w:after="0" w:line="260" w:lineRule="exact"/>
              <w:ind w:left="0" w:leftChars="0" w:right="0" w:firstLine="0" w:firstLineChars="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办理环节</w:t>
            </w:r>
          </w:p>
        </w:tc>
        <w:tc>
          <w:tcPr>
            <w:tcW w:w="3250" w:type="dxa"/>
            <w:tcMar>
              <w:top w:w="15" w:type="dxa"/>
              <w:left w:w="15" w:type="dxa"/>
              <w:right w:w="15" w:type="dxa"/>
            </w:tcMar>
            <w:vAlign w:val="center"/>
          </w:tcPr>
          <w:p>
            <w:pPr>
              <w:widowControl/>
              <w:wordWrap/>
              <w:adjustRightInd/>
              <w:snapToGrid/>
              <w:spacing w:before="0" w:after="0" w:line="260" w:lineRule="exact"/>
              <w:ind w:left="0" w:leftChars="0" w:right="0" w:firstLine="0" w:firstLineChars="0"/>
              <w:jc w:val="center"/>
              <w:textAlignment w:val="center"/>
              <w:outlineLvl w:val="9"/>
              <w:rPr>
                <w:rFonts w:hint="eastAsia" w:ascii="黑体" w:hAnsi="黑体" w:eastAsia="黑体" w:cs="黑体"/>
                <w:color w:val="auto"/>
                <w:kern w:val="0"/>
                <w:sz w:val="20"/>
                <w:szCs w:val="20"/>
                <w:lang w:eastAsia="zh-CN"/>
              </w:rPr>
            </w:pPr>
            <w:r>
              <w:rPr>
                <w:rFonts w:hint="eastAsia" w:ascii="黑体" w:hAnsi="黑体" w:eastAsia="黑体" w:cs="黑体"/>
                <w:color w:val="auto"/>
                <w:kern w:val="0"/>
                <w:sz w:val="20"/>
                <w:szCs w:val="20"/>
                <w:lang w:eastAsia="zh-CN"/>
              </w:rPr>
              <w:t>责任事项</w:t>
            </w:r>
          </w:p>
        </w:tc>
        <w:tc>
          <w:tcPr>
            <w:tcW w:w="675" w:type="dxa"/>
            <w:gridSpan w:val="3"/>
            <w:tcMar>
              <w:top w:w="15" w:type="dxa"/>
              <w:left w:w="15" w:type="dxa"/>
              <w:right w:w="15" w:type="dxa"/>
            </w:tcMar>
            <w:vAlign w:val="center"/>
          </w:tcPr>
          <w:p>
            <w:pPr>
              <w:widowControl/>
              <w:wordWrap/>
              <w:adjustRightInd/>
              <w:snapToGrid/>
              <w:spacing w:before="0" w:after="0" w:line="260" w:lineRule="exact"/>
              <w:ind w:left="0" w:leftChars="0" w:right="0" w:firstLine="0" w:firstLineChars="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责任处室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14" w:type="dxa"/>
          <w:wAfter w:w="52" w:type="dxa"/>
          <w:trHeight w:val="1264" w:hRule="atLeast"/>
          <w:jc w:val="center"/>
        </w:trPr>
        <w:tc>
          <w:tcPr>
            <w:tcW w:w="326" w:type="dxa"/>
            <w:vMerge w:val="restart"/>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kern w:val="0"/>
                <w:sz w:val="22"/>
                <w:szCs w:val="22"/>
              </w:rPr>
              <w:t>21</w:t>
            </w:r>
          </w:p>
        </w:tc>
        <w:tc>
          <w:tcPr>
            <w:tcW w:w="938" w:type="dxa"/>
            <w:gridSpan w:val="2"/>
            <w:vMerge w:val="restart"/>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对违规养老机构的行政处罚</w:t>
            </w:r>
          </w:p>
        </w:tc>
        <w:tc>
          <w:tcPr>
            <w:tcW w:w="7092" w:type="dxa"/>
            <w:gridSpan w:val="3"/>
            <w:vMerge w:val="restart"/>
            <w:tcMar>
              <w:top w:w="15" w:type="dxa"/>
              <w:left w:w="15" w:type="dxa"/>
              <w:right w:w="15" w:type="dxa"/>
            </w:tcMar>
            <w:vAlign w:val="center"/>
          </w:tcPr>
          <w:p>
            <w:pPr>
              <w:widowControl/>
              <w:shd w:val="clear" w:color="050000" w:fill="FFFFFF"/>
              <w:wordWrap/>
              <w:adjustRightInd/>
              <w:snapToGrid/>
              <w:spacing w:before="0" w:after="0" w:afterAutospacing="0" w:line="240" w:lineRule="exact"/>
              <w:ind w:left="0" w:leftChars="0" w:right="0" w:firstLine="0" w:firstLineChars="0"/>
              <w:jc w:val="left"/>
              <w:textAlignment w:val="auto"/>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b w:val="0"/>
                <w:bCs w:val="0"/>
                <w:color w:val="auto"/>
                <w:kern w:val="0"/>
                <w:sz w:val="22"/>
                <w:szCs w:val="22"/>
              </w:rPr>
              <w:t>《中华人民共和国老年人权益保障法》第八章第七十九条</w:t>
            </w:r>
            <w:r>
              <w:rPr>
                <w:rFonts w:hint="eastAsia" w:ascii="仿宋_GB2312" w:hAnsi="仿宋_GB2312" w:eastAsia="仿宋_GB2312" w:cs="仿宋_GB2312"/>
                <w:b w:val="0"/>
                <w:bCs w:val="0"/>
                <w:color w:val="auto"/>
                <w:kern w:val="0"/>
                <w:sz w:val="22"/>
                <w:szCs w:val="22"/>
                <w:lang w:eastAsia="zh-CN"/>
              </w:rPr>
              <w:t>：</w:t>
            </w:r>
            <w:r>
              <w:rPr>
                <w:rFonts w:hint="eastAsia" w:ascii="仿宋_GB2312" w:hAnsi="仿宋_GB2312" w:eastAsia="仿宋_GB2312" w:cs="仿宋_GB2312"/>
                <w:color w:val="auto"/>
                <w:sz w:val="22"/>
                <w:szCs w:val="22"/>
                <w:shd w:val="clear" w:color="auto" w:fill="FFFFFF"/>
              </w:rPr>
              <w:t>养老机构及其工作人员侵害老年人人身和财产权益，或者未按照约定提供服务的，依法承担民事责任；有关主管部门依法给予行政处罚；构成犯罪的，依法追究刑事责任</w:t>
            </w:r>
            <w:r>
              <w:rPr>
                <w:rFonts w:hint="eastAsia" w:ascii="仿宋_GB2312" w:hAnsi="仿宋_GB2312" w:eastAsia="仿宋_GB2312" w:cs="仿宋_GB2312"/>
                <w:color w:val="auto"/>
                <w:sz w:val="22"/>
                <w:szCs w:val="22"/>
                <w:shd w:val="clear" w:color="auto" w:fill="FFFFFF"/>
                <w:lang w:eastAsia="zh-CN"/>
              </w:rPr>
              <w:t>。</w:t>
            </w:r>
            <w:r>
              <w:rPr>
                <w:rFonts w:hint="eastAsia" w:ascii="仿宋_GB2312" w:hAnsi="仿宋_GB2312" w:eastAsia="仿宋_GB2312" w:cs="仿宋_GB2312"/>
                <w:b w:val="0"/>
                <w:bCs w:val="0"/>
                <w:color w:val="auto"/>
                <w:kern w:val="0"/>
                <w:sz w:val="22"/>
                <w:szCs w:val="22"/>
              </w:rPr>
              <w:t>《养老机构管理办法》第四十六条</w:t>
            </w:r>
            <w:r>
              <w:rPr>
                <w:rFonts w:hint="eastAsia" w:ascii="仿宋_GB2312" w:hAnsi="仿宋_GB2312" w:eastAsia="仿宋_GB2312" w:cs="仿宋_GB2312"/>
                <w:b w:val="0"/>
                <w:bCs w:val="0"/>
                <w:color w:val="auto"/>
                <w:kern w:val="0"/>
                <w:sz w:val="22"/>
                <w:szCs w:val="22"/>
                <w:lang w:eastAsia="zh-CN"/>
              </w:rPr>
              <w:t>：</w:t>
            </w:r>
            <w:r>
              <w:rPr>
                <w:rFonts w:hint="eastAsia" w:ascii="仿宋_GB2312" w:hAnsi="仿宋_GB2312" w:eastAsia="仿宋_GB2312" w:cs="仿宋_GB2312"/>
                <w:color w:val="auto"/>
                <w:kern w:val="0"/>
                <w:sz w:val="22"/>
                <w:szCs w:val="22"/>
              </w:rPr>
              <w:t>养老机构有下列行为之一的，由民政部门责令改正，给予警告；情节严重的，处以3万元以下的罚款：（一）未建立入院评估制度或者未按照规定开展评估活动的；（二）未与老年人或者其代理人签订服务协议，或者未按照协议约定提供服务的；（三）未按照有关强制性国家标准提供服务的；（四）工作人员的资格不符合规定的；（五）利用养老机构的房屋、场地、设施开展与养老服务宗旨无关的活动的；（六）未依照本办法规定预防和处置突发事件的；（七）歧视、侮辱、虐待老年人以及其他侵害老年人人身和财产权益行为的；（八）向负责监督检查的民政部门隐瞒有关情况、提供虚假材料或者拒绝提供反映其活动情况真实材料的；（九）法律、法规、规章规定的其他违法行为。养老机构及其工作人员违反本办法有关规定，构成违反治安管理行为的，依法给予治安管理处罚；构成犯罪的，依法追究刑事责任。</w:t>
            </w:r>
            <w:r>
              <w:rPr>
                <w:rFonts w:hint="eastAsia" w:ascii="仿宋_GB2312" w:hAnsi="仿宋_GB2312" w:eastAsia="仿宋_GB2312" w:cs="仿宋_GB2312"/>
                <w:b w:val="0"/>
                <w:bCs w:val="0"/>
                <w:color w:val="auto"/>
                <w:kern w:val="0"/>
                <w:sz w:val="22"/>
                <w:szCs w:val="22"/>
              </w:rPr>
              <w:t>《中华人民共和国行政处罚法》第三十一</w:t>
            </w:r>
            <w:r>
              <w:rPr>
                <w:rFonts w:hint="eastAsia" w:ascii="仿宋_GB2312" w:hAnsi="仿宋_GB2312" w:eastAsia="仿宋_GB2312" w:cs="仿宋_GB2312"/>
                <w:b w:val="0"/>
                <w:bCs w:val="0"/>
                <w:color w:val="auto"/>
                <w:kern w:val="0"/>
                <w:sz w:val="22"/>
                <w:szCs w:val="22"/>
                <w:lang w:eastAsia="zh-CN"/>
              </w:rPr>
              <w:t>条：</w:t>
            </w:r>
            <w:r>
              <w:rPr>
                <w:rFonts w:hint="eastAsia" w:ascii="仿宋_GB2312" w:hAnsi="仿宋_GB2312" w:eastAsia="仿宋_GB2312" w:cs="仿宋_GB2312"/>
                <w:i w:val="0"/>
                <w:caps w:val="0"/>
                <w:color w:val="auto"/>
                <w:spacing w:val="0"/>
                <w:kern w:val="0"/>
                <w:sz w:val="22"/>
                <w:szCs w:val="22"/>
                <w:shd w:val="clear" w:color="080000" w:fill="FFFFFF"/>
                <w:lang w:val="en-US" w:eastAsia="zh-CN"/>
              </w:rPr>
              <w:t>行政机关在作出行政处罚决定之前，应当告知当事人作出行政处罚决定的事实、理由及依据，并告知当事人依法享有的权利。第</w:t>
            </w:r>
            <w:r>
              <w:rPr>
                <w:rFonts w:hint="eastAsia" w:ascii="仿宋_GB2312" w:hAnsi="仿宋_GB2312" w:eastAsia="仿宋_GB2312" w:cs="仿宋_GB2312"/>
                <w:b w:val="0"/>
                <w:bCs w:val="0"/>
                <w:color w:val="auto"/>
                <w:kern w:val="0"/>
                <w:sz w:val="22"/>
                <w:szCs w:val="22"/>
              </w:rPr>
              <w:t>三十二</w:t>
            </w:r>
            <w:r>
              <w:rPr>
                <w:rFonts w:hint="eastAsia" w:ascii="仿宋_GB2312" w:hAnsi="仿宋_GB2312" w:eastAsia="仿宋_GB2312" w:cs="仿宋_GB2312"/>
                <w:b w:val="0"/>
                <w:bCs w:val="0"/>
                <w:color w:val="auto"/>
                <w:kern w:val="0"/>
                <w:sz w:val="22"/>
                <w:szCs w:val="22"/>
                <w:lang w:eastAsia="zh-CN"/>
              </w:rPr>
              <w:t>条：</w:t>
            </w:r>
            <w:r>
              <w:rPr>
                <w:rFonts w:hint="eastAsia" w:ascii="仿宋_GB2312" w:hAnsi="仿宋_GB2312" w:eastAsia="仿宋_GB2312" w:cs="仿宋_GB2312"/>
                <w:i w:val="0"/>
                <w:caps w:val="0"/>
                <w:color w:val="auto"/>
                <w:spacing w:val="0"/>
                <w:kern w:val="0"/>
                <w:sz w:val="22"/>
                <w:szCs w:val="22"/>
                <w:shd w:val="clear" w:color="080000" w:fill="FFFFFF"/>
                <w:lang w:val="en-US" w:eastAsia="zh-CN"/>
              </w:rPr>
              <w:t>当事人有权进行陈述和申辩。行政机关必须充分听取当事人的意见，对当事人提出的事实、理由和证据，应当进行复核；当事人提出的事实、理由或者证据成立的，行政机关应当采纳。行政机关不得因当事人申辩而加重处罚。</w:t>
            </w:r>
            <w:r>
              <w:rPr>
                <w:rFonts w:hint="eastAsia" w:ascii="仿宋_GB2312" w:hAnsi="仿宋_GB2312" w:eastAsia="仿宋_GB2312" w:cs="仿宋_GB2312"/>
                <w:b w:val="0"/>
                <w:bCs w:val="0"/>
                <w:i w:val="0"/>
                <w:caps w:val="0"/>
                <w:color w:val="auto"/>
                <w:spacing w:val="0"/>
                <w:kern w:val="0"/>
                <w:sz w:val="22"/>
                <w:szCs w:val="22"/>
                <w:shd w:val="clear" w:color="0A0000" w:fill="FFFFFF"/>
                <w:lang w:val="en-US" w:eastAsia="zh-CN"/>
              </w:rPr>
              <w:t>第</w:t>
            </w:r>
            <w:r>
              <w:rPr>
                <w:rFonts w:hint="eastAsia" w:ascii="仿宋_GB2312" w:hAnsi="仿宋_GB2312" w:eastAsia="仿宋_GB2312" w:cs="仿宋_GB2312"/>
                <w:b w:val="0"/>
                <w:bCs w:val="0"/>
                <w:color w:val="auto"/>
                <w:kern w:val="0"/>
                <w:sz w:val="22"/>
                <w:szCs w:val="22"/>
              </w:rPr>
              <w:t>三十三</w:t>
            </w:r>
            <w:r>
              <w:rPr>
                <w:rFonts w:hint="eastAsia" w:ascii="仿宋_GB2312" w:hAnsi="仿宋_GB2312" w:eastAsia="仿宋_GB2312" w:cs="仿宋_GB2312"/>
                <w:b w:val="0"/>
                <w:bCs w:val="0"/>
                <w:color w:val="auto"/>
                <w:kern w:val="0"/>
                <w:sz w:val="22"/>
                <w:szCs w:val="22"/>
                <w:lang w:eastAsia="zh-CN"/>
              </w:rPr>
              <w:t>条：</w:t>
            </w:r>
            <w:r>
              <w:rPr>
                <w:rFonts w:hint="eastAsia" w:ascii="仿宋_GB2312" w:hAnsi="仿宋_GB2312" w:eastAsia="仿宋_GB2312" w:cs="仿宋_GB2312"/>
                <w:i w:val="0"/>
                <w:caps w:val="0"/>
                <w:color w:val="auto"/>
                <w:spacing w:val="0"/>
                <w:kern w:val="0"/>
                <w:sz w:val="22"/>
                <w:szCs w:val="22"/>
                <w:shd w:val="clear" w:color="080000" w:fill="FFFFFF"/>
                <w:lang w:val="en-US" w:eastAsia="zh-CN"/>
              </w:rPr>
              <w:t>违法事实确凿并有法定依据，对公民处以五十元以下、对法人或者其他组织处以一千元以下罚款或者警告的行政处罚的，可以当场作出行政处罚决定。当事人应当依照本法第四十六条、第四十七条、第四十八条的规定履行行政处罚决定。</w:t>
            </w:r>
            <w:r>
              <w:rPr>
                <w:rFonts w:hint="eastAsia" w:ascii="仿宋_GB2312" w:hAnsi="仿宋_GB2312" w:eastAsia="仿宋_GB2312" w:cs="仿宋_GB2312"/>
                <w:b w:val="0"/>
                <w:bCs w:val="0"/>
                <w:color w:val="auto"/>
                <w:kern w:val="0"/>
                <w:sz w:val="22"/>
                <w:szCs w:val="22"/>
                <w:lang w:eastAsia="zh-CN"/>
              </w:rPr>
              <w:t>第</w:t>
            </w:r>
            <w:r>
              <w:rPr>
                <w:rFonts w:hint="eastAsia" w:ascii="仿宋_GB2312" w:hAnsi="仿宋_GB2312" w:eastAsia="仿宋_GB2312" w:cs="仿宋_GB2312"/>
                <w:b w:val="0"/>
                <w:bCs w:val="0"/>
                <w:color w:val="auto"/>
                <w:kern w:val="0"/>
                <w:sz w:val="22"/>
                <w:szCs w:val="22"/>
              </w:rPr>
              <w:t>三十四条</w:t>
            </w:r>
            <w:r>
              <w:rPr>
                <w:rFonts w:hint="eastAsia" w:ascii="仿宋_GB2312" w:hAnsi="仿宋_GB2312" w:eastAsia="仿宋_GB2312" w:cs="仿宋_GB2312"/>
                <w:b w:val="0"/>
                <w:bCs w:val="0"/>
                <w:color w:val="auto"/>
                <w:kern w:val="0"/>
                <w:sz w:val="22"/>
                <w:szCs w:val="22"/>
                <w:lang w:eastAsia="zh-CN"/>
              </w:rPr>
              <w:t>：</w:t>
            </w:r>
            <w:r>
              <w:rPr>
                <w:rFonts w:hint="eastAsia" w:ascii="仿宋_GB2312" w:hAnsi="仿宋_GB2312" w:eastAsia="仿宋_GB2312" w:cs="仿宋_GB2312"/>
                <w:i w:val="0"/>
                <w:caps w:val="0"/>
                <w:color w:val="auto"/>
                <w:spacing w:val="0"/>
                <w:kern w:val="0"/>
                <w:sz w:val="22"/>
                <w:szCs w:val="22"/>
                <w:shd w:val="clear" w:color="080000" w:fill="FFFFFF"/>
                <w:lang w:val="en-US" w:eastAsia="zh-CN"/>
              </w:rPr>
              <w:t>执法人员当场作出行政处罚决定的，应当向当事人出示执法身份证件，填写预定格式、编有号码的行政处罚决定书。行政处罚决定书应当当场交付当事人。前款规定的行政处罚决定书应当载明当事人的违法行为、行政处罚依据、罚款数额、时间、地点以及行政机关名称，并由执法人员签名或者盖章。执法人员当场作出的行政处罚决定，必须报所属行政机关备案。</w:t>
            </w:r>
          </w:p>
        </w:tc>
        <w:tc>
          <w:tcPr>
            <w:tcW w:w="586" w:type="dxa"/>
            <w:gridSpan w:val="2"/>
            <w:vMerge w:val="restart"/>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行政处罚</w:t>
            </w:r>
          </w:p>
          <w:p>
            <w:pPr>
              <w:widowControl/>
              <w:wordWrap/>
              <w:adjustRightInd/>
              <w:snapToGrid/>
              <w:spacing w:before="0" w:after="0" w:line="240" w:lineRule="exact"/>
              <w:ind w:left="0" w:leftChars="0" w:right="0" w:firstLine="0" w:firstLineChars="0"/>
              <w:jc w:val="left"/>
              <w:outlineLvl w:val="9"/>
              <w:rPr>
                <w:rFonts w:hint="eastAsia" w:ascii="仿宋_GB2312" w:hAnsi="仿宋_GB2312" w:eastAsia="仿宋_GB2312" w:cs="仿宋_GB2312"/>
                <w:color w:val="auto"/>
                <w:sz w:val="22"/>
                <w:szCs w:val="22"/>
              </w:rPr>
            </w:pPr>
          </w:p>
        </w:tc>
        <w:tc>
          <w:tcPr>
            <w:tcW w:w="982" w:type="dxa"/>
            <w:gridSpan w:val="2"/>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kern w:val="0"/>
                <w:sz w:val="22"/>
                <w:szCs w:val="22"/>
              </w:rPr>
              <w:t>立案</w:t>
            </w:r>
          </w:p>
        </w:tc>
        <w:tc>
          <w:tcPr>
            <w:tcW w:w="3250" w:type="dxa"/>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kern w:val="0"/>
                <w:sz w:val="20"/>
                <w:szCs w:val="20"/>
              </w:rPr>
              <w:t>立案责任：检查中发现或者群众举报养老机构养老机构及其工作人员侵害老年人人身和财产权益，或者未按照约定提供服务的，予以审查，决定是否立案</w:t>
            </w:r>
            <w:r>
              <w:rPr>
                <w:rFonts w:hint="eastAsia" w:ascii="仿宋_GB2312" w:hAnsi="仿宋_GB2312" w:eastAsia="仿宋_GB2312" w:cs="仿宋_GB2312"/>
                <w:color w:val="auto"/>
                <w:kern w:val="0"/>
                <w:sz w:val="20"/>
                <w:szCs w:val="20"/>
                <w:lang w:eastAsia="zh-CN"/>
              </w:rPr>
              <w:t>。</w:t>
            </w:r>
          </w:p>
        </w:tc>
        <w:tc>
          <w:tcPr>
            <w:tcW w:w="675" w:type="dxa"/>
            <w:gridSpan w:val="3"/>
            <w:vMerge w:val="restart"/>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养老服务科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14" w:type="dxa"/>
          <w:wAfter w:w="52" w:type="dxa"/>
          <w:trHeight w:val="90" w:hRule="atLeast"/>
          <w:jc w:val="center"/>
        </w:trPr>
        <w:tc>
          <w:tcPr>
            <w:tcW w:w="326" w:type="dxa"/>
            <w:vMerge w:val="continue"/>
            <w:tcBorders>
              <w:left w:val="nil"/>
              <w:right w:val="nil"/>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rPr>
            </w:pPr>
          </w:p>
        </w:tc>
        <w:tc>
          <w:tcPr>
            <w:tcW w:w="938" w:type="dxa"/>
            <w:gridSpan w:val="2"/>
            <w:vMerge w:val="continue"/>
            <w:tcBorders>
              <w:left w:val="nil"/>
              <w:right w:val="nil"/>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rPr>
            </w:pPr>
          </w:p>
        </w:tc>
        <w:tc>
          <w:tcPr>
            <w:tcW w:w="7092" w:type="dxa"/>
            <w:gridSpan w:val="3"/>
            <w:vMerge w:val="continue"/>
            <w:tcBorders>
              <w:left w:val="nil"/>
              <w:right w:val="nil"/>
            </w:tcBorders>
            <w:tcMar>
              <w:top w:w="15" w:type="dxa"/>
              <w:left w:w="15" w:type="dxa"/>
              <w:right w:w="15" w:type="dxa"/>
            </w:tcMar>
            <w:vAlign w:val="center"/>
          </w:tcPr>
          <w:p>
            <w:pPr>
              <w:widowControl/>
              <w:shd w:val="clear" w:color="050000" w:fill="FFFFFF"/>
              <w:wordWrap/>
              <w:adjustRightInd/>
              <w:snapToGrid/>
              <w:spacing w:before="0" w:after="0" w:afterAutospacing="0" w:line="240" w:lineRule="exact"/>
              <w:ind w:left="0" w:leftChars="0" w:right="0" w:firstLine="0" w:firstLineChars="0"/>
              <w:jc w:val="left"/>
              <w:textAlignment w:val="auto"/>
              <w:outlineLvl w:val="9"/>
              <w:rPr>
                <w:rFonts w:hint="eastAsia" w:ascii="仿宋_GB2312" w:hAnsi="仿宋_GB2312" w:eastAsia="仿宋_GB2312" w:cs="仿宋_GB2312"/>
                <w:color w:val="auto"/>
                <w:sz w:val="22"/>
                <w:szCs w:val="22"/>
                <w:lang w:val="en-US" w:eastAsia="zh-CN"/>
              </w:rPr>
            </w:pPr>
          </w:p>
        </w:tc>
        <w:tc>
          <w:tcPr>
            <w:tcW w:w="586" w:type="dxa"/>
            <w:gridSpan w:val="2"/>
            <w:vMerge w:val="continue"/>
            <w:tcBorders>
              <w:left w:val="nil"/>
              <w:right w:val="nil"/>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rPr>
            </w:pPr>
          </w:p>
        </w:tc>
        <w:tc>
          <w:tcPr>
            <w:tcW w:w="982" w:type="dxa"/>
            <w:gridSpan w:val="2"/>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调查</w:t>
            </w:r>
          </w:p>
        </w:tc>
        <w:tc>
          <w:tcPr>
            <w:tcW w:w="3250" w:type="dxa"/>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调查责任：对立案的案件，案件承办人员及时、全面、客观、公正地调查收集与案件有关的证据，查明事实，必要时可进行现场检查。与当事人有直接利害关系的予以回避。执法人员不得少于两人，调查时应出示执法证件，允许当事人辩解陈述。</w:t>
            </w:r>
          </w:p>
        </w:tc>
        <w:tc>
          <w:tcPr>
            <w:tcW w:w="675" w:type="dxa"/>
            <w:gridSpan w:val="3"/>
            <w:vMerge w:val="continue"/>
            <w:tcBorders>
              <w:left w:val="nil"/>
              <w:right w:val="nil"/>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14" w:type="dxa"/>
          <w:wAfter w:w="52" w:type="dxa"/>
          <w:trHeight w:val="1113" w:hRule="atLeast"/>
          <w:jc w:val="center"/>
        </w:trPr>
        <w:tc>
          <w:tcPr>
            <w:tcW w:w="326" w:type="dxa"/>
            <w:vMerge w:val="continue"/>
            <w:tcBorders>
              <w:left w:val="nil"/>
              <w:right w:val="nil"/>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rPr>
            </w:pPr>
          </w:p>
        </w:tc>
        <w:tc>
          <w:tcPr>
            <w:tcW w:w="938" w:type="dxa"/>
            <w:gridSpan w:val="2"/>
            <w:vMerge w:val="continue"/>
            <w:tcBorders>
              <w:left w:val="nil"/>
              <w:right w:val="nil"/>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rPr>
            </w:pPr>
          </w:p>
        </w:tc>
        <w:tc>
          <w:tcPr>
            <w:tcW w:w="7092" w:type="dxa"/>
            <w:gridSpan w:val="3"/>
            <w:vMerge w:val="continue"/>
            <w:tcBorders>
              <w:left w:val="nil"/>
              <w:right w:val="nil"/>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rPr>
            </w:pPr>
          </w:p>
        </w:tc>
        <w:tc>
          <w:tcPr>
            <w:tcW w:w="586" w:type="dxa"/>
            <w:gridSpan w:val="2"/>
            <w:vMerge w:val="continue"/>
            <w:tcBorders>
              <w:left w:val="nil"/>
              <w:right w:val="nil"/>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rPr>
            </w:pPr>
          </w:p>
        </w:tc>
        <w:tc>
          <w:tcPr>
            <w:tcW w:w="982" w:type="dxa"/>
            <w:gridSpan w:val="2"/>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w:t>
            </w:r>
          </w:p>
        </w:tc>
        <w:tc>
          <w:tcPr>
            <w:tcW w:w="3250" w:type="dxa"/>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kern w:val="0"/>
                <w:sz w:val="20"/>
                <w:szCs w:val="20"/>
              </w:rPr>
              <w:t>审查责任：对案件违法事实，证据、调查取证程序、法律适用、处罚种类和幅度、当事人陈述和申辩理由等方面进行审查，提出处理意见</w:t>
            </w:r>
            <w:r>
              <w:rPr>
                <w:rFonts w:hint="eastAsia" w:ascii="仿宋_GB2312" w:hAnsi="仿宋_GB2312" w:eastAsia="仿宋_GB2312" w:cs="仿宋_GB2312"/>
                <w:color w:val="auto"/>
                <w:kern w:val="0"/>
                <w:sz w:val="20"/>
                <w:szCs w:val="20"/>
                <w:lang w:eastAsia="zh-CN"/>
              </w:rPr>
              <w:t>。</w:t>
            </w:r>
          </w:p>
        </w:tc>
        <w:tc>
          <w:tcPr>
            <w:tcW w:w="675" w:type="dxa"/>
            <w:gridSpan w:val="3"/>
            <w:vMerge w:val="continue"/>
            <w:tcBorders>
              <w:left w:val="nil"/>
              <w:right w:val="nil"/>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14" w:type="dxa"/>
          <w:wAfter w:w="52" w:type="dxa"/>
          <w:trHeight w:val="1249" w:hRule="atLeast"/>
          <w:jc w:val="center"/>
        </w:trPr>
        <w:tc>
          <w:tcPr>
            <w:tcW w:w="326" w:type="dxa"/>
            <w:vMerge w:val="continue"/>
            <w:tcBorders>
              <w:left w:val="nil"/>
              <w:right w:val="nil"/>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outlineLvl w:val="9"/>
              <w:rPr>
                <w:rFonts w:hint="eastAsia" w:ascii="仿宋_GB2312" w:hAnsi="仿宋_GB2312" w:eastAsia="仿宋_GB2312" w:cs="仿宋_GB2312"/>
                <w:color w:val="auto"/>
                <w:sz w:val="22"/>
                <w:szCs w:val="22"/>
              </w:rPr>
            </w:pPr>
          </w:p>
        </w:tc>
        <w:tc>
          <w:tcPr>
            <w:tcW w:w="938" w:type="dxa"/>
            <w:gridSpan w:val="2"/>
            <w:vMerge w:val="continue"/>
            <w:tcBorders>
              <w:left w:val="nil"/>
              <w:right w:val="nil"/>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outlineLvl w:val="9"/>
              <w:rPr>
                <w:rFonts w:hint="eastAsia" w:ascii="仿宋_GB2312" w:hAnsi="仿宋_GB2312" w:eastAsia="仿宋_GB2312" w:cs="仿宋_GB2312"/>
                <w:color w:val="auto"/>
                <w:sz w:val="22"/>
                <w:szCs w:val="22"/>
              </w:rPr>
            </w:pPr>
          </w:p>
        </w:tc>
        <w:tc>
          <w:tcPr>
            <w:tcW w:w="7092" w:type="dxa"/>
            <w:gridSpan w:val="3"/>
            <w:vMerge w:val="continue"/>
            <w:tcBorders>
              <w:left w:val="nil"/>
              <w:right w:val="nil"/>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outlineLvl w:val="9"/>
              <w:rPr>
                <w:rFonts w:hint="eastAsia" w:ascii="仿宋_GB2312" w:hAnsi="仿宋_GB2312" w:eastAsia="仿宋_GB2312" w:cs="仿宋_GB2312"/>
                <w:color w:val="auto"/>
                <w:sz w:val="22"/>
                <w:szCs w:val="22"/>
              </w:rPr>
            </w:pPr>
          </w:p>
        </w:tc>
        <w:tc>
          <w:tcPr>
            <w:tcW w:w="586" w:type="dxa"/>
            <w:gridSpan w:val="2"/>
            <w:vMerge w:val="continue"/>
            <w:tcBorders>
              <w:left w:val="nil"/>
              <w:right w:val="nil"/>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outlineLvl w:val="9"/>
              <w:rPr>
                <w:rFonts w:hint="eastAsia" w:ascii="仿宋_GB2312" w:hAnsi="仿宋_GB2312" w:eastAsia="仿宋_GB2312" w:cs="仿宋_GB2312"/>
                <w:color w:val="auto"/>
                <w:sz w:val="22"/>
                <w:szCs w:val="22"/>
              </w:rPr>
            </w:pPr>
          </w:p>
        </w:tc>
        <w:tc>
          <w:tcPr>
            <w:tcW w:w="982" w:type="dxa"/>
            <w:gridSpan w:val="2"/>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告知</w:t>
            </w:r>
          </w:p>
        </w:tc>
        <w:tc>
          <w:tcPr>
            <w:tcW w:w="3250" w:type="dxa"/>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仿宋_GB2312" w:hAnsi="仿宋_GB2312" w:eastAsia="仿宋_GB2312" w:cs="仿宋_GB2312"/>
                <w:color w:val="auto"/>
                <w:sz w:val="20"/>
                <w:szCs w:val="20"/>
                <w:lang w:eastAsia="zh-CN"/>
              </w:rPr>
            </w:pPr>
            <w:r>
              <w:rPr>
                <w:rFonts w:hint="eastAsia" w:ascii="仿宋_GB2312" w:hAnsi="仿宋_GB2312" w:eastAsia="仿宋_GB2312" w:cs="仿宋_GB2312"/>
                <w:color w:val="auto"/>
                <w:kern w:val="0"/>
                <w:sz w:val="20"/>
                <w:szCs w:val="20"/>
              </w:rPr>
              <w:t>告知责任：在做出行政处罚决定前，书面告知当事人拟作出处罚决定的事实、理由、依据、处罚内容，以及当事人享有的陈述权、申辩权或听证权</w:t>
            </w:r>
            <w:r>
              <w:rPr>
                <w:rFonts w:hint="eastAsia" w:ascii="仿宋_GB2312" w:hAnsi="仿宋_GB2312" w:eastAsia="仿宋_GB2312" w:cs="仿宋_GB2312"/>
                <w:color w:val="auto"/>
                <w:kern w:val="0"/>
                <w:sz w:val="20"/>
                <w:szCs w:val="20"/>
                <w:lang w:eastAsia="zh-CN"/>
              </w:rPr>
              <w:t>。</w:t>
            </w:r>
          </w:p>
        </w:tc>
        <w:tc>
          <w:tcPr>
            <w:tcW w:w="675" w:type="dxa"/>
            <w:gridSpan w:val="3"/>
            <w:vMerge w:val="continue"/>
            <w:tcBorders>
              <w:left w:val="nil"/>
              <w:right w:val="nil"/>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14" w:type="dxa"/>
          <w:wAfter w:w="52" w:type="dxa"/>
          <w:trHeight w:val="1395" w:hRule="atLeast"/>
          <w:jc w:val="center"/>
        </w:trPr>
        <w:tc>
          <w:tcPr>
            <w:tcW w:w="326" w:type="dxa"/>
            <w:vMerge w:val="continue"/>
            <w:tcBorders>
              <w:left w:val="nil"/>
              <w:right w:val="nil"/>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outlineLvl w:val="9"/>
              <w:rPr>
                <w:rFonts w:hint="eastAsia" w:ascii="仿宋_GB2312" w:hAnsi="仿宋_GB2312" w:eastAsia="仿宋_GB2312" w:cs="仿宋_GB2312"/>
                <w:color w:val="auto"/>
                <w:sz w:val="22"/>
                <w:szCs w:val="22"/>
              </w:rPr>
            </w:pPr>
          </w:p>
        </w:tc>
        <w:tc>
          <w:tcPr>
            <w:tcW w:w="938" w:type="dxa"/>
            <w:gridSpan w:val="2"/>
            <w:vMerge w:val="continue"/>
            <w:tcBorders>
              <w:left w:val="nil"/>
              <w:right w:val="nil"/>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outlineLvl w:val="9"/>
              <w:rPr>
                <w:rFonts w:hint="eastAsia" w:ascii="仿宋_GB2312" w:hAnsi="仿宋_GB2312" w:eastAsia="仿宋_GB2312" w:cs="仿宋_GB2312"/>
                <w:color w:val="auto"/>
                <w:sz w:val="22"/>
                <w:szCs w:val="22"/>
              </w:rPr>
            </w:pPr>
          </w:p>
        </w:tc>
        <w:tc>
          <w:tcPr>
            <w:tcW w:w="7092" w:type="dxa"/>
            <w:gridSpan w:val="3"/>
            <w:vMerge w:val="continue"/>
            <w:tcBorders>
              <w:left w:val="nil"/>
              <w:right w:val="nil"/>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outlineLvl w:val="9"/>
              <w:rPr>
                <w:rFonts w:hint="eastAsia" w:ascii="仿宋_GB2312" w:hAnsi="仿宋_GB2312" w:eastAsia="仿宋_GB2312" w:cs="仿宋_GB2312"/>
                <w:color w:val="auto"/>
                <w:sz w:val="22"/>
                <w:szCs w:val="22"/>
              </w:rPr>
            </w:pPr>
          </w:p>
        </w:tc>
        <w:tc>
          <w:tcPr>
            <w:tcW w:w="586" w:type="dxa"/>
            <w:gridSpan w:val="2"/>
            <w:vMerge w:val="continue"/>
            <w:tcBorders>
              <w:left w:val="nil"/>
              <w:right w:val="nil"/>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outlineLvl w:val="9"/>
              <w:rPr>
                <w:rFonts w:hint="eastAsia" w:ascii="仿宋_GB2312" w:hAnsi="仿宋_GB2312" w:eastAsia="仿宋_GB2312" w:cs="仿宋_GB2312"/>
                <w:color w:val="auto"/>
                <w:sz w:val="22"/>
                <w:szCs w:val="22"/>
              </w:rPr>
            </w:pPr>
          </w:p>
        </w:tc>
        <w:tc>
          <w:tcPr>
            <w:tcW w:w="982" w:type="dxa"/>
            <w:gridSpan w:val="2"/>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决定</w:t>
            </w:r>
          </w:p>
        </w:tc>
        <w:tc>
          <w:tcPr>
            <w:tcW w:w="3250" w:type="dxa"/>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决定责任：依法需要给予行政处罚的，应制作《行政处罚决定书》，载明违法事实和证据，处罚依据和内容、申请行政复议或提起行政诉讼的途径和期限等内容。</w:t>
            </w:r>
          </w:p>
        </w:tc>
        <w:tc>
          <w:tcPr>
            <w:tcW w:w="675" w:type="dxa"/>
            <w:gridSpan w:val="3"/>
            <w:vMerge w:val="continue"/>
            <w:tcBorders>
              <w:left w:val="nil"/>
              <w:right w:val="nil"/>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14" w:type="dxa"/>
          <w:wAfter w:w="52" w:type="dxa"/>
          <w:trHeight w:val="90" w:hRule="atLeast"/>
          <w:jc w:val="center"/>
        </w:trPr>
        <w:tc>
          <w:tcPr>
            <w:tcW w:w="326" w:type="dxa"/>
            <w:vMerge w:val="continue"/>
            <w:tcBorders>
              <w:left w:val="nil"/>
              <w:right w:val="nil"/>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lang w:eastAsia="zh-CN"/>
              </w:rPr>
            </w:pPr>
          </w:p>
        </w:tc>
        <w:tc>
          <w:tcPr>
            <w:tcW w:w="938" w:type="dxa"/>
            <w:gridSpan w:val="2"/>
            <w:vMerge w:val="continue"/>
            <w:tcBorders>
              <w:left w:val="nil"/>
              <w:right w:val="nil"/>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rPr>
            </w:pPr>
          </w:p>
        </w:tc>
        <w:tc>
          <w:tcPr>
            <w:tcW w:w="7092" w:type="dxa"/>
            <w:gridSpan w:val="3"/>
            <w:vMerge w:val="continue"/>
            <w:tcBorders>
              <w:left w:val="nil"/>
              <w:right w:val="nil"/>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outlineLvl w:val="9"/>
              <w:rPr>
                <w:rFonts w:hint="eastAsia" w:ascii="仿宋_GB2312" w:hAnsi="仿宋_GB2312" w:eastAsia="仿宋_GB2312" w:cs="仿宋_GB2312"/>
                <w:color w:val="auto"/>
                <w:sz w:val="22"/>
                <w:szCs w:val="22"/>
              </w:rPr>
            </w:pPr>
          </w:p>
        </w:tc>
        <w:tc>
          <w:tcPr>
            <w:tcW w:w="586" w:type="dxa"/>
            <w:gridSpan w:val="2"/>
            <w:vMerge w:val="continue"/>
            <w:tcBorders>
              <w:left w:val="nil"/>
              <w:right w:val="nil"/>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outlineLvl w:val="9"/>
              <w:rPr>
                <w:rFonts w:hint="eastAsia" w:ascii="仿宋_GB2312" w:hAnsi="仿宋_GB2312" w:eastAsia="仿宋_GB2312" w:cs="仿宋_GB2312"/>
                <w:color w:val="auto"/>
                <w:sz w:val="22"/>
                <w:szCs w:val="22"/>
              </w:rPr>
            </w:pPr>
          </w:p>
        </w:tc>
        <w:tc>
          <w:tcPr>
            <w:tcW w:w="982" w:type="dxa"/>
            <w:gridSpan w:val="2"/>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szCs w:val="22"/>
              </w:rPr>
              <w:t>送达</w:t>
            </w:r>
          </w:p>
        </w:tc>
        <w:tc>
          <w:tcPr>
            <w:tcW w:w="3250" w:type="dxa"/>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rPr>
              <w:t>送达责任：行政处罚决定书在7日内送达当事人</w:t>
            </w:r>
            <w:r>
              <w:rPr>
                <w:rFonts w:hint="eastAsia" w:ascii="仿宋_GB2312" w:hAnsi="仿宋_GB2312" w:eastAsia="仿宋_GB2312" w:cs="仿宋_GB2312"/>
                <w:color w:val="auto"/>
                <w:kern w:val="0"/>
                <w:sz w:val="20"/>
                <w:szCs w:val="20"/>
                <w:lang w:eastAsia="zh-CN"/>
              </w:rPr>
              <w:t>。</w:t>
            </w:r>
          </w:p>
        </w:tc>
        <w:tc>
          <w:tcPr>
            <w:tcW w:w="675" w:type="dxa"/>
            <w:gridSpan w:val="3"/>
            <w:vMerge w:val="continue"/>
            <w:tcBorders>
              <w:left w:val="nil"/>
              <w:right w:val="nil"/>
            </w:tcBorders>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14" w:type="dxa"/>
          <w:wAfter w:w="52" w:type="dxa"/>
          <w:trHeight w:val="518" w:hRule="atLeast"/>
          <w:jc w:val="center"/>
        </w:trPr>
        <w:tc>
          <w:tcPr>
            <w:tcW w:w="13849" w:type="dxa"/>
            <w:gridSpan w:val="14"/>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xml:space="preserve">服务电话：0377-63133909                 投诉机构:南阳市纪委监委驻市民政局纪检监察组                    投诉电话：0377-63137277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4"/>
          <w:wBefore w:w="14" w:type="dxa"/>
          <w:wAfter w:w="52" w:type="dxa"/>
          <w:trHeight w:val="418" w:hRule="atLeast"/>
          <w:jc w:val="center"/>
        </w:trPr>
        <w:tc>
          <w:tcPr>
            <w:tcW w:w="13849" w:type="dxa"/>
            <w:gridSpan w:val="14"/>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受理地点：南阳市范蠡路南区行政审批中心1号楼1楼综合受理窗口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40" w:hRule="atLeast"/>
          <w:jc w:val="center"/>
        </w:trPr>
        <w:tc>
          <w:tcPr>
            <w:tcW w:w="365" w:type="dxa"/>
            <w:gridSpan w:val="3"/>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kern w:val="0"/>
                <w:sz w:val="22"/>
                <w:szCs w:val="22"/>
              </w:rPr>
              <w:t>22</w:t>
            </w:r>
          </w:p>
        </w:tc>
        <w:tc>
          <w:tcPr>
            <w:tcW w:w="938" w:type="dxa"/>
            <w:gridSpan w:val="2"/>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收缴民办非企业单位登记证书、印章</w:t>
            </w:r>
          </w:p>
        </w:tc>
        <w:tc>
          <w:tcPr>
            <w:tcW w:w="6871" w:type="dxa"/>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《民办非企业单位登记管理暂行条例》</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国务院令第251号）第二十八条第二款：民办非企业单位被撤销登记的，由登记管理机关收缴登记证书和印章。</w:t>
            </w:r>
          </w:p>
        </w:tc>
        <w:tc>
          <w:tcPr>
            <w:tcW w:w="586" w:type="dxa"/>
            <w:gridSpan w:val="2"/>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行政强制</w:t>
            </w:r>
          </w:p>
        </w:tc>
        <w:tc>
          <w:tcPr>
            <w:tcW w:w="982"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催告</w:t>
            </w:r>
          </w:p>
        </w:tc>
        <w:tc>
          <w:tcPr>
            <w:tcW w:w="3497" w:type="dxa"/>
            <w:gridSpan w:val="3"/>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催告责任：对被撤销登记的民办非企业单位，以下达催告书等方式履行告知义务，催告相对人履行义务的期限、方式，告知当事人依法享有的陈述权和申辩权。</w:t>
            </w:r>
          </w:p>
        </w:tc>
        <w:tc>
          <w:tcPr>
            <w:tcW w:w="676" w:type="dxa"/>
            <w:gridSpan w:val="6"/>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80" w:hRule="atLeast"/>
          <w:jc w:val="center"/>
        </w:trPr>
        <w:tc>
          <w:tcPr>
            <w:tcW w:w="365"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38" w:type="dxa"/>
            <w:gridSpan w:val="2"/>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871"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gridSpan w:val="2"/>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w:t>
            </w:r>
          </w:p>
        </w:tc>
        <w:tc>
          <w:tcPr>
            <w:tcW w:w="3497" w:type="dxa"/>
            <w:gridSpan w:val="3"/>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决定责任：充分听取当事人的陈述，对当事人提出的事实、理由和证据，应当进行记录、复核。以事实为依据，经批准作出收缴登记证书和印章的决定。送达行政强制执行决定书。</w:t>
            </w:r>
          </w:p>
        </w:tc>
        <w:tc>
          <w:tcPr>
            <w:tcW w:w="676" w:type="dxa"/>
            <w:gridSpan w:val="6"/>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45" w:hRule="atLeast"/>
          <w:jc w:val="center"/>
        </w:trPr>
        <w:tc>
          <w:tcPr>
            <w:tcW w:w="365"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38" w:type="dxa"/>
            <w:gridSpan w:val="2"/>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871"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gridSpan w:val="2"/>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执行</w:t>
            </w:r>
          </w:p>
        </w:tc>
        <w:tc>
          <w:tcPr>
            <w:tcW w:w="3497" w:type="dxa"/>
            <w:gridSpan w:val="3"/>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执行责任：由民办非企业单位登记管理机关组织实施民办非企业单位违法行为行政强制。</w:t>
            </w:r>
          </w:p>
        </w:tc>
        <w:tc>
          <w:tcPr>
            <w:tcW w:w="676" w:type="dxa"/>
            <w:gridSpan w:val="6"/>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49" w:hRule="atLeast"/>
          <w:jc w:val="center"/>
        </w:trPr>
        <w:tc>
          <w:tcPr>
            <w:tcW w:w="365"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38" w:type="dxa"/>
            <w:gridSpan w:val="2"/>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871"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gridSpan w:val="2"/>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事后监管</w:t>
            </w:r>
          </w:p>
        </w:tc>
        <w:tc>
          <w:tcPr>
            <w:tcW w:w="3497" w:type="dxa"/>
            <w:gridSpan w:val="3"/>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事后监管责任：通过监督检查防止民办非企业单位违法行为发生。</w:t>
            </w:r>
          </w:p>
        </w:tc>
        <w:tc>
          <w:tcPr>
            <w:tcW w:w="676" w:type="dxa"/>
            <w:gridSpan w:val="6"/>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50" w:hRule="atLeast"/>
          <w:jc w:val="center"/>
        </w:trPr>
        <w:tc>
          <w:tcPr>
            <w:tcW w:w="365" w:type="dxa"/>
            <w:gridSpan w:val="3"/>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38" w:type="dxa"/>
            <w:gridSpan w:val="2"/>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6871" w:type="dxa"/>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gridSpan w:val="2"/>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gridSpan w:val="2"/>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3497" w:type="dxa"/>
            <w:gridSpan w:val="3"/>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其他法律法规规章文件规定的应履行的责任。</w:t>
            </w:r>
          </w:p>
        </w:tc>
        <w:tc>
          <w:tcPr>
            <w:tcW w:w="676" w:type="dxa"/>
            <w:gridSpan w:val="6"/>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2"/>
          <w:wBefore w:w="14" w:type="dxa"/>
          <w:wAfter w:w="47" w:type="dxa"/>
          <w:trHeight w:val="2285" w:hRule="atLeast"/>
          <w:jc w:val="center"/>
        </w:trPr>
        <w:tc>
          <w:tcPr>
            <w:tcW w:w="326"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23</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p>
        </w:tc>
        <w:tc>
          <w:tcPr>
            <w:tcW w:w="938" w:type="dxa"/>
            <w:gridSpan w:val="2"/>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封存民办非企业单位登记证书、印章、财务凭证</w:t>
            </w:r>
          </w:p>
        </w:tc>
        <w:tc>
          <w:tcPr>
            <w:tcW w:w="7092" w:type="dxa"/>
            <w:gridSpan w:val="3"/>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《民办非企业单位登记管理暂行条例》（国务院令第251号）第二十八条第一款：民办非企业单位被限期停止活动的，由登记管理机关封存其登记证书、印章和财务凭证。</w:t>
            </w:r>
          </w:p>
        </w:tc>
        <w:tc>
          <w:tcPr>
            <w:tcW w:w="586" w:type="dxa"/>
            <w:gridSpan w:val="2"/>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行政强制</w:t>
            </w:r>
          </w:p>
        </w:tc>
        <w:tc>
          <w:tcPr>
            <w:tcW w:w="982"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催告</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催告责任：对被限期停止活动的民办非企业单位，以下达催告书等方式履行告知义务，催告相对人履行义务的期限、方式，告知当事人依法享有的陈述权和申辩权。</w:t>
            </w:r>
          </w:p>
        </w:tc>
        <w:tc>
          <w:tcPr>
            <w:tcW w:w="680" w:type="dxa"/>
            <w:gridSpan w:val="5"/>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2"/>
          <w:wBefore w:w="14" w:type="dxa"/>
          <w:wAfter w:w="47" w:type="dxa"/>
          <w:trHeight w:val="2455" w:hRule="atLeast"/>
          <w:jc w:val="center"/>
        </w:trPr>
        <w:tc>
          <w:tcPr>
            <w:tcW w:w="32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38"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决定责任：充分听取当事人的陈述，对当事人提出的事实、理由和证据，应当进行记录、复核。以事实为依据，经批准作出封存登记证书、印章和财务凭证的决定。送达行政强制执行决定书。</w:t>
            </w:r>
          </w:p>
        </w:tc>
        <w:tc>
          <w:tcPr>
            <w:tcW w:w="680" w:type="dxa"/>
            <w:gridSpan w:val="5"/>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2"/>
          <w:wBefore w:w="14" w:type="dxa"/>
          <w:wAfter w:w="47" w:type="dxa"/>
          <w:trHeight w:val="1328" w:hRule="atLeast"/>
          <w:jc w:val="center"/>
        </w:trPr>
        <w:tc>
          <w:tcPr>
            <w:tcW w:w="326" w:type="dxa"/>
            <w:vMerge w:val="continue"/>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p>
        </w:tc>
        <w:tc>
          <w:tcPr>
            <w:tcW w:w="938" w:type="dxa"/>
            <w:gridSpan w:val="2"/>
            <w:vMerge w:val="continue"/>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p>
        </w:tc>
        <w:tc>
          <w:tcPr>
            <w:tcW w:w="7092" w:type="dxa"/>
            <w:gridSpan w:val="3"/>
            <w:vMerge w:val="continue"/>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p>
        </w:tc>
        <w:tc>
          <w:tcPr>
            <w:tcW w:w="586" w:type="dxa"/>
            <w:gridSpan w:val="2"/>
            <w:vMerge w:val="continue"/>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c>
          <w:tcPr>
            <w:tcW w:w="982"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执行</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执行责任：由民办非企业单位登记管理机构组织实施民办非企业单位违法行为行政强制。</w:t>
            </w:r>
          </w:p>
        </w:tc>
        <w:tc>
          <w:tcPr>
            <w:tcW w:w="680" w:type="dxa"/>
            <w:gridSpan w:val="5"/>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2"/>
          <w:wBefore w:w="14" w:type="dxa"/>
          <w:wAfter w:w="47" w:type="dxa"/>
          <w:trHeight w:val="1066" w:hRule="atLeast"/>
          <w:jc w:val="center"/>
        </w:trPr>
        <w:tc>
          <w:tcPr>
            <w:tcW w:w="32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38"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事后监管</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事后监管责任：通过监督检查防止民办非企业单位违法行为发生。</w:t>
            </w:r>
          </w:p>
        </w:tc>
        <w:tc>
          <w:tcPr>
            <w:tcW w:w="680" w:type="dxa"/>
            <w:gridSpan w:val="5"/>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2"/>
          <w:wBefore w:w="14" w:type="dxa"/>
          <w:wAfter w:w="47" w:type="dxa"/>
          <w:trHeight w:val="1129" w:hRule="atLeast"/>
          <w:jc w:val="center"/>
        </w:trPr>
        <w:tc>
          <w:tcPr>
            <w:tcW w:w="32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38"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gridSpan w:val="2"/>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其他法律法规规章文件规定的应履行的责任。</w:t>
            </w:r>
          </w:p>
        </w:tc>
        <w:tc>
          <w:tcPr>
            <w:tcW w:w="680" w:type="dxa"/>
            <w:gridSpan w:val="5"/>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5"/>
          <w:wBefore w:w="14" w:type="dxa"/>
          <w:wAfter w:w="57" w:type="dxa"/>
          <w:trHeight w:val="2048" w:hRule="atLeast"/>
          <w:jc w:val="center"/>
        </w:trPr>
        <w:tc>
          <w:tcPr>
            <w:tcW w:w="326"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kern w:val="0"/>
                <w:sz w:val="22"/>
                <w:szCs w:val="22"/>
              </w:rPr>
              <w:t>24</w:t>
            </w:r>
          </w:p>
        </w:tc>
        <w:tc>
          <w:tcPr>
            <w:tcW w:w="938" w:type="dxa"/>
            <w:gridSpan w:val="2"/>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收缴社会团体法人登记证书和印章</w:t>
            </w:r>
          </w:p>
        </w:tc>
        <w:tc>
          <w:tcPr>
            <w:tcW w:w="7092" w:type="dxa"/>
            <w:gridSpan w:val="3"/>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《社会团体登记管理条例》（国务院令第250号）第三十三条：社会团体被撤销登记的，由登记管理机关收缴《社会团体法人登记证书》和印章。</w:t>
            </w:r>
          </w:p>
        </w:tc>
        <w:tc>
          <w:tcPr>
            <w:tcW w:w="586" w:type="dxa"/>
            <w:gridSpan w:val="2"/>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行政强制</w:t>
            </w:r>
          </w:p>
        </w:tc>
        <w:tc>
          <w:tcPr>
            <w:tcW w:w="982"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催告</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催告责任：对被撤销登记的社会团体，以下达催告书等方式履行告知义务，催告相对人履行义务的期限、方式，告知当事人依法享有的陈述权和申辩权。</w:t>
            </w:r>
          </w:p>
        </w:tc>
        <w:tc>
          <w:tcPr>
            <w:tcW w:w="670" w:type="dxa"/>
            <w:gridSpan w:val="2"/>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5"/>
          <w:wBefore w:w="14" w:type="dxa"/>
          <w:wAfter w:w="57" w:type="dxa"/>
          <w:trHeight w:val="2688" w:hRule="atLeast"/>
          <w:jc w:val="center"/>
        </w:trPr>
        <w:tc>
          <w:tcPr>
            <w:tcW w:w="32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38"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决定责任：充分听取当事人的陈述，对当事人提出的事实、理由和证据，应当进行记录、复核。以事实为依据，经批准作出收缴《社会团体法人登记证书》和印章的决定。送达行政强制执行决定书。</w:t>
            </w:r>
          </w:p>
        </w:tc>
        <w:tc>
          <w:tcPr>
            <w:tcW w:w="670" w:type="dxa"/>
            <w:gridSpan w:val="2"/>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5"/>
          <w:wBefore w:w="14" w:type="dxa"/>
          <w:wAfter w:w="57" w:type="dxa"/>
          <w:trHeight w:val="1421" w:hRule="atLeast"/>
          <w:jc w:val="center"/>
        </w:trPr>
        <w:tc>
          <w:tcPr>
            <w:tcW w:w="32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38"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执行</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执行责任：由社会团体登记管理机关组织实施社会团体违法行为行政强制。</w:t>
            </w:r>
          </w:p>
        </w:tc>
        <w:tc>
          <w:tcPr>
            <w:tcW w:w="670" w:type="dxa"/>
            <w:gridSpan w:val="2"/>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5"/>
          <w:wBefore w:w="14" w:type="dxa"/>
          <w:wAfter w:w="57" w:type="dxa"/>
          <w:trHeight w:val="924" w:hRule="atLeast"/>
          <w:jc w:val="center"/>
        </w:trPr>
        <w:tc>
          <w:tcPr>
            <w:tcW w:w="32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38"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事后监管</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事后监管责任：通过监督检查防止社会团体违法行为发生。</w:t>
            </w:r>
          </w:p>
        </w:tc>
        <w:tc>
          <w:tcPr>
            <w:tcW w:w="670" w:type="dxa"/>
            <w:gridSpan w:val="2"/>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5"/>
          <w:wBefore w:w="14" w:type="dxa"/>
          <w:wAfter w:w="57" w:type="dxa"/>
          <w:trHeight w:val="673" w:hRule="atLeast"/>
          <w:jc w:val="center"/>
        </w:trPr>
        <w:tc>
          <w:tcPr>
            <w:tcW w:w="32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38"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gridSpan w:val="2"/>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其他法律法规规章文件规定的应履行的责任。</w:t>
            </w:r>
          </w:p>
        </w:tc>
        <w:tc>
          <w:tcPr>
            <w:tcW w:w="670" w:type="dxa"/>
            <w:gridSpan w:val="2"/>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14" w:type="dxa"/>
          <w:wAfter w:w="35" w:type="dxa"/>
          <w:trHeight w:val="1705" w:hRule="atLeast"/>
          <w:jc w:val="center"/>
        </w:trPr>
        <w:tc>
          <w:tcPr>
            <w:tcW w:w="326"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kern w:val="0"/>
                <w:sz w:val="22"/>
                <w:szCs w:val="22"/>
              </w:rPr>
              <w:t>25</w:t>
            </w:r>
          </w:p>
        </w:tc>
        <w:tc>
          <w:tcPr>
            <w:tcW w:w="938" w:type="dxa"/>
            <w:gridSpan w:val="2"/>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封存社会团体法人登记证书、印章、财务凭证</w:t>
            </w:r>
          </w:p>
        </w:tc>
        <w:tc>
          <w:tcPr>
            <w:tcW w:w="7092" w:type="dxa"/>
            <w:gridSpan w:val="3"/>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《社会团体登记管理条例》（国务院令第250号）第三十三条：社会团体被责令限期停止活动的，由登记管理机关封存《社会团体法人登记证书》、印章和财务凭证。</w:t>
            </w:r>
          </w:p>
        </w:tc>
        <w:tc>
          <w:tcPr>
            <w:tcW w:w="586" w:type="dxa"/>
            <w:gridSpan w:val="2"/>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行政强制</w:t>
            </w:r>
          </w:p>
        </w:tc>
        <w:tc>
          <w:tcPr>
            <w:tcW w:w="982"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催告</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催告责任：对被责令限期停止活动的社会团体，以下达催告书等方式履行告知义务，催告相对人履行义务的期限、方式，告知当事人依法享有的陈述权和申辩权。</w:t>
            </w:r>
          </w:p>
        </w:tc>
        <w:tc>
          <w:tcPr>
            <w:tcW w:w="692" w:type="dxa"/>
            <w:gridSpan w:val="6"/>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14" w:type="dxa"/>
          <w:wAfter w:w="35" w:type="dxa"/>
          <w:trHeight w:val="2245" w:hRule="atLeast"/>
          <w:jc w:val="center"/>
        </w:trPr>
        <w:tc>
          <w:tcPr>
            <w:tcW w:w="32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38"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决定责任：充分听取当事人的陈述，对当事人提出的事实、理由和证据，应当进行记录、复核。以事实为依据，经批准作出封存《社会团体法人登记证书》、印章和财务凭证的决定。送达行政强制执行决定书。</w:t>
            </w:r>
          </w:p>
        </w:tc>
        <w:tc>
          <w:tcPr>
            <w:tcW w:w="692" w:type="dxa"/>
            <w:gridSpan w:val="6"/>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14" w:type="dxa"/>
          <w:wAfter w:w="35" w:type="dxa"/>
          <w:trHeight w:val="1157" w:hRule="atLeast"/>
          <w:jc w:val="center"/>
        </w:trPr>
        <w:tc>
          <w:tcPr>
            <w:tcW w:w="32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38"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执行</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执行责任：由社会团体登记管理机关组织实施社会团体违法行为行政强制。</w:t>
            </w:r>
          </w:p>
        </w:tc>
        <w:tc>
          <w:tcPr>
            <w:tcW w:w="692" w:type="dxa"/>
            <w:gridSpan w:val="6"/>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14" w:type="dxa"/>
          <w:wAfter w:w="35" w:type="dxa"/>
          <w:trHeight w:val="896" w:hRule="atLeast"/>
          <w:jc w:val="center"/>
        </w:trPr>
        <w:tc>
          <w:tcPr>
            <w:tcW w:w="32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38"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事后监管</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事后监管责任：通过监督检查防止社会团体违法行为发生。</w:t>
            </w:r>
          </w:p>
        </w:tc>
        <w:tc>
          <w:tcPr>
            <w:tcW w:w="692" w:type="dxa"/>
            <w:gridSpan w:val="6"/>
            <w:vMerge w:val="continue"/>
            <w:tcBorders>
              <w:left w:val="nil"/>
              <w:right w:val="nil"/>
            </w:tcBorders>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14" w:type="dxa"/>
          <w:wAfter w:w="35" w:type="dxa"/>
          <w:trHeight w:val="992" w:hRule="atLeast"/>
          <w:jc w:val="center"/>
        </w:trPr>
        <w:tc>
          <w:tcPr>
            <w:tcW w:w="32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38"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gridSpan w:val="2"/>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其他法律法规规章文件规定的应履行的责任。</w:t>
            </w:r>
          </w:p>
        </w:tc>
        <w:tc>
          <w:tcPr>
            <w:tcW w:w="692" w:type="dxa"/>
            <w:gridSpan w:val="6"/>
            <w:vMerge w:val="continue"/>
            <w:tcBorders>
              <w:left w:val="nil"/>
              <w:right w:val="nil"/>
            </w:tcBorders>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14" w:type="dxa"/>
          <w:wAfter w:w="35" w:type="dxa"/>
          <w:trHeight w:val="557" w:hRule="atLeast"/>
          <w:jc w:val="center"/>
        </w:trPr>
        <w:tc>
          <w:tcPr>
            <w:tcW w:w="13866" w:type="dxa"/>
            <w:gridSpan w:val="17"/>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0"/>
                <w:sz w:val="22"/>
                <w:szCs w:val="22"/>
              </w:rPr>
              <w:t>服务电话：0377-63173027                投诉机构：派驻纪检监察组                                  投诉电话：0377-63137277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1"/>
          <w:wBefore w:w="14" w:type="dxa"/>
          <w:wAfter w:w="35" w:type="dxa"/>
          <w:trHeight w:val="557" w:hRule="atLeast"/>
          <w:jc w:val="center"/>
        </w:trPr>
        <w:tc>
          <w:tcPr>
            <w:tcW w:w="13866" w:type="dxa"/>
            <w:gridSpan w:val="17"/>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0"/>
                <w:sz w:val="22"/>
                <w:szCs w:val="22"/>
              </w:rPr>
              <w:t>受理地点：南阳市宛城区仲景街道范蠡路东路1666号市行政审批服务中心北区1号楼533室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3"/>
          <w:wBefore w:w="14" w:type="dxa"/>
          <w:wAfter w:w="49" w:type="dxa"/>
          <w:trHeight w:val="2722" w:hRule="atLeast"/>
          <w:jc w:val="center"/>
        </w:trPr>
        <w:tc>
          <w:tcPr>
            <w:tcW w:w="326"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lang w:val="en-US" w:eastAsia="zh-CN"/>
              </w:rPr>
              <w:t>26</w:t>
            </w:r>
          </w:p>
        </w:tc>
        <w:tc>
          <w:tcPr>
            <w:tcW w:w="938" w:type="dxa"/>
            <w:gridSpan w:val="2"/>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城市生活无着的流浪乞讨人员救助</w:t>
            </w:r>
          </w:p>
        </w:tc>
        <w:tc>
          <w:tcPr>
            <w:tcW w:w="7092" w:type="dxa"/>
            <w:gridSpan w:val="3"/>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rPr>
              <w:t>《城市生活无着的流浪乞讨人员救助管理办法》</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国务院令第381号</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第四条：县级以上人民政府民政部门负责流浪乞讨的救助工作，并对救助站进行指导、监督。</w:t>
            </w:r>
          </w:p>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b/>
                <w:bCs/>
                <w:color w:val="auto"/>
                <w:sz w:val="22"/>
                <w:szCs w:val="22"/>
                <w:lang w:val="en-US" w:eastAsia="zh-CN"/>
              </w:rPr>
            </w:pPr>
            <w:r>
              <w:rPr>
                <w:rFonts w:hint="eastAsia" w:ascii="仿宋_GB2312" w:hAnsi="仿宋_GB2312" w:eastAsia="仿宋_GB2312" w:cs="仿宋_GB2312"/>
                <w:color w:val="auto"/>
                <w:kern w:val="0"/>
                <w:sz w:val="22"/>
                <w:szCs w:val="22"/>
              </w:rPr>
              <w:t>《中华人民共</w:t>
            </w:r>
            <w:r>
              <w:rPr>
                <w:rFonts w:hint="eastAsia" w:ascii="仿宋_GB2312" w:hAnsi="仿宋_GB2312" w:eastAsia="仿宋_GB2312" w:cs="仿宋_GB2312"/>
                <w:b w:val="0"/>
                <w:bCs w:val="0"/>
                <w:color w:val="auto"/>
                <w:kern w:val="0"/>
                <w:sz w:val="22"/>
                <w:szCs w:val="22"/>
              </w:rPr>
              <w:t>和国未成年人保护法》第四十三条</w:t>
            </w:r>
            <w:r>
              <w:rPr>
                <w:rFonts w:hint="eastAsia" w:ascii="仿宋_GB2312" w:hAnsi="仿宋_GB2312" w:eastAsia="仿宋_GB2312" w:cs="仿宋_GB2312"/>
                <w:b w:val="0"/>
                <w:bCs w:val="0"/>
                <w:color w:val="auto"/>
                <w:kern w:val="0"/>
                <w:sz w:val="22"/>
                <w:szCs w:val="22"/>
                <w:lang w:val="en-US" w:eastAsia="zh-CN"/>
              </w:rPr>
              <w:t>:</w:t>
            </w:r>
            <w:r>
              <w:rPr>
                <w:rFonts w:hint="eastAsia" w:ascii="仿宋_GB2312" w:hAnsi="仿宋_GB2312" w:eastAsia="仿宋_GB2312" w:cs="仿宋_GB2312"/>
                <w:b w:val="0"/>
                <w:bCs w:val="0"/>
                <w:color w:val="auto"/>
                <w:kern w:val="0"/>
                <w:sz w:val="22"/>
                <w:szCs w:val="22"/>
              </w:rPr>
              <w:t>县级以上人民政府及其民政部门应当根据需要设立救助场所，对流浪乞讨等生活无着未成年人实施救助，承担临时监护责任</w:t>
            </w:r>
            <w:r>
              <w:rPr>
                <w:rFonts w:hint="eastAsia" w:ascii="仿宋_GB2312" w:hAnsi="仿宋_GB2312" w:eastAsia="仿宋_GB2312" w:cs="仿宋_GB2312"/>
                <w:b w:val="0"/>
                <w:bCs w:val="0"/>
                <w:color w:val="auto"/>
                <w:kern w:val="0"/>
                <w:sz w:val="22"/>
                <w:szCs w:val="22"/>
                <w:lang w:eastAsia="zh-CN"/>
              </w:rPr>
              <w:t>。</w:t>
            </w:r>
          </w:p>
        </w:tc>
        <w:tc>
          <w:tcPr>
            <w:tcW w:w="586" w:type="dxa"/>
            <w:gridSpan w:val="2"/>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行政给付</w:t>
            </w:r>
          </w:p>
        </w:tc>
        <w:tc>
          <w:tcPr>
            <w:tcW w:w="982"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救助服务对象认定。</w:t>
            </w:r>
          </w:p>
        </w:tc>
        <w:tc>
          <w:tcPr>
            <w:tcW w:w="678" w:type="dxa"/>
            <w:gridSpan w:val="4"/>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3"/>
          <w:wBefore w:w="14" w:type="dxa"/>
          <w:wAfter w:w="49" w:type="dxa"/>
          <w:trHeight w:val="3014" w:hRule="atLeast"/>
          <w:jc w:val="center"/>
        </w:trPr>
        <w:tc>
          <w:tcPr>
            <w:tcW w:w="32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38"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审核</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符合救助条件后，进行健康体检，安全检查，办理入站手续。</w:t>
            </w:r>
          </w:p>
        </w:tc>
        <w:tc>
          <w:tcPr>
            <w:tcW w:w="678"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救助一科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3"/>
          <w:wBefore w:w="14" w:type="dxa"/>
          <w:wAfter w:w="49" w:type="dxa"/>
          <w:trHeight w:val="1410" w:hRule="atLeast"/>
          <w:jc w:val="center"/>
        </w:trPr>
        <w:tc>
          <w:tcPr>
            <w:tcW w:w="32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38"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3"/>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办理离站手续，提供返乡车票离站；由其亲友接回；由工作人员护送返乡等情况安排离站。</w:t>
            </w:r>
          </w:p>
        </w:tc>
        <w:tc>
          <w:tcPr>
            <w:tcW w:w="678" w:type="dxa"/>
            <w:gridSpan w:val="4"/>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救助一科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3"/>
          <w:wBefore w:w="14" w:type="dxa"/>
          <w:wAfter w:w="49" w:type="dxa"/>
          <w:trHeight w:val="619" w:hRule="exact"/>
          <w:jc w:val="center"/>
        </w:trPr>
        <w:tc>
          <w:tcPr>
            <w:tcW w:w="13852" w:type="dxa"/>
            <w:gridSpan w:val="15"/>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服务电话： 0377-83810956                   投诉机构：南阳市纪委监委驻市民政局纪检监察组              投诉电话：0377-63137277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gridAfter w:val="3"/>
          <w:wBefore w:w="14" w:type="dxa"/>
          <w:wAfter w:w="49" w:type="dxa"/>
          <w:trHeight w:val="454" w:hRule="exact"/>
          <w:jc w:val="center"/>
        </w:trPr>
        <w:tc>
          <w:tcPr>
            <w:tcW w:w="13852" w:type="dxa"/>
            <w:gridSpan w:val="15"/>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受理地点： 南阳市中州路南阳市救助站</w:t>
            </w:r>
          </w:p>
        </w:tc>
      </w:tr>
    </w:tbl>
    <w:p>
      <w:pPr>
        <w:pStyle w:val="2"/>
        <w:widowControl w:val="0"/>
        <w:wordWrap/>
        <w:adjustRightInd/>
        <w:snapToGrid/>
        <w:spacing w:before="0" w:after="0" w:line="300" w:lineRule="exact"/>
        <w:ind w:left="0" w:leftChars="0" w:right="0"/>
        <w:textAlignment w:val="auto"/>
        <w:outlineLvl w:val="9"/>
        <w:rPr>
          <w:rFonts w:hint="eastAsia" w:ascii="仿宋_GB2312" w:hAnsi="仿宋_GB2312" w:eastAsia="仿宋_GB2312" w:cs="仿宋_GB2312"/>
          <w:color w:val="auto"/>
          <w:sz w:val="22"/>
          <w:szCs w:val="22"/>
          <w:lang w:val="en-US"/>
        </w:rPr>
      </w:pPr>
    </w:p>
    <w:tbl>
      <w:tblPr>
        <w:tblStyle w:val="5"/>
        <w:tblW w:w="152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450"/>
        <w:gridCol w:w="1573"/>
        <w:gridCol w:w="17"/>
        <w:gridCol w:w="7075"/>
        <w:gridCol w:w="586"/>
        <w:gridCol w:w="982"/>
        <w:gridCol w:w="3250"/>
        <w:gridCol w:w="1269"/>
        <w:gridCol w:w="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61" w:type="dxa"/>
          <w:trHeight w:val="779" w:hRule="atLeast"/>
          <w:tblHeader/>
          <w:jc w:val="center"/>
        </w:trPr>
        <w:tc>
          <w:tcPr>
            <w:tcW w:w="45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val="en-US" w:eastAsia="zh-CN"/>
              </w:rPr>
            </w:pPr>
            <w:r>
              <w:rPr>
                <w:rFonts w:hint="eastAsia" w:ascii="黑体" w:hAnsi="黑体" w:eastAsia="黑体" w:cs="黑体"/>
                <w:color w:val="auto"/>
                <w:kern w:val="0"/>
                <w:sz w:val="22"/>
                <w:szCs w:val="22"/>
                <w:lang w:val="en-US" w:eastAsia="zh-CN"/>
              </w:rPr>
              <w:t>序号</w:t>
            </w:r>
          </w:p>
        </w:tc>
        <w:tc>
          <w:tcPr>
            <w:tcW w:w="1573"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项目名称</w:t>
            </w:r>
          </w:p>
        </w:tc>
        <w:tc>
          <w:tcPr>
            <w:tcW w:w="7092"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实施依据</w:t>
            </w:r>
          </w:p>
        </w:tc>
        <w:tc>
          <w:tcPr>
            <w:tcW w:w="586"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职权类别</w:t>
            </w: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办理环节</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责任事项</w:t>
            </w:r>
          </w:p>
        </w:tc>
        <w:tc>
          <w:tcPr>
            <w:tcW w:w="1269"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责任</w:t>
            </w:r>
          </w:p>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处室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61" w:type="dxa"/>
          <w:trHeight w:val="779" w:hRule="atLeast"/>
          <w:jc w:val="center"/>
        </w:trPr>
        <w:tc>
          <w:tcPr>
            <w:tcW w:w="45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lang w:val="en-US" w:eastAsia="zh-CN"/>
              </w:rPr>
              <w:t>27</w:t>
            </w:r>
          </w:p>
        </w:tc>
        <w:tc>
          <w:tcPr>
            <w:tcW w:w="1573" w:type="dxa"/>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经营性公墓检查</w:t>
            </w:r>
          </w:p>
        </w:tc>
        <w:tc>
          <w:tcPr>
            <w:tcW w:w="7092" w:type="dxa"/>
            <w:gridSpan w:val="2"/>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rPr>
              <w:t>《河南省殡葬管理办法》</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1999年7月30日第九届人大常委会第十次会议通过</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b w:val="0"/>
                <w:bCs w:val="0"/>
                <w:color w:val="auto"/>
                <w:kern w:val="0"/>
                <w:sz w:val="22"/>
                <w:szCs w:val="22"/>
              </w:rPr>
              <w:t>第十二条</w:t>
            </w:r>
            <w:r>
              <w:rPr>
                <w:rFonts w:hint="eastAsia" w:ascii="仿宋_GB2312" w:hAnsi="仿宋_GB2312" w:eastAsia="仿宋_GB2312" w:cs="仿宋_GB2312"/>
                <w:b w:val="0"/>
                <w:bCs w:val="0"/>
                <w:color w:val="auto"/>
                <w:kern w:val="0"/>
                <w:sz w:val="22"/>
                <w:szCs w:val="22"/>
                <w:lang w:eastAsia="zh-CN"/>
              </w:rPr>
              <w:t>：公墓不得一次性收取超过二十年的墓穴管理费。墓穴管理费用应用于公墓的管理、养护、和绿化，不得挪作他用。民政部门应当加强对公墓的管理，定期进行检查。</w:t>
            </w:r>
          </w:p>
        </w:tc>
        <w:tc>
          <w:tcPr>
            <w:tcW w:w="586"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行政检查</w:t>
            </w: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县区民政部门自查，上报年度检查材料。</w:t>
            </w:r>
          </w:p>
        </w:tc>
        <w:tc>
          <w:tcPr>
            <w:tcW w:w="1269"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61" w:type="dxa"/>
          <w:trHeight w:val="951"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审核</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市级民政部门对年度检查材料进行审核，进行实地抽检，抽检</w:t>
            </w:r>
            <w:bookmarkStart w:id="0" w:name="_GoBack"/>
            <w:bookmarkEnd w:id="0"/>
            <w:r>
              <w:rPr>
                <w:rFonts w:hint="eastAsia" w:ascii="仿宋_GB2312" w:hAnsi="仿宋_GB2312" w:eastAsia="仿宋_GB2312" w:cs="仿宋_GB2312"/>
                <w:color w:val="auto"/>
                <w:kern w:val="0"/>
                <w:sz w:val="22"/>
                <w:szCs w:val="22"/>
              </w:rPr>
              <w:t>比例不低于50%。</w:t>
            </w:r>
          </w:p>
        </w:tc>
        <w:tc>
          <w:tcPr>
            <w:tcW w:w="1269"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61" w:type="dxa"/>
          <w:trHeight w:val="90"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kern w:val="0"/>
                <w:sz w:val="22"/>
                <w:szCs w:val="22"/>
              </w:rPr>
              <w:t>将年度检查材料转报省民政厅</w:t>
            </w:r>
            <w:r>
              <w:rPr>
                <w:rFonts w:hint="eastAsia" w:ascii="仿宋_GB2312" w:hAnsi="仿宋_GB2312" w:eastAsia="仿宋_GB2312" w:cs="仿宋_GB2312"/>
                <w:color w:val="auto"/>
                <w:kern w:val="0"/>
                <w:sz w:val="22"/>
                <w:szCs w:val="22"/>
                <w:lang w:eastAsia="zh-CN"/>
              </w:rPr>
              <w:t>。</w:t>
            </w:r>
          </w:p>
        </w:tc>
        <w:tc>
          <w:tcPr>
            <w:tcW w:w="1269"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61" w:type="dxa"/>
          <w:trHeight w:val="467" w:hRule="atLeast"/>
          <w:jc w:val="center"/>
        </w:trPr>
        <w:tc>
          <w:tcPr>
            <w:tcW w:w="15202" w:type="dxa"/>
            <w:gridSpan w:val="8"/>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0"/>
                <w:sz w:val="22"/>
                <w:szCs w:val="22"/>
              </w:rPr>
              <w:t>服务电话： 0377-63134895                   投诉机构:南阳市纪委监委驻市民政局纪检监察组                    投诉电话：0377-63137277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61" w:type="dxa"/>
          <w:trHeight w:val="392" w:hRule="atLeast"/>
          <w:jc w:val="center"/>
        </w:trPr>
        <w:tc>
          <w:tcPr>
            <w:tcW w:w="15202" w:type="dxa"/>
            <w:gridSpan w:val="8"/>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0"/>
                <w:sz w:val="22"/>
                <w:szCs w:val="22"/>
              </w:rPr>
              <w:t>受理地点： 南阳市范蠡路1666号1号楼5楼546室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61" w:type="dxa"/>
          <w:trHeight w:val="896" w:hRule="atLeast"/>
          <w:jc w:val="center"/>
        </w:trPr>
        <w:tc>
          <w:tcPr>
            <w:tcW w:w="450"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lang w:val="en-US" w:eastAsia="zh-CN"/>
              </w:rPr>
              <w:t>28</w:t>
            </w:r>
          </w:p>
        </w:tc>
        <w:tc>
          <w:tcPr>
            <w:tcW w:w="1573"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对社会救助工作进行检查</w:t>
            </w:r>
          </w:p>
        </w:tc>
        <w:tc>
          <w:tcPr>
            <w:tcW w:w="7092" w:type="dxa"/>
            <w:gridSpan w:val="2"/>
            <w:tcMar>
              <w:top w:w="15" w:type="dxa"/>
              <w:left w:w="15" w:type="dxa"/>
              <w:right w:w="15" w:type="dxa"/>
            </w:tcMar>
            <w:vAlign w:val="center"/>
          </w:tcPr>
          <w:p>
            <w:pPr>
              <w:widowControl/>
              <w:wordWrap/>
              <w:adjustRightInd/>
              <w:snapToGrid/>
              <w:spacing w:before="0" w:after="0" w:line="300" w:lineRule="exact"/>
              <w:ind w:left="0" w:leftChars="0" w:right="0" w:firstLine="0" w:firstLineChars="0"/>
              <w:textAlignment w:val="center"/>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rPr>
              <w:t>《社会救助暂行办法》</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国务院令第649号</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第五十七条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县级以上人民政府及其社会救助管理部门应当加强对社会救助工作的监督检查，完善相关监督管理制度</w:t>
            </w:r>
            <w:r>
              <w:rPr>
                <w:rFonts w:hint="eastAsia" w:ascii="仿宋_GB2312" w:hAnsi="仿宋_GB2312" w:eastAsia="仿宋_GB2312" w:cs="仿宋_GB2312"/>
                <w:color w:val="auto"/>
                <w:kern w:val="0"/>
                <w:sz w:val="22"/>
                <w:szCs w:val="22"/>
                <w:lang w:eastAsia="zh-CN"/>
              </w:rPr>
              <w:t>。</w:t>
            </w:r>
          </w:p>
        </w:tc>
        <w:tc>
          <w:tcPr>
            <w:tcW w:w="5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行政检查</w:t>
            </w:r>
          </w:p>
        </w:tc>
        <w:tc>
          <w:tcPr>
            <w:tcW w:w="4232" w:type="dxa"/>
            <w:gridSpan w:val="2"/>
            <w:tcMar>
              <w:top w:w="15" w:type="dxa"/>
              <w:left w:w="15" w:type="dxa"/>
              <w:right w:w="15" w:type="dxa"/>
            </w:tcMar>
            <w:vAlign w:val="center"/>
          </w:tcPr>
          <w:p>
            <w:pPr>
              <w:widowControl/>
              <w:wordWrap/>
              <w:adjustRightInd/>
              <w:snapToGrid/>
              <w:spacing w:before="0" w:after="0" w:line="300" w:lineRule="exact"/>
              <w:ind w:left="0" w:leftChars="0" w:right="0" w:firstLine="0" w:firstLineChars="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根据上级要求和群众信访情况，对县区社会救助工作进行督导检查。</w:t>
            </w:r>
          </w:p>
        </w:tc>
        <w:tc>
          <w:tcPr>
            <w:tcW w:w="1269"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社会救助</w:t>
            </w:r>
            <w:r>
              <w:rPr>
                <w:rFonts w:hint="eastAsia" w:ascii="仿宋_GB2312" w:hAnsi="仿宋_GB2312" w:eastAsia="仿宋_GB2312" w:cs="仿宋_GB2312"/>
                <w:color w:val="auto"/>
                <w:kern w:val="0"/>
                <w:sz w:val="22"/>
                <w:szCs w:val="22"/>
                <w:lang w:val="en-US" w:eastAsia="zh-CN"/>
              </w:rPr>
              <w:t>与儿童福利</w:t>
            </w:r>
            <w:r>
              <w:rPr>
                <w:rFonts w:hint="eastAsia" w:ascii="仿宋_GB2312" w:hAnsi="仿宋_GB2312" w:eastAsia="仿宋_GB2312" w:cs="仿宋_GB2312"/>
                <w:color w:val="auto"/>
                <w:kern w:val="0"/>
                <w:sz w:val="22"/>
                <w:szCs w:val="22"/>
              </w:rPr>
              <w:t>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61" w:type="dxa"/>
          <w:trHeight w:val="437" w:hRule="atLeast"/>
          <w:jc w:val="center"/>
        </w:trPr>
        <w:tc>
          <w:tcPr>
            <w:tcW w:w="15202" w:type="dxa"/>
            <w:gridSpan w:val="8"/>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 xml:space="preserve">服务电话：0377-63191225              投诉机构:南阳市纪委监委驻市民政局纪检监察组                   投诉电话：0377-63137277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61" w:type="dxa"/>
          <w:trHeight w:val="407" w:hRule="atLeast"/>
          <w:jc w:val="center"/>
        </w:trPr>
        <w:tc>
          <w:tcPr>
            <w:tcW w:w="15202" w:type="dxa"/>
            <w:gridSpan w:val="8"/>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受理地点：南阳市范蠡东路1666号市民服务中心北区1号楼6楼</w:t>
            </w:r>
            <w:r>
              <w:rPr>
                <w:rFonts w:hint="eastAsia" w:ascii="仿宋_GB2312" w:hAnsi="仿宋_GB2312" w:eastAsia="仿宋_GB2312" w:cs="仿宋_GB2312"/>
                <w:color w:val="auto"/>
                <w:kern w:val="0"/>
                <w:sz w:val="22"/>
                <w:szCs w:val="22"/>
                <w:lang w:val="en-US" w:eastAsia="zh-CN"/>
              </w:rPr>
              <w:t>647室</w:t>
            </w:r>
            <w:r>
              <w:rPr>
                <w:rFonts w:hint="eastAsia" w:ascii="仿宋_GB2312" w:hAnsi="仿宋_GB2312" w:eastAsia="仿宋_GB2312" w:cs="仿宋_GB2312"/>
                <w:color w:val="auto"/>
                <w:kern w:val="0"/>
                <w:sz w:val="22"/>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61" w:type="dxa"/>
          <w:trHeight w:val="312" w:hRule="atLeast"/>
          <w:jc w:val="center"/>
        </w:trPr>
        <w:tc>
          <w:tcPr>
            <w:tcW w:w="450" w:type="dxa"/>
            <w:vMerge w:val="restart"/>
            <w:tcMar>
              <w:top w:w="15" w:type="dxa"/>
              <w:left w:w="15" w:type="dxa"/>
              <w:right w:w="15" w:type="dxa"/>
            </w:tcMar>
            <w:vAlign w:val="center"/>
          </w:tcPr>
          <w:p>
            <w:pPr>
              <w:widowControl/>
              <w:wordWrap/>
              <w:adjustRightInd/>
              <w:snapToGrid/>
              <w:spacing w:before="0" w:after="0" w:line="240" w:lineRule="exact"/>
              <w:ind w:left="0" w:leftChars="0" w:right="0" w:firstLine="0" w:firstLineChars="0"/>
              <w:jc w:val="center"/>
              <w:textAlignment w:val="center"/>
              <w:outlineLvl w:val="9"/>
              <w:rPr>
                <w:rFonts w:hint="eastAsia" w:ascii="仿宋_GB2312" w:hAnsi="仿宋_GB2312" w:eastAsia="仿宋_GB2312" w:cs="仿宋_GB2312"/>
                <w:color w:val="auto"/>
                <w:spacing w:val="-6"/>
                <w:sz w:val="22"/>
                <w:szCs w:val="22"/>
                <w:lang w:val="en-US" w:eastAsia="zh-CN"/>
              </w:rPr>
            </w:pPr>
            <w:r>
              <w:rPr>
                <w:rFonts w:hint="eastAsia" w:ascii="仿宋_GB2312" w:hAnsi="仿宋_GB2312" w:eastAsia="仿宋_GB2312" w:cs="仿宋_GB2312"/>
                <w:color w:val="auto"/>
                <w:spacing w:val="-6"/>
                <w:kern w:val="0"/>
                <w:sz w:val="22"/>
                <w:szCs w:val="22"/>
                <w:lang w:val="en-US" w:eastAsia="zh-CN"/>
              </w:rPr>
              <w:t>29</w:t>
            </w:r>
          </w:p>
        </w:tc>
        <w:tc>
          <w:tcPr>
            <w:tcW w:w="1590" w:type="dxa"/>
            <w:gridSpan w:val="2"/>
            <w:vMerge w:val="restart"/>
            <w:tcMar>
              <w:top w:w="15" w:type="dxa"/>
              <w:left w:w="15" w:type="dxa"/>
              <w:right w:w="15" w:type="dxa"/>
            </w:tcMar>
            <w:vAlign w:val="center"/>
          </w:tcPr>
          <w:p>
            <w:pPr>
              <w:widowControl/>
              <w:wordWrap/>
              <w:adjustRightInd/>
              <w:snapToGrid/>
              <w:spacing w:before="0" w:after="0" w:line="240" w:lineRule="exact"/>
              <w:ind w:left="0" w:leftChars="0" w:right="0" w:firstLine="0" w:firstLineChars="0"/>
              <w:textAlignment w:val="center"/>
              <w:outlineLvl w:val="9"/>
              <w:rPr>
                <w:rFonts w:hint="eastAsia" w:ascii="仿宋_GB2312" w:hAnsi="仿宋_GB2312" w:eastAsia="仿宋_GB2312" w:cs="仿宋_GB2312"/>
                <w:color w:val="auto"/>
                <w:spacing w:val="-6"/>
                <w:sz w:val="22"/>
                <w:szCs w:val="22"/>
              </w:rPr>
            </w:pPr>
            <w:r>
              <w:rPr>
                <w:rFonts w:hint="eastAsia" w:ascii="仿宋_GB2312" w:hAnsi="仿宋_GB2312" w:eastAsia="仿宋_GB2312" w:cs="仿宋_GB2312"/>
                <w:color w:val="auto"/>
                <w:spacing w:val="-6"/>
                <w:kern w:val="0"/>
                <w:sz w:val="22"/>
                <w:szCs w:val="22"/>
              </w:rPr>
              <w:t>对行政区域界线进行联合检查</w:t>
            </w:r>
          </w:p>
        </w:tc>
        <w:tc>
          <w:tcPr>
            <w:tcW w:w="7075" w:type="dxa"/>
            <w:vMerge w:val="restart"/>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仿宋_GB2312" w:hAnsi="仿宋_GB2312" w:eastAsia="仿宋_GB2312" w:cs="仿宋_GB2312"/>
                <w:color w:val="auto"/>
                <w:spacing w:val="-6"/>
                <w:sz w:val="22"/>
                <w:szCs w:val="22"/>
              </w:rPr>
            </w:pPr>
            <w:r>
              <w:rPr>
                <w:rFonts w:hint="eastAsia" w:ascii="仿宋_GB2312" w:hAnsi="仿宋_GB2312" w:eastAsia="仿宋_GB2312" w:cs="仿宋_GB2312"/>
                <w:color w:val="auto"/>
                <w:spacing w:val="-6"/>
                <w:kern w:val="0"/>
                <w:sz w:val="22"/>
                <w:szCs w:val="22"/>
              </w:rPr>
              <w:t>《行政区域界线管理条例》（中华人民共和国国务院令第353号）第十二条</w:t>
            </w:r>
            <w:r>
              <w:rPr>
                <w:rFonts w:hint="eastAsia" w:ascii="仿宋_GB2312" w:hAnsi="仿宋_GB2312" w:eastAsia="仿宋_GB2312" w:cs="仿宋_GB2312"/>
                <w:color w:val="auto"/>
                <w:spacing w:val="-6"/>
                <w:kern w:val="0"/>
                <w:sz w:val="22"/>
                <w:szCs w:val="22"/>
                <w:lang w:eastAsia="zh-CN"/>
              </w:rPr>
              <w:t>：</w:t>
            </w:r>
            <w:r>
              <w:rPr>
                <w:rFonts w:hint="eastAsia" w:ascii="仿宋_GB2312" w:hAnsi="仿宋_GB2312" w:eastAsia="仿宋_GB2312" w:cs="仿宋_GB2312"/>
                <w:color w:val="auto"/>
                <w:spacing w:val="-6"/>
                <w:kern w:val="0"/>
                <w:sz w:val="22"/>
                <w:szCs w:val="22"/>
              </w:rPr>
              <w:t xml:space="preserve"> 行政区域界线毗邻的县级以上地方各级人民政府应当建立行政区域界线联合检查制度，每5年联合检查一次。遇有影响行政区域界线实地走向的自然灾害、河流改道、道路变化等特殊情况，由行政区域界线毗邻的各有关人民政府共同对行政区域界线的特定地段随时安排联合检查。联合检查的结果，由参加检查的各地方人民政府共同报送该行政区域界线的批准机关备案。  </w:t>
            </w:r>
          </w:p>
        </w:tc>
        <w:tc>
          <w:tcPr>
            <w:tcW w:w="586" w:type="dxa"/>
            <w:vMerge w:val="restart"/>
            <w:tcMar>
              <w:top w:w="15" w:type="dxa"/>
              <w:left w:w="15" w:type="dxa"/>
              <w:right w:w="15" w:type="dxa"/>
            </w:tcMar>
            <w:vAlign w:val="center"/>
          </w:tcPr>
          <w:p>
            <w:pPr>
              <w:widowControl/>
              <w:wordWrap/>
              <w:adjustRightInd/>
              <w:snapToGrid/>
              <w:spacing w:before="0" w:after="0" w:line="240" w:lineRule="exact"/>
              <w:ind w:left="0" w:leftChars="0" w:right="0" w:firstLine="0" w:firstLineChars="0"/>
              <w:jc w:val="center"/>
              <w:textAlignment w:val="center"/>
              <w:outlineLvl w:val="9"/>
              <w:rPr>
                <w:rFonts w:hint="eastAsia" w:ascii="仿宋_GB2312" w:hAnsi="仿宋_GB2312" w:eastAsia="仿宋_GB2312" w:cs="仿宋_GB2312"/>
                <w:color w:val="auto"/>
                <w:spacing w:val="-6"/>
                <w:sz w:val="22"/>
                <w:szCs w:val="22"/>
              </w:rPr>
            </w:pPr>
            <w:r>
              <w:rPr>
                <w:rFonts w:hint="eastAsia" w:ascii="仿宋_GB2312" w:hAnsi="仿宋_GB2312" w:eastAsia="仿宋_GB2312" w:cs="仿宋_GB2312"/>
                <w:color w:val="auto"/>
                <w:spacing w:val="-6"/>
                <w:kern w:val="0"/>
                <w:sz w:val="22"/>
                <w:szCs w:val="22"/>
              </w:rPr>
              <w:t>行政检查</w:t>
            </w:r>
          </w:p>
        </w:tc>
        <w:tc>
          <w:tcPr>
            <w:tcW w:w="982" w:type="dxa"/>
            <w:tcMar>
              <w:top w:w="15" w:type="dxa"/>
              <w:left w:w="15" w:type="dxa"/>
              <w:right w:w="15" w:type="dxa"/>
            </w:tcMar>
            <w:vAlign w:val="center"/>
          </w:tcPr>
          <w:p>
            <w:pPr>
              <w:widowControl/>
              <w:wordWrap/>
              <w:adjustRightInd/>
              <w:snapToGrid/>
              <w:spacing w:before="0" w:after="0" w:line="240" w:lineRule="exact"/>
              <w:ind w:left="0" w:leftChars="0" w:right="0" w:firstLine="0" w:firstLineChars="0"/>
              <w:jc w:val="center"/>
              <w:textAlignment w:val="center"/>
              <w:outlineLvl w:val="9"/>
              <w:rPr>
                <w:rFonts w:hint="eastAsia" w:ascii="仿宋_GB2312" w:hAnsi="仿宋_GB2312" w:eastAsia="仿宋_GB2312" w:cs="仿宋_GB2312"/>
                <w:color w:val="auto"/>
                <w:spacing w:val="-6"/>
                <w:sz w:val="22"/>
                <w:szCs w:val="22"/>
              </w:rPr>
            </w:pPr>
            <w:r>
              <w:rPr>
                <w:rFonts w:hint="eastAsia" w:ascii="仿宋_GB2312" w:hAnsi="仿宋_GB2312" w:eastAsia="仿宋_GB2312" w:cs="仿宋_GB2312"/>
                <w:color w:val="auto"/>
                <w:spacing w:val="-6"/>
                <w:kern w:val="0"/>
                <w:sz w:val="22"/>
                <w:szCs w:val="22"/>
              </w:rPr>
              <w:t>工作部署</w:t>
            </w:r>
          </w:p>
        </w:tc>
        <w:tc>
          <w:tcPr>
            <w:tcW w:w="3250" w:type="dxa"/>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仿宋_GB2312" w:hAnsi="仿宋_GB2312" w:eastAsia="仿宋_GB2312" w:cs="仿宋_GB2312"/>
                <w:color w:val="auto"/>
                <w:spacing w:val="-6"/>
                <w:sz w:val="22"/>
                <w:szCs w:val="22"/>
              </w:rPr>
            </w:pPr>
            <w:r>
              <w:rPr>
                <w:rFonts w:hint="eastAsia" w:ascii="仿宋_GB2312" w:hAnsi="仿宋_GB2312" w:eastAsia="仿宋_GB2312" w:cs="仿宋_GB2312"/>
                <w:color w:val="auto"/>
                <w:spacing w:val="-6"/>
                <w:kern w:val="0"/>
                <w:sz w:val="22"/>
                <w:szCs w:val="22"/>
              </w:rPr>
              <w:t>每5年与行政区域界线毗邻的县级以上地方人民政府部署开展行政区域界线联合检查。</w:t>
            </w:r>
          </w:p>
        </w:tc>
        <w:tc>
          <w:tcPr>
            <w:tcW w:w="1269" w:type="dxa"/>
            <w:tcMar>
              <w:top w:w="15" w:type="dxa"/>
              <w:left w:w="15" w:type="dxa"/>
              <w:right w:w="15" w:type="dxa"/>
            </w:tcMar>
            <w:vAlign w:val="center"/>
          </w:tcPr>
          <w:p>
            <w:pPr>
              <w:widowControl/>
              <w:wordWrap/>
              <w:adjustRightInd/>
              <w:snapToGrid/>
              <w:spacing w:before="0" w:after="0" w:line="300" w:lineRule="exact"/>
              <w:ind w:left="0" w:leftChars="0" w:right="0"/>
              <w:jc w:val="both"/>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相关县级以上人民政府办公室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61" w:type="dxa"/>
          <w:trHeight w:val="700" w:hRule="atLeast"/>
          <w:jc w:val="center"/>
        </w:trPr>
        <w:tc>
          <w:tcPr>
            <w:tcW w:w="450" w:type="dxa"/>
            <w:vMerge w:val="continue"/>
            <w:tcMar>
              <w:top w:w="15" w:type="dxa"/>
              <w:left w:w="15" w:type="dxa"/>
              <w:right w:w="15" w:type="dxa"/>
            </w:tcMar>
            <w:vAlign w:val="center"/>
          </w:tcPr>
          <w:p>
            <w:pPr>
              <w:widowControl/>
              <w:wordWrap/>
              <w:adjustRightInd/>
              <w:snapToGrid/>
              <w:spacing w:before="0" w:after="0" w:line="240" w:lineRule="exact"/>
              <w:ind w:left="0" w:leftChars="0" w:right="0" w:firstLine="0" w:firstLineChars="0"/>
              <w:jc w:val="center"/>
              <w:outlineLvl w:val="9"/>
              <w:rPr>
                <w:rFonts w:hint="eastAsia" w:ascii="仿宋_GB2312" w:hAnsi="仿宋_GB2312" w:eastAsia="仿宋_GB2312" w:cs="仿宋_GB2312"/>
                <w:color w:val="auto"/>
                <w:spacing w:val="-6"/>
                <w:sz w:val="22"/>
                <w:szCs w:val="22"/>
              </w:rPr>
            </w:pPr>
          </w:p>
        </w:tc>
        <w:tc>
          <w:tcPr>
            <w:tcW w:w="1590" w:type="dxa"/>
            <w:gridSpan w:val="2"/>
            <w:vMerge w:val="continue"/>
            <w:tcMar>
              <w:top w:w="15" w:type="dxa"/>
              <w:left w:w="15" w:type="dxa"/>
              <w:right w:w="15" w:type="dxa"/>
            </w:tcMar>
            <w:vAlign w:val="center"/>
          </w:tcPr>
          <w:p>
            <w:pPr>
              <w:widowControl/>
              <w:wordWrap/>
              <w:adjustRightInd/>
              <w:snapToGrid/>
              <w:spacing w:before="0" w:after="0" w:line="240" w:lineRule="exact"/>
              <w:ind w:left="0" w:leftChars="0" w:right="0" w:firstLine="0" w:firstLineChars="0"/>
              <w:outlineLvl w:val="9"/>
              <w:rPr>
                <w:rFonts w:hint="eastAsia" w:ascii="仿宋_GB2312" w:hAnsi="仿宋_GB2312" w:eastAsia="仿宋_GB2312" w:cs="仿宋_GB2312"/>
                <w:color w:val="auto"/>
                <w:spacing w:val="-6"/>
                <w:sz w:val="22"/>
                <w:szCs w:val="22"/>
              </w:rPr>
            </w:pPr>
          </w:p>
        </w:tc>
        <w:tc>
          <w:tcPr>
            <w:tcW w:w="7075" w:type="dxa"/>
            <w:vMerge w:val="continue"/>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outlineLvl w:val="9"/>
              <w:rPr>
                <w:rFonts w:hint="eastAsia" w:ascii="仿宋_GB2312" w:hAnsi="仿宋_GB2312" w:eastAsia="仿宋_GB2312" w:cs="仿宋_GB2312"/>
                <w:color w:val="auto"/>
                <w:spacing w:val="-6"/>
                <w:sz w:val="22"/>
                <w:szCs w:val="22"/>
              </w:rPr>
            </w:pPr>
          </w:p>
        </w:tc>
        <w:tc>
          <w:tcPr>
            <w:tcW w:w="586" w:type="dxa"/>
            <w:vMerge w:val="continue"/>
            <w:tcMar>
              <w:top w:w="15" w:type="dxa"/>
              <w:left w:w="15" w:type="dxa"/>
              <w:right w:w="15" w:type="dxa"/>
            </w:tcMar>
            <w:vAlign w:val="center"/>
          </w:tcPr>
          <w:p>
            <w:pPr>
              <w:widowControl/>
              <w:wordWrap/>
              <w:adjustRightInd/>
              <w:snapToGrid/>
              <w:spacing w:before="0" w:after="0" w:line="240" w:lineRule="exact"/>
              <w:ind w:left="0" w:leftChars="0" w:right="0" w:firstLine="0" w:firstLineChars="0"/>
              <w:jc w:val="center"/>
              <w:outlineLvl w:val="9"/>
              <w:rPr>
                <w:rFonts w:hint="eastAsia" w:ascii="仿宋_GB2312" w:hAnsi="仿宋_GB2312" w:eastAsia="仿宋_GB2312" w:cs="仿宋_GB2312"/>
                <w:color w:val="auto"/>
                <w:spacing w:val="-6"/>
                <w:sz w:val="22"/>
                <w:szCs w:val="22"/>
              </w:rPr>
            </w:pPr>
          </w:p>
        </w:tc>
        <w:tc>
          <w:tcPr>
            <w:tcW w:w="982" w:type="dxa"/>
            <w:tcMar>
              <w:top w:w="15" w:type="dxa"/>
              <w:left w:w="15" w:type="dxa"/>
              <w:right w:w="15" w:type="dxa"/>
            </w:tcMar>
            <w:vAlign w:val="center"/>
          </w:tcPr>
          <w:p>
            <w:pPr>
              <w:widowControl/>
              <w:wordWrap/>
              <w:adjustRightInd/>
              <w:snapToGrid/>
              <w:spacing w:before="0" w:after="0" w:line="240" w:lineRule="exact"/>
              <w:ind w:left="0" w:leftChars="0" w:right="0" w:firstLine="0" w:firstLineChars="0"/>
              <w:jc w:val="center"/>
              <w:textAlignment w:val="center"/>
              <w:outlineLvl w:val="9"/>
              <w:rPr>
                <w:rFonts w:hint="eastAsia" w:ascii="仿宋_GB2312" w:hAnsi="仿宋_GB2312" w:eastAsia="仿宋_GB2312" w:cs="仿宋_GB2312"/>
                <w:color w:val="auto"/>
                <w:spacing w:val="-6"/>
                <w:sz w:val="22"/>
                <w:szCs w:val="22"/>
              </w:rPr>
            </w:pPr>
            <w:r>
              <w:rPr>
                <w:rFonts w:hint="eastAsia" w:ascii="仿宋_GB2312" w:hAnsi="仿宋_GB2312" w:eastAsia="仿宋_GB2312" w:cs="仿宋_GB2312"/>
                <w:color w:val="auto"/>
                <w:spacing w:val="-6"/>
                <w:kern w:val="0"/>
                <w:sz w:val="22"/>
                <w:szCs w:val="22"/>
              </w:rPr>
              <w:t>联合检查</w:t>
            </w:r>
          </w:p>
        </w:tc>
        <w:tc>
          <w:tcPr>
            <w:tcW w:w="3250" w:type="dxa"/>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仿宋_GB2312" w:hAnsi="仿宋_GB2312" w:eastAsia="仿宋_GB2312" w:cs="仿宋_GB2312"/>
                <w:color w:val="auto"/>
                <w:spacing w:val="-6"/>
                <w:sz w:val="22"/>
                <w:szCs w:val="22"/>
              </w:rPr>
            </w:pPr>
            <w:r>
              <w:rPr>
                <w:rFonts w:hint="eastAsia" w:ascii="仿宋_GB2312" w:hAnsi="仿宋_GB2312" w:eastAsia="仿宋_GB2312" w:cs="仿宋_GB2312"/>
                <w:color w:val="auto"/>
                <w:spacing w:val="-6"/>
                <w:kern w:val="0"/>
                <w:sz w:val="22"/>
                <w:szCs w:val="22"/>
              </w:rPr>
              <w:t>根据工作部署，开展行政区域界线实地查勘。</w:t>
            </w:r>
          </w:p>
        </w:tc>
        <w:tc>
          <w:tcPr>
            <w:tcW w:w="1269"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区划地名科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61" w:type="dxa"/>
          <w:trHeight w:val="529" w:hRule="atLeast"/>
          <w:jc w:val="center"/>
        </w:trPr>
        <w:tc>
          <w:tcPr>
            <w:tcW w:w="450" w:type="dxa"/>
            <w:vMerge w:val="continue"/>
            <w:tcMar>
              <w:top w:w="15" w:type="dxa"/>
              <w:left w:w="15" w:type="dxa"/>
              <w:right w:w="15" w:type="dxa"/>
            </w:tcMar>
            <w:vAlign w:val="center"/>
          </w:tcPr>
          <w:p>
            <w:pPr>
              <w:widowControl/>
              <w:wordWrap/>
              <w:adjustRightInd/>
              <w:snapToGrid/>
              <w:spacing w:before="0" w:after="0" w:line="240" w:lineRule="exact"/>
              <w:ind w:left="0" w:leftChars="0" w:right="0" w:firstLine="0" w:firstLineChars="0"/>
              <w:jc w:val="center"/>
              <w:outlineLvl w:val="9"/>
              <w:rPr>
                <w:rFonts w:hint="eastAsia" w:ascii="仿宋_GB2312" w:hAnsi="仿宋_GB2312" w:eastAsia="仿宋_GB2312" w:cs="仿宋_GB2312"/>
                <w:color w:val="auto"/>
                <w:spacing w:val="-6"/>
                <w:sz w:val="22"/>
                <w:szCs w:val="22"/>
              </w:rPr>
            </w:pPr>
          </w:p>
        </w:tc>
        <w:tc>
          <w:tcPr>
            <w:tcW w:w="1590" w:type="dxa"/>
            <w:gridSpan w:val="2"/>
            <w:vMerge w:val="continue"/>
            <w:tcMar>
              <w:top w:w="15" w:type="dxa"/>
              <w:left w:w="15" w:type="dxa"/>
              <w:right w:w="15" w:type="dxa"/>
            </w:tcMar>
            <w:vAlign w:val="center"/>
          </w:tcPr>
          <w:p>
            <w:pPr>
              <w:widowControl/>
              <w:wordWrap/>
              <w:adjustRightInd/>
              <w:snapToGrid/>
              <w:spacing w:before="0" w:after="0" w:line="240" w:lineRule="exact"/>
              <w:ind w:left="0" w:leftChars="0" w:right="0" w:firstLine="0" w:firstLineChars="0"/>
              <w:outlineLvl w:val="9"/>
              <w:rPr>
                <w:rFonts w:hint="eastAsia" w:ascii="仿宋_GB2312" w:hAnsi="仿宋_GB2312" w:eastAsia="仿宋_GB2312" w:cs="仿宋_GB2312"/>
                <w:color w:val="auto"/>
                <w:spacing w:val="-6"/>
                <w:sz w:val="22"/>
                <w:szCs w:val="22"/>
              </w:rPr>
            </w:pPr>
          </w:p>
        </w:tc>
        <w:tc>
          <w:tcPr>
            <w:tcW w:w="7075" w:type="dxa"/>
            <w:vMerge w:val="continue"/>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outlineLvl w:val="9"/>
              <w:rPr>
                <w:rFonts w:hint="eastAsia" w:ascii="仿宋_GB2312" w:hAnsi="仿宋_GB2312" w:eastAsia="仿宋_GB2312" w:cs="仿宋_GB2312"/>
                <w:color w:val="auto"/>
                <w:spacing w:val="-6"/>
                <w:sz w:val="22"/>
                <w:szCs w:val="22"/>
              </w:rPr>
            </w:pPr>
          </w:p>
        </w:tc>
        <w:tc>
          <w:tcPr>
            <w:tcW w:w="586" w:type="dxa"/>
            <w:vMerge w:val="continue"/>
            <w:tcMar>
              <w:top w:w="15" w:type="dxa"/>
              <w:left w:w="15" w:type="dxa"/>
              <w:right w:w="15" w:type="dxa"/>
            </w:tcMar>
            <w:vAlign w:val="center"/>
          </w:tcPr>
          <w:p>
            <w:pPr>
              <w:widowControl/>
              <w:wordWrap/>
              <w:adjustRightInd/>
              <w:snapToGrid/>
              <w:spacing w:before="0" w:after="0" w:line="240" w:lineRule="exact"/>
              <w:ind w:left="0" w:leftChars="0" w:right="0" w:firstLine="0" w:firstLineChars="0"/>
              <w:jc w:val="center"/>
              <w:outlineLvl w:val="9"/>
              <w:rPr>
                <w:rFonts w:hint="eastAsia" w:ascii="仿宋_GB2312" w:hAnsi="仿宋_GB2312" w:eastAsia="仿宋_GB2312" w:cs="仿宋_GB2312"/>
                <w:color w:val="auto"/>
                <w:spacing w:val="-6"/>
                <w:sz w:val="22"/>
                <w:szCs w:val="22"/>
              </w:rPr>
            </w:pPr>
          </w:p>
        </w:tc>
        <w:tc>
          <w:tcPr>
            <w:tcW w:w="982" w:type="dxa"/>
            <w:tcMar>
              <w:top w:w="15" w:type="dxa"/>
              <w:left w:w="15" w:type="dxa"/>
              <w:right w:w="15" w:type="dxa"/>
            </w:tcMar>
            <w:vAlign w:val="center"/>
          </w:tcPr>
          <w:p>
            <w:pPr>
              <w:widowControl/>
              <w:wordWrap/>
              <w:adjustRightInd/>
              <w:snapToGrid/>
              <w:spacing w:before="0" w:after="0" w:line="240" w:lineRule="exact"/>
              <w:ind w:left="0" w:leftChars="0" w:right="0" w:firstLine="0" w:firstLineChars="0"/>
              <w:jc w:val="center"/>
              <w:textAlignment w:val="center"/>
              <w:outlineLvl w:val="9"/>
              <w:rPr>
                <w:rFonts w:hint="eastAsia" w:ascii="仿宋_GB2312" w:hAnsi="仿宋_GB2312" w:eastAsia="仿宋_GB2312" w:cs="仿宋_GB2312"/>
                <w:color w:val="auto"/>
                <w:spacing w:val="-6"/>
                <w:kern w:val="0"/>
                <w:sz w:val="22"/>
                <w:szCs w:val="22"/>
              </w:rPr>
            </w:pPr>
            <w:r>
              <w:rPr>
                <w:rFonts w:hint="eastAsia" w:ascii="仿宋_GB2312" w:hAnsi="仿宋_GB2312" w:eastAsia="仿宋_GB2312" w:cs="仿宋_GB2312"/>
                <w:color w:val="auto"/>
                <w:spacing w:val="-6"/>
                <w:kern w:val="0"/>
                <w:sz w:val="22"/>
                <w:szCs w:val="22"/>
              </w:rPr>
              <w:t>总结上报</w:t>
            </w:r>
          </w:p>
        </w:tc>
        <w:tc>
          <w:tcPr>
            <w:tcW w:w="3250" w:type="dxa"/>
            <w:tcMar>
              <w:top w:w="15" w:type="dxa"/>
              <w:left w:w="15" w:type="dxa"/>
              <w:right w:w="15" w:type="dxa"/>
            </w:tcMar>
            <w:vAlign w:val="center"/>
          </w:tcPr>
          <w:p>
            <w:pPr>
              <w:widowControl/>
              <w:wordWrap/>
              <w:adjustRightInd/>
              <w:snapToGrid/>
              <w:spacing w:before="0" w:after="0" w:line="240" w:lineRule="exact"/>
              <w:ind w:left="0" w:leftChars="0" w:right="0" w:firstLine="0" w:firstLineChars="0"/>
              <w:jc w:val="left"/>
              <w:textAlignment w:val="center"/>
              <w:outlineLvl w:val="9"/>
              <w:rPr>
                <w:rFonts w:hint="eastAsia" w:ascii="仿宋_GB2312" w:hAnsi="仿宋_GB2312" w:eastAsia="仿宋_GB2312" w:cs="仿宋_GB2312"/>
                <w:color w:val="auto"/>
                <w:spacing w:val="-6"/>
                <w:kern w:val="0"/>
                <w:sz w:val="22"/>
                <w:szCs w:val="22"/>
              </w:rPr>
            </w:pPr>
            <w:r>
              <w:rPr>
                <w:rFonts w:hint="eastAsia" w:ascii="仿宋_GB2312" w:hAnsi="仿宋_GB2312" w:eastAsia="仿宋_GB2312" w:cs="仿宋_GB2312"/>
                <w:color w:val="auto"/>
                <w:spacing w:val="-6"/>
                <w:kern w:val="0"/>
                <w:sz w:val="22"/>
                <w:szCs w:val="22"/>
              </w:rPr>
              <w:t>根据联检情况形成平安边界报告、睦邻友好报等，并上报省民政厅。</w:t>
            </w:r>
          </w:p>
        </w:tc>
        <w:tc>
          <w:tcPr>
            <w:tcW w:w="1269" w:type="dxa"/>
            <w:vMerge w:val="continue"/>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61" w:type="dxa"/>
          <w:trHeight w:val="385" w:hRule="atLeast"/>
          <w:jc w:val="center"/>
        </w:trPr>
        <w:tc>
          <w:tcPr>
            <w:tcW w:w="15202" w:type="dxa"/>
            <w:gridSpan w:val="8"/>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0"/>
                <w:sz w:val="22"/>
                <w:szCs w:val="22"/>
              </w:rPr>
              <w:t>服务电话：0377-63136243                     投诉机构:南阳市纪委监委驻市民政局纪检监察组                  投诉电话：0377-63137277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61" w:type="dxa"/>
          <w:trHeight w:val="385" w:hRule="atLeast"/>
          <w:jc w:val="center"/>
        </w:trPr>
        <w:tc>
          <w:tcPr>
            <w:tcW w:w="13933" w:type="dxa"/>
            <w:gridSpan w:val="7"/>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0"/>
                <w:sz w:val="22"/>
                <w:szCs w:val="22"/>
              </w:rPr>
              <w:t>受理地点：南阳市范蠡东路1666号市民服务中心北区一号楼545</w:t>
            </w:r>
            <w:r>
              <w:rPr>
                <w:rFonts w:hint="eastAsia" w:ascii="仿宋_GB2312" w:hAnsi="仿宋_GB2312" w:eastAsia="仿宋_GB2312" w:cs="仿宋_GB2312"/>
                <w:color w:val="auto"/>
                <w:kern w:val="0"/>
                <w:sz w:val="22"/>
                <w:szCs w:val="22"/>
                <w:lang w:eastAsia="zh-CN"/>
              </w:rPr>
              <w:t>室</w:t>
            </w:r>
          </w:p>
        </w:tc>
        <w:tc>
          <w:tcPr>
            <w:tcW w:w="1269"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4" w:hRule="exact"/>
          <w:jc w:val="center"/>
        </w:trPr>
        <w:tc>
          <w:tcPr>
            <w:tcW w:w="45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lang w:val="en-US" w:eastAsia="zh-CN"/>
              </w:rPr>
              <w:t>30</w:t>
            </w:r>
          </w:p>
        </w:tc>
        <w:tc>
          <w:tcPr>
            <w:tcW w:w="1573" w:type="dxa"/>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社会团体年度检查</w:t>
            </w:r>
          </w:p>
        </w:tc>
        <w:tc>
          <w:tcPr>
            <w:tcW w:w="7092" w:type="dxa"/>
            <w:gridSpan w:val="2"/>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团体登记管理条例》（国务院令第250号）第二十八条：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tc>
        <w:tc>
          <w:tcPr>
            <w:tcW w:w="586"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行政检查</w:t>
            </w: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受理责任：公示应当提交的材料；一次性告知补正材料；依法受理或不予受理（不予受理的告知原因）</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w:t>
            </w:r>
          </w:p>
        </w:tc>
        <w:tc>
          <w:tcPr>
            <w:tcW w:w="1330"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4" w:hRule="exac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审查责任：材料审查；提出初审意见。</w:t>
            </w:r>
          </w:p>
        </w:tc>
        <w:tc>
          <w:tcPr>
            <w:tcW w:w="1330"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4" w:hRule="exac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决定责任：登记管理机关作出年检结论，对年检基本合格和年检不合格的书面告知申报单位。</w:t>
            </w:r>
          </w:p>
        </w:tc>
        <w:tc>
          <w:tcPr>
            <w:tcW w:w="1330"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4" w:hRule="exac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w:t>
            </w:r>
          </w:p>
        </w:tc>
        <w:tc>
          <w:tcPr>
            <w:tcW w:w="325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送达责任：制作送达文书；按规定送达当事人，信息公开。</w:t>
            </w:r>
          </w:p>
        </w:tc>
        <w:tc>
          <w:tcPr>
            <w:tcW w:w="1330" w:type="dxa"/>
            <w:gridSpan w:val="2"/>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4" w:hRule="exac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3250"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1330"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4" w:hRule="exac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事后监管</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事后监管责任：监督社会团体依法开展活动。</w:t>
            </w:r>
          </w:p>
        </w:tc>
        <w:tc>
          <w:tcPr>
            <w:tcW w:w="1330"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4" w:hRule="exac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其他法律法规规章文件规定应履行的责任。</w:t>
            </w:r>
          </w:p>
        </w:tc>
        <w:tc>
          <w:tcPr>
            <w:tcW w:w="1330" w:type="dxa"/>
            <w:gridSpan w:val="2"/>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bl>
    <w:p>
      <w:pPr>
        <w:pStyle w:val="2"/>
        <w:widowControl w:val="0"/>
        <w:wordWrap/>
        <w:adjustRightInd/>
        <w:snapToGrid/>
        <w:spacing w:before="0" w:after="0" w:line="300" w:lineRule="exact"/>
        <w:ind w:left="0" w:leftChars="0" w:right="0"/>
        <w:textAlignment w:val="auto"/>
        <w:outlineLvl w:val="9"/>
        <w:rPr>
          <w:rFonts w:hint="eastAsia" w:ascii="仿宋_GB2312" w:hAnsi="仿宋_GB2312" w:eastAsia="仿宋_GB2312" w:cs="仿宋_GB2312"/>
          <w:color w:val="auto"/>
          <w:sz w:val="22"/>
          <w:szCs w:val="22"/>
          <w:lang w:val="en-US"/>
        </w:rPr>
      </w:pPr>
    </w:p>
    <w:tbl>
      <w:tblPr>
        <w:tblStyle w:val="5"/>
        <w:tblW w:w="152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450"/>
        <w:gridCol w:w="1573"/>
        <w:gridCol w:w="7092"/>
        <w:gridCol w:w="586"/>
        <w:gridCol w:w="982"/>
        <w:gridCol w:w="3250"/>
        <w:gridCol w:w="1330"/>
        <w:gridCol w:w="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4" w:type="dxa"/>
          <w:trHeight w:val="724" w:hRule="exact"/>
          <w:tblHeader/>
          <w:jc w:val="center"/>
        </w:trPr>
        <w:tc>
          <w:tcPr>
            <w:tcW w:w="45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lang w:val="en-US" w:eastAsia="zh-CN"/>
              </w:rPr>
            </w:pPr>
            <w:r>
              <w:rPr>
                <w:rFonts w:hint="eastAsia" w:ascii="黑体" w:hAnsi="黑体" w:eastAsia="黑体" w:cs="黑体"/>
                <w:color w:val="auto"/>
                <w:kern w:val="0"/>
                <w:sz w:val="22"/>
                <w:szCs w:val="22"/>
                <w:lang w:val="en-US" w:eastAsia="zh-CN"/>
              </w:rPr>
              <w:t>序号</w:t>
            </w:r>
          </w:p>
        </w:tc>
        <w:tc>
          <w:tcPr>
            <w:tcW w:w="1573"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项目名称</w:t>
            </w:r>
          </w:p>
        </w:tc>
        <w:tc>
          <w:tcPr>
            <w:tcW w:w="709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实施依据</w:t>
            </w:r>
          </w:p>
        </w:tc>
        <w:tc>
          <w:tcPr>
            <w:tcW w:w="586"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职权类别</w:t>
            </w: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办理环节</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责任事项</w:t>
            </w:r>
          </w:p>
        </w:tc>
        <w:tc>
          <w:tcPr>
            <w:tcW w:w="133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责任</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黑体" w:hAnsi="黑体" w:eastAsia="黑体" w:cs="黑体"/>
                <w:color w:val="auto"/>
                <w:kern w:val="0"/>
                <w:sz w:val="22"/>
                <w:szCs w:val="22"/>
                <w:lang w:eastAsia="zh-CN"/>
              </w:rPr>
              <w:t>处室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4" w:type="dxa"/>
          <w:trHeight w:val="1367" w:hRule="exact"/>
          <w:jc w:val="center"/>
        </w:trPr>
        <w:tc>
          <w:tcPr>
            <w:tcW w:w="45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lang w:val="en-US" w:eastAsia="zh-CN"/>
              </w:rPr>
              <w:t>31</w:t>
            </w:r>
          </w:p>
        </w:tc>
        <w:tc>
          <w:tcPr>
            <w:tcW w:w="1573" w:type="dxa"/>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民办非企业单位年度检查</w:t>
            </w:r>
          </w:p>
        </w:tc>
        <w:tc>
          <w:tcPr>
            <w:tcW w:w="7092" w:type="dxa"/>
            <w:vMerge w:val="restart"/>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《民办非企业单位登记管理暂行条例》</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国务院令第251号）第二十三条：民非企业单位应当于每年3月31日前向业务主管单位报送上一年度的工作报告，经业务主管单位初审同意后,于5月31日前报送登记管理机关,接受年度检查。对于依照本条例第十二条第二款的规定发给登记证书的民办非企业单位,登记管理机关对其应当简化年度检查的内容。</w:t>
            </w:r>
          </w:p>
          <w:p>
            <w:pPr>
              <w:widowControl/>
              <w:wordWrap/>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《民办非企业单位登记管理暂行条例》</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国务院令第251号）第二十三条：民非企业单位应当于每年3月31日前向业务主管单位报送上一年度的工作报告，经业务主管单位初审同意后,于5月31日前报送登记管理机关,接受年度检查。对于依照本条例第十二条第二款的规定发给登记证书的民办非企业单位,登记管理机关对其应当简化年度检查的内容。</w:t>
            </w:r>
          </w:p>
        </w:tc>
        <w:tc>
          <w:tcPr>
            <w:tcW w:w="586"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行政检查</w:t>
            </w: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受理责任：公示应当提交的材料；一次性告知补正材料；依法受理或不予受理（不予受理的告知原因）</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w:t>
            </w:r>
          </w:p>
        </w:tc>
        <w:tc>
          <w:tcPr>
            <w:tcW w:w="133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4" w:type="dxa"/>
          <w:trHeight w:val="1292" w:hRule="exac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审查责任：材料审查；提出初审意见。</w:t>
            </w:r>
          </w:p>
        </w:tc>
        <w:tc>
          <w:tcPr>
            <w:tcW w:w="133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4" w:type="dxa"/>
          <w:trHeight w:val="1247" w:hRule="exac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决定责任：登记管理机关作出年检结论，对年检基本合格和年检不合格的书面告知申报单位。</w:t>
            </w:r>
          </w:p>
        </w:tc>
        <w:tc>
          <w:tcPr>
            <w:tcW w:w="133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4" w:type="dxa"/>
          <w:trHeight w:val="1247" w:hRule="exact"/>
          <w:jc w:val="center"/>
        </w:trPr>
        <w:tc>
          <w:tcPr>
            <w:tcW w:w="450" w:type="dxa"/>
            <w:vMerge w:val="continue"/>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p>
        </w:tc>
        <w:tc>
          <w:tcPr>
            <w:tcW w:w="7092" w:type="dxa"/>
            <w:vMerge w:val="continue"/>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送达责任：制作送达文书；按规定送达当事人，信息公开。</w:t>
            </w:r>
          </w:p>
        </w:tc>
        <w:tc>
          <w:tcPr>
            <w:tcW w:w="133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4" w:type="dxa"/>
          <w:trHeight w:val="1024" w:hRule="exac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事后监管</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事后监管责任：监督民办非企业单位依法开展活动。</w:t>
            </w:r>
          </w:p>
        </w:tc>
        <w:tc>
          <w:tcPr>
            <w:tcW w:w="133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社会组织管理局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4" w:type="dxa"/>
          <w:trHeight w:val="874" w:hRule="exac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其他法律法规规章文件规定应履行的责任。</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4" w:type="dxa"/>
          <w:trHeight w:val="454" w:hRule="exact"/>
          <w:jc w:val="center"/>
        </w:trPr>
        <w:tc>
          <w:tcPr>
            <w:tcW w:w="15263" w:type="dxa"/>
            <w:gridSpan w:val="7"/>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服务电话：0377-63173027                投诉机构：派驻纪检监察组                                  投诉电话：0377-63137277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4" w:type="dxa"/>
          <w:trHeight w:val="454" w:hRule="exact"/>
          <w:jc w:val="center"/>
        </w:trPr>
        <w:tc>
          <w:tcPr>
            <w:tcW w:w="15263" w:type="dxa"/>
            <w:gridSpan w:val="7"/>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受理地点：南阳市宛城区仲景街道范蠡路东路1666号市行政审批服务中心北区1号楼533室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4" w:type="dxa"/>
          <w:trHeight w:val="464" w:hRule="exact"/>
          <w:jc w:val="center"/>
        </w:trPr>
        <w:tc>
          <w:tcPr>
            <w:tcW w:w="45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lang w:val="en-US" w:eastAsia="zh-CN"/>
              </w:rPr>
              <w:t>32</w:t>
            </w:r>
          </w:p>
        </w:tc>
        <w:tc>
          <w:tcPr>
            <w:tcW w:w="1573" w:type="dxa"/>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对涉嫌违规的养老机构的检查</w:t>
            </w:r>
          </w:p>
        </w:tc>
        <w:tc>
          <w:tcPr>
            <w:tcW w:w="7092" w:type="dxa"/>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《中华人民共和国老年人权益保障法》第四章第四十五条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县级以上人民政府民政部门依法履行监督检查职责，可以采取以下措施：（一）向养老机构和个人了解情况；</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二</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进入涉嫌违法的养老机构进行现场检查；</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三</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查阅或者复制有关合同、票据、账簿及其他有关资料；</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四</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发现养老机构存在可能危及人身健康和生命财产安全风险的，责令限期改正，逾期不改正的，责令停业整顿。</w:t>
            </w:r>
          </w:p>
        </w:tc>
        <w:tc>
          <w:tcPr>
            <w:tcW w:w="586"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行政检查</w:t>
            </w: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了解情况</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向养老机构和个人了解情况。</w:t>
            </w:r>
          </w:p>
        </w:tc>
        <w:tc>
          <w:tcPr>
            <w:tcW w:w="133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养老服务科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4" w:type="dxa"/>
          <w:trHeight w:val="576" w:hRule="exact"/>
          <w:jc w:val="center"/>
        </w:trPr>
        <w:tc>
          <w:tcPr>
            <w:tcW w:w="450" w:type="dxa"/>
            <w:vMerge w:val="continue"/>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p>
        </w:tc>
        <w:tc>
          <w:tcPr>
            <w:tcW w:w="1573" w:type="dxa"/>
            <w:vMerge w:val="continue"/>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kern w:val="0"/>
                <w:sz w:val="22"/>
                <w:szCs w:val="22"/>
              </w:rPr>
            </w:pPr>
          </w:p>
        </w:tc>
        <w:tc>
          <w:tcPr>
            <w:tcW w:w="7092" w:type="dxa"/>
            <w:vMerge w:val="continue"/>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0"/>
                <w:sz w:val="22"/>
                <w:szCs w:val="22"/>
              </w:rPr>
            </w:pPr>
          </w:p>
        </w:tc>
        <w:tc>
          <w:tcPr>
            <w:tcW w:w="586" w:type="dxa"/>
            <w:vMerge w:val="continue"/>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现场检查</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进入涉嫌违法的养老机构进行现场检查。</w:t>
            </w:r>
          </w:p>
        </w:tc>
        <w:tc>
          <w:tcPr>
            <w:tcW w:w="1330" w:type="dxa"/>
            <w:vMerge w:val="continue"/>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4" w:type="dxa"/>
          <w:trHeight w:val="844" w:hRule="exact"/>
          <w:jc w:val="center"/>
        </w:trPr>
        <w:tc>
          <w:tcPr>
            <w:tcW w:w="450" w:type="dxa"/>
            <w:vMerge w:val="continue"/>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p>
        </w:tc>
        <w:tc>
          <w:tcPr>
            <w:tcW w:w="1573" w:type="dxa"/>
            <w:vMerge w:val="continue"/>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kern w:val="0"/>
                <w:sz w:val="22"/>
                <w:szCs w:val="22"/>
              </w:rPr>
            </w:pPr>
          </w:p>
        </w:tc>
        <w:tc>
          <w:tcPr>
            <w:tcW w:w="7092" w:type="dxa"/>
            <w:vMerge w:val="continue"/>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0"/>
                <w:sz w:val="22"/>
                <w:szCs w:val="22"/>
              </w:rPr>
            </w:pPr>
          </w:p>
        </w:tc>
        <w:tc>
          <w:tcPr>
            <w:tcW w:w="586" w:type="dxa"/>
            <w:vMerge w:val="continue"/>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spacing w:val="-6"/>
                <w:kern w:val="0"/>
                <w:sz w:val="22"/>
                <w:szCs w:val="22"/>
              </w:rPr>
              <w:t>查阅或复制有关资料</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查阅或者复制有关合同、票据、账簿及其他有关资料。</w:t>
            </w:r>
          </w:p>
        </w:tc>
        <w:tc>
          <w:tcPr>
            <w:tcW w:w="1330" w:type="dxa"/>
            <w:vMerge w:val="continue"/>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4" w:type="dxa"/>
          <w:trHeight w:val="1162" w:hRule="exact"/>
          <w:jc w:val="center"/>
        </w:trPr>
        <w:tc>
          <w:tcPr>
            <w:tcW w:w="450" w:type="dxa"/>
            <w:vMerge w:val="continue"/>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p>
        </w:tc>
        <w:tc>
          <w:tcPr>
            <w:tcW w:w="1573" w:type="dxa"/>
            <w:vMerge w:val="continue"/>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kern w:val="0"/>
                <w:sz w:val="22"/>
                <w:szCs w:val="22"/>
              </w:rPr>
            </w:pPr>
          </w:p>
        </w:tc>
        <w:tc>
          <w:tcPr>
            <w:tcW w:w="7092" w:type="dxa"/>
            <w:vMerge w:val="continue"/>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0"/>
                <w:sz w:val="22"/>
                <w:szCs w:val="22"/>
              </w:rPr>
            </w:pPr>
          </w:p>
        </w:tc>
        <w:tc>
          <w:tcPr>
            <w:tcW w:w="586" w:type="dxa"/>
            <w:vMerge w:val="continue"/>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下达整改通知书</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发现养老机构存在可能危及人身健康和生命财产安全风险的，责令限期改正，逾期不改正的，责令停业整顿。</w:t>
            </w:r>
          </w:p>
        </w:tc>
        <w:tc>
          <w:tcPr>
            <w:tcW w:w="1330" w:type="dxa"/>
            <w:vMerge w:val="continue"/>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4" w:type="dxa"/>
          <w:trHeight w:val="464" w:hRule="exact"/>
          <w:jc w:val="center"/>
        </w:trPr>
        <w:tc>
          <w:tcPr>
            <w:tcW w:w="15263" w:type="dxa"/>
            <w:gridSpan w:val="7"/>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0"/>
                <w:sz w:val="22"/>
                <w:szCs w:val="22"/>
              </w:rPr>
              <w:t xml:space="preserve">服务电话：0377-63133909                 投诉机构:南阳市纪委监委驻市民政局纪检监察组                    投诉电话：0377-63137277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4" w:type="dxa"/>
          <w:trHeight w:val="389" w:hRule="exact"/>
          <w:jc w:val="center"/>
        </w:trPr>
        <w:tc>
          <w:tcPr>
            <w:tcW w:w="15263" w:type="dxa"/>
            <w:gridSpan w:val="7"/>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0"/>
                <w:sz w:val="22"/>
                <w:szCs w:val="22"/>
              </w:rPr>
              <w:t>受理地点：南阳市范蠡路南区行政审批中心1号楼1楼综合受理窗口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28" w:hRule="atLeast"/>
          <w:jc w:val="center"/>
        </w:trPr>
        <w:tc>
          <w:tcPr>
            <w:tcW w:w="45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lang w:val="en-US" w:eastAsia="zh-CN"/>
              </w:rPr>
              <w:t>33</w:t>
            </w:r>
          </w:p>
        </w:tc>
        <w:tc>
          <w:tcPr>
            <w:tcW w:w="1573" w:type="dxa"/>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内地居民同香港居民、澳门居民、台湾居民在中国内地办理离婚登记</w:t>
            </w:r>
          </w:p>
        </w:tc>
        <w:tc>
          <w:tcPr>
            <w:tcW w:w="7092" w:type="dxa"/>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《婚姻登记条例》（国务院令第387号）第二条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第二款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p>
        </w:tc>
        <w:tc>
          <w:tcPr>
            <w:tcW w:w="586"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行政确认</w:t>
            </w: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对申请材料进行初步审核，受理或不予受理（不予受理的依法告知理由）。</w:t>
            </w:r>
          </w:p>
        </w:tc>
        <w:tc>
          <w:tcPr>
            <w:tcW w:w="1334" w:type="dxa"/>
            <w:gridSpan w:val="2"/>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shd w:val="clear" w:color="070000" w:fill="FFFFFF"/>
              </w:rPr>
              <w:t>服务科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33"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根据审核情况，准予办理，予以办结；不予办理，退回材料并告知原因。</w:t>
            </w:r>
          </w:p>
        </w:tc>
        <w:tc>
          <w:tcPr>
            <w:tcW w:w="1334" w:type="dxa"/>
            <w:gridSpan w:val="2"/>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shd w:val="clear" w:color="070000" w:fill="FFFFFF"/>
              </w:rPr>
              <w:t>服务科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34" w:hRule="atLeast"/>
          <w:jc w:val="center"/>
        </w:trPr>
        <w:tc>
          <w:tcPr>
            <w:tcW w:w="45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lang w:val="en-US" w:eastAsia="zh-CN"/>
              </w:rPr>
              <w:t>34</w:t>
            </w:r>
          </w:p>
        </w:tc>
        <w:tc>
          <w:tcPr>
            <w:tcW w:w="1573" w:type="dxa"/>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内地居民同香港居民、澳门居民、台湾居民在中国内地办理结婚登记、补办结婚登记</w:t>
            </w:r>
          </w:p>
        </w:tc>
        <w:tc>
          <w:tcPr>
            <w:tcW w:w="7092" w:type="dxa"/>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《婚姻登记条例》（国务院令第387号）第二条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第二款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w:t>
            </w:r>
          </w:p>
        </w:tc>
        <w:tc>
          <w:tcPr>
            <w:tcW w:w="586"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行政确认</w:t>
            </w: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对申请材料进行初步审核，受理或不予受理（不予受理的依法告知理由）。</w:t>
            </w:r>
          </w:p>
        </w:tc>
        <w:tc>
          <w:tcPr>
            <w:tcW w:w="1334" w:type="dxa"/>
            <w:gridSpan w:val="2"/>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94"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根据审核情况，准予办理，予以办结；不予办理，退回材料并告知原因。</w:t>
            </w:r>
          </w:p>
        </w:tc>
        <w:tc>
          <w:tcPr>
            <w:tcW w:w="1334" w:type="dxa"/>
            <w:gridSpan w:val="2"/>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shd w:val="clear" w:color="070000" w:fill="FFFFFF"/>
              </w:rPr>
              <w:t>服务科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8" w:hRule="atLeast"/>
          <w:jc w:val="center"/>
        </w:trPr>
        <w:tc>
          <w:tcPr>
            <w:tcW w:w="15267" w:type="dxa"/>
            <w:gridSpan w:val="8"/>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0"/>
                <w:sz w:val="22"/>
                <w:szCs w:val="22"/>
              </w:rPr>
              <w:t>服务电话： 0377-61387717                 投诉机构:南阳市纪委监委驻市民政局纪检监察组                    投诉电话：0377-63137277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3" w:hRule="atLeast"/>
          <w:jc w:val="center"/>
        </w:trPr>
        <w:tc>
          <w:tcPr>
            <w:tcW w:w="13933" w:type="dxa"/>
            <w:gridSpan w:val="6"/>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0"/>
                <w:sz w:val="22"/>
                <w:szCs w:val="22"/>
              </w:rPr>
              <w:t>受理地点： 南阳市范蠡路1666号3号楼二楼马上办服务区民政局窗口</w:t>
            </w:r>
          </w:p>
        </w:tc>
        <w:tc>
          <w:tcPr>
            <w:tcW w:w="1334"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19" w:hRule="atLeast"/>
          <w:jc w:val="center"/>
        </w:trPr>
        <w:tc>
          <w:tcPr>
            <w:tcW w:w="45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lang w:val="en-US" w:eastAsia="zh-CN"/>
              </w:rPr>
              <w:t>35</w:t>
            </w:r>
          </w:p>
        </w:tc>
        <w:tc>
          <w:tcPr>
            <w:tcW w:w="1573" w:type="dxa"/>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华侨以及居住在香港、澳门、台湾地区的中国公民在内地收养登记、解除收养关系登记</w:t>
            </w:r>
          </w:p>
        </w:tc>
        <w:tc>
          <w:tcPr>
            <w:tcW w:w="7092" w:type="dxa"/>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《中华人民共和国</w:t>
            </w:r>
            <w:r>
              <w:rPr>
                <w:rFonts w:hint="eastAsia" w:ascii="仿宋_GB2312" w:hAnsi="仿宋_GB2312" w:eastAsia="仿宋_GB2312" w:cs="仿宋_GB2312"/>
                <w:color w:val="auto"/>
                <w:kern w:val="0"/>
                <w:sz w:val="22"/>
                <w:szCs w:val="22"/>
                <w:lang w:val="en-US" w:eastAsia="zh-CN"/>
              </w:rPr>
              <w:t>民法典</w:t>
            </w:r>
            <w:r>
              <w:rPr>
                <w:rFonts w:hint="eastAsia" w:ascii="仿宋_GB2312" w:hAnsi="仿宋_GB2312" w:eastAsia="仿宋_GB2312" w:cs="仿宋_GB2312"/>
                <w:color w:val="auto"/>
                <w:kern w:val="0"/>
                <w:sz w:val="22"/>
                <w:szCs w:val="22"/>
              </w:rPr>
              <w:t>》第一千一百零五条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收养应当向县级以上人民政府民政部门登记。收养关系自登记之日起成立。收养查找不到生父母的未成年人的，办理登记的民政部门应当在登记前予以公告。收养关系当事人愿意签订收养协议的，可以签订收养协议。收养关系当事人各方或者一方要求办理收养公证的，应当办理收养公证。县级以上人民政府民政部门应当依法进行收养评估。</w:t>
            </w:r>
          </w:p>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第一千一百一十六条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当事人协议解除收养关系的，应当到民政部门办理解除收养关系登记。</w:t>
            </w:r>
          </w:p>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rPr>
              <w:t>《中国公民收养子女登记办法》</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民政部令第14号</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第十四条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华侨以及居住在香港、澳门、台湾地区的中国公民在内地收养子女的，申请办理收养登记的管辖以及所需要出具的证件和证明材料，按照国务院民政部门的有关规定执行。</w:t>
            </w:r>
          </w:p>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《华侨以及居住在香港、澳门、台湾地区的中国公民办理收养登记的管辖以及所需要出具的证件和证明材料的规定》</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民政部令第16号</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第二条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华侨以及居住在香港、澳门、台湾地区的中国公民在内地收养子女的，应当到被收养人常住户口所在地的直辖市、设区的市、自治州人民政府民政部门或者地区（盟）行政公署民政部门申请办理收养登记。</w:t>
            </w:r>
          </w:p>
        </w:tc>
        <w:tc>
          <w:tcPr>
            <w:tcW w:w="586"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行政确认</w:t>
            </w: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收件</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kern w:val="0"/>
                <w:sz w:val="22"/>
                <w:szCs w:val="22"/>
              </w:rPr>
              <w:t>综合受理窗口公示应提交的材料，一次性告知补正材料</w:t>
            </w:r>
            <w:r>
              <w:rPr>
                <w:rFonts w:hint="eastAsia" w:ascii="仿宋_GB2312" w:hAnsi="仿宋_GB2312" w:eastAsia="仿宋_GB2312" w:cs="仿宋_GB2312"/>
                <w:color w:val="auto"/>
                <w:kern w:val="0"/>
                <w:sz w:val="22"/>
                <w:szCs w:val="22"/>
                <w:lang w:eastAsia="zh-CN"/>
              </w:rPr>
              <w:t>。</w:t>
            </w:r>
          </w:p>
        </w:tc>
        <w:tc>
          <w:tcPr>
            <w:tcW w:w="1334" w:type="dxa"/>
            <w:gridSpan w:val="2"/>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48"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kern w:val="0"/>
                <w:sz w:val="22"/>
                <w:szCs w:val="22"/>
              </w:rPr>
              <w:t>对申请材料进行初步审核，受理或不予受理（不予受理的依法告知理由）</w:t>
            </w:r>
            <w:r>
              <w:rPr>
                <w:rFonts w:hint="eastAsia" w:ascii="仿宋_GB2312" w:hAnsi="仿宋_GB2312" w:eastAsia="仿宋_GB2312" w:cs="仿宋_GB2312"/>
                <w:color w:val="auto"/>
                <w:kern w:val="0"/>
                <w:sz w:val="22"/>
                <w:szCs w:val="22"/>
                <w:lang w:eastAsia="zh-CN"/>
              </w:rPr>
              <w:t>。</w:t>
            </w:r>
          </w:p>
        </w:tc>
        <w:tc>
          <w:tcPr>
            <w:tcW w:w="1334" w:type="dxa"/>
            <w:gridSpan w:val="2"/>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shd w:val="clear" w:color="070000" w:fill="FFFFFF"/>
              </w:rPr>
              <w:t>服务科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80"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审核</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登记机关收到登记申请书及有关材料后，应当自次日起3日内进行审查。收养查找不到生父母的弃婴和儿童的，收养登记机关应当在登记前公告查找其生父母，自公告刊登之日起满60日，弃婴和儿童的生父母或者其他监护人未认领的，视为查找不到生父母的弃婴和儿童。公告期间不计算在登记办理期限内。</w:t>
            </w:r>
          </w:p>
        </w:tc>
        <w:tc>
          <w:tcPr>
            <w:tcW w:w="1334" w:type="dxa"/>
            <w:gridSpan w:val="2"/>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shd w:val="clear" w:color="070000" w:fill="FFFFFF"/>
              </w:rPr>
              <w:t>服务科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62"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制作收养登记证/解除收养关系证明</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送达当事人。</w:t>
            </w:r>
          </w:p>
        </w:tc>
        <w:tc>
          <w:tcPr>
            <w:tcW w:w="1334" w:type="dxa"/>
            <w:gridSpan w:val="2"/>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30" w:hRule="atLeast"/>
          <w:jc w:val="center"/>
        </w:trPr>
        <w:tc>
          <w:tcPr>
            <w:tcW w:w="45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lang w:val="en-US" w:eastAsia="zh-CN"/>
              </w:rPr>
              <w:t>36</w:t>
            </w:r>
          </w:p>
        </w:tc>
        <w:tc>
          <w:tcPr>
            <w:tcW w:w="1573" w:type="dxa"/>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撤销中国公民收养登记</w:t>
            </w:r>
          </w:p>
        </w:tc>
        <w:tc>
          <w:tcPr>
            <w:tcW w:w="7092" w:type="dxa"/>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《中国公民收养子女登记办法》</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民政部令第14号</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第十二条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收养关系当事人弄虚作假骗取收养登记的，收养关系无效，由收养登记机关撤销登记，收缴收养登记证。</w:t>
            </w:r>
          </w:p>
        </w:tc>
        <w:tc>
          <w:tcPr>
            <w:tcW w:w="586"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行政确认</w:t>
            </w: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收件</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综合受理窗口公示应提交的材料，一次性告知补正材料。</w:t>
            </w:r>
          </w:p>
        </w:tc>
        <w:tc>
          <w:tcPr>
            <w:tcW w:w="1334" w:type="dxa"/>
            <w:gridSpan w:val="2"/>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8"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对申请材料进行初步审核，受理或不予受理（不予受理的依法告知理由）。</w:t>
            </w:r>
          </w:p>
        </w:tc>
        <w:tc>
          <w:tcPr>
            <w:tcW w:w="1334" w:type="dxa"/>
            <w:gridSpan w:val="2"/>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19"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登记机关收到登记申请书及有关材料后，应当自次日起3日内进行审查。</w:t>
            </w:r>
          </w:p>
        </w:tc>
        <w:tc>
          <w:tcPr>
            <w:tcW w:w="1334" w:type="dxa"/>
            <w:gridSpan w:val="2"/>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79"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制作撤销收养登记决定书</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送达当事人。</w:t>
            </w:r>
          </w:p>
        </w:tc>
        <w:tc>
          <w:tcPr>
            <w:tcW w:w="1334" w:type="dxa"/>
            <w:gridSpan w:val="2"/>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15267" w:type="dxa"/>
            <w:gridSpan w:val="8"/>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服务电话： 0377-6</w:t>
            </w:r>
            <w:r>
              <w:rPr>
                <w:rFonts w:hint="eastAsia" w:ascii="仿宋_GB2312" w:hAnsi="仿宋_GB2312" w:eastAsia="仿宋_GB2312" w:cs="仿宋_GB2312"/>
                <w:color w:val="auto"/>
                <w:kern w:val="0"/>
                <w:sz w:val="22"/>
                <w:szCs w:val="22"/>
                <w:lang w:val="en-US" w:eastAsia="zh-CN"/>
              </w:rPr>
              <w:t>1387716</w:t>
            </w:r>
            <w:r>
              <w:rPr>
                <w:rFonts w:hint="eastAsia" w:ascii="仿宋_GB2312" w:hAnsi="仿宋_GB2312" w:eastAsia="仿宋_GB2312" w:cs="仿宋_GB2312"/>
                <w:color w:val="auto"/>
                <w:kern w:val="0"/>
                <w:sz w:val="22"/>
                <w:szCs w:val="22"/>
              </w:rPr>
              <w:t xml:space="preserve">                  投诉机构：南阳市纪委监委驻市民政局纪检监察组                  投诉电话：0377-63137277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15267" w:type="dxa"/>
            <w:gridSpan w:val="8"/>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受理地点： 南阳市范蠡路1666号</w:t>
            </w:r>
            <w:r>
              <w:rPr>
                <w:rFonts w:hint="eastAsia" w:ascii="仿宋_GB2312" w:hAnsi="仿宋_GB2312" w:eastAsia="仿宋_GB2312" w:cs="仿宋_GB2312"/>
                <w:color w:val="auto"/>
                <w:kern w:val="0"/>
                <w:sz w:val="22"/>
                <w:szCs w:val="22"/>
                <w:lang w:eastAsia="zh-CN"/>
              </w:rPr>
              <w:t>市民服务中心北区</w:t>
            </w:r>
            <w:r>
              <w:rPr>
                <w:rFonts w:hint="eastAsia" w:ascii="仿宋_GB2312" w:hAnsi="仿宋_GB2312" w:eastAsia="仿宋_GB2312" w:cs="仿宋_GB2312"/>
                <w:color w:val="auto"/>
                <w:kern w:val="0"/>
                <w:sz w:val="22"/>
                <w:szCs w:val="22"/>
              </w:rPr>
              <w:t>3号楼一楼综合受理窗口</w:t>
            </w:r>
          </w:p>
        </w:tc>
      </w:tr>
    </w:tbl>
    <w:p>
      <w:pPr>
        <w:pStyle w:val="2"/>
        <w:widowControl w:val="0"/>
        <w:wordWrap/>
        <w:adjustRightInd/>
        <w:snapToGrid/>
        <w:spacing w:before="0" w:after="0" w:line="300" w:lineRule="exact"/>
        <w:ind w:left="0" w:leftChars="0" w:right="0"/>
        <w:textAlignment w:val="auto"/>
        <w:outlineLvl w:val="9"/>
        <w:rPr>
          <w:rFonts w:hint="eastAsia" w:ascii="仿宋_GB2312" w:hAnsi="仿宋_GB2312" w:eastAsia="仿宋_GB2312" w:cs="仿宋_GB2312"/>
          <w:color w:val="auto"/>
          <w:sz w:val="22"/>
          <w:szCs w:val="22"/>
          <w:lang w:val="en-US"/>
        </w:rPr>
      </w:pPr>
    </w:p>
    <w:tbl>
      <w:tblPr>
        <w:tblStyle w:val="5"/>
        <w:tblW w:w="1528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450"/>
        <w:gridCol w:w="1573"/>
        <w:gridCol w:w="17"/>
        <w:gridCol w:w="7075"/>
        <w:gridCol w:w="586"/>
        <w:gridCol w:w="982"/>
        <w:gridCol w:w="3250"/>
        <w:gridCol w:w="1330"/>
        <w:gridCol w:w="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9" w:type="dxa"/>
          <w:trHeight w:val="679" w:hRule="atLeast"/>
          <w:tblHeader/>
          <w:jc w:val="center"/>
        </w:trPr>
        <w:tc>
          <w:tcPr>
            <w:tcW w:w="45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val="en-US" w:eastAsia="zh-CN"/>
              </w:rPr>
            </w:pPr>
            <w:r>
              <w:rPr>
                <w:rFonts w:hint="eastAsia" w:ascii="黑体" w:hAnsi="黑体" w:eastAsia="黑体" w:cs="黑体"/>
                <w:color w:val="auto"/>
                <w:kern w:val="0"/>
                <w:sz w:val="22"/>
                <w:szCs w:val="22"/>
                <w:lang w:val="en-US" w:eastAsia="zh-CN"/>
              </w:rPr>
              <w:t>序号</w:t>
            </w:r>
          </w:p>
        </w:tc>
        <w:tc>
          <w:tcPr>
            <w:tcW w:w="1573"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rPr>
            </w:pPr>
            <w:r>
              <w:rPr>
                <w:rFonts w:hint="eastAsia" w:ascii="黑体" w:hAnsi="黑体" w:eastAsia="黑体" w:cs="黑体"/>
                <w:color w:val="auto"/>
                <w:kern w:val="0"/>
                <w:sz w:val="22"/>
                <w:szCs w:val="22"/>
                <w:lang w:eastAsia="zh-CN"/>
              </w:rPr>
              <w:t>项目名称</w:t>
            </w:r>
          </w:p>
        </w:tc>
        <w:tc>
          <w:tcPr>
            <w:tcW w:w="7092"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rPr>
            </w:pPr>
            <w:r>
              <w:rPr>
                <w:rFonts w:hint="eastAsia" w:ascii="黑体" w:hAnsi="黑体" w:eastAsia="黑体" w:cs="黑体"/>
                <w:color w:val="auto"/>
                <w:kern w:val="0"/>
                <w:sz w:val="22"/>
                <w:szCs w:val="22"/>
                <w:lang w:eastAsia="zh-CN"/>
              </w:rPr>
              <w:t>实施依据</w:t>
            </w:r>
          </w:p>
        </w:tc>
        <w:tc>
          <w:tcPr>
            <w:tcW w:w="586"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rPr>
            </w:pPr>
            <w:r>
              <w:rPr>
                <w:rFonts w:hint="eastAsia" w:ascii="黑体" w:hAnsi="黑体" w:eastAsia="黑体" w:cs="黑体"/>
                <w:color w:val="auto"/>
                <w:kern w:val="0"/>
                <w:sz w:val="22"/>
                <w:szCs w:val="22"/>
                <w:lang w:eastAsia="zh-CN"/>
              </w:rPr>
              <w:t>职权类别</w:t>
            </w: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rPr>
            </w:pPr>
            <w:r>
              <w:rPr>
                <w:rFonts w:hint="eastAsia" w:ascii="黑体" w:hAnsi="黑体" w:eastAsia="黑体" w:cs="黑体"/>
                <w:color w:val="auto"/>
                <w:kern w:val="0"/>
                <w:sz w:val="22"/>
                <w:szCs w:val="22"/>
                <w:lang w:eastAsia="zh-CN"/>
              </w:rPr>
              <w:t>办理环节</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责任事项</w:t>
            </w:r>
          </w:p>
        </w:tc>
        <w:tc>
          <w:tcPr>
            <w:tcW w:w="133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责任处室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9" w:type="dxa"/>
          <w:trHeight w:val="1373" w:hRule="atLeast"/>
          <w:jc w:val="center"/>
        </w:trPr>
        <w:tc>
          <w:tcPr>
            <w:tcW w:w="450"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lang w:val="en-US" w:eastAsia="zh-CN"/>
              </w:rPr>
              <w:t>37</w:t>
            </w:r>
          </w:p>
        </w:tc>
        <w:tc>
          <w:tcPr>
            <w:tcW w:w="1573"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低收入家庭经济状况信息的核对确认</w:t>
            </w:r>
          </w:p>
        </w:tc>
        <w:tc>
          <w:tcPr>
            <w:tcW w:w="7092" w:type="dxa"/>
            <w:gridSpan w:val="2"/>
            <w:tcMar>
              <w:top w:w="15" w:type="dxa"/>
              <w:left w:w="15" w:type="dxa"/>
              <w:right w:w="15" w:type="dxa"/>
            </w:tcMar>
            <w:vAlign w:val="center"/>
          </w:tcPr>
          <w:p>
            <w:pPr>
              <w:widowControl/>
              <w:wordWrap/>
              <w:adjustRightInd/>
              <w:snapToGrid/>
              <w:spacing w:before="0" w:after="0" w:line="300" w:lineRule="exact"/>
              <w:ind w:left="0" w:leftChars="0" w:right="0" w:firstLine="0" w:firstLineChars="0"/>
              <w:jc w:val="both"/>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救助暂行办法》（国务院令649号）第十一章第五十八条：申请或者已获得社会救助的家庭，应当按照规定如实申报家庭收入状况、财产状况。县级以上人民政府民政部门根据申请或者已获得社会救助家庭的请求、委托，可以通过户籍管理、税务、社会保险、不动产登记、工商登记、住房公积金管理、车船管理等单位和银行、保险、证券等金融机构，代为查询、核对其家庭收入状况、财产状况；有关单位和金融机构应当予以配合。县级以上人民政府民政部门应当建立申请和已获得社会救助家庭经济状况信息核对平台，为审核认定社会救助对象提供依据。</w:t>
            </w:r>
          </w:p>
        </w:tc>
        <w:tc>
          <w:tcPr>
            <w:tcW w:w="5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行政确认</w:t>
            </w: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textAlignment w:val="center"/>
              <w:outlineLvl w:val="9"/>
              <w:rPr>
                <w:rFonts w:hint="eastAsia" w:ascii="仿宋_GB2312" w:hAnsi="仿宋_GB2312" w:eastAsia="仿宋_GB2312" w:cs="仿宋_GB2312"/>
                <w:color w:val="auto"/>
                <w:kern w:val="0"/>
                <w:sz w:val="22"/>
                <w:szCs w:val="22"/>
              </w:rPr>
            </w:pP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由县级或相关部门根据工作需求出具委托书后向市核对中心提出核对申请，由市级平台发起核对请求，各职能部门反馈信息，市核对中心收集后形成核对报告，反馈各县区或相关部门。</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lang w:eastAsia="zh-CN"/>
              </w:rPr>
            </w:pPr>
            <w:r>
              <w:rPr>
                <w:rFonts w:hint="eastAsia" w:ascii="仿宋_GB2312" w:hAnsi="仿宋_GB2312" w:eastAsia="仿宋_GB2312" w:cs="仿宋_GB2312"/>
                <w:color w:val="auto"/>
                <w:sz w:val="22"/>
                <w:szCs w:val="22"/>
                <w:shd w:val="clear" w:color="070000" w:fill="FFFFFF"/>
                <w:lang w:eastAsia="zh-CN"/>
              </w:rPr>
              <w:t>社会救助与儿童福利科</w:t>
            </w:r>
          </w:p>
          <w:p>
            <w:pPr>
              <w:widowControl/>
              <w:wordWrap/>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9" w:type="dxa"/>
          <w:trHeight w:val="282" w:hRule="atLeast"/>
          <w:jc w:val="center"/>
        </w:trPr>
        <w:tc>
          <w:tcPr>
            <w:tcW w:w="13933" w:type="dxa"/>
            <w:gridSpan w:val="7"/>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0"/>
                <w:sz w:val="22"/>
                <w:szCs w:val="22"/>
              </w:rPr>
              <w:t xml:space="preserve">服务电话：0377-63191225              投诉机构:南阳市纪委监委驻市民政局纪检监察组                   投诉电话：0377-63137277   </w:t>
            </w:r>
          </w:p>
        </w:tc>
        <w:tc>
          <w:tcPr>
            <w:tcW w:w="1330"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cs="仿宋_GB2312"/>
                <w:color w:val="auto"/>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9" w:type="dxa"/>
          <w:trHeight w:val="267" w:hRule="atLeast"/>
          <w:jc w:val="center"/>
        </w:trPr>
        <w:tc>
          <w:tcPr>
            <w:tcW w:w="15263" w:type="dxa"/>
            <w:gridSpan w:val="8"/>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0"/>
                <w:sz w:val="22"/>
                <w:szCs w:val="22"/>
              </w:rPr>
              <w:t>受理地点：南阳市范蠡东路1666号市民服务中心北区1号楼6楼</w:t>
            </w:r>
            <w:r>
              <w:rPr>
                <w:rFonts w:hint="eastAsia" w:ascii="仿宋_GB2312" w:hAnsi="仿宋_GB2312" w:eastAsia="仿宋_GB2312" w:cs="仿宋_GB2312"/>
                <w:color w:val="auto"/>
                <w:kern w:val="0"/>
                <w:sz w:val="22"/>
                <w:szCs w:val="22"/>
                <w:lang w:val="en-US" w:eastAsia="zh-CN"/>
              </w:rPr>
              <w:t>647室</w:t>
            </w:r>
            <w:r>
              <w:rPr>
                <w:rFonts w:hint="eastAsia" w:ascii="仿宋_GB2312" w:hAnsi="仿宋_GB2312" w:eastAsia="仿宋_GB2312" w:cs="仿宋_GB2312"/>
                <w:color w:val="auto"/>
                <w:kern w:val="0"/>
                <w:sz w:val="22"/>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9" w:type="dxa"/>
          <w:trHeight w:val="1330" w:hRule="atLeast"/>
          <w:jc w:val="center"/>
        </w:trPr>
        <w:tc>
          <w:tcPr>
            <w:tcW w:w="45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lang w:val="en-US" w:eastAsia="zh-CN"/>
              </w:rPr>
              <w:t>38</w:t>
            </w:r>
          </w:p>
        </w:tc>
        <w:tc>
          <w:tcPr>
            <w:tcW w:w="1573" w:type="dxa"/>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慈善组织认定</w:t>
            </w:r>
          </w:p>
        </w:tc>
        <w:tc>
          <w:tcPr>
            <w:tcW w:w="7092" w:type="dxa"/>
            <w:gridSpan w:val="2"/>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《中华人民共和国慈善法》第十条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第二款本法公布前已经设立的基金会、社会团体、社会服务机构等非营利性组织，可以向其登记的民政部门申请认定为慈善组织，民政部门应当自受理申请之日起二十日内作出决定。符合慈善组织条件的，予以认定并向社会公告；不符合慈善组织条件的，不予认定并书面说明理由。</w:t>
            </w:r>
          </w:p>
        </w:tc>
        <w:tc>
          <w:tcPr>
            <w:tcW w:w="586"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行政确认</w:t>
            </w: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收件</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收件责任：对办事人提供的材料进行核查，申请材料齐全，予以收件；材料不完整的，退回并告知原因。</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9" w:type="dxa"/>
          <w:trHeight w:val="1827"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受理责任：对申请材料进行初审，材料符合相关要求的，予以受理，出具《受理通知书》；材料不符合相关要求的，不予受理，出具《不予受理通知书》，并说明理由。</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9" w:type="dxa"/>
          <w:trHeight w:val="316"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审核</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审核责任：对材料内容进行审核；按照法律法规规定，需启动特殊环节的，依法进行辅助审查。审核通过，上报审批；审核不通过，退回材料并告知原因。</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9" w:type="dxa"/>
          <w:trHeight w:val="705"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按规定送达当事人。</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9" w:type="dxa"/>
          <w:trHeight w:val="572"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其他法律法规规章文件规定的应履行的责任。</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6" w:hRule="atLeast"/>
          <w:jc w:val="center"/>
        </w:trPr>
        <w:tc>
          <w:tcPr>
            <w:tcW w:w="15282" w:type="dxa"/>
            <w:gridSpan w:val="9"/>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服务电话： 0377-61387717</w:t>
            </w:r>
            <w:r>
              <w:rPr>
                <w:rFonts w:hint="eastAsia" w:ascii="仿宋_GB2312" w:hAnsi="仿宋_GB2312" w:eastAsia="仿宋_GB2312" w:cs="仿宋_GB2312"/>
                <w:color w:val="auto"/>
                <w:kern w:val="0"/>
                <w:sz w:val="22"/>
                <w:szCs w:val="22"/>
                <w:lang w:val="en-US" w:eastAsia="zh-CN"/>
              </w:rPr>
              <w:t>6</w:t>
            </w:r>
            <w:r>
              <w:rPr>
                <w:rFonts w:hint="eastAsia" w:ascii="仿宋_GB2312" w:hAnsi="仿宋_GB2312" w:eastAsia="仿宋_GB2312" w:cs="仿宋_GB2312"/>
                <w:color w:val="auto"/>
                <w:kern w:val="0"/>
                <w:sz w:val="22"/>
                <w:szCs w:val="22"/>
              </w:rPr>
              <w:t xml:space="preserve">                投诉机构:南阳市纪委监委驻市民政局纪检监察组                    投诉电话：0377-63137277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95" w:hRule="atLeast"/>
          <w:jc w:val="center"/>
        </w:trPr>
        <w:tc>
          <w:tcPr>
            <w:tcW w:w="15282" w:type="dxa"/>
            <w:gridSpan w:val="9"/>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受理地点： 南阳市范蠡路1666号</w:t>
            </w:r>
            <w:r>
              <w:rPr>
                <w:rFonts w:hint="eastAsia" w:ascii="仿宋_GB2312" w:hAnsi="仿宋_GB2312" w:eastAsia="仿宋_GB2312" w:cs="仿宋_GB2312"/>
                <w:color w:val="auto"/>
                <w:kern w:val="0"/>
                <w:sz w:val="22"/>
                <w:szCs w:val="22"/>
                <w:lang w:eastAsia="zh-CN"/>
              </w:rPr>
              <w:t>市民服务中心北区</w:t>
            </w:r>
            <w:r>
              <w:rPr>
                <w:rFonts w:hint="eastAsia" w:ascii="仿宋_GB2312" w:hAnsi="仿宋_GB2312" w:eastAsia="仿宋_GB2312" w:cs="仿宋_GB2312"/>
                <w:color w:val="auto"/>
                <w:kern w:val="0"/>
                <w:sz w:val="22"/>
                <w:szCs w:val="22"/>
              </w:rPr>
              <w:t>3号楼一楼综合受理窗口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58" w:hRule="atLeast"/>
          <w:jc w:val="center"/>
        </w:trPr>
        <w:tc>
          <w:tcPr>
            <w:tcW w:w="450"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lang w:val="en-US" w:eastAsia="zh-CN"/>
              </w:rPr>
              <w:t>39</w:t>
            </w:r>
          </w:p>
        </w:tc>
        <w:tc>
          <w:tcPr>
            <w:tcW w:w="1573"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对在社会救助工作中成绩显著的单位和个人进行表彰奖励</w:t>
            </w:r>
          </w:p>
        </w:tc>
        <w:tc>
          <w:tcPr>
            <w:tcW w:w="7092" w:type="dxa"/>
            <w:gridSpan w:val="2"/>
            <w:tcMar>
              <w:top w:w="15" w:type="dxa"/>
              <w:left w:w="15" w:type="dxa"/>
              <w:right w:w="15" w:type="dxa"/>
            </w:tcMar>
            <w:vAlign w:val="center"/>
          </w:tcPr>
          <w:p>
            <w:pPr>
              <w:widowControl/>
              <w:wordWrap/>
              <w:adjustRightInd/>
              <w:snapToGrid/>
              <w:spacing w:before="0" w:after="0" w:line="300" w:lineRule="exact"/>
              <w:ind w:left="0" w:leftChars="0" w:right="0" w:firstLine="0" w:firstLineChars="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《社会救助暂行办法》（国务院令第649号）第八条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对在社会救助工作中作出显著成绩的单位、个人，按照国家有关规定给予表彰、奖励。</w:t>
            </w:r>
          </w:p>
        </w:tc>
        <w:tc>
          <w:tcPr>
            <w:tcW w:w="5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行政奖励</w:t>
            </w:r>
          </w:p>
        </w:tc>
        <w:tc>
          <w:tcPr>
            <w:tcW w:w="4232" w:type="dxa"/>
            <w:gridSpan w:val="2"/>
            <w:tcMar>
              <w:top w:w="15" w:type="dxa"/>
              <w:left w:w="15" w:type="dxa"/>
              <w:right w:w="15" w:type="dxa"/>
            </w:tcMar>
            <w:vAlign w:val="center"/>
          </w:tcPr>
          <w:p>
            <w:pPr>
              <w:widowControl/>
              <w:wordWrap/>
              <w:adjustRightInd/>
              <w:snapToGrid/>
              <w:spacing w:before="0" w:after="0" w:line="300" w:lineRule="exact"/>
              <w:ind w:left="0" w:leftChars="0" w:right="0" w:firstLine="0" w:firstLineChars="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根据社会救助工作要求，对在社会救助工作中成绩显著的单位和个人通过印发文件、发放牌匾的方式进行表彰、奖励。</w:t>
            </w:r>
          </w:p>
        </w:tc>
        <w:tc>
          <w:tcPr>
            <w:tcW w:w="1349" w:type="dxa"/>
            <w:gridSpan w:val="2"/>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lang w:eastAsia="zh-CN"/>
              </w:rPr>
            </w:pPr>
            <w:r>
              <w:rPr>
                <w:rFonts w:hint="eastAsia" w:ascii="仿宋_GB2312" w:hAnsi="仿宋_GB2312" w:eastAsia="仿宋_GB2312" w:cs="仿宋_GB2312"/>
                <w:color w:val="auto"/>
                <w:sz w:val="22"/>
                <w:szCs w:val="22"/>
                <w:shd w:val="clear" w:color="070000" w:fill="FFFFFF"/>
                <w:lang w:eastAsia="zh-CN"/>
              </w:rPr>
              <w:t>社会救助与儿童福利科</w:t>
            </w:r>
          </w:p>
          <w:p>
            <w:pPr>
              <w:widowControl/>
              <w:wordWrap/>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8" w:hRule="atLeast"/>
          <w:jc w:val="center"/>
        </w:trPr>
        <w:tc>
          <w:tcPr>
            <w:tcW w:w="15282" w:type="dxa"/>
            <w:gridSpan w:val="9"/>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0"/>
                <w:sz w:val="22"/>
                <w:szCs w:val="22"/>
              </w:rPr>
              <w:t xml:space="preserve">服务电话：0377-63191225              投诉机构:南阳市纪委监委驻市民政局纪检监察组                   投诉电话：0377-63137277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3" w:hRule="atLeast"/>
          <w:jc w:val="center"/>
        </w:trPr>
        <w:tc>
          <w:tcPr>
            <w:tcW w:w="15282" w:type="dxa"/>
            <w:gridSpan w:val="9"/>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0"/>
                <w:sz w:val="22"/>
                <w:szCs w:val="22"/>
              </w:rPr>
              <w:t>受理地点：南阳市范蠡东路1666号市民服务中心北区1号楼6楼</w:t>
            </w:r>
            <w:r>
              <w:rPr>
                <w:rFonts w:hint="eastAsia" w:ascii="仿宋_GB2312" w:hAnsi="仿宋_GB2312" w:eastAsia="仿宋_GB2312" w:cs="仿宋_GB2312"/>
                <w:color w:val="auto"/>
                <w:kern w:val="0"/>
                <w:sz w:val="22"/>
                <w:szCs w:val="22"/>
                <w:lang w:val="en-US" w:eastAsia="zh-CN"/>
              </w:rPr>
              <w:t>647室</w:t>
            </w:r>
            <w:r>
              <w:rPr>
                <w:rFonts w:hint="eastAsia" w:ascii="仿宋_GB2312" w:hAnsi="仿宋_GB2312" w:eastAsia="仿宋_GB2312" w:cs="仿宋_GB2312"/>
                <w:color w:val="auto"/>
                <w:kern w:val="0"/>
                <w:sz w:val="22"/>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9" w:type="dxa"/>
          <w:trHeight w:val="90" w:hRule="atLeast"/>
          <w:jc w:val="center"/>
        </w:trPr>
        <w:tc>
          <w:tcPr>
            <w:tcW w:w="45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lang w:val="en-US" w:eastAsia="zh-CN"/>
              </w:rPr>
              <w:t>40</w:t>
            </w:r>
          </w:p>
        </w:tc>
        <w:tc>
          <w:tcPr>
            <w:tcW w:w="1573" w:type="dxa"/>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慈善表彰</w:t>
            </w:r>
          </w:p>
        </w:tc>
        <w:tc>
          <w:tcPr>
            <w:tcW w:w="7092" w:type="dxa"/>
            <w:gridSpan w:val="2"/>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《中华人民共和国慈善法》第九十一条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国家建立慈善表彰制度，对在慈善事业发展中做出突出贡献的自然人、法人和其他组织由县级以上人民政府或有关部门予以表彰。</w:t>
            </w:r>
          </w:p>
        </w:tc>
        <w:tc>
          <w:tcPr>
            <w:tcW w:w="586"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行政奖励</w:t>
            </w: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收件</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收件责任：对办事人提供的材料进行核查，申请材料齐全，予以收件；材料不完整的，退回并告知原因。</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9" w:type="dxa"/>
          <w:trHeight w:val="1137"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受理责任：对收到的推荐或自荐候选对象材料进行汇总、初审。申请材料齐全、符合法定形式的，予以受理；不符合相关要求的，退回并告知原因。</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9" w:type="dxa"/>
          <w:trHeight w:val="1138"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审核</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0"/>
                <w:szCs w:val="20"/>
              </w:rPr>
            </w:pPr>
            <w:r>
              <w:rPr>
                <w:rFonts w:hint="eastAsia" w:ascii="仿宋_GB2312" w:hAnsi="仿宋_GB2312" w:eastAsia="仿宋_GB2312" w:cs="仿宋_GB2312"/>
                <w:color w:val="auto"/>
                <w:kern w:val="0"/>
                <w:sz w:val="20"/>
                <w:szCs w:val="20"/>
              </w:rPr>
              <w:t>审核责任：对候选对象在慈善领域的贡献程度、社会影响、区域和行业布局、申报材料规范程度等因素，提出当届慈善奖建议提名名单。</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9" w:type="dxa"/>
          <w:trHeight w:val="480"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0"/>
                <w:sz w:val="22"/>
                <w:szCs w:val="22"/>
              </w:rPr>
              <w:t>送达</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0"/>
                <w:sz w:val="22"/>
                <w:szCs w:val="22"/>
              </w:rPr>
              <w:t>按规定送达当事人。</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shd w:val="clear" w:color="070000" w:fill="FFFFFF"/>
              </w:rPr>
              <w:t>服务科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9" w:type="dxa"/>
          <w:trHeight w:val="636"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kern w:val="2"/>
                <w:sz w:val="22"/>
                <w:szCs w:val="22"/>
                <w:lang w:val="en-US" w:eastAsia="zh-CN" w:bidi="ar-SA"/>
              </w:rPr>
            </w:pP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0"/>
                <w:sz w:val="22"/>
                <w:szCs w:val="22"/>
              </w:rPr>
              <w:t>其他法律法规规章文件规定的应履行的责任。</w:t>
            </w:r>
          </w:p>
        </w:tc>
        <w:tc>
          <w:tcPr>
            <w:tcW w:w="133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9" w:type="dxa"/>
          <w:trHeight w:val="464" w:hRule="atLeast"/>
          <w:jc w:val="center"/>
        </w:trPr>
        <w:tc>
          <w:tcPr>
            <w:tcW w:w="15263" w:type="dxa"/>
            <w:gridSpan w:val="8"/>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服务电话：0377-63173027                   投诉机构:南阳市纪委监委驻市民政局纪检监察组                        投诉电话：0377-63137277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9" w:type="dxa"/>
          <w:trHeight w:val="449" w:hRule="atLeast"/>
          <w:jc w:val="center"/>
        </w:trPr>
        <w:tc>
          <w:tcPr>
            <w:tcW w:w="15263" w:type="dxa"/>
            <w:gridSpan w:val="8"/>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受理地点：南阳市宛城区仲景街道范蠡路东路1666号市行政审批服务中心南区3号楼一楼综合窗口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08" w:hRule="atLeast"/>
          <w:jc w:val="center"/>
        </w:trPr>
        <w:tc>
          <w:tcPr>
            <w:tcW w:w="45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lang w:val="en-US" w:eastAsia="zh-CN"/>
              </w:rPr>
              <w:t>41</w:t>
            </w:r>
          </w:p>
        </w:tc>
        <w:tc>
          <w:tcPr>
            <w:tcW w:w="1573" w:type="dxa"/>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建设经营性公墓（塔陵园）审核转报</w:t>
            </w:r>
          </w:p>
        </w:tc>
        <w:tc>
          <w:tcPr>
            <w:tcW w:w="7092" w:type="dxa"/>
            <w:gridSpan w:val="2"/>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rPr>
              <w:t>《殡葬管理条例》第二章殡葬设施管理第八条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利用外资建设殡葬设施，经省、自治区、直辖市人民政府民政部门审核同意后，报国务院民政部门审批。农村为村民设置公益性墓地，经乡级人民政府审核同意后，报县级人民政府民政部门审批。</w:t>
            </w:r>
          </w:p>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《公墓管理暂行办法》第二章公墓的建立第十条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建立经营性公墓，由建墓单位向县级民政部门提出申请，经同级人民政府审核同意，报省、自治区、直辖市民政厅（局）批准。</w:t>
            </w:r>
          </w:p>
        </w:tc>
        <w:tc>
          <w:tcPr>
            <w:tcW w:w="586"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其他职权</w:t>
            </w: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接收县级人民政府、民政部门申报材料。</w:t>
            </w:r>
          </w:p>
        </w:tc>
        <w:tc>
          <w:tcPr>
            <w:tcW w:w="1349" w:type="dxa"/>
            <w:gridSpan w:val="2"/>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lang w:eastAsia="zh-CN"/>
              </w:rPr>
            </w:pPr>
            <w:r>
              <w:rPr>
                <w:rFonts w:hint="eastAsia" w:ascii="仿宋_GB2312" w:hAnsi="仿宋_GB2312" w:eastAsia="仿宋_GB2312" w:cs="仿宋_GB2312"/>
                <w:color w:val="auto"/>
                <w:sz w:val="22"/>
                <w:szCs w:val="22"/>
                <w:shd w:val="clear" w:color="070000" w:fill="FFFFFF"/>
                <w:lang w:eastAsia="zh-CN"/>
              </w:rPr>
              <w:t>社会事务科</w:t>
            </w:r>
          </w:p>
          <w:p>
            <w:pPr>
              <w:wordWrap/>
              <w:adjustRightInd/>
              <w:snapToGrid/>
              <w:spacing w:before="0" w:after="0" w:line="300" w:lineRule="exact"/>
              <w:ind w:left="0" w:leftChars="0" w:right="0"/>
              <w:jc w:val="both"/>
              <w:outlineLvl w:val="9"/>
              <w:rPr>
                <w:rFonts w:hint="eastAsia" w:ascii="仿宋_GB2312" w:hAnsi="仿宋_GB2312" w:eastAsia="仿宋_GB2312" w:cs="仿宋_GB2312"/>
                <w:color w:val="auto"/>
                <w:sz w:val="22"/>
                <w:szCs w:val="22"/>
                <w:shd w:val="clear" w:color="070000" w:fill="FFFFFF"/>
              </w:rPr>
            </w:pP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52"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审核材料，材料齐全，符合法定程序，转报省民政部门，对不符合法规条件的，不予受理，并依法告知理由。</w:t>
            </w:r>
          </w:p>
        </w:tc>
        <w:tc>
          <w:tcPr>
            <w:tcW w:w="1349" w:type="dxa"/>
            <w:gridSpan w:val="2"/>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社会事务科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15282" w:type="dxa"/>
            <w:gridSpan w:val="9"/>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服务电话： 0377-63134895                   投诉机构:南阳市纪委监委驻市民政局纪检监察组                    投诉电话：0377-63137277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15282" w:type="dxa"/>
            <w:gridSpan w:val="9"/>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受理地点： 南阳市范蠡路1666号</w:t>
            </w:r>
            <w:r>
              <w:rPr>
                <w:rFonts w:hint="eastAsia" w:ascii="仿宋_GB2312" w:hAnsi="仿宋_GB2312" w:eastAsia="仿宋_GB2312" w:cs="仿宋_GB2312"/>
                <w:color w:val="auto"/>
                <w:kern w:val="0"/>
                <w:sz w:val="22"/>
                <w:szCs w:val="22"/>
                <w:lang w:eastAsia="zh-CN"/>
              </w:rPr>
              <w:t>市民服务中心北区</w:t>
            </w:r>
            <w:r>
              <w:rPr>
                <w:rFonts w:hint="eastAsia" w:ascii="仿宋_GB2312" w:hAnsi="仿宋_GB2312" w:eastAsia="仿宋_GB2312" w:cs="仿宋_GB2312"/>
                <w:color w:val="auto"/>
                <w:kern w:val="0"/>
                <w:sz w:val="22"/>
                <w:szCs w:val="22"/>
              </w:rPr>
              <w:t>1号楼5楼546室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9" w:type="dxa"/>
          <w:trHeight w:val="4157" w:hRule="atLeast"/>
          <w:jc w:val="center"/>
        </w:trPr>
        <w:tc>
          <w:tcPr>
            <w:tcW w:w="450"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lang w:val="en-US" w:eastAsia="zh-CN"/>
              </w:rPr>
              <w:t>42</w:t>
            </w:r>
          </w:p>
        </w:tc>
        <w:tc>
          <w:tcPr>
            <w:tcW w:w="1573"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pacing w:val="-6"/>
                <w:kern w:val="0"/>
                <w:sz w:val="22"/>
                <w:szCs w:val="22"/>
              </w:rPr>
              <w:t>拟定并组织实施全市有关社会救助工作的措施和标准，分配和监管困难群众救助补助资金，参与拟订社会救助相关办法</w:t>
            </w:r>
          </w:p>
        </w:tc>
        <w:tc>
          <w:tcPr>
            <w:tcW w:w="7092" w:type="dxa"/>
            <w:gridSpan w:val="2"/>
            <w:tcMar>
              <w:top w:w="15" w:type="dxa"/>
              <w:left w:w="15" w:type="dxa"/>
              <w:right w:w="15" w:type="dxa"/>
            </w:tcMar>
            <w:vAlign w:val="center"/>
          </w:tcPr>
          <w:p>
            <w:pPr>
              <w:widowControl/>
              <w:wordWrap/>
              <w:adjustRightInd/>
              <w:snapToGrid/>
              <w:spacing w:before="0" w:after="0" w:line="300" w:lineRule="exact"/>
              <w:ind w:left="0" w:leftChars="0" w:right="0" w:firstLine="0" w:firstLineChars="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b w:val="0"/>
                <w:bCs w:val="0"/>
                <w:color w:val="auto"/>
                <w:kern w:val="0"/>
                <w:sz w:val="22"/>
                <w:szCs w:val="22"/>
              </w:rPr>
              <w:t>中共南阳市委办公室南阳市人民政府办公室关于印发《南阳市民政局职能配置、内设机构和人员编制规定》的通知。第五条第三项社会救助科：拟定并组织实施全市城乡居民最低生活保障、特困人员救助供养、临时救助等社会救助政策性措施和标准，健全城乡社会救助体系，承担困难群众救助补助资金分配和监管工作。组织开展低收入家庭经济状况信息核对工作；参与拟订医疗、住房、教育、就业、司法等救助相关办法。</w:t>
            </w:r>
          </w:p>
        </w:tc>
        <w:tc>
          <w:tcPr>
            <w:tcW w:w="5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其他职权</w:t>
            </w: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textAlignment w:val="center"/>
              <w:outlineLvl w:val="9"/>
              <w:rPr>
                <w:rFonts w:hint="eastAsia" w:ascii="仿宋_GB2312" w:hAnsi="仿宋_GB2312" w:eastAsia="仿宋_GB2312" w:cs="仿宋_GB2312"/>
                <w:color w:val="auto"/>
                <w:kern w:val="0"/>
                <w:sz w:val="22"/>
                <w:szCs w:val="22"/>
              </w:rPr>
            </w:pP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根据社会救助工作需要，拟定并组织实施全市城乡居民最低生活保障、特困人员救助供养、临时救助等社会救助政策性措施和标准，健全城乡社会救助体系，承担困难群众救助补助资金分配和监管工作。组织开展低收入家庭经济状况信息核对工作；参与拟订医疗、住房、教育、就业、司法等救助相关办法。</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lang w:eastAsia="zh-CN"/>
              </w:rPr>
            </w:pPr>
            <w:r>
              <w:rPr>
                <w:rFonts w:hint="eastAsia" w:ascii="仿宋_GB2312" w:hAnsi="仿宋_GB2312" w:eastAsia="仿宋_GB2312" w:cs="仿宋_GB2312"/>
                <w:color w:val="auto"/>
                <w:sz w:val="22"/>
                <w:szCs w:val="22"/>
                <w:shd w:val="clear" w:color="070000" w:fill="FFFFFF"/>
                <w:lang w:eastAsia="zh-CN"/>
              </w:rPr>
              <w:t>社会救助与儿童福利科</w:t>
            </w:r>
          </w:p>
          <w:p>
            <w:pPr>
              <w:widowControl/>
              <w:wordWrap/>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9" w:type="dxa"/>
          <w:trHeight w:val="2687" w:hRule="atLeast"/>
          <w:jc w:val="center"/>
        </w:trPr>
        <w:tc>
          <w:tcPr>
            <w:tcW w:w="450"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lang w:val="en-US" w:eastAsia="zh-CN"/>
              </w:rPr>
              <w:t>43</w:t>
            </w:r>
          </w:p>
        </w:tc>
        <w:tc>
          <w:tcPr>
            <w:tcW w:w="1573"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pacing w:val="-6"/>
                <w:kern w:val="0"/>
                <w:sz w:val="22"/>
                <w:szCs w:val="22"/>
              </w:rPr>
              <w:t>指</w:t>
            </w:r>
            <w:r>
              <w:rPr>
                <w:rFonts w:hint="eastAsia" w:ascii="仿宋_GB2312" w:hAnsi="仿宋_GB2312" w:eastAsia="仿宋_GB2312" w:cs="仿宋_GB2312"/>
                <w:color w:val="auto"/>
                <w:kern w:val="0"/>
                <w:sz w:val="22"/>
                <w:szCs w:val="22"/>
              </w:rPr>
              <w:t>导各县区对最低生活保障对象、特困供养对象、临时救助对象进行监督检查</w:t>
            </w:r>
          </w:p>
        </w:tc>
        <w:tc>
          <w:tcPr>
            <w:tcW w:w="7092" w:type="dxa"/>
            <w:gridSpan w:val="2"/>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《社会救助暂行办法》</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国务院令第649号</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第五十七条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 xml:space="preserve">县级以上人民政府及其社会救助管理部门应当加强对社会救助工作的监督检查，完善相关监督管理制度。 </w:t>
            </w:r>
          </w:p>
        </w:tc>
        <w:tc>
          <w:tcPr>
            <w:tcW w:w="586"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其他职权</w:t>
            </w: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textAlignment w:val="center"/>
              <w:outlineLvl w:val="9"/>
              <w:rPr>
                <w:rFonts w:hint="eastAsia" w:ascii="仿宋_GB2312" w:hAnsi="仿宋_GB2312" w:eastAsia="仿宋_GB2312" w:cs="仿宋_GB2312"/>
                <w:color w:val="auto"/>
                <w:kern w:val="0"/>
                <w:sz w:val="22"/>
                <w:szCs w:val="22"/>
              </w:rPr>
            </w:pP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根据社会救助工作需要，指导县区对最低生活保障对象、特困供养对象、临时救助对象进行监督检查。</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lang w:eastAsia="zh-CN"/>
              </w:rPr>
            </w:pPr>
            <w:r>
              <w:rPr>
                <w:rFonts w:hint="eastAsia" w:ascii="仿宋_GB2312" w:hAnsi="仿宋_GB2312" w:eastAsia="仿宋_GB2312" w:cs="仿宋_GB2312"/>
                <w:color w:val="auto"/>
                <w:sz w:val="22"/>
                <w:szCs w:val="22"/>
                <w:shd w:val="clear" w:color="070000" w:fill="FFFFFF"/>
                <w:lang w:eastAsia="zh-CN"/>
              </w:rPr>
              <w:t>社会救助与儿童福利科</w:t>
            </w:r>
          </w:p>
          <w:p>
            <w:pPr>
              <w:widowControl/>
              <w:wordWrap/>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9" w:type="dxa"/>
          <w:trHeight w:val="693" w:hRule="exact"/>
          <w:jc w:val="center"/>
        </w:trPr>
        <w:tc>
          <w:tcPr>
            <w:tcW w:w="15263" w:type="dxa"/>
            <w:gridSpan w:val="8"/>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 xml:space="preserve">服务电话：0377-63191225              投诉机构:南阳市纪委监委驻市民政局纪检监察组                   投诉电话：0377-63137277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9" w:type="dxa"/>
          <w:trHeight w:val="649" w:hRule="exact"/>
          <w:jc w:val="center"/>
        </w:trPr>
        <w:tc>
          <w:tcPr>
            <w:tcW w:w="15263" w:type="dxa"/>
            <w:gridSpan w:val="8"/>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受理地点：南阳市范蠡东路1666号市民服务中心北区1号楼6楼</w:t>
            </w:r>
            <w:r>
              <w:rPr>
                <w:rFonts w:hint="eastAsia" w:ascii="仿宋_GB2312" w:hAnsi="仿宋_GB2312" w:eastAsia="仿宋_GB2312" w:cs="仿宋_GB2312"/>
                <w:color w:val="auto"/>
                <w:kern w:val="0"/>
                <w:sz w:val="22"/>
                <w:szCs w:val="22"/>
                <w:lang w:val="en-US" w:eastAsia="zh-CN"/>
              </w:rPr>
              <w:t>647室</w:t>
            </w:r>
            <w:r>
              <w:rPr>
                <w:rFonts w:hint="eastAsia" w:ascii="仿宋_GB2312" w:hAnsi="仿宋_GB2312" w:eastAsia="仿宋_GB2312" w:cs="仿宋_GB2312"/>
                <w:color w:val="auto"/>
                <w:kern w:val="0"/>
                <w:sz w:val="22"/>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9" w:type="dxa"/>
          <w:trHeight w:val="948" w:hRule="atLeast"/>
          <w:jc w:val="center"/>
        </w:trPr>
        <w:tc>
          <w:tcPr>
            <w:tcW w:w="45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lang w:val="en-US" w:eastAsia="zh-CN"/>
              </w:rPr>
              <w:t>44</w:t>
            </w:r>
          </w:p>
        </w:tc>
        <w:tc>
          <w:tcPr>
            <w:tcW w:w="1590" w:type="dxa"/>
            <w:gridSpan w:val="2"/>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住宅区及建筑物名称备案</w:t>
            </w:r>
          </w:p>
        </w:tc>
        <w:tc>
          <w:tcPr>
            <w:tcW w:w="7075" w:type="dxa"/>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kern w:val="0"/>
                <w:sz w:val="22"/>
                <w:szCs w:val="22"/>
              </w:rPr>
              <w:t>《地名管理条例》第六条第七项：其他地名，由省、自治区、直辖市人民政府规定审批程序。                                                                                                                       《河南省地名管理办法》第十八条：宾馆（酒店）、商场、写字楼等大型建筑物及居民住宅区名称的命名、更名,由其产权人或者管理人将拟用名称向所在地省辖市、县（市）民政部门备案</w:t>
            </w:r>
            <w:r>
              <w:rPr>
                <w:rFonts w:hint="eastAsia" w:ascii="仿宋_GB2312" w:hAnsi="仿宋_GB2312" w:eastAsia="仿宋_GB2312" w:cs="仿宋_GB2312"/>
                <w:color w:val="auto"/>
                <w:kern w:val="0"/>
                <w:sz w:val="22"/>
                <w:szCs w:val="22"/>
                <w:lang w:eastAsia="zh-CN"/>
              </w:rPr>
              <w:t>。</w:t>
            </w:r>
          </w:p>
        </w:tc>
        <w:tc>
          <w:tcPr>
            <w:tcW w:w="586"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其他职权</w:t>
            </w: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pacing w:val="-6"/>
                <w:sz w:val="22"/>
                <w:szCs w:val="22"/>
              </w:rPr>
            </w:pPr>
            <w:r>
              <w:rPr>
                <w:rFonts w:hint="eastAsia" w:ascii="仿宋_GB2312" w:hAnsi="仿宋_GB2312" w:eastAsia="仿宋_GB2312" w:cs="仿宋_GB2312"/>
                <w:color w:val="auto"/>
                <w:spacing w:val="-6"/>
                <w:kern w:val="0"/>
                <w:sz w:val="22"/>
                <w:szCs w:val="22"/>
              </w:rPr>
              <w:t>产权人或管理人提出申请①申请表；②建筑物或小区规划总平面图。</w:t>
            </w:r>
          </w:p>
        </w:tc>
        <w:tc>
          <w:tcPr>
            <w:tcW w:w="1330" w:type="dxa"/>
            <w:vMerge w:val="restart"/>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9" w:type="dxa"/>
          <w:trHeight w:val="583"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75"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pacing w:val="-6"/>
                <w:sz w:val="22"/>
                <w:szCs w:val="22"/>
              </w:rPr>
            </w:pPr>
            <w:r>
              <w:rPr>
                <w:rFonts w:hint="eastAsia" w:ascii="仿宋_GB2312" w:hAnsi="仿宋_GB2312" w:eastAsia="仿宋_GB2312" w:cs="仿宋_GB2312"/>
                <w:color w:val="auto"/>
                <w:spacing w:val="-6"/>
                <w:kern w:val="0"/>
                <w:sz w:val="22"/>
                <w:szCs w:val="22"/>
              </w:rPr>
              <w:t>提交的文件、材料进行审核。</w:t>
            </w:r>
          </w:p>
        </w:tc>
        <w:tc>
          <w:tcPr>
            <w:tcW w:w="133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9" w:type="dxa"/>
          <w:trHeight w:val="1114"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75"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经材料审查，符合法规要求的依法同意备案。</w:t>
            </w:r>
          </w:p>
        </w:tc>
        <w:tc>
          <w:tcPr>
            <w:tcW w:w="133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9" w:type="dxa"/>
          <w:trHeight w:val="1563"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75"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邮寄或现场领取。</w:t>
            </w:r>
          </w:p>
        </w:tc>
        <w:tc>
          <w:tcPr>
            <w:tcW w:w="133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9" w:type="dxa"/>
          <w:trHeight w:val="390" w:hRule="atLeast"/>
          <w:jc w:val="center"/>
        </w:trPr>
        <w:tc>
          <w:tcPr>
            <w:tcW w:w="45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lang w:val="en-US" w:eastAsia="zh-CN"/>
              </w:rPr>
              <w:t>45</w:t>
            </w:r>
          </w:p>
        </w:tc>
        <w:tc>
          <w:tcPr>
            <w:tcW w:w="1590" w:type="dxa"/>
            <w:gridSpan w:val="2"/>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地名命名、更名、登记审批</w:t>
            </w:r>
          </w:p>
        </w:tc>
        <w:tc>
          <w:tcPr>
            <w:tcW w:w="7075" w:type="dxa"/>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《河南省地名管理办法》第十条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自然地理实体名称的命名、更名按照下列程序和权限审批:省辖市内涉及两个以上县级行政区域的自然地理实体名称,由有关县级人民政府提出申请,经省辖市民政部门审核并提出意见后报省辖市人民政府审批。</w:t>
            </w:r>
          </w:p>
        </w:tc>
        <w:tc>
          <w:tcPr>
            <w:tcW w:w="586"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其他职权</w:t>
            </w: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县区级人民政府提出申请。</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lang w:eastAsia="zh-CN"/>
              </w:rPr>
            </w:pPr>
            <w:r>
              <w:rPr>
                <w:rFonts w:hint="eastAsia" w:ascii="仿宋_GB2312" w:hAnsi="仿宋_GB2312" w:eastAsia="仿宋_GB2312" w:cs="仿宋_GB2312"/>
                <w:color w:val="auto"/>
                <w:kern w:val="0"/>
                <w:sz w:val="22"/>
                <w:szCs w:val="22"/>
              </w:rPr>
              <w:t>市政府办</w:t>
            </w:r>
            <w:r>
              <w:rPr>
                <w:rFonts w:hint="eastAsia" w:ascii="仿宋_GB2312" w:hAnsi="仿宋_GB2312" w:eastAsia="仿宋_GB2312" w:cs="仿宋_GB2312"/>
                <w:color w:val="auto"/>
                <w:kern w:val="0"/>
                <w:sz w:val="22"/>
                <w:szCs w:val="22"/>
                <w:lang w:eastAsia="zh-CN"/>
              </w:rPr>
              <w:t>、区划地名科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9" w:type="dxa"/>
          <w:trHeight w:val="793"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75"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kern w:val="0"/>
                <w:sz w:val="22"/>
                <w:szCs w:val="22"/>
              </w:rPr>
              <w:t>提交的文件、材料进行审核</w:t>
            </w:r>
            <w:r>
              <w:rPr>
                <w:rFonts w:hint="eastAsia" w:ascii="仿宋_GB2312" w:hAnsi="仿宋_GB2312" w:eastAsia="仿宋_GB2312" w:cs="仿宋_GB2312"/>
                <w:color w:val="auto"/>
                <w:kern w:val="0"/>
                <w:sz w:val="22"/>
                <w:szCs w:val="22"/>
                <w:lang w:eastAsia="zh-CN"/>
              </w:rPr>
              <w:t>。</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lang w:eastAsia="zh-CN"/>
              </w:rPr>
            </w:pPr>
            <w:r>
              <w:rPr>
                <w:rFonts w:hint="eastAsia" w:ascii="仿宋_GB2312" w:hAnsi="仿宋_GB2312" w:eastAsia="仿宋_GB2312" w:cs="仿宋_GB2312"/>
                <w:color w:val="auto"/>
                <w:sz w:val="22"/>
                <w:szCs w:val="22"/>
                <w:shd w:val="clear" w:color="070000" w:fill="FFFFFF"/>
                <w:lang w:eastAsia="zh-CN"/>
              </w:rPr>
              <w:t>区划地名科</w:t>
            </w:r>
          </w:p>
          <w:p>
            <w:pPr>
              <w:wordWrap/>
              <w:adjustRightInd/>
              <w:snapToGrid/>
              <w:spacing w:before="0" w:after="0" w:line="300" w:lineRule="exact"/>
              <w:ind w:left="0" w:leftChars="0" w:right="0"/>
              <w:jc w:val="both"/>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9" w:type="dxa"/>
          <w:trHeight w:val="643"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75"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经材料审查，符合法规要求的报政府审批。</w:t>
            </w:r>
          </w:p>
        </w:tc>
        <w:tc>
          <w:tcPr>
            <w:tcW w:w="133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市政府办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9" w:type="dxa"/>
          <w:trHeight w:val="1042"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75"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市人民政府批复同意。</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9" w:type="dxa"/>
          <w:trHeight w:val="1181" w:hRule="atLeast"/>
          <w:jc w:val="center"/>
        </w:trPr>
        <w:tc>
          <w:tcPr>
            <w:tcW w:w="45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lang w:val="en-US" w:eastAsia="zh-CN"/>
              </w:rPr>
              <w:t>46</w:t>
            </w:r>
          </w:p>
        </w:tc>
        <w:tc>
          <w:tcPr>
            <w:tcW w:w="1590" w:type="dxa"/>
            <w:gridSpan w:val="2"/>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地名的命名、更名审核及转报</w:t>
            </w:r>
          </w:p>
        </w:tc>
        <w:tc>
          <w:tcPr>
            <w:tcW w:w="7075" w:type="dxa"/>
            <w:vMerge w:val="restart"/>
            <w:tcMar>
              <w:top w:w="15" w:type="dxa"/>
              <w:left w:w="15" w:type="dxa"/>
              <w:right w:w="15" w:type="dxa"/>
            </w:tcMar>
            <w:vAlign w:val="top"/>
          </w:tcPr>
          <w:p>
            <w:pPr>
              <w:widowControl/>
              <w:wordWrap/>
              <w:adjustRightInd/>
              <w:snapToGrid/>
              <w:spacing w:before="0" w:after="0" w:line="280" w:lineRule="exact"/>
              <w:ind w:left="0" w:leftChars="0" w:right="0" w:firstLine="0" w:firstLineChars="0"/>
              <w:jc w:val="both"/>
              <w:textAlignment w:val="top"/>
              <w:outlineLvl w:val="9"/>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rPr>
              <w:t>《河南省地名管理办法》第十条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自然地理实体名称的命名、更名按照下列程序和权限审批:(一)国内外著名的或者涉及省外的自然地理实体名称,由省民政部门提出意见,经省人民政府审核后报国务院审批;(二)省内涉及两个以上省辖市行政区域的自然地理实体名称,由有关省辖市人民政府提出申请,经省民政部门审核并提出意见后报省人民政府审批。第十一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行政区划名称的命名、更名,按照国务院《关于行政区划管理的规定》办理</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第十五条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专业区名称的命名、更名按照下列程序和权限审批:(一)产业集聚区、工业区、开发区、保税区、煤田、油田、农区、林区、渔区、矿区等专业区名称的命名、更名,由专业区管理部门提出申请,经所在地县级以上民政部门审核并提出意见后报本级人民政府审批;(二)省辖市所辖城市新区名称的命名、更名,由省辖市人民政府提出申请,经省民政部门审核并提出意见后报省人民政府审批。第十七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纪念地和旅游地名称的命名、更名,由纪念地和旅游地的管理单位向其专业主管部门提出申请,征得所在地民政部门同意后由专业主管部门审批。第二十条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因自然变化、行政区划调整和城乡建设等原因消失的地名,应当按照《地名管理条例》和本办法规定的地名命名、更名的审批程序和权限予以销名。县级以上民政部门应当建立历史地名档案和历史地名保护名录,历史地名保护名录中的在用地名不得随意更名。</w:t>
            </w:r>
          </w:p>
          <w:p>
            <w:pPr>
              <w:widowControl/>
              <w:wordWrap/>
              <w:adjustRightInd/>
              <w:snapToGrid/>
              <w:spacing w:before="0" w:after="0" w:line="280" w:lineRule="exact"/>
              <w:ind w:left="0" w:leftChars="0" w:right="0" w:firstLine="0" w:firstLineChars="0"/>
              <w:jc w:val="both"/>
              <w:textAlignment w:val="top"/>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《行政区划管理条例》第四条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国务院民政部门负责全国行政区划的具体管理工作。国务院其他有关部门按照各自职责做好全国行政区划相关的管理工作。县级以上地方人民政府民政部门负责本行政区域行政区划的具体管理工作。县级以上地方人民政府其他有关部门按照各自职责做好本行政区域行政区划相关的管理工作。第六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省、自治区、直辖市的设立、撤销、更名，报全国人民代表大会批准。第七条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下列行政区划的变更由国务院审批：（二）自治州、县、自治县、市、市辖区的设立、撤销、更名和隶属关系的变更以及自治州、自治县、设区的市人民政府驻地的迁移；（四）凡涉及海岸线、海岛、边疆要地、湖泊、重要资源地区及特殊情况地区的隶属关系或者行政区域界线的变更。第十二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依照本条例报送国务院备案的事项，径送国务院民政部门。</w:t>
            </w:r>
          </w:p>
        </w:tc>
        <w:tc>
          <w:tcPr>
            <w:tcW w:w="586"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其他职权</w:t>
            </w: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县区级人民政府或专业部门提出申请。</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kern w:val="0"/>
                <w:sz w:val="22"/>
                <w:szCs w:val="22"/>
              </w:rPr>
              <w:t>市政府办</w:t>
            </w:r>
            <w:r>
              <w:rPr>
                <w:rFonts w:hint="eastAsia" w:ascii="仿宋_GB2312" w:hAnsi="仿宋_GB2312" w:eastAsia="仿宋_GB2312" w:cs="仿宋_GB2312"/>
                <w:color w:val="auto"/>
                <w:kern w:val="0"/>
                <w:sz w:val="22"/>
                <w:szCs w:val="22"/>
                <w:lang w:eastAsia="zh-CN"/>
              </w:rPr>
              <w:t>、区划地名科</w:t>
            </w:r>
          </w:p>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9" w:type="dxa"/>
          <w:trHeight w:val="1800"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right"/>
              <w:outlineLvl w:val="9"/>
              <w:rPr>
                <w:rFonts w:hint="eastAsia" w:ascii="仿宋_GB2312" w:hAnsi="仿宋_GB2312" w:eastAsia="仿宋_GB2312" w:cs="仿宋_GB2312"/>
                <w:color w:val="auto"/>
                <w:sz w:val="22"/>
                <w:szCs w:val="22"/>
              </w:rPr>
            </w:pPr>
          </w:p>
        </w:tc>
        <w:tc>
          <w:tcPr>
            <w:tcW w:w="1590"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75" w:type="dxa"/>
            <w:vMerge w:val="continue"/>
            <w:tcMar>
              <w:top w:w="15" w:type="dxa"/>
              <w:left w:w="15" w:type="dxa"/>
              <w:right w:w="15" w:type="dxa"/>
            </w:tcMar>
            <w:vAlign w:val="top"/>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民政部门进行材料审查，按照《河南省地名管理办法》第十条第二款和第十五条第二款；根据需要征求有关部门意见，组织专家论证，提出初审意见。</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lang w:eastAsia="zh-CN"/>
              </w:rPr>
            </w:pPr>
            <w:r>
              <w:rPr>
                <w:rFonts w:hint="eastAsia" w:ascii="仿宋_GB2312" w:hAnsi="仿宋_GB2312" w:eastAsia="仿宋_GB2312" w:cs="仿宋_GB2312"/>
                <w:color w:val="auto"/>
                <w:sz w:val="22"/>
                <w:szCs w:val="22"/>
                <w:shd w:val="clear" w:color="070000" w:fill="FFFFFF"/>
                <w:lang w:eastAsia="zh-CN"/>
              </w:rPr>
              <w:t>区划地名科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9" w:type="dxa"/>
          <w:trHeight w:val="2141"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right"/>
              <w:outlineLvl w:val="9"/>
              <w:rPr>
                <w:rFonts w:hint="eastAsia" w:ascii="仿宋_GB2312" w:hAnsi="仿宋_GB2312" w:eastAsia="仿宋_GB2312" w:cs="仿宋_GB2312"/>
                <w:color w:val="auto"/>
                <w:sz w:val="22"/>
                <w:szCs w:val="22"/>
              </w:rPr>
            </w:pPr>
          </w:p>
        </w:tc>
        <w:tc>
          <w:tcPr>
            <w:tcW w:w="1590"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75" w:type="dxa"/>
            <w:vMerge w:val="continue"/>
            <w:tcMar>
              <w:top w:w="15" w:type="dxa"/>
              <w:left w:w="15" w:type="dxa"/>
              <w:right w:w="15" w:type="dxa"/>
            </w:tcMar>
            <w:vAlign w:val="top"/>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民政部门向市政府提出是否进行命名、更名的审查建议，由市政府审核。</w:t>
            </w:r>
          </w:p>
        </w:tc>
        <w:tc>
          <w:tcPr>
            <w:tcW w:w="133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市政府办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9" w:type="dxa"/>
          <w:trHeight w:val="2141"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right"/>
              <w:outlineLvl w:val="9"/>
              <w:rPr>
                <w:rFonts w:hint="eastAsia" w:ascii="仿宋_GB2312" w:hAnsi="仿宋_GB2312" w:eastAsia="仿宋_GB2312" w:cs="仿宋_GB2312"/>
                <w:color w:val="auto"/>
                <w:sz w:val="22"/>
                <w:szCs w:val="22"/>
              </w:rPr>
            </w:pPr>
          </w:p>
        </w:tc>
        <w:tc>
          <w:tcPr>
            <w:tcW w:w="1590"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75" w:type="dxa"/>
            <w:vMerge w:val="continue"/>
            <w:tcMar>
              <w:top w:w="15" w:type="dxa"/>
              <w:left w:w="15" w:type="dxa"/>
              <w:right w:w="15" w:type="dxa"/>
            </w:tcMar>
            <w:vAlign w:val="top"/>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送达</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将审核意见报送省政府。</w:t>
            </w:r>
          </w:p>
        </w:tc>
        <w:tc>
          <w:tcPr>
            <w:tcW w:w="1330" w:type="dxa"/>
            <w:vMerge w:val="continue"/>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kern w:val="0"/>
                <w:sz w:val="22"/>
                <w:szCs w:val="22"/>
              </w:rPr>
            </w:pPr>
          </w:p>
        </w:tc>
      </w:tr>
    </w:tbl>
    <w:p>
      <w:pPr>
        <w:pStyle w:val="2"/>
        <w:widowControl w:val="0"/>
        <w:wordWrap/>
        <w:adjustRightInd/>
        <w:snapToGrid/>
        <w:spacing w:before="0" w:after="0" w:line="300" w:lineRule="exact"/>
        <w:ind w:left="0" w:leftChars="0" w:right="0"/>
        <w:textAlignment w:val="auto"/>
        <w:outlineLvl w:val="9"/>
        <w:rPr>
          <w:rFonts w:hint="eastAsia" w:ascii="仿宋_GB2312" w:hAnsi="仿宋_GB2312" w:eastAsia="仿宋_GB2312" w:cs="仿宋_GB2312"/>
          <w:b/>
          <w:bCs/>
          <w:color w:val="auto"/>
          <w:sz w:val="22"/>
          <w:szCs w:val="22"/>
          <w:lang w:val="en-US"/>
        </w:rPr>
      </w:pPr>
    </w:p>
    <w:tbl>
      <w:tblPr>
        <w:tblStyle w:val="5"/>
        <w:tblW w:w="152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450"/>
        <w:gridCol w:w="1573"/>
        <w:gridCol w:w="17"/>
        <w:gridCol w:w="7075"/>
        <w:gridCol w:w="586"/>
        <w:gridCol w:w="982"/>
        <w:gridCol w:w="3250"/>
        <w:gridCol w:w="13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7" w:hRule="atLeast"/>
          <w:tblHeader/>
          <w:jc w:val="center"/>
        </w:trPr>
        <w:tc>
          <w:tcPr>
            <w:tcW w:w="45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val="en-US" w:eastAsia="zh-CN"/>
              </w:rPr>
            </w:pPr>
            <w:r>
              <w:rPr>
                <w:rFonts w:hint="eastAsia" w:ascii="黑体" w:hAnsi="黑体" w:eastAsia="黑体" w:cs="黑体"/>
                <w:color w:val="auto"/>
                <w:kern w:val="0"/>
                <w:sz w:val="22"/>
                <w:szCs w:val="22"/>
                <w:lang w:val="en-US" w:eastAsia="zh-CN"/>
              </w:rPr>
              <w:t>序号</w:t>
            </w:r>
          </w:p>
        </w:tc>
        <w:tc>
          <w:tcPr>
            <w:tcW w:w="1590" w:type="dxa"/>
            <w:gridSpan w:val="2"/>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项目名称</w:t>
            </w:r>
          </w:p>
        </w:tc>
        <w:tc>
          <w:tcPr>
            <w:tcW w:w="7075"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实施依据</w:t>
            </w:r>
          </w:p>
        </w:tc>
        <w:tc>
          <w:tcPr>
            <w:tcW w:w="586"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职权类别</w:t>
            </w: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办理环节</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责任事项</w:t>
            </w:r>
          </w:p>
        </w:tc>
        <w:tc>
          <w:tcPr>
            <w:tcW w:w="133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黑体" w:hAnsi="黑体" w:eastAsia="黑体" w:cs="黑体"/>
                <w:color w:val="auto"/>
                <w:sz w:val="22"/>
                <w:szCs w:val="22"/>
                <w:lang w:eastAsia="zh-CN"/>
              </w:rPr>
            </w:pPr>
            <w:r>
              <w:rPr>
                <w:rFonts w:hint="eastAsia" w:ascii="黑体" w:hAnsi="黑体" w:eastAsia="黑体" w:cs="黑体"/>
                <w:color w:val="auto"/>
                <w:sz w:val="22"/>
                <w:szCs w:val="22"/>
                <w:lang w:eastAsia="zh-CN"/>
              </w:rPr>
              <w:t>责任处室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7" w:hRule="atLeast"/>
          <w:jc w:val="center"/>
        </w:trPr>
        <w:tc>
          <w:tcPr>
            <w:tcW w:w="45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lang w:val="en-US" w:eastAsia="zh-CN"/>
              </w:rPr>
              <w:t>47</w:t>
            </w:r>
          </w:p>
        </w:tc>
        <w:tc>
          <w:tcPr>
            <w:tcW w:w="1590" w:type="dxa"/>
            <w:gridSpan w:val="2"/>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市辖区、县所辖乡镇设立、撤销、更名。政府驻地迁移、部分行政区域界线变更</w:t>
            </w:r>
          </w:p>
        </w:tc>
        <w:tc>
          <w:tcPr>
            <w:tcW w:w="7075" w:type="dxa"/>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《行政区划管理条例》第四条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国务院民政部门负责全国行政区划的具体管理工作。县级以上地方人民政府民政部门负责本行政区域行政区划的具体管理工作。第七条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下列行政区划的变更由国务院审批</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（二）自治州、县、自治县、市、市辖区的设立、撤销、更名和隶属关系的变更以及自治州、自治县、设区的市人民政府驻地的迁移；第八条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县、市、市辖区的部分行政区域界线的变更，县、不设区的市、市辖区人民政府驻地的迁移，国务院授权省、自治区、直辖市人民政府审批；批准变更时，同时报送国务院备案。</w:t>
            </w:r>
          </w:p>
        </w:tc>
        <w:tc>
          <w:tcPr>
            <w:tcW w:w="586"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其他职权</w:t>
            </w: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县区级人民政府提出申请。</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kern w:val="0"/>
                <w:sz w:val="22"/>
                <w:szCs w:val="22"/>
              </w:rPr>
              <w:t>市政府办</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lang w:val="en-US" w:eastAsia="zh-CN"/>
              </w:rPr>
              <w:t xml:space="preserve"> </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lang w:eastAsia="zh-CN"/>
              </w:rPr>
            </w:pPr>
            <w:r>
              <w:rPr>
                <w:rFonts w:hint="eastAsia" w:ascii="仿宋_GB2312" w:hAnsi="仿宋_GB2312" w:eastAsia="仿宋_GB2312" w:cs="仿宋_GB2312"/>
                <w:color w:val="auto"/>
                <w:sz w:val="22"/>
                <w:szCs w:val="22"/>
                <w:shd w:val="clear" w:color="070000" w:fill="FFFFFF"/>
                <w:lang w:eastAsia="zh-CN"/>
              </w:rPr>
              <w:t>区划地名科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5"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75"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材料进行审核，实地查看。</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lang w:eastAsia="zh-CN"/>
              </w:rPr>
            </w:pPr>
            <w:r>
              <w:rPr>
                <w:rFonts w:hint="eastAsia" w:ascii="仿宋_GB2312" w:hAnsi="仿宋_GB2312" w:eastAsia="仿宋_GB2312" w:cs="仿宋_GB2312"/>
                <w:color w:val="auto"/>
                <w:sz w:val="22"/>
                <w:szCs w:val="22"/>
                <w:shd w:val="clear" w:color="070000" w:fill="FFFFFF"/>
                <w:lang w:eastAsia="zh-CN"/>
              </w:rPr>
              <w:t>区划地名科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75"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提请市政府研究决定是否上报上一级政府。</w:t>
            </w:r>
          </w:p>
        </w:tc>
        <w:tc>
          <w:tcPr>
            <w:tcW w:w="133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市政府办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48"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75"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市政府研究同意后报送省政府。</w:t>
            </w:r>
          </w:p>
        </w:tc>
        <w:tc>
          <w:tcPr>
            <w:tcW w:w="133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45" w:hRule="atLeast"/>
          <w:jc w:val="center"/>
        </w:trPr>
        <w:tc>
          <w:tcPr>
            <w:tcW w:w="45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lang w:val="en-US" w:eastAsia="zh-CN"/>
              </w:rPr>
              <w:t>48</w:t>
            </w:r>
          </w:p>
        </w:tc>
        <w:tc>
          <w:tcPr>
            <w:tcW w:w="1590" w:type="dxa"/>
            <w:gridSpan w:val="2"/>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街道办事处的设立、撤销、更名审核，驻地迁移审核</w:t>
            </w:r>
          </w:p>
        </w:tc>
        <w:tc>
          <w:tcPr>
            <w:tcW w:w="7075" w:type="dxa"/>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kern w:val="0"/>
                <w:sz w:val="22"/>
                <w:szCs w:val="22"/>
              </w:rPr>
              <w:t>《行政区划管理条例》第十条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依照法律、国家有关规定设立的地方人民政府的派出机关的撤销、更名、驻地迁移、管辖范围的确定和变更，由批准设立该派出机关的人民政府审批</w:t>
            </w:r>
            <w:r>
              <w:rPr>
                <w:rFonts w:hint="eastAsia" w:ascii="仿宋_GB2312" w:hAnsi="仿宋_GB2312" w:eastAsia="仿宋_GB2312" w:cs="仿宋_GB2312"/>
                <w:color w:val="auto"/>
                <w:kern w:val="0"/>
                <w:sz w:val="22"/>
                <w:szCs w:val="22"/>
                <w:lang w:eastAsia="zh-CN"/>
              </w:rPr>
              <w:t>。</w:t>
            </w:r>
          </w:p>
        </w:tc>
        <w:tc>
          <w:tcPr>
            <w:tcW w:w="586"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其他职权</w:t>
            </w: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县区级人民政府提出申请。</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lang w:eastAsia="zh-CN"/>
              </w:rPr>
            </w:pPr>
            <w:r>
              <w:rPr>
                <w:rFonts w:hint="eastAsia" w:ascii="仿宋_GB2312" w:hAnsi="仿宋_GB2312" w:eastAsia="仿宋_GB2312" w:cs="仿宋_GB2312"/>
                <w:color w:val="auto"/>
                <w:kern w:val="0"/>
                <w:sz w:val="22"/>
                <w:szCs w:val="22"/>
              </w:rPr>
              <w:t>市政府办</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sz w:val="22"/>
                <w:szCs w:val="22"/>
                <w:shd w:val="clear" w:color="070000" w:fill="FFFFFF"/>
                <w:lang w:eastAsia="zh-CN"/>
              </w:rPr>
              <w:t>区划地名科</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85"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75"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材料进行审核，实地查看。</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lang w:eastAsia="zh-CN"/>
              </w:rPr>
            </w:pPr>
            <w:r>
              <w:rPr>
                <w:rFonts w:hint="eastAsia" w:ascii="仿宋_GB2312" w:hAnsi="仿宋_GB2312" w:eastAsia="仿宋_GB2312" w:cs="仿宋_GB2312"/>
                <w:color w:val="auto"/>
                <w:sz w:val="22"/>
                <w:szCs w:val="22"/>
                <w:shd w:val="clear" w:color="070000" w:fill="FFFFFF"/>
                <w:lang w:eastAsia="zh-CN"/>
              </w:rPr>
              <w:t>区划地名科</w:t>
            </w:r>
          </w:p>
          <w:p>
            <w:pPr>
              <w:wordWrap/>
              <w:adjustRightInd/>
              <w:snapToGrid/>
              <w:spacing w:before="0" w:after="0" w:line="300" w:lineRule="exact"/>
              <w:ind w:left="0" w:leftChars="0" w:right="0"/>
              <w:jc w:val="both"/>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5"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75"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提请市政府研究决定。</w:t>
            </w:r>
          </w:p>
        </w:tc>
        <w:tc>
          <w:tcPr>
            <w:tcW w:w="1330" w:type="dxa"/>
            <w:vMerge w:val="restart"/>
            <w:tcMar>
              <w:top w:w="15" w:type="dxa"/>
              <w:left w:w="15" w:type="dxa"/>
              <w:right w:w="15" w:type="dxa"/>
            </w:tcMar>
            <w:vAlign w:val="center"/>
          </w:tcPr>
          <w:p>
            <w:pPr>
              <w:widowControl/>
              <w:wordWrap/>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市政府办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76"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75"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市政府研究同意后批复或上报省政府。</w:t>
            </w:r>
          </w:p>
        </w:tc>
        <w:tc>
          <w:tcPr>
            <w:tcW w:w="1330" w:type="dxa"/>
            <w:vMerge w:val="continue"/>
            <w:tcMar>
              <w:top w:w="15" w:type="dxa"/>
              <w:left w:w="15" w:type="dxa"/>
              <w:right w:w="15" w:type="dxa"/>
            </w:tcMar>
            <w:vAlign w:val="center"/>
          </w:tcPr>
          <w:p>
            <w:pPr>
              <w:widowControl/>
              <w:wordWrap/>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5" w:hRule="atLeast"/>
          <w:jc w:val="center"/>
        </w:trPr>
        <w:tc>
          <w:tcPr>
            <w:tcW w:w="45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lang w:val="en-US" w:eastAsia="zh-CN"/>
              </w:rPr>
              <w:t>49</w:t>
            </w:r>
          </w:p>
        </w:tc>
        <w:tc>
          <w:tcPr>
            <w:tcW w:w="1590" w:type="dxa"/>
            <w:gridSpan w:val="2"/>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道路（街巷）的命名、更名</w:t>
            </w:r>
          </w:p>
        </w:tc>
        <w:tc>
          <w:tcPr>
            <w:tcW w:w="7075" w:type="dxa"/>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《地名管理条例》第六条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地名命名、更名的审批权限和程序如下:（六）城镇街道名称，由直辖市、市、县人民政府审批。（八）地名的命名、更名工作，可以交地名机构或管理地名工作的单位承办，也可以交其他部门承办；其他部门承办的，应征求地名机构或管理地名工作单位的意见。</w:t>
            </w:r>
          </w:p>
        </w:tc>
        <w:tc>
          <w:tcPr>
            <w:tcW w:w="586"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其他职权</w:t>
            </w: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firstLine="0" w:firstLineChars="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由民政部门提出方案。</w:t>
            </w:r>
          </w:p>
        </w:tc>
        <w:tc>
          <w:tcPr>
            <w:tcW w:w="1330" w:type="dxa"/>
            <w:vMerge w:val="restart"/>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lang w:eastAsia="zh-CN"/>
              </w:rPr>
            </w:pPr>
            <w:r>
              <w:rPr>
                <w:rFonts w:hint="eastAsia" w:ascii="仿宋_GB2312" w:hAnsi="仿宋_GB2312" w:eastAsia="仿宋_GB2312" w:cs="仿宋_GB2312"/>
                <w:color w:val="auto"/>
                <w:sz w:val="22"/>
                <w:szCs w:val="22"/>
                <w:shd w:val="clear" w:color="070000" w:fill="FFFFFF"/>
                <w:lang w:eastAsia="zh-CN"/>
              </w:rPr>
              <w:t>区划地名科</w:t>
            </w:r>
          </w:p>
          <w:p>
            <w:pPr>
              <w:widowControl/>
              <w:wordWrap/>
              <w:adjustRightInd/>
              <w:snapToGrid/>
              <w:spacing w:before="0" w:after="0" w:line="300" w:lineRule="exact"/>
              <w:ind w:left="0" w:leftChars="0" w:right="0" w:firstLine="0" w:firstLineChars="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75"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提交的文件、材料进行审核。</w:t>
            </w:r>
          </w:p>
        </w:tc>
        <w:tc>
          <w:tcPr>
            <w:tcW w:w="133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75"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经材料审查，符合法规要求的报政府审批。</w:t>
            </w:r>
          </w:p>
        </w:tc>
        <w:tc>
          <w:tcPr>
            <w:tcW w:w="133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市政府办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75"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市政府审批后实施。</w:t>
            </w:r>
          </w:p>
        </w:tc>
        <w:tc>
          <w:tcPr>
            <w:tcW w:w="133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7" w:hRule="atLeast"/>
          <w:jc w:val="center"/>
        </w:trPr>
        <w:tc>
          <w:tcPr>
            <w:tcW w:w="45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lang w:val="en-US" w:eastAsia="zh-CN"/>
              </w:rPr>
              <w:t>50</w:t>
            </w:r>
          </w:p>
        </w:tc>
        <w:tc>
          <w:tcPr>
            <w:tcW w:w="1590" w:type="dxa"/>
            <w:gridSpan w:val="2"/>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门牌号码的编制发放</w:t>
            </w:r>
          </w:p>
        </w:tc>
        <w:tc>
          <w:tcPr>
            <w:tcW w:w="7075" w:type="dxa"/>
            <w:vMerge w:val="restart"/>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《河南省地名管理办法》第十四条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居民院(楼、门户)和单位的门牌号由产权人或者管理人和单位向省辖市、县(市)民政部门提出申请,由民政部门统一编制号码后向申请人发放门牌号。</w:t>
            </w:r>
          </w:p>
        </w:tc>
        <w:tc>
          <w:tcPr>
            <w:tcW w:w="586"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其他职权</w:t>
            </w: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申请、规划总平面图平面图。</w:t>
            </w:r>
          </w:p>
        </w:tc>
        <w:tc>
          <w:tcPr>
            <w:tcW w:w="1330" w:type="dxa"/>
            <w:vMerge w:val="restart"/>
            <w:tcMar>
              <w:top w:w="15" w:type="dxa"/>
              <w:left w:w="15" w:type="dxa"/>
              <w:right w:w="15" w:type="dxa"/>
            </w:tcMar>
            <w:vAlign w:val="center"/>
          </w:tcPr>
          <w:p>
            <w:pPr>
              <w:wordWrap/>
              <w:adjustRightInd/>
              <w:snapToGrid/>
              <w:spacing w:before="0" w:after="0" w:line="260" w:lineRule="exact"/>
              <w:ind w:left="0" w:leftChars="0" w:right="0" w:firstLine="0" w:firstLineChars="0"/>
              <w:jc w:val="center"/>
              <w:outlineLvl w:val="9"/>
              <w:rPr>
                <w:rFonts w:hint="eastAsia" w:ascii="仿宋_GB2312" w:hAnsi="仿宋_GB2312" w:eastAsia="仿宋_GB2312" w:cs="仿宋_GB2312"/>
                <w:color w:val="auto"/>
                <w:sz w:val="22"/>
                <w:szCs w:val="22"/>
                <w:shd w:val="clear" w:color="070000" w:fill="FFFFFF"/>
                <w:lang w:eastAsia="zh-CN"/>
              </w:rPr>
            </w:pPr>
            <w:r>
              <w:rPr>
                <w:rFonts w:hint="eastAsia" w:ascii="仿宋_GB2312" w:hAnsi="仿宋_GB2312" w:eastAsia="仿宋_GB2312" w:cs="仿宋_GB2312"/>
                <w:color w:val="auto"/>
                <w:sz w:val="22"/>
                <w:szCs w:val="22"/>
                <w:shd w:val="clear" w:color="070000" w:fill="FFFFFF"/>
                <w:lang w:eastAsia="zh-CN"/>
              </w:rPr>
              <w:t>区划地名科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val="en"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7"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75"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审查</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提交的文件、材料进行审核。</w:t>
            </w:r>
          </w:p>
        </w:tc>
        <w:tc>
          <w:tcPr>
            <w:tcW w:w="133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75"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决定</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经材料审查，符合法规要求发放门牌号码。</w:t>
            </w:r>
          </w:p>
        </w:tc>
        <w:tc>
          <w:tcPr>
            <w:tcW w:w="133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 w:hRule="atLeas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90" w:type="dxa"/>
            <w:gridSpan w:val="2"/>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75" w:type="dxa"/>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邮寄或现场领取。</w:t>
            </w:r>
          </w:p>
        </w:tc>
        <w:tc>
          <w:tcPr>
            <w:tcW w:w="133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2" w:hRule="exact"/>
          <w:jc w:val="center"/>
        </w:trPr>
        <w:tc>
          <w:tcPr>
            <w:tcW w:w="15263" w:type="dxa"/>
            <w:gridSpan w:val="8"/>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服务电话：0377-63136243                     投诉机构:南阳市纪委监委驻市民政局纪检监察组                  投诉电话：0377-63137277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26" w:hRule="exact"/>
          <w:jc w:val="center"/>
        </w:trPr>
        <w:tc>
          <w:tcPr>
            <w:tcW w:w="15263" w:type="dxa"/>
            <w:gridSpan w:val="8"/>
            <w:tcMar>
              <w:top w:w="15" w:type="dxa"/>
              <w:left w:w="15" w:type="dxa"/>
              <w:right w:w="15" w:type="dxa"/>
            </w:tcMar>
            <w:vAlign w:val="center"/>
          </w:tcPr>
          <w:p>
            <w:pPr>
              <w:widowControl/>
              <w:wordWrap/>
              <w:adjustRightInd/>
              <w:snapToGrid/>
              <w:spacing w:before="0" w:after="0" w:line="260" w:lineRule="exact"/>
              <w:ind w:left="0" w:leftChars="0" w:right="0" w:firstLine="0" w:firstLineChars="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受理地点：南阳市范蠡东路1666号市民服务中心北区一号楼545</w:t>
            </w:r>
            <w:r>
              <w:rPr>
                <w:rFonts w:hint="eastAsia" w:ascii="仿宋_GB2312" w:hAnsi="仿宋_GB2312" w:eastAsia="仿宋_GB2312" w:cs="仿宋_GB2312"/>
                <w:color w:val="auto"/>
                <w:kern w:val="0"/>
                <w:sz w:val="22"/>
                <w:szCs w:val="22"/>
                <w:lang w:eastAsia="zh-CN"/>
              </w:rPr>
              <w:t>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28" w:hRule="atLeast"/>
          <w:jc w:val="center"/>
        </w:trPr>
        <w:tc>
          <w:tcPr>
            <w:tcW w:w="450" w:type="dxa"/>
            <w:vMerge w:val="restart"/>
            <w:tcMar>
              <w:top w:w="15" w:type="dxa"/>
              <w:left w:w="15" w:type="dxa"/>
              <w:right w:w="15" w:type="dxa"/>
            </w:tcMar>
            <w:vAlign w:val="center"/>
          </w:tcPr>
          <w:p>
            <w:pPr>
              <w:widowControl/>
              <w:wordWrap/>
              <w:adjustRightInd/>
              <w:snapToGrid/>
              <w:spacing w:before="0" w:after="0" w:line="260" w:lineRule="exact"/>
              <w:ind w:left="0" w:leftChars="0" w:right="0" w:firstLine="0" w:firstLineChars="0"/>
              <w:jc w:val="center"/>
              <w:textAlignment w:val="center"/>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lang w:val="en-US" w:eastAsia="zh-CN"/>
              </w:rPr>
              <w:t>51</w:t>
            </w:r>
          </w:p>
        </w:tc>
        <w:tc>
          <w:tcPr>
            <w:tcW w:w="1573" w:type="dxa"/>
            <w:vMerge w:val="restart"/>
            <w:tcMar>
              <w:top w:w="15" w:type="dxa"/>
              <w:left w:w="15" w:type="dxa"/>
              <w:right w:w="15" w:type="dxa"/>
            </w:tcMar>
            <w:vAlign w:val="center"/>
          </w:tcPr>
          <w:p>
            <w:pPr>
              <w:widowControl/>
              <w:wordWrap/>
              <w:adjustRightInd/>
              <w:snapToGrid/>
              <w:spacing w:before="0" w:after="0" w:line="260" w:lineRule="exact"/>
              <w:ind w:left="0" w:leftChars="0" w:right="0" w:firstLine="0" w:firstLineChars="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慈善信托备案</w:t>
            </w:r>
          </w:p>
        </w:tc>
        <w:tc>
          <w:tcPr>
            <w:tcW w:w="7092" w:type="dxa"/>
            <w:gridSpan w:val="2"/>
            <w:vMerge w:val="restart"/>
            <w:tcMar>
              <w:top w:w="15" w:type="dxa"/>
              <w:left w:w="15" w:type="dxa"/>
              <w:right w:w="15" w:type="dxa"/>
            </w:tcMar>
            <w:vAlign w:val="center"/>
          </w:tcPr>
          <w:p>
            <w:pPr>
              <w:widowControl/>
              <w:wordWrap/>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kern w:val="0"/>
                <w:sz w:val="22"/>
                <w:szCs w:val="22"/>
              </w:rPr>
              <w:t>《中华人民共和国慈善法》第四十五条</w:t>
            </w:r>
            <w:r>
              <w:rPr>
                <w:rFonts w:hint="eastAsia" w:ascii="仿宋_GB2312" w:hAnsi="仿宋_GB2312" w:eastAsia="仿宋_GB2312" w:cs="仿宋_GB2312"/>
                <w:color w:val="auto"/>
                <w:kern w:val="0"/>
                <w:sz w:val="22"/>
                <w:szCs w:val="22"/>
                <w:lang w:eastAsia="zh-CN"/>
              </w:rPr>
              <w:t>：</w:t>
            </w:r>
            <w:r>
              <w:rPr>
                <w:rFonts w:hint="eastAsia" w:ascii="仿宋_GB2312" w:hAnsi="仿宋_GB2312" w:eastAsia="仿宋_GB2312" w:cs="仿宋_GB2312"/>
                <w:color w:val="auto"/>
                <w:kern w:val="0"/>
                <w:sz w:val="22"/>
                <w:szCs w:val="22"/>
              </w:rPr>
              <w:t>受托人应当在慈善信托文件签订之日起七日内，将相关文件向受托人所在地县级以上人民政府民政部门备案</w:t>
            </w:r>
            <w:r>
              <w:rPr>
                <w:rFonts w:hint="eastAsia" w:ascii="仿宋_GB2312" w:hAnsi="仿宋_GB2312" w:eastAsia="仿宋_GB2312" w:cs="仿宋_GB2312"/>
                <w:color w:val="auto"/>
                <w:kern w:val="0"/>
                <w:sz w:val="22"/>
                <w:szCs w:val="22"/>
                <w:lang w:eastAsia="zh-CN"/>
              </w:rPr>
              <w:t>。</w:t>
            </w:r>
          </w:p>
        </w:tc>
        <w:tc>
          <w:tcPr>
            <w:tcW w:w="586" w:type="dxa"/>
            <w:vMerge w:val="restart"/>
            <w:tcMar>
              <w:top w:w="15" w:type="dxa"/>
              <w:left w:w="15" w:type="dxa"/>
              <w:right w:w="15" w:type="dxa"/>
            </w:tcMar>
            <w:vAlign w:val="center"/>
          </w:tcPr>
          <w:p>
            <w:pPr>
              <w:widowControl/>
              <w:wordWrap/>
              <w:adjustRightInd/>
              <w:snapToGrid/>
              <w:spacing w:before="0" w:after="0" w:line="260" w:lineRule="exact"/>
              <w:ind w:left="0" w:leftChars="0" w:right="0" w:firstLine="0" w:firstLineChars="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其他职权</w:t>
            </w:r>
          </w:p>
        </w:tc>
        <w:tc>
          <w:tcPr>
            <w:tcW w:w="982" w:type="dxa"/>
            <w:tcMar>
              <w:top w:w="15" w:type="dxa"/>
              <w:left w:w="15" w:type="dxa"/>
              <w:right w:w="15" w:type="dxa"/>
            </w:tcMar>
            <w:vAlign w:val="center"/>
          </w:tcPr>
          <w:p>
            <w:pPr>
              <w:widowControl/>
              <w:wordWrap/>
              <w:adjustRightInd/>
              <w:snapToGrid/>
              <w:spacing w:before="0" w:after="0" w:line="260" w:lineRule="exact"/>
              <w:ind w:left="0" w:leftChars="0" w:right="0" w:firstLine="0" w:firstLineChars="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收件</w:t>
            </w:r>
          </w:p>
        </w:tc>
        <w:tc>
          <w:tcPr>
            <w:tcW w:w="3250" w:type="dxa"/>
            <w:tcMar>
              <w:top w:w="15" w:type="dxa"/>
              <w:left w:w="15" w:type="dxa"/>
              <w:right w:w="15" w:type="dxa"/>
            </w:tcMar>
            <w:vAlign w:val="center"/>
          </w:tcPr>
          <w:p>
            <w:pPr>
              <w:widowControl/>
              <w:wordWrap/>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cs="仿宋_GB2312"/>
                <w:color w:val="auto"/>
                <w:spacing w:val="-6"/>
                <w:sz w:val="20"/>
                <w:szCs w:val="20"/>
              </w:rPr>
            </w:pPr>
            <w:r>
              <w:rPr>
                <w:rFonts w:hint="eastAsia" w:ascii="仿宋_GB2312" w:hAnsi="仿宋_GB2312" w:eastAsia="仿宋_GB2312" w:cs="仿宋_GB2312"/>
                <w:color w:val="auto"/>
                <w:spacing w:val="-6"/>
                <w:kern w:val="0"/>
                <w:sz w:val="20"/>
                <w:szCs w:val="20"/>
              </w:rPr>
              <w:t>收件责任：对办事人提供的材料进行核查，申请材料齐全，予以收件；材料不完整的，退回并告知原因。</w:t>
            </w:r>
          </w:p>
        </w:tc>
        <w:tc>
          <w:tcPr>
            <w:tcW w:w="1330" w:type="dxa"/>
            <w:tcMar>
              <w:top w:w="15" w:type="dxa"/>
              <w:left w:w="15" w:type="dxa"/>
              <w:right w:w="15" w:type="dxa"/>
            </w:tcMar>
            <w:vAlign w:val="center"/>
          </w:tcPr>
          <w:p>
            <w:pPr>
              <w:wordWrap/>
              <w:adjustRightInd/>
              <w:snapToGrid/>
              <w:spacing w:before="0" w:after="0" w:line="260" w:lineRule="exact"/>
              <w:ind w:left="0" w:leftChars="0" w:right="0" w:firstLine="0" w:firstLineChars="0"/>
              <w:jc w:val="center"/>
              <w:outlineLvl w:val="9"/>
              <w:rPr>
                <w:rFonts w:hint="eastAsia" w:ascii="仿宋_GB2312" w:hAnsi="仿宋_GB2312" w:eastAsia="仿宋_GB2312" w:cs="仿宋_GB2312"/>
                <w:color w:val="auto"/>
                <w:sz w:val="22"/>
                <w:szCs w:val="22"/>
                <w:shd w:val="clear" w:color="070000" w:fill="FFFFFF"/>
                <w:lang w:eastAsia="zh-CN"/>
              </w:rPr>
            </w:pPr>
            <w:r>
              <w:rPr>
                <w:rFonts w:hint="eastAsia" w:ascii="仿宋_GB2312" w:hAnsi="仿宋_GB2312" w:eastAsia="仿宋_GB2312" w:cs="仿宋_GB2312"/>
                <w:color w:val="auto"/>
                <w:sz w:val="22"/>
                <w:szCs w:val="22"/>
                <w:shd w:val="clear" w:color="070000" w:fill="FFFFFF"/>
                <w:lang w:eastAsia="zh-CN"/>
              </w:rPr>
              <w:t>行政审批服务科</w:t>
            </w:r>
          </w:p>
          <w:p>
            <w:pPr>
              <w:widowControl/>
              <w:wordWrap/>
              <w:adjustRightInd/>
              <w:snapToGrid/>
              <w:spacing w:before="0" w:after="0" w:line="260" w:lineRule="exact"/>
              <w:ind w:left="0" w:leftChars="0" w:right="0" w:firstLine="0" w:firstLineChars="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65" w:hRule="atLeast"/>
          <w:jc w:val="center"/>
        </w:trPr>
        <w:tc>
          <w:tcPr>
            <w:tcW w:w="450" w:type="dxa"/>
            <w:vMerge w:val="continue"/>
            <w:tcMar>
              <w:top w:w="15" w:type="dxa"/>
              <w:left w:w="15" w:type="dxa"/>
              <w:right w:w="15" w:type="dxa"/>
            </w:tcMar>
            <w:vAlign w:val="center"/>
          </w:tcPr>
          <w:p>
            <w:pPr>
              <w:wordWrap/>
              <w:adjustRightInd/>
              <w:snapToGrid/>
              <w:spacing w:before="0" w:after="0" w:line="260" w:lineRule="exact"/>
              <w:ind w:left="0" w:leftChars="0" w:right="0" w:firstLine="0" w:firstLineChars="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260" w:lineRule="exact"/>
              <w:ind w:left="0" w:leftChars="0" w:right="0" w:firstLine="0" w:firstLineChars="0"/>
              <w:outlineLvl w:val="9"/>
              <w:rPr>
                <w:rFonts w:hint="eastAsia" w:ascii="仿宋_GB2312" w:hAnsi="仿宋_GB2312" w:eastAsia="仿宋_GB2312" w:cs="仿宋_GB2312"/>
                <w:color w:val="auto"/>
                <w:sz w:val="22"/>
                <w:szCs w:val="22"/>
              </w:rPr>
            </w:pPr>
          </w:p>
        </w:tc>
        <w:tc>
          <w:tcPr>
            <w:tcW w:w="7092" w:type="dxa"/>
            <w:gridSpan w:val="2"/>
            <w:vMerge w:val="continue"/>
            <w:tcMar>
              <w:top w:w="15" w:type="dxa"/>
              <w:left w:w="15" w:type="dxa"/>
              <w:right w:w="15" w:type="dxa"/>
            </w:tcMar>
            <w:vAlign w:val="center"/>
          </w:tcPr>
          <w:p>
            <w:pPr>
              <w:wordWrap/>
              <w:adjustRightInd/>
              <w:snapToGrid/>
              <w:spacing w:before="0" w:after="0" w:line="260" w:lineRule="exact"/>
              <w:ind w:left="0" w:leftChars="0" w:right="0" w:firstLine="0" w:firstLineChars="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260" w:lineRule="exact"/>
              <w:ind w:left="0" w:leftChars="0" w:right="0" w:firstLine="0" w:firstLineChars="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260" w:lineRule="exact"/>
              <w:ind w:left="0" w:leftChars="0" w:right="0" w:firstLine="0" w:firstLineChars="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w:t>
            </w:r>
          </w:p>
        </w:tc>
        <w:tc>
          <w:tcPr>
            <w:tcW w:w="3250" w:type="dxa"/>
            <w:tcMar>
              <w:top w:w="15" w:type="dxa"/>
              <w:left w:w="15" w:type="dxa"/>
              <w:right w:w="15" w:type="dxa"/>
            </w:tcMar>
            <w:vAlign w:val="center"/>
          </w:tcPr>
          <w:p>
            <w:pPr>
              <w:widowControl/>
              <w:wordWrap/>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cs="仿宋_GB2312"/>
                <w:color w:val="auto"/>
                <w:spacing w:val="-6"/>
                <w:sz w:val="20"/>
                <w:szCs w:val="20"/>
              </w:rPr>
            </w:pPr>
            <w:r>
              <w:rPr>
                <w:rFonts w:hint="eastAsia" w:ascii="仿宋_GB2312" w:hAnsi="仿宋_GB2312" w:eastAsia="仿宋_GB2312" w:cs="仿宋_GB2312"/>
                <w:color w:val="auto"/>
                <w:spacing w:val="-6"/>
                <w:kern w:val="0"/>
                <w:sz w:val="20"/>
                <w:szCs w:val="20"/>
              </w:rPr>
              <w:t>受理责任：对申请材料进行初审，材料符合相关要求的，予以受理，出具《受理通知书》；材料不符合相关要求的，不予受理，出具《不予受理通知书》，并说明理由。</w:t>
            </w:r>
          </w:p>
        </w:tc>
        <w:tc>
          <w:tcPr>
            <w:tcW w:w="1330" w:type="dxa"/>
            <w:tcMar>
              <w:top w:w="15" w:type="dxa"/>
              <w:left w:w="15" w:type="dxa"/>
              <w:right w:w="15" w:type="dxa"/>
            </w:tcMar>
            <w:vAlign w:val="center"/>
          </w:tcPr>
          <w:p>
            <w:pPr>
              <w:wordWrap/>
              <w:adjustRightInd/>
              <w:snapToGrid/>
              <w:spacing w:before="0" w:after="0" w:line="260" w:lineRule="exact"/>
              <w:ind w:left="0" w:leftChars="0" w:right="0" w:firstLine="0" w:firstLineChars="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260" w:lineRule="exact"/>
              <w:ind w:left="0" w:leftChars="0" w:right="0" w:firstLine="0" w:firstLineChars="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260" w:lineRule="exact"/>
              <w:ind w:left="0" w:leftChars="0" w:right="0" w:firstLine="0" w:firstLineChars="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75" w:hRule="atLeast"/>
          <w:jc w:val="center"/>
        </w:trPr>
        <w:tc>
          <w:tcPr>
            <w:tcW w:w="450" w:type="dxa"/>
            <w:vMerge w:val="continue"/>
            <w:tcMar>
              <w:top w:w="15" w:type="dxa"/>
              <w:left w:w="15" w:type="dxa"/>
              <w:right w:w="15" w:type="dxa"/>
            </w:tcMar>
            <w:vAlign w:val="center"/>
          </w:tcPr>
          <w:p>
            <w:pPr>
              <w:wordWrap/>
              <w:adjustRightInd/>
              <w:snapToGrid/>
              <w:spacing w:before="0" w:after="0" w:line="260" w:lineRule="exact"/>
              <w:ind w:left="0" w:leftChars="0" w:right="0" w:firstLine="0" w:firstLineChars="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260" w:lineRule="exact"/>
              <w:ind w:left="0" w:leftChars="0" w:right="0" w:firstLine="0" w:firstLineChars="0"/>
              <w:outlineLvl w:val="9"/>
              <w:rPr>
                <w:rFonts w:hint="eastAsia" w:ascii="仿宋_GB2312" w:hAnsi="仿宋_GB2312" w:eastAsia="仿宋_GB2312" w:cs="仿宋_GB2312"/>
                <w:color w:val="auto"/>
                <w:sz w:val="22"/>
                <w:szCs w:val="22"/>
              </w:rPr>
            </w:pPr>
          </w:p>
        </w:tc>
        <w:tc>
          <w:tcPr>
            <w:tcW w:w="7092" w:type="dxa"/>
            <w:gridSpan w:val="2"/>
            <w:vMerge w:val="continue"/>
            <w:tcMar>
              <w:top w:w="15" w:type="dxa"/>
              <w:left w:w="15" w:type="dxa"/>
              <w:right w:w="15" w:type="dxa"/>
            </w:tcMar>
            <w:vAlign w:val="center"/>
          </w:tcPr>
          <w:p>
            <w:pPr>
              <w:wordWrap/>
              <w:adjustRightInd/>
              <w:snapToGrid/>
              <w:spacing w:before="0" w:after="0" w:line="260" w:lineRule="exact"/>
              <w:ind w:left="0" w:leftChars="0" w:right="0" w:firstLine="0" w:firstLineChars="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260" w:lineRule="exact"/>
              <w:ind w:left="0" w:leftChars="0" w:right="0" w:firstLine="0" w:firstLineChars="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260" w:lineRule="exact"/>
              <w:ind w:left="0" w:leftChars="0" w:right="0" w:firstLine="0" w:firstLineChars="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审核</w:t>
            </w:r>
          </w:p>
        </w:tc>
        <w:tc>
          <w:tcPr>
            <w:tcW w:w="3250" w:type="dxa"/>
            <w:tcMar>
              <w:top w:w="15" w:type="dxa"/>
              <w:left w:w="15" w:type="dxa"/>
              <w:right w:w="15" w:type="dxa"/>
            </w:tcMar>
            <w:vAlign w:val="center"/>
          </w:tcPr>
          <w:p>
            <w:pPr>
              <w:widowControl/>
              <w:wordWrap/>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cs="仿宋_GB2312"/>
                <w:color w:val="auto"/>
                <w:spacing w:val="-6"/>
                <w:sz w:val="20"/>
                <w:szCs w:val="20"/>
              </w:rPr>
            </w:pPr>
            <w:r>
              <w:rPr>
                <w:rFonts w:hint="eastAsia" w:ascii="仿宋_GB2312" w:hAnsi="仿宋_GB2312" w:eastAsia="仿宋_GB2312" w:cs="仿宋_GB2312"/>
                <w:color w:val="auto"/>
                <w:spacing w:val="-6"/>
                <w:kern w:val="0"/>
                <w:sz w:val="20"/>
                <w:szCs w:val="20"/>
              </w:rPr>
              <w:t>审核责任：对材料内容进行审核；按照法律法规规定，需启动特殊环节的，依法进行辅助审查。审核通过，上报审批；审核不通过，退回材料并告知原因。</w:t>
            </w:r>
          </w:p>
        </w:tc>
        <w:tc>
          <w:tcPr>
            <w:tcW w:w="1330" w:type="dxa"/>
            <w:tcMar>
              <w:top w:w="15" w:type="dxa"/>
              <w:left w:w="15" w:type="dxa"/>
              <w:right w:w="15" w:type="dxa"/>
            </w:tcMar>
            <w:vAlign w:val="center"/>
          </w:tcPr>
          <w:p>
            <w:pPr>
              <w:wordWrap/>
              <w:adjustRightInd/>
              <w:snapToGrid/>
              <w:spacing w:before="0" w:after="0" w:line="260" w:lineRule="exact"/>
              <w:ind w:left="0" w:leftChars="0" w:right="0" w:firstLine="0" w:firstLineChars="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260" w:lineRule="exact"/>
              <w:ind w:left="0" w:leftChars="0" w:right="0" w:firstLine="0" w:firstLineChars="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260" w:lineRule="exact"/>
              <w:ind w:left="0" w:leftChars="0" w:right="0" w:firstLine="0" w:firstLineChars="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450" w:type="dxa"/>
            <w:vMerge w:val="continue"/>
            <w:tcMar>
              <w:top w:w="15" w:type="dxa"/>
              <w:left w:w="15" w:type="dxa"/>
              <w:right w:w="15" w:type="dxa"/>
            </w:tcMar>
            <w:vAlign w:val="center"/>
          </w:tcPr>
          <w:p>
            <w:pPr>
              <w:wordWrap/>
              <w:adjustRightInd/>
              <w:snapToGrid/>
              <w:spacing w:before="0" w:after="0" w:line="260" w:lineRule="exact"/>
              <w:ind w:left="0" w:leftChars="0" w:right="0" w:firstLine="0" w:firstLineChars="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260" w:lineRule="exact"/>
              <w:ind w:left="0" w:leftChars="0" w:right="0" w:firstLine="0" w:firstLineChars="0"/>
              <w:outlineLvl w:val="9"/>
              <w:rPr>
                <w:rFonts w:hint="eastAsia" w:ascii="仿宋_GB2312" w:hAnsi="仿宋_GB2312" w:eastAsia="仿宋_GB2312" w:cs="仿宋_GB2312"/>
                <w:color w:val="auto"/>
                <w:sz w:val="22"/>
                <w:szCs w:val="22"/>
              </w:rPr>
            </w:pPr>
          </w:p>
        </w:tc>
        <w:tc>
          <w:tcPr>
            <w:tcW w:w="7092" w:type="dxa"/>
            <w:gridSpan w:val="2"/>
            <w:vMerge w:val="continue"/>
            <w:tcMar>
              <w:top w:w="15" w:type="dxa"/>
              <w:left w:w="15" w:type="dxa"/>
              <w:right w:w="15" w:type="dxa"/>
            </w:tcMar>
            <w:vAlign w:val="center"/>
          </w:tcPr>
          <w:p>
            <w:pPr>
              <w:wordWrap/>
              <w:adjustRightInd/>
              <w:snapToGrid/>
              <w:spacing w:before="0" w:after="0" w:line="260" w:lineRule="exact"/>
              <w:ind w:left="0" w:leftChars="0" w:right="0" w:firstLine="0" w:firstLineChars="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260" w:lineRule="exact"/>
              <w:ind w:left="0" w:leftChars="0" w:right="0" w:firstLine="0" w:firstLineChars="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260" w:lineRule="exact"/>
              <w:ind w:left="0" w:leftChars="0" w:right="0" w:firstLine="0" w:firstLineChars="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w:t>
            </w:r>
          </w:p>
        </w:tc>
        <w:tc>
          <w:tcPr>
            <w:tcW w:w="3250" w:type="dxa"/>
            <w:tcMar>
              <w:top w:w="15" w:type="dxa"/>
              <w:left w:w="15" w:type="dxa"/>
              <w:right w:w="15" w:type="dxa"/>
            </w:tcMar>
            <w:vAlign w:val="center"/>
          </w:tcPr>
          <w:p>
            <w:pPr>
              <w:widowControl/>
              <w:wordWrap/>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cs="仿宋_GB2312"/>
                <w:color w:val="auto"/>
                <w:spacing w:val="-6"/>
                <w:sz w:val="20"/>
                <w:szCs w:val="20"/>
              </w:rPr>
            </w:pPr>
            <w:r>
              <w:rPr>
                <w:rFonts w:hint="eastAsia" w:ascii="仿宋_GB2312" w:hAnsi="仿宋_GB2312" w:eastAsia="仿宋_GB2312" w:cs="仿宋_GB2312"/>
                <w:color w:val="auto"/>
                <w:spacing w:val="-6"/>
                <w:kern w:val="0"/>
                <w:sz w:val="20"/>
                <w:szCs w:val="20"/>
              </w:rPr>
              <w:t>按规定送达当事人。</w:t>
            </w:r>
          </w:p>
        </w:tc>
        <w:tc>
          <w:tcPr>
            <w:tcW w:w="1330" w:type="dxa"/>
            <w:tcMar>
              <w:top w:w="15" w:type="dxa"/>
              <w:left w:w="15" w:type="dxa"/>
              <w:right w:w="15" w:type="dxa"/>
            </w:tcMar>
            <w:vAlign w:val="center"/>
          </w:tcPr>
          <w:p>
            <w:pPr>
              <w:wordWrap/>
              <w:adjustRightInd/>
              <w:snapToGrid/>
              <w:spacing w:before="0" w:after="0" w:line="260" w:lineRule="exact"/>
              <w:ind w:left="0" w:leftChars="0" w:right="0" w:firstLine="0" w:firstLineChars="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行政审批</w:t>
            </w:r>
          </w:p>
          <w:p>
            <w:pPr>
              <w:wordWrap/>
              <w:adjustRightInd/>
              <w:snapToGrid/>
              <w:spacing w:before="0" w:after="0" w:line="260" w:lineRule="exact"/>
              <w:ind w:left="0" w:leftChars="0" w:right="0" w:firstLine="0" w:firstLineChars="0"/>
              <w:jc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shd w:val="clear" w:color="070000" w:fill="FFFFFF"/>
              </w:rPr>
              <w:t>服务科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6" w:hRule="atLeast"/>
          <w:jc w:val="center"/>
        </w:trPr>
        <w:tc>
          <w:tcPr>
            <w:tcW w:w="450" w:type="dxa"/>
            <w:vMerge w:val="continue"/>
            <w:tcMar>
              <w:top w:w="15" w:type="dxa"/>
              <w:left w:w="15" w:type="dxa"/>
              <w:right w:w="15" w:type="dxa"/>
            </w:tcMar>
            <w:vAlign w:val="center"/>
          </w:tcPr>
          <w:p>
            <w:pPr>
              <w:wordWrap/>
              <w:adjustRightInd/>
              <w:snapToGrid/>
              <w:spacing w:before="0" w:after="0" w:line="260" w:lineRule="exact"/>
              <w:ind w:left="0" w:leftChars="0" w:right="0" w:firstLine="0" w:firstLineChars="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260" w:lineRule="exact"/>
              <w:ind w:left="0" w:leftChars="0" w:right="0" w:firstLine="0" w:firstLineChars="0"/>
              <w:outlineLvl w:val="9"/>
              <w:rPr>
                <w:rFonts w:hint="eastAsia" w:ascii="仿宋_GB2312" w:hAnsi="仿宋_GB2312" w:eastAsia="仿宋_GB2312" w:cs="仿宋_GB2312"/>
                <w:color w:val="auto"/>
                <w:sz w:val="22"/>
                <w:szCs w:val="22"/>
              </w:rPr>
            </w:pPr>
          </w:p>
        </w:tc>
        <w:tc>
          <w:tcPr>
            <w:tcW w:w="7092" w:type="dxa"/>
            <w:gridSpan w:val="2"/>
            <w:vMerge w:val="continue"/>
            <w:tcMar>
              <w:top w:w="15" w:type="dxa"/>
              <w:left w:w="15" w:type="dxa"/>
              <w:right w:w="15" w:type="dxa"/>
            </w:tcMar>
            <w:vAlign w:val="center"/>
          </w:tcPr>
          <w:p>
            <w:pPr>
              <w:wordWrap/>
              <w:adjustRightInd/>
              <w:snapToGrid/>
              <w:spacing w:before="0" w:after="0" w:line="260" w:lineRule="exact"/>
              <w:ind w:left="0" w:leftChars="0" w:right="0" w:firstLine="0" w:firstLineChars="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260" w:lineRule="exact"/>
              <w:ind w:left="0" w:leftChars="0" w:right="0" w:firstLine="0" w:firstLineChars="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ordWrap/>
              <w:adjustRightInd/>
              <w:snapToGrid/>
              <w:spacing w:before="0" w:after="0" w:line="260" w:lineRule="exact"/>
              <w:ind w:left="0" w:leftChars="0" w:right="0" w:firstLine="0" w:firstLineChars="0"/>
              <w:jc w:val="center"/>
              <w:outlineLvl w:val="9"/>
              <w:rPr>
                <w:rFonts w:hint="eastAsia" w:ascii="仿宋_GB2312" w:hAnsi="仿宋_GB2312" w:eastAsia="仿宋_GB2312" w:cs="仿宋_GB2312"/>
                <w:color w:val="auto"/>
                <w:sz w:val="22"/>
                <w:szCs w:val="22"/>
              </w:rPr>
            </w:pPr>
          </w:p>
        </w:tc>
        <w:tc>
          <w:tcPr>
            <w:tcW w:w="3250" w:type="dxa"/>
            <w:tcMar>
              <w:top w:w="15" w:type="dxa"/>
              <w:left w:w="15" w:type="dxa"/>
              <w:right w:w="15" w:type="dxa"/>
            </w:tcMar>
            <w:vAlign w:val="center"/>
          </w:tcPr>
          <w:p>
            <w:pPr>
              <w:widowControl/>
              <w:wordWrap/>
              <w:adjustRightInd/>
              <w:snapToGrid/>
              <w:spacing w:before="0" w:after="0" w:line="260" w:lineRule="exact"/>
              <w:ind w:left="0" w:leftChars="0" w:right="0" w:firstLine="0" w:firstLineChars="0"/>
              <w:jc w:val="left"/>
              <w:textAlignment w:val="center"/>
              <w:outlineLvl w:val="9"/>
              <w:rPr>
                <w:rFonts w:hint="eastAsia" w:ascii="仿宋_GB2312" w:hAnsi="仿宋_GB2312" w:eastAsia="仿宋_GB2312" w:cs="仿宋_GB2312"/>
                <w:color w:val="auto"/>
                <w:spacing w:val="-6"/>
                <w:sz w:val="20"/>
                <w:szCs w:val="20"/>
              </w:rPr>
            </w:pPr>
            <w:r>
              <w:rPr>
                <w:rFonts w:hint="eastAsia" w:ascii="仿宋_GB2312" w:hAnsi="仿宋_GB2312" w:eastAsia="仿宋_GB2312" w:cs="仿宋_GB2312"/>
                <w:color w:val="auto"/>
                <w:spacing w:val="-6"/>
                <w:kern w:val="0"/>
                <w:sz w:val="20"/>
                <w:szCs w:val="20"/>
              </w:rPr>
              <w:t>其他法律法规规章文件规定的应履行的责任。</w:t>
            </w:r>
          </w:p>
        </w:tc>
        <w:tc>
          <w:tcPr>
            <w:tcW w:w="1330" w:type="dxa"/>
            <w:tcMar>
              <w:top w:w="15" w:type="dxa"/>
              <w:left w:w="15" w:type="dxa"/>
              <w:right w:w="15" w:type="dxa"/>
            </w:tcMar>
            <w:vAlign w:val="center"/>
          </w:tcPr>
          <w:p>
            <w:pPr>
              <w:wordWrap/>
              <w:adjustRightInd/>
              <w:snapToGrid/>
              <w:spacing w:before="0" w:after="0" w:line="260" w:lineRule="exact"/>
              <w:ind w:left="0" w:leftChars="0" w:right="0" w:firstLine="0" w:firstLineChars="0"/>
              <w:jc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9" w:hRule="exact"/>
          <w:jc w:val="center"/>
        </w:trPr>
        <w:tc>
          <w:tcPr>
            <w:tcW w:w="15263" w:type="dxa"/>
            <w:gridSpan w:val="8"/>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服务电话：0377-63173027                   投诉机构:南阳市纪委监委驻市民政局纪检监察组                        投诉电话：0377-63137277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4" w:hRule="exact"/>
          <w:jc w:val="center"/>
        </w:trPr>
        <w:tc>
          <w:tcPr>
            <w:tcW w:w="15263" w:type="dxa"/>
            <w:gridSpan w:val="8"/>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受理地点：南阳市宛城区仲景街道范蠡路东路1666号市行政审批服务中心南区3号楼一楼综合窗口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49" w:hRule="exact"/>
          <w:jc w:val="center"/>
        </w:trPr>
        <w:tc>
          <w:tcPr>
            <w:tcW w:w="45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lang w:val="en-US" w:eastAsia="zh-CN"/>
              </w:rPr>
              <w:t>52</w:t>
            </w:r>
          </w:p>
        </w:tc>
        <w:tc>
          <w:tcPr>
            <w:tcW w:w="1573" w:type="dxa"/>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非营利性养老机构备案</w:t>
            </w:r>
          </w:p>
        </w:tc>
        <w:tc>
          <w:tcPr>
            <w:tcW w:w="7092" w:type="dxa"/>
            <w:gridSpan w:val="2"/>
            <w:vMerge w:val="restart"/>
            <w:tcMar>
              <w:top w:w="15" w:type="dxa"/>
              <w:left w:w="15" w:type="dxa"/>
              <w:right w:w="15" w:type="dxa"/>
            </w:tcMar>
            <w:vAlign w:val="center"/>
          </w:tcPr>
          <w:p>
            <w:pPr>
              <w:pStyle w:val="7"/>
              <w:widowControl/>
              <w:wordWrap/>
              <w:adjustRightInd/>
              <w:snapToGrid/>
              <w:spacing w:before="0" w:beforeAutospacing="0" w:after="0" w:afterAutospacing="0" w:line="300" w:lineRule="exact"/>
              <w:ind w:left="0" w:leftChars="0" w:right="0"/>
              <w:jc w:val="both"/>
              <w:textAlignment w:val="auto"/>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pacing w:val="-2"/>
                <w:kern w:val="0"/>
                <w:sz w:val="22"/>
                <w:szCs w:val="22"/>
              </w:rPr>
              <w:t>《中华人民共和国老年人权益保障法》第四章第四十三条</w:t>
            </w:r>
            <w:r>
              <w:rPr>
                <w:rFonts w:hint="eastAsia" w:ascii="仿宋_GB2312" w:hAnsi="仿宋_GB2312" w:eastAsia="仿宋_GB2312" w:cs="仿宋_GB2312"/>
                <w:color w:val="auto"/>
                <w:spacing w:val="-2"/>
                <w:kern w:val="0"/>
                <w:sz w:val="22"/>
                <w:szCs w:val="22"/>
                <w:lang w:eastAsia="zh-CN"/>
              </w:rPr>
              <w:t>：</w:t>
            </w:r>
            <w:r>
              <w:rPr>
                <w:rFonts w:hint="eastAsia" w:ascii="仿宋_GB2312" w:hAnsi="仿宋_GB2312" w:eastAsia="仿宋_GB2312" w:cs="仿宋_GB2312"/>
                <w:color w:val="auto"/>
                <w:spacing w:val="-2"/>
                <w:kern w:val="0"/>
                <w:sz w:val="22"/>
                <w:szCs w:val="22"/>
              </w:rPr>
              <w:t>设立公益性养老机构，应当依法办理相应的登记。</w:t>
            </w:r>
            <w:r>
              <w:rPr>
                <w:rFonts w:hint="eastAsia" w:ascii="仿宋_GB2312" w:hAnsi="仿宋_GB2312" w:eastAsia="仿宋_GB2312" w:cs="仿宋_GB2312"/>
                <w:b w:val="0"/>
                <w:bCs w:val="0"/>
                <w:color w:val="auto"/>
                <w:spacing w:val="-2"/>
                <w:kern w:val="0"/>
                <w:sz w:val="22"/>
                <w:szCs w:val="22"/>
              </w:rPr>
              <w:t>《养老机构管理办法》第十条</w:t>
            </w:r>
            <w:r>
              <w:rPr>
                <w:rFonts w:hint="eastAsia" w:ascii="仿宋_GB2312" w:hAnsi="仿宋_GB2312" w:eastAsia="仿宋_GB2312" w:cs="仿宋_GB2312"/>
                <w:b w:val="0"/>
                <w:bCs w:val="0"/>
                <w:color w:val="auto"/>
                <w:spacing w:val="-2"/>
                <w:kern w:val="0"/>
                <w:sz w:val="22"/>
                <w:szCs w:val="22"/>
                <w:lang w:val="en-US" w:eastAsia="zh-CN"/>
              </w:rPr>
              <w:t>:</w:t>
            </w:r>
            <w:r>
              <w:rPr>
                <w:rFonts w:hint="eastAsia" w:ascii="仿宋_GB2312" w:hAnsi="仿宋_GB2312" w:eastAsia="仿宋_GB2312" w:cs="仿宋_GB2312"/>
                <w:color w:val="auto"/>
                <w:spacing w:val="-2"/>
                <w:sz w:val="22"/>
                <w:szCs w:val="22"/>
              </w:rPr>
              <w:t>营利性养老机构办理备案，应当在收住老年人后10个工作日以内向服务场所所在地的县级人民政府民政部门提出。非营利性养老机构办理备案，应当在收住老年人后10个工作日以内向登记管理机关同级的人民政府民政部门提出。十一条</w:t>
            </w:r>
            <w:r>
              <w:rPr>
                <w:rFonts w:hint="eastAsia" w:ascii="仿宋_GB2312" w:hAnsi="仿宋_GB2312" w:eastAsia="仿宋_GB2312" w:cs="仿宋_GB2312"/>
                <w:color w:val="auto"/>
                <w:spacing w:val="-2"/>
                <w:sz w:val="22"/>
                <w:szCs w:val="22"/>
                <w:lang w:val="en-US" w:eastAsia="zh-CN"/>
              </w:rPr>
              <w:t>:养</w:t>
            </w:r>
            <w:r>
              <w:rPr>
                <w:rFonts w:hint="eastAsia" w:ascii="仿宋_GB2312" w:hAnsi="仿宋_GB2312" w:eastAsia="仿宋_GB2312" w:cs="仿宋_GB2312"/>
                <w:color w:val="auto"/>
                <w:spacing w:val="-2"/>
                <w:sz w:val="22"/>
                <w:szCs w:val="22"/>
              </w:rPr>
              <w:t>老机构办理备案，应当向民政部门提交备案申请书、养老机构登记证书、符合本办法第四条要求的承诺书等材料，并对真实性负责。备案申请书应当包括下列内容：</w:t>
            </w:r>
            <w:r>
              <w:rPr>
                <w:rFonts w:hint="eastAsia" w:ascii="仿宋_GB2312" w:hAnsi="仿宋_GB2312" w:eastAsia="仿宋_GB2312" w:cs="仿宋_GB2312"/>
                <w:color w:val="auto"/>
                <w:spacing w:val="-2"/>
                <w:sz w:val="22"/>
                <w:szCs w:val="22"/>
                <w:lang w:val="en-US" w:eastAsia="zh-CN"/>
              </w:rPr>
              <w:t>(</w:t>
            </w:r>
            <w:r>
              <w:rPr>
                <w:rFonts w:hint="eastAsia" w:ascii="仿宋_GB2312" w:hAnsi="仿宋_GB2312" w:eastAsia="仿宋_GB2312" w:cs="仿宋_GB2312"/>
                <w:color w:val="auto"/>
                <w:spacing w:val="-2"/>
                <w:sz w:val="22"/>
                <w:szCs w:val="22"/>
              </w:rPr>
              <w:t>一</w:t>
            </w:r>
            <w:r>
              <w:rPr>
                <w:rFonts w:hint="eastAsia" w:ascii="仿宋_GB2312" w:hAnsi="仿宋_GB2312" w:eastAsia="仿宋_GB2312" w:cs="仿宋_GB2312"/>
                <w:color w:val="auto"/>
                <w:spacing w:val="-2"/>
                <w:sz w:val="22"/>
                <w:szCs w:val="22"/>
                <w:lang w:val="en-US" w:eastAsia="zh-CN"/>
              </w:rPr>
              <w:t>)</w:t>
            </w:r>
            <w:r>
              <w:rPr>
                <w:rFonts w:hint="eastAsia" w:ascii="仿宋_GB2312" w:hAnsi="仿宋_GB2312" w:eastAsia="仿宋_GB2312" w:cs="仿宋_GB2312"/>
                <w:color w:val="auto"/>
                <w:spacing w:val="-2"/>
                <w:sz w:val="22"/>
                <w:szCs w:val="22"/>
              </w:rPr>
              <w:t>养老机构基本情况，包括名称、住所、法定代表人或者主要负责人信息等</w:t>
            </w:r>
            <w:r>
              <w:rPr>
                <w:rFonts w:hint="eastAsia" w:ascii="仿宋_GB2312" w:hAnsi="仿宋_GB2312" w:eastAsia="仿宋_GB2312" w:cs="仿宋_GB2312"/>
                <w:color w:val="auto"/>
                <w:spacing w:val="-2"/>
                <w:sz w:val="22"/>
                <w:szCs w:val="22"/>
                <w:lang w:eastAsia="zh-CN"/>
              </w:rPr>
              <w:t>；</w:t>
            </w:r>
            <w:r>
              <w:rPr>
                <w:rFonts w:hint="eastAsia" w:ascii="仿宋_GB2312" w:hAnsi="仿宋_GB2312" w:eastAsia="仿宋_GB2312" w:cs="仿宋_GB2312"/>
                <w:color w:val="auto"/>
                <w:spacing w:val="-2"/>
                <w:sz w:val="22"/>
                <w:szCs w:val="22"/>
                <w:lang w:val="en-US" w:eastAsia="zh-CN"/>
              </w:rPr>
              <w:t>(二)服务场所权属；(三)养老床位数量；(四)服务设施面积；(五)联系人和联系方式。</w:t>
            </w:r>
            <w:r>
              <w:rPr>
                <w:rFonts w:hint="eastAsia" w:ascii="仿宋_GB2312" w:hAnsi="仿宋_GB2312" w:eastAsia="仿宋_GB2312" w:cs="仿宋_GB2312"/>
                <w:color w:val="auto"/>
                <w:spacing w:val="-2"/>
                <w:sz w:val="22"/>
                <w:szCs w:val="22"/>
              </w:rPr>
              <w:t>民政部门应当加强信息化建设，逐步实现网上备案。</w:t>
            </w:r>
            <w:r>
              <w:rPr>
                <w:rFonts w:hint="eastAsia" w:ascii="仿宋_GB2312" w:hAnsi="仿宋_GB2312" w:eastAsia="仿宋_GB2312" w:cs="仿宋_GB2312"/>
                <w:color w:val="auto"/>
                <w:spacing w:val="-2"/>
                <w:sz w:val="22"/>
                <w:szCs w:val="22"/>
                <w:lang w:eastAsia="zh-CN"/>
              </w:rPr>
              <w:t>第</w:t>
            </w:r>
            <w:r>
              <w:rPr>
                <w:rFonts w:hint="eastAsia" w:ascii="仿宋_GB2312" w:hAnsi="仿宋_GB2312" w:eastAsia="仿宋_GB2312" w:cs="仿宋_GB2312"/>
                <w:color w:val="auto"/>
                <w:spacing w:val="-2"/>
                <w:sz w:val="22"/>
                <w:szCs w:val="22"/>
              </w:rPr>
              <w:t>十二条</w:t>
            </w:r>
            <w:r>
              <w:rPr>
                <w:rFonts w:hint="eastAsia" w:ascii="仿宋_GB2312" w:hAnsi="仿宋_GB2312" w:eastAsia="仿宋_GB2312" w:cs="仿宋_GB2312"/>
                <w:color w:val="auto"/>
                <w:spacing w:val="-2"/>
                <w:sz w:val="22"/>
                <w:szCs w:val="22"/>
                <w:lang w:eastAsia="zh-CN"/>
              </w:rPr>
              <w:t>：</w:t>
            </w:r>
            <w:r>
              <w:rPr>
                <w:rFonts w:hint="eastAsia" w:ascii="仿宋_GB2312" w:hAnsi="仿宋_GB2312" w:eastAsia="仿宋_GB2312" w:cs="仿宋_GB2312"/>
                <w:color w:val="auto"/>
                <w:spacing w:val="-2"/>
                <w:sz w:val="22"/>
                <w:szCs w:val="22"/>
              </w:rPr>
              <w:t>民政部门收到养老机构备案材料后，对材料齐全的，应当出具备案回执；材料不齐全的，应当指导养老机构补正。</w:t>
            </w:r>
          </w:p>
        </w:tc>
        <w:tc>
          <w:tcPr>
            <w:tcW w:w="586"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其他职权</w:t>
            </w: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收件</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综合受理窗口受理。</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lang w:eastAsia="zh-CN"/>
              </w:rPr>
            </w:pPr>
            <w:r>
              <w:rPr>
                <w:rFonts w:hint="eastAsia" w:ascii="仿宋_GB2312" w:hAnsi="仿宋_GB2312" w:eastAsia="仿宋_GB2312" w:cs="仿宋_GB2312"/>
                <w:color w:val="auto"/>
                <w:sz w:val="22"/>
                <w:szCs w:val="22"/>
                <w:shd w:val="clear" w:color="070000" w:fill="FFFFFF"/>
                <w:lang w:eastAsia="zh-CN"/>
              </w:rPr>
              <w:t>行政审批服务科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69" w:hRule="exac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民政部门受理。</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lang w:eastAsia="zh-CN"/>
              </w:rPr>
            </w:pPr>
            <w:r>
              <w:rPr>
                <w:rFonts w:hint="eastAsia" w:ascii="仿宋_GB2312" w:hAnsi="仿宋_GB2312" w:eastAsia="仿宋_GB2312" w:cs="仿宋_GB2312"/>
                <w:color w:val="auto"/>
                <w:sz w:val="22"/>
                <w:szCs w:val="22"/>
                <w:shd w:val="clear" w:color="070000" w:fill="FFFFFF"/>
                <w:lang w:eastAsia="zh-CN"/>
              </w:rPr>
              <w:t>行政审批服务科</w:t>
            </w:r>
          </w:p>
          <w:p>
            <w:pPr>
              <w:widowControl/>
              <w:wordWrap/>
              <w:adjustRightInd/>
              <w:snapToGrid/>
              <w:spacing w:before="0" w:after="0" w:line="300" w:lineRule="exact"/>
              <w:ind w:left="0" w:leftChars="0" w:right="0"/>
              <w:jc w:val="center"/>
              <w:textAlignment w:val="top"/>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exac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审核</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根据相关法律和政策审核。</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lang w:eastAsia="zh-CN"/>
              </w:rPr>
            </w:pPr>
            <w:r>
              <w:rPr>
                <w:rFonts w:hint="eastAsia" w:ascii="仿宋_GB2312" w:hAnsi="仿宋_GB2312" w:eastAsia="仿宋_GB2312" w:cs="仿宋_GB2312"/>
                <w:color w:val="auto"/>
                <w:sz w:val="22"/>
                <w:szCs w:val="22"/>
                <w:shd w:val="clear" w:color="070000" w:fill="FFFFFF"/>
                <w:lang w:eastAsia="zh-CN"/>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jc w:val="center"/>
              <w:textAlignment w:val="top"/>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94" w:hRule="exac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结果送达。</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lang w:eastAsia="zh-CN"/>
              </w:rPr>
            </w:pPr>
            <w:r>
              <w:rPr>
                <w:rFonts w:hint="eastAsia" w:ascii="仿宋_GB2312" w:hAnsi="仿宋_GB2312" w:eastAsia="仿宋_GB2312" w:cs="仿宋_GB2312"/>
                <w:color w:val="auto"/>
                <w:sz w:val="22"/>
                <w:szCs w:val="22"/>
                <w:shd w:val="clear" w:color="070000" w:fill="FFFFFF"/>
                <w:lang w:eastAsia="zh-CN"/>
              </w:rPr>
              <w:t>行政审批</w:t>
            </w:r>
          </w:p>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rPr>
            </w:pPr>
            <w:r>
              <w:rPr>
                <w:rFonts w:hint="eastAsia" w:ascii="仿宋_GB2312" w:hAnsi="仿宋_GB2312" w:eastAsia="仿宋_GB2312" w:cs="仿宋_GB2312"/>
                <w:color w:val="auto"/>
                <w:sz w:val="22"/>
                <w:szCs w:val="22"/>
                <w:shd w:val="clear" w:color="070000" w:fill="FFFFFF"/>
              </w:rPr>
              <w:t>服务科</w:t>
            </w:r>
          </w:p>
          <w:p>
            <w:pPr>
              <w:widowControl/>
              <w:wordWrap/>
              <w:adjustRightInd/>
              <w:snapToGrid/>
              <w:spacing w:before="0" w:after="0" w:line="300" w:lineRule="exact"/>
              <w:ind w:left="0" w:leftChars="0" w:right="0"/>
              <w:jc w:val="center"/>
              <w:textAlignment w:val="top"/>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57" w:hRule="exact"/>
          <w:jc w:val="center"/>
        </w:trPr>
        <w:tc>
          <w:tcPr>
            <w:tcW w:w="450"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kern w:val="0"/>
                <w:sz w:val="22"/>
                <w:szCs w:val="22"/>
              </w:rPr>
              <w:t>5</w:t>
            </w:r>
            <w:r>
              <w:rPr>
                <w:rFonts w:hint="eastAsia" w:ascii="仿宋_GB2312" w:hAnsi="仿宋_GB2312" w:eastAsia="仿宋_GB2312" w:cs="仿宋_GB2312"/>
                <w:color w:val="auto"/>
                <w:kern w:val="0"/>
                <w:sz w:val="22"/>
                <w:szCs w:val="22"/>
                <w:lang w:val="en-US" w:eastAsia="zh-CN"/>
              </w:rPr>
              <w:t>3</w:t>
            </w:r>
          </w:p>
        </w:tc>
        <w:tc>
          <w:tcPr>
            <w:tcW w:w="1573" w:type="dxa"/>
            <w:vMerge w:val="restart"/>
            <w:tcMar>
              <w:top w:w="15" w:type="dxa"/>
              <w:left w:w="15" w:type="dxa"/>
              <w:right w:w="15" w:type="dxa"/>
            </w:tcMar>
            <w:vAlign w:val="center"/>
          </w:tcPr>
          <w:p>
            <w:pPr>
              <w:widowControl/>
              <w:wordWrap/>
              <w:adjustRightInd/>
              <w:snapToGrid/>
              <w:spacing w:before="0" w:after="0" w:line="300" w:lineRule="exact"/>
              <w:ind w:left="0" w:leftChars="0" w:right="0"/>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非营利性养老机构变更备案</w:t>
            </w:r>
          </w:p>
        </w:tc>
        <w:tc>
          <w:tcPr>
            <w:tcW w:w="7092" w:type="dxa"/>
            <w:gridSpan w:val="2"/>
            <w:vMerge w:val="restart"/>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b w:val="0"/>
                <w:bCs w:val="0"/>
                <w:color w:val="auto"/>
                <w:kern w:val="0"/>
                <w:sz w:val="22"/>
                <w:szCs w:val="22"/>
              </w:rPr>
              <w:t>《中华人民共和国老年人权益保障法》第四十六条</w:t>
            </w:r>
            <w:r>
              <w:rPr>
                <w:rFonts w:hint="eastAsia" w:ascii="仿宋_GB2312" w:hAnsi="仿宋_GB2312" w:eastAsia="仿宋_GB2312" w:cs="仿宋_GB2312"/>
                <w:b w:val="0"/>
                <w:bCs w:val="0"/>
                <w:color w:val="auto"/>
                <w:kern w:val="0"/>
                <w:sz w:val="22"/>
                <w:szCs w:val="22"/>
                <w:lang w:eastAsia="zh-CN"/>
              </w:rPr>
              <w:t>：</w:t>
            </w:r>
            <w:r>
              <w:rPr>
                <w:rFonts w:hint="eastAsia" w:ascii="仿宋_GB2312" w:hAnsi="仿宋_GB2312" w:eastAsia="仿宋_GB2312" w:cs="仿宋_GB2312"/>
                <w:color w:val="auto"/>
                <w:kern w:val="0"/>
                <w:sz w:val="22"/>
                <w:szCs w:val="22"/>
              </w:rPr>
              <w:t>养老机构变更或者终止的，应当妥善安置收住的老年人，并依照规定到有关部门办理手续。有关部门应当为养老机构妥善安置老年人提供帮助。</w:t>
            </w:r>
          </w:p>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kern w:val="0"/>
                <w:sz w:val="22"/>
                <w:szCs w:val="22"/>
              </w:rPr>
              <w:t>《养老机构管理办法》第十三条：已经备案的养老机构变更名称、法定代表人或者主要负责人等登记事项，或者变更服务场所权属、养老床位数量、服务设施面积等事项的，应当及时向原备案民政部门办理变更备案。</w:t>
            </w:r>
          </w:p>
        </w:tc>
        <w:tc>
          <w:tcPr>
            <w:tcW w:w="586" w:type="dxa"/>
            <w:vMerge w:val="restart"/>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其他职权</w:t>
            </w: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收件</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综合受理窗口受理。</w:t>
            </w:r>
          </w:p>
        </w:tc>
        <w:tc>
          <w:tcPr>
            <w:tcW w:w="133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lang w:eastAsia="zh-CN"/>
              </w:rPr>
            </w:pPr>
            <w:r>
              <w:rPr>
                <w:rFonts w:hint="eastAsia" w:ascii="仿宋_GB2312" w:hAnsi="仿宋_GB2312" w:eastAsia="仿宋_GB2312" w:cs="仿宋_GB2312"/>
                <w:color w:val="auto"/>
                <w:sz w:val="22"/>
                <w:szCs w:val="22"/>
                <w:shd w:val="clear" w:color="070000" w:fill="FFFFFF"/>
                <w:lang w:eastAsia="zh-CN"/>
              </w:rPr>
              <w:t>行政审批服务科</w:t>
            </w:r>
          </w:p>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exac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民政部门受理。</w:t>
            </w:r>
          </w:p>
        </w:tc>
        <w:tc>
          <w:tcPr>
            <w:tcW w:w="1330" w:type="dxa"/>
            <w:tcMar>
              <w:top w:w="15" w:type="dxa"/>
              <w:left w:w="15" w:type="dxa"/>
              <w:right w:w="15" w:type="dxa"/>
            </w:tcMar>
            <w:vAlign w:val="top"/>
          </w:tcPr>
          <w:p>
            <w:pPr>
              <w:wordWrap/>
              <w:adjustRightInd/>
              <w:snapToGrid/>
              <w:spacing w:before="0" w:after="0" w:line="300" w:lineRule="exact"/>
              <w:ind w:left="0" w:leftChars="0" w:right="0"/>
              <w:jc w:val="center"/>
              <w:outlineLvl w:val="9"/>
              <w:rPr>
                <w:rFonts w:hint="eastAsia" w:ascii="仿宋_GB2312" w:hAnsi="仿宋_GB2312" w:eastAsia="仿宋_GB2312" w:cs="仿宋_GB2312"/>
                <w:b w:val="0"/>
                <w:bCs w:val="0"/>
                <w:color w:val="auto"/>
                <w:sz w:val="22"/>
                <w:szCs w:val="22"/>
                <w:shd w:val="clear" w:color="070000" w:fill="FFFFFF"/>
                <w:lang w:eastAsia="zh-CN"/>
              </w:rPr>
            </w:pPr>
            <w:r>
              <w:rPr>
                <w:rFonts w:hint="eastAsia" w:ascii="仿宋_GB2312" w:hAnsi="仿宋_GB2312" w:eastAsia="仿宋_GB2312" w:cs="仿宋_GB2312"/>
                <w:b w:val="0"/>
                <w:bCs w:val="0"/>
                <w:color w:val="auto"/>
                <w:sz w:val="22"/>
                <w:szCs w:val="22"/>
                <w:shd w:val="clear" w:color="070000" w:fill="FFFFFF"/>
                <w:lang w:eastAsia="zh-CN"/>
              </w:rPr>
              <w:t>行政审批服务科</w:t>
            </w:r>
          </w:p>
          <w:p>
            <w:pPr>
              <w:widowControl/>
              <w:wordWrap/>
              <w:adjustRightInd/>
              <w:snapToGrid/>
              <w:spacing w:before="0" w:after="0" w:line="300" w:lineRule="exact"/>
              <w:ind w:left="0" w:leftChars="0" w:right="0"/>
              <w:jc w:val="center"/>
              <w:textAlignment w:val="top"/>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exac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审核</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根据相关法律和政策审核。</w:t>
            </w:r>
          </w:p>
        </w:tc>
        <w:tc>
          <w:tcPr>
            <w:tcW w:w="1330" w:type="dxa"/>
            <w:tcMar>
              <w:top w:w="15" w:type="dxa"/>
              <w:left w:w="15" w:type="dxa"/>
              <w:right w:w="15" w:type="dxa"/>
            </w:tcMar>
            <w:vAlign w:val="top"/>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lang w:eastAsia="zh-CN"/>
              </w:rPr>
            </w:pPr>
            <w:r>
              <w:rPr>
                <w:rFonts w:hint="eastAsia" w:ascii="仿宋_GB2312" w:hAnsi="仿宋_GB2312" w:eastAsia="仿宋_GB2312" w:cs="仿宋_GB2312"/>
                <w:color w:val="auto"/>
                <w:sz w:val="22"/>
                <w:szCs w:val="22"/>
                <w:shd w:val="clear" w:color="070000" w:fill="FFFFFF"/>
                <w:lang w:eastAsia="zh-CN"/>
              </w:rPr>
              <w:t>行政审批</w:t>
            </w:r>
          </w:p>
          <w:p>
            <w:pPr>
              <w:widowControl/>
              <w:wordWrap/>
              <w:adjustRightInd/>
              <w:snapToGrid/>
              <w:spacing w:before="0" w:after="0" w:line="300" w:lineRule="exact"/>
              <w:ind w:left="0" w:leftChars="0" w:right="0"/>
              <w:jc w:val="center"/>
              <w:textAlignment w:val="top"/>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shd w:val="clear" w:color="070000" w:fill="FFFFFF"/>
              </w:rPr>
              <w:t>服务科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7" w:hRule="exact"/>
          <w:jc w:val="center"/>
        </w:trPr>
        <w:tc>
          <w:tcPr>
            <w:tcW w:w="450"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1573" w:type="dxa"/>
            <w:vMerge w:val="continue"/>
            <w:tcMar>
              <w:top w:w="15" w:type="dxa"/>
              <w:left w:w="15" w:type="dxa"/>
              <w:right w:w="15" w:type="dxa"/>
            </w:tcMar>
            <w:vAlign w:val="center"/>
          </w:tcPr>
          <w:p>
            <w:pPr>
              <w:wordWrap/>
              <w:adjustRightInd/>
              <w:snapToGrid/>
              <w:spacing w:before="0" w:after="0" w:line="300" w:lineRule="exact"/>
              <w:ind w:left="0" w:leftChars="0" w:right="0"/>
              <w:outlineLvl w:val="9"/>
              <w:rPr>
                <w:rFonts w:hint="eastAsia" w:ascii="仿宋_GB2312" w:hAnsi="仿宋_GB2312" w:eastAsia="仿宋_GB2312" w:cs="仿宋_GB2312"/>
                <w:color w:val="auto"/>
                <w:sz w:val="22"/>
                <w:szCs w:val="22"/>
              </w:rPr>
            </w:pPr>
          </w:p>
        </w:tc>
        <w:tc>
          <w:tcPr>
            <w:tcW w:w="7092" w:type="dxa"/>
            <w:gridSpan w:val="2"/>
            <w:vMerge w:val="continue"/>
            <w:tcMar>
              <w:top w:w="15" w:type="dxa"/>
              <w:left w:w="15" w:type="dxa"/>
              <w:right w:w="15" w:type="dxa"/>
            </w:tcMar>
            <w:vAlign w:val="center"/>
          </w:tcPr>
          <w:p>
            <w:pPr>
              <w:wordWrap/>
              <w:adjustRightInd/>
              <w:snapToGrid/>
              <w:spacing w:before="0" w:after="0" w:line="300" w:lineRule="exact"/>
              <w:ind w:left="0" w:leftChars="0" w:right="0"/>
              <w:jc w:val="left"/>
              <w:outlineLvl w:val="9"/>
              <w:rPr>
                <w:rFonts w:hint="eastAsia" w:ascii="仿宋_GB2312" w:hAnsi="仿宋_GB2312" w:eastAsia="仿宋_GB2312" w:cs="仿宋_GB2312"/>
                <w:color w:val="auto"/>
                <w:sz w:val="22"/>
                <w:szCs w:val="22"/>
              </w:rPr>
            </w:pPr>
          </w:p>
        </w:tc>
        <w:tc>
          <w:tcPr>
            <w:tcW w:w="586" w:type="dxa"/>
            <w:vMerge w:val="continue"/>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p>
        </w:tc>
        <w:tc>
          <w:tcPr>
            <w:tcW w:w="982"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送达</w:t>
            </w:r>
          </w:p>
        </w:tc>
        <w:tc>
          <w:tcPr>
            <w:tcW w:w="325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结果送达。</w:t>
            </w:r>
          </w:p>
        </w:tc>
        <w:tc>
          <w:tcPr>
            <w:tcW w:w="1330" w:type="dxa"/>
            <w:tcMar>
              <w:top w:w="15" w:type="dxa"/>
              <w:left w:w="15" w:type="dxa"/>
              <w:right w:w="15" w:type="dxa"/>
            </w:tcMar>
            <w:vAlign w:val="top"/>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shd w:val="clear" w:color="070000" w:fill="FFFFFF"/>
                <w:lang w:eastAsia="zh-CN"/>
              </w:rPr>
            </w:pPr>
            <w:r>
              <w:rPr>
                <w:rFonts w:hint="eastAsia" w:ascii="仿宋_GB2312" w:hAnsi="仿宋_GB2312" w:eastAsia="仿宋_GB2312" w:cs="仿宋_GB2312"/>
                <w:color w:val="auto"/>
                <w:sz w:val="22"/>
                <w:szCs w:val="22"/>
                <w:shd w:val="clear" w:color="070000" w:fill="FFFFFF"/>
                <w:lang w:eastAsia="zh-CN"/>
              </w:rPr>
              <w:t>行政审批服务科</w:t>
            </w:r>
          </w:p>
          <w:p>
            <w:pPr>
              <w:widowControl/>
              <w:wordWrap/>
              <w:adjustRightInd/>
              <w:snapToGrid/>
              <w:spacing w:before="0" w:after="0" w:line="300" w:lineRule="exact"/>
              <w:ind w:left="0" w:leftChars="0" w:right="0"/>
              <w:jc w:val="center"/>
              <w:textAlignment w:val="top"/>
              <w:outlineLvl w:val="9"/>
              <w:rPr>
                <w:rFonts w:hint="eastAsia" w:ascii="仿宋_GB2312" w:hAnsi="仿宋_GB2312" w:eastAsia="仿宋_GB2312" w:cs="仿宋_GB2312"/>
                <w:color w:val="auto"/>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94" w:hRule="exact"/>
          <w:jc w:val="center"/>
        </w:trPr>
        <w:tc>
          <w:tcPr>
            <w:tcW w:w="450"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54</w:t>
            </w:r>
          </w:p>
        </w:tc>
        <w:tc>
          <w:tcPr>
            <w:tcW w:w="1573" w:type="dxa"/>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szCs w:val="22"/>
              </w:rPr>
              <w:t>养老机构监管</w:t>
            </w:r>
          </w:p>
        </w:tc>
        <w:tc>
          <w:tcPr>
            <w:tcW w:w="7092" w:type="dxa"/>
            <w:gridSpan w:val="2"/>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szCs w:val="22"/>
              </w:rPr>
              <w:t>《中华人民共和国老年人权益保障法》第四十四条：地方各级人民政府加强对本行政区域养老机构管理工作的领导，建立养老机构综合监管制度。县级以上人民政府民政部门负责养老机构的指导、监督和管理，其他有关部门依照职责分工对养老机构实施监督。</w:t>
            </w:r>
            <w:r>
              <w:rPr>
                <w:rFonts w:hint="eastAsia" w:ascii="仿宋_GB2312" w:hAnsi="仿宋_GB2312" w:eastAsia="仿宋_GB2312" w:cs="仿宋_GB2312"/>
                <w:color w:val="auto"/>
                <w:kern w:val="0"/>
                <w:sz w:val="22"/>
                <w:szCs w:val="22"/>
                <w:lang w:val="en-US" w:eastAsia="zh-CN"/>
              </w:rPr>
              <w:t xml:space="preserve">                                           </w:t>
            </w:r>
            <w:r>
              <w:rPr>
                <w:rFonts w:hint="eastAsia" w:ascii="仿宋_GB2312" w:hAnsi="仿宋_GB2312" w:eastAsia="仿宋_GB2312" w:cs="仿宋_GB2312"/>
                <w:color w:val="auto"/>
                <w:kern w:val="0"/>
                <w:sz w:val="22"/>
                <w:szCs w:val="22"/>
              </w:rPr>
              <w:t>《养老机构管理办法》（中华人民共和国民政部令第66号）第三条：县级以上人民政府民政部门负责养老机构的指导、监督和管理。其他有关部门依照职责分工对养老机构实施监督。</w:t>
            </w:r>
          </w:p>
        </w:tc>
        <w:tc>
          <w:tcPr>
            <w:tcW w:w="586" w:type="dxa"/>
            <w:tcMar>
              <w:top w:w="15" w:type="dxa"/>
              <w:left w:w="15" w:type="dxa"/>
              <w:right w:w="15" w:type="dxa"/>
            </w:tcMar>
            <w:vAlign w:val="center"/>
          </w:tcPr>
          <w:p>
            <w:pPr>
              <w:wordWrap/>
              <w:adjustRightInd/>
              <w:snapToGrid/>
              <w:spacing w:before="0" w:after="0" w:line="300" w:lineRule="exact"/>
              <w:ind w:left="0" w:leftChars="0" w:right="0"/>
              <w:jc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其他职权</w:t>
            </w:r>
          </w:p>
        </w:tc>
        <w:tc>
          <w:tcPr>
            <w:tcW w:w="4232" w:type="dxa"/>
            <w:gridSpan w:val="2"/>
            <w:tcMar>
              <w:top w:w="15" w:type="dxa"/>
              <w:left w:w="15" w:type="dxa"/>
              <w:right w:w="15" w:type="dxa"/>
            </w:tcMar>
            <w:vAlign w:val="center"/>
          </w:tcPr>
          <w:p>
            <w:pPr>
              <w:widowControl/>
              <w:wordWrap/>
              <w:adjustRightInd/>
              <w:snapToGrid/>
              <w:spacing w:before="0" w:after="0" w:line="300" w:lineRule="exact"/>
              <w:ind w:left="0" w:leftChars="0" w:right="0"/>
              <w:jc w:val="both"/>
              <w:textAlignment w:val="center"/>
              <w:outlineLvl w:val="9"/>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rPr>
              <w:t>对在市民政局备案的养老机构进行业务指导、监督检查、安全管理</w:t>
            </w:r>
            <w:r>
              <w:rPr>
                <w:rFonts w:hint="eastAsia" w:ascii="仿宋_GB2312" w:hAnsi="仿宋_GB2312" w:eastAsia="仿宋_GB2312" w:cs="仿宋_GB2312"/>
                <w:color w:val="auto"/>
                <w:kern w:val="0"/>
                <w:sz w:val="22"/>
                <w:szCs w:val="22"/>
                <w:lang w:eastAsia="zh-CN"/>
              </w:rPr>
              <w:t>。</w:t>
            </w:r>
          </w:p>
        </w:tc>
        <w:tc>
          <w:tcPr>
            <w:tcW w:w="1330" w:type="dxa"/>
            <w:tcMar>
              <w:top w:w="15" w:type="dxa"/>
              <w:left w:w="15" w:type="dxa"/>
              <w:right w:w="15" w:type="dxa"/>
            </w:tcMar>
            <w:vAlign w:val="center"/>
          </w:tcPr>
          <w:p>
            <w:pPr>
              <w:widowControl/>
              <w:wordWrap/>
              <w:adjustRightInd/>
              <w:snapToGrid/>
              <w:spacing w:before="0" w:after="0" w:line="300" w:lineRule="exact"/>
              <w:ind w:left="0" w:leftChars="0" w:right="0"/>
              <w:jc w:val="center"/>
              <w:textAlignment w:val="top"/>
              <w:outlineLvl w:val="9"/>
              <w:rPr>
                <w:rFonts w:hint="eastAsia" w:ascii="仿宋_GB2312" w:hAnsi="仿宋_GB2312" w:eastAsia="仿宋_GB2312" w:cs="仿宋_GB2312"/>
                <w:color w:val="auto"/>
                <w:sz w:val="22"/>
                <w:szCs w:val="22"/>
                <w:lang w:eastAsia="zh-CN"/>
              </w:rPr>
            </w:pPr>
          </w:p>
          <w:p>
            <w:pPr>
              <w:wordWrap/>
              <w:adjustRightInd/>
              <w:snapToGrid/>
              <w:spacing w:before="0" w:after="0" w:line="300" w:lineRule="exact"/>
              <w:ind w:left="0" w:leftChars="0" w:right="0"/>
              <w:jc w:val="center"/>
              <w:outlineLvl w:val="9"/>
              <w:rPr>
                <w:rFonts w:hint="default" w:ascii="仿宋_GB2312" w:hAnsi="仿宋_GB2312" w:eastAsia="仿宋_GB2312" w:cs="仿宋_GB2312"/>
                <w:color w:val="auto"/>
                <w:kern w:val="2"/>
                <w:sz w:val="22"/>
                <w:szCs w:val="22"/>
                <w:lang w:val="en" w:eastAsia="zh-CN" w:bidi="ar-SA"/>
              </w:rPr>
            </w:pPr>
            <w:r>
              <w:rPr>
                <w:rFonts w:hint="eastAsia" w:ascii="仿宋_GB2312" w:hAnsi="仿宋_GB2312" w:eastAsia="仿宋_GB2312" w:cs="仿宋_GB2312"/>
                <w:color w:val="auto"/>
                <w:kern w:val="2"/>
                <w:sz w:val="22"/>
                <w:szCs w:val="22"/>
                <w:lang w:val="en" w:eastAsia="zh-CN" w:bidi="ar-SA"/>
              </w:rPr>
              <w:t>养老服务科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15263" w:type="dxa"/>
            <w:gridSpan w:val="8"/>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 xml:space="preserve">服务电话：0377-63133909                 投诉机构:南阳市纪委监委驻市民政局纪检监察组                    投诉电话：0377-63137277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4" w:hRule="exact"/>
          <w:jc w:val="center"/>
        </w:trPr>
        <w:tc>
          <w:tcPr>
            <w:tcW w:w="15263" w:type="dxa"/>
            <w:gridSpan w:val="8"/>
            <w:tcMar>
              <w:top w:w="15" w:type="dxa"/>
              <w:left w:w="15" w:type="dxa"/>
              <w:right w:w="15" w:type="dxa"/>
            </w:tcMar>
            <w:vAlign w:val="center"/>
          </w:tcPr>
          <w:p>
            <w:pPr>
              <w:widowControl/>
              <w:wordWrap/>
              <w:adjustRightInd/>
              <w:snapToGrid/>
              <w:spacing w:before="0" w:after="0" w:line="300" w:lineRule="exact"/>
              <w:ind w:left="0" w:leftChars="0" w:right="0"/>
              <w:jc w:val="left"/>
              <w:textAlignment w:val="center"/>
              <w:outlineLvl w:val="9"/>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kern w:val="0"/>
                <w:sz w:val="22"/>
                <w:szCs w:val="22"/>
              </w:rPr>
              <w:t>受理地点：南阳市范蠡路</w:t>
            </w:r>
            <w:r>
              <w:rPr>
                <w:rFonts w:hint="eastAsia" w:ascii="仿宋_GB2312" w:hAnsi="仿宋_GB2312" w:eastAsia="仿宋_GB2312" w:cs="仿宋_GB2312"/>
                <w:color w:val="auto"/>
                <w:kern w:val="0"/>
                <w:sz w:val="22"/>
                <w:szCs w:val="22"/>
                <w:lang w:eastAsia="zh-CN"/>
              </w:rPr>
              <w:t>市民服务中心南区</w:t>
            </w:r>
            <w:r>
              <w:rPr>
                <w:rFonts w:hint="eastAsia" w:ascii="仿宋_GB2312" w:hAnsi="仿宋_GB2312" w:eastAsia="仿宋_GB2312" w:cs="仿宋_GB2312"/>
                <w:color w:val="auto"/>
                <w:kern w:val="0"/>
                <w:sz w:val="22"/>
                <w:szCs w:val="22"/>
                <w:lang w:val="en-US" w:eastAsia="zh-CN"/>
              </w:rPr>
              <w:t>3</w:t>
            </w:r>
            <w:r>
              <w:rPr>
                <w:rFonts w:hint="eastAsia" w:ascii="仿宋_GB2312" w:hAnsi="仿宋_GB2312" w:eastAsia="仿宋_GB2312" w:cs="仿宋_GB2312"/>
                <w:color w:val="auto"/>
                <w:kern w:val="0"/>
                <w:sz w:val="22"/>
                <w:szCs w:val="22"/>
              </w:rPr>
              <w:t>号楼1楼综合受理窗口</w:t>
            </w:r>
          </w:p>
        </w:tc>
      </w:tr>
    </w:tbl>
    <w:p>
      <w:pPr>
        <w:pStyle w:val="2"/>
        <w:widowControl w:val="0"/>
        <w:wordWrap/>
        <w:adjustRightInd/>
        <w:snapToGrid/>
        <w:spacing w:after="0" w:line="240" w:lineRule="auto"/>
        <w:textAlignment w:val="auto"/>
        <w:rPr>
          <w:b/>
          <w:bCs/>
          <w:color w:val="auto"/>
          <w:lang w:val="en-US"/>
        </w:rPr>
      </w:pPr>
    </w:p>
    <w:sectPr>
      <w:footerReference r:id="rId5" w:type="default"/>
      <w:pgSz w:w="16838" w:h="11906" w:orient="landscape"/>
      <w:pgMar w:top="1417" w:right="1417" w:bottom="567"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w:pict>
        <v:shape id="文本框1" o:spid="_x0000_s4097"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- 17 -</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w:pict>
        <v:shape id="文本框2" o:spid="_x0000_s4098"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rPr>
                  <w:t>- 1 -</w:t>
                </w:r>
                <w:r>
                  <w:rPr>
                    <w:rFonts w:hint="eastAsia" w:ascii="宋体" w:hAnsi="宋体" w:eastAsia="宋体" w:cs="宋体"/>
                    <w:sz w:val="24"/>
                    <w:szCs w:val="24"/>
                    <w:lang w:eastAsia="zh-CN"/>
                  </w:rPr>
                  <w:fldChar w:fldCharType="end"/>
                </w:r>
              </w:p>
            </w:txbxContent>
          </v:textbox>
        </v:shape>
      </w:pict>
    </w:r>
  </w:p>
  <w:p>
    <w:pPr>
      <w:pStyle w:val="3"/>
      <w:tabs>
        <w:tab w:val="left" w:pos="5925"/>
        <w:tab w:val="clear" w:pos="4153"/>
      </w:tabs>
      <w:rPr>
        <w:rFonts w:hint="eastAsia" w:eastAsia="宋体"/>
        <w:lang w:eastAsia="zh-CN"/>
      </w:rPr>
    </w:pP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22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65A628B"/>
    <w:rsid w:val="26411767"/>
    <w:rsid w:val="2A2A3A8A"/>
    <w:rsid w:val="2FAF2A96"/>
    <w:rsid w:val="3D93AF27"/>
    <w:rsid w:val="47FF8B96"/>
    <w:rsid w:val="719F865C"/>
    <w:rsid w:val="76ECCA14"/>
    <w:rsid w:val="7775D09E"/>
    <w:rsid w:val="7E7F5C6D"/>
    <w:rsid w:val="7EFDD56B"/>
    <w:rsid w:val="ACFC0B87"/>
    <w:rsid w:val="BEE3698F"/>
    <w:rsid w:val="CFDCADA8"/>
    <w:rsid w:val="D7671D67"/>
    <w:rsid w:val="D7DF2303"/>
    <w:rsid w:val="DAE7C353"/>
    <w:rsid w:val="DEFF13F8"/>
    <w:rsid w:val="DFCE05D7"/>
    <w:rsid w:val="DFDF524A"/>
    <w:rsid w:val="EFFF81A6"/>
    <w:rsid w:val="F87F3168"/>
    <w:rsid w:val="F8D109A1"/>
    <w:rsid w:val="FA319F4A"/>
    <w:rsid w:val="FB3DF9AC"/>
    <w:rsid w:val="FEED64CC"/>
    <w:rsid w:val="FF710D83"/>
    <w:rsid w:val="FFDF8AA0"/>
    <w:rsid w:val="FFEFCF88"/>
    <w:rsid w:val="FFEFFCD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32"/>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2012-06-09T01:30:00Z</dcterms:created>
  <dc:creator>Administrator</dc:creator>
  <cp:lastModifiedBy>Administrator</cp:lastModifiedBy>
  <cp:lastPrinted>2021-04-16T09:03:00Z</cp:lastPrinted>
  <dcterms:modified xsi:type="dcterms:W3CDTF">2021-12-10T10:01:36Z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99EC3DAE677143939FF1C163F3925678</vt:lpwstr>
  </property>
</Properties>
</file>