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南阳市城市绿色货运配送示范工程</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r>
        <w:rPr>
          <w:rFonts w:hint="eastAsia" w:ascii="方正小标宋_GBK" w:hAnsi="方正小标宋_GBK" w:eastAsia="方正小标宋_GBK" w:cs="方正小标宋_GBK"/>
          <w:sz w:val="44"/>
          <w:szCs w:val="44"/>
          <w:lang w:val="en-US" w:eastAsia="zh-CN"/>
        </w:rPr>
        <w:t>送审</w:t>
      </w:r>
      <w:r>
        <w:rPr>
          <w:rFonts w:hint="eastAsia" w:ascii="方正小标宋_GBK" w:hAnsi="方正小标宋_GBK" w:eastAsia="方正小标宋_GBK" w:cs="方正小标宋_GBK"/>
          <w:sz w:val="44"/>
          <w:szCs w:val="44"/>
        </w:rPr>
        <w:t>稿）</w:t>
      </w:r>
    </w:p>
    <w:p>
      <w:pPr>
        <w:spacing w:line="560" w:lineRule="exact"/>
        <w:jc w:val="center"/>
        <w:rPr>
          <w:rFonts w:ascii="方正小标宋_GBK" w:hAnsi="方正小标宋_GBK" w:eastAsia="方正小标宋_GBK" w:cs="方正小标宋_GBK"/>
          <w:sz w:val="44"/>
          <w:szCs w:val="44"/>
        </w:rPr>
      </w:pP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坚持以习近平新时代中国特色社会主义思想为指导，深入贯彻全面贯彻党的二十大和二十届一中、二中全会精神，全面落实习近平总书记视察南阳重要讲话和指示精神，立足新发展阶段，完整、准确、全面贯彻新发展理念，以绿色低碳、集约高效发展为导向，以创建城市绿色货运配送示范工程为抓手，不断提高我市物流配送可持续发展能力，助力南阳高质量建设河南省域副中心城市。</w:t>
      </w:r>
    </w:p>
    <w:p>
      <w:pPr>
        <w:overflowPunct w:val="0"/>
        <w:spacing w:line="560" w:lineRule="exact"/>
        <w:ind w:firstLine="640" w:firstLineChars="200"/>
        <w:rPr>
          <w:rFonts w:ascii="黑体" w:hAnsi="黑体" w:eastAsia="黑体" w:cs="黑体"/>
          <w:sz w:val="32"/>
        </w:rPr>
      </w:pPr>
      <w:bookmarkStart w:id="0" w:name="_Toc27329"/>
      <w:bookmarkStart w:id="1" w:name="_Toc11110"/>
      <w:bookmarkStart w:id="2" w:name="_Toc101390793"/>
      <w:r>
        <w:rPr>
          <w:rFonts w:hint="eastAsia" w:ascii="黑体" w:hAnsi="黑体" w:eastAsia="黑体" w:cs="黑体"/>
          <w:sz w:val="32"/>
        </w:rPr>
        <w:t>一、总体目标</w:t>
      </w:r>
      <w:bookmarkEnd w:id="0"/>
      <w:bookmarkEnd w:id="1"/>
      <w:bookmarkEnd w:id="2"/>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到2025年底，基本建成“集约、高效、绿色、智能”的城市货运配送服务体系，货运配送绿色发展长效机制基本形成，完成城市绿色货运配送示范工程各项创建工作任务，并顺利通过国家验收。</w:t>
      </w:r>
    </w:p>
    <w:p>
      <w:pPr>
        <w:overflowPunct w:val="0"/>
        <w:spacing w:line="560" w:lineRule="exact"/>
        <w:ind w:firstLine="643" w:firstLineChars="200"/>
        <w:rPr>
          <w:rFonts w:ascii="Times New Roman" w:hAnsi="Times New Roman" w:eastAsia="仿宋_GB2312" w:cs="Arial"/>
          <w:sz w:val="32"/>
        </w:rPr>
      </w:pPr>
      <w:r>
        <w:rPr>
          <w:rFonts w:hint="eastAsia" w:ascii="Times New Roman" w:hAnsi="Times New Roman" w:eastAsia="仿宋_GB2312" w:cs="Arial"/>
          <w:b/>
          <w:bCs/>
          <w:sz w:val="32"/>
        </w:rPr>
        <w:t>——枢纽节点优化提升，构建“5+9+N”的城市货运配送三级节点体系。</w:t>
      </w:r>
      <w:r>
        <w:rPr>
          <w:rFonts w:hint="eastAsia" w:ascii="Times New Roman" w:hAnsi="Times New Roman" w:eastAsia="仿宋_GB2312" w:cs="Arial"/>
          <w:sz w:val="32"/>
        </w:rPr>
        <w:t>一级节点方面，形成不少于5个干支衔接型货运枢纽（物流园区）；二级节点方面，形成不少于9个公共配送中心；三级节点方面，形成不少于80个末端共同配送站。</w:t>
      </w:r>
    </w:p>
    <w:p>
      <w:pPr>
        <w:overflowPunct w:val="0"/>
        <w:spacing w:line="560" w:lineRule="exact"/>
        <w:ind w:firstLine="643" w:firstLineChars="200"/>
        <w:rPr>
          <w:rFonts w:ascii="Times New Roman" w:hAnsi="Times New Roman" w:eastAsia="仿宋_GB2312" w:cs="Arial"/>
          <w:sz w:val="32"/>
        </w:rPr>
      </w:pPr>
      <w:r>
        <w:rPr>
          <w:rFonts w:hint="eastAsia" w:ascii="Times New Roman" w:hAnsi="Times New Roman" w:eastAsia="仿宋_GB2312" w:cs="Arial"/>
          <w:b/>
          <w:bCs/>
          <w:sz w:val="32"/>
        </w:rPr>
        <w:t>——新能源车辆广泛应用。</w:t>
      </w:r>
      <w:r>
        <w:rPr>
          <w:rFonts w:hint="eastAsia" w:ascii="Times New Roman" w:hAnsi="Times New Roman" w:eastAsia="仿宋_GB2312" w:cs="Arial"/>
          <w:sz w:val="32"/>
        </w:rPr>
        <w:t>建立以标准化城市配送车辆为主体的城市货运车辆体系，更新一批标准化、专业化、环保型运输与物流装备，新增新能源城市配送营运车辆数不少于</w:t>
      </w:r>
      <w:r>
        <w:rPr>
          <w:rFonts w:hint="eastAsia" w:ascii="Times New Roman" w:hAnsi="Times New Roman" w:eastAsia="仿宋_GB2312" w:cs="Arial"/>
          <w:sz w:val="32"/>
          <w:lang w:val="en-US" w:eastAsia="zh-CN"/>
        </w:rPr>
        <w:t>4</w:t>
      </w:r>
      <w:r>
        <w:rPr>
          <w:rFonts w:hint="eastAsia" w:ascii="Times New Roman" w:hAnsi="Times New Roman" w:eastAsia="仿宋_GB2312" w:cs="Arial"/>
          <w:sz w:val="32"/>
        </w:rPr>
        <w:t>00台。加强充电等基础设施建设，新增充电站不少于4座，新增充电桩不少于200个。</w:t>
      </w:r>
    </w:p>
    <w:p>
      <w:pPr>
        <w:overflowPunct w:val="0"/>
        <w:spacing w:line="560" w:lineRule="exact"/>
        <w:ind w:firstLine="643" w:firstLineChars="200"/>
        <w:rPr>
          <w:rFonts w:ascii="Times New Roman" w:hAnsi="Times New Roman" w:eastAsia="仿宋_GB2312" w:cs="Arial"/>
          <w:sz w:val="32"/>
        </w:rPr>
      </w:pPr>
      <w:r>
        <w:rPr>
          <w:rFonts w:hint="eastAsia" w:ascii="Times New Roman" w:hAnsi="Times New Roman" w:eastAsia="仿宋_GB2312" w:cs="Arial"/>
          <w:b/>
          <w:bCs/>
          <w:sz w:val="32"/>
        </w:rPr>
        <w:t>——通行管控高效科学。</w:t>
      </w:r>
      <w:r>
        <w:rPr>
          <w:rFonts w:hint="eastAsia" w:ascii="Times New Roman" w:hAnsi="Times New Roman" w:eastAsia="仿宋_GB2312" w:cs="Arial"/>
          <w:sz w:val="32"/>
        </w:rPr>
        <w:t>制定科学的城市绿色货运配送运力投放机制，优化城市配送新能源货车路权政策，加强中心城区轻型、微型燃油货车通行管控。</w:t>
      </w:r>
    </w:p>
    <w:p>
      <w:pPr>
        <w:overflowPunct w:val="0"/>
        <w:spacing w:line="560" w:lineRule="exact"/>
        <w:ind w:firstLine="643" w:firstLineChars="200"/>
        <w:rPr>
          <w:rFonts w:ascii="Times New Roman" w:hAnsi="Times New Roman" w:eastAsia="仿宋_GB2312" w:cs="Arial"/>
          <w:sz w:val="32"/>
        </w:rPr>
      </w:pPr>
      <w:r>
        <w:rPr>
          <w:rFonts w:hint="eastAsia" w:ascii="Times New Roman" w:hAnsi="Times New Roman" w:eastAsia="仿宋_GB2312" w:cs="Arial"/>
          <w:b/>
          <w:bCs/>
          <w:sz w:val="32"/>
        </w:rPr>
        <w:t>——组织模式集约高效。</w:t>
      </w:r>
      <w:r>
        <w:rPr>
          <w:rFonts w:hint="eastAsia" w:ascii="Times New Roman" w:hAnsi="Times New Roman" w:eastAsia="仿宋_GB2312" w:cs="Arial"/>
          <w:sz w:val="32"/>
        </w:rPr>
        <w:t>形成一批适应高质量发展的城市绿色货运配送发展模式，城市中心区大型超市（卖场）、连锁店等商贸流通企业采用共同（集中、夜间）配送的比例达到50%以上。</w:t>
      </w:r>
    </w:p>
    <w:p>
      <w:pPr>
        <w:overflowPunct w:val="0"/>
        <w:spacing w:line="560" w:lineRule="exact"/>
        <w:ind w:firstLine="643" w:firstLineChars="200"/>
        <w:rPr>
          <w:rFonts w:ascii="Times New Roman" w:hAnsi="Times New Roman" w:eastAsia="仿宋_GB2312" w:cs="Arial"/>
          <w:sz w:val="32"/>
        </w:rPr>
      </w:pPr>
      <w:r>
        <w:rPr>
          <w:rFonts w:hint="eastAsia" w:ascii="Times New Roman" w:hAnsi="Times New Roman" w:eastAsia="仿宋_GB2312" w:cs="Arial"/>
          <w:b/>
          <w:bCs/>
          <w:sz w:val="32"/>
        </w:rPr>
        <w:t>——信息资源协同共享。</w:t>
      </w:r>
      <w:r>
        <w:rPr>
          <w:rFonts w:hint="eastAsia" w:ascii="Times New Roman" w:hAnsi="Times New Roman" w:eastAsia="仿宋_GB2312" w:cs="Arial"/>
          <w:sz w:val="32"/>
        </w:rPr>
        <w:t>建设功能健全、资源集约、协同共享的城市绿色货运配送公共信息服务平台，推动城配物流企业在基础设施、运力调配、市场服务等方面的资源共享。</w:t>
      </w:r>
    </w:p>
    <w:p>
      <w:pPr>
        <w:overflowPunct w:val="0"/>
        <w:spacing w:line="560" w:lineRule="exact"/>
        <w:ind w:firstLine="643" w:firstLineChars="200"/>
        <w:rPr>
          <w:rFonts w:ascii="Times New Roman" w:hAnsi="Times New Roman" w:eastAsia="仿宋_GB2312" w:cs="Arial"/>
          <w:sz w:val="32"/>
        </w:rPr>
      </w:pPr>
      <w:r>
        <w:rPr>
          <w:rFonts w:hint="eastAsia" w:ascii="Times New Roman" w:hAnsi="Times New Roman" w:eastAsia="仿宋_GB2312" w:cs="Arial"/>
          <w:b/>
          <w:bCs/>
          <w:sz w:val="32"/>
        </w:rPr>
        <w:t>——市场主体不断壮大。</w:t>
      </w:r>
      <w:r>
        <w:rPr>
          <w:rFonts w:hint="eastAsia" w:ascii="Times New Roman" w:hAnsi="Times New Roman" w:eastAsia="仿宋_GB2312" w:cs="Arial"/>
          <w:sz w:val="32"/>
        </w:rPr>
        <w:t>培育一批服务规范、运作高效、模式先进的城市绿色货运配送示范企业，新增3家AAA级（含）以上城市配送企业，发挥品牌引领示范效应，加快推进我市城配物流产业结构优化和行业降本增效。</w:t>
      </w:r>
    </w:p>
    <w:p>
      <w:pPr>
        <w:overflowPunct w:val="0"/>
        <w:spacing w:line="560" w:lineRule="exact"/>
        <w:ind w:firstLine="643" w:firstLineChars="200"/>
        <w:rPr>
          <w:rFonts w:ascii="Times New Roman" w:hAnsi="Times New Roman" w:eastAsia="仿宋_GB2312" w:cs="Arial"/>
          <w:sz w:val="32"/>
        </w:rPr>
      </w:pPr>
      <w:r>
        <w:rPr>
          <w:rFonts w:hint="eastAsia" w:ascii="Times New Roman" w:hAnsi="Times New Roman" w:eastAsia="仿宋_GB2312" w:cs="Arial"/>
          <w:b/>
          <w:bCs/>
          <w:sz w:val="32"/>
        </w:rPr>
        <w:t>——降本增效节能减排显著。</w:t>
      </w:r>
      <w:r>
        <w:rPr>
          <w:rFonts w:hint="eastAsia" w:ascii="Times New Roman" w:hAnsi="Times New Roman" w:eastAsia="仿宋_GB2312" w:cs="Arial"/>
          <w:sz w:val="32"/>
        </w:rPr>
        <w:t>城市货运配送效率显著提升，配送车辆利用效率较示范期初提高20%、配送成本较示范期初降低10%。</w:t>
      </w:r>
    </w:p>
    <w:p>
      <w:pPr>
        <w:overflowPunct w:val="0"/>
        <w:spacing w:line="560" w:lineRule="exact"/>
        <w:ind w:firstLine="640" w:firstLineChars="200"/>
        <w:rPr>
          <w:rFonts w:ascii="黑体" w:hAnsi="黑体" w:eastAsia="黑体" w:cs="黑体"/>
          <w:sz w:val="32"/>
        </w:rPr>
      </w:pPr>
      <w:r>
        <w:rPr>
          <w:rFonts w:hint="eastAsia" w:ascii="黑体" w:hAnsi="黑体" w:eastAsia="黑体" w:cs="黑体"/>
          <w:sz w:val="32"/>
        </w:rPr>
        <w:t>二、组织机构及职责</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成立由分管副市长任组长，市政府办公室分管领导和市交通运输局、市商务局、市公安局主要领导任副组长，市发改委、市财政局、市工信局、市生态环境局、市邮政管理局、市住建局、市自然资源和规划局、市城管局、市市场监督管理局、市政数局等相关部门负责人为成员的南阳市绿色货运配送示范工程创建领导小组。负责推进城市绿色货运配送示范工程创建工作，制定工作方案，明确任务分工；负责协调解决城市绿色货运配送体系建设中遇到的重大问题；发挥政府在规划、政策、标准等方面的引领作用，督促各项任务、指标完成；按照国家对城市绿色货运配送示范工程绩效考核评分要求，领导小组应每半年至少召开一次专题会议。</w:t>
      </w:r>
    </w:p>
    <w:p>
      <w:pPr>
        <w:overflowPunct w:val="0"/>
        <w:spacing w:line="560" w:lineRule="exact"/>
        <w:ind w:firstLine="640" w:firstLineChars="200"/>
        <w:rPr>
          <w:rFonts w:ascii="黑体" w:hAnsi="黑体" w:eastAsia="黑体" w:cs="黑体"/>
          <w:sz w:val="32"/>
        </w:rPr>
      </w:pPr>
      <w:r>
        <w:rPr>
          <w:rFonts w:hint="eastAsia" w:ascii="黑体" w:hAnsi="黑体" w:eastAsia="黑体" w:cs="黑体"/>
          <w:sz w:val="32"/>
        </w:rPr>
        <w:t>三、主要任务及分工</w:t>
      </w:r>
    </w:p>
    <w:p>
      <w:pPr>
        <w:overflowPunct w:val="0"/>
        <w:spacing w:line="560" w:lineRule="exact"/>
        <w:ind w:firstLine="643" w:firstLineChars="200"/>
        <w:rPr>
          <w:rFonts w:ascii="Times New Roman" w:hAnsi="Times New Roman" w:eastAsia="仿宋_GB2312" w:cs="楷体_GB2312"/>
          <w:b/>
          <w:bCs/>
          <w:sz w:val="32"/>
        </w:rPr>
      </w:pPr>
      <w:r>
        <w:rPr>
          <w:rFonts w:hint="eastAsia" w:ascii="Times New Roman" w:hAnsi="Times New Roman" w:eastAsia="仿宋_GB2312" w:cs="楷体_GB2312"/>
          <w:b/>
          <w:bCs/>
          <w:sz w:val="32"/>
        </w:rPr>
        <w:t>（一）推进城市货运配送基础设施建设</w:t>
      </w:r>
    </w:p>
    <w:p>
      <w:pPr>
        <w:pStyle w:val="8"/>
        <w:overflowPunct w:val="0"/>
        <w:spacing w:line="560" w:lineRule="exact"/>
        <w:ind w:firstLine="643"/>
        <w:rPr>
          <w:rFonts w:ascii="Times New Roman" w:hAnsi="Times New Roman" w:eastAsia="仿宋_GB2312" w:cs="Arial"/>
          <w:sz w:val="32"/>
        </w:rPr>
      </w:pPr>
      <w:r>
        <w:rPr>
          <w:rFonts w:ascii="Times New Roman" w:hAnsi="Times New Roman" w:eastAsia="仿宋_GB2312" w:cs="Arial"/>
          <w:b/>
          <w:sz w:val="32"/>
        </w:rPr>
        <w:t>1.</w:t>
      </w:r>
      <w:r>
        <w:rPr>
          <w:rFonts w:hint="eastAsia" w:ascii="Times New Roman" w:hAnsi="Times New Roman" w:eastAsia="仿宋_GB2312" w:cs="Arial"/>
          <w:b/>
          <w:sz w:val="32"/>
        </w:rPr>
        <w:t>推进三级配送节点体系建设</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推进“干支衔接型货运枢纽（物流园）、公共配送中心、末端配送站”三级配送节点体系建设。以现有物流配送系统为基础，按照“一级节点重衔接、二级节点重集散、三级节点重覆盖”的原则，构建“5+9+N”的城市货运配送三级节点体系。以接近市区高速出口或国道省道周边的现有物流园区为依托，建成5家（南阳综合物流产业园、南阳国际陆港物流产业园、南阳卧龙现代物流产业园、南阳农产品冷链物流产业园、诚远物流基地）综合物流园区，解决城区所需货物干线到城区的接驳和分拣。出台支持配送中心建设政策，加强冷链、快消品等专业配送中心、快递分拨中心建设，建成9家（万邦农产品冷链物流园、海派共享仓储物流中心、万德隆配送中心、京东仓配中心、海元物流商城、溧河物流园、宛美物流园、南阳汽车物流产业园、东森医药物流中心）公共配送中心以及建设80个以上覆盖中心城区的末端共同配送站。</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牵头单位：市交通运输局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责任单位：市商务局、市发改委、市邮政管理局</w:t>
      </w:r>
    </w:p>
    <w:p>
      <w:pPr>
        <w:pStyle w:val="8"/>
        <w:overflowPunct w:val="0"/>
        <w:spacing w:line="560" w:lineRule="exact"/>
        <w:ind w:firstLine="643"/>
        <w:rPr>
          <w:rFonts w:ascii="Times New Roman" w:hAnsi="Times New Roman" w:eastAsia="仿宋_GB2312" w:cs="Arial"/>
          <w:b/>
          <w:sz w:val="32"/>
        </w:rPr>
      </w:pPr>
      <w:r>
        <w:rPr>
          <w:rFonts w:ascii="Times New Roman" w:hAnsi="Times New Roman" w:eastAsia="仿宋_GB2312" w:cs="Arial"/>
          <w:b/>
          <w:sz w:val="32"/>
        </w:rPr>
        <w:t>2.</w:t>
      </w:r>
      <w:r>
        <w:rPr>
          <w:rFonts w:hint="eastAsia" w:ascii="Times New Roman" w:hAnsi="Times New Roman" w:eastAsia="仿宋_GB2312" w:cs="Arial"/>
          <w:b/>
          <w:sz w:val="32"/>
        </w:rPr>
        <w:t>推进充电基础设施建设</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加快完善市辖区内新能源汽车充电基础设施布局和建设。在全市重点货运站场、物流快递分拨中心、大型商场和各类商品批发市场的装卸货区域、物流与快递企业经营网点、货运配送线路沿线、城市次干道等区域建设新能源货车快速充电桩。到创建期末，新增充电站不少于4座，新增充电桩不少于200个，基本保障新能源货车充电实际需求。鼓励充电投资建设或运营企业为绿色货运配送纯电动车提供便利和优惠。</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牵头单位：市发改委</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责任单位：市自然资源和规划局、市交通运输局、市城管局、市住建局</w:t>
      </w:r>
    </w:p>
    <w:p>
      <w:pPr>
        <w:pStyle w:val="8"/>
        <w:overflowPunct w:val="0"/>
        <w:spacing w:line="560" w:lineRule="exact"/>
        <w:ind w:firstLine="643"/>
        <w:rPr>
          <w:rFonts w:ascii="Times New Roman" w:hAnsi="Times New Roman" w:eastAsia="仿宋_GB2312" w:cs="Arial"/>
          <w:b/>
          <w:sz w:val="32"/>
        </w:rPr>
      </w:pPr>
      <w:r>
        <w:rPr>
          <w:rFonts w:ascii="Times New Roman" w:hAnsi="Times New Roman" w:eastAsia="仿宋_GB2312" w:cs="Arial"/>
          <w:b/>
          <w:sz w:val="32"/>
        </w:rPr>
        <w:t>3.</w:t>
      </w:r>
      <w:r>
        <w:rPr>
          <w:rFonts w:hint="eastAsia" w:ascii="Times New Roman" w:hAnsi="Times New Roman" w:eastAsia="仿宋_GB2312" w:cs="Arial"/>
          <w:b/>
          <w:sz w:val="32"/>
        </w:rPr>
        <w:t>优化城市周边物流通道</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优化中心城区物流通道和市域物流通道，加快G312绕城段、北外环等国道绕城货运快速通道建设；构建“国道+绕城高速”双货运通道；强化货运车辆通行管理，加快推进“过境重型货车不进城”；利用普通国省干线公路及城市主干路，构建城区对外货运快速通道，强化城市末端配送节点与外围配送中心、物流中心、物流园区之间的便利化衔接。</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牵头单位：市交通运输局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责任单位：市发改委、市自然资源和规划局、市住建局</w:t>
      </w:r>
    </w:p>
    <w:p>
      <w:pPr>
        <w:overflowPunct w:val="0"/>
        <w:spacing w:line="560" w:lineRule="exact"/>
        <w:ind w:firstLine="643" w:firstLineChars="200"/>
        <w:rPr>
          <w:rFonts w:hint="eastAsia" w:ascii="Times New Roman" w:hAnsi="Times New Roman" w:eastAsia="仿宋_GB2312" w:cs="楷体_GB2312"/>
          <w:b/>
          <w:bCs/>
          <w:sz w:val="32"/>
          <w:lang w:val="en-US" w:eastAsia="zh-CN"/>
        </w:rPr>
      </w:pPr>
      <w:r>
        <w:rPr>
          <w:rFonts w:hint="eastAsia" w:ascii="Times New Roman" w:hAnsi="Times New Roman" w:eastAsia="仿宋_GB2312" w:cs="楷体_GB2312"/>
          <w:b/>
          <w:bCs/>
          <w:sz w:val="32"/>
        </w:rPr>
        <w:t>（二）制定出台城市通行</w:t>
      </w:r>
      <w:r>
        <w:rPr>
          <w:rFonts w:hint="eastAsia" w:ascii="Times New Roman" w:hAnsi="Times New Roman" w:eastAsia="仿宋_GB2312" w:cs="楷体_GB2312"/>
          <w:b/>
          <w:bCs/>
          <w:sz w:val="32"/>
          <w:lang w:eastAsia="zh-CN"/>
        </w:rPr>
        <w:t>规范</w:t>
      </w:r>
    </w:p>
    <w:p>
      <w:pPr>
        <w:pStyle w:val="8"/>
        <w:overflowPunct w:val="0"/>
        <w:spacing w:line="560" w:lineRule="exact"/>
        <w:ind w:firstLine="643"/>
        <w:rPr>
          <w:rFonts w:ascii="Times New Roman" w:hAnsi="Times New Roman" w:eastAsia="仿宋_GB2312" w:cs="Arial"/>
          <w:b/>
          <w:bCs/>
          <w:sz w:val="32"/>
        </w:rPr>
      </w:pPr>
      <w:r>
        <w:rPr>
          <w:rFonts w:ascii="Times New Roman" w:hAnsi="Times New Roman" w:eastAsia="仿宋_GB2312" w:cs="Arial"/>
          <w:b/>
          <w:bCs/>
          <w:sz w:val="32"/>
        </w:rPr>
        <w:t>4.</w:t>
      </w:r>
      <w:r>
        <w:rPr>
          <w:rFonts w:hint="eastAsia" w:ascii="Times New Roman" w:hAnsi="Times New Roman" w:eastAsia="仿宋_GB2312" w:cs="Arial"/>
          <w:b/>
          <w:bCs/>
          <w:sz w:val="32"/>
        </w:rPr>
        <w:t>组织开展城市配送运输需求调查工作</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研究制定城市货运配送需求及运力投放调查预测制度，扎实做好专项调查预测工作，掌握城市配送需求及上下游物流资源分布特征，结合城市未来发展趋势，形成城市货运配送需求现状及未来发展分析报告。结合分析报告和城市货运配送监测数据，有针对性地制定城市配送车辆通行、停靠、装卸等政策。</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w:t>
      </w:r>
      <w:r>
        <w:rPr>
          <w:rFonts w:ascii="Times New Roman" w:hAnsi="Times New Roman" w:eastAsia="仿宋_GB2312" w:cs="Arial"/>
          <w:sz w:val="32"/>
        </w:rPr>
        <w:t>:</w:t>
      </w:r>
      <w:r>
        <w:rPr>
          <w:rFonts w:hint="eastAsia" w:ascii="Times New Roman" w:hAnsi="Times New Roman" w:eastAsia="仿宋_GB2312" w:cs="Arial"/>
          <w:sz w:val="32"/>
        </w:rPr>
        <w:t>市商务局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w:t>
      </w:r>
      <w:r>
        <w:rPr>
          <w:rFonts w:ascii="Times New Roman" w:hAnsi="Times New Roman" w:eastAsia="仿宋_GB2312" w:cs="Arial"/>
          <w:sz w:val="32"/>
        </w:rPr>
        <w:t>:</w:t>
      </w:r>
      <w:r>
        <w:rPr>
          <w:rFonts w:hint="eastAsia" w:ascii="Times New Roman" w:hAnsi="Times New Roman" w:eastAsia="仿宋_GB2312" w:cs="Arial"/>
          <w:sz w:val="32"/>
        </w:rPr>
        <w:t>市交通运输局、</w:t>
      </w:r>
      <w:r>
        <w:rPr>
          <w:rFonts w:hint="eastAsia" w:ascii="Times New Roman" w:hAnsi="Times New Roman" w:eastAsia="仿宋_GB2312" w:cs="Arial"/>
          <w:sz w:val="32"/>
          <w:lang w:val="en-US" w:eastAsia="zh-CN"/>
        </w:rPr>
        <w:t>市</w:t>
      </w:r>
      <w:r>
        <w:rPr>
          <w:rFonts w:hint="eastAsia" w:ascii="Times New Roman" w:hAnsi="Times New Roman" w:eastAsia="仿宋_GB2312" w:cs="Arial"/>
          <w:sz w:val="32"/>
        </w:rPr>
        <w:t>邮政管理局</w:t>
      </w:r>
    </w:p>
    <w:p>
      <w:pPr>
        <w:pStyle w:val="8"/>
        <w:overflowPunct w:val="0"/>
        <w:spacing w:line="560" w:lineRule="exact"/>
        <w:ind w:firstLine="643"/>
        <w:rPr>
          <w:rFonts w:hint="eastAsia" w:ascii="Times New Roman" w:hAnsi="Times New Roman" w:eastAsia="仿宋_GB2312" w:cs="Arial"/>
          <w:b/>
          <w:bCs/>
          <w:sz w:val="32"/>
          <w:lang w:eastAsia="zh-CN"/>
        </w:rPr>
      </w:pPr>
      <w:r>
        <w:rPr>
          <w:rFonts w:ascii="Times New Roman" w:hAnsi="Times New Roman" w:eastAsia="仿宋_GB2312" w:cs="Arial"/>
          <w:b/>
          <w:bCs/>
          <w:sz w:val="32"/>
        </w:rPr>
        <w:t>5.</w:t>
      </w:r>
      <w:r>
        <w:rPr>
          <w:rFonts w:hint="eastAsia" w:ascii="Times New Roman" w:hAnsi="Times New Roman" w:eastAsia="仿宋_GB2312" w:cs="Arial"/>
          <w:b/>
          <w:bCs/>
          <w:sz w:val="32"/>
        </w:rPr>
        <w:t>健全完善城市货运配送车辆通行</w:t>
      </w:r>
      <w:r>
        <w:rPr>
          <w:rFonts w:hint="eastAsia" w:ascii="Times New Roman" w:hAnsi="Times New Roman" w:eastAsia="仿宋_GB2312" w:cs="Arial"/>
          <w:b/>
          <w:bCs/>
          <w:sz w:val="32"/>
          <w:lang w:eastAsia="zh-CN"/>
        </w:rPr>
        <w:t>规范</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按照《国务院办公厅关于加快新能源汽车推广应用的指导意见》（国办发〔2014〕35号）、《公安部办公厅关于优化和改进城市配送货车通行管理工作的指导意见》（公交管〔2020〕383号）等文件的要求，为新能源货车通行提供便利。按照有关规定制定城市货运配送车辆通行管控方案，明确中重型柴油货车禁行区域、路段及具体绕行路线；进一步加强中心城区燃油货车通行管控，并根据新能源货车推广进度和增量情况逐步减少燃油货车市区通行证发放比例。在核心城区、重点商贸区实施严格的燃油货车管控措施，给予新能源货车更多通行便利。允许城市配送新能源轻型货车使用公交车道。</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牵头单位：市公安局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责任单位：市交通运输局、市城市管理局、市生态环境局</w:t>
      </w:r>
    </w:p>
    <w:p>
      <w:pPr>
        <w:pStyle w:val="8"/>
        <w:overflowPunct w:val="0"/>
        <w:spacing w:line="560" w:lineRule="exact"/>
        <w:ind w:firstLine="643"/>
        <w:rPr>
          <w:rFonts w:ascii="Times New Roman" w:hAnsi="Times New Roman" w:eastAsia="仿宋_GB2312" w:cs="Arial"/>
          <w:b/>
          <w:bCs/>
          <w:sz w:val="32"/>
        </w:rPr>
      </w:pPr>
      <w:r>
        <w:rPr>
          <w:rFonts w:ascii="Times New Roman" w:hAnsi="Times New Roman" w:eastAsia="仿宋_GB2312" w:cs="Arial"/>
          <w:b/>
          <w:bCs/>
          <w:sz w:val="32"/>
        </w:rPr>
        <w:t>6.</w:t>
      </w:r>
      <w:r>
        <w:rPr>
          <w:rFonts w:hint="eastAsia" w:ascii="Times New Roman" w:hAnsi="Times New Roman" w:eastAsia="仿宋_GB2312" w:cs="Arial"/>
          <w:b/>
          <w:bCs/>
          <w:sz w:val="32"/>
        </w:rPr>
        <w:t>推进货运配送车辆停靠、装卸便利化</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在城市中心商贸区、居住区、大型商业活动场所和新建项目的相关规划中，合理设置城市货运配送车辆专用临时停车位（临时停车港湾）及货物装卸场地，为城市货运配送车辆优先提供停车泊位。采取分时、错时、分类的停车管理政策，设置警示标志和免费停放时间，便利新能源配送车辆停放；在城市次干路、支路的便利店、药店、邮政快递点、菜市场等确有停车装卸需求的，允许张贴城市绿色货运配送专用标识的车辆在不影响车辆和行人通行的前提下短时停车作业。示范创建期内，新增设置不少于80个城市货运配送车辆临时停靠点。完善标志标线及专用停车位设置，完善大型商场、超市等场所的货物配送设施及停车场地的配建标准。鼓励货运配送车辆错峰停车，制定城市货运配送车辆停放管理措施。</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牵头单位：市公安局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责任单位：市城市管理局、市交通运输局、市住建局、市商务局</w:t>
      </w:r>
    </w:p>
    <w:p>
      <w:pPr>
        <w:pStyle w:val="8"/>
        <w:numPr>
          <w:ilvl w:val="0"/>
          <w:numId w:val="0"/>
        </w:numPr>
        <w:overflowPunct w:val="0"/>
        <w:spacing w:line="560" w:lineRule="exact"/>
        <w:ind w:firstLine="643" w:firstLineChars="200"/>
        <w:rPr>
          <w:rFonts w:hint="eastAsia" w:ascii="Times New Roman" w:hAnsi="Times New Roman" w:eastAsia="仿宋_GB2312" w:cs="Arial"/>
          <w:b/>
          <w:sz w:val="32"/>
        </w:rPr>
      </w:pPr>
      <w:r>
        <w:rPr>
          <w:rFonts w:hint="eastAsia" w:ascii="Times New Roman" w:hAnsi="Times New Roman" w:eastAsia="仿宋_GB2312" w:cs="Arial"/>
          <w:b/>
          <w:sz w:val="32"/>
          <w:lang w:val="en-US" w:eastAsia="zh-CN"/>
        </w:rPr>
        <w:t>7.</w:t>
      </w:r>
      <w:r>
        <w:rPr>
          <w:rFonts w:hint="eastAsia" w:ascii="Times New Roman" w:hAnsi="Times New Roman" w:eastAsia="仿宋_GB2312" w:cs="Arial"/>
          <w:b/>
          <w:sz w:val="32"/>
        </w:rPr>
        <w:t>科学制定城市货运配送车辆停车收费政策</w:t>
      </w:r>
    </w:p>
    <w:p>
      <w:pPr>
        <w:pStyle w:val="8"/>
        <w:numPr>
          <w:ilvl w:val="0"/>
          <w:numId w:val="0"/>
        </w:num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给予新能源货运配送车辆优惠停车政策；鼓励货物装卸点等其他停车场（点）对新能源货运配送车辆停车实施收费减免。</w:t>
      </w:r>
    </w:p>
    <w:p>
      <w:pPr>
        <w:pStyle w:val="8"/>
        <w:overflowPunct w:val="0"/>
        <w:spacing w:line="560" w:lineRule="exact"/>
        <w:ind w:firstLine="640"/>
        <w:rPr>
          <w:rFonts w:hint="eastAsia" w:ascii="Times New Roman" w:hAnsi="Times New Roman" w:eastAsia="仿宋_GB2312" w:cs="Arial"/>
          <w:sz w:val="32"/>
        </w:rPr>
      </w:pPr>
      <w:r>
        <w:rPr>
          <w:rFonts w:hint="eastAsia" w:ascii="Times New Roman" w:hAnsi="Times New Roman" w:eastAsia="仿宋_GB2312" w:cs="Arial"/>
          <w:sz w:val="32"/>
        </w:rPr>
        <w:t>牵头单位：市发改委</w:t>
      </w:r>
    </w:p>
    <w:p>
      <w:pPr>
        <w:pStyle w:val="8"/>
        <w:overflowPunct w:val="0"/>
        <w:spacing w:line="560" w:lineRule="exact"/>
        <w:ind w:firstLine="640"/>
        <w:rPr>
          <w:rFonts w:ascii="Times New Roman" w:hAnsi="Times New Roman" w:eastAsia="仿宋_GB2312" w:cs="Arial"/>
          <w:sz w:val="32"/>
        </w:rPr>
      </w:pPr>
      <w:r>
        <w:rPr>
          <w:rFonts w:hint="eastAsia" w:ascii="Times New Roman" w:hAnsi="Times New Roman" w:eastAsia="仿宋_GB2312" w:cs="Arial"/>
          <w:sz w:val="32"/>
        </w:rPr>
        <w:t>责任单位：市城市管理局</w:t>
      </w:r>
    </w:p>
    <w:p>
      <w:pPr>
        <w:overflowPunct w:val="0"/>
        <w:spacing w:line="560" w:lineRule="exact"/>
        <w:ind w:firstLine="643" w:firstLineChars="200"/>
        <w:rPr>
          <w:rFonts w:ascii="Times New Roman" w:hAnsi="Times New Roman" w:eastAsia="仿宋_GB2312" w:cs="楷体_GB2312"/>
          <w:b/>
          <w:bCs/>
          <w:sz w:val="32"/>
        </w:rPr>
      </w:pPr>
      <w:r>
        <w:rPr>
          <w:rFonts w:hint="eastAsia" w:ascii="Times New Roman" w:hAnsi="Times New Roman" w:eastAsia="仿宋_GB2312" w:cs="楷体_GB2312"/>
          <w:b/>
          <w:bCs/>
          <w:sz w:val="32"/>
        </w:rPr>
        <w:t>（三）推进城市货运配送车辆标准化建设</w:t>
      </w:r>
    </w:p>
    <w:p>
      <w:pPr>
        <w:pStyle w:val="8"/>
        <w:overflowPunct w:val="0"/>
        <w:spacing w:line="560" w:lineRule="exact"/>
        <w:ind w:firstLine="643"/>
        <w:rPr>
          <w:rFonts w:ascii="Times New Roman" w:hAnsi="Times New Roman" w:eastAsia="仿宋_GB2312" w:cs="Arial"/>
          <w:b/>
          <w:bCs/>
          <w:sz w:val="32"/>
        </w:rPr>
      </w:pPr>
      <w:r>
        <w:rPr>
          <w:rFonts w:hint="eastAsia" w:ascii="Times New Roman" w:hAnsi="Times New Roman" w:eastAsia="仿宋_GB2312" w:cs="Arial"/>
          <w:b/>
          <w:bCs/>
          <w:sz w:val="32"/>
        </w:rPr>
        <w:t>8</w:t>
      </w:r>
      <w:r>
        <w:rPr>
          <w:rFonts w:ascii="Times New Roman" w:hAnsi="Times New Roman" w:eastAsia="仿宋_GB2312" w:cs="Arial"/>
          <w:b/>
          <w:bCs/>
          <w:sz w:val="32"/>
        </w:rPr>
        <w:t>.</w:t>
      </w:r>
      <w:r>
        <w:rPr>
          <w:rFonts w:hint="eastAsia" w:ascii="Times New Roman" w:hAnsi="Times New Roman" w:eastAsia="仿宋_GB2312" w:cs="Arial"/>
          <w:b/>
          <w:bCs/>
          <w:sz w:val="32"/>
        </w:rPr>
        <w:t>推进</w:t>
      </w:r>
      <w:r>
        <w:rPr>
          <w:rFonts w:hint="eastAsia" w:ascii="Times New Roman" w:hAnsi="Times New Roman" w:eastAsia="仿宋_GB2312" w:cs="楷体_GB2312"/>
          <w:b/>
          <w:bCs/>
          <w:sz w:val="32"/>
        </w:rPr>
        <w:t>城市货运配送</w:t>
      </w:r>
      <w:r>
        <w:rPr>
          <w:rFonts w:hint="eastAsia" w:ascii="Times New Roman" w:hAnsi="Times New Roman" w:eastAsia="仿宋_GB2312" w:cs="Arial"/>
          <w:b/>
          <w:bCs/>
          <w:sz w:val="32"/>
        </w:rPr>
        <w:t>车辆标准化</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制定城市配送车辆专用标识式样和管理规范，统一新能源城市配送车辆标识，推广应用厢式或封闭式标准化城市配送车型。引导快递行业协会对末端快递专用电动三轮车实行“统一办理通行证、统一悬挂号牌、统一外观标识、统一购买车辆保险、统一备案登记”的五统一管理。</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牵头单位：市交通运输局、市邮政管理局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责任单位：市公安局、市工信局、市商务局</w:t>
      </w:r>
    </w:p>
    <w:p>
      <w:pPr>
        <w:pStyle w:val="8"/>
        <w:overflowPunct w:val="0"/>
        <w:spacing w:line="560" w:lineRule="exact"/>
        <w:ind w:firstLine="643"/>
        <w:rPr>
          <w:rFonts w:ascii="Times New Roman" w:hAnsi="Times New Roman" w:eastAsia="仿宋_GB2312" w:cs="Arial"/>
          <w:b/>
          <w:bCs/>
          <w:sz w:val="32"/>
        </w:rPr>
      </w:pPr>
      <w:r>
        <w:rPr>
          <w:rFonts w:hint="eastAsia" w:ascii="Times New Roman" w:hAnsi="Times New Roman" w:eastAsia="仿宋_GB2312" w:cs="Arial"/>
          <w:b/>
          <w:bCs/>
          <w:sz w:val="32"/>
        </w:rPr>
        <w:t>9</w:t>
      </w:r>
      <w:r>
        <w:rPr>
          <w:rFonts w:ascii="Times New Roman" w:hAnsi="Times New Roman" w:eastAsia="仿宋_GB2312" w:cs="Arial"/>
          <w:b/>
          <w:bCs/>
          <w:sz w:val="32"/>
        </w:rPr>
        <w:t>.</w:t>
      </w:r>
      <w:r>
        <w:rPr>
          <w:rFonts w:hint="eastAsia" w:ascii="Times New Roman" w:hAnsi="Times New Roman" w:eastAsia="仿宋_GB2312" w:cs="Arial"/>
          <w:b/>
          <w:bCs/>
          <w:sz w:val="32"/>
        </w:rPr>
        <w:t>制定新能源配送货车补贴政策</w:t>
      </w:r>
    </w:p>
    <w:p>
      <w:pPr>
        <w:overflowPunct w:val="0"/>
        <w:spacing w:line="560" w:lineRule="exact"/>
        <w:ind w:firstLine="640" w:firstLineChars="200"/>
        <w:rPr>
          <w:rFonts w:hint="eastAsia" w:ascii="Times New Roman" w:hAnsi="Times New Roman" w:eastAsia="仿宋_GB2312" w:cs="Arial"/>
          <w:sz w:val="32"/>
          <w:lang w:eastAsia="zh-CN"/>
        </w:rPr>
      </w:pPr>
      <w:r>
        <w:rPr>
          <w:rFonts w:hint="eastAsia" w:ascii="Times New Roman" w:hAnsi="Times New Roman" w:eastAsia="仿宋_GB2312" w:cs="Arial"/>
          <w:sz w:val="32"/>
        </w:rPr>
        <w:t>完善新能源配送货车支持政策。加大对上资金争取力度，统筹各级财政补贴资金，加大对新能源配送货车政策支持力度，制定《南阳市中心城区新能源货运车辆运营补贴专项资金管理办法》，设立专项资金，给予年行驶里程超过规定里程的新能源货车运营补贴</w:t>
      </w:r>
      <w:r>
        <w:rPr>
          <w:rFonts w:hint="eastAsia" w:ascii="Times New Roman" w:hAnsi="Times New Roman" w:eastAsia="仿宋_GB2312" w:cs="Arial"/>
          <w:sz w:val="32"/>
          <w:lang w:eastAsia="zh-CN"/>
        </w:rPr>
        <w:t>，</w:t>
      </w:r>
      <w:r>
        <w:rPr>
          <w:rFonts w:hint="eastAsia" w:ascii="Times New Roman" w:hAnsi="Times New Roman" w:eastAsia="仿宋_GB2312" w:cs="Arial"/>
          <w:sz w:val="32"/>
        </w:rPr>
        <w:t>确保新能源配送货车各项补贴政策落到实处</w:t>
      </w:r>
      <w:r>
        <w:rPr>
          <w:rFonts w:hint="eastAsia" w:ascii="Times New Roman" w:hAnsi="Times New Roman" w:eastAsia="仿宋_GB2312" w:cs="Arial"/>
          <w:sz w:val="32"/>
          <w:lang w:eastAsia="zh-CN"/>
        </w:rPr>
        <w:t>。</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牵头单位：市交通运输局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责任单位：市财政局、市公安局、市商务局</w:t>
      </w:r>
    </w:p>
    <w:p>
      <w:pPr>
        <w:pStyle w:val="8"/>
        <w:overflowPunct w:val="0"/>
        <w:spacing w:line="560" w:lineRule="exact"/>
        <w:ind w:firstLine="643"/>
        <w:rPr>
          <w:rFonts w:ascii="Times New Roman" w:hAnsi="Times New Roman" w:eastAsia="仿宋_GB2312" w:cs="Arial"/>
          <w:b/>
          <w:bCs/>
          <w:sz w:val="32"/>
        </w:rPr>
      </w:pPr>
      <w:r>
        <w:rPr>
          <w:rFonts w:hint="eastAsia" w:ascii="Times New Roman" w:hAnsi="Times New Roman" w:eastAsia="仿宋_GB2312" w:cs="Arial"/>
          <w:b/>
          <w:bCs/>
          <w:sz w:val="32"/>
        </w:rPr>
        <w:t>10</w:t>
      </w:r>
      <w:r>
        <w:rPr>
          <w:rFonts w:ascii="Times New Roman" w:hAnsi="Times New Roman" w:eastAsia="仿宋_GB2312" w:cs="Arial"/>
          <w:b/>
          <w:bCs/>
          <w:sz w:val="32"/>
        </w:rPr>
        <w:t>.</w:t>
      </w:r>
      <w:r>
        <w:rPr>
          <w:rFonts w:hint="eastAsia" w:ascii="Times New Roman" w:hAnsi="Times New Roman" w:eastAsia="仿宋_GB2312" w:cs="Arial"/>
          <w:b/>
          <w:bCs/>
          <w:sz w:val="32"/>
        </w:rPr>
        <w:t>推广应用新能源货车</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制定南阳市城市配送新能源轻型货车推广应用激励规定，建立城区城配新能源货车名录库，加快推动我市存量轻型、微型燃油货车更换为新能源货车，提高新能源货车在城市货运配送车辆中的占比。支持社会资本参与新能源货车商业运营，探索创新融资租赁运营模式。</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牵头单位：市交通运输局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责任单位：市财政局、市公安局、市商务局、市工信局</w:t>
      </w:r>
    </w:p>
    <w:p>
      <w:pPr>
        <w:overflowPunct w:val="0"/>
        <w:spacing w:line="560" w:lineRule="exact"/>
        <w:ind w:firstLine="643" w:firstLineChars="200"/>
        <w:rPr>
          <w:rFonts w:ascii="Times New Roman" w:hAnsi="Times New Roman" w:eastAsia="仿宋_GB2312" w:cs="楷体_GB2312"/>
          <w:b/>
          <w:bCs/>
          <w:sz w:val="32"/>
        </w:rPr>
      </w:pPr>
      <w:r>
        <w:rPr>
          <w:rFonts w:hint="eastAsia" w:ascii="Times New Roman" w:hAnsi="Times New Roman" w:eastAsia="仿宋_GB2312" w:cs="楷体_GB2312"/>
          <w:b/>
          <w:bCs/>
          <w:sz w:val="32"/>
        </w:rPr>
        <w:t>（四）强化绿色货运配送运输市场管理</w:t>
      </w:r>
    </w:p>
    <w:p>
      <w:pPr>
        <w:pStyle w:val="8"/>
        <w:overflowPunct w:val="0"/>
        <w:spacing w:line="560" w:lineRule="exact"/>
        <w:ind w:firstLine="643"/>
        <w:rPr>
          <w:rFonts w:ascii="Times New Roman" w:hAnsi="Times New Roman" w:eastAsia="仿宋_GB2312" w:cs="Arial"/>
          <w:b/>
          <w:bCs/>
          <w:sz w:val="32"/>
        </w:rPr>
      </w:pPr>
      <w:r>
        <w:rPr>
          <w:rFonts w:hint="eastAsia" w:ascii="Times New Roman" w:hAnsi="Times New Roman" w:eastAsia="仿宋_GB2312" w:cs="Arial"/>
          <w:b/>
          <w:bCs/>
          <w:sz w:val="32"/>
        </w:rPr>
        <w:t>1</w:t>
      </w:r>
      <w:r>
        <w:rPr>
          <w:rFonts w:ascii="Times New Roman" w:hAnsi="Times New Roman" w:eastAsia="仿宋_GB2312" w:cs="Arial"/>
          <w:b/>
          <w:bCs/>
          <w:sz w:val="32"/>
        </w:rPr>
        <w:t>1.</w:t>
      </w:r>
      <w:r>
        <w:rPr>
          <w:rFonts w:hint="eastAsia" w:ascii="Times New Roman" w:hAnsi="Times New Roman" w:eastAsia="仿宋_GB2312" w:cs="Arial"/>
          <w:b/>
          <w:bCs/>
          <w:sz w:val="32"/>
        </w:rPr>
        <w:t>培育绿色货运配送示范企业</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制定《南阳市城市绿色货运配送示范企业认定办法》,培育一批服务规范、运作高效、模式先进的城市绿色货运配送示范企业。鼓励城市货运配送领域骨干企业和高成长性物流快递企业优化企业结构，创新配送模式，规范运营管理，打造城配品牌，争当行业标杆。</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牵头单位：市交通运输局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责任单位：市商务局、市邮政管理局、市市场监督管理局</w:t>
      </w:r>
    </w:p>
    <w:p>
      <w:pPr>
        <w:pStyle w:val="8"/>
        <w:overflowPunct w:val="0"/>
        <w:spacing w:line="560" w:lineRule="exact"/>
        <w:ind w:firstLine="643"/>
        <w:rPr>
          <w:rFonts w:ascii="Times New Roman" w:hAnsi="Times New Roman" w:eastAsia="仿宋_GB2312" w:cs="Arial"/>
          <w:b/>
          <w:bCs/>
          <w:sz w:val="32"/>
        </w:rPr>
      </w:pPr>
      <w:r>
        <w:rPr>
          <w:rFonts w:ascii="Times New Roman" w:hAnsi="Times New Roman" w:eastAsia="仿宋_GB2312" w:cs="Arial"/>
          <w:b/>
          <w:bCs/>
          <w:sz w:val="32"/>
        </w:rPr>
        <w:t>1</w:t>
      </w:r>
      <w:r>
        <w:rPr>
          <w:rFonts w:hint="eastAsia" w:ascii="Times New Roman" w:hAnsi="Times New Roman" w:eastAsia="仿宋_GB2312" w:cs="Arial"/>
          <w:b/>
          <w:bCs/>
          <w:sz w:val="32"/>
        </w:rPr>
        <w:t>2</w:t>
      </w:r>
      <w:r>
        <w:rPr>
          <w:rFonts w:ascii="Times New Roman" w:hAnsi="Times New Roman" w:eastAsia="仿宋_GB2312" w:cs="Arial"/>
          <w:b/>
          <w:bCs/>
          <w:sz w:val="32"/>
        </w:rPr>
        <w:t>.</w:t>
      </w:r>
      <w:r>
        <w:rPr>
          <w:rFonts w:hint="eastAsia" w:ascii="Times New Roman" w:hAnsi="Times New Roman" w:eastAsia="仿宋_GB2312" w:cs="Arial"/>
          <w:b/>
          <w:bCs/>
          <w:sz w:val="32"/>
        </w:rPr>
        <w:t>强化配送市场管理</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制定《南阳市绿色货运配送企业运营服务规范和考核管理办法》，明确示范企业从事城市配送的服务标准、质量保障、考核评价等内容，引导绿色货运配送企业规范健康发展。</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牵头单位：市交通运输局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责任单位：市商务局、市公安局、市邮政管理局</w:t>
      </w:r>
    </w:p>
    <w:p>
      <w:pPr>
        <w:pStyle w:val="8"/>
        <w:overflowPunct w:val="0"/>
        <w:spacing w:line="560" w:lineRule="exact"/>
        <w:ind w:firstLine="643"/>
        <w:rPr>
          <w:rFonts w:ascii="Times New Roman" w:hAnsi="Times New Roman" w:eastAsia="仿宋_GB2312" w:cs="Arial"/>
          <w:b/>
          <w:bCs/>
          <w:sz w:val="32"/>
        </w:rPr>
      </w:pPr>
      <w:r>
        <w:rPr>
          <w:rFonts w:ascii="Times New Roman" w:hAnsi="Times New Roman" w:eastAsia="仿宋_GB2312" w:cs="Arial"/>
          <w:b/>
          <w:bCs/>
          <w:sz w:val="32"/>
        </w:rPr>
        <w:t>1</w:t>
      </w:r>
      <w:r>
        <w:rPr>
          <w:rFonts w:hint="eastAsia" w:ascii="Times New Roman" w:hAnsi="Times New Roman" w:eastAsia="仿宋_GB2312" w:cs="Arial"/>
          <w:b/>
          <w:bCs/>
          <w:sz w:val="32"/>
        </w:rPr>
        <w:t>3</w:t>
      </w:r>
      <w:r>
        <w:rPr>
          <w:rFonts w:ascii="Times New Roman" w:hAnsi="Times New Roman" w:eastAsia="仿宋_GB2312" w:cs="Arial"/>
          <w:b/>
          <w:bCs/>
          <w:sz w:val="32"/>
        </w:rPr>
        <w:t>.</w:t>
      </w:r>
      <w:r>
        <w:rPr>
          <w:rFonts w:hint="eastAsia" w:ascii="Times New Roman" w:hAnsi="Times New Roman" w:eastAsia="仿宋_GB2312" w:cs="Arial"/>
          <w:b/>
          <w:bCs/>
          <w:sz w:val="32"/>
        </w:rPr>
        <w:t>加大对违规主体查处力度</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制定《南阳市城市配送市场整治方案》，加大对非法违规改装、超载超限、黄标车、无证运输等城市配送车辆查处与整治，着力规范城市配送市场秩序。加强城市绿色货运配送企业资质审核，建立配送市场准入、退出机制，强化市场监管和考核，建立企业诚信档案。</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牵头单位：市交通运输局、市公安局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责任单位：市市场监督管理局、市商务局</w:t>
      </w:r>
    </w:p>
    <w:p>
      <w:pPr>
        <w:pStyle w:val="8"/>
        <w:overflowPunct w:val="0"/>
        <w:spacing w:line="560" w:lineRule="exact"/>
        <w:ind w:firstLine="643"/>
        <w:rPr>
          <w:rFonts w:ascii="Times New Roman" w:hAnsi="Times New Roman" w:eastAsia="仿宋_GB2312" w:cs="Arial"/>
          <w:b/>
          <w:bCs/>
          <w:sz w:val="32"/>
        </w:rPr>
      </w:pPr>
      <w:r>
        <w:rPr>
          <w:rFonts w:ascii="Times New Roman" w:hAnsi="Times New Roman" w:eastAsia="仿宋_GB2312" w:cs="Arial"/>
          <w:b/>
          <w:bCs/>
          <w:sz w:val="32"/>
        </w:rPr>
        <w:t>1</w:t>
      </w:r>
      <w:r>
        <w:rPr>
          <w:rFonts w:hint="eastAsia" w:ascii="Times New Roman" w:hAnsi="Times New Roman" w:eastAsia="仿宋_GB2312" w:cs="Arial"/>
          <w:b/>
          <w:bCs/>
          <w:sz w:val="32"/>
        </w:rPr>
        <w:t>4</w:t>
      </w:r>
      <w:r>
        <w:rPr>
          <w:rFonts w:ascii="Times New Roman" w:hAnsi="Times New Roman" w:eastAsia="仿宋_GB2312" w:cs="Arial"/>
          <w:b/>
          <w:bCs/>
          <w:sz w:val="32"/>
        </w:rPr>
        <w:t>.</w:t>
      </w:r>
      <w:r>
        <w:rPr>
          <w:rFonts w:hint="eastAsia" w:ascii="Times New Roman" w:hAnsi="Times New Roman" w:eastAsia="仿宋_GB2312" w:cs="Arial"/>
          <w:b/>
          <w:bCs/>
          <w:sz w:val="32"/>
        </w:rPr>
        <w:t>发展先进的配送组织模式</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引导城市配送企业通过集中存储、统一库管、按需配送、协调运输的方式整合资源，积极发展集中配送、协同配送、共同配送等模式。大力推行“统仓统配”“多仓共配”“社区物流”等仓配一体化的先进物流配送模式。推广高效安全节能制冷技术和装备的应用。按照“多站合一、资源共享”模式，加快农产品进城和快消品下乡的双向物流配送体系建设。强化冷链物流基础设施建设，着力构建现代冷链物流体系。</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牵头单位：市商务局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责任单位：市交通运输局、市邮政管理局</w:t>
      </w:r>
    </w:p>
    <w:p>
      <w:pPr>
        <w:overflowPunct w:val="0"/>
        <w:spacing w:line="560" w:lineRule="exact"/>
        <w:ind w:firstLine="643" w:firstLineChars="200"/>
        <w:rPr>
          <w:rFonts w:ascii="Times New Roman" w:hAnsi="Times New Roman" w:eastAsia="仿宋_GB2312" w:cs="楷体_GB2312"/>
          <w:b/>
          <w:bCs/>
          <w:sz w:val="32"/>
        </w:rPr>
      </w:pPr>
      <w:r>
        <w:rPr>
          <w:rFonts w:hint="eastAsia" w:ascii="Times New Roman" w:hAnsi="Times New Roman" w:eastAsia="仿宋_GB2312" w:cs="楷体_GB2312"/>
          <w:b/>
          <w:bCs/>
          <w:sz w:val="32"/>
        </w:rPr>
        <w:t>（五）加快城市货运配送信息化建设</w:t>
      </w:r>
    </w:p>
    <w:p>
      <w:pPr>
        <w:pStyle w:val="8"/>
        <w:overflowPunct w:val="0"/>
        <w:spacing w:line="560" w:lineRule="exact"/>
        <w:ind w:firstLine="643"/>
        <w:rPr>
          <w:rFonts w:ascii="Times New Roman" w:hAnsi="Times New Roman" w:eastAsia="仿宋_GB2312" w:cs="Arial"/>
          <w:b/>
          <w:sz w:val="32"/>
        </w:rPr>
      </w:pPr>
      <w:r>
        <w:rPr>
          <w:rFonts w:ascii="Times New Roman" w:hAnsi="Times New Roman" w:eastAsia="仿宋_GB2312" w:cs="Arial"/>
          <w:b/>
          <w:sz w:val="32"/>
        </w:rPr>
        <w:t>1</w:t>
      </w:r>
      <w:r>
        <w:rPr>
          <w:rFonts w:hint="eastAsia" w:ascii="Times New Roman" w:hAnsi="Times New Roman" w:eastAsia="仿宋_GB2312" w:cs="Arial"/>
          <w:b/>
          <w:sz w:val="32"/>
        </w:rPr>
        <w:t>5</w:t>
      </w:r>
      <w:r>
        <w:rPr>
          <w:rFonts w:ascii="Times New Roman" w:hAnsi="Times New Roman" w:eastAsia="仿宋_GB2312" w:cs="Arial"/>
          <w:b/>
          <w:sz w:val="32"/>
        </w:rPr>
        <w:t>.</w:t>
      </w:r>
      <w:r>
        <w:rPr>
          <w:rFonts w:hint="eastAsia" w:ascii="Times New Roman" w:hAnsi="Times New Roman" w:eastAsia="仿宋_GB2312" w:cs="Arial"/>
          <w:b/>
          <w:sz w:val="32"/>
        </w:rPr>
        <w:t>推进城市配送公共信息服务平台建设</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充分发挥信息化、智能化在城市货运配送领域的作用，打造“政府门户+资源共享+城配监测+运营服务”四位一体的城市绿色货运配送公共信息服务平台；整合新能源货运配送车辆数据、绿配示范企业数据、政务数据、城市配送三级网络节点、停靠设施、充电设施、充电数据等信息资源，实现互联互通，集成展示。建立政府与企业之间信息化链接，实现城市货运配送活动的科学组织、智能化监测与管理服务。</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牵头单位：市交通运输局</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责任单位：市商务局、市政数局、市城管局、市邮政管理局</w:t>
      </w:r>
    </w:p>
    <w:p>
      <w:pPr>
        <w:overflowPunct w:val="0"/>
        <w:spacing w:line="560" w:lineRule="exact"/>
        <w:ind w:firstLine="640" w:firstLineChars="200"/>
        <w:rPr>
          <w:rFonts w:ascii="黑体" w:hAnsi="黑体" w:eastAsia="黑体" w:cs="黑体"/>
          <w:sz w:val="32"/>
        </w:rPr>
      </w:pPr>
      <w:r>
        <w:rPr>
          <w:rFonts w:hint="eastAsia" w:ascii="黑体" w:hAnsi="黑体" w:eastAsia="黑体" w:cs="黑体"/>
          <w:sz w:val="32"/>
        </w:rPr>
        <w:t>四、保障措施</w:t>
      </w:r>
    </w:p>
    <w:p>
      <w:pPr>
        <w:overflowPunct w:val="0"/>
        <w:spacing w:line="560" w:lineRule="exact"/>
        <w:ind w:firstLine="643" w:firstLineChars="200"/>
        <w:rPr>
          <w:rFonts w:ascii="Times New Roman" w:hAnsi="Times New Roman" w:eastAsia="仿宋_GB2312" w:cs="楷体_GB2312"/>
          <w:b/>
          <w:bCs/>
          <w:sz w:val="32"/>
        </w:rPr>
      </w:pPr>
      <w:r>
        <w:rPr>
          <w:rFonts w:hint="eastAsia" w:ascii="Times New Roman" w:hAnsi="Times New Roman" w:eastAsia="仿宋_GB2312" w:cs="楷体_GB2312"/>
          <w:b/>
          <w:bCs/>
          <w:sz w:val="32"/>
        </w:rPr>
        <w:t>（一）加强组织领导</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市政府成立南阳市绿色货运配送示范工程创建领导小组，统一领导和指导示范工程创建工作。领导小组下设办公室，负责日常组织、协调等工作。各相关部门要加强协调，按照职责分工抓好落实。</w:t>
      </w:r>
    </w:p>
    <w:p>
      <w:pPr>
        <w:overflowPunct w:val="0"/>
        <w:spacing w:line="560" w:lineRule="exact"/>
        <w:ind w:firstLine="643" w:firstLineChars="200"/>
        <w:rPr>
          <w:rFonts w:ascii="Times New Roman" w:hAnsi="Times New Roman" w:eastAsia="仿宋_GB2312" w:cs="楷体_GB2312"/>
          <w:b/>
          <w:bCs/>
          <w:sz w:val="32"/>
        </w:rPr>
      </w:pPr>
      <w:r>
        <w:rPr>
          <w:rFonts w:hint="eastAsia" w:ascii="Times New Roman" w:hAnsi="Times New Roman" w:eastAsia="仿宋_GB2312" w:cs="楷体_GB2312"/>
          <w:b/>
          <w:bCs/>
          <w:sz w:val="32"/>
        </w:rPr>
        <w:t>（二）加强协调联动</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建立联席会议制度，适时召开专题会议，研究解决城市配送网络节点体系建设、配送车辆城区通行、总量调控、先进组织模式推广应用等方面的重大问题。</w:t>
      </w:r>
    </w:p>
    <w:p>
      <w:pPr>
        <w:overflowPunct w:val="0"/>
        <w:spacing w:line="560" w:lineRule="exact"/>
        <w:ind w:firstLine="643" w:firstLineChars="200"/>
        <w:rPr>
          <w:rFonts w:ascii="Times New Roman" w:hAnsi="Times New Roman" w:eastAsia="仿宋_GB2312" w:cs="楷体_GB2312"/>
          <w:b/>
          <w:bCs/>
          <w:sz w:val="32"/>
        </w:rPr>
      </w:pPr>
      <w:r>
        <w:rPr>
          <w:rFonts w:hint="eastAsia" w:ascii="Times New Roman" w:hAnsi="Times New Roman" w:eastAsia="仿宋_GB2312" w:cs="楷体_GB2312"/>
          <w:b/>
          <w:bCs/>
          <w:sz w:val="32"/>
        </w:rPr>
        <w:t>（三）加大资金保障</w:t>
      </w:r>
    </w:p>
    <w:p>
      <w:pPr>
        <w:overflowPunct w:val="0"/>
        <w:spacing w:line="560" w:lineRule="exact"/>
        <w:ind w:firstLine="640" w:firstLineChars="200"/>
        <w:rPr>
          <w:rFonts w:hint="eastAsia" w:ascii="Times New Roman" w:hAnsi="Times New Roman" w:eastAsia="仿宋_GB2312" w:cs="Arial"/>
          <w:sz w:val="32"/>
        </w:rPr>
      </w:pPr>
      <w:r>
        <w:rPr>
          <w:rFonts w:hint="eastAsia" w:ascii="Times New Roman" w:hAnsi="Times New Roman" w:eastAsia="仿宋_GB2312" w:cs="Arial"/>
          <w:sz w:val="32"/>
        </w:rPr>
        <w:t>支持符合条件的物流企业依据有关政策申请上级相关专项资金，推动金融机构加大对物流行业的信贷支持。统筹整合支持物流业发展的各级财政资金，引导社会资金参与，加大对绿色货运配送企业的支持扶持力度力度。</w:t>
      </w:r>
    </w:p>
    <w:p>
      <w:pPr>
        <w:overflowPunct w:val="0"/>
        <w:spacing w:line="560" w:lineRule="exact"/>
        <w:ind w:firstLine="643" w:firstLineChars="200"/>
        <w:rPr>
          <w:rFonts w:ascii="Times New Roman" w:hAnsi="Times New Roman" w:eastAsia="仿宋_GB2312" w:cs="楷体_GB2312"/>
          <w:b/>
          <w:bCs/>
          <w:sz w:val="32"/>
        </w:rPr>
      </w:pPr>
      <w:bookmarkStart w:id="3" w:name="_GoBack"/>
      <w:bookmarkEnd w:id="3"/>
      <w:r>
        <w:rPr>
          <w:rFonts w:hint="eastAsia" w:ascii="Times New Roman" w:hAnsi="Times New Roman" w:eastAsia="仿宋_GB2312" w:cs="楷体_GB2312"/>
          <w:b/>
          <w:bCs/>
          <w:sz w:val="32"/>
        </w:rPr>
        <w:t>（四）强化督导检查</w:t>
      </w:r>
    </w:p>
    <w:p>
      <w:pPr>
        <w:overflowPunct w:val="0"/>
        <w:spacing w:line="560" w:lineRule="exact"/>
        <w:ind w:firstLine="640" w:firstLineChars="200"/>
        <w:rPr>
          <w:rFonts w:ascii="Times New Roman" w:hAnsi="Times New Roman" w:eastAsia="仿宋_GB2312" w:cs="Arial"/>
          <w:sz w:val="32"/>
        </w:rPr>
      </w:pPr>
      <w:r>
        <w:rPr>
          <w:rFonts w:hint="eastAsia" w:ascii="Times New Roman" w:hAnsi="Times New Roman" w:eastAsia="仿宋_GB2312" w:cs="Arial"/>
          <w:sz w:val="32"/>
        </w:rPr>
        <w:t>示范工程创建工作纳入市政府目标管理，列入重点工作督查内容，市政府督查局将加强对相关部门创建工作推进情况的督导检查，确保顺利完成创建任务。</w:t>
      </w:r>
    </w:p>
    <w:p>
      <w:pPr>
        <w:overflowPunct w:val="0"/>
        <w:spacing w:line="560" w:lineRule="exact"/>
        <w:rPr>
          <w:rFonts w:ascii="Times New Roman" w:hAnsi="Times New Roman" w:eastAsia="仿宋_GB2312" w:cs="Arial"/>
          <w:sz w:val="32"/>
        </w:rPr>
      </w:pPr>
    </w:p>
    <w:p>
      <w:pPr>
        <w:overflowPunct w:val="0"/>
        <w:spacing w:line="560" w:lineRule="exact"/>
        <w:ind w:firstLine="640" w:firstLineChars="200"/>
        <w:rPr>
          <w:rFonts w:hint="eastAsia" w:ascii="Times New Roman" w:hAnsi="Times New Roman" w:eastAsia="仿宋_GB2312" w:cs="Arial"/>
          <w:spacing w:val="-6"/>
          <w:sz w:val="32"/>
          <w:lang w:val="en-US" w:eastAsia="zh-CN"/>
        </w:rPr>
      </w:pPr>
      <w:r>
        <w:rPr>
          <w:rFonts w:hint="eastAsia" w:ascii="Times New Roman" w:hAnsi="Times New Roman" w:eastAsia="仿宋_GB2312" w:cs="Arial"/>
          <w:sz w:val="32"/>
        </w:rPr>
        <w:t>附件：</w:t>
      </w:r>
      <w:r>
        <w:rPr>
          <w:rFonts w:hint="eastAsia" w:ascii="Times New Roman" w:hAnsi="Times New Roman" w:eastAsia="仿宋_GB2312" w:cs="Arial"/>
          <w:sz w:val="32"/>
          <w:lang w:val="en-US" w:eastAsia="zh-CN"/>
        </w:rPr>
        <w:t>1、</w:t>
      </w:r>
      <w:r>
        <w:rPr>
          <w:rFonts w:hint="eastAsia" w:ascii="Times New Roman" w:hAnsi="Times New Roman" w:eastAsia="仿宋_GB2312" w:cs="Arial"/>
          <w:spacing w:val="-6"/>
          <w:sz w:val="32"/>
          <w:lang w:val="en-US" w:eastAsia="zh-CN"/>
        </w:rPr>
        <w:t>南阳市绿色货运配送示范工程领导小组成员名单</w:t>
      </w:r>
    </w:p>
    <w:p>
      <w:pPr>
        <w:overflowPunct w:val="0"/>
        <w:spacing w:line="560" w:lineRule="exact"/>
        <w:ind w:firstLine="1600" w:firstLineChars="500"/>
        <w:rPr>
          <w:rFonts w:hint="eastAsia" w:ascii="Times New Roman" w:hAnsi="Times New Roman" w:eastAsia="仿宋_GB2312" w:cs="Arial"/>
          <w:spacing w:val="-6"/>
          <w:sz w:val="32"/>
          <w:lang w:val="en-US" w:eastAsia="zh-CN"/>
        </w:rPr>
      </w:pPr>
      <w:r>
        <w:rPr>
          <w:rFonts w:hint="eastAsia" w:ascii="Times New Roman" w:hAnsi="Times New Roman" w:eastAsia="仿宋_GB2312" w:cs="Arial"/>
          <w:sz w:val="32"/>
          <w:lang w:val="en-US" w:eastAsia="zh-CN"/>
        </w:rPr>
        <w:t>2、</w:t>
      </w:r>
      <w:r>
        <w:rPr>
          <w:rFonts w:hint="eastAsia" w:ascii="Times New Roman" w:hAnsi="Times New Roman" w:eastAsia="仿宋_GB2312" w:cs="Arial"/>
          <w:spacing w:val="-6"/>
          <w:sz w:val="32"/>
        </w:rPr>
        <w:t>南阳市绿色货运配送示范工程创建重点任务</w:t>
      </w:r>
      <w:r>
        <w:rPr>
          <w:rFonts w:hint="eastAsia" w:ascii="Times New Roman" w:hAnsi="Times New Roman" w:eastAsia="仿宋_GB2312" w:cs="Arial"/>
          <w:spacing w:val="-6"/>
          <w:sz w:val="32"/>
          <w:lang w:val="en-US" w:eastAsia="zh-CN"/>
        </w:rPr>
        <w:t>台账</w:t>
      </w:r>
    </w:p>
    <w:p>
      <w:pPr>
        <w:overflowPunct w:val="0"/>
        <w:spacing w:line="560" w:lineRule="exact"/>
        <w:ind w:firstLine="640" w:firstLineChars="200"/>
        <w:rPr>
          <w:rFonts w:hint="eastAsia" w:ascii="Times New Roman" w:hAnsi="Times New Roman" w:eastAsia="仿宋_GB2312" w:cs="Arial"/>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11"/>
          <w:sz w:val="32"/>
          <w:szCs w:val="32"/>
          <w:lang w:eastAsia="zh-CN"/>
        </w:rPr>
      </w:pPr>
      <w:r>
        <w:rPr>
          <w:rFonts w:hint="eastAsia" w:ascii="黑体" w:hAnsi="黑体" w:eastAsia="黑体" w:cs="黑体"/>
          <w:spacing w:val="-11"/>
          <w:sz w:val="32"/>
          <w:szCs w:val="32"/>
          <w:lang w:eastAsia="zh-CN"/>
        </w:rPr>
        <w:t>附件</w:t>
      </w:r>
      <w:r>
        <w:rPr>
          <w:rFonts w:hint="eastAsia" w:ascii="黑体" w:hAnsi="黑体" w:eastAsia="黑体" w:cs="黑体"/>
          <w:spacing w:val="-11"/>
          <w:sz w:val="32"/>
          <w:szCs w:val="32"/>
          <w:lang w:val="en-US" w:eastAsia="zh-CN"/>
        </w:rPr>
        <w:t>1</w:t>
      </w:r>
      <w:r>
        <w:rPr>
          <w:rFonts w:hint="eastAsia" w:ascii="黑体" w:hAnsi="黑体" w:eastAsia="黑体" w:cs="黑体"/>
          <w:spacing w:val="-11"/>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11"/>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11"/>
          <w:sz w:val="40"/>
          <w:szCs w:val="48"/>
          <w:lang w:eastAsia="zh-CN"/>
        </w:rPr>
      </w:pPr>
      <w:r>
        <w:rPr>
          <w:rFonts w:hint="eastAsia" w:ascii="方正小标宋_GBK" w:hAnsi="方正小标宋_GBK" w:eastAsia="方正小标宋_GBK" w:cs="方正小标宋_GBK"/>
          <w:spacing w:val="-11"/>
          <w:sz w:val="40"/>
          <w:szCs w:val="48"/>
          <w:lang w:eastAsia="zh-CN"/>
        </w:rPr>
        <w:t>南阳市绿色货运配送示范工程领导小组成员名单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pacing w:val="-11"/>
          <w:sz w:val="40"/>
          <w:szCs w:val="48"/>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长：周华锋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副市长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副组长：陈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市政府副秘书长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张栓誉  </w:t>
      </w:r>
      <w:r>
        <w:rPr>
          <w:rFonts w:hint="eastAsia" w:ascii="仿宋_GB2312" w:hAnsi="仿宋_GB2312" w:eastAsia="仿宋_GB2312" w:cs="仿宋_GB2312"/>
          <w:sz w:val="32"/>
          <w:szCs w:val="32"/>
          <w:lang w:eastAsia="zh-CN"/>
        </w:rPr>
        <w:t>市交通运输局局长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杨振中  </w:t>
      </w:r>
      <w:r>
        <w:rPr>
          <w:rFonts w:hint="eastAsia" w:ascii="仿宋_GB2312" w:hAnsi="仿宋_GB2312" w:eastAsia="仿宋_GB2312" w:cs="仿宋_GB2312"/>
          <w:sz w:val="32"/>
          <w:szCs w:val="32"/>
          <w:lang w:eastAsia="zh-CN"/>
        </w:rPr>
        <w:t>市商务局局长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姜  江  </w:t>
      </w:r>
      <w:r>
        <w:rPr>
          <w:rFonts w:hint="eastAsia" w:ascii="仿宋_GB2312" w:hAnsi="仿宋_GB2312" w:eastAsia="仿宋_GB2312" w:cs="仿宋_GB2312"/>
          <w:sz w:val="32"/>
          <w:szCs w:val="32"/>
          <w:lang w:eastAsia="zh-CN"/>
        </w:rPr>
        <w:t>市公安局党委委员、副局长、交通管理</w:t>
      </w: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支队支队长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员：任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市发展和改革委员会四级调研员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尚</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市财政局副局长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徐文磊  </w:t>
      </w:r>
      <w:r>
        <w:rPr>
          <w:rFonts w:hint="eastAsia" w:ascii="仿宋_GB2312" w:hAnsi="仿宋_GB2312" w:eastAsia="仿宋_GB2312" w:cs="仿宋_GB2312"/>
          <w:sz w:val="32"/>
          <w:szCs w:val="32"/>
          <w:lang w:eastAsia="zh-CN"/>
        </w:rPr>
        <w:t>市工业和信息化局副局长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尹永正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市生态环境局副局长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陈立新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市住房和城乡建设局副局长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宁</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市自然资源和规划局副局长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lang w:val="en-US" w:eastAsia="zh-CN"/>
        </w:rPr>
        <w:t xml:space="preserve">耿松颖  </w:t>
      </w:r>
      <w:r>
        <w:rPr>
          <w:rFonts w:hint="eastAsia" w:ascii="仿宋_GB2312" w:hAnsi="仿宋_GB2312" w:eastAsia="仿宋_GB2312" w:cs="仿宋_GB2312"/>
          <w:sz w:val="32"/>
          <w:szCs w:val="32"/>
          <w:u w:val="none"/>
          <w:lang w:eastAsia="zh-CN"/>
        </w:rPr>
        <w:t>市商务局副局长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庄春旭  </w:t>
      </w:r>
      <w:r>
        <w:rPr>
          <w:rFonts w:hint="eastAsia" w:ascii="仿宋_GB2312" w:hAnsi="仿宋_GB2312" w:eastAsia="仿宋_GB2312" w:cs="仿宋_GB2312"/>
          <w:sz w:val="32"/>
          <w:szCs w:val="32"/>
          <w:lang w:eastAsia="zh-CN"/>
        </w:rPr>
        <w:t>市城市管理局副局长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郭伟山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市市场监督管理局副局长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李冬冬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市政务服务和大数据管理局副局长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宋怀成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市交通运输局副局长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杨澎波  </w:t>
      </w:r>
      <w:r>
        <w:rPr>
          <w:rFonts w:hint="eastAsia" w:ascii="仿宋_GB2312" w:hAnsi="仿宋_GB2312" w:eastAsia="仿宋_GB2312" w:cs="仿宋_GB2312"/>
          <w:sz w:val="32"/>
          <w:szCs w:val="32"/>
          <w:lang w:eastAsia="zh-CN"/>
        </w:rPr>
        <w:t>市邮政管理局副局长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王沛然  市道路运输服务中心主任</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唐  锋  </w:t>
      </w:r>
      <w:r>
        <w:rPr>
          <w:rFonts w:hint="eastAsia" w:ascii="仿宋_GB2312" w:hAnsi="仿宋_GB2312" w:eastAsia="仿宋_GB2312" w:cs="仿宋_GB2312"/>
          <w:sz w:val="32"/>
          <w:szCs w:val="32"/>
          <w:lang w:eastAsia="zh-CN"/>
        </w:rPr>
        <w:t>市公安交警支队副支队长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Arial"/>
          <w:sz w:val="32"/>
        </w:rPr>
      </w:pPr>
      <w:r>
        <w:rPr>
          <w:rFonts w:hint="eastAsia" w:ascii="仿宋_GB2312" w:hAnsi="仿宋_GB2312" w:eastAsia="仿宋_GB2312" w:cs="仿宋_GB2312"/>
          <w:sz w:val="32"/>
          <w:szCs w:val="32"/>
          <w:lang w:eastAsia="zh-CN"/>
        </w:rPr>
        <w:t xml:space="preserve">    领导小组下设办公室，办公室设在市交通运输局，</w:t>
      </w:r>
      <w:r>
        <w:rPr>
          <w:rFonts w:hint="eastAsia" w:ascii="仿宋_GB2312" w:hAnsi="仿宋_GB2312" w:eastAsia="仿宋_GB2312" w:cs="仿宋_GB2312"/>
          <w:sz w:val="32"/>
          <w:szCs w:val="32"/>
          <w:lang w:val="en-US" w:eastAsia="zh-CN"/>
        </w:rPr>
        <w:t>张栓誉</w:t>
      </w:r>
      <w:r>
        <w:rPr>
          <w:rFonts w:hint="eastAsia" w:ascii="仿宋_GB2312" w:hAnsi="仿宋_GB2312" w:eastAsia="仿宋_GB2312" w:cs="仿宋_GB2312"/>
          <w:sz w:val="32"/>
          <w:szCs w:val="32"/>
          <w:lang w:eastAsia="zh-CN"/>
        </w:rPr>
        <w:t>兼任办公室主任，</w:t>
      </w:r>
      <w:r>
        <w:rPr>
          <w:rFonts w:hint="eastAsia" w:ascii="仿宋_GB2312" w:hAnsi="仿宋_GB2312" w:eastAsia="仿宋_GB2312" w:cs="仿宋_GB2312"/>
          <w:sz w:val="32"/>
          <w:szCs w:val="32"/>
          <w:lang w:val="en-US" w:eastAsia="zh-CN"/>
        </w:rPr>
        <w:t>宋怀成、耿松颖、唐锋</w:t>
      </w:r>
      <w:r>
        <w:rPr>
          <w:rFonts w:hint="eastAsia" w:ascii="仿宋_GB2312" w:hAnsi="仿宋_GB2312" w:eastAsia="仿宋_GB2312" w:cs="仿宋_GB2312"/>
          <w:sz w:val="32"/>
          <w:szCs w:val="32"/>
          <w:lang w:eastAsia="zh-CN"/>
        </w:rPr>
        <w:t>兼任办公室副主任，具体负责城市绿色货运配送示范工程创建的日常工作。</w:t>
      </w:r>
    </w:p>
    <w:p>
      <w:pPr>
        <w:overflowPunct w:val="0"/>
        <w:spacing w:line="560" w:lineRule="exact"/>
        <w:ind w:firstLine="640" w:firstLineChars="200"/>
        <w:rPr>
          <w:rFonts w:hint="eastAsia" w:ascii="Times New Roman" w:hAnsi="Times New Roman" w:eastAsia="仿宋_GB2312" w:cs="Arial"/>
          <w:sz w:val="32"/>
          <w:lang w:val="en-US" w:eastAsia="zh-CN"/>
        </w:rPr>
        <w:sectPr>
          <w:footerReference r:id="rId3" w:type="default"/>
          <w:pgSz w:w="11906" w:h="16838"/>
          <w:pgMar w:top="1701" w:right="1701" w:bottom="1701" w:left="1701" w:header="851" w:footer="1134" w:gutter="0"/>
          <w:cols w:space="0" w:num="1"/>
          <w:docGrid w:type="lines" w:linePitch="312" w:charSpace="0"/>
        </w:sectPr>
      </w:pPr>
    </w:p>
    <w:p>
      <w:pPr>
        <w:widowControl/>
        <w:spacing w:line="56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after="156" w:afterLines="50" w:line="560" w:lineRule="exact"/>
        <w:jc w:val="center"/>
        <w:rPr>
          <w:rFonts w:hint="eastAsia" w:asciiTheme="minorEastAsia" w:hAnsiTheme="minorEastAsia" w:eastAsiaTheme="minorEastAsia" w:cstheme="minorBidi"/>
          <w:b/>
          <w:kern w:val="0"/>
          <w:sz w:val="44"/>
          <w:szCs w:val="44"/>
          <w:lang w:eastAsia="zh-CN"/>
        </w:rPr>
      </w:pPr>
      <w:r>
        <w:rPr>
          <w:rFonts w:hint="eastAsia" w:asciiTheme="minorEastAsia" w:hAnsiTheme="minorEastAsia" w:eastAsiaTheme="minorEastAsia" w:cstheme="minorBidi"/>
          <w:b/>
          <w:kern w:val="0"/>
          <w:sz w:val="44"/>
          <w:szCs w:val="44"/>
        </w:rPr>
        <w:t>南阳市绿色</w:t>
      </w:r>
      <w:r>
        <w:rPr>
          <w:rFonts w:asciiTheme="minorEastAsia" w:hAnsiTheme="minorEastAsia" w:eastAsiaTheme="minorEastAsia" w:cstheme="minorBidi"/>
          <w:b/>
          <w:kern w:val="0"/>
          <w:sz w:val="44"/>
          <w:szCs w:val="44"/>
        </w:rPr>
        <w:t>货运配送示范</w:t>
      </w:r>
      <w:r>
        <w:rPr>
          <w:rFonts w:hint="eastAsia" w:asciiTheme="minorEastAsia" w:hAnsiTheme="minorEastAsia" w:eastAsiaTheme="minorEastAsia" w:cstheme="minorBidi"/>
          <w:b/>
          <w:kern w:val="0"/>
          <w:sz w:val="44"/>
          <w:szCs w:val="44"/>
        </w:rPr>
        <w:t>工程</w:t>
      </w:r>
      <w:r>
        <w:rPr>
          <w:rFonts w:asciiTheme="minorEastAsia" w:hAnsiTheme="minorEastAsia" w:eastAsiaTheme="minorEastAsia" w:cstheme="minorBidi"/>
          <w:b/>
          <w:kern w:val="0"/>
          <w:sz w:val="44"/>
          <w:szCs w:val="44"/>
        </w:rPr>
        <w:t>创建重点任务</w:t>
      </w:r>
      <w:r>
        <w:rPr>
          <w:rFonts w:hint="eastAsia" w:asciiTheme="minorEastAsia" w:hAnsiTheme="minorEastAsia" w:eastAsiaTheme="minorEastAsia" w:cstheme="minorBidi"/>
          <w:b/>
          <w:kern w:val="0"/>
          <w:sz w:val="44"/>
          <w:szCs w:val="44"/>
          <w:lang w:val="en-US" w:eastAsia="zh-CN"/>
        </w:rPr>
        <w:t>台账</w:t>
      </w:r>
    </w:p>
    <w:tbl>
      <w:tblPr>
        <w:tblStyle w:val="4"/>
        <w:tblW w:w="12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51"/>
        <w:gridCol w:w="1276"/>
        <w:gridCol w:w="1559"/>
        <w:gridCol w:w="1492"/>
        <w:gridCol w:w="1492"/>
        <w:gridCol w:w="1493"/>
        <w:gridCol w:w="1273"/>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blHeader/>
          <w:jc w:val="center"/>
        </w:trPr>
        <w:tc>
          <w:tcPr>
            <w:tcW w:w="909" w:type="dxa"/>
            <w:vMerge w:val="restart"/>
            <w:vAlign w:val="center"/>
          </w:tcPr>
          <w:p>
            <w:pPr>
              <w:spacing w:line="560" w:lineRule="exact"/>
              <w:jc w:val="center"/>
              <w:rPr>
                <w:rFonts w:ascii="仿宋" w:hAnsi="仿宋" w:eastAsia="仿宋" w:cs="仿宋"/>
                <w:b/>
                <w:bCs/>
                <w:sz w:val="24"/>
                <w:szCs w:val="24"/>
              </w:rPr>
            </w:pPr>
            <w:r>
              <w:rPr>
                <w:rFonts w:ascii="仿宋" w:hAnsi="仿宋" w:eastAsia="仿宋" w:cs="仿宋"/>
                <w:b/>
                <w:bCs/>
                <w:sz w:val="24"/>
                <w:szCs w:val="24"/>
              </w:rPr>
              <w:t>序号</w:t>
            </w:r>
          </w:p>
        </w:tc>
        <w:tc>
          <w:tcPr>
            <w:tcW w:w="851" w:type="dxa"/>
            <w:vMerge w:val="restart"/>
            <w:vAlign w:val="center"/>
          </w:tcPr>
          <w:p>
            <w:pPr>
              <w:spacing w:line="560" w:lineRule="exact"/>
              <w:jc w:val="center"/>
              <w:rPr>
                <w:rFonts w:ascii="仿宋" w:hAnsi="仿宋" w:eastAsia="仿宋" w:cs="仿宋"/>
                <w:b/>
                <w:bCs/>
                <w:sz w:val="24"/>
                <w:szCs w:val="24"/>
              </w:rPr>
            </w:pPr>
            <w:r>
              <w:rPr>
                <w:rFonts w:hint="eastAsia" w:ascii="仿宋" w:hAnsi="仿宋" w:eastAsia="仿宋" w:cs="仿宋"/>
                <w:b/>
                <w:bCs/>
                <w:sz w:val="24"/>
                <w:szCs w:val="24"/>
              </w:rPr>
              <w:t>指标分类</w:t>
            </w:r>
          </w:p>
        </w:tc>
        <w:tc>
          <w:tcPr>
            <w:tcW w:w="2835" w:type="dxa"/>
            <w:gridSpan w:val="2"/>
            <w:vMerge w:val="restart"/>
            <w:vAlign w:val="center"/>
          </w:tcPr>
          <w:p>
            <w:pPr>
              <w:spacing w:line="560" w:lineRule="exact"/>
              <w:jc w:val="center"/>
              <w:rPr>
                <w:rFonts w:ascii="仿宋" w:hAnsi="仿宋" w:eastAsia="仿宋" w:cs="仿宋"/>
                <w:b/>
                <w:bCs/>
                <w:sz w:val="24"/>
                <w:szCs w:val="24"/>
              </w:rPr>
            </w:pPr>
            <w:r>
              <w:rPr>
                <w:rFonts w:ascii="仿宋" w:hAnsi="仿宋" w:eastAsia="仿宋" w:cs="仿宋"/>
                <w:b/>
                <w:bCs/>
                <w:sz w:val="24"/>
                <w:szCs w:val="24"/>
              </w:rPr>
              <w:t>重点任务</w:t>
            </w:r>
          </w:p>
        </w:tc>
        <w:tc>
          <w:tcPr>
            <w:tcW w:w="4477" w:type="dxa"/>
            <w:gridSpan w:val="3"/>
            <w:vAlign w:val="center"/>
          </w:tcPr>
          <w:p>
            <w:pPr>
              <w:spacing w:line="560" w:lineRule="exact"/>
              <w:jc w:val="center"/>
              <w:rPr>
                <w:rFonts w:ascii="仿宋" w:hAnsi="仿宋" w:eastAsia="仿宋" w:cs="仿宋"/>
                <w:b/>
                <w:bCs/>
                <w:sz w:val="24"/>
                <w:szCs w:val="24"/>
              </w:rPr>
            </w:pPr>
            <w:r>
              <w:rPr>
                <w:rFonts w:ascii="仿宋" w:hAnsi="仿宋" w:eastAsia="仿宋" w:cs="仿宋"/>
                <w:b/>
                <w:bCs/>
                <w:sz w:val="24"/>
                <w:szCs w:val="24"/>
              </w:rPr>
              <w:t>年度工作分解</w:t>
            </w:r>
          </w:p>
        </w:tc>
        <w:tc>
          <w:tcPr>
            <w:tcW w:w="1273" w:type="dxa"/>
            <w:vMerge w:val="restart"/>
            <w:vAlign w:val="center"/>
          </w:tcPr>
          <w:p>
            <w:pPr>
              <w:spacing w:line="560" w:lineRule="exact"/>
              <w:jc w:val="center"/>
              <w:rPr>
                <w:rFonts w:ascii="仿宋" w:hAnsi="仿宋" w:eastAsia="仿宋" w:cs="仿宋"/>
                <w:b/>
                <w:bCs/>
                <w:sz w:val="24"/>
                <w:szCs w:val="24"/>
              </w:rPr>
            </w:pPr>
            <w:r>
              <w:rPr>
                <w:rFonts w:ascii="仿宋" w:hAnsi="仿宋" w:eastAsia="仿宋" w:cs="仿宋"/>
                <w:b/>
                <w:bCs/>
                <w:sz w:val="24"/>
                <w:szCs w:val="24"/>
              </w:rPr>
              <w:t>牵头</w:t>
            </w:r>
            <w:r>
              <w:rPr>
                <w:rFonts w:hint="eastAsia" w:ascii="仿宋" w:hAnsi="仿宋" w:eastAsia="仿宋" w:cs="仿宋"/>
                <w:b/>
                <w:bCs/>
                <w:sz w:val="24"/>
                <w:szCs w:val="24"/>
              </w:rPr>
              <w:t>单位</w:t>
            </w:r>
          </w:p>
        </w:tc>
        <w:tc>
          <w:tcPr>
            <w:tcW w:w="2188" w:type="dxa"/>
            <w:vMerge w:val="restart"/>
            <w:vAlign w:val="center"/>
          </w:tcPr>
          <w:p>
            <w:pPr>
              <w:spacing w:line="560" w:lineRule="exact"/>
              <w:jc w:val="center"/>
              <w:rPr>
                <w:rFonts w:ascii="仿宋" w:hAnsi="仿宋" w:eastAsia="仿宋" w:cs="仿宋"/>
                <w:b/>
                <w:bCs/>
                <w:sz w:val="24"/>
                <w:szCs w:val="24"/>
              </w:rPr>
            </w:pPr>
            <w:r>
              <w:rPr>
                <w:rFonts w:hint="eastAsia" w:ascii="仿宋" w:hAnsi="仿宋" w:eastAsia="仿宋" w:cs="仿宋"/>
                <w:b/>
                <w:bCs/>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blHeader/>
          <w:jc w:val="center"/>
        </w:trPr>
        <w:tc>
          <w:tcPr>
            <w:tcW w:w="909" w:type="dxa"/>
            <w:vMerge w:val="continue"/>
            <w:vAlign w:val="center"/>
          </w:tcPr>
          <w:p>
            <w:pPr>
              <w:spacing w:line="560" w:lineRule="exact"/>
              <w:jc w:val="center"/>
              <w:rPr>
                <w:rFonts w:ascii="仿宋" w:hAnsi="仿宋" w:eastAsia="仿宋" w:cs="仿宋"/>
                <w:b/>
                <w:bCs/>
                <w:sz w:val="24"/>
                <w:szCs w:val="24"/>
              </w:rPr>
            </w:pPr>
          </w:p>
        </w:tc>
        <w:tc>
          <w:tcPr>
            <w:tcW w:w="851" w:type="dxa"/>
            <w:vMerge w:val="continue"/>
            <w:vAlign w:val="center"/>
          </w:tcPr>
          <w:p>
            <w:pPr>
              <w:spacing w:line="560" w:lineRule="exact"/>
              <w:jc w:val="center"/>
              <w:rPr>
                <w:rFonts w:ascii="仿宋" w:hAnsi="仿宋" w:eastAsia="仿宋" w:cs="仿宋"/>
                <w:b/>
                <w:bCs/>
                <w:sz w:val="24"/>
                <w:szCs w:val="24"/>
              </w:rPr>
            </w:pPr>
          </w:p>
        </w:tc>
        <w:tc>
          <w:tcPr>
            <w:tcW w:w="2835" w:type="dxa"/>
            <w:gridSpan w:val="2"/>
            <w:vMerge w:val="continue"/>
            <w:vAlign w:val="center"/>
          </w:tcPr>
          <w:p>
            <w:pPr>
              <w:spacing w:line="560" w:lineRule="exact"/>
              <w:jc w:val="center"/>
              <w:rPr>
                <w:rFonts w:ascii="仿宋" w:hAnsi="仿宋" w:eastAsia="仿宋" w:cs="仿宋"/>
                <w:b/>
                <w:bCs/>
                <w:sz w:val="24"/>
                <w:szCs w:val="24"/>
              </w:rPr>
            </w:pPr>
          </w:p>
        </w:tc>
        <w:tc>
          <w:tcPr>
            <w:tcW w:w="1492" w:type="dxa"/>
            <w:vAlign w:val="center"/>
          </w:tcPr>
          <w:p>
            <w:pPr>
              <w:spacing w:line="560" w:lineRule="exact"/>
              <w:jc w:val="center"/>
              <w:rPr>
                <w:rFonts w:ascii="仿宋" w:hAnsi="仿宋" w:eastAsia="仿宋" w:cs="仿宋"/>
                <w:b/>
                <w:bCs/>
                <w:sz w:val="24"/>
                <w:szCs w:val="24"/>
              </w:rPr>
            </w:pPr>
            <w:r>
              <w:rPr>
                <w:rFonts w:hint="eastAsia" w:ascii="仿宋" w:hAnsi="仿宋" w:eastAsia="仿宋" w:cs="仿宋"/>
                <w:b/>
                <w:bCs/>
                <w:sz w:val="24"/>
                <w:szCs w:val="24"/>
              </w:rPr>
              <w:t>2023年</w:t>
            </w:r>
          </w:p>
        </w:tc>
        <w:tc>
          <w:tcPr>
            <w:tcW w:w="1492" w:type="dxa"/>
            <w:vAlign w:val="center"/>
          </w:tcPr>
          <w:p>
            <w:pPr>
              <w:spacing w:line="560" w:lineRule="exact"/>
              <w:jc w:val="center"/>
              <w:rPr>
                <w:rFonts w:ascii="仿宋" w:hAnsi="仿宋" w:eastAsia="仿宋" w:cs="仿宋"/>
                <w:b/>
                <w:bCs/>
                <w:sz w:val="24"/>
                <w:szCs w:val="24"/>
              </w:rPr>
            </w:pPr>
            <w:r>
              <w:rPr>
                <w:rFonts w:hint="eastAsia" w:ascii="仿宋" w:hAnsi="仿宋" w:eastAsia="仿宋" w:cs="仿宋"/>
                <w:b/>
                <w:bCs/>
                <w:sz w:val="24"/>
                <w:szCs w:val="24"/>
              </w:rPr>
              <w:t>2024年</w:t>
            </w:r>
          </w:p>
        </w:tc>
        <w:tc>
          <w:tcPr>
            <w:tcW w:w="1493" w:type="dxa"/>
            <w:vAlign w:val="center"/>
          </w:tcPr>
          <w:p>
            <w:pPr>
              <w:spacing w:line="560" w:lineRule="exact"/>
              <w:jc w:val="center"/>
              <w:rPr>
                <w:rFonts w:ascii="仿宋" w:hAnsi="仿宋" w:eastAsia="仿宋" w:cs="仿宋"/>
                <w:b/>
                <w:bCs/>
                <w:sz w:val="24"/>
                <w:szCs w:val="24"/>
              </w:rPr>
            </w:pPr>
            <w:r>
              <w:rPr>
                <w:rFonts w:hint="eastAsia" w:ascii="仿宋" w:hAnsi="仿宋" w:eastAsia="仿宋" w:cs="仿宋"/>
                <w:b/>
                <w:bCs/>
                <w:sz w:val="24"/>
                <w:szCs w:val="24"/>
              </w:rPr>
              <w:t>2025年</w:t>
            </w:r>
          </w:p>
        </w:tc>
        <w:tc>
          <w:tcPr>
            <w:tcW w:w="1273" w:type="dxa"/>
            <w:vMerge w:val="continue"/>
            <w:vAlign w:val="center"/>
          </w:tcPr>
          <w:p>
            <w:pPr>
              <w:spacing w:line="560" w:lineRule="exact"/>
              <w:jc w:val="center"/>
              <w:rPr>
                <w:rFonts w:ascii="仿宋" w:hAnsi="仿宋" w:eastAsia="仿宋" w:cs="仿宋"/>
                <w:b/>
                <w:bCs/>
                <w:sz w:val="24"/>
                <w:szCs w:val="24"/>
              </w:rPr>
            </w:pPr>
          </w:p>
        </w:tc>
        <w:tc>
          <w:tcPr>
            <w:tcW w:w="2188" w:type="dxa"/>
            <w:vMerge w:val="continue"/>
            <w:vAlign w:val="center"/>
          </w:tcPr>
          <w:p>
            <w:pPr>
              <w:spacing w:line="560" w:lineRule="exact"/>
              <w:jc w:val="center"/>
              <w:rPr>
                <w:rFonts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9" w:type="dxa"/>
            <w:vAlign w:val="center"/>
          </w:tcPr>
          <w:p>
            <w:pPr>
              <w:spacing w:line="500" w:lineRule="exact"/>
              <w:jc w:val="center"/>
              <w:rPr>
                <w:rFonts w:ascii="仿宋" w:hAnsi="仿宋" w:eastAsia="仿宋" w:cs="仿宋"/>
                <w:szCs w:val="21"/>
              </w:rPr>
            </w:pPr>
            <w:r>
              <w:rPr>
                <w:rFonts w:ascii="仿宋" w:hAnsi="仿宋" w:eastAsia="仿宋" w:cs="仿宋"/>
                <w:szCs w:val="21"/>
              </w:rPr>
              <w:t>1</w:t>
            </w:r>
          </w:p>
        </w:tc>
        <w:tc>
          <w:tcPr>
            <w:tcW w:w="851" w:type="dxa"/>
            <w:vMerge w:val="restart"/>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体制机制保障</w:t>
            </w:r>
          </w:p>
        </w:tc>
        <w:tc>
          <w:tcPr>
            <w:tcW w:w="1276" w:type="dxa"/>
            <w:vMerge w:val="restart"/>
            <w:vAlign w:val="center"/>
          </w:tcPr>
          <w:p>
            <w:pPr>
              <w:spacing w:line="500" w:lineRule="exact"/>
              <w:jc w:val="center"/>
              <w:rPr>
                <w:rFonts w:ascii="仿宋" w:hAnsi="仿宋" w:eastAsia="仿宋" w:cs="仿宋"/>
                <w:bCs/>
                <w:szCs w:val="21"/>
              </w:rPr>
            </w:pPr>
            <w:r>
              <w:rPr>
                <w:rFonts w:ascii="仿宋" w:hAnsi="仿宋" w:eastAsia="仿宋" w:cs="仿宋"/>
                <w:bCs/>
                <w:szCs w:val="21"/>
              </w:rPr>
              <w:t>城市货运配送多部门协同机制建设</w:t>
            </w:r>
          </w:p>
        </w:tc>
        <w:tc>
          <w:tcPr>
            <w:tcW w:w="1559" w:type="dxa"/>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制定工作计划</w:t>
            </w:r>
          </w:p>
        </w:tc>
        <w:tc>
          <w:tcPr>
            <w:tcW w:w="4477" w:type="dxa"/>
            <w:gridSpan w:val="3"/>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每年制定工作进度计划，明确责任分工和保障措施，监督示范工程创建工作有序推进。</w:t>
            </w:r>
          </w:p>
        </w:tc>
        <w:tc>
          <w:tcPr>
            <w:tcW w:w="1273" w:type="dxa"/>
            <w:vAlign w:val="center"/>
          </w:tcPr>
          <w:p>
            <w:pPr>
              <w:spacing w:line="500" w:lineRule="exact"/>
              <w:jc w:val="center"/>
              <w:rPr>
                <w:rFonts w:ascii="仿宋" w:hAnsi="仿宋" w:eastAsia="仿宋" w:cs="仿宋"/>
                <w:bCs/>
                <w:szCs w:val="21"/>
              </w:rPr>
            </w:pPr>
            <w:r>
              <w:rPr>
                <w:rFonts w:ascii="仿宋" w:hAnsi="仿宋" w:eastAsia="仿宋" w:cs="仿宋"/>
                <w:bCs/>
                <w:szCs w:val="21"/>
              </w:rPr>
              <w:t>领导小组办公室</w:t>
            </w:r>
          </w:p>
        </w:tc>
        <w:tc>
          <w:tcPr>
            <w:tcW w:w="2188" w:type="dxa"/>
            <w:vAlign w:val="center"/>
          </w:tcPr>
          <w:p>
            <w:pPr>
              <w:spacing w:line="500" w:lineRule="exact"/>
              <w:jc w:val="center"/>
              <w:rPr>
                <w:rFonts w:ascii="仿宋" w:hAnsi="仿宋" w:eastAsia="仿宋" w:cs="仿宋"/>
                <w:bCs/>
                <w:szCs w:val="21"/>
              </w:rPr>
            </w:pPr>
            <w:r>
              <w:rPr>
                <w:rFonts w:ascii="仿宋" w:hAnsi="仿宋" w:eastAsia="仿宋" w:cs="仿宋"/>
                <w:bCs/>
                <w:szCs w:val="21"/>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909" w:type="dxa"/>
            <w:vAlign w:val="center"/>
          </w:tcPr>
          <w:p>
            <w:pPr>
              <w:spacing w:line="500" w:lineRule="exact"/>
              <w:jc w:val="center"/>
              <w:rPr>
                <w:rFonts w:ascii="仿宋" w:hAnsi="仿宋" w:eastAsia="仿宋" w:cs="仿宋"/>
                <w:szCs w:val="21"/>
              </w:rPr>
            </w:pPr>
            <w:r>
              <w:rPr>
                <w:rFonts w:ascii="仿宋" w:hAnsi="仿宋" w:eastAsia="仿宋" w:cs="仿宋"/>
                <w:szCs w:val="21"/>
              </w:rPr>
              <w:t>2</w:t>
            </w:r>
          </w:p>
        </w:tc>
        <w:tc>
          <w:tcPr>
            <w:tcW w:w="851" w:type="dxa"/>
            <w:vMerge w:val="continue"/>
            <w:vAlign w:val="center"/>
          </w:tcPr>
          <w:p>
            <w:pPr>
              <w:spacing w:line="500" w:lineRule="exact"/>
              <w:jc w:val="center"/>
              <w:rPr>
                <w:rFonts w:ascii="仿宋" w:hAnsi="仿宋" w:eastAsia="仿宋" w:cs="仿宋"/>
                <w:bCs/>
                <w:szCs w:val="21"/>
              </w:rPr>
            </w:pPr>
          </w:p>
        </w:tc>
        <w:tc>
          <w:tcPr>
            <w:tcW w:w="1276" w:type="dxa"/>
            <w:vMerge w:val="continue"/>
            <w:vAlign w:val="center"/>
          </w:tcPr>
          <w:p>
            <w:pPr>
              <w:spacing w:line="500" w:lineRule="exact"/>
              <w:jc w:val="center"/>
              <w:rPr>
                <w:rFonts w:ascii="仿宋" w:hAnsi="仿宋" w:eastAsia="仿宋" w:cs="仿宋"/>
                <w:bCs/>
                <w:szCs w:val="21"/>
              </w:rPr>
            </w:pPr>
          </w:p>
        </w:tc>
        <w:tc>
          <w:tcPr>
            <w:tcW w:w="1559" w:type="dxa"/>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召开会议研究</w:t>
            </w:r>
          </w:p>
        </w:tc>
        <w:tc>
          <w:tcPr>
            <w:tcW w:w="4477" w:type="dxa"/>
            <w:gridSpan w:val="3"/>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每半年召开1次会议研究示范工程推进工作事项。</w:t>
            </w:r>
          </w:p>
        </w:tc>
        <w:tc>
          <w:tcPr>
            <w:tcW w:w="1273" w:type="dxa"/>
            <w:vAlign w:val="center"/>
          </w:tcPr>
          <w:p>
            <w:pPr>
              <w:spacing w:line="500" w:lineRule="exact"/>
              <w:jc w:val="center"/>
              <w:rPr>
                <w:rFonts w:ascii="仿宋" w:hAnsi="仿宋" w:eastAsia="仿宋" w:cs="仿宋"/>
                <w:bCs/>
                <w:szCs w:val="21"/>
              </w:rPr>
            </w:pPr>
            <w:r>
              <w:rPr>
                <w:rFonts w:ascii="仿宋" w:hAnsi="仿宋" w:eastAsia="仿宋" w:cs="仿宋"/>
                <w:bCs/>
                <w:szCs w:val="21"/>
              </w:rPr>
              <w:t>领导小组办公室</w:t>
            </w:r>
          </w:p>
        </w:tc>
        <w:tc>
          <w:tcPr>
            <w:tcW w:w="2188" w:type="dxa"/>
            <w:vAlign w:val="center"/>
          </w:tcPr>
          <w:p>
            <w:pPr>
              <w:spacing w:line="500" w:lineRule="exact"/>
              <w:jc w:val="center"/>
              <w:rPr>
                <w:rFonts w:ascii="仿宋" w:hAnsi="仿宋" w:eastAsia="仿宋" w:cs="仿宋"/>
                <w:bCs/>
                <w:szCs w:val="21"/>
              </w:rPr>
            </w:pPr>
            <w:r>
              <w:rPr>
                <w:rFonts w:ascii="仿宋" w:hAnsi="仿宋" w:eastAsia="仿宋" w:cs="仿宋"/>
                <w:bCs/>
                <w:szCs w:val="21"/>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500" w:lineRule="exact"/>
              <w:jc w:val="center"/>
              <w:rPr>
                <w:rFonts w:ascii="仿宋" w:hAnsi="仿宋" w:eastAsia="仿宋" w:cs="仿宋"/>
                <w:szCs w:val="21"/>
              </w:rPr>
            </w:pPr>
            <w:r>
              <w:rPr>
                <w:rFonts w:ascii="仿宋" w:hAnsi="仿宋" w:eastAsia="仿宋" w:cs="仿宋"/>
                <w:szCs w:val="21"/>
              </w:rPr>
              <w:t>3</w:t>
            </w:r>
          </w:p>
        </w:tc>
        <w:tc>
          <w:tcPr>
            <w:tcW w:w="851" w:type="dxa"/>
            <w:vMerge w:val="continue"/>
            <w:vAlign w:val="center"/>
          </w:tcPr>
          <w:p>
            <w:pPr>
              <w:spacing w:line="500" w:lineRule="exact"/>
              <w:jc w:val="center"/>
              <w:rPr>
                <w:rFonts w:ascii="仿宋" w:hAnsi="仿宋" w:eastAsia="仿宋" w:cs="仿宋"/>
                <w:bCs/>
                <w:szCs w:val="21"/>
              </w:rPr>
            </w:pPr>
          </w:p>
        </w:tc>
        <w:tc>
          <w:tcPr>
            <w:tcW w:w="1276" w:type="dxa"/>
            <w:vMerge w:val="continue"/>
            <w:vAlign w:val="center"/>
          </w:tcPr>
          <w:p>
            <w:pPr>
              <w:spacing w:line="500" w:lineRule="exact"/>
              <w:jc w:val="center"/>
              <w:rPr>
                <w:rFonts w:ascii="仿宋" w:hAnsi="仿宋" w:eastAsia="仿宋" w:cs="仿宋"/>
                <w:bCs/>
                <w:szCs w:val="21"/>
              </w:rPr>
            </w:pPr>
          </w:p>
        </w:tc>
        <w:tc>
          <w:tcPr>
            <w:tcW w:w="1559" w:type="dxa"/>
            <w:vAlign w:val="center"/>
          </w:tcPr>
          <w:p>
            <w:pPr>
              <w:spacing w:line="500" w:lineRule="exact"/>
              <w:jc w:val="center"/>
              <w:rPr>
                <w:rFonts w:ascii="仿宋" w:hAnsi="仿宋" w:eastAsia="仿宋" w:cs="仿宋"/>
                <w:bCs/>
                <w:szCs w:val="21"/>
              </w:rPr>
            </w:pPr>
            <w:r>
              <w:rPr>
                <w:rFonts w:ascii="仿宋" w:hAnsi="仿宋" w:eastAsia="仿宋" w:cs="仿宋"/>
                <w:bCs/>
                <w:szCs w:val="21"/>
              </w:rPr>
              <w:t>年度考核评价</w:t>
            </w:r>
          </w:p>
        </w:tc>
        <w:tc>
          <w:tcPr>
            <w:tcW w:w="4477" w:type="dxa"/>
            <w:gridSpan w:val="3"/>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将城市绿色货运配送示范工程创建纳入政府对领导小组各成员单位年度绩效考核，并每年实施考核评价。</w:t>
            </w:r>
          </w:p>
        </w:tc>
        <w:tc>
          <w:tcPr>
            <w:tcW w:w="1273" w:type="dxa"/>
            <w:vAlign w:val="center"/>
          </w:tcPr>
          <w:p>
            <w:pPr>
              <w:spacing w:line="500" w:lineRule="exact"/>
              <w:jc w:val="center"/>
              <w:rPr>
                <w:rFonts w:ascii="仿宋" w:hAnsi="仿宋" w:eastAsia="仿宋" w:cs="仿宋"/>
                <w:bCs/>
                <w:szCs w:val="21"/>
              </w:rPr>
            </w:pPr>
            <w:r>
              <w:rPr>
                <w:rFonts w:ascii="仿宋" w:hAnsi="仿宋" w:eastAsia="仿宋" w:cs="仿宋"/>
                <w:bCs/>
                <w:szCs w:val="21"/>
              </w:rPr>
              <w:t>领导小组办公室</w:t>
            </w:r>
          </w:p>
        </w:tc>
        <w:tc>
          <w:tcPr>
            <w:tcW w:w="2188" w:type="dxa"/>
            <w:vAlign w:val="center"/>
          </w:tcPr>
          <w:p>
            <w:pPr>
              <w:spacing w:line="500" w:lineRule="exact"/>
              <w:jc w:val="center"/>
              <w:rPr>
                <w:rFonts w:ascii="仿宋" w:hAnsi="仿宋" w:eastAsia="仿宋" w:cs="仿宋"/>
                <w:bCs/>
                <w:szCs w:val="21"/>
              </w:rPr>
            </w:pPr>
            <w:r>
              <w:rPr>
                <w:rFonts w:ascii="仿宋" w:hAnsi="仿宋" w:eastAsia="仿宋" w:cs="仿宋"/>
                <w:bCs/>
                <w:szCs w:val="21"/>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09" w:type="dxa"/>
            <w:vAlign w:val="center"/>
          </w:tcPr>
          <w:p>
            <w:pPr>
              <w:spacing w:line="500" w:lineRule="exact"/>
              <w:jc w:val="center"/>
              <w:rPr>
                <w:rFonts w:ascii="仿宋" w:hAnsi="仿宋" w:eastAsia="仿宋" w:cs="仿宋"/>
                <w:szCs w:val="21"/>
              </w:rPr>
            </w:pPr>
            <w:r>
              <w:rPr>
                <w:rFonts w:ascii="仿宋" w:hAnsi="仿宋" w:eastAsia="仿宋" w:cs="仿宋"/>
                <w:szCs w:val="21"/>
              </w:rPr>
              <w:t>4</w:t>
            </w:r>
          </w:p>
        </w:tc>
        <w:tc>
          <w:tcPr>
            <w:tcW w:w="851" w:type="dxa"/>
            <w:vMerge w:val="continue"/>
            <w:vAlign w:val="center"/>
          </w:tcPr>
          <w:p>
            <w:pPr>
              <w:spacing w:line="500" w:lineRule="exact"/>
              <w:jc w:val="center"/>
              <w:rPr>
                <w:rFonts w:ascii="仿宋" w:hAnsi="仿宋" w:eastAsia="仿宋" w:cs="仿宋"/>
                <w:bCs/>
                <w:szCs w:val="21"/>
              </w:rPr>
            </w:pPr>
          </w:p>
        </w:tc>
        <w:tc>
          <w:tcPr>
            <w:tcW w:w="1276" w:type="dxa"/>
            <w:vMerge w:val="continue"/>
            <w:vAlign w:val="center"/>
          </w:tcPr>
          <w:p>
            <w:pPr>
              <w:spacing w:line="500" w:lineRule="exact"/>
              <w:jc w:val="center"/>
              <w:rPr>
                <w:rFonts w:ascii="仿宋" w:hAnsi="仿宋" w:eastAsia="仿宋" w:cs="仿宋"/>
                <w:bCs/>
                <w:szCs w:val="21"/>
              </w:rPr>
            </w:pPr>
          </w:p>
        </w:tc>
        <w:tc>
          <w:tcPr>
            <w:tcW w:w="1559" w:type="dxa"/>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编写总结报告</w:t>
            </w:r>
          </w:p>
        </w:tc>
        <w:tc>
          <w:tcPr>
            <w:tcW w:w="4477" w:type="dxa"/>
            <w:gridSpan w:val="3"/>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每半年编制示范工程创建总结报告。</w:t>
            </w:r>
          </w:p>
        </w:tc>
        <w:tc>
          <w:tcPr>
            <w:tcW w:w="1273" w:type="dxa"/>
            <w:vAlign w:val="center"/>
          </w:tcPr>
          <w:p>
            <w:pPr>
              <w:spacing w:line="500" w:lineRule="exact"/>
              <w:jc w:val="center"/>
              <w:rPr>
                <w:rFonts w:ascii="仿宋" w:hAnsi="仿宋" w:eastAsia="仿宋" w:cs="仿宋"/>
                <w:bCs/>
                <w:szCs w:val="21"/>
              </w:rPr>
            </w:pPr>
            <w:r>
              <w:rPr>
                <w:rFonts w:ascii="仿宋" w:hAnsi="仿宋" w:eastAsia="仿宋" w:cs="仿宋"/>
                <w:bCs/>
                <w:szCs w:val="21"/>
              </w:rPr>
              <w:t>领导小组办公室</w:t>
            </w:r>
          </w:p>
        </w:tc>
        <w:tc>
          <w:tcPr>
            <w:tcW w:w="2188" w:type="dxa"/>
            <w:vAlign w:val="center"/>
          </w:tcPr>
          <w:p>
            <w:pPr>
              <w:spacing w:line="500" w:lineRule="exact"/>
              <w:jc w:val="center"/>
              <w:rPr>
                <w:rFonts w:ascii="仿宋" w:hAnsi="仿宋" w:eastAsia="仿宋" w:cs="仿宋"/>
                <w:bCs/>
                <w:szCs w:val="21"/>
              </w:rPr>
            </w:pPr>
            <w:r>
              <w:rPr>
                <w:rFonts w:ascii="仿宋" w:hAnsi="仿宋" w:eastAsia="仿宋" w:cs="仿宋"/>
                <w:bCs/>
                <w:szCs w:val="21"/>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09" w:type="dxa"/>
            <w:vAlign w:val="center"/>
          </w:tcPr>
          <w:p>
            <w:pPr>
              <w:spacing w:line="500" w:lineRule="exact"/>
              <w:jc w:val="center"/>
              <w:rPr>
                <w:rFonts w:ascii="仿宋" w:hAnsi="仿宋" w:eastAsia="仿宋" w:cs="仿宋"/>
                <w:szCs w:val="21"/>
              </w:rPr>
            </w:pPr>
            <w:r>
              <w:rPr>
                <w:rFonts w:ascii="仿宋" w:hAnsi="仿宋" w:eastAsia="仿宋" w:cs="仿宋"/>
                <w:szCs w:val="21"/>
              </w:rPr>
              <w:t>5</w:t>
            </w:r>
          </w:p>
        </w:tc>
        <w:tc>
          <w:tcPr>
            <w:tcW w:w="851" w:type="dxa"/>
            <w:vMerge w:val="continue"/>
            <w:vAlign w:val="center"/>
          </w:tcPr>
          <w:p>
            <w:pPr>
              <w:spacing w:line="500" w:lineRule="exact"/>
              <w:jc w:val="center"/>
              <w:rPr>
                <w:rFonts w:ascii="仿宋" w:hAnsi="仿宋" w:eastAsia="仿宋" w:cs="仿宋"/>
                <w:bCs/>
                <w:szCs w:val="21"/>
              </w:rPr>
            </w:pPr>
          </w:p>
        </w:tc>
        <w:tc>
          <w:tcPr>
            <w:tcW w:w="1276" w:type="dxa"/>
            <w:vMerge w:val="restart"/>
            <w:vAlign w:val="center"/>
          </w:tcPr>
          <w:p>
            <w:pPr>
              <w:spacing w:line="500" w:lineRule="exact"/>
              <w:jc w:val="center"/>
              <w:rPr>
                <w:rFonts w:ascii="仿宋" w:hAnsi="仿宋" w:eastAsia="仿宋" w:cs="仿宋"/>
                <w:bCs/>
                <w:szCs w:val="21"/>
              </w:rPr>
            </w:pPr>
            <w:r>
              <w:rPr>
                <w:rFonts w:ascii="仿宋" w:hAnsi="仿宋" w:eastAsia="仿宋" w:cs="仿宋"/>
                <w:bCs/>
                <w:szCs w:val="21"/>
              </w:rPr>
              <w:t>制定城市配送企业考核管理办法</w:t>
            </w:r>
          </w:p>
        </w:tc>
        <w:tc>
          <w:tcPr>
            <w:tcW w:w="1559" w:type="dxa"/>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建立快递车辆规范管理制度</w:t>
            </w:r>
          </w:p>
        </w:tc>
        <w:tc>
          <w:tcPr>
            <w:tcW w:w="4477" w:type="dxa"/>
            <w:gridSpan w:val="3"/>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建立快递车辆规范管理制度。</w:t>
            </w:r>
          </w:p>
        </w:tc>
        <w:tc>
          <w:tcPr>
            <w:tcW w:w="1273" w:type="dxa"/>
            <w:vAlign w:val="center"/>
          </w:tcPr>
          <w:p>
            <w:pPr>
              <w:spacing w:line="500" w:lineRule="exact"/>
              <w:jc w:val="center"/>
              <w:rPr>
                <w:rFonts w:ascii="仿宋" w:hAnsi="仿宋" w:eastAsia="仿宋" w:cs="仿宋"/>
                <w:bCs/>
                <w:szCs w:val="21"/>
              </w:rPr>
            </w:pPr>
            <w:r>
              <w:rPr>
                <w:rFonts w:ascii="仿宋" w:hAnsi="仿宋" w:eastAsia="仿宋" w:cs="仿宋"/>
                <w:bCs/>
                <w:szCs w:val="21"/>
              </w:rPr>
              <w:t>市邮政管理局</w:t>
            </w:r>
          </w:p>
        </w:tc>
        <w:tc>
          <w:tcPr>
            <w:tcW w:w="2188" w:type="dxa"/>
            <w:vAlign w:val="center"/>
          </w:tcPr>
          <w:p>
            <w:pPr>
              <w:spacing w:line="500" w:lineRule="exact"/>
              <w:jc w:val="center"/>
              <w:rPr>
                <w:rFonts w:ascii="仿宋" w:hAnsi="仿宋" w:eastAsia="仿宋" w:cs="仿宋"/>
                <w:bCs/>
                <w:szCs w:val="21"/>
              </w:rPr>
            </w:pPr>
            <w:r>
              <w:rPr>
                <w:rFonts w:ascii="仿宋" w:hAnsi="仿宋" w:eastAsia="仿宋" w:cs="仿宋"/>
                <w:bCs/>
                <w:szCs w:val="21"/>
              </w:rPr>
              <w:t>市公安局、市交通</w:t>
            </w:r>
            <w:r>
              <w:rPr>
                <w:rFonts w:hint="eastAsia" w:ascii="仿宋" w:hAnsi="仿宋" w:eastAsia="仿宋" w:cs="仿宋"/>
                <w:bCs/>
                <w:szCs w:val="21"/>
              </w:rPr>
              <w:t>运输</w:t>
            </w:r>
            <w:r>
              <w:rPr>
                <w:rFonts w:ascii="仿宋" w:hAnsi="仿宋" w:eastAsia="仿宋" w:cs="仿宋"/>
                <w:bCs/>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500" w:lineRule="exact"/>
              <w:jc w:val="center"/>
              <w:rPr>
                <w:rFonts w:ascii="仿宋" w:hAnsi="仿宋" w:eastAsia="仿宋" w:cs="仿宋"/>
                <w:szCs w:val="21"/>
              </w:rPr>
            </w:pPr>
            <w:r>
              <w:rPr>
                <w:rFonts w:ascii="仿宋" w:hAnsi="仿宋" w:eastAsia="仿宋" w:cs="仿宋"/>
                <w:szCs w:val="21"/>
              </w:rPr>
              <w:t>6</w:t>
            </w:r>
          </w:p>
        </w:tc>
        <w:tc>
          <w:tcPr>
            <w:tcW w:w="851" w:type="dxa"/>
            <w:vMerge w:val="continue"/>
            <w:vAlign w:val="center"/>
          </w:tcPr>
          <w:p>
            <w:pPr>
              <w:spacing w:line="500" w:lineRule="exact"/>
              <w:jc w:val="center"/>
              <w:rPr>
                <w:rFonts w:ascii="仿宋" w:hAnsi="仿宋" w:eastAsia="仿宋" w:cs="仿宋"/>
                <w:bCs/>
                <w:szCs w:val="21"/>
              </w:rPr>
            </w:pPr>
          </w:p>
        </w:tc>
        <w:tc>
          <w:tcPr>
            <w:tcW w:w="1276" w:type="dxa"/>
            <w:vMerge w:val="continue"/>
            <w:vAlign w:val="center"/>
          </w:tcPr>
          <w:p>
            <w:pPr>
              <w:spacing w:line="500" w:lineRule="exact"/>
              <w:jc w:val="center"/>
              <w:rPr>
                <w:rFonts w:ascii="仿宋" w:hAnsi="仿宋" w:eastAsia="仿宋" w:cs="仿宋"/>
                <w:bCs/>
                <w:szCs w:val="21"/>
              </w:rPr>
            </w:pPr>
          </w:p>
        </w:tc>
        <w:tc>
          <w:tcPr>
            <w:tcW w:w="1559" w:type="dxa"/>
            <w:vAlign w:val="center"/>
          </w:tcPr>
          <w:p>
            <w:pPr>
              <w:spacing w:line="500" w:lineRule="exact"/>
              <w:jc w:val="center"/>
              <w:rPr>
                <w:rFonts w:ascii="仿宋" w:hAnsi="仿宋" w:eastAsia="仿宋" w:cs="仿宋"/>
                <w:bCs/>
                <w:szCs w:val="21"/>
              </w:rPr>
            </w:pPr>
            <w:r>
              <w:rPr>
                <w:rFonts w:ascii="仿宋" w:hAnsi="仿宋" w:eastAsia="仿宋" w:cs="仿宋"/>
                <w:bCs/>
                <w:szCs w:val="21"/>
              </w:rPr>
              <w:t>制定</w:t>
            </w:r>
            <w:r>
              <w:rPr>
                <w:rFonts w:hint="eastAsia" w:ascii="仿宋" w:hAnsi="仿宋" w:eastAsia="仿宋" w:cs="仿宋"/>
                <w:bCs/>
                <w:szCs w:val="21"/>
              </w:rPr>
              <w:t>城市配送企业考核管理办法</w:t>
            </w:r>
          </w:p>
        </w:tc>
        <w:tc>
          <w:tcPr>
            <w:tcW w:w="4477" w:type="dxa"/>
            <w:gridSpan w:val="3"/>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制定并发布城市配送企业考核管理办法。</w:t>
            </w:r>
          </w:p>
        </w:tc>
        <w:tc>
          <w:tcPr>
            <w:tcW w:w="1273" w:type="dxa"/>
            <w:vAlign w:val="center"/>
          </w:tcPr>
          <w:p>
            <w:pPr>
              <w:spacing w:line="500" w:lineRule="exact"/>
              <w:jc w:val="center"/>
              <w:rPr>
                <w:rFonts w:ascii="仿宋" w:hAnsi="仿宋" w:eastAsia="仿宋" w:cs="仿宋"/>
                <w:bCs/>
                <w:szCs w:val="21"/>
              </w:rPr>
            </w:pPr>
            <w:r>
              <w:rPr>
                <w:rFonts w:ascii="仿宋" w:hAnsi="仿宋" w:eastAsia="仿宋" w:cs="仿宋"/>
                <w:bCs/>
                <w:szCs w:val="21"/>
              </w:rPr>
              <w:t>市交通</w:t>
            </w:r>
            <w:r>
              <w:rPr>
                <w:rFonts w:hint="eastAsia" w:ascii="仿宋" w:hAnsi="仿宋" w:eastAsia="仿宋" w:cs="仿宋"/>
                <w:bCs/>
                <w:szCs w:val="21"/>
              </w:rPr>
              <w:t>运输</w:t>
            </w:r>
            <w:r>
              <w:rPr>
                <w:rFonts w:ascii="仿宋" w:hAnsi="仿宋" w:eastAsia="仿宋" w:cs="仿宋"/>
                <w:bCs/>
                <w:szCs w:val="21"/>
              </w:rPr>
              <w:t>局</w:t>
            </w:r>
          </w:p>
        </w:tc>
        <w:tc>
          <w:tcPr>
            <w:tcW w:w="2188" w:type="dxa"/>
            <w:vAlign w:val="center"/>
          </w:tcPr>
          <w:p>
            <w:pPr>
              <w:spacing w:line="500" w:lineRule="exact"/>
              <w:jc w:val="center"/>
              <w:rPr>
                <w:rFonts w:ascii="仿宋" w:hAnsi="仿宋" w:eastAsia="仿宋" w:cs="仿宋"/>
                <w:bCs/>
                <w:szCs w:val="21"/>
              </w:rPr>
            </w:pPr>
            <w:r>
              <w:rPr>
                <w:rFonts w:ascii="仿宋" w:hAnsi="仿宋" w:eastAsia="仿宋" w:cs="仿宋"/>
                <w:bCs/>
                <w:szCs w:val="21"/>
              </w:rPr>
              <w:t>市公安局、市商务局、市邮政管理局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909" w:type="dxa"/>
            <w:vAlign w:val="center"/>
          </w:tcPr>
          <w:p>
            <w:pPr>
              <w:spacing w:line="500" w:lineRule="exact"/>
              <w:jc w:val="center"/>
              <w:rPr>
                <w:rFonts w:ascii="仿宋" w:hAnsi="仿宋" w:eastAsia="仿宋" w:cs="仿宋"/>
                <w:szCs w:val="21"/>
              </w:rPr>
            </w:pPr>
            <w:r>
              <w:rPr>
                <w:rFonts w:ascii="仿宋" w:hAnsi="仿宋" w:eastAsia="仿宋" w:cs="仿宋"/>
                <w:szCs w:val="21"/>
              </w:rPr>
              <w:t>7</w:t>
            </w:r>
          </w:p>
        </w:tc>
        <w:tc>
          <w:tcPr>
            <w:tcW w:w="851" w:type="dxa"/>
            <w:vMerge w:val="continue"/>
            <w:vAlign w:val="center"/>
          </w:tcPr>
          <w:p>
            <w:pPr>
              <w:spacing w:line="500" w:lineRule="exact"/>
              <w:jc w:val="center"/>
              <w:rPr>
                <w:rFonts w:ascii="仿宋" w:hAnsi="仿宋" w:eastAsia="仿宋" w:cs="仿宋"/>
                <w:bCs/>
                <w:szCs w:val="21"/>
              </w:rPr>
            </w:pPr>
          </w:p>
        </w:tc>
        <w:tc>
          <w:tcPr>
            <w:tcW w:w="1276" w:type="dxa"/>
            <w:vMerge w:val="continue"/>
            <w:vAlign w:val="center"/>
          </w:tcPr>
          <w:p>
            <w:pPr>
              <w:spacing w:line="500" w:lineRule="exact"/>
              <w:jc w:val="center"/>
              <w:rPr>
                <w:rFonts w:ascii="仿宋" w:hAnsi="仿宋" w:eastAsia="仿宋" w:cs="仿宋"/>
                <w:bCs/>
                <w:szCs w:val="21"/>
              </w:rPr>
            </w:pPr>
          </w:p>
        </w:tc>
        <w:tc>
          <w:tcPr>
            <w:tcW w:w="1559" w:type="dxa"/>
            <w:vAlign w:val="center"/>
          </w:tcPr>
          <w:p>
            <w:pPr>
              <w:spacing w:line="500" w:lineRule="exact"/>
              <w:jc w:val="center"/>
              <w:rPr>
                <w:rFonts w:ascii="仿宋" w:hAnsi="仿宋" w:eastAsia="仿宋" w:cs="仿宋"/>
                <w:bCs/>
                <w:szCs w:val="21"/>
              </w:rPr>
            </w:pPr>
            <w:r>
              <w:rPr>
                <w:rFonts w:ascii="仿宋" w:hAnsi="仿宋" w:eastAsia="仿宋" w:cs="仿宋"/>
                <w:bCs/>
                <w:szCs w:val="21"/>
              </w:rPr>
              <w:t>开展考核评估</w:t>
            </w:r>
          </w:p>
        </w:tc>
        <w:tc>
          <w:tcPr>
            <w:tcW w:w="4477" w:type="dxa"/>
            <w:gridSpan w:val="3"/>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每年对从事城市配送的企业开展1次考核评估，并结合考核评价结果实行相应的奖惩措施。</w:t>
            </w:r>
          </w:p>
        </w:tc>
        <w:tc>
          <w:tcPr>
            <w:tcW w:w="1273" w:type="dxa"/>
            <w:vAlign w:val="center"/>
          </w:tcPr>
          <w:p>
            <w:pPr>
              <w:spacing w:line="500" w:lineRule="exact"/>
              <w:jc w:val="center"/>
              <w:rPr>
                <w:rFonts w:ascii="仿宋" w:hAnsi="仿宋" w:eastAsia="仿宋" w:cs="仿宋"/>
                <w:bCs/>
                <w:szCs w:val="21"/>
              </w:rPr>
            </w:pPr>
            <w:r>
              <w:rPr>
                <w:rFonts w:ascii="仿宋" w:hAnsi="仿宋" w:eastAsia="仿宋" w:cs="仿宋"/>
                <w:bCs/>
                <w:szCs w:val="21"/>
              </w:rPr>
              <w:t>市交通</w:t>
            </w:r>
            <w:r>
              <w:rPr>
                <w:rFonts w:hint="eastAsia" w:ascii="仿宋" w:hAnsi="仿宋" w:eastAsia="仿宋" w:cs="仿宋"/>
                <w:bCs/>
                <w:szCs w:val="21"/>
              </w:rPr>
              <w:t>运输</w:t>
            </w:r>
            <w:r>
              <w:rPr>
                <w:rFonts w:ascii="仿宋" w:hAnsi="仿宋" w:eastAsia="仿宋" w:cs="仿宋"/>
                <w:bCs/>
                <w:szCs w:val="21"/>
              </w:rPr>
              <w:t>局</w:t>
            </w:r>
          </w:p>
        </w:tc>
        <w:tc>
          <w:tcPr>
            <w:tcW w:w="2188" w:type="dxa"/>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909" w:type="dxa"/>
            <w:vAlign w:val="center"/>
          </w:tcPr>
          <w:p>
            <w:pPr>
              <w:spacing w:line="500" w:lineRule="exact"/>
              <w:jc w:val="center"/>
              <w:rPr>
                <w:rFonts w:ascii="仿宋" w:hAnsi="仿宋" w:eastAsia="仿宋" w:cs="仿宋"/>
                <w:szCs w:val="21"/>
              </w:rPr>
            </w:pPr>
            <w:r>
              <w:rPr>
                <w:rFonts w:ascii="仿宋" w:hAnsi="仿宋" w:eastAsia="仿宋" w:cs="仿宋"/>
                <w:szCs w:val="21"/>
              </w:rPr>
              <w:t>8</w:t>
            </w:r>
          </w:p>
        </w:tc>
        <w:tc>
          <w:tcPr>
            <w:tcW w:w="851" w:type="dxa"/>
            <w:vMerge w:val="continue"/>
            <w:vAlign w:val="center"/>
          </w:tcPr>
          <w:p>
            <w:pPr>
              <w:spacing w:line="500" w:lineRule="exact"/>
              <w:jc w:val="center"/>
              <w:rPr>
                <w:rFonts w:ascii="仿宋" w:hAnsi="仿宋" w:eastAsia="仿宋" w:cs="仿宋"/>
                <w:bCs/>
                <w:szCs w:val="21"/>
              </w:rPr>
            </w:pPr>
          </w:p>
        </w:tc>
        <w:tc>
          <w:tcPr>
            <w:tcW w:w="1276" w:type="dxa"/>
            <w:vAlign w:val="center"/>
          </w:tcPr>
          <w:p>
            <w:pPr>
              <w:spacing w:line="500" w:lineRule="exact"/>
              <w:jc w:val="center"/>
              <w:rPr>
                <w:rFonts w:ascii="仿宋" w:hAnsi="仿宋" w:eastAsia="仿宋" w:cs="仿宋"/>
                <w:bCs/>
                <w:szCs w:val="21"/>
              </w:rPr>
            </w:pPr>
            <w:r>
              <w:rPr>
                <w:rFonts w:ascii="仿宋" w:hAnsi="仿宋" w:eastAsia="仿宋" w:cs="仿宋"/>
                <w:bCs/>
                <w:szCs w:val="21"/>
              </w:rPr>
              <w:t>出台相关扶持政策</w:t>
            </w:r>
          </w:p>
        </w:tc>
        <w:tc>
          <w:tcPr>
            <w:tcW w:w="1559" w:type="dxa"/>
            <w:vAlign w:val="center"/>
          </w:tcPr>
          <w:p>
            <w:pPr>
              <w:spacing w:line="500" w:lineRule="exact"/>
              <w:jc w:val="center"/>
              <w:rPr>
                <w:rFonts w:ascii="仿宋" w:hAnsi="仿宋" w:eastAsia="仿宋" w:cs="仿宋"/>
                <w:bCs/>
                <w:szCs w:val="21"/>
              </w:rPr>
            </w:pPr>
            <w:r>
              <w:rPr>
                <w:rFonts w:ascii="仿宋" w:hAnsi="仿宋" w:eastAsia="仿宋" w:cs="仿宋"/>
                <w:bCs/>
                <w:szCs w:val="21"/>
              </w:rPr>
              <w:t>建立资金投入机制</w:t>
            </w:r>
            <w:r>
              <w:rPr>
                <w:rFonts w:hint="eastAsia" w:ascii="仿宋" w:hAnsi="仿宋" w:eastAsia="仿宋" w:cs="仿宋"/>
                <w:bCs/>
                <w:szCs w:val="21"/>
              </w:rPr>
              <w:t>,设立专项资金。</w:t>
            </w:r>
          </w:p>
        </w:tc>
        <w:tc>
          <w:tcPr>
            <w:tcW w:w="4477" w:type="dxa"/>
            <w:gridSpan w:val="3"/>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建立相对稳定的城市绿色货运配送发展资金投入机制，并纳入年度财政预算。在新能源车辆购置与营运、配送中心建设、先进组织模式推广应用、公共信息平台建设等方面给予资金支持。</w:t>
            </w:r>
          </w:p>
        </w:tc>
        <w:tc>
          <w:tcPr>
            <w:tcW w:w="1273" w:type="dxa"/>
            <w:vAlign w:val="center"/>
          </w:tcPr>
          <w:p>
            <w:pPr>
              <w:spacing w:line="500" w:lineRule="exact"/>
              <w:jc w:val="center"/>
              <w:rPr>
                <w:rFonts w:ascii="仿宋" w:hAnsi="仿宋" w:eastAsia="仿宋" w:cs="仿宋"/>
                <w:bCs/>
                <w:szCs w:val="21"/>
              </w:rPr>
            </w:pPr>
            <w:r>
              <w:rPr>
                <w:rFonts w:ascii="仿宋" w:hAnsi="仿宋" w:eastAsia="仿宋" w:cs="仿宋"/>
                <w:bCs/>
                <w:szCs w:val="21"/>
              </w:rPr>
              <w:t>市财政局</w:t>
            </w:r>
          </w:p>
        </w:tc>
        <w:tc>
          <w:tcPr>
            <w:tcW w:w="2188" w:type="dxa"/>
            <w:vAlign w:val="center"/>
          </w:tcPr>
          <w:p>
            <w:pPr>
              <w:spacing w:line="500" w:lineRule="exact"/>
              <w:jc w:val="center"/>
              <w:rPr>
                <w:rFonts w:ascii="仿宋" w:hAnsi="仿宋" w:eastAsia="仿宋" w:cs="仿宋"/>
                <w:bCs/>
                <w:szCs w:val="21"/>
              </w:rPr>
            </w:pPr>
            <w:r>
              <w:rPr>
                <w:rFonts w:ascii="仿宋" w:hAnsi="仿宋" w:eastAsia="仿宋" w:cs="仿宋"/>
                <w:bCs/>
                <w:szCs w:val="21"/>
              </w:rPr>
              <w:t>市交通</w:t>
            </w:r>
            <w:r>
              <w:rPr>
                <w:rFonts w:hint="eastAsia" w:ascii="仿宋" w:hAnsi="仿宋" w:eastAsia="仿宋" w:cs="仿宋"/>
                <w:bCs/>
                <w:szCs w:val="21"/>
              </w:rPr>
              <w:t>运输</w:t>
            </w:r>
            <w:r>
              <w:rPr>
                <w:rFonts w:ascii="仿宋" w:hAnsi="仿宋" w:eastAsia="仿宋" w:cs="仿宋"/>
                <w:bCs/>
                <w:szCs w:val="21"/>
              </w:rPr>
              <w:t>局、市发改委</w:t>
            </w:r>
            <w:r>
              <w:rPr>
                <w:rFonts w:hint="eastAsia" w:ascii="仿宋" w:hAnsi="仿宋" w:eastAsia="仿宋" w:cs="仿宋"/>
                <w:bCs/>
                <w:szCs w:val="21"/>
              </w:rPr>
              <w:t>、</w:t>
            </w:r>
            <w:r>
              <w:rPr>
                <w:rFonts w:ascii="仿宋" w:hAnsi="仿宋" w:eastAsia="仿宋" w:cs="仿宋"/>
                <w:bCs/>
                <w:szCs w:val="21"/>
              </w:rPr>
              <w:t>市商务局</w:t>
            </w:r>
            <w:r>
              <w:rPr>
                <w:rFonts w:hint="eastAsia" w:ascii="仿宋" w:hAnsi="仿宋" w:eastAsia="仿宋" w:cs="仿宋"/>
                <w:bCs/>
                <w:szCs w:val="21"/>
              </w:rPr>
              <w:t>、市公安局、</w:t>
            </w:r>
            <w:r>
              <w:rPr>
                <w:rFonts w:ascii="仿宋" w:hAnsi="仿宋" w:eastAsia="仿宋" w:cs="仿宋"/>
                <w:bCs/>
                <w:szCs w:val="21"/>
              </w:rPr>
              <w:t>市工信局、</w:t>
            </w:r>
            <w:r>
              <w:rPr>
                <w:rFonts w:hint="eastAsia" w:ascii="仿宋" w:hAnsi="仿宋" w:eastAsia="仿宋" w:cs="仿宋"/>
                <w:bCs/>
                <w:szCs w:val="21"/>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909" w:type="dxa"/>
            <w:vAlign w:val="center"/>
          </w:tcPr>
          <w:p>
            <w:pPr>
              <w:spacing w:line="500" w:lineRule="exact"/>
              <w:jc w:val="center"/>
              <w:rPr>
                <w:rFonts w:ascii="仿宋" w:hAnsi="仿宋" w:eastAsia="仿宋" w:cs="仿宋"/>
                <w:szCs w:val="21"/>
              </w:rPr>
            </w:pPr>
            <w:r>
              <w:rPr>
                <w:rFonts w:ascii="仿宋" w:hAnsi="仿宋" w:eastAsia="仿宋" w:cs="仿宋"/>
                <w:szCs w:val="21"/>
              </w:rPr>
              <w:t>9</w:t>
            </w:r>
          </w:p>
        </w:tc>
        <w:tc>
          <w:tcPr>
            <w:tcW w:w="851" w:type="dxa"/>
            <w:vMerge w:val="restart"/>
            <w:vAlign w:val="center"/>
          </w:tcPr>
          <w:p>
            <w:pPr>
              <w:spacing w:line="500" w:lineRule="exact"/>
              <w:jc w:val="center"/>
              <w:rPr>
                <w:rFonts w:ascii="仿宋" w:hAnsi="仿宋" w:eastAsia="仿宋" w:cs="仿宋"/>
                <w:bCs/>
                <w:szCs w:val="21"/>
              </w:rPr>
            </w:pPr>
            <w:r>
              <w:rPr>
                <w:rFonts w:ascii="仿宋" w:hAnsi="仿宋" w:eastAsia="仿宋" w:cs="仿宋"/>
                <w:bCs/>
                <w:szCs w:val="21"/>
              </w:rPr>
              <w:t>城市配送</w:t>
            </w:r>
            <w:r>
              <w:rPr>
                <w:rFonts w:hint="eastAsia" w:ascii="仿宋" w:hAnsi="仿宋" w:eastAsia="仿宋" w:cs="仿宋"/>
                <w:bCs/>
                <w:szCs w:val="21"/>
              </w:rPr>
              <w:t>物流</w:t>
            </w:r>
            <w:r>
              <w:rPr>
                <w:rFonts w:ascii="仿宋" w:hAnsi="仿宋" w:eastAsia="仿宋" w:cs="仿宋"/>
                <w:bCs/>
                <w:szCs w:val="21"/>
              </w:rPr>
              <w:t>基础设施</w:t>
            </w:r>
          </w:p>
        </w:tc>
        <w:tc>
          <w:tcPr>
            <w:tcW w:w="2835" w:type="dxa"/>
            <w:gridSpan w:val="2"/>
            <w:vAlign w:val="center"/>
          </w:tcPr>
          <w:p>
            <w:pPr>
              <w:spacing w:line="500" w:lineRule="exact"/>
              <w:jc w:val="center"/>
              <w:rPr>
                <w:rFonts w:ascii="仿宋" w:hAnsi="仿宋" w:eastAsia="仿宋" w:cs="仿宋"/>
                <w:bCs/>
                <w:szCs w:val="21"/>
              </w:rPr>
            </w:pPr>
            <w:r>
              <w:rPr>
                <w:rFonts w:ascii="仿宋" w:hAnsi="仿宋" w:eastAsia="仿宋" w:cs="仿宋"/>
                <w:bCs/>
                <w:szCs w:val="21"/>
              </w:rPr>
              <w:t>投入运营的干支衔接货运枢纽（物流园区）</w:t>
            </w:r>
            <w:r>
              <w:rPr>
                <w:rFonts w:hint="eastAsia" w:ascii="仿宋" w:hAnsi="仿宋" w:eastAsia="仿宋" w:cs="仿宋"/>
                <w:bCs/>
                <w:szCs w:val="21"/>
              </w:rPr>
              <w:t>不少于5</w:t>
            </w:r>
            <w:r>
              <w:rPr>
                <w:rFonts w:ascii="仿宋" w:hAnsi="仿宋" w:eastAsia="仿宋" w:cs="仿宋"/>
                <w:bCs/>
                <w:szCs w:val="21"/>
              </w:rPr>
              <w:t>个</w:t>
            </w:r>
            <w:r>
              <w:rPr>
                <w:rFonts w:hint="eastAsia" w:ascii="仿宋" w:hAnsi="仿宋" w:eastAsia="仿宋" w:cs="仿宋"/>
                <w:bCs/>
                <w:szCs w:val="21"/>
              </w:rPr>
              <w:t>。</w:t>
            </w:r>
          </w:p>
        </w:tc>
        <w:tc>
          <w:tcPr>
            <w:tcW w:w="1492" w:type="dxa"/>
            <w:vAlign w:val="center"/>
          </w:tcPr>
          <w:p>
            <w:pPr>
              <w:spacing w:line="500" w:lineRule="exact"/>
              <w:jc w:val="center"/>
              <w:rPr>
                <w:rFonts w:ascii="仿宋" w:hAnsi="仿宋" w:eastAsia="仿宋" w:cs="仿宋"/>
                <w:szCs w:val="21"/>
              </w:rPr>
            </w:pPr>
            <w:r>
              <w:rPr>
                <w:rFonts w:hint="eastAsia" w:ascii="仿宋" w:hAnsi="仿宋" w:eastAsia="仿宋" w:cs="仿宋"/>
                <w:szCs w:val="21"/>
                <w:lang w:val="en-US" w:eastAsia="zh-CN"/>
              </w:rPr>
              <w:t>0</w:t>
            </w:r>
            <w:r>
              <w:rPr>
                <w:rFonts w:hint="eastAsia" w:ascii="仿宋" w:hAnsi="仿宋" w:eastAsia="仿宋" w:cs="仿宋"/>
                <w:szCs w:val="21"/>
              </w:rPr>
              <w:t>个</w:t>
            </w:r>
          </w:p>
        </w:tc>
        <w:tc>
          <w:tcPr>
            <w:tcW w:w="1492" w:type="dxa"/>
            <w:vAlign w:val="center"/>
          </w:tcPr>
          <w:p>
            <w:pPr>
              <w:spacing w:line="500" w:lineRule="exact"/>
              <w:jc w:val="center"/>
              <w:rPr>
                <w:rFonts w:ascii="仿宋" w:hAnsi="仿宋" w:eastAsia="仿宋" w:cs="仿宋"/>
                <w:szCs w:val="21"/>
              </w:rPr>
            </w:pPr>
            <w:r>
              <w:rPr>
                <w:rFonts w:hint="eastAsia" w:ascii="仿宋" w:hAnsi="仿宋" w:eastAsia="仿宋" w:cs="仿宋"/>
                <w:szCs w:val="21"/>
              </w:rPr>
              <w:t>2个</w:t>
            </w:r>
          </w:p>
        </w:tc>
        <w:tc>
          <w:tcPr>
            <w:tcW w:w="1493" w:type="dxa"/>
            <w:vAlign w:val="center"/>
          </w:tcPr>
          <w:p>
            <w:pPr>
              <w:spacing w:line="500" w:lineRule="exact"/>
              <w:jc w:val="center"/>
              <w:rPr>
                <w:rFonts w:ascii="仿宋" w:hAnsi="仿宋" w:eastAsia="仿宋" w:cs="仿宋"/>
                <w:szCs w:val="21"/>
              </w:rPr>
            </w:pPr>
            <w:r>
              <w:rPr>
                <w:rFonts w:hint="eastAsia" w:ascii="仿宋" w:hAnsi="仿宋" w:eastAsia="仿宋" w:cs="仿宋"/>
                <w:szCs w:val="21"/>
                <w:lang w:val="en-US" w:eastAsia="zh-CN"/>
              </w:rPr>
              <w:t>3</w:t>
            </w:r>
            <w:r>
              <w:rPr>
                <w:rFonts w:hint="eastAsia" w:ascii="仿宋" w:hAnsi="仿宋" w:eastAsia="仿宋" w:cs="仿宋"/>
                <w:szCs w:val="21"/>
              </w:rPr>
              <w:t>个</w:t>
            </w:r>
          </w:p>
        </w:tc>
        <w:tc>
          <w:tcPr>
            <w:tcW w:w="1273" w:type="dxa"/>
            <w:vAlign w:val="center"/>
          </w:tcPr>
          <w:p>
            <w:pPr>
              <w:spacing w:line="500" w:lineRule="exact"/>
              <w:jc w:val="center"/>
              <w:rPr>
                <w:rFonts w:ascii="仿宋" w:hAnsi="仿宋" w:eastAsia="仿宋" w:cs="仿宋"/>
                <w:szCs w:val="21"/>
              </w:rPr>
            </w:pPr>
            <w:r>
              <w:rPr>
                <w:rFonts w:hint="eastAsia" w:ascii="仿宋" w:hAnsi="仿宋" w:eastAsia="仿宋" w:cs="仿宋"/>
                <w:szCs w:val="21"/>
              </w:rPr>
              <w:t>市交通运输局</w:t>
            </w:r>
          </w:p>
        </w:tc>
        <w:tc>
          <w:tcPr>
            <w:tcW w:w="2188" w:type="dxa"/>
            <w:vAlign w:val="center"/>
          </w:tcPr>
          <w:p>
            <w:pPr>
              <w:spacing w:line="500" w:lineRule="exact"/>
              <w:jc w:val="center"/>
              <w:rPr>
                <w:rFonts w:ascii="仿宋" w:hAnsi="仿宋" w:eastAsia="仿宋" w:cs="仿宋"/>
                <w:bCs/>
                <w:szCs w:val="21"/>
              </w:rPr>
            </w:pPr>
            <w:r>
              <w:rPr>
                <w:rFonts w:hint="eastAsia" w:ascii="仿宋" w:hAnsi="仿宋" w:eastAsia="仿宋" w:cs="仿宋"/>
                <w:bCs/>
                <w:szCs w:val="21"/>
              </w:rPr>
              <w:t>市发改委、市商务局、市邮政管理局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09" w:type="dxa"/>
            <w:vAlign w:val="center"/>
          </w:tcPr>
          <w:p>
            <w:pPr>
              <w:spacing w:line="460" w:lineRule="exact"/>
              <w:jc w:val="center"/>
              <w:rPr>
                <w:rFonts w:ascii="仿宋" w:hAnsi="仿宋" w:eastAsia="仿宋" w:cs="仿宋"/>
                <w:szCs w:val="21"/>
              </w:rPr>
            </w:pPr>
            <w:r>
              <w:rPr>
                <w:rFonts w:ascii="仿宋" w:hAnsi="仿宋" w:eastAsia="仿宋" w:cs="仿宋"/>
                <w:szCs w:val="21"/>
              </w:rPr>
              <w:t>10</w:t>
            </w:r>
          </w:p>
        </w:tc>
        <w:tc>
          <w:tcPr>
            <w:tcW w:w="851" w:type="dxa"/>
            <w:vMerge w:val="continue"/>
            <w:vAlign w:val="center"/>
          </w:tcPr>
          <w:p>
            <w:pPr>
              <w:spacing w:line="460" w:lineRule="exact"/>
              <w:jc w:val="center"/>
              <w:rPr>
                <w:rFonts w:ascii="仿宋" w:hAnsi="仿宋" w:eastAsia="仿宋" w:cs="仿宋"/>
                <w:bCs/>
                <w:szCs w:val="21"/>
              </w:rPr>
            </w:pPr>
          </w:p>
        </w:tc>
        <w:tc>
          <w:tcPr>
            <w:tcW w:w="2835" w:type="dxa"/>
            <w:gridSpan w:val="2"/>
            <w:vAlign w:val="center"/>
          </w:tcPr>
          <w:p>
            <w:pPr>
              <w:spacing w:line="460" w:lineRule="exact"/>
              <w:jc w:val="center"/>
              <w:rPr>
                <w:rFonts w:ascii="仿宋" w:hAnsi="仿宋" w:eastAsia="仿宋" w:cs="仿宋"/>
                <w:szCs w:val="21"/>
              </w:rPr>
            </w:pPr>
            <w:r>
              <w:rPr>
                <w:rFonts w:ascii="仿宋" w:hAnsi="仿宋" w:eastAsia="仿宋" w:cs="仿宋"/>
                <w:bCs/>
                <w:szCs w:val="21"/>
              </w:rPr>
              <w:t>投入运营的公共配送中心</w:t>
            </w:r>
            <w:r>
              <w:rPr>
                <w:rFonts w:hint="eastAsia" w:ascii="仿宋" w:hAnsi="仿宋" w:eastAsia="仿宋" w:cs="仿宋"/>
                <w:bCs/>
                <w:szCs w:val="21"/>
              </w:rPr>
              <w:t>不少于9</w:t>
            </w:r>
            <w:r>
              <w:rPr>
                <w:rFonts w:ascii="仿宋" w:hAnsi="仿宋" w:eastAsia="仿宋" w:cs="仿宋"/>
                <w:bCs/>
                <w:szCs w:val="21"/>
              </w:rPr>
              <w:t>个</w:t>
            </w:r>
            <w:r>
              <w:rPr>
                <w:rFonts w:hint="eastAsia" w:ascii="仿宋" w:hAnsi="仿宋" w:eastAsia="仿宋" w:cs="仿宋"/>
                <w:bCs/>
                <w:szCs w:val="21"/>
              </w:rPr>
              <w:t>。</w:t>
            </w:r>
          </w:p>
        </w:tc>
        <w:tc>
          <w:tcPr>
            <w:tcW w:w="1492" w:type="dxa"/>
            <w:vAlign w:val="center"/>
          </w:tcPr>
          <w:p>
            <w:pPr>
              <w:spacing w:line="460" w:lineRule="exact"/>
              <w:jc w:val="center"/>
              <w:rPr>
                <w:rFonts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个</w:t>
            </w:r>
          </w:p>
        </w:tc>
        <w:tc>
          <w:tcPr>
            <w:tcW w:w="1492" w:type="dxa"/>
            <w:vAlign w:val="center"/>
          </w:tcPr>
          <w:p>
            <w:pPr>
              <w:spacing w:line="460" w:lineRule="exact"/>
              <w:jc w:val="center"/>
              <w:rPr>
                <w:rFonts w:ascii="仿宋" w:hAnsi="仿宋" w:eastAsia="仿宋" w:cs="仿宋"/>
                <w:szCs w:val="21"/>
              </w:rPr>
            </w:pPr>
            <w:r>
              <w:rPr>
                <w:rFonts w:hint="eastAsia" w:ascii="仿宋" w:hAnsi="仿宋" w:eastAsia="仿宋" w:cs="仿宋"/>
                <w:szCs w:val="21"/>
              </w:rPr>
              <w:t>4个</w:t>
            </w:r>
          </w:p>
        </w:tc>
        <w:tc>
          <w:tcPr>
            <w:tcW w:w="1493" w:type="dxa"/>
            <w:vAlign w:val="center"/>
          </w:tcPr>
          <w:p>
            <w:pPr>
              <w:spacing w:line="460" w:lineRule="exact"/>
              <w:jc w:val="center"/>
              <w:rPr>
                <w:rFonts w:ascii="仿宋" w:hAnsi="仿宋" w:eastAsia="仿宋" w:cs="仿宋"/>
                <w:szCs w:val="21"/>
              </w:rPr>
            </w:pPr>
            <w:r>
              <w:rPr>
                <w:rFonts w:hint="eastAsia" w:ascii="仿宋" w:hAnsi="仿宋" w:eastAsia="仿宋" w:cs="仿宋"/>
                <w:szCs w:val="21"/>
                <w:lang w:val="en-US" w:eastAsia="zh-CN"/>
              </w:rPr>
              <w:t>4</w:t>
            </w:r>
            <w:r>
              <w:rPr>
                <w:rFonts w:hint="eastAsia" w:ascii="仿宋" w:hAnsi="仿宋" w:eastAsia="仿宋" w:cs="仿宋"/>
                <w:szCs w:val="21"/>
              </w:rPr>
              <w:t>个</w:t>
            </w:r>
          </w:p>
        </w:tc>
        <w:tc>
          <w:tcPr>
            <w:tcW w:w="1273" w:type="dxa"/>
            <w:vAlign w:val="center"/>
          </w:tcPr>
          <w:p>
            <w:pPr>
              <w:spacing w:line="460" w:lineRule="exact"/>
              <w:jc w:val="center"/>
              <w:rPr>
                <w:rFonts w:ascii="仿宋" w:hAnsi="仿宋" w:eastAsia="仿宋" w:cs="仿宋"/>
                <w:szCs w:val="21"/>
              </w:rPr>
            </w:pPr>
            <w:r>
              <w:rPr>
                <w:rFonts w:hint="eastAsia" w:ascii="仿宋" w:hAnsi="仿宋" w:eastAsia="仿宋" w:cs="仿宋"/>
                <w:szCs w:val="21"/>
              </w:rPr>
              <w:t>市交通运输局</w:t>
            </w:r>
          </w:p>
        </w:tc>
        <w:tc>
          <w:tcPr>
            <w:tcW w:w="2188"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市发改委、市商务局、市邮政管理局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460" w:lineRule="exact"/>
              <w:jc w:val="center"/>
              <w:rPr>
                <w:rFonts w:ascii="仿宋" w:hAnsi="仿宋" w:eastAsia="仿宋" w:cs="仿宋"/>
                <w:szCs w:val="21"/>
              </w:rPr>
            </w:pPr>
            <w:r>
              <w:rPr>
                <w:rFonts w:ascii="仿宋" w:hAnsi="仿宋" w:eastAsia="仿宋" w:cs="仿宋"/>
                <w:szCs w:val="21"/>
              </w:rPr>
              <w:t>11</w:t>
            </w:r>
          </w:p>
        </w:tc>
        <w:tc>
          <w:tcPr>
            <w:tcW w:w="851" w:type="dxa"/>
            <w:vMerge w:val="continue"/>
            <w:vAlign w:val="center"/>
          </w:tcPr>
          <w:p>
            <w:pPr>
              <w:spacing w:line="460" w:lineRule="exact"/>
              <w:jc w:val="center"/>
              <w:rPr>
                <w:rFonts w:ascii="仿宋" w:hAnsi="仿宋" w:eastAsia="仿宋" w:cs="仿宋"/>
                <w:bCs/>
                <w:szCs w:val="21"/>
              </w:rPr>
            </w:pPr>
          </w:p>
        </w:tc>
        <w:tc>
          <w:tcPr>
            <w:tcW w:w="2835" w:type="dxa"/>
            <w:gridSpan w:val="2"/>
            <w:vAlign w:val="center"/>
          </w:tcPr>
          <w:p>
            <w:pPr>
              <w:spacing w:line="460" w:lineRule="exact"/>
              <w:jc w:val="center"/>
              <w:rPr>
                <w:rFonts w:ascii="仿宋" w:hAnsi="仿宋" w:eastAsia="仿宋" w:cs="仿宋"/>
                <w:bCs/>
                <w:szCs w:val="21"/>
              </w:rPr>
            </w:pPr>
            <w:r>
              <w:rPr>
                <w:rFonts w:ascii="仿宋" w:hAnsi="仿宋" w:eastAsia="仿宋" w:cs="仿宋"/>
                <w:bCs/>
                <w:szCs w:val="21"/>
              </w:rPr>
              <w:t>建设末端公共配送站</w:t>
            </w:r>
            <w:r>
              <w:rPr>
                <w:rFonts w:hint="eastAsia" w:ascii="仿宋" w:hAnsi="仿宋" w:eastAsia="仿宋" w:cs="仿宋"/>
                <w:szCs w:val="21"/>
              </w:rPr>
              <w:t>（货物装卸点）≥</w:t>
            </w:r>
            <w:r>
              <w:rPr>
                <w:rFonts w:ascii="仿宋" w:hAnsi="仿宋" w:eastAsia="仿宋" w:cs="仿宋"/>
                <w:bCs/>
                <w:szCs w:val="21"/>
              </w:rPr>
              <w:t>80个</w:t>
            </w:r>
            <w:r>
              <w:rPr>
                <w:rFonts w:hint="eastAsia" w:ascii="仿宋" w:hAnsi="仿宋" w:eastAsia="仿宋" w:cs="仿宋"/>
                <w:bCs/>
                <w:szCs w:val="21"/>
              </w:rPr>
              <w:t>。</w:t>
            </w:r>
          </w:p>
        </w:tc>
        <w:tc>
          <w:tcPr>
            <w:tcW w:w="1492"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15个</w:t>
            </w:r>
          </w:p>
        </w:tc>
        <w:tc>
          <w:tcPr>
            <w:tcW w:w="1492"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35个</w:t>
            </w:r>
          </w:p>
        </w:tc>
        <w:tc>
          <w:tcPr>
            <w:tcW w:w="149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30个</w:t>
            </w:r>
          </w:p>
        </w:tc>
        <w:tc>
          <w:tcPr>
            <w:tcW w:w="127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市商务局</w:t>
            </w:r>
          </w:p>
        </w:tc>
        <w:tc>
          <w:tcPr>
            <w:tcW w:w="2188"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460" w:lineRule="exact"/>
              <w:jc w:val="center"/>
              <w:rPr>
                <w:rFonts w:ascii="仿宋" w:hAnsi="仿宋" w:eastAsia="仿宋" w:cs="仿宋"/>
                <w:szCs w:val="21"/>
              </w:rPr>
            </w:pPr>
            <w:r>
              <w:rPr>
                <w:rFonts w:ascii="仿宋" w:hAnsi="仿宋" w:eastAsia="仿宋" w:cs="仿宋"/>
                <w:szCs w:val="21"/>
              </w:rPr>
              <w:t>12</w:t>
            </w:r>
          </w:p>
        </w:tc>
        <w:tc>
          <w:tcPr>
            <w:tcW w:w="851" w:type="dxa"/>
            <w:vMerge w:val="restart"/>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城市货运配送车辆更新及配套设施建设</w:t>
            </w:r>
          </w:p>
        </w:tc>
        <w:tc>
          <w:tcPr>
            <w:tcW w:w="2835" w:type="dxa"/>
            <w:gridSpan w:val="2"/>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新增新能源城市配送营运车辆1000辆，新增新能源城市配送营运车辆数量占示范建设期初城市新能源配送车辆保有量的比例≥20%。</w:t>
            </w:r>
            <w:r>
              <w:rPr>
                <w:rFonts w:ascii="仿宋" w:hAnsi="仿宋" w:eastAsia="仿宋" w:cs="仿宋"/>
                <w:bCs/>
                <w:szCs w:val="21"/>
              </w:rPr>
              <w:t xml:space="preserve"> </w:t>
            </w:r>
          </w:p>
        </w:tc>
        <w:tc>
          <w:tcPr>
            <w:tcW w:w="1492"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lang w:val="en-US" w:eastAsia="zh-CN"/>
              </w:rPr>
              <w:t>5</w:t>
            </w:r>
            <w:r>
              <w:rPr>
                <w:rFonts w:hint="eastAsia" w:ascii="仿宋" w:hAnsi="仿宋" w:eastAsia="仿宋" w:cs="仿宋"/>
                <w:bCs/>
                <w:szCs w:val="21"/>
              </w:rPr>
              <w:t>0辆</w:t>
            </w:r>
          </w:p>
        </w:tc>
        <w:tc>
          <w:tcPr>
            <w:tcW w:w="1492"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lang w:val="en-US" w:eastAsia="zh-CN"/>
              </w:rPr>
              <w:t>1</w:t>
            </w:r>
            <w:r>
              <w:rPr>
                <w:rFonts w:hint="eastAsia" w:ascii="仿宋" w:hAnsi="仿宋" w:eastAsia="仿宋" w:cs="仿宋"/>
                <w:bCs/>
                <w:szCs w:val="21"/>
              </w:rPr>
              <w:t>50辆</w:t>
            </w:r>
          </w:p>
        </w:tc>
        <w:tc>
          <w:tcPr>
            <w:tcW w:w="149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lang w:val="en-US" w:eastAsia="zh-CN"/>
              </w:rPr>
              <w:t>20</w:t>
            </w:r>
            <w:r>
              <w:rPr>
                <w:rFonts w:hint="eastAsia" w:ascii="仿宋" w:hAnsi="仿宋" w:eastAsia="仿宋" w:cs="仿宋"/>
                <w:bCs/>
                <w:szCs w:val="21"/>
              </w:rPr>
              <w:t>0辆</w:t>
            </w:r>
          </w:p>
        </w:tc>
        <w:tc>
          <w:tcPr>
            <w:tcW w:w="127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市交通运输局</w:t>
            </w:r>
          </w:p>
        </w:tc>
        <w:tc>
          <w:tcPr>
            <w:tcW w:w="2188"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市财政局、市公安局、市商务局、市工信局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460" w:lineRule="exact"/>
              <w:jc w:val="center"/>
              <w:rPr>
                <w:rFonts w:ascii="仿宋" w:hAnsi="仿宋" w:eastAsia="仿宋" w:cs="仿宋"/>
                <w:szCs w:val="21"/>
              </w:rPr>
            </w:pPr>
            <w:r>
              <w:rPr>
                <w:rFonts w:ascii="仿宋" w:hAnsi="仿宋" w:eastAsia="仿宋" w:cs="仿宋"/>
                <w:szCs w:val="21"/>
              </w:rPr>
              <w:t>13</w:t>
            </w:r>
          </w:p>
        </w:tc>
        <w:tc>
          <w:tcPr>
            <w:tcW w:w="851" w:type="dxa"/>
            <w:vMerge w:val="continue"/>
            <w:vAlign w:val="center"/>
          </w:tcPr>
          <w:p>
            <w:pPr>
              <w:spacing w:line="460" w:lineRule="exact"/>
              <w:jc w:val="center"/>
              <w:rPr>
                <w:rFonts w:ascii="仿宋" w:hAnsi="仿宋" w:eastAsia="仿宋" w:cs="仿宋"/>
                <w:bCs/>
                <w:szCs w:val="21"/>
              </w:rPr>
            </w:pPr>
          </w:p>
        </w:tc>
        <w:tc>
          <w:tcPr>
            <w:tcW w:w="2835" w:type="dxa"/>
            <w:gridSpan w:val="2"/>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新能源车辆配套充电设施建设，新增充电站4座，新增充电桩200个，新能源物流配送车辆的充电桩总量的比值≤4：1。</w:t>
            </w:r>
          </w:p>
        </w:tc>
        <w:tc>
          <w:tcPr>
            <w:tcW w:w="1492"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充电站1座；充电桩30个</w:t>
            </w:r>
          </w:p>
        </w:tc>
        <w:tc>
          <w:tcPr>
            <w:tcW w:w="1492"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充电站1座；充电桩85个</w:t>
            </w:r>
          </w:p>
        </w:tc>
        <w:tc>
          <w:tcPr>
            <w:tcW w:w="149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充电站2座；充电桩85个</w:t>
            </w:r>
          </w:p>
        </w:tc>
        <w:tc>
          <w:tcPr>
            <w:tcW w:w="127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市发改委</w:t>
            </w:r>
          </w:p>
        </w:tc>
        <w:tc>
          <w:tcPr>
            <w:tcW w:w="2188"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市自然资源和规划局、市交通运输局、市城市管理局、市住建局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909" w:type="dxa"/>
            <w:vAlign w:val="center"/>
          </w:tcPr>
          <w:p>
            <w:pPr>
              <w:spacing w:line="560" w:lineRule="exact"/>
              <w:jc w:val="center"/>
              <w:rPr>
                <w:rFonts w:ascii="仿宋" w:hAnsi="仿宋" w:eastAsia="仿宋" w:cs="仿宋"/>
                <w:szCs w:val="21"/>
              </w:rPr>
            </w:pPr>
            <w:r>
              <w:rPr>
                <w:rFonts w:ascii="仿宋" w:hAnsi="仿宋" w:eastAsia="仿宋" w:cs="仿宋"/>
                <w:szCs w:val="21"/>
              </w:rPr>
              <w:t>14</w:t>
            </w:r>
          </w:p>
        </w:tc>
        <w:tc>
          <w:tcPr>
            <w:tcW w:w="851" w:type="dxa"/>
            <w:vMerge w:val="continue"/>
            <w:vAlign w:val="center"/>
          </w:tcPr>
          <w:p>
            <w:pPr>
              <w:spacing w:line="560" w:lineRule="exact"/>
              <w:jc w:val="center"/>
              <w:rPr>
                <w:rFonts w:ascii="仿宋" w:hAnsi="仿宋" w:eastAsia="仿宋" w:cs="仿宋"/>
                <w:bCs/>
                <w:szCs w:val="21"/>
              </w:rPr>
            </w:pPr>
          </w:p>
        </w:tc>
        <w:tc>
          <w:tcPr>
            <w:tcW w:w="2835" w:type="dxa"/>
            <w:gridSpan w:val="2"/>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新增冷藏保温车，使得从事冷藏保温运输的城市配送车辆数占全部城市配送车辆保有量的比例≥0.5%。</w:t>
            </w:r>
          </w:p>
        </w:tc>
        <w:tc>
          <w:tcPr>
            <w:tcW w:w="1492"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5辆</w:t>
            </w:r>
          </w:p>
        </w:tc>
        <w:tc>
          <w:tcPr>
            <w:tcW w:w="1492"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10辆</w:t>
            </w:r>
          </w:p>
        </w:tc>
        <w:tc>
          <w:tcPr>
            <w:tcW w:w="1493"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10辆</w:t>
            </w:r>
          </w:p>
        </w:tc>
        <w:tc>
          <w:tcPr>
            <w:tcW w:w="1273"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市交通运输局</w:t>
            </w:r>
          </w:p>
        </w:tc>
        <w:tc>
          <w:tcPr>
            <w:tcW w:w="2188"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市商务局、市邮政管理局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560" w:lineRule="exact"/>
              <w:jc w:val="center"/>
              <w:rPr>
                <w:rFonts w:ascii="仿宋" w:hAnsi="仿宋" w:eastAsia="仿宋" w:cs="仿宋"/>
                <w:szCs w:val="21"/>
              </w:rPr>
            </w:pPr>
            <w:r>
              <w:rPr>
                <w:rFonts w:ascii="仿宋" w:hAnsi="仿宋" w:eastAsia="仿宋" w:cs="仿宋"/>
                <w:szCs w:val="21"/>
              </w:rPr>
              <w:t>15</w:t>
            </w:r>
          </w:p>
        </w:tc>
        <w:tc>
          <w:tcPr>
            <w:tcW w:w="851" w:type="dxa"/>
            <w:vMerge w:val="continue"/>
            <w:vAlign w:val="center"/>
          </w:tcPr>
          <w:p>
            <w:pPr>
              <w:spacing w:line="560" w:lineRule="exact"/>
              <w:jc w:val="center"/>
              <w:rPr>
                <w:rFonts w:ascii="仿宋" w:hAnsi="仿宋" w:eastAsia="仿宋" w:cs="仿宋"/>
                <w:bCs/>
                <w:szCs w:val="21"/>
              </w:rPr>
            </w:pPr>
          </w:p>
        </w:tc>
        <w:tc>
          <w:tcPr>
            <w:tcW w:w="2835" w:type="dxa"/>
            <w:gridSpan w:val="2"/>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城市货运配送车辆标准化。</w:t>
            </w:r>
          </w:p>
        </w:tc>
        <w:tc>
          <w:tcPr>
            <w:tcW w:w="4477" w:type="dxa"/>
            <w:gridSpan w:val="3"/>
            <w:vAlign w:val="center"/>
          </w:tcPr>
          <w:p>
            <w:pPr>
              <w:spacing w:line="560" w:lineRule="exact"/>
              <w:jc w:val="left"/>
              <w:rPr>
                <w:rFonts w:ascii="仿宋" w:hAnsi="仿宋" w:eastAsia="仿宋" w:cs="仿宋"/>
                <w:bCs/>
                <w:szCs w:val="21"/>
              </w:rPr>
            </w:pPr>
            <w:r>
              <w:rPr>
                <w:rFonts w:hint="eastAsia" w:ascii="仿宋" w:hAnsi="仿宋" w:eastAsia="仿宋" w:cs="仿宋"/>
                <w:bCs/>
                <w:szCs w:val="21"/>
              </w:rPr>
              <w:t>规范城市货运配送车辆标识，统一城市货运配送车辆环保标准。</w:t>
            </w:r>
          </w:p>
        </w:tc>
        <w:tc>
          <w:tcPr>
            <w:tcW w:w="1273" w:type="dxa"/>
            <w:vAlign w:val="center"/>
          </w:tcPr>
          <w:p>
            <w:pPr>
              <w:spacing w:line="560" w:lineRule="exact"/>
              <w:jc w:val="left"/>
              <w:rPr>
                <w:rFonts w:ascii="仿宋" w:hAnsi="仿宋" w:eastAsia="仿宋" w:cs="仿宋"/>
                <w:bCs/>
                <w:szCs w:val="21"/>
              </w:rPr>
            </w:pPr>
            <w:r>
              <w:rPr>
                <w:rFonts w:hint="eastAsia" w:ascii="仿宋" w:hAnsi="仿宋" w:eastAsia="仿宋" w:cs="仿宋"/>
                <w:bCs/>
                <w:szCs w:val="21"/>
              </w:rPr>
              <w:t>市交通运输局、市邮政管理局</w:t>
            </w:r>
          </w:p>
        </w:tc>
        <w:tc>
          <w:tcPr>
            <w:tcW w:w="2188"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w:t>
            </w:r>
            <w:r>
              <w:rPr>
                <w:rFonts w:hint="eastAsia" w:ascii="仿宋" w:hAnsi="仿宋" w:eastAsia="仿宋" w:cs="仿宋"/>
                <w:bCs/>
                <w:szCs w:val="21"/>
                <w:lang w:val="zh-CN"/>
              </w:rPr>
              <w:t>公安局、市工信局</w:t>
            </w:r>
            <w:r>
              <w:rPr>
                <w:rFonts w:hint="eastAsia" w:ascii="仿宋" w:hAnsi="仿宋" w:eastAsia="仿宋" w:cs="仿宋"/>
                <w:bCs/>
                <w:szCs w:val="21"/>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560" w:lineRule="exact"/>
              <w:jc w:val="center"/>
              <w:rPr>
                <w:rFonts w:ascii="仿宋" w:hAnsi="仿宋" w:eastAsia="仿宋" w:cs="仿宋"/>
                <w:szCs w:val="21"/>
              </w:rPr>
            </w:pPr>
            <w:r>
              <w:rPr>
                <w:rFonts w:ascii="仿宋" w:hAnsi="仿宋" w:eastAsia="仿宋" w:cs="仿宋"/>
                <w:szCs w:val="21"/>
              </w:rPr>
              <w:t>16</w:t>
            </w:r>
          </w:p>
        </w:tc>
        <w:tc>
          <w:tcPr>
            <w:tcW w:w="851" w:type="dxa"/>
            <w:vAlign w:val="center"/>
          </w:tcPr>
          <w:p>
            <w:pPr>
              <w:spacing w:line="560" w:lineRule="exact"/>
              <w:jc w:val="center"/>
              <w:rPr>
                <w:rFonts w:ascii="仿宋" w:hAnsi="仿宋" w:eastAsia="仿宋" w:cs="仿宋"/>
                <w:bCs/>
                <w:szCs w:val="21"/>
              </w:rPr>
            </w:pPr>
          </w:p>
        </w:tc>
        <w:tc>
          <w:tcPr>
            <w:tcW w:w="2835" w:type="dxa"/>
            <w:gridSpan w:val="2"/>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快递专用电动三轮车实行“五统一”</w:t>
            </w:r>
          </w:p>
        </w:tc>
        <w:tc>
          <w:tcPr>
            <w:tcW w:w="4477" w:type="dxa"/>
            <w:gridSpan w:val="3"/>
            <w:vAlign w:val="center"/>
          </w:tcPr>
          <w:p>
            <w:pPr>
              <w:spacing w:line="560" w:lineRule="exact"/>
              <w:jc w:val="left"/>
              <w:rPr>
                <w:rFonts w:ascii="仿宋" w:hAnsi="仿宋" w:eastAsia="仿宋" w:cs="仿宋"/>
                <w:bCs/>
                <w:szCs w:val="21"/>
              </w:rPr>
            </w:pPr>
            <w:r>
              <w:rPr>
                <w:rFonts w:hint="eastAsia" w:ascii="仿宋" w:hAnsi="仿宋" w:eastAsia="仿宋" w:cs="仿宋"/>
                <w:bCs/>
                <w:szCs w:val="21"/>
              </w:rPr>
              <w:t>统一登记、统一外观、统一涂装、统一车辆标准、统一购买保险</w:t>
            </w:r>
          </w:p>
        </w:tc>
        <w:tc>
          <w:tcPr>
            <w:tcW w:w="1273" w:type="dxa"/>
            <w:vAlign w:val="center"/>
          </w:tcPr>
          <w:p>
            <w:pPr>
              <w:spacing w:line="560" w:lineRule="exact"/>
              <w:jc w:val="left"/>
              <w:rPr>
                <w:rFonts w:ascii="仿宋" w:hAnsi="仿宋" w:eastAsia="仿宋" w:cs="仿宋"/>
                <w:bCs/>
                <w:szCs w:val="21"/>
              </w:rPr>
            </w:pPr>
            <w:r>
              <w:rPr>
                <w:rFonts w:hint="eastAsia" w:ascii="仿宋" w:hAnsi="仿宋" w:eastAsia="仿宋" w:cs="仿宋"/>
                <w:bCs/>
                <w:szCs w:val="21"/>
              </w:rPr>
              <w:t>市交通运输局、市邮政管理局</w:t>
            </w:r>
          </w:p>
        </w:tc>
        <w:tc>
          <w:tcPr>
            <w:tcW w:w="2188"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w:t>
            </w:r>
            <w:r>
              <w:rPr>
                <w:rFonts w:hint="eastAsia" w:ascii="仿宋" w:hAnsi="仿宋" w:eastAsia="仿宋" w:cs="仿宋"/>
                <w:bCs/>
                <w:szCs w:val="21"/>
                <w:lang w:val="zh-CN"/>
              </w:rPr>
              <w:t>公安局、市商务局</w:t>
            </w:r>
            <w:r>
              <w:rPr>
                <w:rFonts w:hint="eastAsia" w:ascii="仿宋" w:hAnsi="仿宋" w:eastAsia="仿宋" w:cs="仿宋"/>
                <w:bCs/>
                <w:szCs w:val="21"/>
              </w:rPr>
              <w:t>、市工信局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560" w:lineRule="exact"/>
              <w:jc w:val="center"/>
              <w:rPr>
                <w:rFonts w:ascii="仿宋" w:hAnsi="仿宋" w:eastAsia="仿宋" w:cs="仿宋"/>
                <w:szCs w:val="21"/>
              </w:rPr>
            </w:pPr>
            <w:r>
              <w:rPr>
                <w:rFonts w:ascii="仿宋" w:hAnsi="仿宋" w:eastAsia="仿宋" w:cs="仿宋"/>
                <w:szCs w:val="21"/>
              </w:rPr>
              <w:t>17</w:t>
            </w:r>
          </w:p>
        </w:tc>
        <w:tc>
          <w:tcPr>
            <w:tcW w:w="851" w:type="dxa"/>
            <w:vMerge w:val="restart"/>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便利通行政策</w:t>
            </w:r>
          </w:p>
        </w:tc>
        <w:tc>
          <w:tcPr>
            <w:tcW w:w="1276" w:type="dxa"/>
            <w:vMerge w:val="restart"/>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新能源物流配送车辆便利通行政策</w:t>
            </w:r>
          </w:p>
        </w:tc>
        <w:tc>
          <w:tcPr>
            <w:tcW w:w="1559"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综合性政策</w:t>
            </w:r>
          </w:p>
        </w:tc>
        <w:tc>
          <w:tcPr>
            <w:tcW w:w="4477" w:type="dxa"/>
            <w:gridSpan w:val="3"/>
            <w:vAlign w:val="center"/>
          </w:tcPr>
          <w:p>
            <w:pPr>
              <w:spacing w:line="560" w:lineRule="exact"/>
              <w:jc w:val="left"/>
              <w:rPr>
                <w:rFonts w:ascii="仿宋" w:hAnsi="仿宋" w:eastAsia="仿宋" w:cs="仿宋"/>
                <w:bCs/>
                <w:szCs w:val="21"/>
              </w:rPr>
            </w:pPr>
            <w:r>
              <w:rPr>
                <w:rFonts w:hint="eastAsia" w:ascii="仿宋" w:hAnsi="仿宋" w:eastAsia="仿宋" w:cs="仿宋"/>
                <w:bCs/>
                <w:szCs w:val="21"/>
              </w:rPr>
              <w:t>制定促进城市绿色货运配送发展，鼓励推广使用新能源城市配送车辆的综合性政策。</w:t>
            </w:r>
          </w:p>
        </w:tc>
        <w:tc>
          <w:tcPr>
            <w:tcW w:w="1273" w:type="dxa"/>
            <w:vAlign w:val="center"/>
          </w:tcPr>
          <w:p>
            <w:pPr>
              <w:spacing w:line="560" w:lineRule="exact"/>
              <w:jc w:val="left"/>
              <w:rPr>
                <w:rFonts w:ascii="仿宋" w:hAnsi="仿宋" w:eastAsia="仿宋" w:cs="仿宋"/>
                <w:bCs/>
                <w:szCs w:val="21"/>
              </w:rPr>
            </w:pPr>
            <w:r>
              <w:rPr>
                <w:rFonts w:hint="eastAsia" w:ascii="仿宋" w:hAnsi="仿宋" w:eastAsia="仿宋" w:cs="仿宋"/>
                <w:bCs/>
                <w:szCs w:val="21"/>
              </w:rPr>
              <w:t>市交通运输局</w:t>
            </w:r>
          </w:p>
        </w:tc>
        <w:tc>
          <w:tcPr>
            <w:tcW w:w="2188"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市公安局、市财政局、市商务局、市邮政管理局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460" w:lineRule="exact"/>
              <w:jc w:val="center"/>
              <w:rPr>
                <w:rFonts w:ascii="仿宋" w:hAnsi="仿宋" w:eastAsia="仿宋" w:cs="仿宋"/>
                <w:szCs w:val="21"/>
              </w:rPr>
            </w:pPr>
            <w:r>
              <w:rPr>
                <w:rFonts w:ascii="仿宋" w:hAnsi="仿宋" w:eastAsia="仿宋" w:cs="仿宋"/>
                <w:szCs w:val="21"/>
              </w:rPr>
              <w:t>18</w:t>
            </w:r>
          </w:p>
        </w:tc>
        <w:tc>
          <w:tcPr>
            <w:tcW w:w="851" w:type="dxa"/>
            <w:vMerge w:val="continue"/>
            <w:vAlign w:val="center"/>
          </w:tcPr>
          <w:p>
            <w:pPr>
              <w:spacing w:line="460" w:lineRule="exact"/>
              <w:jc w:val="center"/>
              <w:rPr>
                <w:rFonts w:ascii="仿宋" w:hAnsi="仿宋" w:eastAsia="仿宋" w:cs="仿宋"/>
                <w:bCs/>
                <w:szCs w:val="21"/>
              </w:rPr>
            </w:pPr>
          </w:p>
        </w:tc>
        <w:tc>
          <w:tcPr>
            <w:tcW w:w="1276" w:type="dxa"/>
            <w:vMerge w:val="continue"/>
            <w:vAlign w:val="center"/>
          </w:tcPr>
          <w:p>
            <w:pPr>
              <w:spacing w:line="460" w:lineRule="exact"/>
              <w:jc w:val="center"/>
              <w:rPr>
                <w:rFonts w:ascii="仿宋" w:hAnsi="仿宋" w:eastAsia="仿宋" w:cs="仿宋"/>
                <w:bCs/>
                <w:szCs w:val="21"/>
              </w:rPr>
            </w:pPr>
          </w:p>
        </w:tc>
        <w:tc>
          <w:tcPr>
            <w:tcW w:w="1559"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通行便利政策</w:t>
            </w:r>
          </w:p>
        </w:tc>
        <w:tc>
          <w:tcPr>
            <w:tcW w:w="4477" w:type="dxa"/>
            <w:gridSpan w:val="3"/>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与传统燃油城市配送车辆相比，为新能源物流配送车辆制定并实施更加优惠和便利的通行政策。</w:t>
            </w:r>
          </w:p>
        </w:tc>
        <w:tc>
          <w:tcPr>
            <w:tcW w:w="127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市公安局</w:t>
            </w:r>
          </w:p>
        </w:tc>
        <w:tc>
          <w:tcPr>
            <w:tcW w:w="2188"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市城市管理局、市生态环境局、市交通运输局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460" w:lineRule="exact"/>
              <w:jc w:val="center"/>
              <w:rPr>
                <w:rFonts w:ascii="仿宋" w:hAnsi="仿宋" w:eastAsia="仿宋" w:cs="仿宋"/>
                <w:szCs w:val="21"/>
              </w:rPr>
            </w:pPr>
            <w:r>
              <w:rPr>
                <w:rFonts w:ascii="仿宋" w:hAnsi="仿宋" w:eastAsia="仿宋" w:cs="仿宋"/>
                <w:szCs w:val="21"/>
              </w:rPr>
              <w:t>19</w:t>
            </w:r>
          </w:p>
        </w:tc>
        <w:tc>
          <w:tcPr>
            <w:tcW w:w="851" w:type="dxa"/>
            <w:vMerge w:val="continue"/>
            <w:vAlign w:val="center"/>
          </w:tcPr>
          <w:p>
            <w:pPr>
              <w:spacing w:line="460" w:lineRule="exact"/>
              <w:jc w:val="center"/>
              <w:rPr>
                <w:rFonts w:ascii="仿宋" w:hAnsi="仿宋" w:eastAsia="仿宋" w:cs="仿宋"/>
                <w:bCs/>
                <w:szCs w:val="21"/>
              </w:rPr>
            </w:pPr>
          </w:p>
        </w:tc>
        <w:tc>
          <w:tcPr>
            <w:tcW w:w="1276" w:type="dxa"/>
            <w:vMerge w:val="continue"/>
            <w:vAlign w:val="center"/>
          </w:tcPr>
          <w:p>
            <w:pPr>
              <w:spacing w:line="460" w:lineRule="exact"/>
              <w:jc w:val="center"/>
              <w:rPr>
                <w:rFonts w:ascii="仿宋" w:hAnsi="仿宋" w:eastAsia="仿宋" w:cs="仿宋"/>
                <w:bCs/>
                <w:szCs w:val="21"/>
              </w:rPr>
            </w:pPr>
          </w:p>
        </w:tc>
        <w:tc>
          <w:tcPr>
            <w:tcW w:w="1559"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新增设置城市货运配送车辆临时停靠点数量≥80个。</w:t>
            </w:r>
          </w:p>
        </w:tc>
        <w:tc>
          <w:tcPr>
            <w:tcW w:w="1492"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lang w:val="en-US" w:eastAsia="zh-CN"/>
              </w:rPr>
              <w:t>1</w:t>
            </w:r>
            <w:r>
              <w:rPr>
                <w:rFonts w:hint="eastAsia" w:ascii="仿宋" w:hAnsi="仿宋" w:eastAsia="仿宋" w:cs="仿宋"/>
                <w:bCs/>
                <w:szCs w:val="21"/>
              </w:rPr>
              <w:t>0个</w:t>
            </w:r>
          </w:p>
        </w:tc>
        <w:tc>
          <w:tcPr>
            <w:tcW w:w="1492"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lang w:val="en-US" w:eastAsia="zh-CN"/>
              </w:rPr>
              <w:t>2</w:t>
            </w:r>
            <w:r>
              <w:rPr>
                <w:rFonts w:hint="eastAsia" w:ascii="仿宋" w:hAnsi="仿宋" w:eastAsia="仿宋" w:cs="仿宋"/>
                <w:bCs/>
                <w:szCs w:val="21"/>
              </w:rPr>
              <w:t>0个</w:t>
            </w:r>
          </w:p>
        </w:tc>
        <w:tc>
          <w:tcPr>
            <w:tcW w:w="149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lang w:val="en-US" w:eastAsia="zh-CN"/>
              </w:rPr>
              <w:t>5</w:t>
            </w:r>
            <w:r>
              <w:rPr>
                <w:rFonts w:hint="eastAsia" w:ascii="仿宋" w:hAnsi="仿宋" w:eastAsia="仿宋" w:cs="仿宋"/>
                <w:bCs/>
                <w:szCs w:val="21"/>
              </w:rPr>
              <w:t>0个</w:t>
            </w:r>
          </w:p>
        </w:tc>
        <w:tc>
          <w:tcPr>
            <w:tcW w:w="127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市交通运输局</w:t>
            </w:r>
          </w:p>
        </w:tc>
        <w:tc>
          <w:tcPr>
            <w:tcW w:w="2188"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市公安局、市城市管理局、市商务局、</w:t>
            </w:r>
            <w:r>
              <w:rPr>
                <w:rFonts w:hint="eastAsia" w:ascii="仿宋" w:hAnsi="仿宋" w:eastAsia="仿宋" w:cs="仿宋"/>
                <w:bCs/>
                <w:szCs w:val="21"/>
                <w:lang w:val="zh-CN"/>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460" w:lineRule="exact"/>
              <w:jc w:val="center"/>
              <w:rPr>
                <w:rFonts w:ascii="仿宋" w:hAnsi="仿宋" w:eastAsia="仿宋" w:cs="仿宋"/>
                <w:szCs w:val="21"/>
              </w:rPr>
            </w:pPr>
            <w:r>
              <w:rPr>
                <w:rFonts w:hint="eastAsia" w:ascii="仿宋" w:hAnsi="仿宋" w:eastAsia="仿宋" w:cs="仿宋"/>
                <w:szCs w:val="21"/>
              </w:rPr>
              <w:t>20</w:t>
            </w:r>
          </w:p>
        </w:tc>
        <w:tc>
          <w:tcPr>
            <w:tcW w:w="851" w:type="dxa"/>
            <w:vMerge w:val="continue"/>
            <w:vAlign w:val="center"/>
          </w:tcPr>
          <w:p>
            <w:pPr>
              <w:spacing w:line="460" w:lineRule="exact"/>
              <w:jc w:val="center"/>
              <w:rPr>
                <w:rFonts w:ascii="仿宋" w:hAnsi="仿宋" w:eastAsia="仿宋" w:cs="仿宋"/>
                <w:bCs/>
                <w:szCs w:val="21"/>
              </w:rPr>
            </w:pPr>
          </w:p>
        </w:tc>
        <w:tc>
          <w:tcPr>
            <w:tcW w:w="1276" w:type="dxa"/>
            <w:vMerge w:val="continue"/>
            <w:vAlign w:val="center"/>
          </w:tcPr>
          <w:p>
            <w:pPr>
              <w:spacing w:line="460" w:lineRule="exact"/>
              <w:jc w:val="center"/>
              <w:rPr>
                <w:rFonts w:ascii="仿宋" w:hAnsi="仿宋" w:eastAsia="仿宋" w:cs="仿宋"/>
                <w:bCs/>
                <w:szCs w:val="21"/>
              </w:rPr>
            </w:pPr>
          </w:p>
        </w:tc>
        <w:tc>
          <w:tcPr>
            <w:tcW w:w="1559"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停车收费政策</w:t>
            </w:r>
          </w:p>
        </w:tc>
        <w:tc>
          <w:tcPr>
            <w:tcW w:w="4477" w:type="dxa"/>
            <w:gridSpan w:val="3"/>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传统燃油城市配送车辆相比，为新能源物流配送车辆制定并实施更加优惠的停车政策。</w:t>
            </w:r>
          </w:p>
        </w:tc>
        <w:tc>
          <w:tcPr>
            <w:tcW w:w="127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市发改委</w:t>
            </w:r>
          </w:p>
        </w:tc>
        <w:tc>
          <w:tcPr>
            <w:tcW w:w="2188"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460" w:lineRule="exact"/>
              <w:jc w:val="center"/>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1</w:t>
            </w:r>
          </w:p>
        </w:tc>
        <w:tc>
          <w:tcPr>
            <w:tcW w:w="851" w:type="dxa"/>
            <w:vMerge w:val="continue"/>
            <w:vAlign w:val="center"/>
          </w:tcPr>
          <w:p>
            <w:pPr>
              <w:spacing w:line="460" w:lineRule="exact"/>
              <w:jc w:val="center"/>
              <w:rPr>
                <w:rFonts w:ascii="仿宋" w:hAnsi="仿宋" w:eastAsia="仿宋" w:cs="仿宋"/>
                <w:bCs/>
                <w:szCs w:val="21"/>
              </w:rPr>
            </w:pPr>
          </w:p>
        </w:tc>
        <w:tc>
          <w:tcPr>
            <w:tcW w:w="2835" w:type="dxa"/>
            <w:gridSpan w:val="2"/>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城市货运配送需求调查预测制度</w:t>
            </w:r>
          </w:p>
        </w:tc>
        <w:tc>
          <w:tcPr>
            <w:tcW w:w="4477" w:type="dxa"/>
            <w:gridSpan w:val="3"/>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开展城市货运配送需求调查，强化城市配送运力需求管理，形成城市货运配送需求现状及未来发展分析报告。</w:t>
            </w:r>
          </w:p>
        </w:tc>
        <w:tc>
          <w:tcPr>
            <w:tcW w:w="127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lang w:val="zh-CN"/>
              </w:rPr>
              <w:t>市商务局</w:t>
            </w:r>
          </w:p>
        </w:tc>
        <w:tc>
          <w:tcPr>
            <w:tcW w:w="2188"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市交通运输局</w:t>
            </w:r>
            <w:r>
              <w:rPr>
                <w:rFonts w:hint="eastAsia" w:ascii="仿宋" w:hAnsi="仿宋" w:eastAsia="仿宋" w:cs="仿宋"/>
                <w:bCs/>
                <w:szCs w:val="21"/>
                <w:lang w:val="zh-CN"/>
              </w:rPr>
              <w:t>、市邮政管理局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460" w:lineRule="exact"/>
              <w:jc w:val="center"/>
              <w:rPr>
                <w:rFonts w:ascii="仿宋" w:hAnsi="仿宋" w:eastAsia="仿宋" w:cs="仿宋"/>
                <w:szCs w:val="21"/>
              </w:rPr>
            </w:pPr>
            <w:r>
              <w:rPr>
                <w:rFonts w:hint="eastAsia" w:ascii="仿宋" w:hAnsi="仿宋" w:eastAsia="仿宋" w:cs="仿宋"/>
                <w:szCs w:val="21"/>
              </w:rPr>
              <w:t>22</w:t>
            </w:r>
          </w:p>
        </w:tc>
        <w:tc>
          <w:tcPr>
            <w:tcW w:w="851"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先进配送组织模式</w:t>
            </w:r>
          </w:p>
        </w:tc>
        <w:tc>
          <w:tcPr>
            <w:tcW w:w="2835" w:type="dxa"/>
            <w:gridSpan w:val="2"/>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共同（集中、夜间）配送</w:t>
            </w:r>
          </w:p>
        </w:tc>
        <w:tc>
          <w:tcPr>
            <w:tcW w:w="4477" w:type="dxa"/>
            <w:gridSpan w:val="3"/>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建立重点商超企业配送相关数据报送机制；大型超市（卖场）、连锁店等商贸流通企业采用共同（集中、夜间）配送的比例≥50%。</w:t>
            </w:r>
          </w:p>
        </w:tc>
        <w:tc>
          <w:tcPr>
            <w:tcW w:w="1273"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市商务局</w:t>
            </w:r>
          </w:p>
        </w:tc>
        <w:tc>
          <w:tcPr>
            <w:tcW w:w="2188" w:type="dxa"/>
            <w:vAlign w:val="center"/>
          </w:tcPr>
          <w:p>
            <w:pPr>
              <w:spacing w:line="460" w:lineRule="exact"/>
              <w:jc w:val="center"/>
              <w:rPr>
                <w:rFonts w:ascii="仿宋" w:hAnsi="仿宋" w:eastAsia="仿宋" w:cs="仿宋"/>
                <w:bCs/>
                <w:szCs w:val="21"/>
              </w:rPr>
            </w:pPr>
            <w:r>
              <w:rPr>
                <w:rFonts w:hint="eastAsia" w:ascii="仿宋" w:hAnsi="仿宋" w:eastAsia="仿宋" w:cs="仿宋"/>
                <w:bCs/>
                <w:szCs w:val="21"/>
              </w:rPr>
              <w:t>市交通运输局、市邮政管理局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23</w:t>
            </w:r>
          </w:p>
        </w:tc>
        <w:tc>
          <w:tcPr>
            <w:tcW w:w="851" w:type="dxa"/>
            <w:vMerge w:val="restart"/>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信息化建设</w:t>
            </w:r>
          </w:p>
        </w:tc>
        <w:tc>
          <w:tcPr>
            <w:tcW w:w="2835" w:type="dxa"/>
            <w:gridSpan w:val="2"/>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建设货运配送公共信息服务平台1个。</w:t>
            </w:r>
          </w:p>
        </w:tc>
        <w:tc>
          <w:tcPr>
            <w:tcW w:w="1492"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0个</w:t>
            </w:r>
          </w:p>
        </w:tc>
        <w:tc>
          <w:tcPr>
            <w:tcW w:w="1492"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0个</w:t>
            </w:r>
          </w:p>
        </w:tc>
        <w:tc>
          <w:tcPr>
            <w:tcW w:w="1493"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1 个</w:t>
            </w:r>
          </w:p>
        </w:tc>
        <w:tc>
          <w:tcPr>
            <w:tcW w:w="1273"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市交通运输局</w:t>
            </w:r>
          </w:p>
        </w:tc>
        <w:tc>
          <w:tcPr>
            <w:tcW w:w="2188"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市商务局、市政数局市城市管理局、市邮政管理局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560" w:lineRule="exact"/>
              <w:jc w:val="center"/>
              <w:rPr>
                <w:rFonts w:ascii="仿宋" w:hAnsi="仿宋" w:eastAsia="仿宋" w:cs="仿宋"/>
                <w:szCs w:val="21"/>
              </w:rPr>
            </w:pPr>
            <w:r>
              <w:rPr>
                <w:rFonts w:hint="eastAsia" w:ascii="仿宋" w:hAnsi="仿宋" w:eastAsia="仿宋" w:cs="仿宋"/>
                <w:szCs w:val="21"/>
              </w:rPr>
              <w:t>24</w:t>
            </w:r>
          </w:p>
        </w:tc>
        <w:tc>
          <w:tcPr>
            <w:tcW w:w="851" w:type="dxa"/>
            <w:vMerge w:val="continue"/>
            <w:vAlign w:val="center"/>
          </w:tcPr>
          <w:p>
            <w:pPr>
              <w:spacing w:line="560" w:lineRule="exact"/>
              <w:jc w:val="center"/>
              <w:rPr>
                <w:rFonts w:ascii="仿宋" w:hAnsi="仿宋" w:eastAsia="仿宋" w:cs="仿宋"/>
                <w:bCs/>
                <w:szCs w:val="21"/>
              </w:rPr>
            </w:pPr>
          </w:p>
        </w:tc>
        <w:tc>
          <w:tcPr>
            <w:tcW w:w="2835" w:type="dxa"/>
            <w:gridSpan w:val="2"/>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企业城市配送信息系统2个</w:t>
            </w:r>
          </w:p>
        </w:tc>
        <w:tc>
          <w:tcPr>
            <w:tcW w:w="1492"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0个</w:t>
            </w:r>
          </w:p>
        </w:tc>
        <w:tc>
          <w:tcPr>
            <w:tcW w:w="1492"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1个</w:t>
            </w:r>
          </w:p>
        </w:tc>
        <w:tc>
          <w:tcPr>
            <w:tcW w:w="1493"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1个</w:t>
            </w:r>
          </w:p>
        </w:tc>
        <w:tc>
          <w:tcPr>
            <w:tcW w:w="1273"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市交通运输局</w:t>
            </w:r>
          </w:p>
        </w:tc>
        <w:tc>
          <w:tcPr>
            <w:tcW w:w="2188"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市商务局、市邮政管理局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560" w:lineRule="exact"/>
              <w:jc w:val="center"/>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5</w:t>
            </w:r>
          </w:p>
        </w:tc>
        <w:tc>
          <w:tcPr>
            <w:tcW w:w="851"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市场主体培育</w:t>
            </w:r>
          </w:p>
        </w:tc>
        <w:tc>
          <w:tcPr>
            <w:tcW w:w="2835" w:type="dxa"/>
            <w:gridSpan w:val="2"/>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培育运作高效、服务规范的AAA级（含）以上专业城市配送企业≥3家。</w:t>
            </w:r>
          </w:p>
        </w:tc>
        <w:tc>
          <w:tcPr>
            <w:tcW w:w="1492"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lang w:val="en-US" w:eastAsia="zh-CN"/>
              </w:rPr>
              <w:t>0</w:t>
            </w:r>
            <w:r>
              <w:rPr>
                <w:rFonts w:hint="eastAsia" w:ascii="仿宋" w:hAnsi="仿宋" w:eastAsia="仿宋" w:cs="仿宋"/>
                <w:bCs/>
                <w:szCs w:val="21"/>
              </w:rPr>
              <w:t>家</w:t>
            </w:r>
          </w:p>
        </w:tc>
        <w:tc>
          <w:tcPr>
            <w:tcW w:w="1492"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1家</w:t>
            </w:r>
          </w:p>
        </w:tc>
        <w:tc>
          <w:tcPr>
            <w:tcW w:w="1493"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lang w:val="en-US" w:eastAsia="zh-CN"/>
              </w:rPr>
              <w:t>2</w:t>
            </w:r>
            <w:r>
              <w:rPr>
                <w:rFonts w:hint="eastAsia" w:ascii="仿宋" w:hAnsi="仿宋" w:eastAsia="仿宋" w:cs="仿宋"/>
                <w:bCs/>
                <w:szCs w:val="21"/>
              </w:rPr>
              <w:t>家</w:t>
            </w:r>
          </w:p>
        </w:tc>
        <w:tc>
          <w:tcPr>
            <w:tcW w:w="1273"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市交通运输局</w:t>
            </w:r>
          </w:p>
        </w:tc>
        <w:tc>
          <w:tcPr>
            <w:tcW w:w="2188" w:type="dxa"/>
            <w:vAlign w:val="center"/>
          </w:tcPr>
          <w:p>
            <w:pPr>
              <w:spacing w:line="560" w:lineRule="exact"/>
              <w:jc w:val="center"/>
              <w:rPr>
                <w:rFonts w:ascii="仿宋" w:hAnsi="仿宋" w:eastAsia="仿宋" w:cs="仿宋"/>
                <w:bCs/>
                <w:szCs w:val="21"/>
              </w:rPr>
            </w:pPr>
            <w:r>
              <w:rPr>
                <w:rFonts w:hint="eastAsia" w:ascii="仿宋" w:hAnsi="仿宋" w:eastAsia="仿宋" w:cs="仿宋"/>
                <w:bCs/>
                <w:szCs w:val="21"/>
              </w:rPr>
              <w:t>市商务局、市邮政管理局、市市场监督管理局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360" w:lineRule="auto"/>
              <w:jc w:val="center"/>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6</w:t>
            </w:r>
          </w:p>
        </w:tc>
        <w:tc>
          <w:tcPr>
            <w:tcW w:w="851" w:type="dxa"/>
            <w:vMerge w:val="restart"/>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物流降本增效</w:t>
            </w:r>
          </w:p>
        </w:tc>
        <w:tc>
          <w:tcPr>
            <w:tcW w:w="2835" w:type="dxa"/>
            <w:gridSpan w:val="2"/>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城市货运配送成本</w:t>
            </w:r>
          </w:p>
        </w:tc>
        <w:tc>
          <w:tcPr>
            <w:tcW w:w="4477" w:type="dxa"/>
            <w:gridSpan w:val="3"/>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示范期末，城市配送吨公里运输成本较示范建设期初降低的比例≥10%。</w:t>
            </w:r>
          </w:p>
        </w:tc>
        <w:tc>
          <w:tcPr>
            <w:tcW w:w="1273" w:type="dxa"/>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市交通运输局</w:t>
            </w:r>
          </w:p>
        </w:tc>
        <w:tc>
          <w:tcPr>
            <w:tcW w:w="2188" w:type="dxa"/>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市商务局、市邮政管理局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360" w:lineRule="auto"/>
              <w:jc w:val="center"/>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7</w:t>
            </w:r>
          </w:p>
        </w:tc>
        <w:tc>
          <w:tcPr>
            <w:tcW w:w="851" w:type="dxa"/>
            <w:vMerge w:val="continue"/>
            <w:vAlign w:val="center"/>
          </w:tcPr>
          <w:p>
            <w:pPr>
              <w:spacing w:line="360" w:lineRule="auto"/>
              <w:jc w:val="center"/>
              <w:rPr>
                <w:rFonts w:ascii="仿宋" w:hAnsi="仿宋" w:eastAsia="仿宋" w:cs="仿宋"/>
                <w:bCs/>
                <w:szCs w:val="21"/>
              </w:rPr>
            </w:pPr>
          </w:p>
        </w:tc>
        <w:tc>
          <w:tcPr>
            <w:tcW w:w="2835" w:type="dxa"/>
            <w:gridSpan w:val="2"/>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城市货运配送车辆利用效率</w:t>
            </w:r>
          </w:p>
        </w:tc>
        <w:tc>
          <w:tcPr>
            <w:tcW w:w="4477" w:type="dxa"/>
            <w:gridSpan w:val="3"/>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示范期末，城市配送车辆平均日单车行驶里程较示范建设期初提高的比率≥20%。</w:t>
            </w:r>
          </w:p>
        </w:tc>
        <w:tc>
          <w:tcPr>
            <w:tcW w:w="1273" w:type="dxa"/>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市交通运输局</w:t>
            </w:r>
          </w:p>
        </w:tc>
        <w:tc>
          <w:tcPr>
            <w:tcW w:w="2188" w:type="dxa"/>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市商务局、市邮政管理局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28</w:t>
            </w:r>
          </w:p>
        </w:tc>
        <w:tc>
          <w:tcPr>
            <w:tcW w:w="851" w:type="dxa"/>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货运节能减排</w:t>
            </w:r>
          </w:p>
        </w:tc>
        <w:tc>
          <w:tcPr>
            <w:tcW w:w="2835" w:type="dxa"/>
            <w:gridSpan w:val="2"/>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城市货运配送车辆单位周转量能耗</w:t>
            </w:r>
          </w:p>
        </w:tc>
        <w:tc>
          <w:tcPr>
            <w:tcW w:w="4477" w:type="dxa"/>
            <w:gridSpan w:val="3"/>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示范期末，城市配送车辆百吨公里周转量燃料消耗较示范建设期初降低的比例≥3%。</w:t>
            </w:r>
          </w:p>
        </w:tc>
        <w:tc>
          <w:tcPr>
            <w:tcW w:w="1273" w:type="dxa"/>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市交通运输局</w:t>
            </w:r>
          </w:p>
        </w:tc>
        <w:tc>
          <w:tcPr>
            <w:tcW w:w="2188" w:type="dxa"/>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市商务局、市邮政管理局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09" w:type="dxa"/>
            <w:vAlign w:val="center"/>
          </w:tcPr>
          <w:p>
            <w:pPr>
              <w:spacing w:line="360" w:lineRule="auto"/>
              <w:jc w:val="center"/>
              <w:rPr>
                <w:rFonts w:ascii="仿宋" w:hAnsi="仿宋" w:eastAsia="仿宋" w:cs="仿宋"/>
                <w:szCs w:val="21"/>
              </w:rPr>
            </w:pPr>
            <w:r>
              <w:rPr>
                <w:rFonts w:hint="eastAsia" w:ascii="仿宋" w:hAnsi="仿宋" w:eastAsia="仿宋" w:cs="仿宋"/>
                <w:szCs w:val="21"/>
              </w:rPr>
              <w:t>29</w:t>
            </w:r>
          </w:p>
        </w:tc>
        <w:tc>
          <w:tcPr>
            <w:tcW w:w="851" w:type="dxa"/>
            <w:vAlign w:val="center"/>
          </w:tcPr>
          <w:p>
            <w:pPr>
              <w:spacing w:line="360" w:lineRule="auto"/>
              <w:jc w:val="center"/>
              <w:rPr>
                <w:rFonts w:ascii="仿宋" w:hAnsi="仿宋" w:eastAsia="仿宋" w:cs="仿宋"/>
                <w:bCs/>
                <w:szCs w:val="21"/>
              </w:rPr>
            </w:pPr>
            <w:r>
              <w:rPr>
                <w:rFonts w:hint="eastAsia" w:ascii="仿宋" w:hAnsi="仿宋" w:eastAsia="仿宋" w:cs="仿宋"/>
                <w:szCs w:val="21"/>
              </w:rPr>
              <w:t>违规主体查处</w:t>
            </w:r>
          </w:p>
        </w:tc>
        <w:tc>
          <w:tcPr>
            <w:tcW w:w="2835" w:type="dxa"/>
            <w:gridSpan w:val="2"/>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加大对非法违规改装、超载超限、黄标车、无证运输等城市配送车辆查处与整治</w:t>
            </w:r>
          </w:p>
        </w:tc>
        <w:tc>
          <w:tcPr>
            <w:tcW w:w="4477" w:type="dxa"/>
            <w:gridSpan w:val="3"/>
            <w:vAlign w:val="center"/>
          </w:tcPr>
          <w:p>
            <w:pPr>
              <w:overflowPunct w:val="0"/>
              <w:spacing w:line="360" w:lineRule="auto"/>
              <w:rPr>
                <w:rFonts w:ascii="Times New Roman" w:hAnsi="Times New Roman" w:eastAsia="仿宋_GB2312" w:cs="Arial"/>
                <w:sz w:val="32"/>
              </w:rPr>
            </w:pPr>
            <w:r>
              <w:rPr>
                <w:rFonts w:hint="eastAsia" w:ascii="仿宋" w:hAnsi="仿宋" w:eastAsia="仿宋" w:cs="仿宋"/>
                <w:bCs/>
                <w:szCs w:val="21"/>
              </w:rPr>
              <w:t>制定《南阳市城市配送市场整治方案》，着力规范城市配送市场秩序。加强城市绿色货运配送企业资质审核，建立配送市场准入、退出机制，强化市场监管和考核，建立企业诚信档案。</w:t>
            </w:r>
          </w:p>
          <w:p>
            <w:pPr>
              <w:spacing w:line="360" w:lineRule="auto"/>
              <w:jc w:val="center"/>
              <w:rPr>
                <w:rFonts w:ascii="仿宋" w:hAnsi="仿宋" w:eastAsia="仿宋" w:cs="仿宋"/>
                <w:bCs/>
                <w:szCs w:val="21"/>
              </w:rPr>
            </w:pPr>
          </w:p>
        </w:tc>
        <w:tc>
          <w:tcPr>
            <w:tcW w:w="1273" w:type="dxa"/>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市交通运输局、市公安局</w:t>
            </w:r>
          </w:p>
        </w:tc>
        <w:tc>
          <w:tcPr>
            <w:tcW w:w="2188" w:type="dxa"/>
            <w:vAlign w:val="center"/>
          </w:tcPr>
          <w:p>
            <w:pPr>
              <w:spacing w:line="360" w:lineRule="auto"/>
              <w:jc w:val="center"/>
              <w:rPr>
                <w:rFonts w:ascii="仿宋" w:hAnsi="仿宋" w:eastAsia="仿宋" w:cs="仿宋"/>
                <w:bCs/>
                <w:szCs w:val="21"/>
              </w:rPr>
            </w:pPr>
            <w:r>
              <w:rPr>
                <w:rFonts w:hint="eastAsia" w:ascii="仿宋" w:hAnsi="仿宋" w:eastAsia="仿宋" w:cs="仿宋"/>
                <w:bCs/>
                <w:szCs w:val="21"/>
              </w:rPr>
              <w:t>市市场监督管理局、市商务局</w:t>
            </w:r>
          </w:p>
        </w:tc>
      </w:tr>
    </w:tbl>
    <w:p>
      <w:pPr>
        <w:overflowPunct w:val="0"/>
        <w:spacing w:line="560" w:lineRule="exact"/>
        <w:rPr>
          <w:rFonts w:ascii="Times New Roman" w:hAnsi="Times New Roman" w:eastAsia="仿宋_GB2312" w:cs="Arial"/>
          <w:sz w:val="32"/>
        </w:rPr>
      </w:pPr>
    </w:p>
    <w:p/>
    <w:sectPr>
      <w:pgSz w:w="16838" w:h="11906" w:orient="landscape"/>
      <w:pgMar w:top="1701" w:right="1701" w:bottom="1701" w:left="1701" w:header="851" w:footer="113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D249B8F3-DED6-4ADF-B2ED-379D7D07F5FC}"/>
  </w:font>
  <w:font w:name="黑体">
    <w:panose1 w:val="02010609060101010101"/>
    <w:charset w:val="86"/>
    <w:family w:val="auto"/>
    <w:pitch w:val="default"/>
    <w:sig w:usb0="800002BF" w:usb1="38CF7CFA" w:usb2="00000016" w:usb3="00000000" w:csb0="00040001" w:csb1="00000000"/>
    <w:embedRegular r:id="rId2" w:fontKey="{91B9D46E-0AD9-4684-B611-069BC644A76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B680DA3E-F8C4-4FF8-BDDF-5319F8E60499}"/>
  </w:font>
  <w:font w:name="方正小标宋_GBK">
    <w:panose1 w:val="02000000000000000000"/>
    <w:charset w:val="86"/>
    <w:family w:val="script"/>
    <w:pitch w:val="default"/>
    <w:sig w:usb0="A00002BF" w:usb1="38CF7CFA" w:usb2="00082016" w:usb3="00000000" w:csb0="00040001" w:csb1="00000000"/>
    <w:embedRegular r:id="rId4" w:fontKey="{54C5AC92-17B1-49A6-B467-E5F6917A25CA}"/>
  </w:font>
  <w:font w:name="仿宋_GB2312">
    <w:panose1 w:val="02010609030101010101"/>
    <w:charset w:val="86"/>
    <w:family w:val="modern"/>
    <w:pitch w:val="default"/>
    <w:sig w:usb0="00000001" w:usb1="080E0000" w:usb2="00000000" w:usb3="00000000" w:csb0="00040000" w:csb1="00000000"/>
    <w:embedRegular r:id="rId5" w:fontKey="{A7CF0747-C227-428F-B0BF-3AC5C343E329}"/>
  </w:font>
  <w:font w:name="楷体_GB2312">
    <w:panose1 w:val="02010609030101010101"/>
    <w:charset w:val="86"/>
    <w:family w:val="modern"/>
    <w:pitch w:val="default"/>
    <w:sig w:usb0="00000001" w:usb1="080E0000" w:usb2="00000000" w:usb3="00000000" w:csb0="00040000" w:csb1="00000000"/>
    <w:embedRegular r:id="rId6" w:fontKey="{1F27C47B-E288-4213-AF8C-565F9CD4954B}"/>
  </w:font>
  <w:font w:name="仿宋">
    <w:panose1 w:val="02010609060101010101"/>
    <w:charset w:val="86"/>
    <w:family w:val="auto"/>
    <w:pitch w:val="default"/>
    <w:sig w:usb0="800002BF" w:usb1="38CF7CFA" w:usb2="00000016" w:usb3="00000000" w:csb0="00040001" w:csb1="00000000"/>
    <w:embedRegular r:id="rId7" w:fontKey="{D4E4856A-36A6-4C14-BEA6-D7B1CA44803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18</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18</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Yjg0MDA5NTRlNmRkMGFiN2ZmNDFlMjIzYzY4OWEifQ=="/>
  </w:docVars>
  <w:rsids>
    <w:rsidRoot w:val="2D6E0C83"/>
    <w:rsid w:val="0822685D"/>
    <w:rsid w:val="09E478A7"/>
    <w:rsid w:val="2CDA3DC9"/>
    <w:rsid w:val="2D6E0C83"/>
    <w:rsid w:val="612A559F"/>
    <w:rsid w:val="78217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annotation reference"/>
    <w:basedOn w:val="5"/>
    <w:qFormat/>
    <w:uiPriority w:val="0"/>
    <w:rPr>
      <w:sz w:val="21"/>
      <w:szCs w:val="21"/>
    </w:rPr>
  </w:style>
  <w:style w:type="paragraph" w:customStyle="1" w:styleId="7">
    <w:name w:val="样式5"/>
    <w:basedOn w:val="1"/>
    <w:qFormat/>
    <w:uiPriority w:val="0"/>
    <w:pPr>
      <w:jc w:val="left"/>
    </w:pPr>
    <w:rPr>
      <w:rFonts w:hint="eastAsia" w:ascii="Calibri" w:hAnsi="Calibri" w:eastAsia="宋体" w:cs="Times New Roman"/>
      <w:sz w:val="32"/>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7277</Words>
  <Characters>7404</Characters>
  <Lines>0</Lines>
  <Paragraphs>0</Paragraphs>
  <TotalTime>1</TotalTime>
  <ScaleCrop>false</ScaleCrop>
  <LinksUpToDate>false</LinksUpToDate>
  <CharactersWithSpaces>7476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2023-05-26T07:14:00Z</dcterms:created>
  <dc:creator>Ariel</dc:creator>
  <cp:lastModifiedBy>A凉皮</cp:lastModifiedBy>
  <cp:lastPrinted>2023-05-26T07:30:00Z</cp:lastPrinted>
  <dcterms:modified xsi:type="dcterms:W3CDTF">2023-05-30T04:21:56Z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B216EDA4B39F415CA8E9861CD4BF8DC8</vt:lpwstr>
  </property>
</Properties>
</file>