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南阳市城市绿色货运配送示范工程</w:t>
      </w: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实施方案（</w:t>
      </w:r>
      <w:r>
        <w:rPr>
          <w:rFonts w:hint="eastAsia" w:ascii="方正小标宋_GBK" w:hAnsi="方正小标宋_GBK" w:eastAsia="方正小标宋_GBK" w:cs="方正小标宋_GBK"/>
          <w:sz w:val="44"/>
          <w:szCs w:val="44"/>
          <w:lang w:val="en-US" w:eastAsia="zh-CN"/>
        </w:rPr>
        <w:t>送审</w:t>
      </w:r>
      <w:r>
        <w:rPr>
          <w:rFonts w:hint="eastAsia" w:ascii="方正小标宋_GBK" w:hAnsi="方正小标宋_GBK" w:eastAsia="方正小标宋_GBK" w:cs="方正小标宋_GBK"/>
          <w:sz w:val="44"/>
          <w:szCs w:val="44"/>
        </w:rPr>
        <w:t>稿）</w:t>
      </w:r>
    </w:p>
    <w:p>
      <w:pPr>
        <w:spacing w:line="560" w:lineRule="exact"/>
        <w:jc w:val="center"/>
        <w:rPr>
          <w:rFonts w:ascii="方正小标宋_GBK" w:hAnsi="方正小标宋_GBK" w:eastAsia="方正小标宋_GBK" w:cs="方正小标宋_GBK"/>
          <w:sz w:val="44"/>
          <w:szCs w:val="44"/>
        </w:rPr>
      </w:pPr>
    </w:p>
    <w:p>
      <w:pPr>
        <w:overflowPunct w:val="0"/>
        <w:spacing w:line="560" w:lineRule="exact"/>
        <w:ind w:firstLine="640" w:firstLineChars="200"/>
        <w:rPr>
          <w:rFonts w:ascii="Times New Roman" w:hAnsi="Times New Roman" w:eastAsia="仿宋_GB2312" w:cs="Arial"/>
          <w:sz w:val="32"/>
        </w:rPr>
      </w:pPr>
      <w:r>
        <w:rPr>
          <w:rFonts w:hint="eastAsia" w:ascii="Times New Roman" w:hAnsi="Times New Roman" w:eastAsia="仿宋_GB2312" w:cs="Arial"/>
          <w:sz w:val="32"/>
        </w:rPr>
        <w:t>坚持以习近平新时代中国特色社会主义思想为指导，深入贯彻全面贯彻党的二十大和二十届一中、二中全会精神，全面落实习近平总书记视察南阳重要讲话和指示精神，立足新发展阶段，完整、准确、全面贯彻新发展理念，以绿色低碳、集约高效发展为导向，以创建城市绿色货运配送示范工程为抓手，不断提高我市物流配送可持续发展能力，助力南阳高质量建设河南省域副中心城市。</w:t>
      </w:r>
    </w:p>
    <w:p>
      <w:pPr>
        <w:overflowPunct w:val="0"/>
        <w:spacing w:line="560" w:lineRule="exact"/>
        <w:ind w:firstLine="640" w:firstLineChars="200"/>
        <w:rPr>
          <w:rFonts w:ascii="黑体" w:hAnsi="黑体" w:eastAsia="黑体" w:cs="黑体"/>
          <w:sz w:val="32"/>
        </w:rPr>
      </w:pPr>
      <w:bookmarkStart w:id="0" w:name="_Toc27329"/>
      <w:bookmarkStart w:id="1" w:name="_Toc11110"/>
      <w:bookmarkStart w:id="2" w:name="_Toc101390793"/>
      <w:r>
        <w:rPr>
          <w:rFonts w:hint="eastAsia" w:ascii="黑体" w:hAnsi="黑体" w:eastAsia="黑体" w:cs="黑体"/>
          <w:sz w:val="32"/>
        </w:rPr>
        <w:t>一、总体目标</w:t>
      </w:r>
      <w:bookmarkEnd w:id="0"/>
      <w:bookmarkEnd w:id="1"/>
      <w:bookmarkEnd w:id="2"/>
    </w:p>
    <w:p>
      <w:pPr>
        <w:overflowPunct w:val="0"/>
        <w:spacing w:line="560" w:lineRule="exact"/>
        <w:ind w:firstLine="640" w:firstLineChars="200"/>
        <w:rPr>
          <w:rFonts w:ascii="Times New Roman" w:hAnsi="Times New Roman" w:eastAsia="仿宋_GB2312" w:cs="Arial"/>
          <w:sz w:val="32"/>
        </w:rPr>
      </w:pPr>
      <w:r>
        <w:rPr>
          <w:rFonts w:hint="eastAsia" w:ascii="Times New Roman" w:hAnsi="Times New Roman" w:eastAsia="仿宋_GB2312" w:cs="Arial"/>
          <w:sz w:val="32"/>
        </w:rPr>
        <w:t>到2025年底，基本建成“集约、高效、绿色、智能”的城市货运配送服务体系，货运配送绿色发展长效机制基本形成，完成城市绿色货运配送示范工程各项创建工作任务，并顺利通过国家验收。</w:t>
      </w:r>
    </w:p>
    <w:p>
      <w:pPr>
        <w:overflowPunct w:val="0"/>
        <w:spacing w:line="560" w:lineRule="exact"/>
        <w:ind w:firstLine="643" w:firstLineChars="200"/>
        <w:rPr>
          <w:rFonts w:ascii="Times New Roman" w:hAnsi="Times New Roman" w:eastAsia="仿宋_GB2312" w:cs="Arial"/>
          <w:sz w:val="32"/>
        </w:rPr>
      </w:pPr>
      <w:r>
        <w:rPr>
          <w:rFonts w:hint="eastAsia" w:ascii="Times New Roman" w:hAnsi="Times New Roman" w:eastAsia="仿宋_GB2312" w:cs="Arial"/>
          <w:b/>
          <w:bCs/>
          <w:sz w:val="32"/>
        </w:rPr>
        <w:t>——枢纽节点优化提升，构建“5+9+N”的城市货运配送三级节点体系。</w:t>
      </w:r>
      <w:r>
        <w:rPr>
          <w:rFonts w:hint="eastAsia" w:ascii="Times New Roman" w:hAnsi="Times New Roman" w:eastAsia="仿宋_GB2312" w:cs="Arial"/>
          <w:sz w:val="32"/>
        </w:rPr>
        <w:t>一级节点方面，形成不少于5个干支衔接型货运枢纽（物流园区）；二级节点方面，形成不少于9个公共配送中心；三级节点方面，形成不少于80个末端共同配送站。</w:t>
      </w:r>
    </w:p>
    <w:p>
      <w:pPr>
        <w:overflowPunct w:val="0"/>
        <w:spacing w:line="560" w:lineRule="exact"/>
        <w:ind w:firstLine="643" w:firstLineChars="200"/>
        <w:rPr>
          <w:rFonts w:ascii="Times New Roman" w:hAnsi="Times New Roman" w:eastAsia="仿宋_GB2312" w:cs="Arial"/>
          <w:sz w:val="32"/>
        </w:rPr>
      </w:pPr>
      <w:r>
        <w:rPr>
          <w:rFonts w:hint="eastAsia" w:ascii="Times New Roman" w:hAnsi="Times New Roman" w:eastAsia="仿宋_GB2312" w:cs="Arial"/>
          <w:b/>
          <w:bCs/>
          <w:sz w:val="32"/>
        </w:rPr>
        <w:t>——新能源车辆广泛应用。</w:t>
      </w:r>
      <w:r>
        <w:rPr>
          <w:rFonts w:hint="eastAsia" w:ascii="Times New Roman" w:hAnsi="Times New Roman" w:eastAsia="仿宋_GB2312" w:cs="Arial"/>
          <w:sz w:val="32"/>
        </w:rPr>
        <w:t>建立以标准化城市配送车辆为主体的城市货运车辆体系，更新一批标准化、专业化、环保型运输与物流装备，新增新能源城市配送营运车辆数不少于</w:t>
      </w:r>
      <w:r>
        <w:rPr>
          <w:rFonts w:hint="eastAsia" w:ascii="Times New Roman" w:hAnsi="Times New Roman" w:eastAsia="仿宋_GB2312" w:cs="Arial"/>
          <w:sz w:val="32"/>
          <w:lang w:val="en-US" w:eastAsia="zh-CN"/>
        </w:rPr>
        <w:t>4</w:t>
      </w:r>
      <w:r>
        <w:rPr>
          <w:rFonts w:hint="eastAsia" w:ascii="Times New Roman" w:hAnsi="Times New Roman" w:eastAsia="仿宋_GB2312" w:cs="Arial"/>
          <w:sz w:val="32"/>
        </w:rPr>
        <w:t>00台。加强充电等基础设施建设，新增充电站不少于4座，新增充电桩不少于200个。</w:t>
      </w:r>
    </w:p>
    <w:p>
      <w:pPr>
        <w:overflowPunct w:val="0"/>
        <w:spacing w:line="560" w:lineRule="exact"/>
        <w:ind w:firstLine="643" w:firstLineChars="200"/>
        <w:rPr>
          <w:rFonts w:ascii="Times New Roman" w:hAnsi="Times New Roman" w:eastAsia="仿宋_GB2312" w:cs="Arial"/>
          <w:sz w:val="32"/>
        </w:rPr>
      </w:pPr>
      <w:r>
        <w:rPr>
          <w:rFonts w:hint="eastAsia" w:ascii="Times New Roman" w:hAnsi="Times New Roman" w:eastAsia="仿宋_GB2312" w:cs="Arial"/>
          <w:b/>
          <w:bCs/>
          <w:sz w:val="32"/>
        </w:rPr>
        <w:t>——通行管控高效科学。</w:t>
      </w:r>
      <w:r>
        <w:rPr>
          <w:rFonts w:hint="eastAsia" w:ascii="Times New Roman" w:hAnsi="Times New Roman" w:eastAsia="仿宋_GB2312" w:cs="Arial"/>
          <w:sz w:val="32"/>
        </w:rPr>
        <w:t>制定科学的城市绿色货运配送运力投放机制，优化城市配送新能源货车路权政策，加强中心城区轻型、微型燃油货车通行管控。</w:t>
      </w:r>
    </w:p>
    <w:p>
      <w:pPr>
        <w:overflowPunct w:val="0"/>
        <w:spacing w:line="560" w:lineRule="exact"/>
        <w:ind w:firstLine="643" w:firstLineChars="200"/>
        <w:rPr>
          <w:rFonts w:ascii="Times New Roman" w:hAnsi="Times New Roman" w:eastAsia="仿宋_GB2312" w:cs="Arial"/>
          <w:sz w:val="32"/>
        </w:rPr>
      </w:pPr>
      <w:r>
        <w:rPr>
          <w:rFonts w:hint="eastAsia" w:ascii="Times New Roman" w:hAnsi="Times New Roman" w:eastAsia="仿宋_GB2312" w:cs="Arial"/>
          <w:b/>
          <w:bCs/>
          <w:sz w:val="32"/>
        </w:rPr>
        <w:t>——组织模式集约高效。</w:t>
      </w:r>
      <w:r>
        <w:rPr>
          <w:rFonts w:hint="eastAsia" w:ascii="Times New Roman" w:hAnsi="Times New Roman" w:eastAsia="仿宋_GB2312" w:cs="Arial"/>
          <w:sz w:val="32"/>
        </w:rPr>
        <w:t>形成一批适应高质量发展的城市绿色货运配送发展模式，城市中心区大型超市（卖场）、连锁店等商贸流通企业采用共同（集中、夜间）配送的比例达到50%以上。</w:t>
      </w:r>
    </w:p>
    <w:p>
      <w:pPr>
        <w:overflowPunct w:val="0"/>
        <w:spacing w:line="560" w:lineRule="exact"/>
        <w:ind w:firstLine="643" w:firstLineChars="200"/>
        <w:rPr>
          <w:rFonts w:ascii="Times New Roman" w:hAnsi="Times New Roman" w:eastAsia="仿宋_GB2312" w:cs="Arial"/>
          <w:sz w:val="32"/>
        </w:rPr>
      </w:pPr>
      <w:r>
        <w:rPr>
          <w:rFonts w:hint="eastAsia" w:ascii="Times New Roman" w:hAnsi="Times New Roman" w:eastAsia="仿宋_GB2312" w:cs="Arial"/>
          <w:b/>
          <w:bCs/>
          <w:sz w:val="32"/>
        </w:rPr>
        <w:t>——信息资源协同共享。</w:t>
      </w:r>
      <w:r>
        <w:rPr>
          <w:rFonts w:hint="eastAsia" w:ascii="Times New Roman" w:hAnsi="Times New Roman" w:eastAsia="仿宋_GB2312" w:cs="Arial"/>
          <w:sz w:val="32"/>
        </w:rPr>
        <w:t>建设功能健全、资源集约、协同共享的城市绿色货运配送公共信息服务平台，推动城配物流企业在基础设施、运力调配、市场服务等方面的资源共享。</w:t>
      </w:r>
    </w:p>
    <w:p>
      <w:pPr>
        <w:overflowPunct w:val="0"/>
        <w:spacing w:line="560" w:lineRule="exact"/>
        <w:ind w:firstLine="643" w:firstLineChars="200"/>
        <w:rPr>
          <w:rFonts w:ascii="Times New Roman" w:hAnsi="Times New Roman" w:eastAsia="仿宋_GB2312" w:cs="Arial"/>
          <w:sz w:val="32"/>
        </w:rPr>
      </w:pPr>
      <w:r>
        <w:rPr>
          <w:rFonts w:hint="eastAsia" w:ascii="Times New Roman" w:hAnsi="Times New Roman" w:eastAsia="仿宋_GB2312" w:cs="Arial"/>
          <w:b/>
          <w:bCs/>
          <w:sz w:val="32"/>
        </w:rPr>
        <w:t>——市场主体不断壮大。</w:t>
      </w:r>
      <w:r>
        <w:rPr>
          <w:rFonts w:hint="eastAsia" w:ascii="Times New Roman" w:hAnsi="Times New Roman" w:eastAsia="仿宋_GB2312" w:cs="Arial"/>
          <w:sz w:val="32"/>
        </w:rPr>
        <w:t>培育一批服务规范、运作高效、模式先进的城市绿色货运配送示范企业，新增3家AAA级（含）以上城市配送企业，发挥品牌引领示范效应，加快推进我市城配物流产业结构优化和行业降本增效。</w:t>
      </w:r>
    </w:p>
    <w:p>
      <w:pPr>
        <w:overflowPunct w:val="0"/>
        <w:spacing w:line="560" w:lineRule="exact"/>
        <w:ind w:firstLine="643" w:firstLineChars="200"/>
        <w:rPr>
          <w:rFonts w:ascii="Times New Roman" w:hAnsi="Times New Roman" w:eastAsia="仿宋_GB2312" w:cs="Arial"/>
          <w:sz w:val="32"/>
        </w:rPr>
      </w:pPr>
      <w:r>
        <w:rPr>
          <w:rFonts w:hint="eastAsia" w:ascii="Times New Roman" w:hAnsi="Times New Roman" w:eastAsia="仿宋_GB2312" w:cs="Arial"/>
          <w:b/>
          <w:bCs/>
          <w:sz w:val="32"/>
        </w:rPr>
        <w:t>——降本增效节能减排显著。</w:t>
      </w:r>
      <w:r>
        <w:rPr>
          <w:rFonts w:hint="eastAsia" w:ascii="Times New Roman" w:hAnsi="Times New Roman" w:eastAsia="仿宋_GB2312" w:cs="Arial"/>
          <w:sz w:val="32"/>
        </w:rPr>
        <w:t>城市货运配送效率显著提升，配送车辆利用效率较示范期初提高20%、配送成本较示范期初降低10%。</w:t>
      </w:r>
    </w:p>
    <w:p>
      <w:pPr>
        <w:overflowPunct w:val="0"/>
        <w:spacing w:line="560" w:lineRule="exact"/>
        <w:ind w:firstLine="640" w:firstLineChars="200"/>
        <w:rPr>
          <w:rFonts w:ascii="黑体" w:hAnsi="黑体" w:eastAsia="黑体" w:cs="黑体"/>
          <w:sz w:val="32"/>
        </w:rPr>
      </w:pPr>
      <w:r>
        <w:rPr>
          <w:rFonts w:hint="eastAsia" w:ascii="黑体" w:hAnsi="黑体" w:eastAsia="黑体" w:cs="黑体"/>
          <w:sz w:val="32"/>
        </w:rPr>
        <w:t>二、组织机构及职责</w:t>
      </w:r>
    </w:p>
    <w:p>
      <w:pPr>
        <w:overflowPunct w:val="0"/>
        <w:spacing w:line="560" w:lineRule="exact"/>
        <w:ind w:firstLine="640" w:firstLineChars="200"/>
        <w:rPr>
          <w:rFonts w:ascii="Times New Roman" w:hAnsi="Times New Roman" w:eastAsia="仿宋_GB2312" w:cs="Arial"/>
          <w:sz w:val="32"/>
        </w:rPr>
      </w:pPr>
      <w:r>
        <w:rPr>
          <w:rFonts w:hint="eastAsia" w:ascii="Times New Roman" w:hAnsi="Times New Roman" w:eastAsia="仿宋_GB2312" w:cs="Arial"/>
          <w:sz w:val="32"/>
        </w:rPr>
        <w:t>成立由分管副市长任组长，市政府办公室分管领导和市交通运输局、市商务局、市公安局主要领导任副组长，市发改委、市财政局、市工信局、市生态环境局、市邮政管理局、市住建局、市自然资源和规划局、市城管局、市市场监督管理局、市政数局等相关部门负责人为成员的南阳市绿色货运配送示范工程创建领导小组。负责推进城市绿色货运配送示范工程创建工作，制定工作方案，明确任务分工；负责协调解决城市绿色货运配送体系建设中遇到的重大问题；发挥政府在规划、政策、标准等方面的引领作用，督促各项任务、指标完成；按照国家对城市绿色货运配送示范工程绩效考核评分要求，领导小组应每半年至少召开一次专题会议。</w:t>
      </w:r>
    </w:p>
    <w:p>
      <w:pPr>
        <w:overflowPunct w:val="0"/>
        <w:spacing w:line="560" w:lineRule="exact"/>
        <w:ind w:firstLine="640" w:firstLineChars="200"/>
        <w:rPr>
          <w:rFonts w:ascii="黑体" w:hAnsi="黑体" w:eastAsia="黑体" w:cs="黑体"/>
          <w:sz w:val="32"/>
        </w:rPr>
      </w:pPr>
      <w:r>
        <w:rPr>
          <w:rFonts w:hint="eastAsia" w:ascii="黑体" w:hAnsi="黑体" w:eastAsia="黑体" w:cs="黑体"/>
          <w:sz w:val="32"/>
        </w:rPr>
        <w:t>三、主要任务及分工</w:t>
      </w:r>
    </w:p>
    <w:p>
      <w:pPr>
        <w:overflowPunct w:val="0"/>
        <w:spacing w:line="560" w:lineRule="exact"/>
        <w:ind w:firstLine="643" w:firstLineChars="200"/>
        <w:rPr>
          <w:rFonts w:ascii="Times New Roman" w:hAnsi="Times New Roman" w:eastAsia="仿宋_GB2312" w:cs="楷体_GB2312"/>
          <w:b/>
          <w:bCs/>
          <w:sz w:val="32"/>
        </w:rPr>
      </w:pPr>
      <w:r>
        <w:rPr>
          <w:rFonts w:hint="eastAsia" w:ascii="Times New Roman" w:hAnsi="Times New Roman" w:eastAsia="仿宋_GB2312" w:cs="楷体_GB2312"/>
          <w:b/>
          <w:bCs/>
          <w:sz w:val="32"/>
        </w:rPr>
        <w:t>（一）推进城市货运配送基础设施建设</w:t>
      </w:r>
    </w:p>
    <w:p>
      <w:pPr>
        <w:pStyle w:val="8"/>
        <w:overflowPunct w:val="0"/>
        <w:spacing w:line="560" w:lineRule="exact"/>
        <w:ind w:firstLine="643"/>
        <w:rPr>
          <w:rFonts w:ascii="Times New Roman" w:hAnsi="Times New Roman" w:eastAsia="仿宋_GB2312" w:cs="Arial"/>
          <w:sz w:val="32"/>
        </w:rPr>
      </w:pPr>
      <w:r>
        <w:rPr>
          <w:rFonts w:ascii="Times New Roman" w:hAnsi="Times New Roman" w:eastAsia="仿宋_GB2312" w:cs="Arial"/>
          <w:b/>
          <w:sz w:val="32"/>
        </w:rPr>
        <w:t>1.</w:t>
      </w:r>
      <w:r>
        <w:rPr>
          <w:rFonts w:hint="eastAsia" w:ascii="Times New Roman" w:hAnsi="Times New Roman" w:eastAsia="仿宋_GB2312" w:cs="Arial"/>
          <w:b/>
          <w:sz w:val="32"/>
        </w:rPr>
        <w:t>推进三级配送节点体系建设</w:t>
      </w:r>
    </w:p>
    <w:p>
      <w:pPr>
        <w:overflowPunct w:val="0"/>
        <w:spacing w:line="560" w:lineRule="exact"/>
        <w:ind w:firstLine="640" w:firstLineChars="200"/>
        <w:rPr>
          <w:rFonts w:ascii="Times New Roman" w:hAnsi="Times New Roman" w:eastAsia="仿宋_GB2312" w:cs="Arial"/>
          <w:sz w:val="32"/>
        </w:rPr>
      </w:pPr>
      <w:r>
        <w:rPr>
          <w:rFonts w:hint="eastAsia" w:ascii="Times New Roman" w:hAnsi="Times New Roman" w:eastAsia="仿宋_GB2312" w:cs="Arial"/>
          <w:sz w:val="32"/>
        </w:rPr>
        <w:t>推进“干支衔接型货运枢纽（物流园）、公共配送中心、末端配送站”三级配送节点体系建设。以现有物流配送系统为基础，按照“一级节点重衔接、二级节点重集散、三级节点重覆盖”的原则，构建“5+9+N”的城市货运配送三级节点体系。以接近市区高速出口或国道省道周边的现有物流园区为依托，建成5家（南阳综合物流产业园、南阳国际陆港物流产业园、南阳卧龙现代物流产业园、南阳农产品冷链物流产业园、诚远物流基地）综合物流园区，解决城区所需货物干线到城区的接驳和分拣。出台支持配送中心建设政策，加强冷链、快消品等专业配送中心、快递分拨中心建设，建成9家（万邦农产品冷链物流园、海派共享仓储物流中心、万德隆配送中心、京东仓配中心、海元物流商城、溧河物流园、宛美物流园、南阳汽车物流产业园、东森医药物流中心）公共配送中心以及建设80个以上覆盖中心城区的末端共同配送站。</w:t>
      </w:r>
    </w:p>
    <w:p>
      <w:pPr>
        <w:overflowPunct w:val="0"/>
        <w:spacing w:line="560" w:lineRule="exact"/>
        <w:ind w:firstLine="640" w:firstLineChars="200"/>
        <w:rPr>
          <w:rFonts w:ascii="Times New Roman" w:hAnsi="Times New Roman" w:eastAsia="仿宋_GB2312" w:cs="Arial"/>
          <w:sz w:val="32"/>
        </w:rPr>
      </w:pPr>
      <w:r>
        <w:rPr>
          <w:rFonts w:hint="eastAsia" w:ascii="Times New Roman" w:hAnsi="Times New Roman" w:eastAsia="仿宋_GB2312" w:cs="Arial"/>
          <w:sz w:val="32"/>
        </w:rPr>
        <w:t>牵头单位：市交通运输局</w:t>
      </w:r>
    </w:p>
    <w:p>
      <w:pPr>
        <w:overflowPunct w:val="0"/>
        <w:spacing w:line="560" w:lineRule="exact"/>
        <w:ind w:firstLine="640" w:firstLineChars="200"/>
        <w:rPr>
          <w:rFonts w:ascii="Times New Roman" w:hAnsi="Times New Roman" w:eastAsia="仿宋_GB2312" w:cs="Arial"/>
          <w:sz w:val="32"/>
        </w:rPr>
      </w:pPr>
      <w:r>
        <w:rPr>
          <w:rFonts w:hint="eastAsia" w:ascii="Times New Roman" w:hAnsi="Times New Roman" w:eastAsia="仿宋_GB2312" w:cs="Arial"/>
          <w:sz w:val="32"/>
        </w:rPr>
        <w:t>责任单位：市商务局、市发改委、市邮政管理局</w:t>
      </w:r>
    </w:p>
    <w:p>
      <w:pPr>
        <w:pStyle w:val="8"/>
        <w:overflowPunct w:val="0"/>
        <w:spacing w:line="560" w:lineRule="exact"/>
        <w:ind w:firstLine="643"/>
        <w:rPr>
          <w:rFonts w:ascii="Times New Roman" w:hAnsi="Times New Roman" w:eastAsia="仿宋_GB2312" w:cs="Arial"/>
          <w:b/>
          <w:sz w:val="32"/>
        </w:rPr>
      </w:pPr>
      <w:r>
        <w:rPr>
          <w:rFonts w:ascii="Times New Roman" w:hAnsi="Times New Roman" w:eastAsia="仿宋_GB2312" w:cs="Arial"/>
          <w:b/>
          <w:sz w:val="32"/>
        </w:rPr>
        <w:t>2.</w:t>
      </w:r>
      <w:r>
        <w:rPr>
          <w:rFonts w:hint="eastAsia" w:ascii="Times New Roman" w:hAnsi="Times New Roman" w:eastAsia="仿宋_GB2312" w:cs="Arial"/>
          <w:b/>
          <w:sz w:val="32"/>
        </w:rPr>
        <w:t>推进充电基础设施建设</w:t>
      </w:r>
    </w:p>
    <w:p>
      <w:pPr>
        <w:overflowPunct w:val="0"/>
        <w:spacing w:line="560" w:lineRule="exact"/>
        <w:ind w:firstLine="640" w:firstLineChars="200"/>
        <w:rPr>
          <w:rFonts w:ascii="Times New Roman" w:hAnsi="Times New Roman" w:eastAsia="仿宋_GB2312" w:cs="Arial"/>
          <w:sz w:val="32"/>
        </w:rPr>
      </w:pPr>
      <w:r>
        <w:rPr>
          <w:rFonts w:hint="eastAsia" w:ascii="Times New Roman" w:hAnsi="Times New Roman" w:eastAsia="仿宋_GB2312" w:cs="Arial"/>
          <w:sz w:val="32"/>
        </w:rPr>
        <w:t>加快完善市辖区内新能源汽车充电基础设施布局和建设。在全市重点货运站场、物流快递分拨中心、大型商场和各类商品批发市场的装卸货区域、物流与快递企业经营网点、货运配送线路沿线、城市次干道等区域建设新能源货车快速充电桩。到创建期末，新增充电站不少于4座，新增充电桩不少于200个，基本保障新能源货车充电实际需求。鼓励充电投资建设或运营企业为绿色货运配送纯电动车提供便利和优惠。</w:t>
      </w:r>
    </w:p>
    <w:p>
      <w:pPr>
        <w:overflowPunct w:val="0"/>
        <w:spacing w:line="560" w:lineRule="exact"/>
        <w:ind w:firstLine="640" w:firstLineChars="200"/>
        <w:rPr>
          <w:rFonts w:ascii="Times New Roman" w:hAnsi="Times New Roman" w:eastAsia="仿宋_GB2312" w:cs="Arial"/>
          <w:sz w:val="32"/>
        </w:rPr>
      </w:pPr>
      <w:r>
        <w:rPr>
          <w:rFonts w:hint="eastAsia" w:ascii="Times New Roman" w:hAnsi="Times New Roman" w:eastAsia="仿宋_GB2312" w:cs="Arial"/>
          <w:sz w:val="32"/>
        </w:rPr>
        <w:t>牵头单位：市发改委</w:t>
      </w:r>
    </w:p>
    <w:p>
      <w:pPr>
        <w:overflowPunct w:val="0"/>
        <w:spacing w:line="560" w:lineRule="exact"/>
        <w:ind w:firstLine="640" w:firstLineChars="200"/>
        <w:rPr>
          <w:rFonts w:ascii="Times New Roman" w:hAnsi="Times New Roman" w:eastAsia="仿宋_GB2312" w:cs="Arial"/>
          <w:sz w:val="32"/>
        </w:rPr>
      </w:pPr>
      <w:r>
        <w:rPr>
          <w:rFonts w:hint="eastAsia" w:ascii="Times New Roman" w:hAnsi="Times New Roman" w:eastAsia="仿宋_GB2312" w:cs="Arial"/>
          <w:sz w:val="32"/>
        </w:rPr>
        <w:t>责任单位：市自然资源和规划局、市交通运输局、市城管局、市住建局</w:t>
      </w:r>
    </w:p>
    <w:p>
      <w:pPr>
        <w:pStyle w:val="8"/>
        <w:overflowPunct w:val="0"/>
        <w:spacing w:line="560" w:lineRule="exact"/>
        <w:ind w:firstLine="643"/>
        <w:rPr>
          <w:rFonts w:ascii="Times New Roman" w:hAnsi="Times New Roman" w:eastAsia="仿宋_GB2312" w:cs="Arial"/>
          <w:b/>
          <w:sz w:val="32"/>
        </w:rPr>
      </w:pPr>
      <w:r>
        <w:rPr>
          <w:rFonts w:ascii="Times New Roman" w:hAnsi="Times New Roman" w:eastAsia="仿宋_GB2312" w:cs="Arial"/>
          <w:b/>
          <w:sz w:val="32"/>
        </w:rPr>
        <w:t>3.</w:t>
      </w:r>
      <w:r>
        <w:rPr>
          <w:rFonts w:hint="eastAsia" w:ascii="Times New Roman" w:hAnsi="Times New Roman" w:eastAsia="仿宋_GB2312" w:cs="Arial"/>
          <w:b/>
          <w:sz w:val="32"/>
        </w:rPr>
        <w:t>优化城市周边物流通道</w:t>
      </w:r>
    </w:p>
    <w:p>
      <w:pPr>
        <w:overflowPunct w:val="0"/>
        <w:spacing w:line="560" w:lineRule="exact"/>
        <w:ind w:firstLine="640" w:firstLineChars="200"/>
        <w:rPr>
          <w:rFonts w:ascii="Times New Roman" w:hAnsi="Times New Roman" w:eastAsia="仿宋_GB2312" w:cs="Arial"/>
          <w:sz w:val="32"/>
        </w:rPr>
      </w:pPr>
      <w:r>
        <w:rPr>
          <w:rFonts w:hint="eastAsia" w:ascii="Times New Roman" w:hAnsi="Times New Roman" w:eastAsia="仿宋_GB2312" w:cs="Arial"/>
          <w:sz w:val="32"/>
        </w:rPr>
        <w:t>优化中心城区物流通道和市域物流通道，加快G312绕城段、北外环等国道绕城货运快速通道建设；构建“国道+绕城高速”双货运通道；强化货运车辆通行管理，加快推进“过境重型货车不进城”；利用普通国省干线公路及城市主干路，构建城区对外货运快速通道，强化城市末端配送节点与外围配送中心、物流中心、物流园区之间的便利化衔接。</w:t>
      </w:r>
    </w:p>
    <w:p>
      <w:pPr>
        <w:overflowPunct w:val="0"/>
        <w:spacing w:line="560" w:lineRule="exact"/>
        <w:ind w:firstLine="640" w:firstLineChars="200"/>
        <w:rPr>
          <w:rFonts w:ascii="Times New Roman" w:hAnsi="Times New Roman" w:eastAsia="仿宋_GB2312" w:cs="Arial"/>
          <w:sz w:val="32"/>
        </w:rPr>
      </w:pPr>
      <w:r>
        <w:rPr>
          <w:rFonts w:hint="eastAsia" w:ascii="Times New Roman" w:hAnsi="Times New Roman" w:eastAsia="仿宋_GB2312" w:cs="Arial"/>
          <w:sz w:val="32"/>
        </w:rPr>
        <w:t>牵头单位：市交通运输局</w:t>
      </w:r>
    </w:p>
    <w:p>
      <w:pPr>
        <w:overflowPunct w:val="0"/>
        <w:spacing w:line="560" w:lineRule="exact"/>
        <w:ind w:firstLine="640" w:firstLineChars="200"/>
        <w:rPr>
          <w:rFonts w:ascii="Times New Roman" w:hAnsi="Times New Roman" w:eastAsia="仿宋_GB2312" w:cs="Arial"/>
          <w:sz w:val="32"/>
        </w:rPr>
      </w:pPr>
      <w:r>
        <w:rPr>
          <w:rFonts w:hint="eastAsia" w:ascii="Times New Roman" w:hAnsi="Times New Roman" w:eastAsia="仿宋_GB2312" w:cs="Arial"/>
          <w:sz w:val="32"/>
        </w:rPr>
        <w:t>责任单位：市发改委、市自然资源和规划局、市住建局</w:t>
      </w:r>
    </w:p>
    <w:p>
      <w:pPr>
        <w:overflowPunct w:val="0"/>
        <w:spacing w:line="560" w:lineRule="exact"/>
        <w:ind w:firstLine="643" w:firstLineChars="200"/>
        <w:rPr>
          <w:rFonts w:hint="eastAsia" w:ascii="Times New Roman" w:hAnsi="Times New Roman" w:eastAsia="仿宋_GB2312" w:cs="楷体_GB2312"/>
          <w:b/>
          <w:bCs/>
          <w:sz w:val="32"/>
          <w:lang w:val="en-US" w:eastAsia="zh-CN"/>
        </w:rPr>
      </w:pPr>
      <w:r>
        <w:rPr>
          <w:rFonts w:hint="eastAsia" w:ascii="Times New Roman" w:hAnsi="Times New Roman" w:eastAsia="仿宋_GB2312" w:cs="楷体_GB2312"/>
          <w:b/>
          <w:bCs/>
          <w:sz w:val="32"/>
        </w:rPr>
        <w:t>（二）制定出台城市通行</w:t>
      </w:r>
      <w:r>
        <w:rPr>
          <w:rFonts w:hint="eastAsia" w:ascii="Times New Roman" w:hAnsi="Times New Roman" w:eastAsia="仿宋_GB2312" w:cs="楷体_GB2312"/>
          <w:b/>
          <w:bCs/>
          <w:sz w:val="32"/>
          <w:lang w:eastAsia="zh-CN"/>
        </w:rPr>
        <w:t>规范</w:t>
      </w:r>
    </w:p>
    <w:p>
      <w:pPr>
        <w:pStyle w:val="8"/>
        <w:overflowPunct w:val="0"/>
        <w:spacing w:line="560" w:lineRule="exact"/>
        <w:ind w:firstLine="643"/>
        <w:rPr>
          <w:rFonts w:ascii="Times New Roman" w:hAnsi="Times New Roman" w:eastAsia="仿宋_GB2312" w:cs="Arial"/>
          <w:b/>
          <w:bCs/>
          <w:sz w:val="32"/>
        </w:rPr>
      </w:pPr>
      <w:r>
        <w:rPr>
          <w:rFonts w:ascii="Times New Roman" w:hAnsi="Times New Roman" w:eastAsia="仿宋_GB2312" w:cs="Arial"/>
          <w:b/>
          <w:bCs/>
          <w:sz w:val="32"/>
        </w:rPr>
        <w:t>4.</w:t>
      </w:r>
      <w:r>
        <w:rPr>
          <w:rFonts w:hint="eastAsia" w:ascii="Times New Roman" w:hAnsi="Times New Roman" w:eastAsia="仿宋_GB2312" w:cs="Arial"/>
          <w:b/>
          <w:bCs/>
          <w:sz w:val="32"/>
        </w:rPr>
        <w:t>组织开展城市配送运输需求调查工作</w:t>
      </w:r>
    </w:p>
    <w:p>
      <w:pPr>
        <w:overflowPunct w:val="0"/>
        <w:spacing w:line="560" w:lineRule="exact"/>
        <w:ind w:firstLine="640" w:firstLineChars="200"/>
        <w:rPr>
          <w:rFonts w:ascii="Times New Roman" w:hAnsi="Times New Roman" w:eastAsia="仿宋_GB2312" w:cs="Arial"/>
          <w:sz w:val="32"/>
        </w:rPr>
      </w:pPr>
      <w:r>
        <w:rPr>
          <w:rFonts w:hint="eastAsia" w:ascii="Times New Roman" w:hAnsi="Times New Roman" w:eastAsia="仿宋_GB2312" w:cs="Arial"/>
          <w:sz w:val="32"/>
        </w:rPr>
        <w:t>研究制定城市货运配送需求及运力投放调查预测制度，扎实做好专项调查预测工作，掌握城市配送需求及上下游物流资源分布特征，结合城市未来发展趋势，形成城市货运配送需求现状及未来发展分析报告。结合分析报告和城市货运配送监测数据，有针对性地制定城市配送车辆通行、停靠、装卸等政策。</w:t>
      </w:r>
    </w:p>
    <w:p>
      <w:pPr>
        <w:overflowPunct w:val="0"/>
        <w:spacing w:line="560" w:lineRule="exact"/>
        <w:ind w:firstLine="640" w:firstLineChars="200"/>
        <w:rPr>
          <w:rFonts w:ascii="Times New Roman" w:hAnsi="Times New Roman" w:eastAsia="仿宋_GB2312" w:cs="Arial"/>
          <w:sz w:val="32"/>
        </w:rPr>
      </w:pPr>
      <w:r>
        <w:rPr>
          <w:rFonts w:hint="eastAsia" w:ascii="Times New Roman" w:hAnsi="Times New Roman" w:eastAsia="仿宋_GB2312" w:cs="Arial"/>
          <w:sz w:val="32"/>
        </w:rPr>
        <w:t>牵头单位</w:t>
      </w:r>
      <w:r>
        <w:rPr>
          <w:rFonts w:ascii="Times New Roman" w:hAnsi="Times New Roman" w:eastAsia="仿宋_GB2312" w:cs="Arial"/>
          <w:sz w:val="32"/>
        </w:rPr>
        <w:t>:</w:t>
      </w:r>
      <w:r>
        <w:rPr>
          <w:rFonts w:hint="eastAsia" w:ascii="Times New Roman" w:hAnsi="Times New Roman" w:eastAsia="仿宋_GB2312" w:cs="Arial"/>
          <w:sz w:val="32"/>
        </w:rPr>
        <w:t>市商务局</w:t>
      </w:r>
    </w:p>
    <w:p>
      <w:pPr>
        <w:overflowPunct w:val="0"/>
        <w:spacing w:line="560" w:lineRule="exact"/>
        <w:ind w:firstLine="640" w:firstLineChars="200"/>
        <w:rPr>
          <w:rFonts w:ascii="Times New Roman" w:hAnsi="Times New Roman" w:eastAsia="仿宋_GB2312" w:cs="Arial"/>
          <w:sz w:val="32"/>
        </w:rPr>
      </w:pPr>
      <w:r>
        <w:rPr>
          <w:rFonts w:hint="eastAsia" w:ascii="Times New Roman" w:hAnsi="Times New Roman" w:eastAsia="仿宋_GB2312" w:cs="Arial"/>
          <w:sz w:val="32"/>
        </w:rPr>
        <w:t>责任单位</w:t>
      </w:r>
      <w:r>
        <w:rPr>
          <w:rFonts w:ascii="Times New Roman" w:hAnsi="Times New Roman" w:eastAsia="仿宋_GB2312" w:cs="Arial"/>
          <w:sz w:val="32"/>
        </w:rPr>
        <w:t>:</w:t>
      </w:r>
      <w:r>
        <w:rPr>
          <w:rFonts w:hint="eastAsia" w:ascii="Times New Roman" w:hAnsi="Times New Roman" w:eastAsia="仿宋_GB2312" w:cs="Arial"/>
          <w:sz w:val="32"/>
        </w:rPr>
        <w:t>市交通运输局、</w:t>
      </w:r>
      <w:r>
        <w:rPr>
          <w:rFonts w:hint="eastAsia" w:ascii="Times New Roman" w:hAnsi="Times New Roman" w:eastAsia="仿宋_GB2312" w:cs="Arial"/>
          <w:sz w:val="32"/>
          <w:lang w:val="en-US" w:eastAsia="zh-CN"/>
        </w:rPr>
        <w:t>市</w:t>
      </w:r>
      <w:r>
        <w:rPr>
          <w:rFonts w:hint="eastAsia" w:ascii="Times New Roman" w:hAnsi="Times New Roman" w:eastAsia="仿宋_GB2312" w:cs="Arial"/>
          <w:sz w:val="32"/>
        </w:rPr>
        <w:t>邮政管理局</w:t>
      </w:r>
    </w:p>
    <w:p>
      <w:pPr>
        <w:pStyle w:val="8"/>
        <w:overflowPunct w:val="0"/>
        <w:spacing w:line="560" w:lineRule="exact"/>
        <w:ind w:firstLine="643"/>
        <w:rPr>
          <w:rFonts w:hint="eastAsia" w:ascii="Times New Roman" w:hAnsi="Times New Roman" w:eastAsia="仿宋_GB2312" w:cs="Arial"/>
          <w:b/>
          <w:bCs/>
          <w:sz w:val="32"/>
          <w:lang w:eastAsia="zh-CN"/>
        </w:rPr>
      </w:pPr>
      <w:r>
        <w:rPr>
          <w:rFonts w:ascii="Times New Roman" w:hAnsi="Times New Roman" w:eastAsia="仿宋_GB2312" w:cs="Arial"/>
          <w:b/>
          <w:bCs/>
          <w:sz w:val="32"/>
        </w:rPr>
        <w:t>5.</w:t>
      </w:r>
      <w:r>
        <w:rPr>
          <w:rFonts w:hint="eastAsia" w:ascii="Times New Roman" w:hAnsi="Times New Roman" w:eastAsia="仿宋_GB2312" w:cs="Arial"/>
          <w:b/>
          <w:bCs/>
          <w:sz w:val="32"/>
        </w:rPr>
        <w:t>健全完善城市货运配送车辆通行</w:t>
      </w:r>
      <w:r>
        <w:rPr>
          <w:rFonts w:hint="eastAsia" w:ascii="Times New Roman" w:hAnsi="Times New Roman" w:eastAsia="仿宋_GB2312" w:cs="Arial"/>
          <w:b/>
          <w:bCs/>
          <w:sz w:val="32"/>
          <w:lang w:eastAsia="zh-CN"/>
        </w:rPr>
        <w:t>规范</w:t>
      </w:r>
    </w:p>
    <w:p>
      <w:pPr>
        <w:overflowPunct w:val="0"/>
        <w:spacing w:line="560" w:lineRule="exact"/>
        <w:ind w:firstLine="640" w:firstLineChars="200"/>
        <w:rPr>
          <w:rFonts w:ascii="Times New Roman" w:hAnsi="Times New Roman" w:eastAsia="仿宋_GB2312" w:cs="Arial"/>
          <w:sz w:val="32"/>
        </w:rPr>
      </w:pPr>
      <w:r>
        <w:rPr>
          <w:rFonts w:hint="eastAsia" w:ascii="Times New Roman" w:hAnsi="Times New Roman" w:eastAsia="仿宋_GB2312" w:cs="Arial"/>
          <w:sz w:val="32"/>
        </w:rPr>
        <w:t>按照《国务院办公厅关于加快新能源汽车推广应用的指导意见》（国办发〔2014〕35号）、《公安部办公厅关于优化和改进城市配送货车通行管理工作的指导意见》（公交管〔2020〕383号）等文件的要求，为新能源货车通行提供便利。按照有关规定制定城市货运配送车辆通行管控方案，明确中重型柴油货车禁行区域、路段及具体绕行路线；进一步加强中心城区燃油货车通行管控，并根据新能源货车推广进度和增量情况逐步减少燃油货车市区通行证发放比例。在核心城区、重点商贸区实施严格的燃油货车管控措施，给予新能源货车更多通行便利。允许城市配送新能源轻型货车使用公交车道。</w:t>
      </w:r>
    </w:p>
    <w:p>
      <w:pPr>
        <w:overflowPunct w:val="0"/>
        <w:spacing w:line="560" w:lineRule="exact"/>
        <w:ind w:firstLine="640" w:firstLineChars="200"/>
        <w:rPr>
          <w:rFonts w:ascii="Times New Roman" w:hAnsi="Times New Roman" w:eastAsia="仿宋_GB2312" w:cs="Arial"/>
          <w:sz w:val="32"/>
        </w:rPr>
      </w:pPr>
      <w:r>
        <w:rPr>
          <w:rFonts w:hint="eastAsia" w:ascii="Times New Roman" w:hAnsi="Times New Roman" w:eastAsia="仿宋_GB2312" w:cs="Arial"/>
          <w:sz w:val="32"/>
        </w:rPr>
        <w:t>牵头单位：市公安局</w:t>
      </w:r>
    </w:p>
    <w:p>
      <w:pPr>
        <w:overflowPunct w:val="0"/>
        <w:spacing w:line="560" w:lineRule="exact"/>
        <w:ind w:firstLine="640" w:firstLineChars="200"/>
        <w:rPr>
          <w:rFonts w:ascii="Times New Roman" w:hAnsi="Times New Roman" w:eastAsia="仿宋_GB2312" w:cs="Arial"/>
          <w:sz w:val="32"/>
        </w:rPr>
      </w:pPr>
      <w:r>
        <w:rPr>
          <w:rFonts w:hint="eastAsia" w:ascii="Times New Roman" w:hAnsi="Times New Roman" w:eastAsia="仿宋_GB2312" w:cs="Arial"/>
          <w:sz w:val="32"/>
        </w:rPr>
        <w:t>责任单位：市交通运输局、市城市管理局、市生态环境局</w:t>
      </w:r>
    </w:p>
    <w:p>
      <w:pPr>
        <w:pStyle w:val="8"/>
        <w:overflowPunct w:val="0"/>
        <w:spacing w:line="560" w:lineRule="exact"/>
        <w:ind w:firstLine="643"/>
        <w:rPr>
          <w:rFonts w:ascii="Times New Roman" w:hAnsi="Times New Roman" w:eastAsia="仿宋_GB2312" w:cs="Arial"/>
          <w:b/>
          <w:bCs/>
          <w:sz w:val="32"/>
        </w:rPr>
      </w:pPr>
      <w:r>
        <w:rPr>
          <w:rFonts w:ascii="Times New Roman" w:hAnsi="Times New Roman" w:eastAsia="仿宋_GB2312" w:cs="Arial"/>
          <w:b/>
          <w:bCs/>
          <w:sz w:val="32"/>
        </w:rPr>
        <w:t>6.</w:t>
      </w:r>
      <w:r>
        <w:rPr>
          <w:rFonts w:hint="eastAsia" w:ascii="Times New Roman" w:hAnsi="Times New Roman" w:eastAsia="仿宋_GB2312" w:cs="Arial"/>
          <w:b/>
          <w:bCs/>
          <w:sz w:val="32"/>
        </w:rPr>
        <w:t>推进货运配送车辆停靠、装卸便利化</w:t>
      </w:r>
    </w:p>
    <w:p>
      <w:pPr>
        <w:overflowPunct w:val="0"/>
        <w:spacing w:line="560" w:lineRule="exact"/>
        <w:ind w:firstLine="640" w:firstLineChars="200"/>
        <w:rPr>
          <w:rFonts w:ascii="Times New Roman" w:hAnsi="Times New Roman" w:eastAsia="仿宋_GB2312" w:cs="Arial"/>
          <w:sz w:val="32"/>
        </w:rPr>
      </w:pPr>
      <w:r>
        <w:rPr>
          <w:rFonts w:hint="eastAsia" w:ascii="Times New Roman" w:hAnsi="Times New Roman" w:eastAsia="仿宋_GB2312" w:cs="Arial"/>
          <w:sz w:val="32"/>
        </w:rPr>
        <w:t>在城市中心商贸区、居住区、大型商业活动场所和新建项目的相关规划中，合理设置城市货运配送车辆专用临时停车位（临时停车港湾）及货物装卸场地，为城市货运配送车辆优先提供停车泊位。采取分时、错时、分类的停车管理政策，设置警示标志和免费停放时间，便利新能源配送车辆停放；在城市次干路、支路的便利店、药店、邮政快递点、菜市场等确有停车装卸需求的，允许张贴城市绿色货运配送专用标识的车辆在不影响车辆和行人通行的前提下短时停车作业。示范创建期内，新增设置不少于80个城市货运配送车辆临时停靠点。完善标志标线及专用停车位设置，完善大型商场、超市等场所的货物配送设施及停车场地的配建标准。鼓励货运配送车辆错峰停车，制定城市货运配送车辆停放管理措施。</w:t>
      </w:r>
    </w:p>
    <w:p>
      <w:pPr>
        <w:overflowPunct w:val="0"/>
        <w:spacing w:line="560" w:lineRule="exact"/>
        <w:ind w:firstLine="640" w:firstLineChars="200"/>
        <w:rPr>
          <w:rFonts w:ascii="Times New Roman" w:hAnsi="Times New Roman" w:eastAsia="仿宋_GB2312" w:cs="Arial"/>
          <w:sz w:val="32"/>
        </w:rPr>
      </w:pPr>
      <w:r>
        <w:rPr>
          <w:rFonts w:hint="eastAsia" w:ascii="Times New Roman" w:hAnsi="Times New Roman" w:eastAsia="仿宋_GB2312" w:cs="Arial"/>
          <w:sz w:val="32"/>
        </w:rPr>
        <w:t>牵头单位：市公安局</w:t>
      </w:r>
    </w:p>
    <w:p>
      <w:pPr>
        <w:overflowPunct w:val="0"/>
        <w:spacing w:line="560" w:lineRule="exact"/>
        <w:ind w:firstLine="640" w:firstLineChars="200"/>
        <w:rPr>
          <w:rFonts w:ascii="Times New Roman" w:hAnsi="Times New Roman" w:eastAsia="仿宋_GB2312" w:cs="Arial"/>
          <w:sz w:val="32"/>
        </w:rPr>
      </w:pPr>
      <w:r>
        <w:rPr>
          <w:rFonts w:hint="eastAsia" w:ascii="Times New Roman" w:hAnsi="Times New Roman" w:eastAsia="仿宋_GB2312" w:cs="Arial"/>
          <w:sz w:val="32"/>
        </w:rPr>
        <w:t>责任单位：市城市管理局、市交通运输局、市住建局、市商务局</w:t>
      </w:r>
    </w:p>
    <w:p>
      <w:pPr>
        <w:pStyle w:val="8"/>
        <w:numPr>
          <w:ilvl w:val="0"/>
          <w:numId w:val="0"/>
        </w:numPr>
        <w:overflowPunct w:val="0"/>
        <w:spacing w:line="560" w:lineRule="exact"/>
        <w:ind w:firstLine="643" w:firstLineChars="200"/>
        <w:rPr>
          <w:rFonts w:hint="eastAsia" w:ascii="Times New Roman" w:hAnsi="Times New Roman" w:eastAsia="仿宋_GB2312" w:cs="Arial"/>
          <w:b/>
          <w:sz w:val="32"/>
        </w:rPr>
      </w:pPr>
      <w:r>
        <w:rPr>
          <w:rFonts w:hint="eastAsia" w:ascii="Times New Roman" w:hAnsi="Times New Roman" w:eastAsia="仿宋_GB2312" w:cs="Arial"/>
          <w:b/>
          <w:sz w:val="32"/>
          <w:lang w:val="en-US" w:eastAsia="zh-CN"/>
        </w:rPr>
        <w:t>7.</w:t>
      </w:r>
      <w:r>
        <w:rPr>
          <w:rFonts w:hint="eastAsia" w:ascii="Times New Roman" w:hAnsi="Times New Roman" w:eastAsia="仿宋_GB2312" w:cs="Arial"/>
          <w:b/>
          <w:sz w:val="32"/>
        </w:rPr>
        <w:t>科学制定城市货运配送车辆停车收费政策</w:t>
      </w:r>
    </w:p>
    <w:p>
      <w:pPr>
        <w:pStyle w:val="8"/>
        <w:numPr>
          <w:ilvl w:val="0"/>
          <w:numId w:val="0"/>
        </w:numPr>
        <w:overflowPunct w:val="0"/>
        <w:spacing w:line="560" w:lineRule="exact"/>
        <w:ind w:firstLine="640" w:firstLineChars="200"/>
        <w:rPr>
          <w:rFonts w:ascii="Times New Roman" w:hAnsi="Times New Roman" w:eastAsia="仿宋_GB2312" w:cs="Arial"/>
          <w:sz w:val="32"/>
        </w:rPr>
      </w:pPr>
      <w:r>
        <w:rPr>
          <w:rFonts w:hint="eastAsia" w:ascii="Times New Roman" w:hAnsi="Times New Roman" w:eastAsia="仿宋_GB2312" w:cs="Arial"/>
          <w:sz w:val="32"/>
        </w:rPr>
        <w:t>给予新能源货运配送车辆优惠停车政策；鼓励货物装卸点等其他停车场（点）对新能源货运配送车辆停车实施收费减免。</w:t>
      </w:r>
    </w:p>
    <w:p>
      <w:pPr>
        <w:pStyle w:val="8"/>
        <w:overflowPunct w:val="0"/>
        <w:spacing w:line="560" w:lineRule="exact"/>
        <w:ind w:firstLine="640"/>
        <w:rPr>
          <w:rFonts w:hint="eastAsia" w:ascii="Times New Roman" w:hAnsi="Times New Roman" w:eastAsia="仿宋_GB2312" w:cs="Arial"/>
          <w:sz w:val="32"/>
        </w:rPr>
      </w:pPr>
      <w:r>
        <w:rPr>
          <w:rFonts w:hint="eastAsia" w:ascii="Times New Roman" w:hAnsi="Times New Roman" w:eastAsia="仿宋_GB2312" w:cs="Arial"/>
          <w:sz w:val="32"/>
        </w:rPr>
        <w:t>牵头单位：市发改委</w:t>
      </w:r>
    </w:p>
    <w:p>
      <w:pPr>
        <w:pStyle w:val="8"/>
        <w:overflowPunct w:val="0"/>
        <w:spacing w:line="560" w:lineRule="exact"/>
        <w:ind w:firstLine="640"/>
        <w:rPr>
          <w:rFonts w:ascii="Times New Roman" w:hAnsi="Times New Roman" w:eastAsia="仿宋_GB2312" w:cs="Arial"/>
          <w:sz w:val="32"/>
        </w:rPr>
      </w:pPr>
      <w:r>
        <w:rPr>
          <w:rFonts w:hint="eastAsia" w:ascii="Times New Roman" w:hAnsi="Times New Roman" w:eastAsia="仿宋_GB2312" w:cs="Arial"/>
          <w:sz w:val="32"/>
        </w:rPr>
        <w:t>责任单位：市城市管理局</w:t>
      </w:r>
    </w:p>
    <w:p>
      <w:pPr>
        <w:overflowPunct w:val="0"/>
        <w:spacing w:line="560" w:lineRule="exact"/>
        <w:ind w:firstLine="643" w:firstLineChars="200"/>
        <w:rPr>
          <w:rFonts w:ascii="Times New Roman" w:hAnsi="Times New Roman" w:eastAsia="仿宋_GB2312" w:cs="楷体_GB2312"/>
          <w:b/>
          <w:bCs/>
          <w:sz w:val="32"/>
        </w:rPr>
      </w:pPr>
      <w:r>
        <w:rPr>
          <w:rFonts w:hint="eastAsia" w:ascii="Times New Roman" w:hAnsi="Times New Roman" w:eastAsia="仿宋_GB2312" w:cs="楷体_GB2312"/>
          <w:b/>
          <w:bCs/>
          <w:sz w:val="32"/>
        </w:rPr>
        <w:t>（三）推进城市货运配送车辆标准化建设</w:t>
      </w:r>
    </w:p>
    <w:p>
      <w:pPr>
        <w:pStyle w:val="8"/>
        <w:overflowPunct w:val="0"/>
        <w:spacing w:line="560" w:lineRule="exact"/>
        <w:ind w:firstLine="643"/>
        <w:rPr>
          <w:rFonts w:ascii="Times New Roman" w:hAnsi="Times New Roman" w:eastAsia="仿宋_GB2312" w:cs="Arial"/>
          <w:b/>
          <w:bCs/>
          <w:sz w:val="32"/>
        </w:rPr>
      </w:pPr>
      <w:r>
        <w:rPr>
          <w:rFonts w:hint="eastAsia" w:ascii="Times New Roman" w:hAnsi="Times New Roman" w:eastAsia="仿宋_GB2312" w:cs="Arial"/>
          <w:b/>
          <w:bCs/>
          <w:sz w:val="32"/>
        </w:rPr>
        <w:t>8</w:t>
      </w:r>
      <w:r>
        <w:rPr>
          <w:rFonts w:ascii="Times New Roman" w:hAnsi="Times New Roman" w:eastAsia="仿宋_GB2312" w:cs="Arial"/>
          <w:b/>
          <w:bCs/>
          <w:sz w:val="32"/>
        </w:rPr>
        <w:t>.</w:t>
      </w:r>
      <w:r>
        <w:rPr>
          <w:rFonts w:hint="eastAsia" w:ascii="Times New Roman" w:hAnsi="Times New Roman" w:eastAsia="仿宋_GB2312" w:cs="Arial"/>
          <w:b/>
          <w:bCs/>
          <w:sz w:val="32"/>
        </w:rPr>
        <w:t>推进</w:t>
      </w:r>
      <w:r>
        <w:rPr>
          <w:rFonts w:hint="eastAsia" w:ascii="Times New Roman" w:hAnsi="Times New Roman" w:eastAsia="仿宋_GB2312" w:cs="楷体_GB2312"/>
          <w:b/>
          <w:bCs/>
          <w:sz w:val="32"/>
        </w:rPr>
        <w:t>城市货运配送</w:t>
      </w:r>
      <w:r>
        <w:rPr>
          <w:rFonts w:hint="eastAsia" w:ascii="Times New Roman" w:hAnsi="Times New Roman" w:eastAsia="仿宋_GB2312" w:cs="Arial"/>
          <w:b/>
          <w:bCs/>
          <w:sz w:val="32"/>
        </w:rPr>
        <w:t>车辆标准化</w:t>
      </w:r>
    </w:p>
    <w:p>
      <w:pPr>
        <w:overflowPunct w:val="0"/>
        <w:spacing w:line="560" w:lineRule="exact"/>
        <w:ind w:firstLine="640" w:firstLineChars="200"/>
        <w:rPr>
          <w:rFonts w:ascii="Times New Roman" w:hAnsi="Times New Roman" w:eastAsia="仿宋_GB2312" w:cs="Arial"/>
          <w:sz w:val="32"/>
        </w:rPr>
      </w:pPr>
      <w:r>
        <w:rPr>
          <w:rFonts w:hint="eastAsia" w:ascii="Times New Roman" w:hAnsi="Times New Roman" w:eastAsia="仿宋_GB2312" w:cs="Arial"/>
          <w:sz w:val="32"/>
        </w:rPr>
        <w:t>制定城市配送车辆专用标识式样和管理规范，统一新能源城市配送车辆标识，推广应用厢式或封闭式标准化城市配送车型。引导快递行业协会对末端快递专用电动三轮车实行“统一办理通行证、统一悬挂号牌、统一外观标识、统一购买车辆保险、统一备案登记”的五统一管理。</w:t>
      </w:r>
    </w:p>
    <w:p>
      <w:pPr>
        <w:overflowPunct w:val="0"/>
        <w:spacing w:line="560" w:lineRule="exact"/>
        <w:ind w:firstLine="640" w:firstLineChars="200"/>
        <w:rPr>
          <w:rFonts w:ascii="Times New Roman" w:hAnsi="Times New Roman" w:eastAsia="仿宋_GB2312" w:cs="Arial"/>
          <w:sz w:val="32"/>
        </w:rPr>
      </w:pPr>
      <w:r>
        <w:rPr>
          <w:rFonts w:hint="eastAsia" w:ascii="Times New Roman" w:hAnsi="Times New Roman" w:eastAsia="仿宋_GB2312" w:cs="Arial"/>
          <w:sz w:val="32"/>
        </w:rPr>
        <w:t>牵头单位：市交通运输局、市邮政管理局</w:t>
      </w:r>
    </w:p>
    <w:p>
      <w:pPr>
        <w:overflowPunct w:val="0"/>
        <w:spacing w:line="560" w:lineRule="exact"/>
        <w:ind w:firstLine="640" w:firstLineChars="200"/>
        <w:rPr>
          <w:rFonts w:ascii="Times New Roman" w:hAnsi="Times New Roman" w:eastAsia="仿宋_GB2312" w:cs="Arial"/>
          <w:sz w:val="32"/>
        </w:rPr>
      </w:pPr>
      <w:r>
        <w:rPr>
          <w:rFonts w:hint="eastAsia" w:ascii="Times New Roman" w:hAnsi="Times New Roman" w:eastAsia="仿宋_GB2312" w:cs="Arial"/>
          <w:sz w:val="32"/>
        </w:rPr>
        <w:t>责任单位：市公安局、市工信局、市商务局</w:t>
      </w:r>
    </w:p>
    <w:p>
      <w:pPr>
        <w:pStyle w:val="8"/>
        <w:overflowPunct w:val="0"/>
        <w:spacing w:line="560" w:lineRule="exact"/>
        <w:ind w:firstLine="643"/>
        <w:rPr>
          <w:rFonts w:ascii="Times New Roman" w:hAnsi="Times New Roman" w:eastAsia="仿宋_GB2312" w:cs="Arial"/>
          <w:b/>
          <w:bCs/>
          <w:sz w:val="32"/>
        </w:rPr>
      </w:pPr>
      <w:r>
        <w:rPr>
          <w:rFonts w:hint="eastAsia" w:ascii="Times New Roman" w:hAnsi="Times New Roman" w:eastAsia="仿宋_GB2312" w:cs="Arial"/>
          <w:b/>
          <w:bCs/>
          <w:sz w:val="32"/>
        </w:rPr>
        <w:t>9</w:t>
      </w:r>
      <w:r>
        <w:rPr>
          <w:rFonts w:ascii="Times New Roman" w:hAnsi="Times New Roman" w:eastAsia="仿宋_GB2312" w:cs="Arial"/>
          <w:b/>
          <w:bCs/>
          <w:sz w:val="32"/>
        </w:rPr>
        <w:t>.</w:t>
      </w:r>
      <w:r>
        <w:rPr>
          <w:rFonts w:hint="eastAsia" w:ascii="Times New Roman" w:hAnsi="Times New Roman" w:eastAsia="仿宋_GB2312" w:cs="Arial"/>
          <w:b/>
          <w:bCs/>
          <w:sz w:val="32"/>
        </w:rPr>
        <w:t>制定新能源配送货车补贴政策</w:t>
      </w:r>
    </w:p>
    <w:p>
      <w:pPr>
        <w:overflowPunct w:val="0"/>
        <w:spacing w:line="560" w:lineRule="exact"/>
        <w:ind w:firstLine="640" w:firstLineChars="200"/>
        <w:rPr>
          <w:rFonts w:hint="eastAsia" w:ascii="Times New Roman" w:hAnsi="Times New Roman" w:eastAsia="仿宋_GB2312" w:cs="Arial"/>
          <w:sz w:val="32"/>
          <w:lang w:eastAsia="zh-CN"/>
        </w:rPr>
      </w:pPr>
      <w:r>
        <w:rPr>
          <w:rFonts w:hint="eastAsia" w:ascii="Times New Roman" w:hAnsi="Times New Roman" w:eastAsia="仿宋_GB2312" w:cs="Arial"/>
          <w:sz w:val="32"/>
        </w:rPr>
        <w:t>完善新能源配送货车支持政策。加大对上资金争取力度，统筹各级财政补贴资金，加大对新能源配送货车政策支持力度，制定《南阳市中心城区新能源货运车辆运营补贴专项资金管理办法》，设立专项资金，给予年行驶里程超过规定里程的新能源货车运营补贴</w:t>
      </w:r>
      <w:r>
        <w:rPr>
          <w:rFonts w:hint="eastAsia" w:ascii="Times New Roman" w:hAnsi="Times New Roman" w:eastAsia="仿宋_GB2312" w:cs="Arial"/>
          <w:sz w:val="32"/>
          <w:lang w:eastAsia="zh-CN"/>
        </w:rPr>
        <w:t>，</w:t>
      </w:r>
      <w:r>
        <w:rPr>
          <w:rFonts w:hint="eastAsia" w:ascii="Times New Roman" w:hAnsi="Times New Roman" w:eastAsia="仿宋_GB2312" w:cs="Arial"/>
          <w:sz w:val="32"/>
        </w:rPr>
        <w:t>确保新能源配送货车各项补贴政策落到实处</w:t>
      </w:r>
      <w:r>
        <w:rPr>
          <w:rFonts w:hint="eastAsia" w:ascii="Times New Roman" w:hAnsi="Times New Roman" w:eastAsia="仿宋_GB2312" w:cs="Arial"/>
          <w:sz w:val="32"/>
          <w:lang w:eastAsia="zh-CN"/>
        </w:rPr>
        <w:t>。</w:t>
      </w:r>
    </w:p>
    <w:p>
      <w:pPr>
        <w:overflowPunct w:val="0"/>
        <w:spacing w:line="560" w:lineRule="exact"/>
        <w:ind w:firstLine="640" w:firstLineChars="200"/>
        <w:rPr>
          <w:rFonts w:ascii="Times New Roman" w:hAnsi="Times New Roman" w:eastAsia="仿宋_GB2312" w:cs="Arial"/>
          <w:sz w:val="32"/>
        </w:rPr>
      </w:pPr>
      <w:r>
        <w:rPr>
          <w:rFonts w:hint="eastAsia" w:ascii="Times New Roman" w:hAnsi="Times New Roman" w:eastAsia="仿宋_GB2312" w:cs="Arial"/>
          <w:sz w:val="32"/>
        </w:rPr>
        <w:t>牵头单位：市交通运输局</w:t>
      </w:r>
    </w:p>
    <w:p>
      <w:pPr>
        <w:overflowPunct w:val="0"/>
        <w:spacing w:line="560" w:lineRule="exact"/>
        <w:ind w:firstLine="640" w:firstLineChars="200"/>
        <w:rPr>
          <w:rFonts w:ascii="Times New Roman" w:hAnsi="Times New Roman" w:eastAsia="仿宋_GB2312" w:cs="Arial"/>
          <w:sz w:val="32"/>
        </w:rPr>
      </w:pPr>
      <w:r>
        <w:rPr>
          <w:rFonts w:hint="eastAsia" w:ascii="Times New Roman" w:hAnsi="Times New Roman" w:eastAsia="仿宋_GB2312" w:cs="Arial"/>
          <w:sz w:val="32"/>
        </w:rPr>
        <w:t>责任单位：市财政局、市公安局、市商务局</w:t>
      </w:r>
    </w:p>
    <w:p>
      <w:pPr>
        <w:pStyle w:val="8"/>
        <w:overflowPunct w:val="0"/>
        <w:spacing w:line="560" w:lineRule="exact"/>
        <w:ind w:firstLine="643"/>
        <w:rPr>
          <w:rFonts w:ascii="Times New Roman" w:hAnsi="Times New Roman" w:eastAsia="仿宋_GB2312" w:cs="Arial"/>
          <w:b/>
          <w:bCs/>
          <w:sz w:val="32"/>
        </w:rPr>
      </w:pPr>
      <w:r>
        <w:rPr>
          <w:rFonts w:hint="eastAsia" w:ascii="Times New Roman" w:hAnsi="Times New Roman" w:eastAsia="仿宋_GB2312" w:cs="Arial"/>
          <w:b/>
          <w:bCs/>
          <w:sz w:val="32"/>
        </w:rPr>
        <w:t>10</w:t>
      </w:r>
      <w:r>
        <w:rPr>
          <w:rFonts w:ascii="Times New Roman" w:hAnsi="Times New Roman" w:eastAsia="仿宋_GB2312" w:cs="Arial"/>
          <w:b/>
          <w:bCs/>
          <w:sz w:val="32"/>
        </w:rPr>
        <w:t>.</w:t>
      </w:r>
      <w:r>
        <w:rPr>
          <w:rFonts w:hint="eastAsia" w:ascii="Times New Roman" w:hAnsi="Times New Roman" w:eastAsia="仿宋_GB2312" w:cs="Arial"/>
          <w:b/>
          <w:bCs/>
          <w:sz w:val="32"/>
        </w:rPr>
        <w:t>推广应用新能源货车</w:t>
      </w:r>
    </w:p>
    <w:p>
      <w:pPr>
        <w:overflowPunct w:val="0"/>
        <w:spacing w:line="560" w:lineRule="exact"/>
        <w:ind w:firstLine="640" w:firstLineChars="200"/>
        <w:rPr>
          <w:rFonts w:ascii="Times New Roman" w:hAnsi="Times New Roman" w:eastAsia="仿宋_GB2312" w:cs="Arial"/>
          <w:sz w:val="32"/>
        </w:rPr>
      </w:pPr>
      <w:r>
        <w:rPr>
          <w:rFonts w:hint="eastAsia" w:ascii="Times New Roman" w:hAnsi="Times New Roman" w:eastAsia="仿宋_GB2312" w:cs="Arial"/>
          <w:sz w:val="32"/>
        </w:rPr>
        <w:t>制定南阳市城市配送新能源轻型货车推广应用激励规定，建立城区城配新能源货车名录库，加快推动我市存量轻型、微型燃油货车更换为新能源货车，提高新能源货车在城市货运配送车辆中的占比。支持社会资本参与新能源货车商业运营，探索创新融资租赁运营模式。</w:t>
      </w:r>
    </w:p>
    <w:p>
      <w:pPr>
        <w:overflowPunct w:val="0"/>
        <w:spacing w:line="560" w:lineRule="exact"/>
        <w:ind w:firstLine="640" w:firstLineChars="200"/>
        <w:rPr>
          <w:rFonts w:ascii="Times New Roman" w:hAnsi="Times New Roman" w:eastAsia="仿宋_GB2312" w:cs="Arial"/>
          <w:sz w:val="32"/>
        </w:rPr>
      </w:pPr>
      <w:r>
        <w:rPr>
          <w:rFonts w:hint="eastAsia" w:ascii="Times New Roman" w:hAnsi="Times New Roman" w:eastAsia="仿宋_GB2312" w:cs="Arial"/>
          <w:sz w:val="32"/>
        </w:rPr>
        <w:t>牵头单位：市交通运输局</w:t>
      </w:r>
    </w:p>
    <w:p>
      <w:pPr>
        <w:overflowPunct w:val="0"/>
        <w:spacing w:line="560" w:lineRule="exact"/>
        <w:ind w:firstLine="640" w:firstLineChars="200"/>
        <w:rPr>
          <w:rFonts w:ascii="Times New Roman" w:hAnsi="Times New Roman" w:eastAsia="仿宋_GB2312" w:cs="Arial"/>
          <w:sz w:val="32"/>
        </w:rPr>
      </w:pPr>
      <w:r>
        <w:rPr>
          <w:rFonts w:hint="eastAsia" w:ascii="Times New Roman" w:hAnsi="Times New Roman" w:eastAsia="仿宋_GB2312" w:cs="Arial"/>
          <w:sz w:val="32"/>
        </w:rPr>
        <w:t>责任单位：市财政局、市公安局、市商务局、市工信局</w:t>
      </w:r>
    </w:p>
    <w:p>
      <w:pPr>
        <w:overflowPunct w:val="0"/>
        <w:spacing w:line="560" w:lineRule="exact"/>
        <w:ind w:firstLine="643" w:firstLineChars="200"/>
        <w:rPr>
          <w:rFonts w:ascii="Times New Roman" w:hAnsi="Times New Roman" w:eastAsia="仿宋_GB2312" w:cs="楷体_GB2312"/>
          <w:b/>
          <w:bCs/>
          <w:sz w:val="32"/>
        </w:rPr>
      </w:pPr>
      <w:r>
        <w:rPr>
          <w:rFonts w:hint="eastAsia" w:ascii="Times New Roman" w:hAnsi="Times New Roman" w:eastAsia="仿宋_GB2312" w:cs="楷体_GB2312"/>
          <w:b/>
          <w:bCs/>
          <w:sz w:val="32"/>
        </w:rPr>
        <w:t>（四）强化绿色货运配送运输市场管理</w:t>
      </w:r>
    </w:p>
    <w:p>
      <w:pPr>
        <w:pStyle w:val="8"/>
        <w:overflowPunct w:val="0"/>
        <w:spacing w:line="560" w:lineRule="exact"/>
        <w:ind w:firstLine="643"/>
        <w:rPr>
          <w:rFonts w:ascii="Times New Roman" w:hAnsi="Times New Roman" w:eastAsia="仿宋_GB2312" w:cs="Arial"/>
          <w:b/>
          <w:bCs/>
          <w:sz w:val="32"/>
        </w:rPr>
      </w:pPr>
      <w:r>
        <w:rPr>
          <w:rFonts w:hint="eastAsia" w:ascii="Times New Roman" w:hAnsi="Times New Roman" w:eastAsia="仿宋_GB2312" w:cs="Arial"/>
          <w:b/>
          <w:bCs/>
          <w:sz w:val="32"/>
        </w:rPr>
        <w:t>1</w:t>
      </w:r>
      <w:r>
        <w:rPr>
          <w:rFonts w:ascii="Times New Roman" w:hAnsi="Times New Roman" w:eastAsia="仿宋_GB2312" w:cs="Arial"/>
          <w:b/>
          <w:bCs/>
          <w:sz w:val="32"/>
        </w:rPr>
        <w:t>1.</w:t>
      </w:r>
      <w:r>
        <w:rPr>
          <w:rFonts w:hint="eastAsia" w:ascii="Times New Roman" w:hAnsi="Times New Roman" w:eastAsia="仿宋_GB2312" w:cs="Arial"/>
          <w:b/>
          <w:bCs/>
          <w:sz w:val="32"/>
        </w:rPr>
        <w:t>培育绿色货运配送示范企业</w:t>
      </w:r>
    </w:p>
    <w:p>
      <w:pPr>
        <w:overflowPunct w:val="0"/>
        <w:spacing w:line="560" w:lineRule="exact"/>
        <w:ind w:firstLine="640" w:firstLineChars="200"/>
        <w:rPr>
          <w:rFonts w:ascii="Times New Roman" w:hAnsi="Times New Roman" w:eastAsia="仿宋_GB2312" w:cs="Arial"/>
          <w:sz w:val="32"/>
        </w:rPr>
      </w:pPr>
      <w:r>
        <w:rPr>
          <w:rFonts w:hint="eastAsia" w:ascii="Times New Roman" w:hAnsi="Times New Roman" w:eastAsia="仿宋_GB2312" w:cs="Arial"/>
          <w:sz w:val="32"/>
        </w:rPr>
        <w:t>制定《南阳市城市绿色货运配送示范企业认定办法》,培育一批服务规范、运作高效、模式先进的城市绿色货运配送示范企业。鼓励城市货运配送领域骨干企业和高成长性物流快递企业优化企业结构，创新配送模式，规范运营管理，打造城配品牌，争当行业标杆。</w:t>
      </w:r>
    </w:p>
    <w:p>
      <w:pPr>
        <w:overflowPunct w:val="0"/>
        <w:spacing w:line="560" w:lineRule="exact"/>
        <w:ind w:firstLine="640" w:firstLineChars="200"/>
        <w:rPr>
          <w:rFonts w:ascii="Times New Roman" w:hAnsi="Times New Roman" w:eastAsia="仿宋_GB2312" w:cs="Arial"/>
          <w:sz w:val="32"/>
        </w:rPr>
      </w:pPr>
      <w:r>
        <w:rPr>
          <w:rFonts w:hint="eastAsia" w:ascii="Times New Roman" w:hAnsi="Times New Roman" w:eastAsia="仿宋_GB2312" w:cs="Arial"/>
          <w:sz w:val="32"/>
        </w:rPr>
        <w:t>牵头单位：市交通运输局</w:t>
      </w:r>
    </w:p>
    <w:p>
      <w:pPr>
        <w:overflowPunct w:val="0"/>
        <w:spacing w:line="560" w:lineRule="exact"/>
        <w:ind w:firstLine="640" w:firstLineChars="200"/>
        <w:rPr>
          <w:rFonts w:ascii="Times New Roman" w:hAnsi="Times New Roman" w:eastAsia="仿宋_GB2312" w:cs="Arial"/>
          <w:sz w:val="32"/>
        </w:rPr>
      </w:pPr>
      <w:r>
        <w:rPr>
          <w:rFonts w:hint="eastAsia" w:ascii="Times New Roman" w:hAnsi="Times New Roman" w:eastAsia="仿宋_GB2312" w:cs="Arial"/>
          <w:sz w:val="32"/>
        </w:rPr>
        <w:t>责任单位：市商务局、市邮政管理局、市市场监督管理局</w:t>
      </w:r>
    </w:p>
    <w:p>
      <w:pPr>
        <w:pStyle w:val="8"/>
        <w:overflowPunct w:val="0"/>
        <w:spacing w:line="560" w:lineRule="exact"/>
        <w:ind w:firstLine="643"/>
        <w:rPr>
          <w:rFonts w:ascii="Times New Roman" w:hAnsi="Times New Roman" w:eastAsia="仿宋_GB2312" w:cs="Arial"/>
          <w:b/>
          <w:bCs/>
          <w:sz w:val="32"/>
        </w:rPr>
      </w:pPr>
      <w:r>
        <w:rPr>
          <w:rFonts w:ascii="Times New Roman" w:hAnsi="Times New Roman" w:eastAsia="仿宋_GB2312" w:cs="Arial"/>
          <w:b/>
          <w:bCs/>
          <w:sz w:val="32"/>
        </w:rPr>
        <w:t>1</w:t>
      </w:r>
      <w:r>
        <w:rPr>
          <w:rFonts w:hint="eastAsia" w:ascii="Times New Roman" w:hAnsi="Times New Roman" w:eastAsia="仿宋_GB2312" w:cs="Arial"/>
          <w:b/>
          <w:bCs/>
          <w:sz w:val="32"/>
        </w:rPr>
        <w:t>2</w:t>
      </w:r>
      <w:r>
        <w:rPr>
          <w:rFonts w:ascii="Times New Roman" w:hAnsi="Times New Roman" w:eastAsia="仿宋_GB2312" w:cs="Arial"/>
          <w:b/>
          <w:bCs/>
          <w:sz w:val="32"/>
        </w:rPr>
        <w:t>.</w:t>
      </w:r>
      <w:r>
        <w:rPr>
          <w:rFonts w:hint="eastAsia" w:ascii="Times New Roman" w:hAnsi="Times New Roman" w:eastAsia="仿宋_GB2312" w:cs="Arial"/>
          <w:b/>
          <w:bCs/>
          <w:sz w:val="32"/>
        </w:rPr>
        <w:t>强化配送市场管理</w:t>
      </w:r>
    </w:p>
    <w:p>
      <w:pPr>
        <w:overflowPunct w:val="0"/>
        <w:spacing w:line="560" w:lineRule="exact"/>
        <w:ind w:firstLine="640" w:firstLineChars="200"/>
        <w:rPr>
          <w:rFonts w:ascii="Times New Roman" w:hAnsi="Times New Roman" w:eastAsia="仿宋_GB2312" w:cs="Arial"/>
          <w:sz w:val="32"/>
        </w:rPr>
      </w:pPr>
      <w:r>
        <w:rPr>
          <w:rFonts w:hint="eastAsia" w:ascii="Times New Roman" w:hAnsi="Times New Roman" w:eastAsia="仿宋_GB2312" w:cs="Arial"/>
          <w:sz w:val="32"/>
        </w:rPr>
        <w:t>制定《南阳市绿色货运配送企业运营服务规范和考核管理办法》，明确示范企业从事城市配送的服务标准、质量保障、考核评价等内容，引导绿色货运配送企业规范健康发展。</w:t>
      </w:r>
    </w:p>
    <w:p>
      <w:pPr>
        <w:overflowPunct w:val="0"/>
        <w:spacing w:line="560" w:lineRule="exact"/>
        <w:ind w:firstLine="640" w:firstLineChars="200"/>
        <w:rPr>
          <w:rFonts w:ascii="Times New Roman" w:hAnsi="Times New Roman" w:eastAsia="仿宋_GB2312" w:cs="Arial"/>
          <w:sz w:val="32"/>
        </w:rPr>
      </w:pPr>
      <w:r>
        <w:rPr>
          <w:rFonts w:hint="eastAsia" w:ascii="Times New Roman" w:hAnsi="Times New Roman" w:eastAsia="仿宋_GB2312" w:cs="Arial"/>
          <w:sz w:val="32"/>
        </w:rPr>
        <w:t>牵头单位：市交通运输局</w:t>
      </w:r>
    </w:p>
    <w:p>
      <w:pPr>
        <w:overflowPunct w:val="0"/>
        <w:spacing w:line="560" w:lineRule="exact"/>
        <w:ind w:firstLine="640" w:firstLineChars="200"/>
        <w:rPr>
          <w:rFonts w:ascii="Times New Roman" w:hAnsi="Times New Roman" w:eastAsia="仿宋_GB2312" w:cs="Arial"/>
          <w:sz w:val="32"/>
        </w:rPr>
      </w:pPr>
      <w:r>
        <w:rPr>
          <w:rFonts w:hint="eastAsia" w:ascii="Times New Roman" w:hAnsi="Times New Roman" w:eastAsia="仿宋_GB2312" w:cs="Arial"/>
          <w:sz w:val="32"/>
        </w:rPr>
        <w:t>责任单位：市商务局、市公安局、市邮政管理局</w:t>
      </w:r>
    </w:p>
    <w:p>
      <w:pPr>
        <w:pStyle w:val="8"/>
        <w:overflowPunct w:val="0"/>
        <w:spacing w:line="560" w:lineRule="exact"/>
        <w:ind w:firstLine="643"/>
        <w:rPr>
          <w:rFonts w:ascii="Times New Roman" w:hAnsi="Times New Roman" w:eastAsia="仿宋_GB2312" w:cs="Arial"/>
          <w:b/>
          <w:bCs/>
          <w:sz w:val="32"/>
        </w:rPr>
      </w:pPr>
      <w:r>
        <w:rPr>
          <w:rFonts w:ascii="Times New Roman" w:hAnsi="Times New Roman" w:eastAsia="仿宋_GB2312" w:cs="Arial"/>
          <w:b/>
          <w:bCs/>
          <w:sz w:val="32"/>
        </w:rPr>
        <w:t>1</w:t>
      </w:r>
      <w:r>
        <w:rPr>
          <w:rFonts w:hint="eastAsia" w:ascii="Times New Roman" w:hAnsi="Times New Roman" w:eastAsia="仿宋_GB2312" w:cs="Arial"/>
          <w:b/>
          <w:bCs/>
          <w:sz w:val="32"/>
        </w:rPr>
        <w:t>3</w:t>
      </w:r>
      <w:r>
        <w:rPr>
          <w:rFonts w:ascii="Times New Roman" w:hAnsi="Times New Roman" w:eastAsia="仿宋_GB2312" w:cs="Arial"/>
          <w:b/>
          <w:bCs/>
          <w:sz w:val="32"/>
        </w:rPr>
        <w:t>.</w:t>
      </w:r>
      <w:r>
        <w:rPr>
          <w:rFonts w:hint="eastAsia" w:ascii="Times New Roman" w:hAnsi="Times New Roman" w:eastAsia="仿宋_GB2312" w:cs="Arial"/>
          <w:b/>
          <w:bCs/>
          <w:sz w:val="32"/>
        </w:rPr>
        <w:t>加大对违规主体查处力度</w:t>
      </w:r>
    </w:p>
    <w:p>
      <w:pPr>
        <w:overflowPunct w:val="0"/>
        <w:spacing w:line="560" w:lineRule="exact"/>
        <w:ind w:firstLine="640" w:firstLineChars="200"/>
        <w:rPr>
          <w:rFonts w:ascii="Times New Roman" w:hAnsi="Times New Roman" w:eastAsia="仿宋_GB2312" w:cs="Arial"/>
          <w:sz w:val="32"/>
        </w:rPr>
      </w:pPr>
      <w:r>
        <w:rPr>
          <w:rFonts w:hint="eastAsia" w:ascii="Times New Roman" w:hAnsi="Times New Roman" w:eastAsia="仿宋_GB2312" w:cs="Arial"/>
          <w:sz w:val="32"/>
        </w:rPr>
        <w:t>制定《南阳市城市配送市场整治方案》，加大对非法违规改装、超载超限、黄标车、无证运输等城市配送车辆查处与整治，着力规范城市配送市场秩序。加强城市绿色货运配送企业资质审核，建立配送市场准入、退出机制，强化市场监管和考核，建立企业诚信档案。</w:t>
      </w:r>
    </w:p>
    <w:p>
      <w:pPr>
        <w:overflowPunct w:val="0"/>
        <w:spacing w:line="560" w:lineRule="exact"/>
        <w:ind w:firstLine="640" w:firstLineChars="200"/>
        <w:rPr>
          <w:rFonts w:ascii="Times New Roman" w:hAnsi="Times New Roman" w:eastAsia="仿宋_GB2312" w:cs="Arial"/>
          <w:sz w:val="32"/>
        </w:rPr>
      </w:pPr>
      <w:r>
        <w:rPr>
          <w:rFonts w:hint="eastAsia" w:ascii="Times New Roman" w:hAnsi="Times New Roman" w:eastAsia="仿宋_GB2312" w:cs="Arial"/>
          <w:sz w:val="32"/>
        </w:rPr>
        <w:t>牵头单位：市交通运输局、市公安局</w:t>
      </w:r>
    </w:p>
    <w:p>
      <w:pPr>
        <w:overflowPunct w:val="0"/>
        <w:spacing w:line="560" w:lineRule="exact"/>
        <w:ind w:firstLine="640" w:firstLineChars="200"/>
        <w:rPr>
          <w:rFonts w:ascii="Times New Roman" w:hAnsi="Times New Roman" w:eastAsia="仿宋_GB2312" w:cs="Arial"/>
          <w:sz w:val="32"/>
        </w:rPr>
      </w:pPr>
      <w:r>
        <w:rPr>
          <w:rFonts w:hint="eastAsia" w:ascii="Times New Roman" w:hAnsi="Times New Roman" w:eastAsia="仿宋_GB2312" w:cs="Arial"/>
          <w:sz w:val="32"/>
        </w:rPr>
        <w:t>责任单位：市市场监督管理局、市商务局</w:t>
      </w:r>
    </w:p>
    <w:p>
      <w:pPr>
        <w:pStyle w:val="8"/>
        <w:overflowPunct w:val="0"/>
        <w:spacing w:line="560" w:lineRule="exact"/>
        <w:ind w:firstLine="643"/>
        <w:rPr>
          <w:rFonts w:ascii="Times New Roman" w:hAnsi="Times New Roman" w:eastAsia="仿宋_GB2312" w:cs="Arial"/>
          <w:b/>
          <w:bCs/>
          <w:sz w:val="32"/>
        </w:rPr>
      </w:pPr>
      <w:r>
        <w:rPr>
          <w:rFonts w:ascii="Times New Roman" w:hAnsi="Times New Roman" w:eastAsia="仿宋_GB2312" w:cs="Arial"/>
          <w:b/>
          <w:bCs/>
          <w:sz w:val="32"/>
        </w:rPr>
        <w:t>1</w:t>
      </w:r>
      <w:r>
        <w:rPr>
          <w:rFonts w:hint="eastAsia" w:ascii="Times New Roman" w:hAnsi="Times New Roman" w:eastAsia="仿宋_GB2312" w:cs="Arial"/>
          <w:b/>
          <w:bCs/>
          <w:sz w:val="32"/>
        </w:rPr>
        <w:t>4</w:t>
      </w:r>
      <w:r>
        <w:rPr>
          <w:rFonts w:ascii="Times New Roman" w:hAnsi="Times New Roman" w:eastAsia="仿宋_GB2312" w:cs="Arial"/>
          <w:b/>
          <w:bCs/>
          <w:sz w:val="32"/>
        </w:rPr>
        <w:t>.</w:t>
      </w:r>
      <w:r>
        <w:rPr>
          <w:rFonts w:hint="eastAsia" w:ascii="Times New Roman" w:hAnsi="Times New Roman" w:eastAsia="仿宋_GB2312" w:cs="Arial"/>
          <w:b/>
          <w:bCs/>
          <w:sz w:val="32"/>
        </w:rPr>
        <w:t>发展先进的配送组织模式</w:t>
      </w:r>
    </w:p>
    <w:p>
      <w:pPr>
        <w:overflowPunct w:val="0"/>
        <w:spacing w:line="560" w:lineRule="exact"/>
        <w:ind w:firstLine="640" w:firstLineChars="200"/>
        <w:rPr>
          <w:rFonts w:ascii="Times New Roman" w:hAnsi="Times New Roman" w:eastAsia="仿宋_GB2312" w:cs="Arial"/>
          <w:sz w:val="32"/>
        </w:rPr>
      </w:pPr>
      <w:r>
        <w:rPr>
          <w:rFonts w:hint="eastAsia" w:ascii="Times New Roman" w:hAnsi="Times New Roman" w:eastAsia="仿宋_GB2312" w:cs="Arial"/>
          <w:sz w:val="32"/>
        </w:rPr>
        <w:t>引导城市配送企业通过集中存储、统一库管、按需配送、协调运输的方式整合资源，积极发展集中配送、协同配送、共同配送等模式。大力推行“统仓统配”“多仓共配”“社区物流”等仓配一体化的先进物流配送模式。推广高效安全节能制冷技术和装备的应用。按照“多站合一、资源共享”模式，加快农产品进城和快消品下乡的双向物流配送体系建设。强化冷链物流基础设施建设，着力构建现代冷链物流体系。</w:t>
      </w:r>
    </w:p>
    <w:p>
      <w:pPr>
        <w:overflowPunct w:val="0"/>
        <w:spacing w:line="560" w:lineRule="exact"/>
        <w:ind w:firstLine="640" w:firstLineChars="200"/>
        <w:rPr>
          <w:rFonts w:ascii="Times New Roman" w:hAnsi="Times New Roman" w:eastAsia="仿宋_GB2312" w:cs="Arial"/>
          <w:sz w:val="32"/>
        </w:rPr>
      </w:pPr>
      <w:r>
        <w:rPr>
          <w:rFonts w:hint="eastAsia" w:ascii="Times New Roman" w:hAnsi="Times New Roman" w:eastAsia="仿宋_GB2312" w:cs="Arial"/>
          <w:sz w:val="32"/>
        </w:rPr>
        <w:t>牵头单位：市商务局</w:t>
      </w:r>
    </w:p>
    <w:p>
      <w:pPr>
        <w:overflowPunct w:val="0"/>
        <w:spacing w:line="560" w:lineRule="exact"/>
        <w:ind w:firstLine="640" w:firstLineChars="200"/>
        <w:rPr>
          <w:rFonts w:ascii="Times New Roman" w:hAnsi="Times New Roman" w:eastAsia="仿宋_GB2312" w:cs="Arial"/>
          <w:sz w:val="32"/>
        </w:rPr>
      </w:pPr>
      <w:r>
        <w:rPr>
          <w:rFonts w:hint="eastAsia" w:ascii="Times New Roman" w:hAnsi="Times New Roman" w:eastAsia="仿宋_GB2312" w:cs="Arial"/>
          <w:sz w:val="32"/>
        </w:rPr>
        <w:t>责任单位：市交通运输局、市邮政管理局</w:t>
      </w:r>
    </w:p>
    <w:p>
      <w:pPr>
        <w:overflowPunct w:val="0"/>
        <w:spacing w:line="560" w:lineRule="exact"/>
        <w:ind w:firstLine="643" w:firstLineChars="200"/>
        <w:rPr>
          <w:rFonts w:ascii="Times New Roman" w:hAnsi="Times New Roman" w:eastAsia="仿宋_GB2312" w:cs="楷体_GB2312"/>
          <w:b/>
          <w:bCs/>
          <w:sz w:val="32"/>
        </w:rPr>
      </w:pPr>
      <w:r>
        <w:rPr>
          <w:rFonts w:hint="eastAsia" w:ascii="Times New Roman" w:hAnsi="Times New Roman" w:eastAsia="仿宋_GB2312" w:cs="楷体_GB2312"/>
          <w:b/>
          <w:bCs/>
          <w:sz w:val="32"/>
        </w:rPr>
        <w:t>（五）加快城市货运配送信息化建设</w:t>
      </w:r>
    </w:p>
    <w:p>
      <w:pPr>
        <w:pStyle w:val="8"/>
        <w:overflowPunct w:val="0"/>
        <w:spacing w:line="560" w:lineRule="exact"/>
        <w:ind w:firstLine="643"/>
        <w:rPr>
          <w:rFonts w:ascii="Times New Roman" w:hAnsi="Times New Roman" w:eastAsia="仿宋_GB2312" w:cs="Arial"/>
          <w:b/>
          <w:sz w:val="32"/>
        </w:rPr>
      </w:pPr>
      <w:r>
        <w:rPr>
          <w:rFonts w:ascii="Times New Roman" w:hAnsi="Times New Roman" w:eastAsia="仿宋_GB2312" w:cs="Arial"/>
          <w:b/>
          <w:sz w:val="32"/>
        </w:rPr>
        <w:t>1</w:t>
      </w:r>
      <w:r>
        <w:rPr>
          <w:rFonts w:hint="eastAsia" w:ascii="Times New Roman" w:hAnsi="Times New Roman" w:eastAsia="仿宋_GB2312" w:cs="Arial"/>
          <w:b/>
          <w:sz w:val="32"/>
        </w:rPr>
        <w:t>5</w:t>
      </w:r>
      <w:r>
        <w:rPr>
          <w:rFonts w:ascii="Times New Roman" w:hAnsi="Times New Roman" w:eastAsia="仿宋_GB2312" w:cs="Arial"/>
          <w:b/>
          <w:sz w:val="32"/>
        </w:rPr>
        <w:t>.</w:t>
      </w:r>
      <w:r>
        <w:rPr>
          <w:rFonts w:hint="eastAsia" w:ascii="Times New Roman" w:hAnsi="Times New Roman" w:eastAsia="仿宋_GB2312" w:cs="Arial"/>
          <w:b/>
          <w:sz w:val="32"/>
        </w:rPr>
        <w:t>推进城市配送公共信息服务平台建设</w:t>
      </w:r>
    </w:p>
    <w:p>
      <w:pPr>
        <w:overflowPunct w:val="0"/>
        <w:spacing w:line="560" w:lineRule="exact"/>
        <w:ind w:firstLine="640" w:firstLineChars="200"/>
        <w:rPr>
          <w:rFonts w:ascii="Times New Roman" w:hAnsi="Times New Roman" w:eastAsia="仿宋_GB2312" w:cs="Arial"/>
          <w:sz w:val="32"/>
        </w:rPr>
      </w:pPr>
      <w:r>
        <w:rPr>
          <w:rFonts w:hint="eastAsia" w:ascii="Times New Roman" w:hAnsi="Times New Roman" w:eastAsia="仿宋_GB2312" w:cs="Arial"/>
          <w:sz w:val="32"/>
        </w:rPr>
        <w:t>充分发挥信息化、智能化在城市货运配送领域的作用，打造“政府门户+资源共享+城配监测+运营服务”四位一体的城市绿色货运配送公共信息服务平台；整合新能源货运配送车辆数据、绿配示范企业数据、政务数据、城市配送三级网络节点、停靠设施、充电设施、充电数据等信息资源，实现互联互通，集成展示。建立政府与企业之间信息化链接，实现城市货运配送活动的科学组织、智能化监测与管理服务。</w:t>
      </w:r>
    </w:p>
    <w:p>
      <w:pPr>
        <w:overflowPunct w:val="0"/>
        <w:spacing w:line="560" w:lineRule="exact"/>
        <w:ind w:firstLine="640" w:firstLineChars="200"/>
        <w:rPr>
          <w:rFonts w:ascii="Times New Roman" w:hAnsi="Times New Roman" w:eastAsia="仿宋_GB2312" w:cs="Arial"/>
          <w:sz w:val="32"/>
        </w:rPr>
      </w:pPr>
      <w:r>
        <w:rPr>
          <w:rFonts w:hint="eastAsia" w:ascii="Times New Roman" w:hAnsi="Times New Roman" w:eastAsia="仿宋_GB2312" w:cs="Arial"/>
          <w:sz w:val="32"/>
        </w:rPr>
        <w:t>牵头单位：市交通运输局</w:t>
      </w:r>
    </w:p>
    <w:p>
      <w:pPr>
        <w:overflowPunct w:val="0"/>
        <w:spacing w:line="560" w:lineRule="exact"/>
        <w:ind w:firstLine="640" w:firstLineChars="200"/>
        <w:rPr>
          <w:rFonts w:ascii="Times New Roman" w:hAnsi="Times New Roman" w:eastAsia="仿宋_GB2312" w:cs="Arial"/>
          <w:sz w:val="32"/>
        </w:rPr>
      </w:pPr>
      <w:r>
        <w:rPr>
          <w:rFonts w:hint="eastAsia" w:ascii="Times New Roman" w:hAnsi="Times New Roman" w:eastAsia="仿宋_GB2312" w:cs="Arial"/>
          <w:sz w:val="32"/>
        </w:rPr>
        <w:t>责任单位：市商务局、市政数局、市城管局、市邮政管理局</w:t>
      </w:r>
    </w:p>
    <w:p>
      <w:pPr>
        <w:overflowPunct w:val="0"/>
        <w:spacing w:line="560" w:lineRule="exact"/>
        <w:ind w:firstLine="640" w:firstLineChars="200"/>
        <w:rPr>
          <w:rFonts w:ascii="黑体" w:hAnsi="黑体" w:eastAsia="黑体" w:cs="黑体"/>
          <w:sz w:val="32"/>
        </w:rPr>
      </w:pPr>
      <w:r>
        <w:rPr>
          <w:rFonts w:hint="eastAsia" w:ascii="黑体" w:hAnsi="黑体" w:eastAsia="黑体" w:cs="黑体"/>
          <w:sz w:val="32"/>
        </w:rPr>
        <w:t>四、保障措施</w:t>
      </w:r>
    </w:p>
    <w:p>
      <w:pPr>
        <w:overflowPunct w:val="0"/>
        <w:spacing w:line="560" w:lineRule="exact"/>
        <w:ind w:firstLine="643" w:firstLineChars="200"/>
        <w:rPr>
          <w:rFonts w:ascii="Times New Roman" w:hAnsi="Times New Roman" w:eastAsia="仿宋_GB2312" w:cs="楷体_GB2312"/>
          <w:b/>
          <w:bCs/>
          <w:sz w:val="32"/>
        </w:rPr>
      </w:pPr>
      <w:r>
        <w:rPr>
          <w:rFonts w:hint="eastAsia" w:ascii="Times New Roman" w:hAnsi="Times New Roman" w:eastAsia="仿宋_GB2312" w:cs="楷体_GB2312"/>
          <w:b/>
          <w:bCs/>
          <w:sz w:val="32"/>
        </w:rPr>
        <w:t>（一）加强组织领导</w:t>
      </w:r>
    </w:p>
    <w:p>
      <w:pPr>
        <w:overflowPunct w:val="0"/>
        <w:spacing w:line="560" w:lineRule="exact"/>
        <w:ind w:firstLine="640" w:firstLineChars="200"/>
        <w:rPr>
          <w:rFonts w:ascii="Times New Roman" w:hAnsi="Times New Roman" w:eastAsia="仿宋_GB2312" w:cs="Arial"/>
          <w:sz w:val="32"/>
        </w:rPr>
      </w:pPr>
      <w:r>
        <w:rPr>
          <w:rFonts w:hint="eastAsia" w:ascii="Times New Roman" w:hAnsi="Times New Roman" w:eastAsia="仿宋_GB2312" w:cs="Arial"/>
          <w:sz w:val="32"/>
        </w:rPr>
        <w:t>市政府成立南阳市绿色货运配送示范工程创建领导小组，统一领导和指导示范工程创建工作。领导小组下设办公室，负责日常组织、协调等工作。各相关部门要加强协调，按照职责分工抓好落实。</w:t>
      </w:r>
    </w:p>
    <w:p>
      <w:pPr>
        <w:overflowPunct w:val="0"/>
        <w:spacing w:line="560" w:lineRule="exact"/>
        <w:ind w:firstLine="643" w:firstLineChars="200"/>
        <w:rPr>
          <w:rFonts w:ascii="Times New Roman" w:hAnsi="Times New Roman" w:eastAsia="仿宋_GB2312" w:cs="楷体_GB2312"/>
          <w:b/>
          <w:bCs/>
          <w:sz w:val="32"/>
        </w:rPr>
      </w:pPr>
      <w:r>
        <w:rPr>
          <w:rFonts w:hint="eastAsia" w:ascii="Times New Roman" w:hAnsi="Times New Roman" w:eastAsia="仿宋_GB2312" w:cs="楷体_GB2312"/>
          <w:b/>
          <w:bCs/>
          <w:sz w:val="32"/>
        </w:rPr>
        <w:t>（二）加强协调联动</w:t>
      </w:r>
    </w:p>
    <w:p>
      <w:pPr>
        <w:overflowPunct w:val="0"/>
        <w:spacing w:line="560" w:lineRule="exact"/>
        <w:ind w:firstLine="640" w:firstLineChars="200"/>
        <w:rPr>
          <w:rFonts w:ascii="Times New Roman" w:hAnsi="Times New Roman" w:eastAsia="仿宋_GB2312" w:cs="Arial"/>
          <w:sz w:val="32"/>
        </w:rPr>
      </w:pPr>
      <w:r>
        <w:rPr>
          <w:rFonts w:hint="eastAsia" w:ascii="Times New Roman" w:hAnsi="Times New Roman" w:eastAsia="仿宋_GB2312" w:cs="Arial"/>
          <w:sz w:val="32"/>
        </w:rPr>
        <w:t>建立联席会议制度，适时召开专题会议，研究解决城市配送网络节点体系建设、配送车辆城区通行、总量调控、先进组织模式推广应用等方面的重大问题。</w:t>
      </w:r>
    </w:p>
    <w:p>
      <w:pPr>
        <w:overflowPunct w:val="0"/>
        <w:spacing w:line="560" w:lineRule="exact"/>
        <w:ind w:firstLine="643" w:firstLineChars="200"/>
        <w:rPr>
          <w:rFonts w:ascii="Times New Roman" w:hAnsi="Times New Roman" w:eastAsia="仿宋_GB2312" w:cs="楷体_GB2312"/>
          <w:b/>
          <w:bCs/>
          <w:sz w:val="32"/>
        </w:rPr>
      </w:pPr>
      <w:r>
        <w:rPr>
          <w:rFonts w:hint="eastAsia" w:ascii="Times New Roman" w:hAnsi="Times New Roman" w:eastAsia="仿宋_GB2312" w:cs="楷体_GB2312"/>
          <w:b/>
          <w:bCs/>
          <w:sz w:val="32"/>
        </w:rPr>
        <w:t>（三）加大资金保障</w:t>
      </w:r>
    </w:p>
    <w:p>
      <w:pPr>
        <w:overflowPunct w:val="0"/>
        <w:spacing w:line="560" w:lineRule="exact"/>
        <w:ind w:firstLine="640" w:firstLineChars="200"/>
        <w:rPr>
          <w:rFonts w:hint="eastAsia" w:ascii="Times New Roman" w:hAnsi="Times New Roman" w:eastAsia="仿宋_GB2312" w:cs="Arial"/>
          <w:sz w:val="32"/>
        </w:rPr>
      </w:pPr>
      <w:r>
        <w:rPr>
          <w:rFonts w:hint="eastAsia" w:ascii="Times New Roman" w:hAnsi="Times New Roman" w:eastAsia="仿宋_GB2312" w:cs="Arial"/>
          <w:sz w:val="32"/>
        </w:rPr>
        <w:t>支持符合条件的物流企业依据有关政策申请上级相关专项资金，推动金融机构加大对物流行业的信贷支持。统筹整合支持物流业发展的各级财政资金，引导社会资金参与，加大对绿色货运配送企业的支持扶持力度力度。</w:t>
      </w:r>
    </w:p>
    <w:p>
      <w:pPr>
        <w:overflowPunct w:val="0"/>
        <w:spacing w:line="560" w:lineRule="exact"/>
        <w:ind w:firstLine="643" w:firstLineChars="200"/>
        <w:rPr>
          <w:rFonts w:ascii="Times New Roman" w:hAnsi="Times New Roman" w:eastAsia="仿宋_GB2312" w:cs="楷体_GB2312"/>
          <w:b/>
          <w:bCs/>
          <w:sz w:val="32"/>
        </w:rPr>
      </w:pPr>
      <w:bookmarkStart w:id="3" w:name="_GoBack"/>
      <w:bookmarkEnd w:id="3"/>
      <w:r>
        <w:rPr>
          <w:rFonts w:hint="eastAsia" w:ascii="Times New Roman" w:hAnsi="Times New Roman" w:eastAsia="仿宋_GB2312" w:cs="楷体_GB2312"/>
          <w:b/>
          <w:bCs/>
          <w:sz w:val="32"/>
        </w:rPr>
        <w:t>（四）强化督导检查</w:t>
      </w:r>
    </w:p>
    <w:p>
      <w:pPr>
        <w:overflowPunct w:val="0"/>
        <w:spacing w:line="560" w:lineRule="exact"/>
        <w:ind w:firstLine="640" w:firstLineChars="200"/>
        <w:rPr>
          <w:rFonts w:ascii="Times New Roman" w:hAnsi="Times New Roman" w:eastAsia="仿宋_GB2312" w:cs="Arial"/>
          <w:sz w:val="32"/>
        </w:rPr>
      </w:pPr>
      <w:r>
        <w:rPr>
          <w:rFonts w:hint="eastAsia" w:ascii="Times New Roman" w:hAnsi="Times New Roman" w:eastAsia="仿宋_GB2312" w:cs="Arial"/>
          <w:sz w:val="32"/>
        </w:rPr>
        <w:t>示范工程创建工作纳入市政府目标管理，列入重点工作督查内容，市政府督查局将加强对相关部门创建工作推进情况的督导检查，确保顺利完成创建任务。</w:t>
      </w:r>
    </w:p>
    <w:p>
      <w:pPr>
        <w:overflowPunct w:val="0"/>
        <w:spacing w:line="560" w:lineRule="exact"/>
        <w:rPr>
          <w:rFonts w:ascii="Times New Roman" w:hAnsi="Times New Roman" w:eastAsia="仿宋_GB2312" w:cs="Arial"/>
          <w:sz w:val="32"/>
        </w:rPr>
      </w:pPr>
    </w:p>
    <w:p>
      <w:pPr>
        <w:overflowPunct w:val="0"/>
        <w:spacing w:line="560" w:lineRule="exact"/>
        <w:ind w:firstLine="640" w:firstLineChars="200"/>
        <w:rPr>
          <w:rFonts w:hint="eastAsia" w:ascii="Times New Roman" w:hAnsi="Times New Roman" w:eastAsia="仿宋_GB2312" w:cs="Arial"/>
          <w:spacing w:val="-6"/>
          <w:sz w:val="32"/>
          <w:lang w:val="en-US" w:eastAsia="zh-CN"/>
        </w:rPr>
      </w:pPr>
      <w:r>
        <w:rPr>
          <w:rFonts w:hint="eastAsia" w:ascii="Times New Roman" w:hAnsi="Times New Roman" w:eastAsia="仿宋_GB2312" w:cs="Arial"/>
          <w:sz w:val="32"/>
        </w:rPr>
        <w:t>附件：</w:t>
      </w:r>
      <w:r>
        <w:rPr>
          <w:rFonts w:hint="eastAsia" w:ascii="Times New Roman" w:hAnsi="Times New Roman" w:eastAsia="仿宋_GB2312" w:cs="Arial"/>
          <w:sz w:val="32"/>
          <w:lang w:val="en-US" w:eastAsia="zh-CN"/>
        </w:rPr>
        <w:t>1、</w:t>
      </w:r>
      <w:r>
        <w:rPr>
          <w:rFonts w:hint="eastAsia" w:ascii="Times New Roman" w:hAnsi="Times New Roman" w:eastAsia="仿宋_GB2312" w:cs="Arial"/>
          <w:spacing w:val="-6"/>
          <w:sz w:val="32"/>
          <w:lang w:val="en-US" w:eastAsia="zh-CN"/>
        </w:rPr>
        <w:t>南阳市绿色货运配送示范工程领导小组成员名单</w:t>
      </w:r>
    </w:p>
    <w:p>
      <w:pPr>
        <w:overflowPunct w:val="0"/>
        <w:spacing w:line="560" w:lineRule="exact"/>
        <w:ind w:firstLine="1600" w:firstLineChars="500"/>
        <w:rPr>
          <w:rFonts w:hint="eastAsia" w:ascii="Times New Roman" w:hAnsi="Times New Roman" w:eastAsia="仿宋_GB2312" w:cs="Arial"/>
          <w:spacing w:val="-6"/>
          <w:sz w:val="32"/>
          <w:lang w:val="en-US" w:eastAsia="zh-CN"/>
        </w:rPr>
      </w:pPr>
      <w:r>
        <w:rPr>
          <w:rFonts w:hint="eastAsia" w:ascii="Times New Roman" w:hAnsi="Times New Roman" w:eastAsia="仿宋_GB2312" w:cs="Arial"/>
          <w:sz w:val="32"/>
          <w:lang w:val="en-US" w:eastAsia="zh-CN"/>
        </w:rPr>
        <w:t>2、</w:t>
      </w:r>
      <w:r>
        <w:rPr>
          <w:rFonts w:hint="eastAsia" w:ascii="Times New Roman" w:hAnsi="Times New Roman" w:eastAsia="仿宋_GB2312" w:cs="Arial"/>
          <w:spacing w:val="-6"/>
          <w:sz w:val="32"/>
        </w:rPr>
        <w:t>南阳市绿色货运配送示范工程创建重点任务</w:t>
      </w:r>
      <w:r>
        <w:rPr>
          <w:rFonts w:hint="eastAsia" w:ascii="Times New Roman" w:hAnsi="Times New Roman" w:eastAsia="仿宋_GB2312" w:cs="Arial"/>
          <w:spacing w:val="-6"/>
          <w:sz w:val="32"/>
          <w:lang w:val="en-US" w:eastAsia="zh-CN"/>
        </w:rPr>
        <w:t>台账</w:t>
      </w:r>
    </w:p>
    <w:p>
      <w:pPr>
        <w:overflowPunct w:val="0"/>
        <w:spacing w:line="560" w:lineRule="exact"/>
        <w:ind w:firstLine="640" w:firstLineChars="200"/>
        <w:rPr>
          <w:rFonts w:hint="eastAsia" w:ascii="Times New Roman" w:hAnsi="Times New Roman" w:eastAsia="仿宋_GB2312" w:cs="Arial"/>
          <w:sz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pacing w:val="-11"/>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pacing w:val="-11"/>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pacing w:val="-11"/>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pacing w:val="-11"/>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pacing w:val="-11"/>
          <w:sz w:val="32"/>
          <w:szCs w:val="32"/>
          <w:lang w:eastAsia="zh-CN"/>
        </w:rPr>
      </w:pPr>
      <w:r>
        <w:rPr>
          <w:rFonts w:hint="eastAsia" w:ascii="黑体" w:hAnsi="黑体" w:eastAsia="黑体" w:cs="黑体"/>
          <w:spacing w:val="-11"/>
          <w:sz w:val="32"/>
          <w:szCs w:val="32"/>
          <w:lang w:eastAsia="zh-CN"/>
        </w:rPr>
        <w:t>附件</w:t>
      </w:r>
      <w:r>
        <w:rPr>
          <w:rFonts w:hint="eastAsia" w:ascii="黑体" w:hAnsi="黑体" w:eastAsia="黑体" w:cs="黑体"/>
          <w:spacing w:val="-11"/>
          <w:sz w:val="32"/>
          <w:szCs w:val="32"/>
          <w:lang w:val="en-US" w:eastAsia="zh-CN"/>
        </w:rPr>
        <w:t>1</w:t>
      </w:r>
      <w:r>
        <w:rPr>
          <w:rFonts w:hint="eastAsia" w:ascii="黑体" w:hAnsi="黑体" w:eastAsia="黑体" w:cs="黑体"/>
          <w:spacing w:val="-1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pacing w:val="-11"/>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pacing w:val="-11"/>
          <w:sz w:val="40"/>
          <w:szCs w:val="48"/>
          <w:lang w:eastAsia="zh-CN"/>
        </w:rPr>
      </w:pPr>
      <w:r>
        <w:rPr>
          <w:rFonts w:hint="eastAsia" w:ascii="方正小标宋_GBK" w:hAnsi="方正小标宋_GBK" w:eastAsia="方正小标宋_GBK" w:cs="方正小标宋_GBK"/>
          <w:spacing w:val="-11"/>
          <w:sz w:val="40"/>
          <w:szCs w:val="48"/>
          <w:lang w:eastAsia="zh-CN"/>
        </w:rPr>
        <w:t>南阳市绿色货运配送示范工程领导小组成员名单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pacing w:val="-11"/>
          <w:sz w:val="40"/>
          <w:szCs w:val="48"/>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长：周华锋</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副市长</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副组长：陈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市政府副秘书长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张栓誉  </w:t>
      </w:r>
      <w:r>
        <w:rPr>
          <w:rFonts w:hint="eastAsia" w:ascii="仿宋_GB2312" w:hAnsi="仿宋_GB2312" w:eastAsia="仿宋_GB2312" w:cs="仿宋_GB2312"/>
          <w:sz w:val="32"/>
          <w:szCs w:val="32"/>
          <w:lang w:eastAsia="zh-CN"/>
        </w:rPr>
        <w:t>市交通运输局局长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杨振中  </w:t>
      </w:r>
      <w:r>
        <w:rPr>
          <w:rFonts w:hint="eastAsia" w:ascii="仿宋_GB2312" w:hAnsi="仿宋_GB2312" w:eastAsia="仿宋_GB2312" w:cs="仿宋_GB2312"/>
          <w:sz w:val="32"/>
          <w:szCs w:val="32"/>
          <w:lang w:eastAsia="zh-CN"/>
        </w:rPr>
        <w:t>市商务局局长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姜  江  </w:t>
      </w:r>
      <w:r>
        <w:rPr>
          <w:rFonts w:hint="eastAsia" w:ascii="仿宋_GB2312" w:hAnsi="仿宋_GB2312" w:eastAsia="仿宋_GB2312" w:cs="仿宋_GB2312"/>
          <w:sz w:val="32"/>
          <w:szCs w:val="32"/>
          <w:lang w:eastAsia="zh-CN"/>
        </w:rPr>
        <w:t>市公安局党委委员、副局长、交通管理</w:t>
      </w: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支队支队长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员：任</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栋</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市发展和改革委员会四级调研员</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尚</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磊</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市财政局副局长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徐文磊  </w:t>
      </w:r>
      <w:r>
        <w:rPr>
          <w:rFonts w:hint="eastAsia" w:ascii="仿宋_GB2312" w:hAnsi="仿宋_GB2312" w:eastAsia="仿宋_GB2312" w:cs="仿宋_GB2312"/>
          <w:sz w:val="32"/>
          <w:szCs w:val="32"/>
          <w:lang w:eastAsia="zh-CN"/>
        </w:rPr>
        <w:t>市工业和信息化局副局长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尹永正</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市生态环境局副局长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陈立新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市住房和城乡建设局副局长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刘</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宁</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市自然资源和规划局副局长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lang w:val="en-US" w:eastAsia="zh-CN"/>
        </w:rPr>
        <w:t xml:space="preserve">耿松颖  </w:t>
      </w:r>
      <w:r>
        <w:rPr>
          <w:rFonts w:hint="eastAsia" w:ascii="仿宋_GB2312" w:hAnsi="仿宋_GB2312" w:eastAsia="仿宋_GB2312" w:cs="仿宋_GB2312"/>
          <w:sz w:val="32"/>
          <w:szCs w:val="32"/>
          <w:u w:val="none"/>
          <w:lang w:eastAsia="zh-CN"/>
        </w:rPr>
        <w:t>市商务局副局长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庄春旭  </w:t>
      </w:r>
      <w:r>
        <w:rPr>
          <w:rFonts w:hint="eastAsia" w:ascii="仿宋_GB2312" w:hAnsi="仿宋_GB2312" w:eastAsia="仿宋_GB2312" w:cs="仿宋_GB2312"/>
          <w:sz w:val="32"/>
          <w:szCs w:val="32"/>
          <w:lang w:eastAsia="zh-CN"/>
        </w:rPr>
        <w:t>市城市管理局副局长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郭伟山</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市市场监督管理局副局长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李冬冬</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市政务服务和大数据管理局副局长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宋怀成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市交通运输局副局长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杨澎波  </w:t>
      </w:r>
      <w:r>
        <w:rPr>
          <w:rFonts w:hint="eastAsia" w:ascii="仿宋_GB2312" w:hAnsi="仿宋_GB2312" w:eastAsia="仿宋_GB2312" w:cs="仿宋_GB2312"/>
          <w:sz w:val="32"/>
          <w:szCs w:val="32"/>
          <w:lang w:eastAsia="zh-CN"/>
        </w:rPr>
        <w:t>市邮政管理局副局长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王沛然  市道路运输服务中心主任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唐  锋  </w:t>
      </w:r>
      <w:r>
        <w:rPr>
          <w:rFonts w:hint="eastAsia" w:ascii="仿宋_GB2312" w:hAnsi="仿宋_GB2312" w:eastAsia="仿宋_GB2312" w:cs="仿宋_GB2312"/>
          <w:sz w:val="32"/>
          <w:szCs w:val="32"/>
          <w:lang w:eastAsia="zh-CN"/>
        </w:rPr>
        <w:t>市公安交警支队副支队长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Arial"/>
          <w:sz w:val="32"/>
        </w:rPr>
      </w:pPr>
      <w:r>
        <w:rPr>
          <w:rFonts w:hint="eastAsia" w:ascii="仿宋_GB2312" w:hAnsi="仿宋_GB2312" w:eastAsia="仿宋_GB2312" w:cs="仿宋_GB2312"/>
          <w:sz w:val="32"/>
          <w:szCs w:val="32"/>
          <w:lang w:eastAsia="zh-CN"/>
        </w:rPr>
        <w:t xml:space="preserve">    领导小组下设办公室，办公室设在市交通运输局，</w:t>
      </w:r>
      <w:r>
        <w:rPr>
          <w:rFonts w:hint="eastAsia" w:ascii="仿宋_GB2312" w:hAnsi="仿宋_GB2312" w:eastAsia="仿宋_GB2312" w:cs="仿宋_GB2312"/>
          <w:sz w:val="32"/>
          <w:szCs w:val="32"/>
          <w:lang w:val="en-US" w:eastAsia="zh-CN"/>
        </w:rPr>
        <w:t>张栓誉</w:t>
      </w:r>
      <w:r>
        <w:rPr>
          <w:rFonts w:hint="eastAsia" w:ascii="仿宋_GB2312" w:hAnsi="仿宋_GB2312" w:eastAsia="仿宋_GB2312" w:cs="仿宋_GB2312"/>
          <w:sz w:val="32"/>
          <w:szCs w:val="32"/>
          <w:lang w:eastAsia="zh-CN"/>
        </w:rPr>
        <w:t>兼任办公室主任，</w:t>
      </w:r>
      <w:r>
        <w:rPr>
          <w:rFonts w:hint="eastAsia" w:ascii="仿宋_GB2312" w:hAnsi="仿宋_GB2312" w:eastAsia="仿宋_GB2312" w:cs="仿宋_GB2312"/>
          <w:sz w:val="32"/>
          <w:szCs w:val="32"/>
          <w:lang w:val="en-US" w:eastAsia="zh-CN"/>
        </w:rPr>
        <w:t>宋怀成、耿松颖、唐锋</w:t>
      </w:r>
      <w:r>
        <w:rPr>
          <w:rFonts w:hint="eastAsia" w:ascii="仿宋_GB2312" w:hAnsi="仿宋_GB2312" w:eastAsia="仿宋_GB2312" w:cs="仿宋_GB2312"/>
          <w:sz w:val="32"/>
          <w:szCs w:val="32"/>
          <w:lang w:eastAsia="zh-CN"/>
        </w:rPr>
        <w:t>兼任办公室副主任，具体负责城市绿色货运配送示范工程创建的日常工作。</w:t>
      </w:r>
    </w:p>
    <w:p>
      <w:pPr>
        <w:overflowPunct w:val="0"/>
        <w:spacing w:line="560" w:lineRule="exact"/>
        <w:ind w:firstLine="640" w:firstLineChars="200"/>
        <w:rPr>
          <w:rFonts w:hint="eastAsia" w:ascii="Times New Roman" w:hAnsi="Times New Roman" w:eastAsia="仿宋_GB2312" w:cs="Arial"/>
          <w:sz w:val="32"/>
          <w:lang w:val="en-US" w:eastAsia="zh-CN"/>
        </w:rPr>
        <w:sectPr>
          <w:footerReference r:id="rId3" w:type="default"/>
          <w:pgSz w:w="11906" w:h="16838"/>
          <w:pgMar w:top="1701" w:right="1701" w:bottom="1701" w:left="1701" w:header="851" w:footer="1134" w:gutter="0"/>
          <w:cols w:space="0" w:num="1"/>
          <w:docGrid w:type="lines" w:linePitch="312" w:charSpace="0"/>
        </w:sectPr>
      </w:pPr>
    </w:p>
    <w:p>
      <w:pPr>
        <w:widowControl/>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spacing w:after="156" w:afterLines="50" w:line="560" w:lineRule="exact"/>
        <w:jc w:val="center"/>
        <w:rPr>
          <w:rFonts w:hint="eastAsia" w:asciiTheme="minorEastAsia" w:hAnsiTheme="minorEastAsia" w:eastAsiaTheme="minorEastAsia" w:cstheme="minorBidi"/>
          <w:b/>
          <w:kern w:val="0"/>
          <w:sz w:val="44"/>
          <w:szCs w:val="44"/>
          <w:lang w:eastAsia="zh-CN"/>
        </w:rPr>
      </w:pPr>
      <w:r>
        <w:rPr>
          <w:rFonts w:hint="eastAsia" w:asciiTheme="minorEastAsia" w:hAnsiTheme="minorEastAsia" w:eastAsiaTheme="minorEastAsia" w:cstheme="minorBidi"/>
          <w:b/>
          <w:kern w:val="0"/>
          <w:sz w:val="44"/>
          <w:szCs w:val="44"/>
        </w:rPr>
        <w:t>南阳市绿色</w:t>
      </w:r>
      <w:r>
        <w:rPr>
          <w:rFonts w:asciiTheme="minorEastAsia" w:hAnsiTheme="minorEastAsia" w:eastAsiaTheme="minorEastAsia" w:cstheme="minorBidi"/>
          <w:b/>
          <w:kern w:val="0"/>
          <w:sz w:val="44"/>
          <w:szCs w:val="44"/>
        </w:rPr>
        <w:t>货运配送示范</w:t>
      </w:r>
      <w:r>
        <w:rPr>
          <w:rFonts w:hint="eastAsia" w:asciiTheme="minorEastAsia" w:hAnsiTheme="minorEastAsia" w:eastAsiaTheme="minorEastAsia" w:cstheme="minorBidi"/>
          <w:b/>
          <w:kern w:val="0"/>
          <w:sz w:val="44"/>
          <w:szCs w:val="44"/>
        </w:rPr>
        <w:t>工程</w:t>
      </w:r>
      <w:r>
        <w:rPr>
          <w:rFonts w:asciiTheme="minorEastAsia" w:hAnsiTheme="minorEastAsia" w:eastAsiaTheme="minorEastAsia" w:cstheme="minorBidi"/>
          <w:b/>
          <w:kern w:val="0"/>
          <w:sz w:val="44"/>
          <w:szCs w:val="44"/>
        </w:rPr>
        <w:t>创建重点任务</w:t>
      </w:r>
      <w:r>
        <w:rPr>
          <w:rFonts w:hint="eastAsia" w:asciiTheme="minorEastAsia" w:hAnsiTheme="minorEastAsia" w:eastAsiaTheme="minorEastAsia" w:cstheme="minorBidi"/>
          <w:b/>
          <w:kern w:val="0"/>
          <w:sz w:val="44"/>
          <w:szCs w:val="44"/>
          <w:lang w:val="en-US" w:eastAsia="zh-CN"/>
        </w:rPr>
        <w:t>台账</w:t>
      </w:r>
    </w:p>
    <w:tbl>
      <w:tblPr>
        <w:tblStyle w:val="4"/>
        <w:tblW w:w="12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851"/>
        <w:gridCol w:w="1276"/>
        <w:gridCol w:w="1559"/>
        <w:gridCol w:w="1492"/>
        <w:gridCol w:w="1492"/>
        <w:gridCol w:w="1493"/>
        <w:gridCol w:w="1273"/>
        <w:gridCol w:w="2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blHeader/>
          <w:jc w:val="center"/>
        </w:trPr>
        <w:tc>
          <w:tcPr>
            <w:tcW w:w="909" w:type="dxa"/>
            <w:vMerge w:val="restart"/>
            <w:vAlign w:val="center"/>
          </w:tcPr>
          <w:p>
            <w:pPr>
              <w:spacing w:line="560" w:lineRule="exact"/>
              <w:jc w:val="center"/>
              <w:rPr>
                <w:rFonts w:ascii="仿宋" w:hAnsi="仿宋" w:eastAsia="仿宋" w:cs="仿宋"/>
                <w:b/>
                <w:bCs/>
                <w:sz w:val="24"/>
                <w:szCs w:val="24"/>
              </w:rPr>
            </w:pPr>
            <w:r>
              <w:rPr>
                <w:rFonts w:ascii="仿宋" w:hAnsi="仿宋" w:eastAsia="仿宋" w:cs="仿宋"/>
                <w:b/>
                <w:bCs/>
                <w:sz w:val="24"/>
                <w:szCs w:val="24"/>
              </w:rPr>
              <w:t>序号</w:t>
            </w:r>
          </w:p>
        </w:tc>
        <w:tc>
          <w:tcPr>
            <w:tcW w:w="851" w:type="dxa"/>
            <w:vMerge w:val="restart"/>
            <w:vAlign w:val="center"/>
          </w:tcPr>
          <w:p>
            <w:pPr>
              <w:spacing w:line="560" w:lineRule="exact"/>
              <w:jc w:val="center"/>
              <w:rPr>
                <w:rFonts w:ascii="仿宋" w:hAnsi="仿宋" w:eastAsia="仿宋" w:cs="仿宋"/>
                <w:b/>
                <w:bCs/>
                <w:sz w:val="24"/>
                <w:szCs w:val="24"/>
              </w:rPr>
            </w:pPr>
            <w:r>
              <w:rPr>
                <w:rFonts w:hint="eastAsia" w:ascii="仿宋" w:hAnsi="仿宋" w:eastAsia="仿宋" w:cs="仿宋"/>
                <w:b/>
                <w:bCs/>
                <w:sz w:val="24"/>
                <w:szCs w:val="24"/>
              </w:rPr>
              <w:t>指标分类</w:t>
            </w:r>
          </w:p>
        </w:tc>
        <w:tc>
          <w:tcPr>
            <w:tcW w:w="2835" w:type="dxa"/>
            <w:gridSpan w:val="2"/>
            <w:vMerge w:val="restart"/>
            <w:vAlign w:val="center"/>
          </w:tcPr>
          <w:p>
            <w:pPr>
              <w:spacing w:line="560" w:lineRule="exact"/>
              <w:jc w:val="center"/>
              <w:rPr>
                <w:rFonts w:ascii="仿宋" w:hAnsi="仿宋" w:eastAsia="仿宋" w:cs="仿宋"/>
                <w:b/>
                <w:bCs/>
                <w:sz w:val="24"/>
                <w:szCs w:val="24"/>
              </w:rPr>
            </w:pPr>
            <w:r>
              <w:rPr>
                <w:rFonts w:ascii="仿宋" w:hAnsi="仿宋" w:eastAsia="仿宋" w:cs="仿宋"/>
                <w:b/>
                <w:bCs/>
                <w:sz w:val="24"/>
                <w:szCs w:val="24"/>
              </w:rPr>
              <w:t>重点任务</w:t>
            </w:r>
          </w:p>
        </w:tc>
        <w:tc>
          <w:tcPr>
            <w:tcW w:w="4477" w:type="dxa"/>
            <w:gridSpan w:val="3"/>
            <w:vAlign w:val="center"/>
          </w:tcPr>
          <w:p>
            <w:pPr>
              <w:spacing w:line="560" w:lineRule="exact"/>
              <w:jc w:val="center"/>
              <w:rPr>
                <w:rFonts w:ascii="仿宋" w:hAnsi="仿宋" w:eastAsia="仿宋" w:cs="仿宋"/>
                <w:b/>
                <w:bCs/>
                <w:sz w:val="24"/>
                <w:szCs w:val="24"/>
              </w:rPr>
            </w:pPr>
            <w:r>
              <w:rPr>
                <w:rFonts w:ascii="仿宋" w:hAnsi="仿宋" w:eastAsia="仿宋" w:cs="仿宋"/>
                <w:b/>
                <w:bCs/>
                <w:sz w:val="24"/>
                <w:szCs w:val="24"/>
              </w:rPr>
              <w:t>年度工作分解</w:t>
            </w:r>
          </w:p>
        </w:tc>
        <w:tc>
          <w:tcPr>
            <w:tcW w:w="1273" w:type="dxa"/>
            <w:vMerge w:val="restart"/>
            <w:vAlign w:val="center"/>
          </w:tcPr>
          <w:p>
            <w:pPr>
              <w:spacing w:line="560" w:lineRule="exact"/>
              <w:jc w:val="center"/>
              <w:rPr>
                <w:rFonts w:ascii="仿宋" w:hAnsi="仿宋" w:eastAsia="仿宋" w:cs="仿宋"/>
                <w:b/>
                <w:bCs/>
                <w:sz w:val="24"/>
                <w:szCs w:val="24"/>
              </w:rPr>
            </w:pPr>
            <w:r>
              <w:rPr>
                <w:rFonts w:ascii="仿宋" w:hAnsi="仿宋" w:eastAsia="仿宋" w:cs="仿宋"/>
                <w:b/>
                <w:bCs/>
                <w:sz w:val="24"/>
                <w:szCs w:val="24"/>
              </w:rPr>
              <w:t>牵头</w:t>
            </w:r>
            <w:r>
              <w:rPr>
                <w:rFonts w:hint="eastAsia" w:ascii="仿宋" w:hAnsi="仿宋" w:eastAsia="仿宋" w:cs="仿宋"/>
                <w:b/>
                <w:bCs/>
                <w:sz w:val="24"/>
                <w:szCs w:val="24"/>
              </w:rPr>
              <w:t>单位</w:t>
            </w:r>
          </w:p>
        </w:tc>
        <w:tc>
          <w:tcPr>
            <w:tcW w:w="2188" w:type="dxa"/>
            <w:vMerge w:val="restart"/>
            <w:vAlign w:val="center"/>
          </w:tcPr>
          <w:p>
            <w:pPr>
              <w:spacing w:line="560" w:lineRule="exact"/>
              <w:jc w:val="center"/>
              <w:rPr>
                <w:rFonts w:ascii="仿宋" w:hAnsi="仿宋" w:eastAsia="仿宋" w:cs="仿宋"/>
                <w:b/>
                <w:bCs/>
                <w:sz w:val="24"/>
                <w:szCs w:val="24"/>
              </w:rPr>
            </w:pPr>
            <w:r>
              <w:rPr>
                <w:rFonts w:hint="eastAsia" w:ascii="仿宋" w:hAnsi="仿宋" w:eastAsia="仿宋" w:cs="仿宋"/>
                <w:b/>
                <w:bCs/>
                <w:sz w:val="24"/>
                <w:szCs w:val="24"/>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blHeader/>
          <w:jc w:val="center"/>
        </w:trPr>
        <w:tc>
          <w:tcPr>
            <w:tcW w:w="909" w:type="dxa"/>
            <w:vMerge w:val="continue"/>
            <w:vAlign w:val="center"/>
          </w:tcPr>
          <w:p>
            <w:pPr>
              <w:spacing w:line="560" w:lineRule="exact"/>
              <w:jc w:val="center"/>
              <w:rPr>
                <w:rFonts w:ascii="仿宋" w:hAnsi="仿宋" w:eastAsia="仿宋" w:cs="仿宋"/>
                <w:b/>
                <w:bCs/>
                <w:sz w:val="24"/>
                <w:szCs w:val="24"/>
              </w:rPr>
            </w:pPr>
          </w:p>
        </w:tc>
        <w:tc>
          <w:tcPr>
            <w:tcW w:w="851" w:type="dxa"/>
            <w:vMerge w:val="continue"/>
            <w:vAlign w:val="center"/>
          </w:tcPr>
          <w:p>
            <w:pPr>
              <w:spacing w:line="560" w:lineRule="exact"/>
              <w:jc w:val="center"/>
              <w:rPr>
                <w:rFonts w:ascii="仿宋" w:hAnsi="仿宋" w:eastAsia="仿宋" w:cs="仿宋"/>
                <w:b/>
                <w:bCs/>
                <w:sz w:val="24"/>
                <w:szCs w:val="24"/>
              </w:rPr>
            </w:pPr>
          </w:p>
        </w:tc>
        <w:tc>
          <w:tcPr>
            <w:tcW w:w="2835" w:type="dxa"/>
            <w:gridSpan w:val="2"/>
            <w:vMerge w:val="continue"/>
            <w:vAlign w:val="center"/>
          </w:tcPr>
          <w:p>
            <w:pPr>
              <w:spacing w:line="560" w:lineRule="exact"/>
              <w:jc w:val="center"/>
              <w:rPr>
                <w:rFonts w:ascii="仿宋" w:hAnsi="仿宋" w:eastAsia="仿宋" w:cs="仿宋"/>
                <w:b/>
                <w:bCs/>
                <w:sz w:val="24"/>
                <w:szCs w:val="24"/>
              </w:rPr>
            </w:pPr>
          </w:p>
        </w:tc>
        <w:tc>
          <w:tcPr>
            <w:tcW w:w="1492" w:type="dxa"/>
            <w:vAlign w:val="center"/>
          </w:tcPr>
          <w:p>
            <w:pPr>
              <w:spacing w:line="560" w:lineRule="exact"/>
              <w:jc w:val="center"/>
              <w:rPr>
                <w:rFonts w:ascii="仿宋" w:hAnsi="仿宋" w:eastAsia="仿宋" w:cs="仿宋"/>
                <w:b/>
                <w:bCs/>
                <w:sz w:val="24"/>
                <w:szCs w:val="24"/>
              </w:rPr>
            </w:pPr>
            <w:r>
              <w:rPr>
                <w:rFonts w:hint="eastAsia" w:ascii="仿宋" w:hAnsi="仿宋" w:eastAsia="仿宋" w:cs="仿宋"/>
                <w:b/>
                <w:bCs/>
                <w:sz w:val="24"/>
                <w:szCs w:val="24"/>
              </w:rPr>
              <w:t>2023年</w:t>
            </w:r>
          </w:p>
        </w:tc>
        <w:tc>
          <w:tcPr>
            <w:tcW w:w="1492" w:type="dxa"/>
            <w:vAlign w:val="center"/>
          </w:tcPr>
          <w:p>
            <w:pPr>
              <w:spacing w:line="560" w:lineRule="exact"/>
              <w:jc w:val="center"/>
              <w:rPr>
                <w:rFonts w:ascii="仿宋" w:hAnsi="仿宋" w:eastAsia="仿宋" w:cs="仿宋"/>
                <w:b/>
                <w:bCs/>
                <w:sz w:val="24"/>
                <w:szCs w:val="24"/>
              </w:rPr>
            </w:pPr>
            <w:r>
              <w:rPr>
                <w:rFonts w:hint="eastAsia" w:ascii="仿宋" w:hAnsi="仿宋" w:eastAsia="仿宋" w:cs="仿宋"/>
                <w:b/>
                <w:bCs/>
                <w:sz w:val="24"/>
                <w:szCs w:val="24"/>
              </w:rPr>
              <w:t>2024年</w:t>
            </w:r>
          </w:p>
        </w:tc>
        <w:tc>
          <w:tcPr>
            <w:tcW w:w="1493" w:type="dxa"/>
            <w:vAlign w:val="center"/>
          </w:tcPr>
          <w:p>
            <w:pPr>
              <w:spacing w:line="560" w:lineRule="exact"/>
              <w:jc w:val="center"/>
              <w:rPr>
                <w:rFonts w:ascii="仿宋" w:hAnsi="仿宋" w:eastAsia="仿宋" w:cs="仿宋"/>
                <w:b/>
                <w:bCs/>
                <w:sz w:val="24"/>
                <w:szCs w:val="24"/>
              </w:rPr>
            </w:pPr>
            <w:r>
              <w:rPr>
                <w:rFonts w:hint="eastAsia" w:ascii="仿宋" w:hAnsi="仿宋" w:eastAsia="仿宋" w:cs="仿宋"/>
                <w:b/>
                <w:bCs/>
                <w:sz w:val="24"/>
                <w:szCs w:val="24"/>
              </w:rPr>
              <w:t>2025年</w:t>
            </w:r>
          </w:p>
        </w:tc>
        <w:tc>
          <w:tcPr>
            <w:tcW w:w="1273" w:type="dxa"/>
            <w:vMerge w:val="continue"/>
            <w:vAlign w:val="center"/>
          </w:tcPr>
          <w:p>
            <w:pPr>
              <w:spacing w:line="560" w:lineRule="exact"/>
              <w:jc w:val="center"/>
              <w:rPr>
                <w:rFonts w:ascii="仿宋" w:hAnsi="仿宋" w:eastAsia="仿宋" w:cs="仿宋"/>
                <w:b/>
                <w:bCs/>
                <w:sz w:val="24"/>
                <w:szCs w:val="24"/>
              </w:rPr>
            </w:pPr>
          </w:p>
        </w:tc>
        <w:tc>
          <w:tcPr>
            <w:tcW w:w="2188" w:type="dxa"/>
            <w:vMerge w:val="continue"/>
            <w:vAlign w:val="center"/>
          </w:tcPr>
          <w:p>
            <w:pPr>
              <w:spacing w:line="560" w:lineRule="exact"/>
              <w:jc w:val="center"/>
              <w:rPr>
                <w:rFonts w:ascii="仿宋" w:hAnsi="仿宋" w:eastAsia="仿宋" w:cs="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9" w:type="dxa"/>
            <w:vAlign w:val="center"/>
          </w:tcPr>
          <w:p>
            <w:pPr>
              <w:spacing w:line="500" w:lineRule="exact"/>
              <w:jc w:val="center"/>
              <w:rPr>
                <w:rFonts w:ascii="仿宋" w:hAnsi="仿宋" w:eastAsia="仿宋" w:cs="仿宋"/>
                <w:szCs w:val="21"/>
              </w:rPr>
            </w:pPr>
            <w:r>
              <w:rPr>
                <w:rFonts w:ascii="仿宋" w:hAnsi="仿宋" w:eastAsia="仿宋" w:cs="仿宋"/>
                <w:szCs w:val="21"/>
              </w:rPr>
              <w:t>1</w:t>
            </w:r>
          </w:p>
        </w:tc>
        <w:tc>
          <w:tcPr>
            <w:tcW w:w="851" w:type="dxa"/>
            <w:vMerge w:val="restart"/>
            <w:vAlign w:val="center"/>
          </w:tcPr>
          <w:p>
            <w:pPr>
              <w:spacing w:line="500" w:lineRule="exact"/>
              <w:jc w:val="center"/>
              <w:rPr>
                <w:rFonts w:ascii="仿宋" w:hAnsi="仿宋" w:eastAsia="仿宋" w:cs="仿宋"/>
                <w:bCs/>
                <w:szCs w:val="21"/>
              </w:rPr>
            </w:pPr>
            <w:r>
              <w:rPr>
                <w:rFonts w:hint="eastAsia" w:ascii="仿宋" w:hAnsi="仿宋" w:eastAsia="仿宋" w:cs="仿宋"/>
                <w:bCs/>
                <w:szCs w:val="21"/>
              </w:rPr>
              <w:t>体制机制保障</w:t>
            </w:r>
          </w:p>
        </w:tc>
        <w:tc>
          <w:tcPr>
            <w:tcW w:w="1276" w:type="dxa"/>
            <w:vMerge w:val="restart"/>
            <w:vAlign w:val="center"/>
          </w:tcPr>
          <w:p>
            <w:pPr>
              <w:spacing w:line="500" w:lineRule="exact"/>
              <w:jc w:val="center"/>
              <w:rPr>
                <w:rFonts w:ascii="仿宋" w:hAnsi="仿宋" w:eastAsia="仿宋" w:cs="仿宋"/>
                <w:bCs/>
                <w:szCs w:val="21"/>
              </w:rPr>
            </w:pPr>
            <w:r>
              <w:rPr>
                <w:rFonts w:ascii="仿宋" w:hAnsi="仿宋" w:eastAsia="仿宋" w:cs="仿宋"/>
                <w:bCs/>
                <w:szCs w:val="21"/>
              </w:rPr>
              <w:t>城市货运配送多部门协同机制建设</w:t>
            </w:r>
          </w:p>
        </w:tc>
        <w:tc>
          <w:tcPr>
            <w:tcW w:w="1559" w:type="dxa"/>
            <w:vAlign w:val="center"/>
          </w:tcPr>
          <w:p>
            <w:pPr>
              <w:spacing w:line="500" w:lineRule="exact"/>
              <w:jc w:val="center"/>
              <w:rPr>
                <w:rFonts w:ascii="仿宋" w:hAnsi="仿宋" w:eastAsia="仿宋" w:cs="仿宋"/>
                <w:bCs/>
                <w:szCs w:val="21"/>
              </w:rPr>
            </w:pPr>
            <w:r>
              <w:rPr>
                <w:rFonts w:hint="eastAsia" w:ascii="仿宋" w:hAnsi="仿宋" w:eastAsia="仿宋" w:cs="仿宋"/>
                <w:bCs/>
                <w:szCs w:val="21"/>
              </w:rPr>
              <w:t>制定工作计划</w:t>
            </w:r>
          </w:p>
        </w:tc>
        <w:tc>
          <w:tcPr>
            <w:tcW w:w="4477" w:type="dxa"/>
            <w:gridSpan w:val="3"/>
            <w:vAlign w:val="center"/>
          </w:tcPr>
          <w:p>
            <w:pPr>
              <w:spacing w:line="500" w:lineRule="exact"/>
              <w:jc w:val="center"/>
              <w:rPr>
                <w:rFonts w:ascii="仿宋" w:hAnsi="仿宋" w:eastAsia="仿宋" w:cs="仿宋"/>
                <w:bCs/>
                <w:szCs w:val="21"/>
              </w:rPr>
            </w:pPr>
            <w:r>
              <w:rPr>
                <w:rFonts w:hint="eastAsia" w:ascii="仿宋" w:hAnsi="仿宋" w:eastAsia="仿宋" w:cs="仿宋"/>
                <w:bCs/>
                <w:szCs w:val="21"/>
              </w:rPr>
              <w:t>每年制定工作进度计划，明确责任分工和保障措施，监督示范工程创建工作有序推进。</w:t>
            </w:r>
          </w:p>
        </w:tc>
        <w:tc>
          <w:tcPr>
            <w:tcW w:w="1273" w:type="dxa"/>
            <w:vAlign w:val="center"/>
          </w:tcPr>
          <w:p>
            <w:pPr>
              <w:spacing w:line="500" w:lineRule="exact"/>
              <w:jc w:val="center"/>
              <w:rPr>
                <w:rFonts w:ascii="仿宋" w:hAnsi="仿宋" w:eastAsia="仿宋" w:cs="仿宋"/>
                <w:bCs/>
                <w:szCs w:val="21"/>
              </w:rPr>
            </w:pPr>
            <w:r>
              <w:rPr>
                <w:rFonts w:ascii="仿宋" w:hAnsi="仿宋" w:eastAsia="仿宋" w:cs="仿宋"/>
                <w:bCs/>
                <w:szCs w:val="21"/>
              </w:rPr>
              <w:t>领导小组办公室</w:t>
            </w:r>
          </w:p>
        </w:tc>
        <w:tc>
          <w:tcPr>
            <w:tcW w:w="2188" w:type="dxa"/>
            <w:vAlign w:val="center"/>
          </w:tcPr>
          <w:p>
            <w:pPr>
              <w:spacing w:line="500" w:lineRule="exact"/>
              <w:jc w:val="center"/>
              <w:rPr>
                <w:rFonts w:ascii="仿宋" w:hAnsi="仿宋" w:eastAsia="仿宋" w:cs="仿宋"/>
                <w:bCs/>
                <w:szCs w:val="21"/>
              </w:rPr>
            </w:pPr>
            <w:r>
              <w:rPr>
                <w:rFonts w:ascii="仿宋" w:hAnsi="仿宋" w:eastAsia="仿宋" w:cs="仿宋"/>
                <w:bCs/>
                <w:szCs w:val="21"/>
              </w:rPr>
              <w:t>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09" w:type="dxa"/>
            <w:vAlign w:val="center"/>
          </w:tcPr>
          <w:p>
            <w:pPr>
              <w:spacing w:line="500" w:lineRule="exact"/>
              <w:jc w:val="center"/>
              <w:rPr>
                <w:rFonts w:ascii="仿宋" w:hAnsi="仿宋" w:eastAsia="仿宋" w:cs="仿宋"/>
                <w:szCs w:val="21"/>
              </w:rPr>
            </w:pPr>
            <w:r>
              <w:rPr>
                <w:rFonts w:ascii="仿宋" w:hAnsi="仿宋" w:eastAsia="仿宋" w:cs="仿宋"/>
                <w:szCs w:val="21"/>
              </w:rPr>
              <w:t>2</w:t>
            </w:r>
          </w:p>
        </w:tc>
        <w:tc>
          <w:tcPr>
            <w:tcW w:w="851" w:type="dxa"/>
            <w:vMerge w:val="continue"/>
            <w:vAlign w:val="center"/>
          </w:tcPr>
          <w:p>
            <w:pPr>
              <w:spacing w:line="500" w:lineRule="exact"/>
              <w:jc w:val="center"/>
              <w:rPr>
                <w:rFonts w:ascii="仿宋" w:hAnsi="仿宋" w:eastAsia="仿宋" w:cs="仿宋"/>
                <w:bCs/>
                <w:szCs w:val="21"/>
              </w:rPr>
            </w:pPr>
          </w:p>
        </w:tc>
        <w:tc>
          <w:tcPr>
            <w:tcW w:w="1276" w:type="dxa"/>
            <w:vMerge w:val="continue"/>
            <w:vAlign w:val="center"/>
          </w:tcPr>
          <w:p>
            <w:pPr>
              <w:spacing w:line="500" w:lineRule="exact"/>
              <w:jc w:val="center"/>
              <w:rPr>
                <w:rFonts w:ascii="仿宋" w:hAnsi="仿宋" w:eastAsia="仿宋" w:cs="仿宋"/>
                <w:bCs/>
                <w:szCs w:val="21"/>
              </w:rPr>
            </w:pPr>
          </w:p>
        </w:tc>
        <w:tc>
          <w:tcPr>
            <w:tcW w:w="1559" w:type="dxa"/>
            <w:vAlign w:val="center"/>
          </w:tcPr>
          <w:p>
            <w:pPr>
              <w:spacing w:line="500" w:lineRule="exact"/>
              <w:jc w:val="center"/>
              <w:rPr>
                <w:rFonts w:ascii="仿宋" w:hAnsi="仿宋" w:eastAsia="仿宋" w:cs="仿宋"/>
                <w:bCs/>
                <w:szCs w:val="21"/>
              </w:rPr>
            </w:pPr>
            <w:r>
              <w:rPr>
                <w:rFonts w:hint="eastAsia" w:ascii="仿宋" w:hAnsi="仿宋" w:eastAsia="仿宋" w:cs="仿宋"/>
                <w:bCs/>
                <w:szCs w:val="21"/>
              </w:rPr>
              <w:t>召开会议研究</w:t>
            </w:r>
          </w:p>
        </w:tc>
        <w:tc>
          <w:tcPr>
            <w:tcW w:w="4477" w:type="dxa"/>
            <w:gridSpan w:val="3"/>
            <w:vAlign w:val="center"/>
          </w:tcPr>
          <w:p>
            <w:pPr>
              <w:spacing w:line="500" w:lineRule="exact"/>
              <w:jc w:val="center"/>
              <w:rPr>
                <w:rFonts w:ascii="仿宋" w:hAnsi="仿宋" w:eastAsia="仿宋" w:cs="仿宋"/>
                <w:bCs/>
                <w:szCs w:val="21"/>
              </w:rPr>
            </w:pPr>
            <w:r>
              <w:rPr>
                <w:rFonts w:hint="eastAsia" w:ascii="仿宋" w:hAnsi="仿宋" w:eastAsia="仿宋" w:cs="仿宋"/>
                <w:bCs/>
                <w:szCs w:val="21"/>
              </w:rPr>
              <w:t>每半年召开1次会议研究示范工程推进工作事项。</w:t>
            </w:r>
          </w:p>
        </w:tc>
        <w:tc>
          <w:tcPr>
            <w:tcW w:w="1273" w:type="dxa"/>
            <w:vAlign w:val="center"/>
          </w:tcPr>
          <w:p>
            <w:pPr>
              <w:spacing w:line="500" w:lineRule="exact"/>
              <w:jc w:val="center"/>
              <w:rPr>
                <w:rFonts w:ascii="仿宋" w:hAnsi="仿宋" w:eastAsia="仿宋" w:cs="仿宋"/>
                <w:bCs/>
                <w:szCs w:val="21"/>
              </w:rPr>
            </w:pPr>
            <w:r>
              <w:rPr>
                <w:rFonts w:ascii="仿宋" w:hAnsi="仿宋" w:eastAsia="仿宋" w:cs="仿宋"/>
                <w:bCs/>
                <w:szCs w:val="21"/>
              </w:rPr>
              <w:t>领导小组办公室</w:t>
            </w:r>
          </w:p>
        </w:tc>
        <w:tc>
          <w:tcPr>
            <w:tcW w:w="2188" w:type="dxa"/>
            <w:vAlign w:val="center"/>
          </w:tcPr>
          <w:p>
            <w:pPr>
              <w:spacing w:line="500" w:lineRule="exact"/>
              <w:jc w:val="center"/>
              <w:rPr>
                <w:rFonts w:ascii="仿宋" w:hAnsi="仿宋" w:eastAsia="仿宋" w:cs="仿宋"/>
                <w:bCs/>
                <w:szCs w:val="21"/>
              </w:rPr>
            </w:pPr>
            <w:r>
              <w:rPr>
                <w:rFonts w:ascii="仿宋" w:hAnsi="仿宋" w:eastAsia="仿宋" w:cs="仿宋"/>
                <w:bCs/>
                <w:szCs w:val="21"/>
              </w:rPr>
              <w:t>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09" w:type="dxa"/>
            <w:vAlign w:val="center"/>
          </w:tcPr>
          <w:p>
            <w:pPr>
              <w:spacing w:line="500" w:lineRule="exact"/>
              <w:jc w:val="center"/>
              <w:rPr>
                <w:rFonts w:ascii="仿宋" w:hAnsi="仿宋" w:eastAsia="仿宋" w:cs="仿宋"/>
                <w:szCs w:val="21"/>
              </w:rPr>
            </w:pPr>
            <w:r>
              <w:rPr>
                <w:rFonts w:ascii="仿宋" w:hAnsi="仿宋" w:eastAsia="仿宋" w:cs="仿宋"/>
                <w:szCs w:val="21"/>
              </w:rPr>
              <w:t>3</w:t>
            </w:r>
          </w:p>
        </w:tc>
        <w:tc>
          <w:tcPr>
            <w:tcW w:w="851" w:type="dxa"/>
            <w:vMerge w:val="continue"/>
            <w:vAlign w:val="center"/>
          </w:tcPr>
          <w:p>
            <w:pPr>
              <w:spacing w:line="500" w:lineRule="exact"/>
              <w:jc w:val="center"/>
              <w:rPr>
                <w:rFonts w:ascii="仿宋" w:hAnsi="仿宋" w:eastAsia="仿宋" w:cs="仿宋"/>
                <w:bCs/>
                <w:szCs w:val="21"/>
              </w:rPr>
            </w:pPr>
          </w:p>
        </w:tc>
        <w:tc>
          <w:tcPr>
            <w:tcW w:w="1276" w:type="dxa"/>
            <w:vMerge w:val="continue"/>
            <w:vAlign w:val="center"/>
          </w:tcPr>
          <w:p>
            <w:pPr>
              <w:spacing w:line="500" w:lineRule="exact"/>
              <w:jc w:val="center"/>
              <w:rPr>
                <w:rFonts w:ascii="仿宋" w:hAnsi="仿宋" w:eastAsia="仿宋" w:cs="仿宋"/>
                <w:bCs/>
                <w:szCs w:val="21"/>
              </w:rPr>
            </w:pPr>
          </w:p>
        </w:tc>
        <w:tc>
          <w:tcPr>
            <w:tcW w:w="1559" w:type="dxa"/>
            <w:vAlign w:val="center"/>
          </w:tcPr>
          <w:p>
            <w:pPr>
              <w:spacing w:line="500" w:lineRule="exact"/>
              <w:jc w:val="center"/>
              <w:rPr>
                <w:rFonts w:ascii="仿宋" w:hAnsi="仿宋" w:eastAsia="仿宋" w:cs="仿宋"/>
                <w:bCs/>
                <w:szCs w:val="21"/>
              </w:rPr>
            </w:pPr>
            <w:r>
              <w:rPr>
                <w:rFonts w:ascii="仿宋" w:hAnsi="仿宋" w:eastAsia="仿宋" w:cs="仿宋"/>
                <w:bCs/>
                <w:szCs w:val="21"/>
              </w:rPr>
              <w:t>年度考核评价</w:t>
            </w:r>
          </w:p>
        </w:tc>
        <w:tc>
          <w:tcPr>
            <w:tcW w:w="4477" w:type="dxa"/>
            <w:gridSpan w:val="3"/>
            <w:vAlign w:val="center"/>
          </w:tcPr>
          <w:p>
            <w:pPr>
              <w:spacing w:line="500" w:lineRule="exact"/>
              <w:jc w:val="center"/>
              <w:rPr>
                <w:rFonts w:ascii="仿宋" w:hAnsi="仿宋" w:eastAsia="仿宋" w:cs="仿宋"/>
                <w:bCs/>
                <w:szCs w:val="21"/>
              </w:rPr>
            </w:pPr>
            <w:r>
              <w:rPr>
                <w:rFonts w:hint="eastAsia" w:ascii="仿宋" w:hAnsi="仿宋" w:eastAsia="仿宋" w:cs="仿宋"/>
                <w:bCs/>
                <w:szCs w:val="21"/>
              </w:rPr>
              <w:t>将城市绿色货运配送示范工程创建纳入政府对领导小组各成员单位年度绩效考核，并每年实施考核评价。</w:t>
            </w:r>
          </w:p>
        </w:tc>
        <w:tc>
          <w:tcPr>
            <w:tcW w:w="1273" w:type="dxa"/>
            <w:vAlign w:val="center"/>
          </w:tcPr>
          <w:p>
            <w:pPr>
              <w:spacing w:line="500" w:lineRule="exact"/>
              <w:jc w:val="center"/>
              <w:rPr>
                <w:rFonts w:ascii="仿宋" w:hAnsi="仿宋" w:eastAsia="仿宋" w:cs="仿宋"/>
                <w:bCs/>
                <w:szCs w:val="21"/>
              </w:rPr>
            </w:pPr>
            <w:r>
              <w:rPr>
                <w:rFonts w:ascii="仿宋" w:hAnsi="仿宋" w:eastAsia="仿宋" w:cs="仿宋"/>
                <w:bCs/>
                <w:szCs w:val="21"/>
              </w:rPr>
              <w:t>领导小组办公室</w:t>
            </w:r>
          </w:p>
        </w:tc>
        <w:tc>
          <w:tcPr>
            <w:tcW w:w="2188" w:type="dxa"/>
            <w:vAlign w:val="center"/>
          </w:tcPr>
          <w:p>
            <w:pPr>
              <w:spacing w:line="500" w:lineRule="exact"/>
              <w:jc w:val="center"/>
              <w:rPr>
                <w:rFonts w:ascii="仿宋" w:hAnsi="仿宋" w:eastAsia="仿宋" w:cs="仿宋"/>
                <w:bCs/>
                <w:szCs w:val="21"/>
              </w:rPr>
            </w:pPr>
            <w:r>
              <w:rPr>
                <w:rFonts w:ascii="仿宋" w:hAnsi="仿宋" w:eastAsia="仿宋" w:cs="仿宋"/>
                <w:bCs/>
                <w:szCs w:val="21"/>
              </w:rPr>
              <w:t>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09" w:type="dxa"/>
            <w:vAlign w:val="center"/>
          </w:tcPr>
          <w:p>
            <w:pPr>
              <w:spacing w:line="500" w:lineRule="exact"/>
              <w:jc w:val="center"/>
              <w:rPr>
                <w:rFonts w:ascii="仿宋" w:hAnsi="仿宋" w:eastAsia="仿宋" w:cs="仿宋"/>
                <w:szCs w:val="21"/>
              </w:rPr>
            </w:pPr>
            <w:r>
              <w:rPr>
                <w:rFonts w:ascii="仿宋" w:hAnsi="仿宋" w:eastAsia="仿宋" w:cs="仿宋"/>
                <w:szCs w:val="21"/>
              </w:rPr>
              <w:t>4</w:t>
            </w:r>
          </w:p>
        </w:tc>
        <w:tc>
          <w:tcPr>
            <w:tcW w:w="851" w:type="dxa"/>
            <w:vMerge w:val="continue"/>
            <w:vAlign w:val="center"/>
          </w:tcPr>
          <w:p>
            <w:pPr>
              <w:spacing w:line="500" w:lineRule="exact"/>
              <w:jc w:val="center"/>
              <w:rPr>
                <w:rFonts w:ascii="仿宋" w:hAnsi="仿宋" w:eastAsia="仿宋" w:cs="仿宋"/>
                <w:bCs/>
                <w:szCs w:val="21"/>
              </w:rPr>
            </w:pPr>
          </w:p>
        </w:tc>
        <w:tc>
          <w:tcPr>
            <w:tcW w:w="1276" w:type="dxa"/>
            <w:vMerge w:val="continue"/>
            <w:vAlign w:val="center"/>
          </w:tcPr>
          <w:p>
            <w:pPr>
              <w:spacing w:line="500" w:lineRule="exact"/>
              <w:jc w:val="center"/>
              <w:rPr>
                <w:rFonts w:ascii="仿宋" w:hAnsi="仿宋" w:eastAsia="仿宋" w:cs="仿宋"/>
                <w:bCs/>
                <w:szCs w:val="21"/>
              </w:rPr>
            </w:pPr>
          </w:p>
        </w:tc>
        <w:tc>
          <w:tcPr>
            <w:tcW w:w="1559" w:type="dxa"/>
            <w:vAlign w:val="center"/>
          </w:tcPr>
          <w:p>
            <w:pPr>
              <w:spacing w:line="500" w:lineRule="exact"/>
              <w:jc w:val="center"/>
              <w:rPr>
                <w:rFonts w:ascii="仿宋" w:hAnsi="仿宋" w:eastAsia="仿宋" w:cs="仿宋"/>
                <w:bCs/>
                <w:szCs w:val="21"/>
              </w:rPr>
            </w:pPr>
            <w:r>
              <w:rPr>
                <w:rFonts w:hint="eastAsia" w:ascii="仿宋" w:hAnsi="仿宋" w:eastAsia="仿宋" w:cs="仿宋"/>
                <w:bCs/>
                <w:szCs w:val="21"/>
              </w:rPr>
              <w:t>编写总结报告</w:t>
            </w:r>
          </w:p>
        </w:tc>
        <w:tc>
          <w:tcPr>
            <w:tcW w:w="4477" w:type="dxa"/>
            <w:gridSpan w:val="3"/>
            <w:vAlign w:val="center"/>
          </w:tcPr>
          <w:p>
            <w:pPr>
              <w:spacing w:line="500" w:lineRule="exact"/>
              <w:jc w:val="center"/>
              <w:rPr>
                <w:rFonts w:ascii="仿宋" w:hAnsi="仿宋" w:eastAsia="仿宋" w:cs="仿宋"/>
                <w:bCs/>
                <w:szCs w:val="21"/>
              </w:rPr>
            </w:pPr>
            <w:r>
              <w:rPr>
                <w:rFonts w:hint="eastAsia" w:ascii="仿宋" w:hAnsi="仿宋" w:eastAsia="仿宋" w:cs="仿宋"/>
                <w:bCs/>
                <w:szCs w:val="21"/>
              </w:rPr>
              <w:t>每半年编制示范工程创建总结报告。</w:t>
            </w:r>
          </w:p>
        </w:tc>
        <w:tc>
          <w:tcPr>
            <w:tcW w:w="1273" w:type="dxa"/>
            <w:vAlign w:val="center"/>
          </w:tcPr>
          <w:p>
            <w:pPr>
              <w:spacing w:line="500" w:lineRule="exact"/>
              <w:jc w:val="center"/>
              <w:rPr>
                <w:rFonts w:ascii="仿宋" w:hAnsi="仿宋" w:eastAsia="仿宋" w:cs="仿宋"/>
                <w:bCs/>
                <w:szCs w:val="21"/>
              </w:rPr>
            </w:pPr>
            <w:r>
              <w:rPr>
                <w:rFonts w:ascii="仿宋" w:hAnsi="仿宋" w:eastAsia="仿宋" w:cs="仿宋"/>
                <w:bCs/>
                <w:szCs w:val="21"/>
              </w:rPr>
              <w:t>领导小组办公室</w:t>
            </w:r>
          </w:p>
        </w:tc>
        <w:tc>
          <w:tcPr>
            <w:tcW w:w="2188" w:type="dxa"/>
            <w:vAlign w:val="center"/>
          </w:tcPr>
          <w:p>
            <w:pPr>
              <w:spacing w:line="500" w:lineRule="exact"/>
              <w:jc w:val="center"/>
              <w:rPr>
                <w:rFonts w:ascii="仿宋" w:hAnsi="仿宋" w:eastAsia="仿宋" w:cs="仿宋"/>
                <w:bCs/>
                <w:szCs w:val="21"/>
              </w:rPr>
            </w:pPr>
            <w:r>
              <w:rPr>
                <w:rFonts w:ascii="仿宋" w:hAnsi="仿宋" w:eastAsia="仿宋" w:cs="仿宋"/>
                <w:bCs/>
                <w:szCs w:val="21"/>
              </w:rPr>
              <w:t>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9" w:type="dxa"/>
            <w:vAlign w:val="center"/>
          </w:tcPr>
          <w:p>
            <w:pPr>
              <w:spacing w:line="500" w:lineRule="exact"/>
              <w:jc w:val="center"/>
              <w:rPr>
                <w:rFonts w:ascii="仿宋" w:hAnsi="仿宋" w:eastAsia="仿宋" w:cs="仿宋"/>
                <w:szCs w:val="21"/>
              </w:rPr>
            </w:pPr>
            <w:r>
              <w:rPr>
                <w:rFonts w:ascii="仿宋" w:hAnsi="仿宋" w:eastAsia="仿宋" w:cs="仿宋"/>
                <w:szCs w:val="21"/>
              </w:rPr>
              <w:t>5</w:t>
            </w:r>
          </w:p>
        </w:tc>
        <w:tc>
          <w:tcPr>
            <w:tcW w:w="851" w:type="dxa"/>
            <w:vMerge w:val="continue"/>
            <w:vAlign w:val="center"/>
          </w:tcPr>
          <w:p>
            <w:pPr>
              <w:spacing w:line="500" w:lineRule="exact"/>
              <w:jc w:val="center"/>
              <w:rPr>
                <w:rFonts w:ascii="仿宋" w:hAnsi="仿宋" w:eastAsia="仿宋" w:cs="仿宋"/>
                <w:bCs/>
                <w:szCs w:val="21"/>
              </w:rPr>
            </w:pPr>
          </w:p>
        </w:tc>
        <w:tc>
          <w:tcPr>
            <w:tcW w:w="1276" w:type="dxa"/>
            <w:vMerge w:val="restart"/>
            <w:vAlign w:val="center"/>
          </w:tcPr>
          <w:p>
            <w:pPr>
              <w:spacing w:line="500" w:lineRule="exact"/>
              <w:jc w:val="center"/>
              <w:rPr>
                <w:rFonts w:ascii="仿宋" w:hAnsi="仿宋" w:eastAsia="仿宋" w:cs="仿宋"/>
                <w:bCs/>
                <w:szCs w:val="21"/>
              </w:rPr>
            </w:pPr>
            <w:r>
              <w:rPr>
                <w:rFonts w:ascii="仿宋" w:hAnsi="仿宋" w:eastAsia="仿宋" w:cs="仿宋"/>
                <w:bCs/>
                <w:szCs w:val="21"/>
              </w:rPr>
              <w:t>制定城市配送企业考核管理办法</w:t>
            </w:r>
          </w:p>
        </w:tc>
        <w:tc>
          <w:tcPr>
            <w:tcW w:w="1559" w:type="dxa"/>
            <w:vAlign w:val="center"/>
          </w:tcPr>
          <w:p>
            <w:pPr>
              <w:spacing w:line="500" w:lineRule="exact"/>
              <w:jc w:val="center"/>
              <w:rPr>
                <w:rFonts w:ascii="仿宋" w:hAnsi="仿宋" w:eastAsia="仿宋" w:cs="仿宋"/>
                <w:bCs/>
                <w:szCs w:val="21"/>
              </w:rPr>
            </w:pPr>
            <w:r>
              <w:rPr>
                <w:rFonts w:hint="eastAsia" w:ascii="仿宋" w:hAnsi="仿宋" w:eastAsia="仿宋" w:cs="仿宋"/>
                <w:bCs/>
                <w:szCs w:val="21"/>
              </w:rPr>
              <w:t>建立快递车辆规范管理制度</w:t>
            </w:r>
          </w:p>
        </w:tc>
        <w:tc>
          <w:tcPr>
            <w:tcW w:w="4477" w:type="dxa"/>
            <w:gridSpan w:val="3"/>
            <w:vAlign w:val="center"/>
          </w:tcPr>
          <w:p>
            <w:pPr>
              <w:spacing w:line="500" w:lineRule="exact"/>
              <w:jc w:val="center"/>
              <w:rPr>
                <w:rFonts w:ascii="仿宋" w:hAnsi="仿宋" w:eastAsia="仿宋" w:cs="仿宋"/>
                <w:bCs/>
                <w:szCs w:val="21"/>
              </w:rPr>
            </w:pPr>
            <w:r>
              <w:rPr>
                <w:rFonts w:hint="eastAsia" w:ascii="仿宋" w:hAnsi="仿宋" w:eastAsia="仿宋" w:cs="仿宋"/>
                <w:bCs/>
                <w:szCs w:val="21"/>
              </w:rPr>
              <w:t>建立快递车辆规范管理制度。</w:t>
            </w:r>
          </w:p>
        </w:tc>
        <w:tc>
          <w:tcPr>
            <w:tcW w:w="1273" w:type="dxa"/>
            <w:vAlign w:val="center"/>
          </w:tcPr>
          <w:p>
            <w:pPr>
              <w:spacing w:line="500" w:lineRule="exact"/>
              <w:jc w:val="center"/>
              <w:rPr>
                <w:rFonts w:ascii="仿宋" w:hAnsi="仿宋" w:eastAsia="仿宋" w:cs="仿宋"/>
                <w:bCs/>
                <w:szCs w:val="21"/>
              </w:rPr>
            </w:pPr>
            <w:r>
              <w:rPr>
                <w:rFonts w:ascii="仿宋" w:hAnsi="仿宋" w:eastAsia="仿宋" w:cs="仿宋"/>
                <w:bCs/>
                <w:szCs w:val="21"/>
              </w:rPr>
              <w:t>市邮政管理局</w:t>
            </w:r>
          </w:p>
        </w:tc>
        <w:tc>
          <w:tcPr>
            <w:tcW w:w="2188" w:type="dxa"/>
            <w:vAlign w:val="center"/>
          </w:tcPr>
          <w:p>
            <w:pPr>
              <w:spacing w:line="500" w:lineRule="exact"/>
              <w:jc w:val="center"/>
              <w:rPr>
                <w:rFonts w:ascii="仿宋" w:hAnsi="仿宋" w:eastAsia="仿宋" w:cs="仿宋"/>
                <w:bCs/>
                <w:szCs w:val="21"/>
              </w:rPr>
            </w:pPr>
            <w:r>
              <w:rPr>
                <w:rFonts w:ascii="仿宋" w:hAnsi="仿宋" w:eastAsia="仿宋" w:cs="仿宋"/>
                <w:bCs/>
                <w:szCs w:val="21"/>
              </w:rPr>
              <w:t>市公安局、市交通</w:t>
            </w:r>
            <w:r>
              <w:rPr>
                <w:rFonts w:hint="eastAsia" w:ascii="仿宋" w:hAnsi="仿宋" w:eastAsia="仿宋" w:cs="仿宋"/>
                <w:bCs/>
                <w:szCs w:val="21"/>
              </w:rPr>
              <w:t>运输</w:t>
            </w:r>
            <w:r>
              <w:rPr>
                <w:rFonts w:ascii="仿宋" w:hAnsi="仿宋" w:eastAsia="仿宋" w:cs="仿宋"/>
                <w:bCs/>
                <w:szCs w:val="21"/>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09" w:type="dxa"/>
            <w:vAlign w:val="center"/>
          </w:tcPr>
          <w:p>
            <w:pPr>
              <w:spacing w:line="500" w:lineRule="exact"/>
              <w:jc w:val="center"/>
              <w:rPr>
                <w:rFonts w:ascii="仿宋" w:hAnsi="仿宋" w:eastAsia="仿宋" w:cs="仿宋"/>
                <w:szCs w:val="21"/>
              </w:rPr>
            </w:pPr>
            <w:r>
              <w:rPr>
                <w:rFonts w:ascii="仿宋" w:hAnsi="仿宋" w:eastAsia="仿宋" w:cs="仿宋"/>
                <w:szCs w:val="21"/>
              </w:rPr>
              <w:t>6</w:t>
            </w:r>
          </w:p>
        </w:tc>
        <w:tc>
          <w:tcPr>
            <w:tcW w:w="851" w:type="dxa"/>
            <w:vMerge w:val="continue"/>
            <w:vAlign w:val="center"/>
          </w:tcPr>
          <w:p>
            <w:pPr>
              <w:spacing w:line="500" w:lineRule="exact"/>
              <w:jc w:val="center"/>
              <w:rPr>
                <w:rFonts w:ascii="仿宋" w:hAnsi="仿宋" w:eastAsia="仿宋" w:cs="仿宋"/>
                <w:bCs/>
                <w:szCs w:val="21"/>
              </w:rPr>
            </w:pPr>
          </w:p>
        </w:tc>
        <w:tc>
          <w:tcPr>
            <w:tcW w:w="1276" w:type="dxa"/>
            <w:vMerge w:val="continue"/>
            <w:vAlign w:val="center"/>
          </w:tcPr>
          <w:p>
            <w:pPr>
              <w:spacing w:line="500" w:lineRule="exact"/>
              <w:jc w:val="center"/>
              <w:rPr>
                <w:rFonts w:ascii="仿宋" w:hAnsi="仿宋" w:eastAsia="仿宋" w:cs="仿宋"/>
                <w:bCs/>
                <w:szCs w:val="21"/>
              </w:rPr>
            </w:pPr>
          </w:p>
        </w:tc>
        <w:tc>
          <w:tcPr>
            <w:tcW w:w="1559" w:type="dxa"/>
            <w:vAlign w:val="center"/>
          </w:tcPr>
          <w:p>
            <w:pPr>
              <w:spacing w:line="500" w:lineRule="exact"/>
              <w:jc w:val="center"/>
              <w:rPr>
                <w:rFonts w:ascii="仿宋" w:hAnsi="仿宋" w:eastAsia="仿宋" w:cs="仿宋"/>
                <w:bCs/>
                <w:szCs w:val="21"/>
              </w:rPr>
            </w:pPr>
            <w:r>
              <w:rPr>
                <w:rFonts w:ascii="仿宋" w:hAnsi="仿宋" w:eastAsia="仿宋" w:cs="仿宋"/>
                <w:bCs/>
                <w:szCs w:val="21"/>
              </w:rPr>
              <w:t>制定</w:t>
            </w:r>
            <w:r>
              <w:rPr>
                <w:rFonts w:hint="eastAsia" w:ascii="仿宋" w:hAnsi="仿宋" w:eastAsia="仿宋" w:cs="仿宋"/>
                <w:bCs/>
                <w:szCs w:val="21"/>
              </w:rPr>
              <w:t>城市配送企业考核管理办法</w:t>
            </w:r>
          </w:p>
        </w:tc>
        <w:tc>
          <w:tcPr>
            <w:tcW w:w="4477" w:type="dxa"/>
            <w:gridSpan w:val="3"/>
            <w:vAlign w:val="center"/>
          </w:tcPr>
          <w:p>
            <w:pPr>
              <w:spacing w:line="500" w:lineRule="exact"/>
              <w:jc w:val="center"/>
              <w:rPr>
                <w:rFonts w:ascii="仿宋" w:hAnsi="仿宋" w:eastAsia="仿宋" w:cs="仿宋"/>
                <w:bCs/>
                <w:szCs w:val="21"/>
              </w:rPr>
            </w:pPr>
            <w:r>
              <w:rPr>
                <w:rFonts w:hint="eastAsia" w:ascii="仿宋" w:hAnsi="仿宋" w:eastAsia="仿宋" w:cs="仿宋"/>
                <w:bCs/>
                <w:szCs w:val="21"/>
              </w:rPr>
              <w:t>制定并发布城市配送企业考核管理办法。</w:t>
            </w:r>
          </w:p>
        </w:tc>
        <w:tc>
          <w:tcPr>
            <w:tcW w:w="1273" w:type="dxa"/>
            <w:vAlign w:val="center"/>
          </w:tcPr>
          <w:p>
            <w:pPr>
              <w:spacing w:line="500" w:lineRule="exact"/>
              <w:jc w:val="center"/>
              <w:rPr>
                <w:rFonts w:ascii="仿宋" w:hAnsi="仿宋" w:eastAsia="仿宋" w:cs="仿宋"/>
                <w:bCs/>
                <w:szCs w:val="21"/>
              </w:rPr>
            </w:pPr>
            <w:r>
              <w:rPr>
                <w:rFonts w:ascii="仿宋" w:hAnsi="仿宋" w:eastAsia="仿宋" w:cs="仿宋"/>
                <w:bCs/>
                <w:szCs w:val="21"/>
              </w:rPr>
              <w:t>市交通</w:t>
            </w:r>
            <w:r>
              <w:rPr>
                <w:rFonts w:hint="eastAsia" w:ascii="仿宋" w:hAnsi="仿宋" w:eastAsia="仿宋" w:cs="仿宋"/>
                <w:bCs/>
                <w:szCs w:val="21"/>
              </w:rPr>
              <w:t>运输</w:t>
            </w:r>
            <w:r>
              <w:rPr>
                <w:rFonts w:ascii="仿宋" w:hAnsi="仿宋" w:eastAsia="仿宋" w:cs="仿宋"/>
                <w:bCs/>
                <w:szCs w:val="21"/>
              </w:rPr>
              <w:t>局</w:t>
            </w:r>
          </w:p>
        </w:tc>
        <w:tc>
          <w:tcPr>
            <w:tcW w:w="2188" w:type="dxa"/>
            <w:vAlign w:val="center"/>
          </w:tcPr>
          <w:p>
            <w:pPr>
              <w:spacing w:line="500" w:lineRule="exact"/>
              <w:jc w:val="center"/>
              <w:rPr>
                <w:rFonts w:ascii="仿宋" w:hAnsi="仿宋" w:eastAsia="仿宋" w:cs="仿宋"/>
                <w:bCs/>
                <w:szCs w:val="21"/>
              </w:rPr>
            </w:pPr>
            <w:r>
              <w:rPr>
                <w:rFonts w:ascii="仿宋" w:hAnsi="仿宋" w:eastAsia="仿宋" w:cs="仿宋"/>
                <w:bCs/>
                <w:szCs w:val="21"/>
              </w:rPr>
              <w:t>市公安局、市商务局、市邮政管理局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909" w:type="dxa"/>
            <w:vAlign w:val="center"/>
          </w:tcPr>
          <w:p>
            <w:pPr>
              <w:spacing w:line="500" w:lineRule="exact"/>
              <w:jc w:val="center"/>
              <w:rPr>
                <w:rFonts w:ascii="仿宋" w:hAnsi="仿宋" w:eastAsia="仿宋" w:cs="仿宋"/>
                <w:szCs w:val="21"/>
              </w:rPr>
            </w:pPr>
            <w:r>
              <w:rPr>
                <w:rFonts w:ascii="仿宋" w:hAnsi="仿宋" w:eastAsia="仿宋" w:cs="仿宋"/>
                <w:szCs w:val="21"/>
              </w:rPr>
              <w:t>7</w:t>
            </w:r>
          </w:p>
        </w:tc>
        <w:tc>
          <w:tcPr>
            <w:tcW w:w="851" w:type="dxa"/>
            <w:vMerge w:val="continue"/>
            <w:vAlign w:val="center"/>
          </w:tcPr>
          <w:p>
            <w:pPr>
              <w:spacing w:line="500" w:lineRule="exact"/>
              <w:jc w:val="center"/>
              <w:rPr>
                <w:rFonts w:ascii="仿宋" w:hAnsi="仿宋" w:eastAsia="仿宋" w:cs="仿宋"/>
                <w:bCs/>
                <w:szCs w:val="21"/>
              </w:rPr>
            </w:pPr>
          </w:p>
        </w:tc>
        <w:tc>
          <w:tcPr>
            <w:tcW w:w="1276" w:type="dxa"/>
            <w:vMerge w:val="continue"/>
            <w:vAlign w:val="center"/>
          </w:tcPr>
          <w:p>
            <w:pPr>
              <w:spacing w:line="500" w:lineRule="exact"/>
              <w:jc w:val="center"/>
              <w:rPr>
                <w:rFonts w:ascii="仿宋" w:hAnsi="仿宋" w:eastAsia="仿宋" w:cs="仿宋"/>
                <w:bCs/>
                <w:szCs w:val="21"/>
              </w:rPr>
            </w:pPr>
          </w:p>
        </w:tc>
        <w:tc>
          <w:tcPr>
            <w:tcW w:w="1559" w:type="dxa"/>
            <w:vAlign w:val="center"/>
          </w:tcPr>
          <w:p>
            <w:pPr>
              <w:spacing w:line="500" w:lineRule="exact"/>
              <w:jc w:val="center"/>
              <w:rPr>
                <w:rFonts w:ascii="仿宋" w:hAnsi="仿宋" w:eastAsia="仿宋" w:cs="仿宋"/>
                <w:bCs/>
                <w:szCs w:val="21"/>
              </w:rPr>
            </w:pPr>
            <w:r>
              <w:rPr>
                <w:rFonts w:ascii="仿宋" w:hAnsi="仿宋" w:eastAsia="仿宋" w:cs="仿宋"/>
                <w:bCs/>
                <w:szCs w:val="21"/>
              </w:rPr>
              <w:t>开展考核评估</w:t>
            </w:r>
          </w:p>
        </w:tc>
        <w:tc>
          <w:tcPr>
            <w:tcW w:w="4477" w:type="dxa"/>
            <w:gridSpan w:val="3"/>
            <w:vAlign w:val="center"/>
          </w:tcPr>
          <w:p>
            <w:pPr>
              <w:spacing w:line="500" w:lineRule="exact"/>
              <w:jc w:val="center"/>
              <w:rPr>
                <w:rFonts w:ascii="仿宋" w:hAnsi="仿宋" w:eastAsia="仿宋" w:cs="仿宋"/>
                <w:bCs/>
                <w:szCs w:val="21"/>
              </w:rPr>
            </w:pPr>
            <w:r>
              <w:rPr>
                <w:rFonts w:hint="eastAsia" w:ascii="仿宋" w:hAnsi="仿宋" w:eastAsia="仿宋" w:cs="仿宋"/>
                <w:bCs/>
                <w:szCs w:val="21"/>
              </w:rPr>
              <w:t>每年对从事城市配送的企业开展1次考核评估，并结合考核评价结果实行相应的奖惩措施。</w:t>
            </w:r>
          </w:p>
        </w:tc>
        <w:tc>
          <w:tcPr>
            <w:tcW w:w="1273" w:type="dxa"/>
            <w:vAlign w:val="center"/>
          </w:tcPr>
          <w:p>
            <w:pPr>
              <w:spacing w:line="500" w:lineRule="exact"/>
              <w:jc w:val="center"/>
              <w:rPr>
                <w:rFonts w:ascii="仿宋" w:hAnsi="仿宋" w:eastAsia="仿宋" w:cs="仿宋"/>
                <w:bCs/>
                <w:szCs w:val="21"/>
              </w:rPr>
            </w:pPr>
            <w:r>
              <w:rPr>
                <w:rFonts w:ascii="仿宋" w:hAnsi="仿宋" w:eastAsia="仿宋" w:cs="仿宋"/>
                <w:bCs/>
                <w:szCs w:val="21"/>
              </w:rPr>
              <w:t>市交通</w:t>
            </w:r>
            <w:r>
              <w:rPr>
                <w:rFonts w:hint="eastAsia" w:ascii="仿宋" w:hAnsi="仿宋" w:eastAsia="仿宋" w:cs="仿宋"/>
                <w:bCs/>
                <w:szCs w:val="21"/>
              </w:rPr>
              <w:t>运输</w:t>
            </w:r>
            <w:r>
              <w:rPr>
                <w:rFonts w:ascii="仿宋" w:hAnsi="仿宋" w:eastAsia="仿宋" w:cs="仿宋"/>
                <w:bCs/>
                <w:szCs w:val="21"/>
              </w:rPr>
              <w:t>局</w:t>
            </w:r>
          </w:p>
        </w:tc>
        <w:tc>
          <w:tcPr>
            <w:tcW w:w="2188" w:type="dxa"/>
            <w:vAlign w:val="center"/>
          </w:tcPr>
          <w:p>
            <w:pPr>
              <w:spacing w:line="500" w:lineRule="exact"/>
              <w:jc w:val="center"/>
              <w:rPr>
                <w:rFonts w:ascii="仿宋" w:hAnsi="仿宋" w:eastAsia="仿宋" w:cs="仿宋"/>
                <w:bCs/>
                <w:szCs w:val="21"/>
              </w:rPr>
            </w:pPr>
            <w:r>
              <w:rPr>
                <w:rFonts w:hint="eastAsia" w:ascii="仿宋" w:hAnsi="仿宋" w:eastAsia="仿宋" w:cs="仿宋"/>
                <w:bCs/>
                <w:szCs w:val="21"/>
              </w:rPr>
              <w:t>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909" w:type="dxa"/>
            <w:vAlign w:val="center"/>
          </w:tcPr>
          <w:p>
            <w:pPr>
              <w:spacing w:line="500" w:lineRule="exact"/>
              <w:jc w:val="center"/>
              <w:rPr>
                <w:rFonts w:ascii="仿宋" w:hAnsi="仿宋" w:eastAsia="仿宋" w:cs="仿宋"/>
                <w:szCs w:val="21"/>
              </w:rPr>
            </w:pPr>
            <w:r>
              <w:rPr>
                <w:rFonts w:ascii="仿宋" w:hAnsi="仿宋" w:eastAsia="仿宋" w:cs="仿宋"/>
                <w:szCs w:val="21"/>
              </w:rPr>
              <w:t>8</w:t>
            </w:r>
          </w:p>
        </w:tc>
        <w:tc>
          <w:tcPr>
            <w:tcW w:w="851" w:type="dxa"/>
            <w:vMerge w:val="continue"/>
            <w:vAlign w:val="center"/>
          </w:tcPr>
          <w:p>
            <w:pPr>
              <w:spacing w:line="500" w:lineRule="exact"/>
              <w:jc w:val="center"/>
              <w:rPr>
                <w:rFonts w:ascii="仿宋" w:hAnsi="仿宋" w:eastAsia="仿宋" w:cs="仿宋"/>
                <w:bCs/>
                <w:szCs w:val="21"/>
              </w:rPr>
            </w:pPr>
          </w:p>
        </w:tc>
        <w:tc>
          <w:tcPr>
            <w:tcW w:w="1276" w:type="dxa"/>
            <w:vAlign w:val="center"/>
          </w:tcPr>
          <w:p>
            <w:pPr>
              <w:spacing w:line="500" w:lineRule="exact"/>
              <w:jc w:val="center"/>
              <w:rPr>
                <w:rFonts w:ascii="仿宋" w:hAnsi="仿宋" w:eastAsia="仿宋" w:cs="仿宋"/>
                <w:bCs/>
                <w:szCs w:val="21"/>
              </w:rPr>
            </w:pPr>
            <w:r>
              <w:rPr>
                <w:rFonts w:ascii="仿宋" w:hAnsi="仿宋" w:eastAsia="仿宋" w:cs="仿宋"/>
                <w:bCs/>
                <w:szCs w:val="21"/>
              </w:rPr>
              <w:t>出台相关扶持政策</w:t>
            </w:r>
          </w:p>
        </w:tc>
        <w:tc>
          <w:tcPr>
            <w:tcW w:w="1559" w:type="dxa"/>
            <w:vAlign w:val="center"/>
          </w:tcPr>
          <w:p>
            <w:pPr>
              <w:spacing w:line="500" w:lineRule="exact"/>
              <w:jc w:val="center"/>
              <w:rPr>
                <w:rFonts w:ascii="仿宋" w:hAnsi="仿宋" w:eastAsia="仿宋" w:cs="仿宋"/>
                <w:bCs/>
                <w:szCs w:val="21"/>
              </w:rPr>
            </w:pPr>
            <w:r>
              <w:rPr>
                <w:rFonts w:ascii="仿宋" w:hAnsi="仿宋" w:eastAsia="仿宋" w:cs="仿宋"/>
                <w:bCs/>
                <w:szCs w:val="21"/>
              </w:rPr>
              <w:t>建立资金投入机制</w:t>
            </w:r>
            <w:r>
              <w:rPr>
                <w:rFonts w:hint="eastAsia" w:ascii="仿宋" w:hAnsi="仿宋" w:eastAsia="仿宋" w:cs="仿宋"/>
                <w:bCs/>
                <w:szCs w:val="21"/>
              </w:rPr>
              <w:t>,设立专项资金。</w:t>
            </w:r>
          </w:p>
        </w:tc>
        <w:tc>
          <w:tcPr>
            <w:tcW w:w="4477" w:type="dxa"/>
            <w:gridSpan w:val="3"/>
            <w:vAlign w:val="center"/>
          </w:tcPr>
          <w:p>
            <w:pPr>
              <w:spacing w:line="500" w:lineRule="exact"/>
              <w:jc w:val="center"/>
              <w:rPr>
                <w:rFonts w:ascii="仿宋" w:hAnsi="仿宋" w:eastAsia="仿宋" w:cs="仿宋"/>
                <w:bCs/>
                <w:szCs w:val="21"/>
              </w:rPr>
            </w:pPr>
            <w:r>
              <w:rPr>
                <w:rFonts w:hint="eastAsia" w:ascii="仿宋" w:hAnsi="仿宋" w:eastAsia="仿宋" w:cs="仿宋"/>
                <w:bCs/>
                <w:szCs w:val="21"/>
              </w:rPr>
              <w:t>建立相对稳定的城市绿色货运配送发展资金投入机制，并纳入年度财政预算。在新能源车辆购置与营运、配送中心建设、先进组织模式推广应用、公共信息平台建设等方面给予资金支持。</w:t>
            </w:r>
          </w:p>
        </w:tc>
        <w:tc>
          <w:tcPr>
            <w:tcW w:w="1273" w:type="dxa"/>
            <w:vAlign w:val="center"/>
          </w:tcPr>
          <w:p>
            <w:pPr>
              <w:spacing w:line="500" w:lineRule="exact"/>
              <w:jc w:val="center"/>
              <w:rPr>
                <w:rFonts w:ascii="仿宋" w:hAnsi="仿宋" w:eastAsia="仿宋" w:cs="仿宋"/>
                <w:bCs/>
                <w:szCs w:val="21"/>
              </w:rPr>
            </w:pPr>
            <w:r>
              <w:rPr>
                <w:rFonts w:ascii="仿宋" w:hAnsi="仿宋" w:eastAsia="仿宋" w:cs="仿宋"/>
                <w:bCs/>
                <w:szCs w:val="21"/>
              </w:rPr>
              <w:t>市财政局</w:t>
            </w:r>
          </w:p>
        </w:tc>
        <w:tc>
          <w:tcPr>
            <w:tcW w:w="2188" w:type="dxa"/>
            <w:vAlign w:val="center"/>
          </w:tcPr>
          <w:p>
            <w:pPr>
              <w:spacing w:line="500" w:lineRule="exact"/>
              <w:jc w:val="center"/>
              <w:rPr>
                <w:rFonts w:ascii="仿宋" w:hAnsi="仿宋" w:eastAsia="仿宋" w:cs="仿宋"/>
                <w:bCs/>
                <w:szCs w:val="21"/>
              </w:rPr>
            </w:pPr>
            <w:r>
              <w:rPr>
                <w:rFonts w:ascii="仿宋" w:hAnsi="仿宋" w:eastAsia="仿宋" w:cs="仿宋"/>
                <w:bCs/>
                <w:szCs w:val="21"/>
              </w:rPr>
              <w:t>市交通</w:t>
            </w:r>
            <w:r>
              <w:rPr>
                <w:rFonts w:hint="eastAsia" w:ascii="仿宋" w:hAnsi="仿宋" w:eastAsia="仿宋" w:cs="仿宋"/>
                <w:bCs/>
                <w:szCs w:val="21"/>
              </w:rPr>
              <w:t>运输</w:t>
            </w:r>
            <w:r>
              <w:rPr>
                <w:rFonts w:ascii="仿宋" w:hAnsi="仿宋" w:eastAsia="仿宋" w:cs="仿宋"/>
                <w:bCs/>
                <w:szCs w:val="21"/>
              </w:rPr>
              <w:t>局、市发改委</w:t>
            </w:r>
            <w:r>
              <w:rPr>
                <w:rFonts w:hint="eastAsia" w:ascii="仿宋" w:hAnsi="仿宋" w:eastAsia="仿宋" w:cs="仿宋"/>
                <w:bCs/>
                <w:szCs w:val="21"/>
              </w:rPr>
              <w:t>、</w:t>
            </w:r>
            <w:r>
              <w:rPr>
                <w:rFonts w:ascii="仿宋" w:hAnsi="仿宋" w:eastAsia="仿宋" w:cs="仿宋"/>
                <w:bCs/>
                <w:szCs w:val="21"/>
              </w:rPr>
              <w:t>市商务局</w:t>
            </w:r>
            <w:r>
              <w:rPr>
                <w:rFonts w:hint="eastAsia" w:ascii="仿宋" w:hAnsi="仿宋" w:eastAsia="仿宋" w:cs="仿宋"/>
                <w:bCs/>
                <w:szCs w:val="21"/>
              </w:rPr>
              <w:t>、市公安局、</w:t>
            </w:r>
            <w:r>
              <w:rPr>
                <w:rFonts w:ascii="仿宋" w:hAnsi="仿宋" w:eastAsia="仿宋" w:cs="仿宋"/>
                <w:bCs/>
                <w:szCs w:val="21"/>
              </w:rPr>
              <w:t>市工信局、</w:t>
            </w:r>
            <w:r>
              <w:rPr>
                <w:rFonts w:hint="eastAsia" w:ascii="仿宋" w:hAnsi="仿宋" w:eastAsia="仿宋" w:cs="仿宋"/>
                <w:bCs/>
                <w:szCs w:val="21"/>
              </w:rPr>
              <w:t>市邮政管理局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909" w:type="dxa"/>
            <w:vAlign w:val="center"/>
          </w:tcPr>
          <w:p>
            <w:pPr>
              <w:spacing w:line="500" w:lineRule="exact"/>
              <w:jc w:val="center"/>
              <w:rPr>
                <w:rFonts w:ascii="仿宋" w:hAnsi="仿宋" w:eastAsia="仿宋" w:cs="仿宋"/>
                <w:szCs w:val="21"/>
              </w:rPr>
            </w:pPr>
            <w:r>
              <w:rPr>
                <w:rFonts w:ascii="仿宋" w:hAnsi="仿宋" w:eastAsia="仿宋" w:cs="仿宋"/>
                <w:szCs w:val="21"/>
              </w:rPr>
              <w:t>9</w:t>
            </w:r>
          </w:p>
        </w:tc>
        <w:tc>
          <w:tcPr>
            <w:tcW w:w="851" w:type="dxa"/>
            <w:vMerge w:val="restart"/>
            <w:vAlign w:val="center"/>
          </w:tcPr>
          <w:p>
            <w:pPr>
              <w:spacing w:line="500" w:lineRule="exact"/>
              <w:jc w:val="center"/>
              <w:rPr>
                <w:rFonts w:ascii="仿宋" w:hAnsi="仿宋" w:eastAsia="仿宋" w:cs="仿宋"/>
                <w:bCs/>
                <w:szCs w:val="21"/>
              </w:rPr>
            </w:pPr>
            <w:r>
              <w:rPr>
                <w:rFonts w:ascii="仿宋" w:hAnsi="仿宋" w:eastAsia="仿宋" w:cs="仿宋"/>
                <w:bCs/>
                <w:szCs w:val="21"/>
              </w:rPr>
              <w:t>城市配送</w:t>
            </w:r>
            <w:r>
              <w:rPr>
                <w:rFonts w:hint="eastAsia" w:ascii="仿宋" w:hAnsi="仿宋" w:eastAsia="仿宋" w:cs="仿宋"/>
                <w:bCs/>
                <w:szCs w:val="21"/>
              </w:rPr>
              <w:t>物流</w:t>
            </w:r>
            <w:r>
              <w:rPr>
                <w:rFonts w:ascii="仿宋" w:hAnsi="仿宋" w:eastAsia="仿宋" w:cs="仿宋"/>
                <w:bCs/>
                <w:szCs w:val="21"/>
              </w:rPr>
              <w:t>基础设施</w:t>
            </w:r>
          </w:p>
        </w:tc>
        <w:tc>
          <w:tcPr>
            <w:tcW w:w="2835" w:type="dxa"/>
            <w:gridSpan w:val="2"/>
            <w:vAlign w:val="center"/>
          </w:tcPr>
          <w:p>
            <w:pPr>
              <w:spacing w:line="500" w:lineRule="exact"/>
              <w:jc w:val="center"/>
              <w:rPr>
                <w:rFonts w:ascii="仿宋" w:hAnsi="仿宋" w:eastAsia="仿宋" w:cs="仿宋"/>
                <w:bCs/>
                <w:szCs w:val="21"/>
              </w:rPr>
            </w:pPr>
            <w:r>
              <w:rPr>
                <w:rFonts w:ascii="仿宋" w:hAnsi="仿宋" w:eastAsia="仿宋" w:cs="仿宋"/>
                <w:bCs/>
                <w:szCs w:val="21"/>
              </w:rPr>
              <w:t>投入运营的干支衔接货运枢纽（物流园区）</w:t>
            </w:r>
            <w:r>
              <w:rPr>
                <w:rFonts w:hint="eastAsia" w:ascii="仿宋" w:hAnsi="仿宋" w:eastAsia="仿宋" w:cs="仿宋"/>
                <w:bCs/>
                <w:szCs w:val="21"/>
              </w:rPr>
              <w:t>不少于5</w:t>
            </w:r>
            <w:r>
              <w:rPr>
                <w:rFonts w:ascii="仿宋" w:hAnsi="仿宋" w:eastAsia="仿宋" w:cs="仿宋"/>
                <w:bCs/>
                <w:szCs w:val="21"/>
              </w:rPr>
              <w:t>个</w:t>
            </w:r>
            <w:r>
              <w:rPr>
                <w:rFonts w:hint="eastAsia" w:ascii="仿宋" w:hAnsi="仿宋" w:eastAsia="仿宋" w:cs="仿宋"/>
                <w:bCs/>
                <w:szCs w:val="21"/>
              </w:rPr>
              <w:t>。</w:t>
            </w:r>
          </w:p>
        </w:tc>
        <w:tc>
          <w:tcPr>
            <w:tcW w:w="1492" w:type="dxa"/>
            <w:vAlign w:val="center"/>
          </w:tcPr>
          <w:p>
            <w:pPr>
              <w:spacing w:line="500" w:lineRule="exact"/>
              <w:jc w:val="center"/>
              <w:rPr>
                <w:rFonts w:ascii="仿宋" w:hAnsi="仿宋" w:eastAsia="仿宋" w:cs="仿宋"/>
                <w:szCs w:val="21"/>
              </w:rPr>
            </w:pPr>
            <w:r>
              <w:rPr>
                <w:rFonts w:hint="eastAsia" w:ascii="仿宋" w:hAnsi="仿宋" w:eastAsia="仿宋" w:cs="仿宋"/>
                <w:szCs w:val="21"/>
                <w:lang w:val="en-US" w:eastAsia="zh-CN"/>
              </w:rPr>
              <w:t>0</w:t>
            </w:r>
            <w:r>
              <w:rPr>
                <w:rFonts w:hint="eastAsia" w:ascii="仿宋" w:hAnsi="仿宋" w:eastAsia="仿宋" w:cs="仿宋"/>
                <w:szCs w:val="21"/>
              </w:rPr>
              <w:t>个</w:t>
            </w:r>
          </w:p>
        </w:tc>
        <w:tc>
          <w:tcPr>
            <w:tcW w:w="1492" w:type="dxa"/>
            <w:vAlign w:val="center"/>
          </w:tcPr>
          <w:p>
            <w:pPr>
              <w:spacing w:line="500" w:lineRule="exact"/>
              <w:jc w:val="center"/>
              <w:rPr>
                <w:rFonts w:ascii="仿宋" w:hAnsi="仿宋" w:eastAsia="仿宋" w:cs="仿宋"/>
                <w:szCs w:val="21"/>
              </w:rPr>
            </w:pPr>
            <w:r>
              <w:rPr>
                <w:rFonts w:hint="eastAsia" w:ascii="仿宋" w:hAnsi="仿宋" w:eastAsia="仿宋" w:cs="仿宋"/>
                <w:szCs w:val="21"/>
              </w:rPr>
              <w:t>2个</w:t>
            </w:r>
          </w:p>
        </w:tc>
        <w:tc>
          <w:tcPr>
            <w:tcW w:w="1493" w:type="dxa"/>
            <w:vAlign w:val="center"/>
          </w:tcPr>
          <w:p>
            <w:pPr>
              <w:spacing w:line="500" w:lineRule="exact"/>
              <w:jc w:val="center"/>
              <w:rPr>
                <w:rFonts w:ascii="仿宋" w:hAnsi="仿宋" w:eastAsia="仿宋" w:cs="仿宋"/>
                <w:szCs w:val="21"/>
              </w:rPr>
            </w:pPr>
            <w:r>
              <w:rPr>
                <w:rFonts w:hint="eastAsia" w:ascii="仿宋" w:hAnsi="仿宋" w:eastAsia="仿宋" w:cs="仿宋"/>
                <w:szCs w:val="21"/>
                <w:lang w:val="en-US" w:eastAsia="zh-CN"/>
              </w:rPr>
              <w:t>3</w:t>
            </w:r>
            <w:r>
              <w:rPr>
                <w:rFonts w:hint="eastAsia" w:ascii="仿宋" w:hAnsi="仿宋" w:eastAsia="仿宋" w:cs="仿宋"/>
                <w:szCs w:val="21"/>
              </w:rPr>
              <w:t>个</w:t>
            </w:r>
          </w:p>
        </w:tc>
        <w:tc>
          <w:tcPr>
            <w:tcW w:w="1273" w:type="dxa"/>
            <w:vAlign w:val="center"/>
          </w:tcPr>
          <w:p>
            <w:pPr>
              <w:spacing w:line="500" w:lineRule="exact"/>
              <w:jc w:val="center"/>
              <w:rPr>
                <w:rFonts w:ascii="仿宋" w:hAnsi="仿宋" w:eastAsia="仿宋" w:cs="仿宋"/>
                <w:szCs w:val="21"/>
              </w:rPr>
            </w:pPr>
            <w:r>
              <w:rPr>
                <w:rFonts w:hint="eastAsia" w:ascii="仿宋" w:hAnsi="仿宋" w:eastAsia="仿宋" w:cs="仿宋"/>
                <w:szCs w:val="21"/>
              </w:rPr>
              <w:t>市交通运输局</w:t>
            </w:r>
          </w:p>
        </w:tc>
        <w:tc>
          <w:tcPr>
            <w:tcW w:w="2188" w:type="dxa"/>
            <w:vAlign w:val="center"/>
          </w:tcPr>
          <w:p>
            <w:pPr>
              <w:spacing w:line="500" w:lineRule="exact"/>
              <w:jc w:val="center"/>
              <w:rPr>
                <w:rFonts w:ascii="仿宋" w:hAnsi="仿宋" w:eastAsia="仿宋" w:cs="仿宋"/>
                <w:bCs/>
                <w:szCs w:val="21"/>
              </w:rPr>
            </w:pPr>
            <w:r>
              <w:rPr>
                <w:rFonts w:hint="eastAsia" w:ascii="仿宋" w:hAnsi="仿宋" w:eastAsia="仿宋" w:cs="仿宋"/>
                <w:bCs/>
                <w:szCs w:val="21"/>
              </w:rPr>
              <w:t>市发改委、市商务局、市邮政管理局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909" w:type="dxa"/>
            <w:vAlign w:val="center"/>
          </w:tcPr>
          <w:p>
            <w:pPr>
              <w:spacing w:line="460" w:lineRule="exact"/>
              <w:jc w:val="center"/>
              <w:rPr>
                <w:rFonts w:ascii="仿宋" w:hAnsi="仿宋" w:eastAsia="仿宋" w:cs="仿宋"/>
                <w:szCs w:val="21"/>
              </w:rPr>
            </w:pPr>
            <w:r>
              <w:rPr>
                <w:rFonts w:ascii="仿宋" w:hAnsi="仿宋" w:eastAsia="仿宋" w:cs="仿宋"/>
                <w:szCs w:val="21"/>
              </w:rPr>
              <w:t>10</w:t>
            </w:r>
          </w:p>
        </w:tc>
        <w:tc>
          <w:tcPr>
            <w:tcW w:w="851" w:type="dxa"/>
            <w:vMerge w:val="continue"/>
            <w:vAlign w:val="center"/>
          </w:tcPr>
          <w:p>
            <w:pPr>
              <w:spacing w:line="460" w:lineRule="exact"/>
              <w:jc w:val="center"/>
              <w:rPr>
                <w:rFonts w:ascii="仿宋" w:hAnsi="仿宋" w:eastAsia="仿宋" w:cs="仿宋"/>
                <w:bCs/>
                <w:szCs w:val="21"/>
              </w:rPr>
            </w:pPr>
          </w:p>
        </w:tc>
        <w:tc>
          <w:tcPr>
            <w:tcW w:w="2835" w:type="dxa"/>
            <w:gridSpan w:val="2"/>
            <w:vAlign w:val="center"/>
          </w:tcPr>
          <w:p>
            <w:pPr>
              <w:spacing w:line="460" w:lineRule="exact"/>
              <w:jc w:val="center"/>
              <w:rPr>
                <w:rFonts w:ascii="仿宋" w:hAnsi="仿宋" w:eastAsia="仿宋" w:cs="仿宋"/>
                <w:szCs w:val="21"/>
              </w:rPr>
            </w:pPr>
            <w:r>
              <w:rPr>
                <w:rFonts w:ascii="仿宋" w:hAnsi="仿宋" w:eastAsia="仿宋" w:cs="仿宋"/>
                <w:bCs/>
                <w:szCs w:val="21"/>
              </w:rPr>
              <w:t>投入运营的公共配送中心</w:t>
            </w:r>
            <w:r>
              <w:rPr>
                <w:rFonts w:hint="eastAsia" w:ascii="仿宋" w:hAnsi="仿宋" w:eastAsia="仿宋" w:cs="仿宋"/>
                <w:bCs/>
                <w:szCs w:val="21"/>
              </w:rPr>
              <w:t>不少于9</w:t>
            </w:r>
            <w:r>
              <w:rPr>
                <w:rFonts w:ascii="仿宋" w:hAnsi="仿宋" w:eastAsia="仿宋" w:cs="仿宋"/>
                <w:bCs/>
                <w:szCs w:val="21"/>
              </w:rPr>
              <w:t>个</w:t>
            </w:r>
            <w:r>
              <w:rPr>
                <w:rFonts w:hint="eastAsia" w:ascii="仿宋" w:hAnsi="仿宋" w:eastAsia="仿宋" w:cs="仿宋"/>
                <w:bCs/>
                <w:szCs w:val="21"/>
              </w:rPr>
              <w:t>。</w:t>
            </w:r>
          </w:p>
        </w:tc>
        <w:tc>
          <w:tcPr>
            <w:tcW w:w="1492" w:type="dxa"/>
            <w:vAlign w:val="center"/>
          </w:tcPr>
          <w:p>
            <w:pPr>
              <w:spacing w:line="460" w:lineRule="exact"/>
              <w:jc w:val="center"/>
              <w:rPr>
                <w:rFonts w:ascii="仿宋" w:hAnsi="仿宋" w:eastAsia="仿宋" w:cs="仿宋"/>
                <w:szCs w:val="21"/>
              </w:rPr>
            </w:pPr>
            <w:r>
              <w:rPr>
                <w:rFonts w:hint="eastAsia" w:ascii="仿宋" w:hAnsi="仿宋" w:eastAsia="仿宋" w:cs="仿宋"/>
                <w:szCs w:val="21"/>
                <w:lang w:val="en-US" w:eastAsia="zh-CN"/>
              </w:rPr>
              <w:t>1</w:t>
            </w:r>
            <w:r>
              <w:rPr>
                <w:rFonts w:hint="eastAsia" w:ascii="仿宋" w:hAnsi="仿宋" w:eastAsia="仿宋" w:cs="仿宋"/>
                <w:szCs w:val="21"/>
              </w:rPr>
              <w:t>个</w:t>
            </w:r>
          </w:p>
        </w:tc>
        <w:tc>
          <w:tcPr>
            <w:tcW w:w="1492" w:type="dxa"/>
            <w:vAlign w:val="center"/>
          </w:tcPr>
          <w:p>
            <w:pPr>
              <w:spacing w:line="460" w:lineRule="exact"/>
              <w:jc w:val="center"/>
              <w:rPr>
                <w:rFonts w:ascii="仿宋" w:hAnsi="仿宋" w:eastAsia="仿宋" w:cs="仿宋"/>
                <w:szCs w:val="21"/>
              </w:rPr>
            </w:pPr>
            <w:r>
              <w:rPr>
                <w:rFonts w:hint="eastAsia" w:ascii="仿宋" w:hAnsi="仿宋" w:eastAsia="仿宋" w:cs="仿宋"/>
                <w:szCs w:val="21"/>
              </w:rPr>
              <w:t>4个</w:t>
            </w:r>
          </w:p>
        </w:tc>
        <w:tc>
          <w:tcPr>
            <w:tcW w:w="1493" w:type="dxa"/>
            <w:vAlign w:val="center"/>
          </w:tcPr>
          <w:p>
            <w:pPr>
              <w:spacing w:line="460" w:lineRule="exact"/>
              <w:jc w:val="center"/>
              <w:rPr>
                <w:rFonts w:ascii="仿宋" w:hAnsi="仿宋" w:eastAsia="仿宋" w:cs="仿宋"/>
                <w:szCs w:val="21"/>
              </w:rPr>
            </w:pPr>
            <w:r>
              <w:rPr>
                <w:rFonts w:hint="eastAsia" w:ascii="仿宋" w:hAnsi="仿宋" w:eastAsia="仿宋" w:cs="仿宋"/>
                <w:szCs w:val="21"/>
                <w:lang w:val="en-US" w:eastAsia="zh-CN"/>
              </w:rPr>
              <w:t>4</w:t>
            </w:r>
            <w:r>
              <w:rPr>
                <w:rFonts w:hint="eastAsia" w:ascii="仿宋" w:hAnsi="仿宋" w:eastAsia="仿宋" w:cs="仿宋"/>
                <w:szCs w:val="21"/>
              </w:rPr>
              <w:t>个</w:t>
            </w:r>
          </w:p>
        </w:tc>
        <w:tc>
          <w:tcPr>
            <w:tcW w:w="1273" w:type="dxa"/>
            <w:vAlign w:val="center"/>
          </w:tcPr>
          <w:p>
            <w:pPr>
              <w:spacing w:line="460" w:lineRule="exact"/>
              <w:jc w:val="center"/>
              <w:rPr>
                <w:rFonts w:ascii="仿宋" w:hAnsi="仿宋" w:eastAsia="仿宋" w:cs="仿宋"/>
                <w:szCs w:val="21"/>
              </w:rPr>
            </w:pPr>
            <w:r>
              <w:rPr>
                <w:rFonts w:hint="eastAsia" w:ascii="仿宋" w:hAnsi="仿宋" w:eastAsia="仿宋" w:cs="仿宋"/>
                <w:szCs w:val="21"/>
              </w:rPr>
              <w:t>市交通运输局</w:t>
            </w:r>
          </w:p>
        </w:tc>
        <w:tc>
          <w:tcPr>
            <w:tcW w:w="2188" w:type="dxa"/>
            <w:vAlign w:val="center"/>
          </w:tcPr>
          <w:p>
            <w:pPr>
              <w:spacing w:line="460" w:lineRule="exact"/>
              <w:jc w:val="center"/>
              <w:rPr>
                <w:rFonts w:ascii="仿宋" w:hAnsi="仿宋" w:eastAsia="仿宋" w:cs="仿宋"/>
                <w:bCs/>
                <w:szCs w:val="21"/>
              </w:rPr>
            </w:pPr>
            <w:r>
              <w:rPr>
                <w:rFonts w:hint="eastAsia" w:ascii="仿宋" w:hAnsi="仿宋" w:eastAsia="仿宋" w:cs="仿宋"/>
                <w:bCs/>
                <w:szCs w:val="21"/>
              </w:rPr>
              <w:t>市发改委、市商务局、市邮政管理局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09" w:type="dxa"/>
            <w:vAlign w:val="center"/>
          </w:tcPr>
          <w:p>
            <w:pPr>
              <w:spacing w:line="460" w:lineRule="exact"/>
              <w:jc w:val="center"/>
              <w:rPr>
                <w:rFonts w:ascii="仿宋" w:hAnsi="仿宋" w:eastAsia="仿宋" w:cs="仿宋"/>
                <w:szCs w:val="21"/>
              </w:rPr>
            </w:pPr>
            <w:r>
              <w:rPr>
                <w:rFonts w:ascii="仿宋" w:hAnsi="仿宋" w:eastAsia="仿宋" w:cs="仿宋"/>
                <w:szCs w:val="21"/>
              </w:rPr>
              <w:t>11</w:t>
            </w:r>
          </w:p>
        </w:tc>
        <w:tc>
          <w:tcPr>
            <w:tcW w:w="851" w:type="dxa"/>
            <w:vMerge w:val="continue"/>
            <w:vAlign w:val="center"/>
          </w:tcPr>
          <w:p>
            <w:pPr>
              <w:spacing w:line="460" w:lineRule="exact"/>
              <w:jc w:val="center"/>
              <w:rPr>
                <w:rFonts w:ascii="仿宋" w:hAnsi="仿宋" w:eastAsia="仿宋" w:cs="仿宋"/>
                <w:bCs/>
                <w:szCs w:val="21"/>
              </w:rPr>
            </w:pPr>
          </w:p>
        </w:tc>
        <w:tc>
          <w:tcPr>
            <w:tcW w:w="2835" w:type="dxa"/>
            <w:gridSpan w:val="2"/>
            <w:vAlign w:val="center"/>
          </w:tcPr>
          <w:p>
            <w:pPr>
              <w:spacing w:line="460" w:lineRule="exact"/>
              <w:jc w:val="center"/>
              <w:rPr>
                <w:rFonts w:ascii="仿宋" w:hAnsi="仿宋" w:eastAsia="仿宋" w:cs="仿宋"/>
                <w:bCs/>
                <w:szCs w:val="21"/>
              </w:rPr>
            </w:pPr>
            <w:r>
              <w:rPr>
                <w:rFonts w:ascii="仿宋" w:hAnsi="仿宋" w:eastAsia="仿宋" w:cs="仿宋"/>
                <w:bCs/>
                <w:szCs w:val="21"/>
              </w:rPr>
              <w:t>建设末端公共配送站</w:t>
            </w:r>
            <w:r>
              <w:rPr>
                <w:rFonts w:hint="eastAsia" w:ascii="仿宋" w:hAnsi="仿宋" w:eastAsia="仿宋" w:cs="仿宋"/>
                <w:szCs w:val="21"/>
              </w:rPr>
              <w:t>（货物装卸点）≥</w:t>
            </w:r>
            <w:r>
              <w:rPr>
                <w:rFonts w:ascii="仿宋" w:hAnsi="仿宋" w:eastAsia="仿宋" w:cs="仿宋"/>
                <w:bCs/>
                <w:szCs w:val="21"/>
              </w:rPr>
              <w:t>80个</w:t>
            </w:r>
            <w:r>
              <w:rPr>
                <w:rFonts w:hint="eastAsia" w:ascii="仿宋" w:hAnsi="仿宋" w:eastAsia="仿宋" w:cs="仿宋"/>
                <w:bCs/>
                <w:szCs w:val="21"/>
              </w:rPr>
              <w:t>。</w:t>
            </w:r>
          </w:p>
        </w:tc>
        <w:tc>
          <w:tcPr>
            <w:tcW w:w="1492" w:type="dxa"/>
            <w:vAlign w:val="center"/>
          </w:tcPr>
          <w:p>
            <w:pPr>
              <w:spacing w:line="460" w:lineRule="exact"/>
              <w:jc w:val="center"/>
              <w:rPr>
                <w:rFonts w:ascii="仿宋" w:hAnsi="仿宋" w:eastAsia="仿宋" w:cs="仿宋"/>
                <w:bCs/>
                <w:szCs w:val="21"/>
              </w:rPr>
            </w:pPr>
            <w:r>
              <w:rPr>
                <w:rFonts w:hint="eastAsia" w:ascii="仿宋" w:hAnsi="仿宋" w:eastAsia="仿宋" w:cs="仿宋"/>
                <w:bCs/>
                <w:szCs w:val="21"/>
              </w:rPr>
              <w:t>15个</w:t>
            </w:r>
          </w:p>
        </w:tc>
        <w:tc>
          <w:tcPr>
            <w:tcW w:w="1492" w:type="dxa"/>
            <w:vAlign w:val="center"/>
          </w:tcPr>
          <w:p>
            <w:pPr>
              <w:spacing w:line="460" w:lineRule="exact"/>
              <w:jc w:val="center"/>
              <w:rPr>
                <w:rFonts w:ascii="仿宋" w:hAnsi="仿宋" w:eastAsia="仿宋" w:cs="仿宋"/>
                <w:bCs/>
                <w:szCs w:val="21"/>
              </w:rPr>
            </w:pPr>
            <w:r>
              <w:rPr>
                <w:rFonts w:hint="eastAsia" w:ascii="仿宋" w:hAnsi="仿宋" w:eastAsia="仿宋" w:cs="仿宋"/>
                <w:bCs/>
                <w:szCs w:val="21"/>
              </w:rPr>
              <w:t>35个</w:t>
            </w:r>
          </w:p>
        </w:tc>
        <w:tc>
          <w:tcPr>
            <w:tcW w:w="1493" w:type="dxa"/>
            <w:vAlign w:val="center"/>
          </w:tcPr>
          <w:p>
            <w:pPr>
              <w:spacing w:line="460" w:lineRule="exact"/>
              <w:jc w:val="center"/>
              <w:rPr>
                <w:rFonts w:ascii="仿宋" w:hAnsi="仿宋" w:eastAsia="仿宋" w:cs="仿宋"/>
                <w:bCs/>
                <w:szCs w:val="21"/>
              </w:rPr>
            </w:pPr>
            <w:r>
              <w:rPr>
                <w:rFonts w:hint="eastAsia" w:ascii="仿宋" w:hAnsi="仿宋" w:eastAsia="仿宋" w:cs="仿宋"/>
                <w:bCs/>
                <w:szCs w:val="21"/>
              </w:rPr>
              <w:t>30个</w:t>
            </w:r>
          </w:p>
        </w:tc>
        <w:tc>
          <w:tcPr>
            <w:tcW w:w="1273" w:type="dxa"/>
            <w:vAlign w:val="center"/>
          </w:tcPr>
          <w:p>
            <w:pPr>
              <w:spacing w:line="460" w:lineRule="exact"/>
              <w:jc w:val="center"/>
              <w:rPr>
                <w:rFonts w:ascii="仿宋" w:hAnsi="仿宋" w:eastAsia="仿宋" w:cs="仿宋"/>
                <w:bCs/>
                <w:szCs w:val="21"/>
              </w:rPr>
            </w:pPr>
            <w:r>
              <w:rPr>
                <w:rFonts w:hint="eastAsia" w:ascii="仿宋" w:hAnsi="仿宋" w:eastAsia="仿宋" w:cs="仿宋"/>
                <w:bCs/>
                <w:szCs w:val="21"/>
              </w:rPr>
              <w:t>市商务局</w:t>
            </w:r>
          </w:p>
        </w:tc>
        <w:tc>
          <w:tcPr>
            <w:tcW w:w="2188" w:type="dxa"/>
            <w:vAlign w:val="center"/>
          </w:tcPr>
          <w:p>
            <w:pPr>
              <w:spacing w:line="460" w:lineRule="exact"/>
              <w:jc w:val="center"/>
              <w:rPr>
                <w:rFonts w:ascii="仿宋" w:hAnsi="仿宋" w:eastAsia="仿宋" w:cs="仿宋"/>
                <w:bCs/>
                <w:szCs w:val="21"/>
              </w:rPr>
            </w:pPr>
            <w:r>
              <w:rPr>
                <w:rFonts w:hint="eastAsia" w:ascii="仿宋" w:hAnsi="仿宋" w:eastAsia="仿宋" w:cs="仿宋"/>
                <w:bCs/>
                <w:szCs w:val="21"/>
              </w:rPr>
              <w:t>市邮政管理局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09" w:type="dxa"/>
            <w:vAlign w:val="center"/>
          </w:tcPr>
          <w:p>
            <w:pPr>
              <w:spacing w:line="460" w:lineRule="exact"/>
              <w:jc w:val="center"/>
              <w:rPr>
                <w:rFonts w:ascii="仿宋" w:hAnsi="仿宋" w:eastAsia="仿宋" w:cs="仿宋"/>
                <w:szCs w:val="21"/>
              </w:rPr>
            </w:pPr>
            <w:r>
              <w:rPr>
                <w:rFonts w:ascii="仿宋" w:hAnsi="仿宋" w:eastAsia="仿宋" w:cs="仿宋"/>
                <w:szCs w:val="21"/>
              </w:rPr>
              <w:t>12</w:t>
            </w:r>
          </w:p>
        </w:tc>
        <w:tc>
          <w:tcPr>
            <w:tcW w:w="851" w:type="dxa"/>
            <w:vMerge w:val="restart"/>
            <w:vAlign w:val="center"/>
          </w:tcPr>
          <w:p>
            <w:pPr>
              <w:spacing w:line="460" w:lineRule="exact"/>
              <w:jc w:val="center"/>
              <w:rPr>
                <w:rFonts w:ascii="仿宋" w:hAnsi="仿宋" w:eastAsia="仿宋" w:cs="仿宋"/>
                <w:bCs/>
                <w:szCs w:val="21"/>
              </w:rPr>
            </w:pPr>
            <w:r>
              <w:rPr>
                <w:rFonts w:hint="eastAsia" w:ascii="仿宋" w:hAnsi="仿宋" w:eastAsia="仿宋" w:cs="仿宋"/>
                <w:bCs/>
                <w:szCs w:val="21"/>
              </w:rPr>
              <w:t>城市货运配送车辆更新及配套设施建设</w:t>
            </w:r>
          </w:p>
        </w:tc>
        <w:tc>
          <w:tcPr>
            <w:tcW w:w="2835" w:type="dxa"/>
            <w:gridSpan w:val="2"/>
            <w:vAlign w:val="center"/>
          </w:tcPr>
          <w:p>
            <w:pPr>
              <w:spacing w:line="460" w:lineRule="exact"/>
              <w:jc w:val="center"/>
              <w:rPr>
                <w:rFonts w:ascii="仿宋" w:hAnsi="仿宋" w:eastAsia="仿宋" w:cs="仿宋"/>
                <w:bCs/>
                <w:szCs w:val="21"/>
              </w:rPr>
            </w:pPr>
            <w:r>
              <w:rPr>
                <w:rFonts w:hint="eastAsia" w:ascii="仿宋" w:hAnsi="仿宋" w:eastAsia="仿宋" w:cs="仿宋"/>
                <w:bCs/>
                <w:szCs w:val="21"/>
              </w:rPr>
              <w:t>新增新能源城市配送营运车辆1000辆，新增新能源城市配送营运车辆数量占示范建设期初城市新能源配送车辆保有量的比例≥20%。</w:t>
            </w:r>
            <w:r>
              <w:rPr>
                <w:rFonts w:ascii="仿宋" w:hAnsi="仿宋" w:eastAsia="仿宋" w:cs="仿宋"/>
                <w:bCs/>
                <w:szCs w:val="21"/>
              </w:rPr>
              <w:t xml:space="preserve"> </w:t>
            </w:r>
          </w:p>
        </w:tc>
        <w:tc>
          <w:tcPr>
            <w:tcW w:w="1492" w:type="dxa"/>
            <w:vAlign w:val="center"/>
          </w:tcPr>
          <w:p>
            <w:pPr>
              <w:spacing w:line="460" w:lineRule="exact"/>
              <w:jc w:val="center"/>
              <w:rPr>
                <w:rFonts w:ascii="仿宋" w:hAnsi="仿宋" w:eastAsia="仿宋" w:cs="仿宋"/>
                <w:bCs/>
                <w:szCs w:val="21"/>
              </w:rPr>
            </w:pPr>
            <w:r>
              <w:rPr>
                <w:rFonts w:hint="eastAsia" w:ascii="仿宋" w:hAnsi="仿宋" w:eastAsia="仿宋" w:cs="仿宋"/>
                <w:bCs/>
                <w:szCs w:val="21"/>
                <w:lang w:val="en-US" w:eastAsia="zh-CN"/>
              </w:rPr>
              <w:t>5</w:t>
            </w:r>
            <w:r>
              <w:rPr>
                <w:rFonts w:hint="eastAsia" w:ascii="仿宋" w:hAnsi="仿宋" w:eastAsia="仿宋" w:cs="仿宋"/>
                <w:bCs/>
                <w:szCs w:val="21"/>
              </w:rPr>
              <w:t>0辆</w:t>
            </w:r>
          </w:p>
        </w:tc>
        <w:tc>
          <w:tcPr>
            <w:tcW w:w="1492" w:type="dxa"/>
            <w:vAlign w:val="center"/>
          </w:tcPr>
          <w:p>
            <w:pPr>
              <w:spacing w:line="460" w:lineRule="exact"/>
              <w:jc w:val="center"/>
              <w:rPr>
                <w:rFonts w:ascii="仿宋" w:hAnsi="仿宋" w:eastAsia="仿宋" w:cs="仿宋"/>
                <w:bCs/>
                <w:szCs w:val="21"/>
              </w:rPr>
            </w:pPr>
            <w:r>
              <w:rPr>
                <w:rFonts w:hint="eastAsia" w:ascii="仿宋" w:hAnsi="仿宋" w:eastAsia="仿宋" w:cs="仿宋"/>
                <w:bCs/>
                <w:szCs w:val="21"/>
                <w:lang w:val="en-US" w:eastAsia="zh-CN"/>
              </w:rPr>
              <w:t>1</w:t>
            </w:r>
            <w:r>
              <w:rPr>
                <w:rFonts w:hint="eastAsia" w:ascii="仿宋" w:hAnsi="仿宋" w:eastAsia="仿宋" w:cs="仿宋"/>
                <w:bCs/>
                <w:szCs w:val="21"/>
              </w:rPr>
              <w:t>50辆</w:t>
            </w:r>
          </w:p>
        </w:tc>
        <w:tc>
          <w:tcPr>
            <w:tcW w:w="1493" w:type="dxa"/>
            <w:vAlign w:val="center"/>
          </w:tcPr>
          <w:p>
            <w:pPr>
              <w:spacing w:line="460" w:lineRule="exact"/>
              <w:jc w:val="center"/>
              <w:rPr>
                <w:rFonts w:ascii="仿宋" w:hAnsi="仿宋" w:eastAsia="仿宋" w:cs="仿宋"/>
                <w:bCs/>
                <w:szCs w:val="21"/>
              </w:rPr>
            </w:pPr>
            <w:r>
              <w:rPr>
                <w:rFonts w:hint="eastAsia" w:ascii="仿宋" w:hAnsi="仿宋" w:eastAsia="仿宋" w:cs="仿宋"/>
                <w:bCs/>
                <w:szCs w:val="21"/>
                <w:lang w:val="en-US" w:eastAsia="zh-CN"/>
              </w:rPr>
              <w:t>20</w:t>
            </w:r>
            <w:r>
              <w:rPr>
                <w:rFonts w:hint="eastAsia" w:ascii="仿宋" w:hAnsi="仿宋" w:eastAsia="仿宋" w:cs="仿宋"/>
                <w:bCs/>
                <w:szCs w:val="21"/>
              </w:rPr>
              <w:t>0辆</w:t>
            </w:r>
          </w:p>
        </w:tc>
        <w:tc>
          <w:tcPr>
            <w:tcW w:w="1273" w:type="dxa"/>
            <w:vAlign w:val="center"/>
          </w:tcPr>
          <w:p>
            <w:pPr>
              <w:spacing w:line="460" w:lineRule="exact"/>
              <w:jc w:val="center"/>
              <w:rPr>
                <w:rFonts w:ascii="仿宋" w:hAnsi="仿宋" w:eastAsia="仿宋" w:cs="仿宋"/>
                <w:bCs/>
                <w:szCs w:val="21"/>
              </w:rPr>
            </w:pPr>
            <w:r>
              <w:rPr>
                <w:rFonts w:hint="eastAsia" w:ascii="仿宋" w:hAnsi="仿宋" w:eastAsia="仿宋" w:cs="仿宋"/>
                <w:bCs/>
                <w:szCs w:val="21"/>
              </w:rPr>
              <w:t>市交通运输局</w:t>
            </w:r>
          </w:p>
        </w:tc>
        <w:tc>
          <w:tcPr>
            <w:tcW w:w="2188" w:type="dxa"/>
            <w:vAlign w:val="center"/>
          </w:tcPr>
          <w:p>
            <w:pPr>
              <w:spacing w:line="460" w:lineRule="exact"/>
              <w:jc w:val="center"/>
              <w:rPr>
                <w:rFonts w:ascii="仿宋" w:hAnsi="仿宋" w:eastAsia="仿宋" w:cs="仿宋"/>
                <w:bCs/>
                <w:szCs w:val="21"/>
              </w:rPr>
            </w:pPr>
            <w:r>
              <w:rPr>
                <w:rFonts w:hint="eastAsia" w:ascii="仿宋" w:hAnsi="仿宋" w:eastAsia="仿宋" w:cs="仿宋"/>
                <w:bCs/>
                <w:szCs w:val="21"/>
              </w:rPr>
              <w:t>市财政局、市公安局、市商务局、市工信局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09" w:type="dxa"/>
            <w:vAlign w:val="center"/>
          </w:tcPr>
          <w:p>
            <w:pPr>
              <w:spacing w:line="460" w:lineRule="exact"/>
              <w:jc w:val="center"/>
              <w:rPr>
                <w:rFonts w:ascii="仿宋" w:hAnsi="仿宋" w:eastAsia="仿宋" w:cs="仿宋"/>
                <w:szCs w:val="21"/>
              </w:rPr>
            </w:pPr>
            <w:r>
              <w:rPr>
                <w:rFonts w:ascii="仿宋" w:hAnsi="仿宋" w:eastAsia="仿宋" w:cs="仿宋"/>
                <w:szCs w:val="21"/>
              </w:rPr>
              <w:t>13</w:t>
            </w:r>
          </w:p>
        </w:tc>
        <w:tc>
          <w:tcPr>
            <w:tcW w:w="851" w:type="dxa"/>
            <w:vMerge w:val="continue"/>
            <w:vAlign w:val="center"/>
          </w:tcPr>
          <w:p>
            <w:pPr>
              <w:spacing w:line="460" w:lineRule="exact"/>
              <w:jc w:val="center"/>
              <w:rPr>
                <w:rFonts w:ascii="仿宋" w:hAnsi="仿宋" w:eastAsia="仿宋" w:cs="仿宋"/>
                <w:bCs/>
                <w:szCs w:val="21"/>
              </w:rPr>
            </w:pPr>
          </w:p>
        </w:tc>
        <w:tc>
          <w:tcPr>
            <w:tcW w:w="2835" w:type="dxa"/>
            <w:gridSpan w:val="2"/>
            <w:vAlign w:val="center"/>
          </w:tcPr>
          <w:p>
            <w:pPr>
              <w:spacing w:line="460" w:lineRule="exact"/>
              <w:jc w:val="center"/>
              <w:rPr>
                <w:rFonts w:ascii="仿宋" w:hAnsi="仿宋" w:eastAsia="仿宋" w:cs="仿宋"/>
                <w:bCs/>
                <w:szCs w:val="21"/>
              </w:rPr>
            </w:pPr>
            <w:r>
              <w:rPr>
                <w:rFonts w:hint="eastAsia" w:ascii="仿宋" w:hAnsi="仿宋" w:eastAsia="仿宋" w:cs="仿宋"/>
                <w:bCs/>
                <w:szCs w:val="21"/>
              </w:rPr>
              <w:t>新能源车辆配套充电设施建设，新增充电站4座，新增充电桩200个，新能源物流配送车辆的充电桩总量的比值≤4：1。</w:t>
            </w:r>
          </w:p>
        </w:tc>
        <w:tc>
          <w:tcPr>
            <w:tcW w:w="1492" w:type="dxa"/>
            <w:vAlign w:val="center"/>
          </w:tcPr>
          <w:p>
            <w:pPr>
              <w:spacing w:line="460" w:lineRule="exact"/>
              <w:jc w:val="center"/>
              <w:rPr>
                <w:rFonts w:ascii="仿宋" w:hAnsi="仿宋" w:eastAsia="仿宋" w:cs="仿宋"/>
                <w:bCs/>
                <w:szCs w:val="21"/>
              </w:rPr>
            </w:pPr>
            <w:r>
              <w:rPr>
                <w:rFonts w:hint="eastAsia" w:ascii="仿宋" w:hAnsi="仿宋" w:eastAsia="仿宋" w:cs="仿宋"/>
                <w:bCs/>
                <w:szCs w:val="21"/>
              </w:rPr>
              <w:t>充电站1座；充电桩30个</w:t>
            </w:r>
          </w:p>
        </w:tc>
        <w:tc>
          <w:tcPr>
            <w:tcW w:w="1492" w:type="dxa"/>
            <w:vAlign w:val="center"/>
          </w:tcPr>
          <w:p>
            <w:pPr>
              <w:spacing w:line="460" w:lineRule="exact"/>
              <w:jc w:val="center"/>
              <w:rPr>
                <w:rFonts w:ascii="仿宋" w:hAnsi="仿宋" w:eastAsia="仿宋" w:cs="仿宋"/>
                <w:bCs/>
                <w:szCs w:val="21"/>
              </w:rPr>
            </w:pPr>
            <w:r>
              <w:rPr>
                <w:rFonts w:hint="eastAsia" w:ascii="仿宋" w:hAnsi="仿宋" w:eastAsia="仿宋" w:cs="仿宋"/>
                <w:bCs/>
                <w:szCs w:val="21"/>
              </w:rPr>
              <w:t>充电站1座；充电桩85个</w:t>
            </w:r>
          </w:p>
        </w:tc>
        <w:tc>
          <w:tcPr>
            <w:tcW w:w="1493" w:type="dxa"/>
            <w:vAlign w:val="center"/>
          </w:tcPr>
          <w:p>
            <w:pPr>
              <w:spacing w:line="460" w:lineRule="exact"/>
              <w:jc w:val="center"/>
              <w:rPr>
                <w:rFonts w:ascii="仿宋" w:hAnsi="仿宋" w:eastAsia="仿宋" w:cs="仿宋"/>
                <w:bCs/>
                <w:szCs w:val="21"/>
              </w:rPr>
            </w:pPr>
            <w:r>
              <w:rPr>
                <w:rFonts w:hint="eastAsia" w:ascii="仿宋" w:hAnsi="仿宋" w:eastAsia="仿宋" w:cs="仿宋"/>
                <w:bCs/>
                <w:szCs w:val="21"/>
              </w:rPr>
              <w:t>充电站2座；充电桩85个</w:t>
            </w:r>
          </w:p>
        </w:tc>
        <w:tc>
          <w:tcPr>
            <w:tcW w:w="1273" w:type="dxa"/>
            <w:vAlign w:val="center"/>
          </w:tcPr>
          <w:p>
            <w:pPr>
              <w:spacing w:line="460" w:lineRule="exact"/>
              <w:jc w:val="center"/>
              <w:rPr>
                <w:rFonts w:ascii="仿宋" w:hAnsi="仿宋" w:eastAsia="仿宋" w:cs="仿宋"/>
                <w:bCs/>
                <w:szCs w:val="21"/>
              </w:rPr>
            </w:pPr>
            <w:r>
              <w:rPr>
                <w:rFonts w:hint="eastAsia" w:ascii="仿宋" w:hAnsi="仿宋" w:eastAsia="仿宋" w:cs="仿宋"/>
                <w:bCs/>
                <w:szCs w:val="21"/>
              </w:rPr>
              <w:t>市发改委</w:t>
            </w:r>
          </w:p>
        </w:tc>
        <w:tc>
          <w:tcPr>
            <w:tcW w:w="2188" w:type="dxa"/>
            <w:vAlign w:val="center"/>
          </w:tcPr>
          <w:p>
            <w:pPr>
              <w:spacing w:line="460" w:lineRule="exact"/>
              <w:jc w:val="center"/>
              <w:rPr>
                <w:rFonts w:ascii="仿宋" w:hAnsi="仿宋" w:eastAsia="仿宋" w:cs="仿宋"/>
                <w:bCs/>
                <w:szCs w:val="21"/>
              </w:rPr>
            </w:pPr>
            <w:r>
              <w:rPr>
                <w:rFonts w:hint="eastAsia" w:ascii="仿宋" w:hAnsi="仿宋" w:eastAsia="仿宋" w:cs="仿宋"/>
                <w:bCs/>
                <w:szCs w:val="21"/>
              </w:rPr>
              <w:t>市自然资源和规划局、市交通运输局、市城市管理局、市住建局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909" w:type="dxa"/>
            <w:vAlign w:val="center"/>
          </w:tcPr>
          <w:p>
            <w:pPr>
              <w:spacing w:line="560" w:lineRule="exact"/>
              <w:jc w:val="center"/>
              <w:rPr>
                <w:rFonts w:ascii="仿宋" w:hAnsi="仿宋" w:eastAsia="仿宋" w:cs="仿宋"/>
                <w:szCs w:val="21"/>
              </w:rPr>
            </w:pPr>
            <w:r>
              <w:rPr>
                <w:rFonts w:ascii="仿宋" w:hAnsi="仿宋" w:eastAsia="仿宋" w:cs="仿宋"/>
                <w:szCs w:val="21"/>
              </w:rPr>
              <w:t>14</w:t>
            </w:r>
          </w:p>
        </w:tc>
        <w:tc>
          <w:tcPr>
            <w:tcW w:w="851" w:type="dxa"/>
            <w:vMerge w:val="continue"/>
            <w:vAlign w:val="center"/>
          </w:tcPr>
          <w:p>
            <w:pPr>
              <w:spacing w:line="560" w:lineRule="exact"/>
              <w:jc w:val="center"/>
              <w:rPr>
                <w:rFonts w:ascii="仿宋" w:hAnsi="仿宋" w:eastAsia="仿宋" w:cs="仿宋"/>
                <w:bCs/>
                <w:szCs w:val="21"/>
              </w:rPr>
            </w:pPr>
          </w:p>
        </w:tc>
        <w:tc>
          <w:tcPr>
            <w:tcW w:w="2835" w:type="dxa"/>
            <w:gridSpan w:val="2"/>
            <w:vAlign w:val="center"/>
          </w:tcPr>
          <w:p>
            <w:pPr>
              <w:spacing w:line="560" w:lineRule="exact"/>
              <w:jc w:val="center"/>
              <w:rPr>
                <w:rFonts w:ascii="仿宋" w:hAnsi="仿宋" w:eastAsia="仿宋" w:cs="仿宋"/>
                <w:bCs/>
                <w:szCs w:val="21"/>
              </w:rPr>
            </w:pPr>
            <w:r>
              <w:rPr>
                <w:rFonts w:hint="eastAsia" w:ascii="仿宋" w:hAnsi="仿宋" w:eastAsia="仿宋" w:cs="仿宋"/>
                <w:bCs/>
                <w:szCs w:val="21"/>
              </w:rPr>
              <w:t>新增冷藏保温车，使得从事冷藏保温运输的城市配送车辆数占全部城市配送车辆保有量的比例≥0.5%。</w:t>
            </w:r>
          </w:p>
        </w:tc>
        <w:tc>
          <w:tcPr>
            <w:tcW w:w="1492" w:type="dxa"/>
            <w:vAlign w:val="center"/>
          </w:tcPr>
          <w:p>
            <w:pPr>
              <w:spacing w:line="560" w:lineRule="exact"/>
              <w:jc w:val="center"/>
              <w:rPr>
                <w:rFonts w:ascii="仿宋" w:hAnsi="仿宋" w:eastAsia="仿宋" w:cs="仿宋"/>
                <w:bCs/>
                <w:szCs w:val="21"/>
              </w:rPr>
            </w:pPr>
            <w:r>
              <w:rPr>
                <w:rFonts w:hint="eastAsia" w:ascii="仿宋" w:hAnsi="仿宋" w:eastAsia="仿宋" w:cs="仿宋"/>
                <w:bCs/>
                <w:szCs w:val="21"/>
              </w:rPr>
              <w:t>5辆</w:t>
            </w:r>
          </w:p>
        </w:tc>
        <w:tc>
          <w:tcPr>
            <w:tcW w:w="1492" w:type="dxa"/>
            <w:vAlign w:val="center"/>
          </w:tcPr>
          <w:p>
            <w:pPr>
              <w:spacing w:line="560" w:lineRule="exact"/>
              <w:jc w:val="center"/>
              <w:rPr>
                <w:rFonts w:ascii="仿宋" w:hAnsi="仿宋" w:eastAsia="仿宋" w:cs="仿宋"/>
                <w:bCs/>
                <w:szCs w:val="21"/>
              </w:rPr>
            </w:pPr>
            <w:r>
              <w:rPr>
                <w:rFonts w:hint="eastAsia" w:ascii="仿宋" w:hAnsi="仿宋" w:eastAsia="仿宋" w:cs="仿宋"/>
                <w:bCs/>
                <w:szCs w:val="21"/>
              </w:rPr>
              <w:t>10辆</w:t>
            </w:r>
          </w:p>
        </w:tc>
        <w:tc>
          <w:tcPr>
            <w:tcW w:w="1493" w:type="dxa"/>
            <w:vAlign w:val="center"/>
          </w:tcPr>
          <w:p>
            <w:pPr>
              <w:spacing w:line="560" w:lineRule="exact"/>
              <w:jc w:val="center"/>
              <w:rPr>
                <w:rFonts w:ascii="仿宋" w:hAnsi="仿宋" w:eastAsia="仿宋" w:cs="仿宋"/>
                <w:bCs/>
                <w:szCs w:val="21"/>
              </w:rPr>
            </w:pPr>
            <w:r>
              <w:rPr>
                <w:rFonts w:hint="eastAsia" w:ascii="仿宋" w:hAnsi="仿宋" w:eastAsia="仿宋" w:cs="仿宋"/>
                <w:bCs/>
                <w:szCs w:val="21"/>
              </w:rPr>
              <w:t>10辆</w:t>
            </w:r>
          </w:p>
        </w:tc>
        <w:tc>
          <w:tcPr>
            <w:tcW w:w="1273" w:type="dxa"/>
            <w:vAlign w:val="center"/>
          </w:tcPr>
          <w:p>
            <w:pPr>
              <w:spacing w:line="560" w:lineRule="exact"/>
              <w:jc w:val="center"/>
              <w:rPr>
                <w:rFonts w:ascii="仿宋" w:hAnsi="仿宋" w:eastAsia="仿宋" w:cs="仿宋"/>
                <w:bCs/>
                <w:szCs w:val="21"/>
              </w:rPr>
            </w:pPr>
            <w:r>
              <w:rPr>
                <w:rFonts w:hint="eastAsia" w:ascii="仿宋" w:hAnsi="仿宋" w:eastAsia="仿宋" w:cs="仿宋"/>
                <w:bCs/>
                <w:szCs w:val="21"/>
              </w:rPr>
              <w:t>市交通运输局</w:t>
            </w:r>
          </w:p>
        </w:tc>
        <w:tc>
          <w:tcPr>
            <w:tcW w:w="2188" w:type="dxa"/>
            <w:vAlign w:val="center"/>
          </w:tcPr>
          <w:p>
            <w:pPr>
              <w:spacing w:line="560" w:lineRule="exact"/>
              <w:jc w:val="center"/>
              <w:rPr>
                <w:rFonts w:ascii="仿宋" w:hAnsi="仿宋" w:eastAsia="仿宋" w:cs="仿宋"/>
                <w:bCs/>
                <w:szCs w:val="21"/>
              </w:rPr>
            </w:pPr>
            <w:r>
              <w:rPr>
                <w:rFonts w:hint="eastAsia" w:ascii="仿宋" w:hAnsi="仿宋" w:eastAsia="仿宋" w:cs="仿宋"/>
                <w:bCs/>
                <w:szCs w:val="21"/>
              </w:rPr>
              <w:t>市商务局、市邮政管理局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09" w:type="dxa"/>
            <w:vAlign w:val="center"/>
          </w:tcPr>
          <w:p>
            <w:pPr>
              <w:spacing w:line="560" w:lineRule="exact"/>
              <w:jc w:val="center"/>
              <w:rPr>
                <w:rFonts w:ascii="仿宋" w:hAnsi="仿宋" w:eastAsia="仿宋" w:cs="仿宋"/>
                <w:szCs w:val="21"/>
              </w:rPr>
            </w:pPr>
            <w:r>
              <w:rPr>
                <w:rFonts w:ascii="仿宋" w:hAnsi="仿宋" w:eastAsia="仿宋" w:cs="仿宋"/>
                <w:szCs w:val="21"/>
              </w:rPr>
              <w:t>15</w:t>
            </w:r>
          </w:p>
        </w:tc>
        <w:tc>
          <w:tcPr>
            <w:tcW w:w="851" w:type="dxa"/>
            <w:vMerge w:val="continue"/>
            <w:vAlign w:val="center"/>
          </w:tcPr>
          <w:p>
            <w:pPr>
              <w:spacing w:line="560" w:lineRule="exact"/>
              <w:jc w:val="center"/>
              <w:rPr>
                <w:rFonts w:ascii="仿宋" w:hAnsi="仿宋" w:eastAsia="仿宋" w:cs="仿宋"/>
                <w:bCs/>
                <w:szCs w:val="21"/>
              </w:rPr>
            </w:pPr>
          </w:p>
        </w:tc>
        <w:tc>
          <w:tcPr>
            <w:tcW w:w="2835" w:type="dxa"/>
            <w:gridSpan w:val="2"/>
            <w:vAlign w:val="center"/>
          </w:tcPr>
          <w:p>
            <w:pPr>
              <w:spacing w:line="560" w:lineRule="exact"/>
              <w:jc w:val="center"/>
              <w:rPr>
                <w:rFonts w:ascii="仿宋" w:hAnsi="仿宋" w:eastAsia="仿宋" w:cs="仿宋"/>
                <w:bCs/>
                <w:szCs w:val="21"/>
              </w:rPr>
            </w:pPr>
            <w:r>
              <w:rPr>
                <w:rFonts w:hint="eastAsia" w:ascii="仿宋" w:hAnsi="仿宋" w:eastAsia="仿宋" w:cs="仿宋"/>
                <w:bCs/>
                <w:szCs w:val="21"/>
              </w:rPr>
              <w:t>城市货运配送车辆标准化。</w:t>
            </w:r>
          </w:p>
        </w:tc>
        <w:tc>
          <w:tcPr>
            <w:tcW w:w="4477" w:type="dxa"/>
            <w:gridSpan w:val="3"/>
            <w:vAlign w:val="center"/>
          </w:tcPr>
          <w:p>
            <w:pPr>
              <w:spacing w:line="560" w:lineRule="exact"/>
              <w:jc w:val="left"/>
              <w:rPr>
                <w:rFonts w:ascii="仿宋" w:hAnsi="仿宋" w:eastAsia="仿宋" w:cs="仿宋"/>
                <w:bCs/>
                <w:szCs w:val="21"/>
              </w:rPr>
            </w:pPr>
            <w:r>
              <w:rPr>
                <w:rFonts w:hint="eastAsia" w:ascii="仿宋" w:hAnsi="仿宋" w:eastAsia="仿宋" w:cs="仿宋"/>
                <w:bCs/>
                <w:szCs w:val="21"/>
              </w:rPr>
              <w:t>规范城市货运配送车辆标识，统一城市货运配送车辆环保标准。</w:t>
            </w:r>
          </w:p>
        </w:tc>
        <w:tc>
          <w:tcPr>
            <w:tcW w:w="1273" w:type="dxa"/>
            <w:vAlign w:val="center"/>
          </w:tcPr>
          <w:p>
            <w:pPr>
              <w:spacing w:line="560" w:lineRule="exact"/>
              <w:jc w:val="left"/>
              <w:rPr>
                <w:rFonts w:ascii="仿宋" w:hAnsi="仿宋" w:eastAsia="仿宋" w:cs="仿宋"/>
                <w:bCs/>
                <w:szCs w:val="21"/>
              </w:rPr>
            </w:pPr>
            <w:r>
              <w:rPr>
                <w:rFonts w:hint="eastAsia" w:ascii="仿宋" w:hAnsi="仿宋" w:eastAsia="仿宋" w:cs="仿宋"/>
                <w:bCs/>
                <w:szCs w:val="21"/>
              </w:rPr>
              <w:t>市交通运输局、市邮政管理局</w:t>
            </w:r>
          </w:p>
        </w:tc>
        <w:tc>
          <w:tcPr>
            <w:tcW w:w="2188" w:type="dxa"/>
            <w:vAlign w:val="center"/>
          </w:tcPr>
          <w:p>
            <w:pPr>
              <w:spacing w:line="560" w:lineRule="exact"/>
              <w:jc w:val="center"/>
              <w:rPr>
                <w:rFonts w:ascii="仿宋" w:hAnsi="仿宋" w:eastAsia="仿宋" w:cs="仿宋"/>
                <w:bCs/>
                <w:szCs w:val="21"/>
              </w:rPr>
            </w:pPr>
            <w:r>
              <w:rPr>
                <w:rFonts w:hint="eastAsia" w:ascii="仿宋" w:hAnsi="仿宋" w:eastAsia="仿宋" w:cs="仿宋"/>
                <w:bCs/>
                <w:szCs w:val="21"/>
              </w:rPr>
              <w:t>市</w:t>
            </w:r>
            <w:r>
              <w:rPr>
                <w:rFonts w:hint="eastAsia" w:ascii="仿宋" w:hAnsi="仿宋" w:eastAsia="仿宋" w:cs="仿宋"/>
                <w:bCs/>
                <w:szCs w:val="21"/>
                <w:lang w:val="zh-CN"/>
              </w:rPr>
              <w:t>公安局、市工信局</w:t>
            </w:r>
            <w:r>
              <w:rPr>
                <w:rFonts w:hint="eastAsia" w:ascii="仿宋" w:hAnsi="仿宋" w:eastAsia="仿宋" w:cs="仿宋"/>
                <w:bCs/>
                <w:szCs w:val="21"/>
              </w:rPr>
              <w:t>、市商务局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09" w:type="dxa"/>
            <w:vAlign w:val="center"/>
          </w:tcPr>
          <w:p>
            <w:pPr>
              <w:spacing w:line="560" w:lineRule="exact"/>
              <w:jc w:val="center"/>
              <w:rPr>
                <w:rFonts w:ascii="仿宋" w:hAnsi="仿宋" w:eastAsia="仿宋" w:cs="仿宋"/>
                <w:szCs w:val="21"/>
              </w:rPr>
            </w:pPr>
            <w:r>
              <w:rPr>
                <w:rFonts w:ascii="仿宋" w:hAnsi="仿宋" w:eastAsia="仿宋" w:cs="仿宋"/>
                <w:szCs w:val="21"/>
              </w:rPr>
              <w:t>16</w:t>
            </w:r>
          </w:p>
        </w:tc>
        <w:tc>
          <w:tcPr>
            <w:tcW w:w="851" w:type="dxa"/>
            <w:vAlign w:val="center"/>
          </w:tcPr>
          <w:p>
            <w:pPr>
              <w:spacing w:line="560" w:lineRule="exact"/>
              <w:jc w:val="center"/>
              <w:rPr>
                <w:rFonts w:ascii="仿宋" w:hAnsi="仿宋" w:eastAsia="仿宋" w:cs="仿宋"/>
                <w:bCs/>
                <w:szCs w:val="21"/>
              </w:rPr>
            </w:pPr>
          </w:p>
        </w:tc>
        <w:tc>
          <w:tcPr>
            <w:tcW w:w="2835" w:type="dxa"/>
            <w:gridSpan w:val="2"/>
            <w:vAlign w:val="center"/>
          </w:tcPr>
          <w:p>
            <w:pPr>
              <w:spacing w:line="560" w:lineRule="exact"/>
              <w:jc w:val="center"/>
              <w:rPr>
                <w:rFonts w:ascii="仿宋" w:hAnsi="仿宋" w:eastAsia="仿宋" w:cs="仿宋"/>
                <w:bCs/>
                <w:szCs w:val="21"/>
              </w:rPr>
            </w:pPr>
            <w:r>
              <w:rPr>
                <w:rFonts w:hint="eastAsia" w:ascii="仿宋" w:hAnsi="仿宋" w:eastAsia="仿宋" w:cs="仿宋"/>
                <w:bCs/>
                <w:szCs w:val="21"/>
              </w:rPr>
              <w:t>快递专用电动三轮车实行“五统一”</w:t>
            </w:r>
          </w:p>
        </w:tc>
        <w:tc>
          <w:tcPr>
            <w:tcW w:w="4477" w:type="dxa"/>
            <w:gridSpan w:val="3"/>
            <w:vAlign w:val="center"/>
          </w:tcPr>
          <w:p>
            <w:pPr>
              <w:spacing w:line="560" w:lineRule="exact"/>
              <w:jc w:val="left"/>
              <w:rPr>
                <w:rFonts w:ascii="仿宋" w:hAnsi="仿宋" w:eastAsia="仿宋" w:cs="仿宋"/>
                <w:bCs/>
                <w:szCs w:val="21"/>
              </w:rPr>
            </w:pPr>
            <w:r>
              <w:rPr>
                <w:rFonts w:hint="eastAsia" w:ascii="仿宋" w:hAnsi="仿宋" w:eastAsia="仿宋" w:cs="仿宋"/>
                <w:bCs/>
                <w:szCs w:val="21"/>
              </w:rPr>
              <w:t>统一登记、统一外观、统一涂装、统一车辆标准、统一购买保险</w:t>
            </w:r>
          </w:p>
        </w:tc>
        <w:tc>
          <w:tcPr>
            <w:tcW w:w="1273" w:type="dxa"/>
            <w:vAlign w:val="center"/>
          </w:tcPr>
          <w:p>
            <w:pPr>
              <w:spacing w:line="560" w:lineRule="exact"/>
              <w:jc w:val="left"/>
              <w:rPr>
                <w:rFonts w:ascii="仿宋" w:hAnsi="仿宋" w:eastAsia="仿宋" w:cs="仿宋"/>
                <w:bCs/>
                <w:szCs w:val="21"/>
              </w:rPr>
            </w:pPr>
            <w:r>
              <w:rPr>
                <w:rFonts w:hint="eastAsia" w:ascii="仿宋" w:hAnsi="仿宋" w:eastAsia="仿宋" w:cs="仿宋"/>
                <w:bCs/>
                <w:szCs w:val="21"/>
              </w:rPr>
              <w:t>市交通运输局、市邮政管理局</w:t>
            </w:r>
          </w:p>
        </w:tc>
        <w:tc>
          <w:tcPr>
            <w:tcW w:w="2188" w:type="dxa"/>
            <w:vAlign w:val="center"/>
          </w:tcPr>
          <w:p>
            <w:pPr>
              <w:spacing w:line="560" w:lineRule="exact"/>
              <w:jc w:val="center"/>
              <w:rPr>
                <w:rFonts w:ascii="仿宋" w:hAnsi="仿宋" w:eastAsia="仿宋" w:cs="仿宋"/>
                <w:bCs/>
                <w:szCs w:val="21"/>
              </w:rPr>
            </w:pPr>
            <w:r>
              <w:rPr>
                <w:rFonts w:hint="eastAsia" w:ascii="仿宋" w:hAnsi="仿宋" w:eastAsia="仿宋" w:cs="仿宋"/>
                <w:bCs/>
                <w:szCs w:val="21"/>
              </w:rPr>
              <w:t>市</w:t>
            </w:r>
            <w:r>
              <w:rPr>
                <w:rFonts w:hint="eastAsia" w:ascii="仿宋" w:hAnsi="仿宋" w:eastAsia="仿宋" w:cs="仿宋"/>
                <w:bCs/>
                <w:szCs w:val="21"/>
                <w:lang w:val="zh-CN"/>
              </w:rPr>
              <w:t>公安局、市商务局</w:t>
            </w:r>
            <w:r>
              <w:rPr>
                <w:rFonts w:hint="eastAsia" w:ascii="仿宋" w:hAnsi="仿宋" w:eastAsia="仿宋" w:cs="仿宋"/>
                <w:bCs/>
                <w:szCs w:val="21"/>
              </w:rPr>
              <w:t>、市工信局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09" w:type="dxa"/>
            <w:vAlign w:val="center"/>
          </w:tcPr>
          <w:p>
            <w:pPr>
              <w:spacing w:line="560" w:lineRule="exact"/>
              <w:jc w:val="center"/>
              <w:rPr>
                <w:rFonts w:ascii="仿宋" w:hAnsi="仿宋" w:eastAsia="仿宋" w:cs="仿宋"/>
                <w:szCs w:val="21"/>
              </w:rPr>
            </w:pPr>
            <w:r>
              <w:rPr>
                <w:rFonts w:ascii="仿宋" w:hAnsi="仿宋" w:eastAsia="仿宋" w:cs="仿宋"/>
                <w:szCs w:val="21"/>
              </w:rPr>
              <w:t>17</w:t>
            </w:r>
          </w:p>
        </w:tc>
        <w:tc>
          <w:tcPr>
            <w:tcW w:w="851" w:type="dxa"/>
            <w:vMerge w:val="restart"/>
            <w:vAlign w:val="center"/>
          </w:tcPr>
          <w:p>
            <w:pPr>
              <w:spacing w:line="560" w:lineRule="exact"/>
              <w:jc w:val="center"/>
              <w:rPr>
                <w:rFonts w:ascii="仿宋" w:hAnsi="仿宋" w:eastAsia="仿宋" w:cs="仿宋"/>
                <w:bCs/>
                <w:szCs w:val="21"/>
              </w:rPr>
            </w:pPr>
            <w:r>
              <w:rPr>
                <w:rFonts w:hint="eastAsia" w:ascii="仿宋" w:hAnsi="仿宋" w:eastAsia="仿宋" w:cs="仿宋"/>
                <w:bCs/>
                <w:szCs w:val="21"/>
              </w:rPr>
              <w:t>便利通行政策</w:t>
            </w:r>
          </w:p>
        </w:tc>
        <w:tc>
          <w:tcPr>
            <w:tcW w:w="1276" w:type="dxa"/>
            <w:vMerge w:val="restart"/>
            <w:vAlign w:val="center"/>
          </w:tcPr>
          <w:p>
            <w:pPr>
              <w:spacing w:line="560" w:lineRule="exact"/>
              <w:jc w:val="center"/>
              <w:rPr>
                <w:rFonts w:ascii="仿宋" w:hAnsi="仿宋" w:eastAsia="仿宋" w:cs="仿宋"/>
                <w:bCs/>
                <w:szCs w:val="21"/>
              </w:rPr>
            </w:pPr>
            <w:r>
              <w:rPr>
                <w:rFonts w:hint="eastAsia" w:ascii="仿宋" w:hAnsi="仿宋" w:eastAsia="仿宋" w:cs="仿宋"/>
                <w:bCs/>
                <w:szCs w:val="21"/>
              </w:rPr>
              <w:t>新能源物流配送车辆便利通行政策</w:t>
            </w:r>
          </w:p>
        </w:tc>
        <w:tc>
          <w:tcPr>
            <w:tcW w:w="1559" w:type="dxa"/>
            <w:vAlign w:val="center"/>
          </w:tcPr>
          <w:p>
            <w:pPr>
              <w:spacing w:line="560" w:lineRule="exact"/>
              <w:jc w:val="center"/>
              <w:rPr>
                <w:rFonts w:ascii="仿宋" w:hAnsi="仿宋" w:eastAsia="仿宋" w:cs="仿宋"/>
                <w:bCs/>
                <w:szCs w:val="21"/>
              </w:rPr>
            </w:pPr>
            <w:r>
              <w:rPr>
                <w:rFonts w:hint="eastAsia" w:ascii="仿宋" w:hAnsi="仿宋" w:eastAsia="仿宋" w:cs="仿宋"/>
                <w:bCs/>
                <w:szCs w:val="21"/>
              </w:rPr>
              <w:t>综合性政策</w:t>
            </w:r>
          </w:p>
        </w:tc>
        <w:tc>
          <w:tcPr>
            <w:tcW w:w="4477" w:type="dxa"/>
            <w:gridSpan w:val="3"/>
            <w:vAlign w:val="center"/>
          </w:tcPr>
          <w:p>
            <w:pPr>
              <w:spacing w:line="560" w:lineRule="exact"/>
              <w:jc w:val="left"/>
              <w:rPr>
                <w:rFonts w:ascii="仿宋" w:hAnsi="仿宋" w:eastAsia="仿宋" w:cs="仿宋"/>
                <w:bCs/>
                <w:szCs w:val="21"/>
              </w:rPr>
            </w:pPr>
            <w:r>
              <w:rPr>
                <w:rFonts w:hint="eastAsia" w:ascii="仿宋" w:hAnsi="仿宋" w:eastAsia="仿宋" w:cs="仿宋"/>
                <w:bCs/>
                <w:szCs w:val="21"/>
              </w:rPr>
              <w:t>制定促进城市绿色货运配送发展，鼓励推广使用新能源城市配送车辆的综合性政策。</w:t>
            </w:r>
          </w:p>
        </w:tc>
        <w:tc>
          <w:tcPr>
            <w:tcW w:w="1273" w:type="dxa"/>
            <w:vAlign w:val="center"/>
          </w:tcPr>
          <w:p>
            <w:pPr>
              <w:spacing w:line="560" w:lineRule="exact"/>
              <w:jc w:val="left"/>
              <w:rPr>
                <w:rFonts w:ascii="仿宋" w:hAnsi="仿宋" w:eastAsia="仿宋" w:cs="仿宋"/>
                <w:bCs/>
                <w:szCs w:val="21"/>
              </w:rPr>
            </w:pPr>
            <w:r>
              <w:rPr>
                <w:rFonts w:hint="eastAsia" w:ascii="仿宋" w:hAnsi="仿宋" w:eastAsia="仿宋" w:cs="仿宋"/>
                <w:bCs/>
                <w:szCs w:val="21"/>
              </w:rPr>
              <w:t>市交通运输局</w:t>
            </w:r>
          </w:p>
        </w:tc>
        <w:tc>
          <w:tcPr>
            <w:tcW w:w="2188" w:type="dxa"/>
            <w:vAlign w:val="center"/>
          </w:tcPr>
          <w:p>
            <w:pPr>
              <w:spacing w:line="560" w:lineRule="exact"/>
              <w:jc w:val="center"/>
              <w:rPr>
                <w:rFonts w:ascii="仿宋" w:hAnsi="仿宋" w:eastAsia="仿宋" w:cs="仿宋"/>
                <w:bCs/>
                <w:szCs w:val="21"/>
              </w:rPr>
            </w:pPr>
            <w:r>
              <w:rPr>
                <w:rFonts w:hint="eastAsia" w:ascii="仿宋" w:hAnsi="仿宋" w:eastAsia="仿宋" w:cs="仿宋"/>
                <w:bCs/>
                <w:szCs w:val="21"/>
              </w:rPr>
              <w:t>市公安局、市财政局、市商务局、市邮政管理局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09" w:type="dxa"/>
            <w:vAlign w:val="center"/>
          </w:tcPr>
          <w:p>
            <w:pPr>
              <w:spacing w:line="460" w:lineRule="exact"/>
              <w:jc w:val="center"/>
              <w:rPr>
                <w:rFonts w:ascii="仿宋" w:hAnsi="仿宋" w:eastAsia="仿宋" w:cs="仿宋"/>
                <w:szCs w:val="21"/>
              </w:rPr>
            </w:pPr>
            <w:r>
              <w:rPr>
                <w:rFonts w:ascii="仿宋" w:hAnsi="仿宋" w:eastAsia="仿宋" w:cs="仿宋"/>
                <w:szCs w:val="21"/>
              </w:rPr>
              <w:t>18</w:t>
            </w:r>
          </w:p>
        </w:tc>
        <w:tc>
          <w:tcPr>
            <w:tcW w:w="851" w:type="dxa"/>
            <w:vMerge w:val="continue"/>
            <w:vAlign w:val="center"/>
          </w:tcPr>
          <w:p>
            <w:pPr>
              <w:spacing w:line="460" w:lineRule="exact"/>
              <w:jc w:val="center"/>
              <w:rPr>
                <w:rFonts w:ascii="仿宋" w:hAnsi="仿宋" w:eastAsia="仿宋" w:cs="仿宋"/>
                <w:bCs/>
                <w:szCs w:val="21"/>
              </w:rPr>
            </w:pPr>
          </w:p>
        </w:tc>
        <w:tc>
          <w:tcPr>
            <w:tcW w:w="1276" w:type="dxa"/>
            <w:vMerge w:val="continue"/>
            <w:vAlign w:val="center"/>
          </w:tcPr>
          <w:p>
            <w:pPr>
              <w:spacing w:line="460" w:lineRule="exact"/>
              <w:jc w:val="center"/>
              <w:rPr>
                <w:rFonts w:ascii="仿宋" w:hAnsi="仿宋" w:eastAsia="仿宋" w:cs="仿宋"/>
                <w:bCs/>
                <w:szCs w:val="21"/>
              </w:rPr>
            </w:pPr>
          </w:p>
        </w:tc>
        <w:tc>
          <w:tcPr>
            <w:tcW w:w="1559" w:type="dxa"/>
            <w:vAlign w:val="center"/>
          </w:tcPr>
          <w:p>
            <w:pPr>
              <w:spacing w:line="460" w:lineRule="exact"/>
              <w:jc w:val="center"/>
              <w:rPr>
                <w:rFonts w:ascii="仿宋" w:hAnsi="仿宋" w:eastAsia="仿宋" w:cs="仿宋"/>
                <w:bCs/>
                <w:szCs w:val="21"/>
              </w:rPr>
            </w:pPr>
            <w:r>
              <w:rPr>
                <w:rFonts w:hint="eastAsia" w:ascii="仿宋" w:hAnsi="仿宋" w:eastAsia="仿宋" w:cs="仿宋"/>
                <w:bCs/>
                <w:szCs w:val="21"/>
              </w:rPr>
              <w:t>通行便利政策</w:t>
            </w:r>
          </w:p>
        </w:tc>
        <w:tc>
          <w:tcPr>
            <w:tcW w:w="4477" w:type="dxa"/>
            <w:gridSpan w:val="3"/>
            <w:vAlign w:val="center"/>
          </w:tcPr>
          <w:p>
            <w:pPr>
              <w:spacing w:line="460" w:lineRule="exact"/>
              <w:jc w:val="center"/>
              <w:rPr>
                <w:rFonts w:ascii="仿宋" w:hAnsi="仿宋" w:eastAsia="仿宋" w:cs="仿宋"/>
                <w:bCs/>
                <w:szCs w:val="21"/>
              </w:rPr>
            </w:pPr>
            <w:r>
              <w:rPr>
                <w:rFonts w:hint="eastAsia" w:ascii="仿宋" w:hAnsi="仿宋" w:eastAsia="仿宋" w:cs="仿宋"/>
                <w:bCs/>
                <w:szCs w:val="21"/>
              </w:rPr>
              <w:t>与传统燃油城市配送车辆相比，为新能源物流配送车辆制定并实施更加优惠和便利的通行政策。</w:t>
            </w:r>
          </w:p>
        </w:tc>
        <w:tc>
          <w:tcPr>
            <w:tcW w:w="1273" w:type="dxa"/>
            <w:vAlign w:val="center"/>
          </w:tcPr>
          <w:p>
            <w:pPr>
              <w:spacing w:line="460" w:lineRule="exact"/>
              <w:jc w:val="center"/>
              <w:rPr>
                <w:rFonts w:ascii="仿宋" w:hAnsi="仿宋" w:eastAsia="仿宋" w:cs="仿宋"/>
                <w:bCs/>
                <w:szCs w:val="21"/>
              </w:rPr>
            </w:pPr>
            <w:r>
              <w:rPr>
                <w:rFonts w:hint="eastAsia" w:ascii="仿宋" w:hAnsi="仿宋" w:eastAsia="仿宋" w:cs="仿宋"/>
                <w:bCs/>
                <w:szCs w:val="21"/>
              </w:rPr>
              <w:t>市公安局</w:t>
            </w:r>
          </w:p>
        </w:tc>
        <w:tc>
          <w:tcPr>
            <w:tcW w:w="2188" w:type="dxa"/>
            <w:vAlign w:val="center"/>
          </w:tcPr>
          <w:p>
            <w:pPr>
              <w:spacing w:line="460" w:lineRule="exact"/>
              <w:jc w:val="center"/>
              <w:rPr>
                <w:rFonts w:ascii="仿宋" w:hAnsi="仿宋" w:eastAsia="仿宋" w:cs="仿宋"/>
                <w:bCs/>
                <w:szCs w:val="21"/>
              </w:rPr>
            </w:pPr>
            <w:r>
              <w:rPr>
                <w:rFonts w:hint="eastAsia" w:ascii="仿宋" w:hAnsi="仿宋" w:eastAsia="仿宋" w:cs="仿宋"/>
                <w:bCs/>
                <w:szCs w:val="21"/>
              </w:rPr>
              <w:t>市城市管理局、市生态环境局、市交通运输局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09" w:type="dxa"/>
            <w:vAlign w:val="center"/>
          </w:tcPr>
          <w:p>
            <w:pPr>
              <w:spacing w:line="460" w:lineRule="exact"/>
              <w:jc w:val="center"/>
              <w:rPr>
                <w:rFonts w:ascii="仿宋" w:hAnsi="仿宋" w:eastAsia="仿宋" w:cs="仿宋"/>
                <w:szCs w:val="21"/>
              </w:rPr>
            </w:pPr>
            <w:r>
              <w:rPr>
                <w:rFonts w:ascii="仿宋" w:hAnsi="仿宋" w:eastAsia="仿宋" w:cs="仿宋"/>
                <w:szCs w:val="21"/>
              </w:rPr>
              <w:t>19</w:t>
            </w:r>
          </w:p>
        </w:tc>
        <w:tc>
          <w:tcPr>
            <w:tcW w:w="851" w:type="dxa"/>
            <w:vMerge w:val="continue"/>
            <w:vAlign w:val="center"/>
          </w:tcPr>
          <w:p>
            <w:pPr>
              <w:spacing w:line="460" w:lineRule="exact"/>
              <w:jc w:val="center"/>
              <w:rPr>
                <w:rFonts w:ascii="仿宋" w:hAnsi="仿宋" w:eastAsia="仿宋" w:cs="仿宋"/>
                <w:bCs/>
                <w:szCs w:val="21"/>
              </w:rPr>
            </w:pPr>
          </w:p>
        </w:tc>
        <w:tc>
          <w:tcPr>
            <w:tcW w:w="1276" w:type="dxa"/>
            <w:vMerge w:val="continue"/>
            <w:vAlign w:val="center"/>
          </w:tcPr>
          <w:p>
            <w:pPr>
              <w:spacing w:line="460" w:lineRule="exact"/>
              <w:jc w:val="center"/>
              <w:rPr>
                <w:rFonts w:ascii="仿宋" w:hAnsi="仿宋" w:eastAsia="仿宋" w:cs="仿宋"/>
                <w:bCs/>
                <w:szCs w:val="21"/>
              </w:rPr>
            </w:pPr>
          </w:p>
        </w:tc>
        <w:tc>
          <w:tcPr>
            <w:tcW w:w="1559" w:type="dxa"/>
            <w:vAlign w:val="center"/>
          </w:tcPr>
          <w:p>
            <w:pPr>
              <w:spacing w:line="460" w:lineRule="exact"/>
              <w:jc w:val="center"/>
              <w:rPr>
                <w:rFonts w:ascii="仿宋" w:hAnsi="仿宋" w:eastAsia="仿宋" w:cs="仿宋"/>
                <w:bCs/>
                <w:szCs w:val="21"/>
              </w:rPr>
            </w:pPr>
            <w:r>
              <w:rPr>
                <w:rFonts w:hint="eastAsia" w:ascii="仿宋" w:hAnsi="仿宋" w:eastAsia="仿宋" w:cs="仿宋"/>
                <w:bCs/>
                <w:szCs w:val="21"/>
              </w:rPr>
              <w:t>新增设置城市货运配送车辆临时停靠点数量≥80个。</w:t>
            </w:r>
          </w:p>
        </w:tc>
        <w:tc>
          <w:tcPr>
            <w:tcW w:w="1492" w:type="dxa"/>
            <w:vAlign w:val="center"/>
          </w:tcPr>
          <w:p>
            <w:pPr>
              <w:spacing w:line="460" w:lineRule="exact"/>
              <w:jc w:val="center"/>
              <w:rPr>
                <w:rFonts w:ascii="仿宋" w:hAnsi="仿宋" w:eastAsia="仿宋" w:cs="仿宋"/>
                <w:bCs/>
                <w:szCs w:val="21"/>
              </w:rPr>
            </w:pPr>
            <w:r>
              <w:rPr>
                <w:rFonts w:hint="eastAsia" w:ascii="仿宋" w:hAnsi="仿宋" w:eastAsia="仿宋" w:cs="仿宋"/>
                <w:bCs/>
                <w:szCs w:val="21"/>
                <w:lang w:val="en-US" w:eastAsia="zh-CN"/>
              </w:rPr>
              <w:t>1</w:t>
            </w:r>
            <w:r>
              <w:rPr>
                <w:rFonts w:hint="eastAsia" w:ascii="仿宋" w:hAnsi="仿宋" w:eastAsia="仿宋" w:cs="仿宋"/>
                <w:bCs/>
                <w:szCs w:val="21"/>
              </w:rPr>
              <w:t>0个</w:t>
            </w:r>
          </w:p>
        </w:tc>
        <w:tc>
          <w:tcPr>
            <w:tcW w:w="1492" w:type="dxa"/>
            <w:vAlign w:val="center"/>
          </w:tcPr>
          <w:p>
            <w:pPr>
              <w:spacing w:line="460" w:lineRule="exact"/>
              <w:jc w:val="center"/>
              <w:rPr>
                <w:rFonts w:ascii="仿宋" w:hAnsi="仿宋" w:eastAsia="仿宋" w:cs="仿宋"/>
                <w:bCs/>
                <w:szCs w:val="21"/>
              </w:rPr>
            </w:pPr>
            <w:r>
              <w:rPr>
                <w:rFonts w:hint="eastAsia" w:ascii="仿宋" w:hAnsi="仿宋" w:eastAsia="仿宋" w:cs="仿宋"/>
                <w:bCs/>
                <w:szCs w:val="21"/>
                <w:lang w:val="en-US" w:eastAsia="zh-CN"/>
              </w:rPr>
              <w:t>2</w:t>
            </w:r>
            <w:r>
              <w:rPr>
                <w:rFonts w:hint="eastAsia" w:ascii="仿宋" w:hAnsi="仿宋" w:eastAsia="仿宋" w:cs="仿宋"/>
                <w:bCs/>
                <w:szCs w:val="21"/>
              </w:rPr>
              <w:t>0个</w:t>
            </w:r>
          </w:p>
        </w:tc>
        <w:tc>
          <w:tcPr>
            <w:tcW w:w="1493" w:type="dxa"/>
            <w:vAlign w:val="center"/>
          </w:tcPr>
          <w:p>
            <w:pPr>
              <w:spacing w:line="460" w:lineRule="exact"/>
              <w:jc w:val="center"/>
              <w:rPr>
                <w:rFonts w:ascii="仿宋" w:hAnsi="仿宋" w:eastAsia="仿宋" w:cs="仿宋"/>
                <w:bCs/>
                <w:szCs w:val="21"/>
              </w:rPr>
            </w:pPr>
            <w:r>
              <w:rPr>
                <w:rFonts w:hint="eastAsia" w:ascii="仿宋" w:hAnsi="仿宋" w:eastAsia="仿宋" w:cs="仿宋"/>
                <w:bCs/>
                <w:szCs w:val="21"/>
                <w:lang w:val="en-US" w:eastAsia="zh-CN"/>
              </w:rPr>
              <w:t>5</w:t>
            </w:r>
            <w:r>
              <w:rPr>
                <w:rFonts w:hint="eastAsia" w:ascii="仿宋" w:hAnsi="仿宋" w:eastAsia="仿宋" w:cs="仿宋"/>
                <w:bCs/>
                <w:szCs w:val="21"/>
              </w:rPr>
              <w:t>0个</w:t>
            </w:r>
          </w:p>
        </w:tc>
        <w:tc>
          <w:tcPr>
            <w:tcW w:w="1273" w:type="dxa"/>
            <w:vAlign w:val="center"/>
          </w:tcPr>
          <w:p>
            <w:pPr>
              <w:spacing w:line="460" w:lineRule="exact"/>
              <w:jc w:val="center"/>
              <w:rPr>
                <w:rFonts w:ascii="仿宋" w:hAnsi="仿宋" w:eastAsia="仿宋" w:cs="仿宋"/>
                <w:bCs/>
                <w:szCs w:val="21"/>
              </w:rPr>
            </w:pPr>
            <w:r>
              <w:rPr>
                <w:rFonts w:hint="eastAsia" w:ascii="仿宋" w:hAnsi="仿宋" w:eastAsia="仿宋" w:cs="仿宋"/>
                <w:bCs/>
                <w:szCs w:val="21"/>
              </w:rPr>
              <w:t>市交通运输局</w:t>
            </w:r>
          </w:p>
        </w:tc>
        <w:tc>
          <w:tcPr>
            <w:tcW w:w="2188" w:type="dxa"/>
            <w:vAlign w:val="center"/>
          </w:tcPr>
          <w:p>
            <w:pPr>
              <w:spacing w:line="460" w:lineRule="exact"/>
              <w:jc w:val="center"/>
              <w:rPr>
                <w:rFonts w:ascii="仿宋" w:hAnsi="仿宋" w:eastAsia="仿宋" w:cs="仿宋"/>
                <w:bCs/>
                <w:szCs w:val="21"/>
              </w:rPr>
            </w:pPr>
            <w:r>
              <w:rPr>
                <w:rFonts w:hint="eastAsia" w:ascii="仿宋" w:hAnsi="仿宋" w:eastAsia="仿宋" w:cs="仿宋"/>
                <w:bCs/>
                <w:szCs w:val="21"/>
              </w:rPr>
              <w:t>市公安局、市城市管理局、市商务局、</w:t>
            </w:r>
            <w:r>
              <w:rPr>
                <w:rFonts w:hint="eastAsia" w:ascii="仿宋" w:hAnsi="仿宋" w:eastAsia="仿宋" w:cs="仿宋"/>
                <w:bCs/>
                <w:szCs w:val="21"/>
                <w:lang w:val="zh-CN"/>
              </w:rPr>
              <w:t>市邮政管理局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09" w:type="dxa"/>
            <w:vAlign w:val="center"/>
          </w:tcPr>
          <w:p>
            <w:pPr>
              <w:spacing w:line="460" w:lineRule="exact"/>
              <w:jc w:val="center"/>
              <w:rPr>
                <w:rFonts w:ascii="仿宋" w:hAnsi="仿宋" w:eastAsia="仿宋" w:cs="仿宋"/>
                <w:szCs w:val="21"/>
              </w:rPr>
            </w:pPr>
            <w:r>
              <w:rPr>
                <w:rFonts w:hint="eastAsia" w:ascii="仿宋" w:hAnsi="仿宋" w:eastAsia="仿宋" w:cs="仿宋"/>
                <w:szCs w:val="21"/>
              </w:rPr>
              <w:t>20</w:t>
            </w:r>
          </w:p>
        </w:tc>
        <w:tc>
          <w:tcPr>
            <w:tcW w:w="851" w:type="dxa"/>
            <w:vMerge w:val="continue"/>
            <w:vAlign w:val="center"/>
          </w:tcPr>
          <w:p>
            <w:pPr>
              <w:spacing w:line="460" w:lineRule="exact"/>
              <w:jc w:val="center"/>
              <w:rPr>
                <w:rFonts w:ascii="仿宋" w:hAnsi="仿宋" w:eastAsia="仿宋" w:cs="仿宋"/>
                <w:bCs/>
                <w:szCs w:val="21"/>
              </w:rPr>
            </w:pPr>
          </w:p>
        </w:tc>
        <w:tc>
          <w:tcPr>
            <w:tcW w:w="1276" w:type="dxa"/>
            <w:vMerge w:val="continue"/>
            <w:vAlign w:val="center"/>
          </w:tcPr>
          <w:p>
            <w:pPr>
              <w:spacing w:line="460" w:lineRule="exact"/>
              <w:jc w:val="center"/>
              <w:rPr>
                <w:rFonts w:ascii="仿宋" w:hAnsi="仿宋" w:eastAsia="仿宋" w:cs="仿宋"/>
                <w:bCs/>
                <w:szCs w:val="21"/>
              </w:rPr>
            </w:pPr>
          </w:p>
        </w:tc>
        <w:tc>
          <w:tcPr>
            <w:tcW w:w="1559" w:type="dxa"/>
            <w:vAlign w:val="center"/>
          </w:tcPr>
          <w:p>
            <w:pPr>
              <w:spacing w:line="460" w:lineRule="exact"/>
              <w:jc w:val="center"/>
              <w:rPr>
                <w:rFonts w:ascii="仿宋" w:hAnsi="仿宋" w:eastAsia="仿宋" w:cs="仿宋"/>
                <w:bCs/>
                <w:szCs w:val="21"/>
              </w:rPr>
            </w:pPr>
            <w:r>
              <w:rPr>
                <w:rFonts w:hint="eastAsia" w:ascii="仿宋" w:hAnsi="仿宋" w:eastAsia="仿宋" w:cs="仿宋"/>
                <w:bCs/>
                <w:szCs w:val="21"/>
              </w:rPr>
              <w:t>停车收费政策</w:t>
            </w:r>
          </w:p>
        </w:tc>
        <w:tc>
          <w:tcPr>
            <w:tcW w:w="4477" w:type="dxa"/>
            <w:gridSpan w:val="3"/>
            <w:vAlign w:val="center"/>
          </w:tcPr>
          <w:p>
            <w:pPr>
              <w:spacing w:line="460" w:lineRule="exact"/>
              <w:jc w:val="center"/>
              <w:rPr>
                <w:rFonts w:ascii="仿宋" w:hAnsi="仿宋" w:eastAsia="仿宋" w:cs="仿宋"/>
                <w:bCs/>
                <w:szCs w:val="21"/>
              </w:rPr>
            </w:pPr>
            <w:r>
              <w:rPr>
                <w:rFonts w:hint="eastAsia" w:ascii="仿宋" w:hAnsi="仿宋" w:eastAsia="仿宋" w:cs="仿宋"/>
                <w:bCs/>
                <w:szCs w:val="21"/>
              </w:rPr>
              <w:t>传统燃油城市配送车辆相比，为新能源物流配送车辆制定并实施更加优惠的停车政策。</w:t>
            </w:r>
          </w:p>
        </w:tc>
        <w:tc>
          <w:tcPr>
            <w:tcW w:w="1273" w:type="dxa"/>
            <w:vAlign w:val="center"/>
          </w:tcPr>
          <w:p>
            <w:pPr>
              <w:spacing w:line="460" w:lineRule="exact"/>
              <w:jc w:val="center"/>
              <w:rPr>
                <w:rFonts w:ascii="仿宋" w:hAnsi="仿宋" w:eastAsia="仿宋" w:cs="仿宋"/>
                <w:bCs/>
                <w:szCs w:val="21"/>
              </w:rPr>
            </w:pPr>
            <w:r>
              <w:rPr>
                <w:rFonts w:hint="eastAsia" w:ascii="仿宋" w:hAnsi="仿宋" w:eastAsia="仿宋" w:cs="仿宋"/>
                <w:bCs/>
                <w:szCs w:val="21"/>
              </w:rPr>
              <w:t>市发改委</w:t>
            </w:r>
          </w:p>
        </w:tc>
        <w:tc>
          <w:tcPr>
            <w:tcW w:w="2188" w:type="dxa"/>
            <w:vAlign w:val="center"/>
          </w:tcPr>
          <w:p>
            <w:pPr>
              <w:spacing w:line="460" w:lineRule="exact"/>
              <w:jc w:val="center"/>
              <w:rPr>
                <w:rFonts w:ascii="仿宋" w:hAnsi="仿宋" w:eastAsia="仿宋" w:cs="仿宋"/>
                <w:bCs/>
                <w:szCs w:val="21"/>
              </w:rPr>
            </w:pPr>
            <w:r>
              <w:rPr>
                <w:rFonts w:hint="eastAsia" w:ascii="仿宋" w:hAnsi="仿宋" w:eastAsia="仿宋" w:cs="仿宋"/>
                <w:bCs/>
                <w:szCs w:val="21"/>
              </w:rPr>
              <w:t>市城市管理局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09" w:type="dxa"/>
            <w:vAlign w:val="center"/>
          </w:tcPr>
          <w:p>
            <w:pPr>
              <w:spacing w:line="460" w:lineRule="exact"/>
              <w:jc w:val="center"/>
              <w:rPr>
                <w:rFonts w:ascii="仿宋" w:hAnsi="仿宋" w:eastAsia="仿宋" w:cs="仿宋"/>
                <w:szCs w:val="21"/>
              </w:rPr>
            </w:pPr>
            <w:r>
              <w:rPr>
                <w:rFonts w:ascii="仿宋" w:hAnsi="仿宋" w:eastAsia="仿宋" w:cs="仿宋"/>
                <w:szCs w:val="21"/>
              </w:rPr>
              <w:t>2</w:t>
            </w:r>
            <w:r>
              <w:rPr>
                <w:rFonts w:hint="eastAsia" w:ascii="仿宋" w:hAnsi="仿宋" w:eastAsia="仿宋" w:cs="仿宋"/>
                <w:szCs w:val="21"/>
              </w:rPr>
              <w:t>1</w:t>
            </w:r>
          </w:p>
        </w:tc>
        <w:tc>
          <w:tcPr>
            <w:tcW w:w="851" w:type="dxa"/>
            <w:vMerge w:val="continue"/>
            <w:vAlign w:val="center"/>
          </w:tcPr>
          <w:p>
            <w:pPr>
              <w:spacing w:line="460" w:lineRule="exact"/>
              <w:jc w:val="center"/>
              <w:rPr>
                <w:rFonts w:ascii="仿宋" w:hAnsi="仿宋" w:eastAsia="仿宋" w:cs="仿宋"/>
                <w:bCs/>
                <w:szCs w:val="21"/>
              </w:rPr>
            </w:pPr>
          </w:p>
        </w:tc>
        <w:tc>
          <w:tcPr>
            <w:tcW w:w="2835" w:type="dxa"/>
            <w:gridSpan w:val="2"/>
            <w:vAlign w:val="center"/>
          </w:tcPr>
          <w:p>
            <w:pPr>
              <w:spacing w:line="460" w:lineRule="exact"/>
              <w:jc w:val="center"/>
              <w:rPr>
                <w:rFonts w:ascii="仿宋" w:hAnsi="仿宋" w:eastAsia="仿宋" w:cs="仿宋"/>
                <w:bCs/>
                <w:szCs w:val="21"/>
              </w:rPr>
            </w:pPr>
            <w:r>
              <w:rPr>
                <w:rFonts w:hint="eastAsia" w:ascii="仿宋" w:hAnsi="仿宋" w:eastAsia="仿宋" w:cs="仿宋"/>
                <w:bCs/>
                <w:szCs w:val="21"/>
              </w:rPr>
              <w:t>城市货运配送需求调查预测制度</w:t>
            </w:r>
          </w:p>
        </w:tc>
        <w:tc>
          <w:tcPr>
            <w:tcW w:w="4477" w:type="dxa"/>
            <w:gridSpan w:val="3"/>
            <w:vAlign w:val="center"/>
          </w:tcPr>
          <w:p>
            <w:pPr>
              <w:spacing w:line="460" w:lineRule="exact"/>
              <w:jc w:val="center"/>
              <w:rPr>
                <w:rFonts w:ascii="仿宋" w:hAnsi="仿宋" w:eastAsia="仿宋" w:cs="仿宋"/>
                <w:bCs/>
                <w:szCs w:val="21"/>
              </w:rPr>
            </w:pPr>
            <w:r>
              <w:rPr>
                <w:rFonts w:hint="eastAsia" w:ascii="仿宋" w:hAnsi="仿宋" w:eastAsia="仿宋" w:cs="仿宋"/>
                <w:bCs/>
                <w:szCs w:val="21"/>
              </w:rPr>
              <w:t>开展城市货运配送需求调查，强化城市配送运力需求管理，形成城市货运配送需求现状及未来发展分析报告。</w:t>
            </w:r>
          </w:p>
        </w:tc>
        <w:tc>
          <w:tcPr>
            <w:tcW w:w="1273" w:type="dxa"/>
            <w:vAlign w:val="center"/>
          </w:tcPr>
          <w:p>
            <w:pPr>
              <w:spacing w:line="460" w:lineRule="exact"/>
              <w:jc w:val="center"/>
              <w:rPr>
                <w:rFonts w:ascii="仿宋" w:hAnsi="仿宋" w:eastAsia="仿宋" w:cs="仿宋"/>
                <w:bCs/>
                <w:szCs w:val="21"/>
              </w:rPr>
            </w:pPr>
            <w:r>
              <w:rPr>
                <w:rFonts w:hint="eastAsia" w:ascii="仿宋" w:hAnsi="仿宋" w:eastAsia="仿宋" w:cs="仿宋"/>
                <w:bCs/>
                <w:szCs w:val="21"/>
                <w:lang w:val="zh-CN"/>
              </w:rPr>
              <w:t>市商务局</w:t>
            </w:r>
          </w:p>
        </w:tc>
        <w:tc>
          <w:tcPr>
            <w:tcW w:w="2188" w:type="dxa"/>
            <w:vAlign w:val="center"/>
          </w:tcPr>
          <w:p>
            <w:pPr>
              <w:spacing w:line="460" w:lineRule="exact"/>
              <w:jc w:val="center"/>
              <w:rPr>
                <w:rFonts w:ascii="仿宋" w:hAnsi="仿宋" w:eastAsia="仿宋" w:cs="仿宋"/>
                <w:bCs/>
                <w:szCs w:val="21"/>
              </w:rPr>
            </w:pPr>
            <w:r>
              <w:rPr>
                <w:rFonts w:hint="eastAsia" w:ascii="仿宋" w:hAnsi="仿宋" w:eastAsia="仿宋" w:cs="仿宋"/>
                <w:bCs/>
                <w:szCs w:val="21"/>
              </w:rPr>
              <w:t>市交通运输局</w:t>
            </w:r>
            <w:r>
              <w:rPr>
                <w:rFonts w:hint="eastAsia" w:ascii="仿宋" w:hAnsi="仿宋" w:eastAsia="仿宋" w:cs="仿宋"/>
                <w:bCs/>
                <w:szCs w:val="21"/>
                <w:lang w:val="zh-CN"/>
              </w:rPr>
              <w:t>、市邮政管理局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09" w:type="dxa"/>
            <w:vAlign w:val="center"/>
          </w:tcPr>
          <w:p>
            <w:pPr>
              <w:spacing w:line="460" w:lineRule="exact"/>
              <w:jc w:val="center"/>
              <w:rPr>
                <w:rFonts w:ascii="仿宋" w:hAnsi="仿宋" w:eastAsia="仿宋" w:cs="仿宋"/>
                <w:szCs w:val="21"/>
              </w:rPr>
            </w:pPr>
            <w:r>
              <w:rPr>
                <w:rFonts w:hint="eastAsia" w:ascii="仿宋" w:hAnsi="仿宋" w:eastAsia="仿宋" w:cs="仿宋"/>
                <w:szCs w:val="21"/>
              </w:rPr>
              <w:t>22</w:t>
            </w:r>
          </w:p>
        </w:tc>
        <w:tc>
          <w:tcPr>
            <w:tcW w:w="851" w:type="dxa"/>
            <w:vAlign w:val="center"/>
          </w:tcPr>
          <w:p>
            <w:pPr>
              <w:spacing w:line="460" w:lineRule="exact"/>
              <w:jc w:val="center"/>
              <w:rPr>
                <w:rFonts w:ascii="仿宋" w:hAnsi="仿宋" w:eastAsia="仿宋" w:cs="仿宋"/>
                <w:bCs/>
                <w:szCs w:val="21"/>
              </w:rPr>
            </w:pPr>
            <w:r>
              <w:rPr>
                <w:rFonts w:hint="eastAsia" w:ascii="仿宋" w:hAnsi="仿宋" w:eastAsia="仿宋" w:cs="仿宋"/>
                <w:bCs/>
                <w:szCs w:val="21"/>
              </w:rPr>
              <w:t>先进配送组织模式</w:t>
            </w:r>
          </w:p>
        </w:tc>
        <w:tc>
          <w:tcPr>
            <w:tcW w:w="2835" w:type="dxa"/>
            <w:gridSpan w:val="2"/>
            <w:vAlign w:val="center"/>
          </w:tcPr>
          <w:p>
            <w:pPr>
              <w:spacing w:line="460" w:lineRule="exact"/>
              <w:jc w:val="center"/>
              <w:rPr>
                <w:rFonts w:ascii="仿宋" w:hAnsi="仿宋" w:eastAsia="仿宋" w:cs="仿宋"/>
                <w:bCs/>
                <w:szCs w:val="21"/>
              </w:rPr>
            </w:pPr>
            <w:r>
              <w:rPr>
                <w:rFonts w:hint="eastAsia" w:ascii="仿宋" w:hAnsi="仿宋" w:eastAsia="仿宋" w:cs="仿宋"/>
                <w:bCs/>
                <w:szCs w:val="21"/>
              </w:rPr>
              <w:t>共同（集中、夜间）配送</w:t>
            </w:r>
          </w:p>
        </w:tc>
        <w:tc>
          <w:tcPr>
            <w:tcW w:w="4477" w:type="dxa"/>
            <w:gridSpan w:val="3"/>
            <w:vAlign w:val="center"/>
          </w:tcPr>
          <w:p>
            <w:pPr>
              <w:spacing w:line="460" w:lineRule="exact"/>
              <w:jc w:val="center"/>
              <w:rPr>
                <w:rFonts w:ascii="仿宋" w:hAnsi="仿宋" w:eastAsia="仿宋" w:cs="仿宋"/>
                <w:bCs/>
                <w:szCs w:val="21"/>
              </w:rPr>
            </w:pPr>
            <w:r>
              <w:rPr>
                <w:rFonts w:hint="eastAsia" w:ascii="仿宋" w:hAnsi="仿宋" w:eastAsia="仿宋" w:cs="仿宋"/>
                <w:bCs/>
                <w:szCs w:val="21"/>
              </w:rPr>
              <w:t>建立重点商超企业配送相关数据报送机制；大型超市（卖场）、连锁店等商贸流通企业采用共同（集中、夜间）配送的比例≥50%。</w:t>
            </w:r>
          </w:p>
        </w:tc>
        <w:tc>
          <w:tcPr>
            <w:tcW w:w="1273" w:type="dxa"/>
            <w:vAlign w:val="center"/>
          </w:tcPr>
          <w:p>
            <w:pPr>
              <w:spacing w:line="460" w:lineRule="exact"/>
              <w:jc w:val="center"/>
              <w:rPr>
                <w:rFonts w:ascii="仿宋" w:hAnsi="仿宋" w:eastAsia="仿宋" w:cs="仿宋"/>
                <w:bCs/>
                <w:szCs w:val="21"/>
              </w:rPr>
            </w:pPr>
            <w:r>
              <w:rPr>
                <w:rFonts w:hint="eastAsia" w:ascii="仿宋" w:hAnsi="仿宋" w:eastAsia="仿宋" w:cs="仿宋"/>
                <w:bCs/>
                <w:szCs w:val="21"/>
              </w:rPr>
              <w:t>市商务局</w:t>
            </w:r>
          </w:p>
        </w:tc>
        <w:tc>
          <w:tcPr>
            <w:tcW w:w="2188" w:type="dxa"/>
            <w:vAlign w:val="center"/>
          </w:tcPr>
          <w:p>
            <w:pPr>
              <w:spacing w:line="460" w:lineRule="exact"/>
              <w:jc w:val="center"/>
              <w:rPr>
                <w:rFonts w:ascii="仿宋" w:hAnsi="仿宋" w:eastAsia="仿宋" w:cs="仿宋"/>
                <w:bCs/>
                <w:szCs w:val="21"/>
              </w:rPr>
            </w:pPr>
            <w:r>
              <w:rPr>
                <w:rFonts w:hint="eastAsia" w:ascii="仿宋" w:hAnsi="仿宋" w:eastAsia="仿宋" w:cs="仿宋"/>
                <w:bCs/>
                <w:szCs w:val="21"/>
              </w:rPr>
              <w:t>市交通运输局、市邮政管理局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09" w:type="dxa"/>
            <w:vAlign w:val="center"/>
          </w:tcPr>
          <w:p>
            <w:pPr>
              <w:spacing w:line="560" w:lineRule="exact"/>
              <w:jc w:val="center"/>
              <w:rPr>
                <w:rFonts w:ascii="仿宋" w:hAnsi="仿宋" w:eastAsia="仿宋" w:cs="仿宋"/>
                <w:szCs w:val="21"/>
              </w:rPr>
            </w:pPr>
            <w:r>
              <w:rPr>
                <w:rFonts w:hint="eastAsia" w:ascii="仿宋" w:hAnsi="仿宋" w:eastAsia="仿宋" w:cs="仿宋"/>
                <w:szCs w:val="21"/>
              </w:rPr>
              <w:t>23</w:t>
            </w:r>
          </w:p>
        </w:tc>
        <w:tc>
          <w:tcPr>
            <w:tcW w:w="851" w:type="dxa"/>
            <w:vMerge w:val="restart"/>
            <w:vAlign w:val="center"/>
          </w:tcPr>
          <w:p>
            <w:pPr>
              <w:spacing w:line="560" w:lineRule="exact"/>
              <w:jc w:val="center"/>
              <w:rPr>
                <w:rFonts w:ascii="仿宋" w:hAnsi="仿宋" w:eastAsia="仿宋" w:cs="仿宋"/>
                <w:bCs/>
                <w:szCs w:val="21"/>
              </w:rPr>
            </w:pPr>
            <w:r>
              <w:rPr>
                <w:rFonts w:hint="eastAsia" w:ascii="仿宋" w:hAnsi="仿宋" w:eastAsia="仿宋" w:cs="仿宋"/>
                <w:bCs/>
                <w:szCs w:val="21"/>
              </w:rPr>
              <w:t>信息化建设</w:t>
            </w:r>
          </w:p>
        </w:tc>
        <w:tc>
          <w:tcPr>
            <w:tcW w:w="2835" w:type="dxa"/>
            <w:gridSpan w:val="2"/>
            <w:vAlign w:val="center"/>
          </w:tcPr>
          <w:p>
            <w:pPr>
              <w:spacing w:line="560" w:lineRule="exact"/>
              <w:jc w:val="center"/>
              <w:rPr>
                <w:rFonts w:ascii="仿宋" w:hAnsi="仿宋" w:eastAsia="仿宋" w:cs="仿宋"/>
                <w:bCs/>
                <w:szCs w:val="21"/>
              </w:rPr>
            </w:pPr>
            <w:r>
              <w:rPr>
                <w:rFonts w:hint="eastAsia" w:ascii="仿宋" w:hAnsi="仿宋" w:eastAsia="仿宋" w:cs="仿宋"/>
                <w:bCs/>
                <w:szCs w:val="21"/>
              </w:rPr>
              <w:t>建设货运配送公共信息服务平台1个。</w:t>
            </w:r>
          </w:p>
        </w:tc>
        <w:tc>
          <w:tcPr>
            <w:tcW w:w="1492" w:type="dxa"/>
            <w:vAlign w:val="center"/>
          </w:tcPr>
          <w:p>
            <w:pPr>
              <w:spacing w:line="560" w:lineRule="exact"/>
              <w:jc w:val="center"/>
              <w:rPr>
                <w:rFonts w:ascii="仿宋" w:hAnsi="仿宋" w:eastAsia="仿宋" w:cs="仿宋"/>
                <w:bCs/>
                <w:szCs w:val="21"/>
              </w:rPr>
            </w:pPr>
            <w:r>
              <w:rPr>
                <w:rFonts w:hint="eastAsia" w:ascii="仿宋" w:hAnsi="仿宋" w:eastAsia="仿宋" w:cs="仿宋"/>
                <w:bCs/>
                <w:szCs w:val="21"/>
              </w:rPr>
              <w:t>0个</w:t>
            </w:r>
          </w:p>
        </w:tc>
        <w:tc>
          <w:tcPr>
            <w:tcW w:w="1492" w:type="dxa"/>
            <w:vAlign w:val="center"/>
          </w:tcPr>
          <w:p>
            <w:pPr>
              <w:spacing w:line="560" w:lineRule="exact"/>
              <w:jc w:val="center"/>
              <w:rPr>
                <w:rFonts w:ascii="仿宋" w:hAnsi="仿宋" w:eastAsia="仿宋" w:cs="仿宋"/>
                <w:bCs/>
                <w:szCs w:val="21"/>
              </w:rPr>
            </w:pPr>
            <w:r>
              <w:rPr>
                <w:rFonts w:hint="eastAsia" w:ascii="仿宋" w:hAnsi="仿宋" w:eastAsia="仿宋" w:cs="仿宋"/>
                <w:bCs/>
                <w:szCs w:val="21"/>
              </w:rPr>
              <w:t>0个</w:t>
            </w:r>
          </w:p>
        </w:tc>
        <w:tc>
          <w:tcPr>
            <w:tcW w:w="1493" w:type="dxa"/>
            <w:vAlign w:val="center"/>
          </w:tcPr>
          <w:p>
            <w:pPr>
              <w:spacing w:line="560" w:lineRule="exact"/>
              <w:jc w:val="center"/>
              <w:rPr>
                <w:rFonts w:ascii="仿宋" w:hAnsi="仿宋" w:eastAsia="仿宋" w:cs="仿宋"/>
                <w:bCs/>
                <w:szCs w:val="21"/>
              </w:rPr>
            </w:pPr>
            <w:r>
              <w:rPr>
                <w:rFonts w:hint="eastAsia" w:ascii="仿宋" w:hAnsi="仿宋" w:eastAsia="仿宋" w:cs="仿宋"/>
                <w:bCs/>
                <w:szCs w:val="21"/>
              </w:rPr>
              <w:t>1 个</w:t>
            </w:r>
          </w:p>
        </w:tc>
        <w:tc>
          <w:tcPr>
            <w:tcW w:w="1273" w:type="dxa"/>
            <w:vAlign w:val="center"/>
          </w:tcPr>
          <w:p>
            <w:pPr>
              <w:spacing w:line="560" w:lineRule="exact"/>
              <w:jc w:val="center"/>
              <w:rPr>
                <w:rFonts w:ascii="仿宋" w:hAnsi="仿宋" w:eastAsia="仿宋" w:cs="仿宋"/>
                <w:bCs/>
                <w:szCs w:val="21"/>
              </w:rPr>
            </w:pPr>
            <w:r>
              <w:rPr>
                <w:rFonts w:hint="eastAsia" w:ascii="仿宋" w:hAnsi="仿宋" w:eastAsia="仿宋" w:cs="仿宋"/>
                <w:bCs/>
                <w:szCs w:val="21"/>
              </w:rPr>
              <w:t>市交通运输局</w:t>
            </w:r>
          </w:p>
        </w:tc>
        <w:tc>
          <w:tcPr>
            <w:tcW w:w="2188" w:type="dxa"/>
            <w:vAlign w:val="center"/>
          </w:tcPr>
          <w:p>
            <w:pPr>
              <w:spacing w:line="560" w:lineRule="exact"/>
              <w:jc w:val="center"/>
              <w:rPr>
                <w:rFonts w:ascii="仿宋" w:hAnsi="仿宋" w:eastAsia="仿宋" w:cs="仿宋"/>
                <w:bCs/>
                <w:szCs w:val="21"/>
              </w:rPr>
            </w:pPr>
            <w:r>
              <w:rPr>
                <w:rFonts w:hint="eastAsia" w:ascii="仿宋" w:hAnsi="仿宋" w:eastAsia="仿宋" w:cs="仿宋"/>
                <w:bCs/>
                <w:szCs w:val="21"/>
              </w:rPr>
              <w:t>市商务局、市政数局市城市管理局、市邮政管理局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09" w:type="dxa"/>
            <w:vAlign w:val="center"/>
          </w:tcPr>
          <w:p>
            <w:pPr>
              <w:spacing w:line="560" w:lineRule="exact"/>
              <w:jc w:val="center"/>
              <w:rPr>
                <w:rFonts w:ascii="仿宋" w:hAnsi="仿宋" w:eastAsia="仿宋" w:cs="仿宋"/>
                <w:szCs w:val="21"/>
              </w:rPr>
            </w:pPr>
            <w:r>
              <w:rPr>
                <w:rFonts w:hint="eastAsia" w:ascii="仿宋" w:hAnsi="仿宋" w:eastAsia="仿宋" w:cs="仿宋"/>
                <w:szCs w:val="21"/>
              </w:rPr>
              <w:t>24</w:t>
            </w:r>
          </w:p>
        </w:tc>
        <w:tc>
          <w:tcPr>
            <w:tcW w:w="851" w:type="dxa"/>
            <w:vMerge w:val="continue"/>
            <w:vAlign w:val="center"/>
          </w:tcPr>
          <w:p>
            <w:pPr>
              <w:spacing w:line="560" w:lineRule="exact"/>
              <w:jc w:val="center"/>
              <w:rPr>
                <w:rFonts w:ascii="仿宋" w:hAnsi="仿宋" w:eastAsia="仿宋" w:cs="仿宋"/>
                <w:bCs/>
                <w:szCs w:val="21"/>
              </w:rPr>
            </w:pPr>
          </w:p>
        </w:tc>
        <w:tc>
          <w:tcPr>
            <w:tcW w:w="2835" w:type="dxa"/>
            <w:gridSpan w:val="2"/>
            <w:vAlign w:val="center"/>
          </w:tcPr>
          <w:p>
            <w:pPr>
              <w:spacing w:line="560" w:lineRule="exact"/>
              <w:jc w:val="center"/>
              <w:rPr>
                <w:rFonts w:ascii="仿宋" w:hAnsi="仿宋" w:eastAsia="仿宋" w:cs="仿宋"/>
                <w:bCs/>
                <w:szCs w:val="21"/>
              </w:rPr>
            </w:pPr>
            <w:r>
              <w:rPr>
                <w:rFonts w:hint="eastAsia" w:ascii="仿宋" w:hAnsi="仿宋" w:eastAsia="仿宋" w:cs="仿宋"/>
                <w:bCs/>
                <w:szCs w:val="21"/>
              </w:rPr>
              <w:t>企业城市配送信息系统2个</w:t>
            </w:r>
          </w:p>
        </w:tc>
        <w:tc>
          <w:tcPr>
            <w:tcW w:w="1492" w:type="dxa"/>
            <w:vAlign w:val="center"/>
          </w:tcPr>
          <w:p>
            <w:pPr>
              <w:spacing w:line="560" w:lineRule="exact"/>
              <w:jc w:val="center"/>
              <w:rPr>
                <w:rFonts w:ascii="仿宋" w:hAnsi="仿宋" w:eastAsia="仿宋" w:cs="仿宋"/>
                <w:bCs/>
                <w:szCs w:val="21"/>
              </w:rPr>
            </w:pPr>
            <w:r>
              <w:rPr>
                <w:rFonts w:hint="eastAsia" w:ascii="仿宋" w:hAnsi="仿宋" w:eastAsia="仿宋" w:cs="仿宋"/>
                <w:bCs/>
                <w:szCs w:val="21"/>
              </w:rPr>
              <w:t>0个</w:t>
            </w:r>
          </w:p>
        </w:tc>
        <w:tc>
          <w:tcPr>
            <w:tcW w:w="1492" w:type="dxa"/>
            <w:vAlign w:val="center"/>
          </w:tcPr>
          <w:p>
            <w:pPr>
              <w:spacing w:line="560" w:lineRule="exact"/>
              <w:jc w:val="center"/>
              <w:rPr>
                <w:rFonts w:ascii="仿宋" w:hAnsi="仿宋" w:eastAsia="仿宋" w:cs="仿宋"/>
                <w:bCs/>
                <w:szCs w:val="21"/>
              </w:rPr>
            </w:pPr>
            <w:r>
              <w:rPr>
                <w:rFonts w:hint="eastAsia" w:ascii="仿宋" w:hAnsi="仿宋" w:eastAsia="仿宋" w:cs="仿宋"/>
                <w:bCs/>
                <w:szCs w:val="21"/>
              </w:rPr>
              <w:t>1个</w:t>
            </w:r>
          </w:p>
        </w:tc>
        <w:tc>
          <w:tcPr>
            <w:tcW w:w="1493" w:type="dxa"/>
            <w:vAlign w:val="center"/>
          </w:tcPr>
          <w:p>
            <w:pPr>
              <w:spacing w:line="560" w:lineRule="exact"/>
              <w:jc w:val="center"/>
              <w:rPr>
                <w:rFonts w:ascii="仿宋" w:hAnsi="仿宋" w:eastAsia="仿宋" w:cs="仿宋"/>
                <w:bCs/>
                <w:szCs w:val="21"/>
              </w:rPr>
            </w:pPr>
            <w:r>
              <w:rPr>
                <w:rFonts w:hint="eastAsia" w:ascii="仿宋" w:hAnsi="仿宋" w:eastAsia="仿宋" w:cs="仿宋"/>
                <w:bCs/>
                <w:szCs w:val="21"/>
              </w:rPr>
              <w:t>1个</w:t>
            </w:r>
          </w:p>
        </w:tc>
        <w:tc>
          <w:tcPr>
            <w:tcW w:w="1273" w:type="dxa"/>
            <w:vAlign w:val="center"/>
          </w:tcPr>
          <w:p>
            <w:pPr>
              <w:spacing w:line="560" w:lineRule="exact"/>
              <w:jc w:val="center"/>
              <w:rPr>
                <w:rFonts w:ascii="仿宋" w:hAnsi="仿宋" w:eastAsia="仿宋" w:cs="仿宋"/>
                <w:bCs/>
                <w:szCs w:val="21"/>
              </w:rPr>
            </w:pPr>
            <w:r>
              <w:rPr>
                <w:rFonts w:hint="eastAsia" w:ascii="仿宋" w:hAnsi="仿宋" w:eastAsia="仿宋" w:cs="仿宋"/>
                <w:bCs/>
                <w:szCs w:val="21"/>
              </w:rPr>
              <w:t>市交通运输局</w:t>
            </w:r>
          </w:p>
        </w:tc>
        <w:tc>
          <w:tcPr>
            <w:tcW w:w="2188" w:type="dxa"/>
            <w:vAlign w:val="center"/>
          </w:tcPr>
          <w:p>
            <w:pPr>
              <w:spacing w:line="560" w:lineRule="exact"/>
              <w:jc w:val="center"/>
              <w:rPr>
                <w:rFonts w:ascii="仿宋" w:hAnsi="仿宋" w:eastAsia="仿宋" w:cs="仿宋"/>
                <w:bCs/>
                <w:szCs w:val="21"/>
              </w:rPr>
            </w:pPr>
            <w:r>
              <w:rPr>
                <w:rFonts w:hint="eastAsia" w:ascii="仿宋" w:hAnsi="仿宋" w:eastAsia="仿宋" w:cs="仿宋"/>
                <w:bCs/>
                <w:szCs w:val="21"/>
              </w:rPr>
              <w:t>市商务局、市邮政管理局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09" w:type="dxa"/>
            <w:vAlign w:val="center"/>
          </w:tcPr>
          <w:p>
            <w:pPr>
              <w:spacing w:line="560" w:lineRule="exact"/>
              <w:jc w:val="center"/>
              <w:rPr>
                <w:rFonts w:ascii="仿宋" w:hAnsi="仿宋" w:eastAsia="仿宋" w:cs="仿宋"/>
                <w:szCs w:val="21"/>
              </w:rPr>
            </w:pPr>
            <w:r>
              <w:rPr>
                <w:rFonts w:ascii="仿宋" w:hAnsi="仿宋" w:eastAsia="仿宋" w:cs="仿宋"/>
                <w:szCs w:val="21"/>
              </w:rPr>
              <w:t>2</w:t>
            </w:r>
            <w:r>
              <w:rPr>
                <w:rFonts w:hint="eastAsia" w:ascii="仿宋" w:hAnsi="仿宋" w:eastAsia="仿宋" w:cs="仿宋"/>
                <w:szCs w:val="21"/>
              </w:rPr>
              <w:t>5</w:t>
            </w:r>
          </w:p>
        </w:tc>
        <w:tc>
          <w:tcPr>
            <w:tcW w:w="851" w:type="dxa"/>
            <w:vAlign w:val="center"/>
          </w:tcPr>
          <w:p>
            <w:pPr>
              <w:spacing w:line="560" w:lineRule="exact"/>
              <w:jc w:val="center"/>
              <w:rPr>
                <w:rFonts w:ascii="仿宋" w:hAnsi="仿宋" w:eastAsia="仿宋" w:cs="仿宋"/>
                <w:bCs/>
                <w:szCs w:val="21"/>
              </w:rPr>
            </w:pPr>
            <w:r>
              <w:rPr>
                <w:rFonts w:hint="eastAsia" w:ascii="仿宋" w:hAnsi="仿宋" w:eastAsia="仿宋" w:cs="仿宋"/>
                <w:bCs/>
                <w:szCs w:val="21"/>
              </w:rPr>
              <w:t>市场主体培育</w:t>
            </w:r>
          </w:p>
        </w:tc>
        <w:tc>
          <w:tcPr>
            <w:tcW w:w="2835" w:type="dxa"/>
            <w:gridSpan w:val="2"/>
            <w:vAlign w:val="center"/>
          </w:tcPr>
          <w:p>
            <w:pPr>
              <w:spacing w:line="560" w:lineRule="exact"/>
              <w:jc w:val="center"/>
              <w:rPr>
                <w:rFonts w:ascii="仿宋" w:hAnsi="仿宋" w:eastAsia="仿宋" w:cs="仿宋"/>
                <w:bCs/>
                <w:szCs w:val="21"/>
              </w:rPr>
            </w:pPr>
            <w:r>
              <w:rPr>
                <w:rFonts w:hint="eastAsia" w:ascii="仿宋" w:hAnsi="仿宋" w:eastAsia="仿宋" w:cs="仿宋"/>
                <w:bCs/>
                <w:szCs w:val="21"/>
              </w:rPr>
              <w:t>培育运作高效、服务规范的AAA级（含）以上专业城市配送企业≥3家。</w:t>
            </w:r>
          </w:p>
        </w:tc>
        <w:tc>
          <w:tcPr>
            <w:tcW w:w="1492" w:type="dxa"/>
            <w:vAlign w:val="center"/>
          </w:tcPr>
          <w:p>
            <w:pPr>
              <w:spacing w:line="560" w:lineRule="exact"/>
              <w:jc w:val="center"/>
              <w:rPr>
                <w:rFonts w:ascii="仿宋" w:hAnsi="仿宋" w:eastAsia="仿宋" w:cs="仿宋"/>
                <w:bCs/>
                <w:szCs w:val="21"/>
              </w:rPr>
            </w:pPr>
            <w:r>
              <w:rPr>
                <w:rFonts w:hint="eastAsia" w:ascii="仿宋" w:hAnsi="仿宋" w:eastAsia="仿宋" w:cs="仿宋"/>
                <w:bCs/>
                <w:szCs w:val="21"/>
                <w:lang w:val="en-US" w:eastAsia="zh-CN"/>
              </w:rPr>
              <w:t>0</w:t>
            </w:r>
            <w:r>
              <w:rPr>
                <w:rFonts w:hint="eastAsia" w:ascii="仿宋" w:hAnsi="仿宋" w:eastAsia="仿宋" w:cs="仿宋"/>
                <w:bCs/>
                <w:szCs w:val="21"/>
              </w:rPr>
              <w:t>家</w:t>
            </w:r>
          </w:p>
        </w:tc>
        <w:tc>
          <w:tcPr>
            <w:tcW w:w="1492" w:type="dxa"/>
            <w:vAlign w:val="center"/>
          </w:tcPr>
          <w:p>
            <w:pPr>
              <w:spacing w:line="560" w:lineRule="exact"/>
              <w:jc w:val="center"/>
              <w:rPr>
                <w:rFonts w:ascii="仿宋" w:hAnsi="仿宋" w:eastAsia="仿宋" w:cs="仿宋"/>
                <w:bCs/>
                <w:szCs w:val="21"/>
              </w:rPr>
            </w:pPr>
            <w:r>
              <w:rPr>
                <w:rFonts w:hint="eastAsia" w:ascii="仿宋" w:hAnsi="仿宋" w:eastAsia="仿宋" w:cs="仿宋"/>
                <w:bCs/>
                <w:szCs w:val="21"/>
              </w:rPr>
              <w:t>1家</w:t>
            </w:r>
          </w:p>
        </w:tc>
        <w:tc>
          <w:tcPr>
            <w:tcW w:w="1493" w:type="dxa"/>
            <w:vAlign w:val="center"/>
          </w:tcPr>
          <w:p>
            <w:pPr>
              <w:spacing w:line="560" w:lineRule="exact"/>
              <w:jc w:val="center"/>
              <w:rPr>
                <w:rFonts w:ascii="仿宋" w:hAnsi="仿宋" w:eastAsia="仿宋" w:cs="仿宋"/>
                <w:bCs/>
                <w:szCs w:val="21"/>
              </w:rPr>
            </w:pPr>
            <w:r>
              <w:rPr>
                <w:rFonts w:hint="eastAsia" w:ascii="仿宋" w:hAnsi="仿宋" w:eastAsia="仿宋" w:cs="仿宋"/>
                <w:bCs/>
                <w:szCs w:val="21"/>
                <w:lang w:val="en-US" w:eastAsia="zh-CN"/>
              </w:rPr>
              <w:t>2</w:t>
            </w:r>
            <w:r>
              <w:rPr>
                <w:rFonts w:hint="eastAsia" w:ascii="仿宋" w:hAnsi="仿宋" w:eastAsia="仿宋" w:cs="仿宋"/>
                <w:bCs/>
                <w:szCs w:val="21"/>
              </w:rPr>
              <w:t>家</w:t>
            </w:r>
          </w:p>
        </w:tc>
        <w:tc>
          <w:tcPr>
            <w:tcW w:w="1273" w:type="dxa"/>
            <w:vAlign w:val="center"/>
          </w:tcPr>
          <w:p>
            <w:pPr>
              <w:spacing w:line="560" w:lineRule="exact"/>
              <w:jc w:val="center"/>
              <w:rPr>
                <w:rFonts w:ascii="仿宋" w:hAnsi="仿宋" w:eastAsia="仿宋" w:cs="仿宋"/>
                <w:bCs/>
                <w:szCs w:val="21"/>
              </w:rPr>
            </w:pPr>
            <w:r>
              <w:rPr>
                <w:rFonts w:hint="eastAsia" w:ascii="仿宋" w:hAnsi="仿宋" w:eastAsia="仿宋" w:cs="仿宋"/>
                <w:bCs/>
                <w:szCs w:val="21"/>
              </w:rPr>
              <w:t>市交通运输局</w:t>
            </w:r>
          </w:p>
        </w:tc>
        <w:tc>
          <w:tcPr>
            <w:tcW w:w="2188" w:type="dxa"/>
            <w:vAlign w:val="center"/>
          </w:tcPr>
          <w:p>
            <w:pPr>
              <w:spacing w:line="560" w:lineRule="exact"/>
              <w:jc w:val="center"/>
              <w:rPr>
                <w:rFonts w:ascii="仿宋" w:hAnsi="仿宋" w:eastAsia="仿宋" w:cs="仿宋"/>
                <w:bCs/>
                <w:szCs w:val="21"/>
              </w:rPr>
            </w:pPr>
            <w:r>
              <w:rPr>
                <w:rFonts w:hint="eastAsia" w:ascii="仿宋" w:hAnsi="仿宋" w:eastAsia="仿宋" w:cs="仿宋"/>
                <w:bCs/>
                <w:szCs w:val="21"/>
              </w:rPr>
              <w:t>市商务局、市邮政管理局、市市场监督管理局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09" w:type="dxa"/>
            <w:vAlign w:val="center"/>
          </w:tcPr>
          <w:p>
            <w:pPr>
              <w:spacing w:line="360" w:lineRule="auto"/>
              <w:jc w:val="center"/>
              <w:rPr>
                <w:rFonts w:ascii="仿宋" w:hAnsi="仿宋" w:eastAsia="仿宋" w:cs="仿宋"/>
                <w:szCs w:val="21"/>
              </w:rPr>
            </w:pPr>
            <w:r>
              <w:rPr>
                <w:rFonts w:ascii="仿宋" w:hAnsi="仿宋" w:eastAsia="仿宋" w:cs="仿宋"/>
                <w:szCs w:val="21"/>
              </w:rPr>
              <w:t>2</w:t>
            </w:r>
            <w:r>
              <w:rPr>
                <w:rFonts w:hint="eastAsia" w:ascii="仿宋" w:hAnsi="仿宋" w:eastAsia="仿宋" w:cs="仿宋"/>
                <w:szCs w:val="21"/>
              </w:rPr>
              <w:t>6</w:t>
            </w:r>
          </w:p>
        </w:tc>
        <w:tc>
          <w:tcPr>
            <w:tcW w:w="851" w:type="dxa"/>
            <w:vMerge w:val="restart"/>
            <w:vAlign w:val="center"/>
          </w:tcPr>
          <w:p>
            <w:pPr>
              <w:spacing w:line="360" w:lineRule="auto"/>
              <w:jc w:val="center"/>
              <w:rPr>
                <w:rFonts w:ascii="仿宋" w:hAnsi="仿宋" w:eastAsia="仿宋" w:cs="仿宋"/>
                <w:bCs/>
                <w:szCs w:val="21"/>
              </w:rPr>
            </w:pPr>
            <w:r>
              <w:rPr>
                <w:rFonts w:hint="eastAsia" w:ascii="仿宋" w:hAnsi="仿宋" w:eastAsia="仿宋" w:cs="仿宋"/>
                <w:bCs/>
                <w:szCs w:val="21"/>
              </w:rPr>
              <w:t>物流降本增效</w:t>
            </w:r>
          </w:p>
        </w:tc>
        <w:tc>
          <w:tcPr>
            <w:tcW w:w="2835" w:type="dxa"/>
            <w:gridSpan w:val="2"/>
            <w:vAlign w:val="center"/>
          </w:tcPr>
          <w:p>
            <w:pPr>
              <w:spacing w:line="360" w:lineRule="auto"/>
              <w:jc w:val="center"/>
              <w:rPr>
                <w:rFonts w:ascii="仿宋" w:hAnsi="仿宋" w:eastAsia="仿宋" w:cs="仿宋"/>
                <w:bCs/>
                <w:szCs w:val="21"/>
              </w:rPr>
            </w:pPr>
            <w:r>
              <w:rPr>
                <w:rFonts w:hint="eastAsia" w:ascii="仿宋" w:hAnsi="仿宋" w:eastAsia="仿宋" w:cs="仿宋"/>
                <w:bCs/>
                <w:szCs w:val="21"/>
              </w:rPr>
              <w:t>城市货运配送成本</w:t>
            </w:r>
          </w:p>
        </w:tc>
        <w:tc>
          <w:tcPr>
            <w:tcW w:w="4477" w:type="dxa"/>
            <w:gridSpan w:val="3"/>
            <w:vAlign w:val="center"/>
          </w:tcPr>
          <w:p>
            <w:pPr>
              <w:spacing w:line="360" w:lineRule="auto"/>
              <w:jc w:val="center"/>
              <w:rPr>
                <w:rFonts w:ascii="仿宋" w:hAnsi="仿宋" w:eastAsia="仿宋" w:cs="仿宋"/>
                <w:bCs/>
                <w:szCs w:val="21"/>
              </w:rPr>
            </w:pPr>
            <w:r>
              <w:rPr>
                <w:rFonts w:hint="eastAsia" w:ascii="仿宋" w:hAnsi="仿宋" w:eastAsia="仿宋" w:cs="仿宋"/>
                <w:bCs/>
                <w:szCs w:val="21"/>
              </w:rPr>
              <w:t>示范期末，城市配送吨公里运输成本较示范建设期初降低的比例≥10%。</w:t>
            </w:r>
          </w:p>
        </w:tc>
        <w:tc>
          <w:tcPr>
            <w:tcW w:w="1273" w:type="dxa"/>
            <w:vAlign w:val="center"/>
          </w:tcPr>
          <w:p>
            <w:pPr>
              <w:spacing w:line="360" w:lineRule="auto"/>
              <w:jc w:val="center"/>
              <w:rPr>
                <w:rFonts w:ascii="仿宋" w:hAnsi="仿宋" w:eastAsia="仿宋" w:cs="仿宋"/>
                <w:bCs/>
                <w:szCs w:val="21"/>
              </w:rPr>
            </w:pPr>
            <w:r>
              <w:rPr>
                <w:rFonts w:hint="eastAsia" w:ascii="仿宋" w:hAnsi="仿宋" w:eastAsia="仿宋" w:cs="仿宋"/>
                <w:bCs/>
                <w:szCs w:val="21"/>
              </w:rPr>
              <w:t>市交通运输局</w:t>
            </w:r>
          </w:p>
        </w:tc>
        <w:tc>
          <w:tcPr>
            <w:tcW w:w="2188" w:type="dxa"/>
            <w:vAlign w:val="center"/>
          </w:tcPr>
          <w:p>
            <w:pPr>
              <w:spacing w:line="360" w:lineRule="auto"/>
              <w:jc w:val="center"/>
              <w:rPr>
                <w:rFonts w:ascii="仿宋" w:hAnsi="仿宋" w:eastAsia="仿宋" w:cs="仿宋"/>
                <w:bCs/>
                <w:szCs w:val="21"/>
              </w:rPr>
            </w:pPr>
            <w:r>
              <w:rPr>
                <w:rFonts w:hint="eastAsia" w:ascii="仿宋" w:hAnsi="仿宋" w:eastAsia="仿宋" w:cs="仿宋"/>
                <w:bCs/>
                <w:szCs w:val="21"/>
              </w:rPr>
              <w:t>市商务局、市邮政管理局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09" w:type="dxa"/>
            <w:vAlign w:val="center"/>
          </w:tcPr>
          <w:p>
            <w:pPr>
              <w:spacing w:line="360" w:lineRule="auto"/>
              <w:jc w:val="center"/>
              <w:rPr>
                <w:rFonts w:ascii="仿宋" w:hAnsi="仿宋" w:eastAsia="仿宋" w:cs="仿宋"/>
                <w:szCs w:val="21"/>
              </w:rPr>
            </w:pPr>
            <w:r>
              <w:rPr>
                <w:rFonts w:ascii="仿宋" w:hAnsi="仿宋" w:eastAsia="仿宋" w:cs="仿宋"/>
                <w:szCs w:val="21"/>
              </w:rPr>
              <w:t>2</w:t>
            </w:r>
            <w:r>
              <w:rPr>
                <w:rFonts w:hint="eastAsia" w:ascii="仿宋" w:hAnsi="仿宋" w:eastAsia="仿宋" w:cs="仿宋"/>
                <w:szCs w:val="21"/>
              </w:rPr>
              <w:t>7</w:t>
            </w:r>
          </w:p>
        </w:tc>
        <w:tc>
          <w:tcPr>
            <w:tcW w:w="851" w:type="dxa"/>
            <w:vMerge w:val="continue"/>
            <w:vAlign w:val="center"/>
          </w:tcPr>
          <w:p>
            <w:pPr>
              <w:spacing w:line="360" w:lineRule="auto"/>
              <w:jc w:val="center"/>
              <w:rPr>
                <w:rFonts w:ascii="仿宋" w:hAnsi="仿宋" w:eastAsia="仿宋" w:cs="仿宋"/>
                <w:bCs/>
                <w:szCs w:val="21"/>
              </w:rPr>
            </w:pPr>
          </w:p>
        </w:tc>
        <w:tc>
          <w:tcPr>
            <w:tcW w:w="2835" w:type="dxa"/>
            <w:gridSpan w:val="2"/>
            <w:vAlign w:val="center"/>
          </w:tcPr>
          <w:p>
            <w:pPr>
              <w:spacing w:line="360" w:lineRule="auto"/>
              <w:jc w:val="center"/>
              <w:rPr>
                <w:rFonts w:ascii="仿宋" w:hAnsi="仿宋" w:eastAsia="仿宋" w:cs="仿宋"/>
                <w:bCs/>
                <w:szCs w:val="21"/>
              </w:rPr>
            </w:pPr>
            <w:r>
              <w:rPr>
                <w:rFonts w:hint="eastAsia" w:ascii="仿宋" w:hAnsi="仿宋" w:eastAsia="仿宋" w:cs="仿宋"/>
                <w:bCs/>
                <w:szCs w:val="21"/>
              </w:rPr>
              <w:t>城市货运配送车辆利用效率</w:t>
            </w:r>
          </w:p>
        </w:tc>
        <w:tc>
          <w:tcPr>
            <w:tcW w:w="4477" w:type="dxa"/>
            <w:gridSpan w:val="3"/>
            <w:vAlign w:val="center"/>
          </w:tcPr>
          <w:p>
            <w:pPr>
              <w:spacing w:line="360" w:lineRule="auto"/>
              <w:jc w:val="center"/>
              <w:rPr>
                <w:rFonts w:ascii="仿宋" w:hAnsi="仿宋" w:eastAsia="仿宋" w:cs="仿宋"/>
                <w:bCs/>
                <w:szCs w:val="21"/>
              </w:rPr>
            </w:pPr>
            <w:r>
              <w:rPr>
                <w:rFonts w:hint="eastAsia" w:ascii="仿宋" w:hAnsi="仿宋" w:eastAsia="仿宋" w:cs="仿宋"/>
                <w:bCs/>
                <w:szCs w:val="21"/>
              </w:rPr>
              <w:t>示范期末，城市配送车辆平均日单车行驶里程较示范建设期初提高的比率≥20%。</w:t>
            </w:r>
          </w:p>
        </w:tc>
        <w:tc>
          <w:tcPr>
            <w:tcW w:w="1273" w:type="dxa"/>
            <w:vAlign w:val="center"/>
          </w:tcPr>
          <w:p>
            <w:pPr>
              <w:spacing w:line="360" w:lineRule="auto"/>
              <w:jc w:val="center"/>
              <w:rPr>
                <w:rFonts w:ascii="仿宋" w:hAnsi="仿宋" w:eastAsia="仿宋" w:cs="仿宋"/>
                <w:bCs/>
                <w:szCs w:val="21"/>
              </w:rPr>
            </w:pPr>
            <w:r>
              <w:rPr>
                <w:rFonts w:hint="eastAsia" w:ascii="仿宋" w:hAnsi="仿宋" w:eastAsia="仿宋" w:cs="仿宋"/>
                <w:bCs/>
                <w:szCs w:val="21"/>
              </w:rPr>
              <w:t>市交通运输局</w:t>
            </w:r>
          </w:p>
        </w:tc>
        <w:tc>
          <w:tcPr>
            <w:tcW w:w="2188" w:type="dxa"/>
            <w:vAlign w:val="center"/>
          </w:tcPr>
          <w:p>
            <w:pPr>
              <w:spacing w:line="360" w:lineRule="auto"/>
              <w:jc w:val="center"/>
              <w:rPr>
                <w:rFonts w:ascii="仿宋" w:hAnsi="仿宋" w:eastAsia="仿宋" w:cs="仿宋"/>
                <w:bCs/>
                <w:szCs w:val="21"/>
              </w:rPr>
            </w:pPr>
            <w:r>
              <w:rPr>
                <w:rFonts w:hint="eastAsia" w:ascii="仿宋" w:hAnsi="仿宋" w:eastAsia="仿宋" w:cs="仿宋"/>
                <w:bCs/>
                <w:szCs w:val="21"/>
              </w:rPr>
              <w:t>市商务局、市邮政管理局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09" w:type="dxa"/>
            <w:vAlign w:val="center"/>
          </w:tcPr>
          <w:p>
            <w:pPr>
              <w:spacing w:line="360" w:lineRule="auto"/>
              <w:jc w:val="center"/>
              <w:rPr>
                <w:rFonts w:ascii="仿宋" w:hAnsi="仿宋" w:eastAsia="仿宋" w:cs="仿宋"/>
                <w:szCs w:val="21"/>
              </w:rPr>
            </w:pPr>
            <w:r>
              <w:rPr>
                <w:rFonts w:hint="eastAsia" w:ascii="仿宋" w:hAnsi="仿宋" w:eastAsia="仿宋" w:cs="仿宋"/>
                <w:szCs w:val="21"/>
              </w:rPr>
              <w:t>28</w:t>
            </w:r>
          </w:p>
        </w:tc>
        <w:tc>
          <w:tcPr>
            <w:tcW w:w="851" w:type="dxa"/>
            <w:vAlign w:val="center"/>
          </w:tcPr>
          <w:p>
            <w:pPr>
              <w:spacing w:line="360" w:lineRule="auto"/>
              <w:jc w:val="center"/>
              <w:rPr>
                <w:rFonts w:ascii="仿宋" w:hAnsi="仿宋" w:eastAsia="仿宋" w:cs="仿宋"/>
                <w:bCs/>
                <w:szCs w:val="21"/>
              </w:rPr>
            </w:pPr>
            <w:r>
              <w:rPr>
                <w:rFonts w:hint="eastAsia" w:ascii="仿宋" w:hAnsi="仿宋" w:eastAsia="仿宋" w:cs="仿宋"/>
                <w:bCs/>
                <w:szCs w:val="21"/>
              </w:rPr>
              <w:t>货运节能减排</w:t>
            </w:r>
          </w:p>
        </w:tc>
        <w:tc>
          <w:tcPr>
            <w:tcW w:w="2835" w:type="dxa"/>
            <w:gridSpan w:val="2"/>
            <w:vAlign w:val="center"/>
          </w:tcPr>
          <w:p>
            <w:pPr>
              <w:spacing w:line="360" w:lineRule="auto"/>
              <w:jc w:val="center"/>
              <w:rPr>
                <w:rFonts w:ascii="仿宋" w:hAnsi="仿宋" w:eastAsia="仿宋" w:cs="仿宋"/>
                <w:bCs/>
                <w:szCs w:val="21"/>
              </w:rPr>
            </w:pPr>
            <w:r>
              <w:rPr>
                <w:rFonts w:hint="eastAsia" w:ascii="仿宋" w:hAnsi="仿宋" w:eastAsia="仿宋" w:cs="仿宋"/>
                <w:bCs/>
                <w:szCs w:val="21"/>
              </w:rPr>
              <w:t>城市货运配送车辆单位周转量能耗</w:t>
            </w:r>
          </w:p>
        </w:tc>
        <w:tc>
          <w:tcPr>
            <w:tcW w:w="4477" w:type="dxa"/>
            <w:gridSpan w:val="3"/>
            <w:vAlign w:val="center"/>
          </w:tcPr>
          <w:p>
            <w:pPr>
              <w:spacing w:line="360" w:lineRule="auto"/>
              <w:jc w:val="center"/>
              <w:rPr>
                <w:rFonts w:ascii="仿宋" w:hAnsi="仿宋" w:eastAsia="仿宋" w:cs="仿宋"/>
                <w:bCs/>
                <w:szCs w:val="21"/>
              </w:rPr>
            </w:pPr>
            <w:r>
              <w:rPr>
                <w:rFonts w:hint="eastAsia" w:ascii="仿宋" w:hAnsi="仿宋" w:eastAsia="仿宋" w:cs="仿宋"/>
                <w:bCs/>
                <w:szCs w:val="21"/>
              </w:rPr>
              <w:t>示范期末，城市配送车辆百吨公里周转量燃料消耗较示范建设期初降低的比例≥3%。</w:t>
            </w:r>
          </w:p>
        </w:tc>
        <w:tc>
          <w:tcPr>
            <w:tcW w:w="1273" w:type="dxa"/>
            <w:vAlign w:val="center"/>
          </w:tcPr>
          <w:p>
            <w:pPr>
              <w:spacing w:line="360" w:lineRule="auto"/>
              <w:jc w:val="center"/>
              <w:rPr>
                <w:rFonts w:ascii="仿宋" w:hAnsi="仿宋" w:eastAsia="仿宋" w:cs="仿宋"/>
                <w:bCs/>
                <w:szCs w:val="21"/>
              </w:rPr>
            </w:pPr>
            <w:r>
              <w:rPr>
                <w:rFonts w:hint="eastAsia" w:ascii="仿宋" w:hAnsi="仿宋" w:eastAsia="仿宋" w:cs="仿宋"/>
                <w:bCs/>
                <w:szCs w:val="21"/>
              </w:rPr>
              <w:t>市交通运输局</w:t>
            </w:r>
          </w:p>
        </w:tc>
        <w:tc>
          <w:tcPr>
            <w:tcW w:w="2188" w:type="dxa"/>
            <w:vAlign w:val="center"/>
          </w:tcPr>
          <w:p>
            <w:pPr>
              <w:spacing w:line="360" w:lineRule="auto"/>
              <w:jc w:val="center"/>
              <w:rPr>
                <w:rFonts w:ascii="仿宋" w:hAnsi="仿宋" w:eastAsia="仿宋" w:cs="仿宋"/>
                <w:bCs/>
                <w:szCs w:val="21"/>
              </w:rPr>
            </w:pPr>
            <w:r>
              <w:rPr>
                <w:rFonts w:hint="eastAsia" w:ascii="仿宋" w:hAnsi="仿宋" w:eastAsia="仿宋" w:cs="仿宋"/>
                <w:bCs/>
                <w:szCs w:val="21"/>
              </w:rPr>
              <w:t>市商务局、市邮政管理局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09" w:type="dxa"/>
            <w:vAlign w:val="center"/>
          </w:tcPr>
          <w:p>
            <w:pPr>
              <w:spacing w:line="360" w:lineRule="auto"/>
              <w:jc w:val="center"/>
              <w:rPr>
                <w:rFonts w:ascii="仿宋" w:hAnsi="仿宋" w:eastAsia="仿宋" w:cs="仿宋"/>
                <w:szCs w:val="21"/>
              </w:rPr>
            </w:pPr>
            <w:r>
              <w:rPr>
                <w:rFonts w:hint="eastAsia" w:ascii="仿宋" w:hAnsi="仿宋" w:eastAsia="仿宋" w:cs="仿宋"/>
                <w:szCs w:val="21"/>
              </w:rPr>
              <w:t>29</w:t>
            </w:r>
          </w:p>
        </w:tc>
        <w:tc>
          <w:tcPr>
            <w:tcW w:w="851" w:type="dxa"/>
            <w:vAlign w:val="center"/>
          </w:tcPr>
          <w:p>
            <w:pPr>
              <w:spacing w:line="360" w:lineRule="auto"/>
              <w:jc w:val="center"/>
              <w:rPr>
                <w:rFonts w:ascii="仿宋" w:hAnsi="仿宋" w:eastAsia="仿宋" w:cs="仿宋"/>
                <w:bCs/>
                <w:szCs w:val="21"/>
              </w:rPr>
            </w:pPr>
            <w:r>
              <w:rPr>
                <w:rFonts w:hint="eastAsia" w:ascii="仿宋" w:hAnsi="仿宋" w:eastAsia="仿宋" w:cs="仿宋"/>
                <w:szCs w:val="21"/>
              </w:rPr>
              <w:t>违规主体查处</w:t>
            </w:r>
          </w:p>
        </w:tc>
        <w:tc>
          <w:tcPr>
            <w:tcW w:w="2835" w:type="dxa"/>
            <w:gridSpan w:val="2"/>
            <w:vAlign w:val="center"/>
          </w:tcPr>
          <w:p>
            <w:pPr>
              <w:spacing w:line="360" w:lineRule="auto"/>
              <w:jc w:val="center"/>
              <w:rPr>
                <w:rFonts w:ascii="仿宋" w:hAnsi="仿宋" w:eastAsia="仿宋" w:cs="仿宋"/>
                <w:bCs/>
                <w:szCs w:val="21"/>
              </w:rPr>
            </w:pPr>
            <w:r>
              <w:rPr>
                <w:rFonts w:hint="eastAsia" w:ascii="仿宋" w:hAnsi="仿宋" w:eastAsia="仿宋" w:cs="仿宋"/>
                <w:bCs/>
                <w:szCs w:val="21"/>
              </w:rPr>
              <w:t>加大对非法违规改装、超载超限、黄标车、无证运输等城市配送车辆查处与整治</w:t>
            </w:r>
          </w:p>
        </w:tc>
        <w:tc>
          <w:tcPr>
            <w:tcW w:w="4477" w:type="dxa"/>
            <w:gridSpan w:val="3"/>
            <w:vAlign w:val="center"/>
          </w:tcPr>
          <w:p>
            <w:pPr>
              <w:overflowPunct w:val="0"/>
              <w:spacing w:line="360" w:lineRule="auto"/>
              <w:rPr>
                <w:rFonts w:ascii="Times New Roman" w:hAnsi="Times New Roman" w:eastAsia="仿宋_GB2312" w:cs="Arial"/>
                <w:sz w:val="32"/>
              </w:rPr>
            </w:pPr>
            <w:r>
              <w:rPr>
                <w:rFonts w:hint="eastAsia" w:ascii="仿宋" w:hAnsi="仿宋" w:eastAsia="仿宋" w:cs="仿宋"/>
                <w:bCs/>
                <w:szCs w:val="21"/>
              </w:rPr>
              <w:t>制定《南阳市城市配送市场整治方案》，着力规范城市配送市场秩序。加强城市绿色货运配送企业资质审核，建立配送市场准入、退出机制，强化市场监管和考核，建立企业诚信档案。</w:t>
            </w:r>
          </w:p>
          <w:p>
            <w:pPr>
              <w:spacing w:line="360" w:lineRule="auto"/>
              <w:jc w:val="center"/>
              <w:rPr>
                <w:rFonts w:ascii="仿宋" w:hAnsi="仿宋" w:eastAsia="仿宋" w:cs="仿宋"/>
                <w:bCs/>
                <w:szCs w:val="21"/>
              </w:rPr>
            </w:pPr>
          </w:p>
        </w:tc>
        <w:tc>
          <w:tcPr>
            <w:tcW w:w="1273" w:type="dxa"/>
            <w:vAlign w:val="center"/>
          </w:tcPr>
          <w:p>
            <w:pPr>
              <w:spacing w:line="360" w:lineRule="auto"/>
              <w:jc w:val="center"/>
              <w:rPr>
                <w:rFonts w:ascii="仿宋" w:hAnsi="仿宋" w:eastAsia="仿宋" w:cs="仿宋"/>
                <w:bCs/>
                <w:szCs w:val="21"/>
              </w:rPr>
            </w:pPr>
            <w:r>
              <w:rPr>
                <w:rFonts w:hint="eastAsia" w:ascii="仿宋" w:hAnsi="仿宋" w:eastAsia="仿宋" w:cs="仿宋"/>
                <w:bCs/>
                <w:szCs w:val="21"/>
              </w:rPr>
              <w:t>市交通运输局、市公安局</w:t>
            </w:r>
          </w:p>
        </w:tc>
        <w:tc>
          <w:tcPr>
            <w:tcW w:w="2188" w:type="dxa"/>
            <w:vAlign w:val="center"/>
          </w:tcPr>
          <w:p>
            <w:pPr>
              <w:spacing w:line="360" w:lineRule="auto"/>
              <w:jc w:val="center"/>
              <w:rPr>
                <w:rFonts w:ascii="仿宋" w:hAnsi="仿宋" w:eastAsia="仿宋" w:cs="仿宋"/>
                <w:bCs/>
                <w:szCs w:val="21"/>
              </w:rPr>
            </w:pPr>
            <w:r>
              <w:rPr>
                <w:rFonts w:hint="eastAsia" w:ascii="仿宋" w:hAnsi="仿宋" w:eastAsia="仿宋" w:cs="仿宋"/>
                <w:bCs/>
                <w:szCs w:val="21"/>
              </w:rPr>
              <w:t>市市场监督管理局、市商务局</w:t>
            </w:r>
          </w:p>
        </w:tc>
      </w:tr>
    </w:tbl>
    <w:p>
      <w:pPr>
        <w:overflowPunct w:val="0"/>
        <w:spacing w:line="560" w:lineRule="exact"/>
        <w:rPr>
          <w:rFonts w:ascii="Times New Roman" w:hAnsi="Times New Roman" w:eastAsia="仿宋_GB2312" w:cs="Arial"/>
          <w:sz w:val="32"/>
        </w:rPr>
      </w:pPr>
    </w:p>
    <w:p/>
    <w:sectPr>
      <w:pgSz w:w="16838" w:h="11906" w:orient="landscape"/>
      <w:pgMar w:top="1701" w:right="1701" w:bottom="1701" w:left="1701" w:header="851" w:footer="1134"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D249B8F3-DED6-4ADF-B2ED-379D7D07F5FC}"/>
  </w:font>
  <w:font w:name="黑体">
    <w:panose1 w:val="02010609060101010101"/>
    <w:charset w:val="86"/>
    <w:family w:val="auto"/>
    <w:pitch w:val="default"/>
    <w:sig w:usb0="800002BF" w:usb1="38CF7CFA" w:usb2="00000016" w:usb3="00000000" w:csb0="00040001" w:csb1="00000000"/>
    <w:embedRegular r:id="rId2" w:fontKey="{91B9D46E-0AD9-4684-B611-069BC644A76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B680DA3E-F8C4-4FF8-BDDF-5319F8E60499}"/>
  </w:font>
  <w:font w:name="方正小标宋_GBK">
    <w:panose1 w:val="02000000000000000000"/>
    <w:charset w:val="86"/>
    <w:family w:val="script"/>
    <w:pitch w:val="default"/>
    <w:sig w:usb0="A00002BF" w:usb1="38CF7CFA" w:usb2="00082016" w:usb3="00000000" w:csb0="00040001" w:csb1="00000000"/>
    <w:embedRegular r:id="rId4" w:fontKey="{54C5AC92-17B1-49A6-B467-E5F6917A25CA}"/>
  </w:font>
  <w:font w:name="仿宋_GB2312">
    <w:panose1 w:val="02010609030101010101"/>
    <w:charset w:val="86"/>
    <w:family w:val="modern"/>
    <w:pitch w:val="default"/>
    <w:sig w:usb0="00000001" w:usb1="080E0000" w:usb2="00000000" w:usb3="00000000" w:csb0="00040000" w:csb1="00000000"/>
    <w:embedRegular r:id="rId5" w:fontKey="{A7CF0747-C227-428F-B0BF-3AC5C343E329}"/>
  </w:font>
  <w:font w:name="楷体_GB2312">
    <w:panose1 w:val="02010609030101010101"/>
    <w:charset w:val="86"/>
    <w:family w:val="modern"/>
    <w:pitch w:val="default"/>
    <w:sig w:usb0="00000001" w:usb1="080E0000" w:usb2="00000000" w:usb3="00000000" w:csb0="00040000" w:csb1="00000000"/>
    <w:embedRegular r:id="rId6" w:fontKey="{1F27C47B-E288-4213-AF8C-565F9CD4954B}"/>
  </w:font>
  <w:font w:name="仿宋">
    <w:panose1 w:val="02010609060101010101"/>
    <w:charset w:val="86"/>
    <w:family w:val="auto"/>
    <w:pitch w:val="default"/>
    <w:sig w:usb0="800002BF" w:usb1="38CF7CFA" w:usb2="00000016" w:usb3="00000000" w:csb0="00040001" w:csb1="00000000"/>
    <w:embedRegular r:id="rId7" w:fontKey="{D4E4856A-36A6-4C14-BEA6-D7B1CA44803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18</w:t>
                          </w:r>
                          <w:r>
                            <w:rPr>
                              <w:rFonts w:ascii="Times New Roman" w:hAnsi="Times New Roman"/>
                              <w:sz w:val="28"/>
                              <w:szCs w:val="28"/>
                            </w:rPr>
                            <w:fldChar w:fldCharType="end"/>
                          </w:r>
                          <w:r>
                            <w:rPr>
                              <w:rFonts w:ascii="Times New Roman" w:hAnsi="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18</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zYjg0MDA5NTRlNmRkMGFiN2ZmNDFlMjIzYzY4OWEifQ=="/>
  </w:docVars>
  <w:rsids>
    <w:rsidRoot w:val="2D6E0C83"/>
    <w:rsid w:val="0822685D"/>
    <w:rsid w:val="09E478A7"/>
    <w:rsid w:val="2CDA3DC9"/>
    <w:rsid w:val="2D6E0C83"/>
    <w:rsid w:val="612A559F"/>
    <w:rsid w:val="78217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annotation reference"/>
    <w:basedOn w:val="5"/>
    <w:qFormat/>
    <w:uiPriority w:val="0"/>
    <w:rPr>
      <w:sz w:val="21"/>
      <w:szCs w:val="21"/>
    </w:rPr>
  </w:style>
  <w:style w:type="paragraph" w:customStyle="1" w:styleId="7">
    <w:name w:val="样式5"/>
    <w:basedOn w:val="1"/>
    <w:qFormat/>
    <w:uiPriority w:val="0"/>
    <w:pPr>
      <w:jc w:val="left"/>
    </w:pPr>
    <w:rPr>
      <w:rFonts w:hint="eastAsia" w:ascii="Calibri" w:hAnsi="Calibri" w:eastAsia="宋体" w:cs="Times New Roman"/>
      <w:sz w:val="32"/>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7277</Words>
  <Characters>7404</Characters>
  <Lines>0</Lines>
  <Paragraphs>0</Paragraphs>
  <TotalTime>1</TotalTime>
  <ScaleCrop>false</ScaleCrop>
  <LinksUpToDate>false</LinksUpToDate>
  <CharactersWithSpaces>7476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2023-05-26T07:14:00Z</dcterms:created>
  <dc:creator>Ariel</dc:creator>
  <cp:lastModifiedBy>A凉皮</cp:lastModifiedBy>
  <cp:lastPrinted>2023-05-26T07:30:00Z</cp:lastPrinted>
  <dcterms:modified xsi:type="dcterms:W3CDTF">2023-05-30T04:21:56Z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B216EDA4B39F415CA8E9861CD4BF8DC8</vt:lpwstr>
  </property>
</Properties>
</file>