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tabs>
          <w:tab w:val="right" w:leader="dot" w:pos="8845"/>
        </w:tabs>
        <w:topLinePunct w:val="1"/>
        <w:spacing w:line="600" w:lineRule="exact"/>
        <w:jc w:val="center"/>
        <w:rPr>
          <w:rFonts w:hint="eastAsia" w:ascii="方正小标宋简体" w:hAnsi="方正小标宋简体" w:eastAsia="方正小标宋简体" w:cs="方正小标宋简体"/>
          <w:color w:val="auto"/>
          <w:sz w:val="48"/>
          <w:szCs w:val="40"/>
          <w:highlight w:val="none"/>
        </w:rPr>
      </w:pPr>
      <w:bookmarkStart w:id="0" w:name="_Toc30682"/>
    </w:p>
    <w:p>
      <w:pPr>
        <w:pStyle w:val="8"/>
        <w:tabs>
          <w:tab w:val="right" w:leader="dot" w:pos="8845"/>
        </w:tabs>
        <w:topLinePunct w:val="1"/>
        <w:spacing w:line="600" w:lineRule="exact"/>
        <w:jc w:val="center"/>
        <w:rPr>
          <w:rFonts w:hint="eastAsia" w:ascii="方正小标宋简体" w:hAnsi="方正小标宋简体" w:eastAsia="方正小标宋简体" w:cs="方正小标宋简体"/>
          <w:color w:val="auto"/>
          <w:sz w:val="48"/>
          <w:szCs w:val="40"/>
          <w:highlight w:val="none"/>
        </w:rPr>
      </w:pPr>
    </w:p>
    <w:p>
      <w:pPr>
        <w:rPr>
          <w:rFonts w:hint="eastAsia" w:ascii="方正小标宋简体" w:hAnsi="方正小标宋简体" w:eastAsia="方正小标宋简体" w:cs="方正小标宋简体"/>
          <w:color w:val="auto"/>
          <w:sz w:val="48"/>
          <w:szCs w:val="40"/>
          <w:highlight w:val="none"/>
        </w:rPr>
      </w:pPr>
    </w:p>
    <w:p>
      <w:pPr>
        <w:pStyle w:val="8"/>
        <w:widowControl w:val="0"/>
        <w:tabs>
          <w:tab w:val="right" w:leader="dot" w:pos="8845"/>
        </w:tabs>
        <w:wordWrap/>
        <w:topLinePunct w:val="1"/>
        <w:adjustRightInd/>
        <w:snapToGrid/>
        <w:spacing w:before="0" w:after="0" w:line="70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冲锋号已经吹响。我们要万众一心加油干，越是艰险越向前，把短板补得再扎实一些，把基础打得再牢靠一些，坚决打赢脱贫攻坚战，如期实现现行标准下农村贫困人口全部脱贫、贫困县全部摘帽。</w:t>
      </w:r>
    </w:p>
    <w:p>
      <w:pPr>
        <w:pStyle w:val="8"/>
        <w:widowControl w:val="0"/>
        <w:tabs>
          <w:tab w:val="right" w:leader="dot" w:pos="8845"/>
        </w:tabs>
        <w:wordWrap/>
        <w:topLinePunct w:val="1"/>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0"/>
          <w:szCs w:val="40"/>
          <w:highlight w:val="none"/>
        </w:rPr>
      </w:pPr>
    </w:p>
    <w:p>
      <w:pPr>
        <w:rPr>
          <w:rFonts w:hint="eastAsia"/>
          <w:color w:val="auto"/>
          <w:sz w:val="40"/>
          <w:szCs w:val="40"/>
          <w:highlight w:val="none"/>
        </w:rPr>
      </w:pPr>
    </w:p>
    <w:p>
      <w:pPr>
        <w:pStyle w:val="8"/>
        <w:widowControl w:val="0"/>
        <w:tabs>
          <w:tab w:val="right" w:leader="dot" w:pos="8845"/>
        </w:tabs>
        <w:wordWrap/>
        <w:topLinePunct w:val="1"/>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8"/>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eastAsia" w:ascii="方正小标宋简体" w:hAnsi="方正小标宋简体" w:eastAsia="方正小标宋简体" w:cs="方正小标宋简体"/>
          <w:color w:val="auto"/>
          <w:sz w:val="40"/>
          <w:szCs w:val="40"/>
          <w:highlight w:val="none"/>
        </w:rPr>
        <w:t>——习近平</w:t>
      </w:r>
    </w:p>
    <w:p>
      <w:pPr>
        <w:rPr>
          <w:rFonts w:hint="eastAsia" w:ascii="方正小标宋简体" w:hAnsi="方正小标宋简体" w:eastAsia="方正小标宋简体" w:cs="方正小标宋简体"/>
          <w:color w:val="auto"/>
          <w:sz w:val="48"/>
          <w:szCs w:val="40"/>
          <w:highlight w:val="none"/>
        </w:rPr>
      </w:pPr>
    </w:p>
    <w:p>
      <w:pPr>
        <w:rPr>
          <w:color w:val="auto"/>
          <w:highlight w:val="none"/>
        </w:rPr>
      </w:pPr>
    </w:p>
    <w:p>
      <w:pPr>
        <w:sectPr>
          <w:footerReference r:id="rId4" w:type="default"/>
          <w:pgSz w:w="8334" w:h="11849"/>
          <w:pgMar w:top="1134" w:right="1134" w:bottom="1134" w:left="1134" w:header="851" w:footer="992" w:gutter="0"/>
          <w:pgNumType w:fmt="numberInDash"/>
          <w:cols w:space="720" w:num="1"/>
          <w:rtlGutter w:val="0"/>
          <w:docGrid w:type="lines" w:linePitch="322"/>
        </w:sectPr>
      </w:pPr>
    </w:p>
    <w:p>
      <w:pPr>
        <w:rPr>
          <w:rFonts w:hint="eastAsia" w:ascii="方正小标宋简体" w:hAnsi="方正小标宋简体" w:eastAsia="方正小标宋简体" w:cs="方正小标宋简体"/>
          <w:color w:val="auto"/>
          <w:sz w:val="48"/>
          <w:szCs w:val="40"/>
          <w:highlight w:val="none"/>
        </w:rPr>
      </w:pPr>
    </w:p>
    <w:p>
      <w:pPr>
        <w:pStyle w:val="8"/>
        <w:widowControl w:val="0"/>
        <w:tabs>
          <w:tab w:val="right" w:leader="dot" w:pos="8845"/>
        </w:tabs>
        <w:wordWrap/>
        <w:topLinePunct w:val="1"/>
        <w:adjustRightInd/>
        <w:snapToGrid/>
        <w:spacing w:before="0" w:after="0" w:line="700" w:lineRule="exact"/>
        <w:ind w:left="0" w:leftChars="0" w:right="0" w:firstLine="960" w:firstLineChars="200"/>
        <w:jc w:val="both"/>
        <w:textAlignment w:val="auto"/>
        <w:outlineLvl w:val="9"/>
        <w:rPr>
          <w:rFonts w:hint="eastAsia" w:ascii="方正小标宋简体" w:hAnsi="方正小标宋简体" w:eastAsia="方正小标宋简体" w:cs="方正小标宋简体"/>
          <w:color w:val="auto"/>
          <w:sz w:val="48"/>
          <w:szCs w:val="40"/>
          <w:highlight w:val="none"/>
        </w:rPr>
      </w:pPr>
    </w:p>
    <w:p>
      <w:pPr>
        <w:pStyle w:val="8"/>
        <w:widowControl w:val="0"/>
        <w:tabs>
          <w:tab w:val="right" w:leader="dot" w:pos="8845"/>
        </w:tabs>
        <w:wordWrap/>
        <w:topLinePunct w:val="1"/>
        <w:adjustRightInd/>
        <w:snapToGrid/>
        <w:spacing w:before="0" w:after="0" w:line="700" w:lineRule="exact"/>
        <w:ind w:left="0" w:leftChars="0" w:right="0" w:firstLine="720" w:firstLineChars="200"/>
        <w:jc w:val="both"/>
        <w:textAlignment w:val="auto"/>
        <w:outlineLvl w:val="9"/>
        <w:rPr>
          <w:rFonts w:hint="eastAsia" w:ascii="方正小标宋简体" w:hAnsi="方正小标宋简体" w:eastAsia="方正小标宋简体" w:cs="方正小标宋简体"/>
          <w:color w:val="auto"/>
          <w:sz w:val="36"/>
          <w:szCs w:val="36"/>
          <w:highlight w:val="none"/>
        </w:rPr>
      </w:pPr>
    </w:p>
    <w:p>
      <w:pPr>
        <w:pStyle w:val="8"/>
        <w:widowControl w:val="0"/>
        <w:tabs>
          <w:tab w:val="right" w:leader="dot" w:pos="8845"/>
        </w:tabs>
        <w:wordWrap/>
        <w:topLinePunct w:val="1"/>
        <w:adjustRightInd/>
        <w:snapToGrid/>
        <w:spacing w:before="0" w:after="0" w:line="700" w:lineRule="exact"/>
        <w:ind w:left="0" w:leftChars="0" w:right="0" w:firstLine="720" w:firstLineChars="200"/>
        <w:jc w:val="both"/>
        <w:textAlignment w:val="auto"/>
        <w:outlineLvl w:val="9"/>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让扶过贫的人像战争年代打过仗的人那样感到自豪。</w:t>
      </w:r>
    </w:p>
    <w:p>
      <w:pPr>
        <w:pStyle w:val="8"/>
        <w:widowControl w:val="0"/>
        <w:tabs>
          <w:tab w:val="right" w:leader="dot" w:pos="8845"/>
        </w:tabs>
        <w:wordWrap/>
        <w:topLinePunct w:val="1"/>
        <w:adjustRightInd/>
        <w:snapToGrid/>
        <w:spacing w:before="0" w:after="0" w:line="700" w:lineRule="exact"/>
        <w:ind w:left="0" w:leftChars="0" w:right="0" w:firstLine="720" w:firstLineChars="200"/>
        <w:jc w:val="both"/>
        <w:textAlignment w:val="auto"/>
        <w:outlineLvl w:val="9"/>
        <w:rPr>
          <w:rFonts w:hint="eastAsia" w:ascii="方正小标宋简体" w:hAnsi="方正小标宋简体" w:eastAsia="方正小标宋简体" w:cs="方正小标宋简体"/>
          <w:color w:val="auto"/>
          <w:sz w:val="36"/>
          <w:szCs w:val="36"/>
          <w:highlight w:val="none"/>
          <w:lang w:eastAsia="zh-CN"/>
        </w:rPr>
      </w:pPr>
    </w:p>
    <w:p>
      <w:pPr>
        <w:pStyle w:val="8"/>
        <w:widowControl w:val="0"/>
        <w:tabs>
          <w:tab w:val="right" w:leader="dot" w:pos="8845"/>
        </w:tabs>
        <w:wordWrap/>
        <w:topLinePunct w:val="1"/>
        <w:adjustRightInd/>
        <w:snapToGrid/>
        <w:spacing w:before="0" w:after="0" w:line="700" w:lineRule="exact"/>
        <w:ind w:left="0" w:leftChars="0" w:right="0" w:firstLine="800" w:firstLineChars="200"/>
        <w:jc w:val="both"/>
        <w:textAlignment w:val="auto"/>
        <w:outlineLvl w:val="9"/>
        <w:rPr>
          <w:rFonts w:hint="eastAsia" w:ascii="方正小标宋简体" w:hAnsi="方正小标宋简体" w:eastAsia="方正小标宋简体" w:cs="方正小标宋简体"/>
          <w:color w:val="auto"/>
          <w:sz w:val="40"/>
          <w:szCs w:val="40"/>
          <w:highlight w:val="none"/>
          <w:lang w:eastAsia="zh-CN"/>
        </w:rPr>
      </w:pPr>
    </w:p>
    <w:p>
      <w:pPr>
        <w:pStyle w:val="8"/>
        <w:widowControl w:val="0"/>
        <w:tabs>
          <w:tab w:val="right" w:leader="dot" w:pos="8845"/>
        </w:tabs>
        <w:wordWrap/>
        <w:topLinePunct w:val="1"/>
        <w:adjustRightInd/>
        <w:snapToGrid/>
        <w:spacing w:before="0" w:after="0" w:line="700" w:lineRule="exact"/>
        <w:ind w:left="0" w:leftChars="0" w:right="0" w:firstLine="800" w:firstLineChars="200"/>
        <w:jc w:val="both"/>
        <w:textAlignment w:val="auto"/>
        <w:outlineLvl w:val="9"/>
        <w:rPr>
          <w:rFonts w:hint="eastAsia" w:ascii="方正小标宋简体" w:hAnsi="方正小标宋简体" w:eastAsia="方正小标宋简体" w:cs="方正小标宋简体"/>
          <w:color w:val="auto"/>
          <w:sz w:val="40"/>
          <w:szCs w:val="40"/>
          <w:highlight w:val="none"/>
          <w:lang w:eastAsia="zh-CN"/>
        </w:rPr>
      </w:pP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eastAsia" w:ascii="方正小标宋简体" w:hAnsi="方正小标宋简体" w:eastAsia="方正小标宋简体" w:cs="方正小标宋简体"/>
          <w:color w:val="auto"/>
          <w:sz w:val="40"/>
          <w:szCs w:val="40"/>
          <w:highlight w:val="none"/>
        </w:rPr>
        <w:t>——</w:t>
      </w:r>
      <w:r>
        <w:rPr>
          <w:rFonts w:hint="eastAsia" w:ascii="方正小标宋简体" w:hAnsi="方正小标宋简体" w:eastAsia="方正小标宋简体" w:cs="方正小标宋简体"/>
          <w:color w:val="auto"/>
          <w:sz w:val="40"/>
          <w:szCs w:val="40"/>
          <w:highlight w:val="none"/>
          <w:lang w:eastAsia="zh-CN"/>
        </w:rPr>
        <w:t>汪</w:t>
      </w: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eastAsia" w:ascii="方正小标宋简体" w:hAnsi="方正小标宋简体" w:eastAsia="方正小标宋简体" w:cs="方正小标宋简体"/>
          <w:color w:val="auto"/>
          <w:sz w:val="40"/>
          <w:szCs w:val="40"/>
          <w:highlight w:val="none"/>
          <w:lang w:eastAsia="zh-CN"/>
        </w:rPr>
        <w:t>洋</w:t>
      </w:r>
    </w:p>
    <w:p>
      <w:pPr>
        <w:rPr>
          <w:rFonts w:hint="eastAsia" w:ascii="方正小标宋简体" w:hAnsi="方正小标宋简体" w:eastAsia="方正小标宋简体" w:cs="方正小标宋简体"/>
          <w:color w:val="auto"/>
          <w:sz w:val="48"/>
          <w:szCs w:val="40"/>
          <w:highlight w:val="none"/>
        </w:rPr>
      </w:pPr>
      <w:r>
        <w:rPr>
          <w:rFonts w:hint="eastAsia" w:ascii="方正小标宋简体" w:hAnsi="方正小标宋简体" w:eastAsia="方正小标宋简体" w:cs="方正小标宋简体"/>
          <w:color w:val="auto"/>
          <w:sz w:val="40"/>
          <w:szCs w:val="40"/>
          <w:highlight w:val="none"/>
          <w:lang w:eastAsia="zh-CN"/>
        </w:rPr>
        <w:br w:type="page"/>
      </w:r>
      <w:r>
        <w:rPr>
          <w:rFonts w:hint="eastAsia" w:ascii="方正小标宋简体" w:hAnsi="方正小标宋简体" w:eastAsia="方正小标宋简体" w:cs="方正小标宋简体"/>
          <w:color w:val="auto"/>
          <w:sz w:val="40"/>
          <w:szCs w:val="40"/>
          <w:highlight w:val="none"/>
          <w:lang w:eastAsia="zh-CN"/>
        </w:rPr>
        <w:br w:type="page"/>
      </w:r>
    </w:p>
    <w:p>
      <w:pPr>
        <w:pStyle w:val="8"/>
        <w:widowControl w:val="0"/>
        <w:tabs>
          <w:tab w:val="right" w:leader="dot" w:pos="8845"/>
        </w:tabs>
        <w:wordWrap/>
        <w:topLinePunct w:val="1"/>
        <w:adjustRightInd/>
        <w:snapToGrid/>
        <w:spacing w:before="0" w:after="0" w:line="700" w:lineRule="exact"/>
        <w:ind w:left="0" w:leftChars="0" w:right="0" w:firstLine="960" w:firstLineChars="200"/>
        <w:jc w:val="both"/>
        <w:textAlignment w:val="auto"/>
        <w:outlineLvl w:val="9"/>
        <w:rPr>
          <w:rFonts w:hint="eastAsia" w:ascii="方正小标宋简体" w:hAnsi="方正小标宋简体" w:eastAsia="方正小标宋简体" w:cs="方正小标宋简体"/>
          <w:color w:val="auto"/>
          <w:sz w:val="48"/>
          <w:szCs w:val="40"/>
          <w:highlight w:val="none"/>
        </w:rPr>
      </w:pPr>
    </w:p>
    <w:p>
      <w:pPr>
        <w:pStyle w:val="8"/>
        <w:widowControl w:val="0"/>
        <w:tabs>
          <w:tab w:val="right" w:leader="dot" w:pos="8845"/>
        </w:tabs>
        <w:wordWrap/>
        <w:topLinePunct w:val="1"/>
        <w:adjustRightInd/>
        <w:snapToGrid/>
        <w:spacing w:before="0" w:after="0" w:line="700" w:lineRule="exact"/>
        <w:ind w:left="0" w:leftChars="0" w:right="0" w:firstLine="720" w:firstLineChars="200"/>
        <w:jc w:val="both"/>
        <w:textAlignment w:val="auto"/>
        <w:outlineLvl w:val="9"/>
        <w:rPr>
          <w:rFonts w:hint="eastAsia" w:ascii="方正小标宋简体" w:hAnsi="方正小标宋简体" w:eastAsia="方正小标宋简体" w:cs="方正小标宋简体"/>
          <w:color w:val="auto"/>
          <w:sz w:val="36"/>
          <w:szCs w:val="36"/>
          <w:highlight w:val="none"/>
        </w:rPr>
      </w:pPr>
    </w:p>
    <w:p>
      <w:pPr>
        <w:pStyle w:val="8"/>
        <w:widowControl w:val="0"/>
        <w:tabs>
          <w:tab w:val="right" w:leader="dot" w:pos="8845"/>
        </w:tabs>
        <w:wordWrap/>
        <w:topLinePunct w:val="1"/>
        <w:adjustRightInd/>
        <w:snapToGrid/>
        <w:spacing w:before="0" w:after="0" w:line="700" w:lineRule="exact"/>
        <w:ind w:left="0" w:leftChars="0" w:right="0" w:firstLine="720" w:firstLineChars="200"/>
        <w:jc w:val="both"/>
        <w:textAlignment w:val="auto"/>
        <w:outlineLvl w:val="9"/>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坚持有解思维，做好良心工程，凝心聚力务实重干，用我们的辛苦指数换取贫困群众的幸福指数。</w:t>
      </w:r>
    </w:p>
    <w:p>
      <w:pPr>
        <w:pStyle w:val="8"/>
        <w:widowControl w:val="0"/>
        <w:tabs>
          <w:tab w:val="right" w:leader="dot" w:pos="8845"/>
        </w:tabs>
        <w:wordWrap/>
        <w:topLinePunct w:val="1"/>
        <w:adjustRightInd/>
        <w:snapToGrid/>
        <w:spacing w:before="0" w:after="0" w:line="700" w:lineRule="exact"/>
        <w:ind w:left="0" w:leftChars="0" w:right="0" w:firstLine="800" w:firstLineChars="200"/>
        <w:jc w:val="both"/>
        <w:textAlignment w:val="auto"/>
        <w:outlineLvl w:val="9"/>
        <w:rPr>
          <w:rFonts w:hint="eastAsia" w:ascii="方正小标宋简体" w:hAnsi="方正小标宋简体" w:eastAsia="方正小标宋简体" w:cs="方正小标宋简体"/>
          <w:color w:val="auto"/>
          <w:sz w:val="40"/>
          <w:szCs w:val="40"/>
          <w:highlight w:val="none"/>
          <w:lang w:eastAsia="zh-CN"/>
        </w:rPr>
      </w:pPr>
    </w:p>
    <w:p>
      <w:pPr>
        <w:pStyle w:val="8"/>
        <w:widowControl w:val="0"/>
        <w:tabs>
          <w:tab w:val="right" w:leader="dot" w:pos="8845"/>
        </w:tabs>
        <w:wordWrap/>
        <w:topLinePunct w:val="1"/>
        <w:adjustRightInd/>
        <w:snapToGrid/>
        <w:spacing w:before="0" w:after="0" w:line="700" w:lineRule="exact"/>
        <w:ind w:left="0" w:leftChars="0" w:right="0" w:firstLine="800" w:firstLineChars="200"/>
        <w:jc w:val="both"/>
        <w:textAlignment w:val="auto"/>
        <w:outlineLvl w:val="9"/>
        <w:rPr>
          <w:rFonts w:hint="eastAsia" w:ascii="方正小标宋简体" w:hAnsi="方正小标宋简体" w:eastAsia="方正小标宋简体" w:cs="方正小标宋简体"/>
          <w:color w:val="auto"/>
          <w:sz w:val="40"/>
          <w:szCs w:val="40"/>
          <w:highlight w:val="none"/>
          <w:lang w:eastAsia="zh-CN"/>
        </w:rPr>
      </w:pPr>
    </w:p>
    <w:p>
      <w:pPr>
        <w:pStyle w:val="8"/>
        <w:widowControl w:val="0"/>
        <w:tabs>
          <w:tab w:val="right" w:leader="dot" w:pos="8845"/>
        </w:tabs>
        <w:wordWrap/>
        <w:topLinePunct w:val="1"/>
        <w:adjustRightInd/>
        <w:snapToGrid/>
        <w:spacing w:before="0" w:after="0" w:line="700" w:lineRule="exact"/>
        <w:ind w:left="0" w:leftChars="0" w:right="0" w:firstLine="800" w:firstLineChars="200"/>
        <w:jc w:val="both"/>
        <w:textAlignment w:val="auto"/>
        <w:outlineLvl w:val="9"/>
        <w:rPr>
          <w:rFonts w:hint="eastAsia" w:ascii="方正小标宋简体" w:hAnsi="方正小标宋简体" w:eastAsia="方正小标宋简体" w:cs="方正小标宋简体"/>
          <w:color w:val="auto"/>
          <w:sz w:val="40"/>
          <w:szCs w:val="40"/>
          <w:highlight w:val="none"/>
          <w:lang w:eastAsia="zh-CN"/>
        </w:rPr>
      </w:pP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eastAsia" w:ascii="方正小标宋简体" w:hAnsi="方正小标宋简体" w:eastAsia="方正小标宋简体" w:cs="方正小标宋简体"/>
          <w:color w:val="auto"/>
          <w:sz w:val="40"/>
          <w:szCs w:val="40"/>
          <w:highlight w:val="none"/>
          <w:lang w:eastAsia="zh-CN"/>
        </w:rPr>
        <w:t>——张文深</w:t>
      </w:r>
    </w:p>
    <w:p>
      <w:pPr>
        <w:pStyle w:val="8"/>
        <w:widowControl w:val="0"/>
        <w:tabs>
          <w:tab w:val="right" w:leader="dot" w:pos="8845"/>
        </w:tabs>
        <w:wordWrap/>
        <w:topLinePunct w:val="1"/>
        <w:adjustRightInd/>
        <w:snapToGrid/>
        <w:spacing w:before="0" w:after="0" w:line="700" w:lineRule="exact"/>
        <w:ind w:left="0" w:leftChars="0" w:right="0" w:firstLine="0" w:firstLineChars="0"/>
        <w:jc w:val="both"/>
        <w:textAlignment w:val="auto"/>
        <w:outlineLvl w:val="9"/>
        <w:sectPr>
          <w:footerReference r:id="rId5" w:type="default"/>
          <w:pgSz w:w="8334" w:h="11849"/>
          <w:pgMar w:top="1134" w:right="1134" w:bottom="1134" w:left="1134" w:header="851" w:footer="992" w:gutter="0"/>
          <w:pgNumType w:fmt="numberInDash"/>
          <w:cols w:space="720" w:num="1"/>
          <w:docGrid w:type="lines" w:linePitch="322"/>
        </w:sectPr>
      </w:pPr>
      <w:r>
        <w:rPr>
          <w:rFonts w:hint="eastAsia" w:ascii="方正小标宋简体" w:hAnsi="方正小标宋简体" w:eastAsia="方正小标宋简体" w:cs="方正小标宋简体"/>
          <w:color w:val="auto"/>
          <w:sz w:val="48"/>
          <w:szCs w:val="40"/>
          <w:highlight w:val="none"/>
        </w:rPr>
        <w:br w:type="page"/>
      </w:r>
    </w:p>
    <w:p>
      <w:pPr>
        <w:pStyle w:val="8"/>
        <w:widowControl w:val="0"/>
        <w:tabs>
          <w:tab w:val="right" w:leader="dot" w:pos="8845"/>
        </w:tabs>
        <w:wordWrap/>
        <w:topLinePunct w:val="1"/>
        <w:adjustRightInd/>
        <w:snapToGrid/>
        <w:spacing w:before="0" w:after="0" w:line="560" w:lineRule="exact"/>
        <w:ind w:left="0" w:leftChars="0" w:right="0" w:firstLine="0" w:firstLineChars="0"/>
        <w:jc w:val="center"/>
        <w:textAlignment w:val="auto"/>
        <w:outlineLvl w:val="9"/>
        <w:rPr>
          <w:rFonts w:ascii="方正小标宋简体" w:hAnsi="方正小标宋简体" w:eastAsia="方正小标宋简体" w:cs="方正小标宋简体"/>
          <w:color w:val="auto"/>
          <w:sz w:val="40"/>
          <w:szCs w:val="40"/>
          <w:highlight w:val="none"/>
        </w:rPr>
      </w:pPr>
      <w:r>
        <w:rPr>
          <w:rFonts w:hint="eastAsia" w:ascii="方正小标宋_GBK" w:hAnsi="方正小标宋_GBK" w:eastAsia="方正小标宋_GBK" w:cs="方正小标宋_GBK"/>
          <w:color w:val="auto"/>
          <w:sz w:val="40"/>
          <w:szCs w:val="40"/>
          <w:highlight w:val="none"/>
        </w:rPr>
        <w:t>目   录</w:t>
      </w:r>
    </w:p>
    <w:p>
      <w:pPr>
        <w:pStyle w:val="8"/>
        <w:widowControl w:val="0"/>
        <w:tabs>
          <w:tab w:val="right" w:leader="dot" w:pos="8845"/>
        </w:tabs>
        <w:wordWrap/>
        <w:topLinePunct w:val="1"/>
        <w:adjustRightInd/>
        <w:snapToGrid/>
        <w:spacing w:before="0" w:after="0" w:line="400" w:lineRule="exact"/>
        <w:ind w:left="0" w:leftChars="0" w:right="0" w:firstLine="480" w:firstLineChars="200"/>
        <w:jc w:val="center"/>
        <w:textAlignment w:val="auto"/>
        <w:outlineLvl w:val="9"/>
        <w:rPr>
          <w:rFonts w:hint="eastAsia" w:ascii="楷体_GB2312" w:hAnsi="楷体_GB2312" w:eastAsia="楷体_GB2312" w:cs="楷体_GB2312"/>
          <w:color w:val="auto"/>
          <w:sz w:val="24"/>
          <w:szCs w:val="24"/>
          <w:highlight w:val="none"/>
        </w:rPr>
      </w:pPr>
    </w:p>
    <w:p>
      <w:pPr>
        <w:pStyle w:val="8"/>
        <w:widowControl w:val="0"/>
        <w:tabs>
          <w:tab w:val="right" w:leader="dot" w:pos="6066"/>
        </w:tabs>
        <w:wordWrap/>
        <w:adjustRightInd/>
        <w:snapToGrid/>
        <w:spacing w:before="0" w:after="0" w:line="400" w:lineRule="exact"/>
        <w:ind w:left="0" w:leftChars="0" w:right="0" w:firstLine="480" w:firstLineChars="200"/>
        <w:textAlignment w:val="auto"/>
        <w:rPr>
          <w:rFonts w:hint="eastAsia" w:ascii="楷体_GB2312" w:hAnsi="楷体_GB2312" w:eastAsia="楷体_GB2312" w:cs="楷体_GB2312"/>
          <w:color w:val="auto"/>
          <w:kern w:val="2"/>
          <w:sz w:val="24"/>
          <w:szCs w:val="24"/>
          <w:highlight w:val="none"/>
          <w:lang w:val="en-US" w:eastAsia="zh-CN" w:bidi="ar-SA"/>
        </w:rPr>
      </w:pPr>
      <w:bookmarkStart w:id="71" w:name="_GoBack"/>
      <w:r>
        <w:rPr>
          <w:rFonts w:hint="eastAsia" w:ascii="楷体_GB2312" w:hAnsi="楷体_GB2312" w:eastAsia="楷体_GB2312" w:cs="楷体_GB2312"/>
          <w:b w:val="0"/>
          <w:bCs w:val="0"/>
          <w:color w:val="auto"/>
          <w:sz w:val="24"/>
          <w:szCs w:val="24"/>
          <w:highlight w:val="none"/>
        </w:rPr>
        <w:fldChar w:fldCharType="begin"/>
      </w:r>
      <w:r>
        <w:rPr>
          <w:rFonts w:hint="eastAsia" w:ascii="楷体_GB2312" w:hAnsi="楷体_GB2312" w:eastAsia="楷体_GB2312" w:cs="楷体_GB2312"/>
          <w:b w:val="0"/>
          <w:bCs w:val="0"/>
          <w:color w:val="auto"/>
          <w:sz w:val="24"/>
          <w:szCs w:val="24"/>
          <w:highlight w:val="none"/>
        </w:rPr>
        <w:instrText xml:space="preserve">TOC \o "1-2" \h  \u </w:instrText>
      </w:r>
      <w:r>
        <w:rPr>
          <w:rFonts w:hint="eastAsia" w:ascii="楷体_GB2312" w:hAnsi="楷体_GB2312" w:eastAsia="楷体_GB2312" w:cs="楷体_GB2312"/>
          <w:b w:val="0"/>
          <w:bCs w:val="0"/>
          <w:color w:val="auto"/>
          <w:sz w:val="24"/>
          <w:szCs w:val="24"/>
          <w:highlight w:val="none"/>
        </w:rPr>
        <w:fldChar w:fldCharType="separate"/>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begin"/>
      </w:r>
      <w:r>
        <w:rPr>
          <w:rFonts w:hint="eastAsia" w:ascii="方正小标宋简体" w:hAnsi="方正小标宋简体" w:eastAsia="方正小标宋简体" w:cs="方正小标宋简体"/>
          <w:bCs w:val="0"/>
          <w:color w:val="auto"/>
          <w:kern w:val="2"/>
          <w:sz w:val="24"/>
          <w:szCs w:val="24"/>
          <w:highlight w:val="none"/>
          <w:lang w:val="en-US" w:eastAsia="zh-CN" w:bidi="ar-SA"/>
        </w:rPr>
        <w:instrText xml:space="preserve"> HYPERLINK \l _Toc14736 </w:instrText>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separate"/>
      </w:r>
      <w:r>
        <w:rPr>
          <w:rFonts w:hint="eastAsia" w:ascii="方正小标宋简体" w:hAnsi="方正小标宋简体" w:eastAsia="方正小标宋简体" w:cs="方正小标宋简体"/>
          <w:color w:val="auto"/>
          <w:spacing w:val="0"/>
          <w:kern w:val="2"/>
          <w:sz w:val="24"/>
          <w:szCs w:val="24"/>
          <w:highlight w:val="none"/>
          <w:lang w:val="en-US" w:eastAsia="zh-CN" w:bidi="ar-SA"/>
        </w:rPr>
        <w:t>第一部分：习近平总书记扶贫开发战略思想</w:t>
      </w:r>
      <w:r>
        <w:rPr>
          <w:rFonts w:hint="eastAsia" w:ascii="方正小标宋简体" w:hAnsi="方正小标宋简体" w:eastAsia="方正小标宋简体" w:cs="方正小标宋简体"/>
          <w:color w:val="auto"/>
          <w:kern w:val="2"/>
          <w:sz w:val="24"/>
          <w:szCs w:val="24"/>
          <w:highlight w:val="none"/>
          <w:lang w:val="en-US" w:eastAsia="zh-CN" w:bidi="ar-SA"/>
        </w:rPr>
        <w:tab/>
      </w:r>
      <w:r>
        <w:rPr>
          <w:rFonts w:hint="eastAsia" w:ascii="方正小标宋简体" w:hAnsi="方正小标宋简体" w:eastAsia="方正小标宋简体" w:cs="方正小标宋简体"/>
          <w:color w:val="auto"/>
          <w:kern w:val="2"/>
          <w:sz w:val="24"/>
          <w:szCs w:val="24"/>
          <w:highlight w:val="none"/>
          <w:lang w:val="en-US" w:eastAsia="zh-CN" w:bidi="ar-SA"/>
        </w:rPr>
        <w:fldChar w:fldCharType="begin"/>
      </w:r>
      <w:r>
        <w:rPr>
          <w:rFonts w:hint="eastAsia" w:ascii="方正小标宋简体" w:hAnsi="方正小标宋简体" w:eastAsia="方正小标宋简体" w:cs="方正小标宋简体"/>
          <w:color w:val="auto"/>
          <w:kern w:val="2"/>
          <w:sz w:val="24"/>
          <w:szCs w:val="24"/>
          <w:highlight w:val="none"/>
          <w:lang w:val="en-US" w:eastAsia="zh-CN" w:bidi="ar-SA"/>
        </w:rPr>
        <w:instrText xml:space="preserve"> PAGEREF _Toc14736 </w:instrText>
      </w:r>
      <w:r>
        <w:rPr>
          <w:rFonts w:hint="eastAsia" w:ascii="方正小标宋简体" w:hAnsi="方正小标宋简体" w:eastAsia="方正小标宋简体" w:cs="方正小标宋简体"/>
          <w:color w:val="auto"/>
          <w:kern w:val="2"/>
          <w:sz w:val="24"/>
          <w:szCs w:val="24"/>
          <w:highlight w:val="none"/>
          <w:lang w:val="en-US" w:eastAsia="zh-CN" w:bidi="ar-SA"/>
        </w:rPr>
        <w:fldChar w:fldCharType="separate"/>
      </w:r>
      <w:r>
        <w:rPr>
          <w:rFonts w:hint="eastAsia" w:ascii="方正小标宋简体" w:hAnsi="方正小标宋简体" w:eastAsia="方正小标宋简体" w:cs="方正小标宋简体"/>
          <w:color w:val="auto"/>
          <w:kern w:val="2"/>
          <w:sz w:val="24"/>
          <w:szCs w:val="24"/>
          <w:highlight w:val="none"/>
          <w:lang w:val="en-US" w:eastAsia="zh-CN" w:bidi="ar-SA"/>
        </w:rPr>
        <w:t>- 1 -</w:t>
      </w:r>
      <w:r>
        <w:rPr>
          <w:rFonts w:hint="eastAsia" w:ascii="方正小标宋简体" w:hAnsi="方正小标宋简体" w:eastAsia="方正小标宋简体" w:cs="方正小标宋简体"/>
          <w:color w:val="auto"/>
          <w:kern w:val="2"/>
          <w:sz w:val="24"/>
          <w:szCs w:val="24"/>
          <w:highlight w:val="none"/>
          <w:lang w:val="en-US" w:eastAsia="zh-CN" w:bidi="ar-SA"/>
        </w:rPr>
        <w:fldChar w:fldCharType="end"/>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_Toc8818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1、习近平总书记扶贫开发战略思想中，一个目标、两个确保、三个格外、四个切实、五个一批、六个精准、七个强化、八条要求分别是什么？</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_Toc8818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_Toc8268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2、习近平总书记在中央扶贫开发工作会议上就打赢脱贫攻坚战对各级党委政府是如何要求的？</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_Toc8268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_Toc3953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3、习近平总书记在打好精准脱贫攻坚战座谈会上是如何要求？</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_Toc3953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_Toc4438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4、习近平总书记在中央扶贫开发工作会议上就打赢脱贫攻坚战对各部门各行业是如何要求的？</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_Toc4438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_Toc16729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5、实施精准扶贫、精准脱贫战略，不断提高脱贫攻坚成效要解决好哪四个问题？</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_Toc16729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_Toc25901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6、贫困户脱贫的主要指标指的是什么？</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_Toc25901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_Toc8005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7、习近平总书记2020年3月6日在决战决胜脱贫攻坚座谈会是如何要求的？</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_Toc8005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方正小标宋简体" w:hAnsi="方正小标宋简体" w:eastAsia="方正小标宋简体" w:cs="方正小标宋简体"/>
          <w:bCs w:val="0"/>
          <w:color w:val="auto"/>
          <w:kern w:val="2"/>
          <w:sz w:val="24"/>
          <w:szCs w:val="24"/>
          <w:highlight w:val="none"/>
          <w:lang w:val="en-US" w:eastAsia="zh-CN" w:bidi="ar-SA"/>
        </w:rPr>
      </w:pP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begin"/>
      </w:r>
      <w:r>
        <w:rPr>
          <w:rFonts w:hint="eastAsia" w:ascii="方正小标宋简体" w:hAnsi="方正小标宋简体" w:eastAsia="方正小标宋简体" w:cs="方正小标宋简体"/>
          <w:bCs w:val="0"/>
          <w:color w:val="auto"/>
          <w:kern w:val="2"/>
          <w:sz w:val="24"/>
          <w:szCs w:val="24"/>
          <w:highlight w:val="none"/>
          <w:lang w:val="en-US" w:eastAsia="zh-CN" w:bidi="ar-SA"/>
        </w:rPr>
        <w:instrText xml:space="preserve"> HYPERLINK \l _Toc31921 </w:instrText>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separate"/>
      </w:r>
      <w:r>
        <w:rPr>
          <w:rFonts w:hint="eastAsia" w:ascii="方正小标宋简体" w:hAnsi="方正小标宋简体" w:eastAsia="方正小标宋简体" w:cs="方正小标宋简体"/>
          <w:bCs w:val="0"/>
          <w:color w:val="auto"/>
          <w:kern w:val="2"/>
          <w:sz w:val="24"/>
          <w:szCs w:val="24"/>
          <w:highlight w:val="none"/>
          <w:lang w:val="en-US" w:eastAsia="zh-CN" w:bidi="ar-SA"/>
        </w:rPr>
        <w:t>第二部分：南阳市脱贫攻坚相关政策汇编</w:t>
      </w:r>
      <w:r>
        <w:rPr>
          <w:rFonts w:hint="eastAsia" w:ascii="方正小标宋简体" w:hAnsi="方正小标宋简体" w:eastAsia="方正小标宋简体" w:cs="方正小标宋简体"/>
          <w:bCs w:val="0"/>
          <w:color w:val="auto"/>
          <w:kern w:val="2"/>
          <w:sz w:val="24"/>
          <w:szCs w:val="24"/>
          <w:highlight w:val="none"/>
          <w:lang w:val="en-US" w:eastAsia="zh-CN" w:bidi="ar-SA"/>
        </w:rPr>
        <w:tab/>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begin"/>
      </w:r>
      <w:r>
        <w:rPr>
          <w:rFonts w:hint="eastAsia" w:ascii="方正小标宋简体" w:hAnsi="方正小标宋简体" w:eastAsia="方正小标宋简体" w:cs="方正小标宋简体"/>
          <w:bCs w:val="0"/>
          <w:color w:val="auto"/>
          <w:kern w:val="2"/>
          <w:sz w:val="24"/>
          <w:szCs w:val="24"/>
          <w:highlight w:val="none"/>
          <w:lang w:val="en-US" w:eastAsia="zh-CN" w:bidi="ar-SA"/>
        </w:rPr>
        <w:instrText xml:space="preserve"> PAGEREF _Toc31921 </w:instrText>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separate"/>
      </w:r>
      <w:r>
        <w:rPr>
          <w:rFonts w:hint="eastAsia" w:ascii="方正小标宋简体" w:hAnsi="方正小标宋简体" w:eastAsia="方正小标宋简体" w:cs="方正小标宋简体"/>
          <w:bCs w:val="0"/>
          <w:color w:val="auto"/>
          <w:kern w:val="2"/>
          <w:sz w:val="24"/>
          <w:szCs w:val="24"/>
          <w:highlight w:val="none"/>
          <w:lang w:val="en-US" w:eastAsia="zh-CN" w:bidi="ar-SA"/>
        </w:rPr>
        <w:t>- 4 -</w:t>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end"/>
      </w:r>
      <w:r>
        <w:rPr>
          <w:rFonts w:hint="eastAsia" w:ascii="方正小标宋简体" w:hAnsi="方正小标宋简体" w:eastAsia="方正小标宋简体" w:cs="方正小标宋简体"/>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黑体" w:hAnsi="黑体" w:eastAsia="黑体" w:cs="黑体"/>
          <w:bCs w:val="0"/>
          <w:color w:val="auto"/>
          <w:kern w:val="2"/>
          <w:sz w:val="24"/>
          <w:szCs w:val="24"/>
          <w:highlight w:val="none"/>
          <w:lang w:val="en-US" w:eastAsia="zh-CN" w:bidi="ar-SA"/>
        </w:rPr>
      </w:pP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HYPERLINK \l _Toc3076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一、精准识别</w:t>
      </w:r>
      <w:r>
        <w:rPr>
          <w:rFonts w:hint="eastAsia" w:ascii="黑体" w:hAnsi="黑体" w:eastAsia="黑体" w:cs="黑体"/>
          <w:bCs w:val="0"/>
          <w:color w:val="auto"/>
          <w:kern w:val="2"/>
          <w:sz w:val="24"/>
          <w:szCs w:val="24"/>
          <w:highlight w:val="none"/>
          <w:lang w:val="en-US" w:eastAsia="zh-CN" w:bidi="ar-SA"/>
        </w:rPr>
        <w:tab/>
      </w: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PAGEREF _Toc3076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- 4 -</w:t>
      </w:r>
      <w:r>
        <w:rPr>
          <w:rFonts w:hint="eastAsia" w:ascii="黑体" w:hAnsi="黑体" w:eastAsia="黑体" w:cs="黑体"/>
          <w:bCs w:val="0"/>
          <w:color w:val="auto"/>
          <w:kern w:val="2"/>
          <w:sz w:val="24"/>
          <w:szCs w:val="24"/>
          <w:highlight w:val="none"/>
          <w:lang w:val="en-US" w:eastAsia="zh-CN" w:bidi="ar-SA"/>
        </w:rPr>
        <w:fldChar w:fldCharType="end"/>
      </w:r>
      <w:r>
        <w:rPr>
          <w:rFonts w:hint="eastAsia" w:ascii="黑体" w:hAnsi="黑体" w:eastAsia="黑体" w:cs="黑体"/>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_Toc18230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（一）识别标准（收入标准+两不愁三保障）</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_Toc18230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_Toc31313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（二）识别范围及方法</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_Toc31313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- 5 -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_Toc4700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（三）识别程序</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_Toc4700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- 6 -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黑体" w:hAnsi="黑体" w:eastAsia="黑体" w:cs="黑体"/>
          <w:bCs w:val="0"/>
          <w:color w:val="auto"/>
          <w:kern w:val="2"/>
          <w:sz w:val="24"/>
          <w:szCs w:val="24"/>
          <w:highlight w:val="none"/>
          <w:lang w:val="en-US" w:eastAsia="zh-CN" w:bidi="ar-SA"/>
        </w:rPr>
      </w:pP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HYPERLINK \l _Toc22487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二、精准退出</w:t>
      </w:r>
      <w:r>
        <w:rPr>
          <w:rFonts w:hint="eastAsia" w:ascii="黑体" w:hAnsi="黑体" w:eastAsia="黑体" w:cs="黑体"/>
          <w:bCs w:val="0"/>
          <w:color w:val="auto"/>
          <w:kern w:val="2"/>
          <w:sz w:val="24"/>
          <w:szCs w:val="24"/>
          <w:highlight w:val="none"/>
          <w:lang w:val="en-US" w:eastAsia="zh-CN" w:bidi="ar-SA"/>
        </w:rPr>
        <w:tab/>
      </w: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PAGEREF _Toc22487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- 6 -</w:t>
      </w:r>
      <w:r>
        <w:rPr>
          <w:rFonts w:hint="eastAsia" w:ascii="黑体" w:hAnsi="黑体" w:eastAsia="黑体" w:cs="黑体"/>
          <w:bCs w:val="0"/>
          <w:color w:val="auto"/>
          <w:kern w:val="2"/>
          <w:sz w:val="24"/>
          <w:szCs w:val="24"/>
          <w:highlight w:val="none"/>
          <w:lang w:val="en-US" w:eastAsia="zh-CN" w:bidi="ar-SA"/>
        </w:rPr>
        <w:fldChar w:fldCharType="end"/>
      </w:r>
      <w:r>
        <w:rPr>
          <w:rFonts w:hint="eastAsia" w:ascii="黑体" w:hAnsi="黑体" w:eastAsia="黑体" w:cs="黑体"/>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_Toc14727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（一）贫困户退出标准</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_Toc14727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- 6 -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_Toc11583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（二）特殊对象的脱贫要求</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_Toc11583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- 6 -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_Toc14889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（三）贫困户退出程序</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_Toc14889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- 7 -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_Toc996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（四）脱贫退出的“四道防线”</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_Toc996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- 8 -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_Toc6969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（五）贫困村退出标准</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_Toc6969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- 9 -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_Toc26073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（六）贫困村退出程序</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_Toc26073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- 9 -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_Toc18830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（七）退出后的扶持政策</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_Toc18830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黑体" w:hAnsi="黑体" w:eastAsia="黑体" w:cs="黑体"/>
          <w:bCs w:val="0"/>
          <w:color w:val="auto"/>
          <w:kern w:val="2"/>
          <w:sz w:val="24"/>
          <w:szCs w:val="24"/>
          <w:highlight w:val="none"/>
          <w:lang w:val="en-US" w:eastAsia="zh-CN" w:bidi="ar-SA"/>
        </w:rPr>
      </w:pP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HYPERLINK \l _Toc13154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三、两类户帮扶管理</w:t>
      </w:r>
      <w:r>
        <w:rPr>
          <w:rFonts w:hint="eastAsia" w:ascii="黑体" w:hAnsi="黑体" w:eastAsia="黑体" w:cs="黑体"/>
          <w:bCs w:val="0"/>
          <w:color w:val="auto"/>
          <w:kern w:val="2"/>
          <w:sz w:val="24"/>
          <w:szCs w:val="24"/>
          <w:highlight w:val="none"/>
          <w:lang w:val="en-US" w:eastAsia="zh-CN" w:bidi="ar-SA"/>
        </w:rPr>
        <w:tab/>
      </w: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PAGEREF _Toc13154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- 10 -</w:t>
      </w:r>
      <w:r>
        <w:rPr>
          <w:rFonts w:hint="eastAsia" w:ascii="黑体" w:hAnsi="黑体" w:eastAsia="黑体" w:cs="黑体"/>
          <w:bCs w:val="0"/>
          <w:color w:val="auto"/>
          <w:kern w:val="2"/>
          <w:sz w:val="24"/>
          <w:szCs w:val="24"/>
          <w:highlight w:val="none"/>
          <w:lang w:val="en-US" w:eastAsia="zh-CN" w:bidi="ar-SA"/>
        </w:rPr>
        <w:fldChar w:fldCharType="end"/>
      </w:r>
      <w:r>
        <w:rPr>
          <w:rFonts w:hint="eastAsia" w:ascii="黑体" w:hAnsi="黑体" w:eastAsia="黑体" w:cs="黑体"/>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（一）</w:t>
      </w: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_Toc22525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监测对象</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_Toc22525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（二）</w:t>
      </w: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_Toc8475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监测范围</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_Toc8475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（三）</w:t>
      </w: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_Toc18785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监测程序</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_Toc18785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黑体" w:hAnsi="黑体" w:eastAsia="黑体" w:cs="黑体"/>
          <w:bCs w:val="0"/>
          <w:color w:val="auto"/>
          <w:kern w:val="2"/>
          <w:sz w:val="24"/>
          <w:szCs w:val="24"/>
          <w:highlight w:val="none"/>
          <w:lang w:val="en-US" w:eastAsia="zh-CN" w:bidi="ar-SA"/>
        </w:rPr>
      </w:pP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HYPERLINK \l _Toc3162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四、基本政策</w:t>
      </w:r>
      <w:r>
        <w:rPr>
          <w:rFonts w:hint="eastAsia" w:ascii="黑体" w:hAnsi="黑体" w:eastAsia="黑体" w:cs="黑体"/>
          <w:bCs w:val="0"/>
          <w:color w:val="auto"/>
          <w:kern w:val="2"/>
          <w:sz w:val="24"/>
          <w:szCs w:val="24"/>
          <w:highlight w:val="none"/>
          <w:lang w:val="en-US" w:eastAsia="zh-CN" w:bidi="ar-SA"/>
        </w:rPr>
        <w:tab/>
      </w: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PAGEREF _Toc3162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bCs w:val="0"/>
          <w:color w:val="auto"/>
          <w:kern w:val="2"/>
          <w:sz w:val="24"/>
          <w:szCs w:val="24"/>
          <w:highlight w:val="none"/>
          <w:lang w:val="en-US" w:eastAsia="zh-CN" w:bidi="ar-SA"/>
        </w:rPr>
        <w:t>- 11 -</w:t>
      </w:r>
      <w:r>
        <w:rPr>
          <w:rFonts w:hint="eastAsia" w:ascii="黑体" w:hAnsi="黑体" w:eastAsia="黑体" w:cs="黑体"/>
          <w:bCs w:val="0"/>
          <w:color w:val="auto"/>
          <w:kern w:val="2"/>
          <w:sz w:val="24"/>
          <w:szCs w:val="24"/>
          <w:highlight w:val="none"/>
          <w:lang w:val="en-US" w:eastAsia="zh-CN" w:bidi="ar-SA"/>
        </w:rPr>
        <w:fldChar w:fldCharType="end"/>
      </w:r>
      <w:r>
        <w:rPr>
          <w:rFonts w:hint="eastAsia" w:ascii="黑体" w:hAnsi="黑体" w:eastAsia="黑体" w:cs="黑体"/>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_Toc31743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（一）健康扶贫政策（10项）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_Toc31743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- 11 -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_Toc18656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（二）教育扶贫政策（10项）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_Toc18656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- 18 -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_Toc20132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（三）住房保障政策（4项）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_Toc20132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- 21 -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_Toc16145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（四）安全饮水政策（1项）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_Toc16145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- 23 -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_Toc13264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（五）综合保障扶贫政策（18项）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_Toc13264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- 24 -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_Toc25076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（六）转移就业扶贫政策（3项）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_Toc25076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_Toc22290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（七）易地扶贫搬迁政策（7项）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_Toc22290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- 33 -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_Toc16246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（八）金融扶贫相关政策（5项）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_Toc16246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- 34 -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_Toc21175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（九）光伏扶贫相关政策（4项）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_Toc21175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- 36 -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_Toc25323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（十）扶贫车间相关政策（5项）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_Toc25323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- 38 -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_Toc16730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（十一）其他相对重要的行业保障政策（2项）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_Toc16730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8"/>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bCs w:val="0"/>
          <w:color w:val="auto"/>
          <w:kern w:val="2"/>
          <w:sz w:val="24"/>
          <w:szCs w:val="24"/>
          <w:highlight w:val="none"/>
          <w:lang w:val="en-US" w:eastAsia="zh-CN" w:bidi="ar-SA"/>
        </w:rPr>
        <w:fldChar w:fldCharType="begin"/>
      </w:r>
      <w:r>
        <w:rPr>
          <w:rFonts w:hint="eastAsia" w:ascii="黑体" w:hAnsi="黑体" w:eastAsia="黑体" w:cs="黑体"/>
          <w:bCs w:val="0"/>
          <w:color w:val="auto"/>
          <w:kern w:val="2"/>
          <w:sz w:val="24"/>
          <w:szCs w:val="24"/>
          <w:highlight w:val="none"/>
          <w:lang w:val="en-US" w:eastAsia="zh-CN" w:bidi="ar-SA"/>
        </w:rPr>
        <w:instrText xml:space="preserve"> HYPERLINK \l _Toc29207 </w:instrText>
      </w:r>
      <w:r>
        <w:rPr>
          <w:rFonts w:hint="eastAsia" w:ascii="黑体" w:hAnsi="黑体" w:eastAsia="黑体" w:cs="黑体"/>
          <w:bCs w:val="0"/>
          <w:color w:val="auto"/>
          <w:kern w:val="2"/>
          <w:sz w:val="24"/>
          <w:szCs w:val="24"/>
          <w:highlight w:val="none"/>
          <w:lang w:val="en-US" w:eastAsia="zh-CN" w:bidi="ar-SA"/>
        </w:rPr>
        <w:fldChar w:fldCharType="separate"/>
      </w:r>
      <w:r>
        <w:rPr>
          <w:rFonts w:hint="eastAsia" w:ascii="黑体" w:hAnsi="黑体" w:eastAsia="黑体" w:cs="黑体"/>
          <w:color w:val="auto"/>
          <w:kern w:val="2"/>
          <w:sz w:val="24"/>
          <w:szCs w:val="24"/>
          <w:highlight w:val="none"/>
          <w:lang w:val="en-US" w:eastAsia="zh-CN" w:bidi="ar-SA"/>
        </w:rPr>
        <w:t>五、资金使用和扶贫项目相关政策</w:t>
      </w:r>
      <w:r>
        <w:rPr>
          <w:rFonts w:hint="eastAsia" w:ascii="黑体" w:hAnsi="黑体" w:eastAsia="黑体" w:cs="黑体"/>
          <w:color w:val="auto"/>
          <w:kern w:val="2"/>
          <w:sz w:val="24"/>
          <w:szCs w:val="24"/>
          <w:highlight w:val="none"/>
          <w:lang w:val="en-US" w:eastAsia="zh-CN" w:bidi="ar-SA"/>
        </w:rPr>
        <w:tab/>
      </w:r>
      <w:r>
        <w:rPr>
          <w:rFonts w:hint="eastAsia" w:ascii="黑体" w:hAnsi="黑体" w:eastAsia="黑体" w:cs="黑体"/>
          <w:color w:val="auto"/>
          <w:kern w:val="2"/>
          <w:sz w:val="24"/>
          <w:szCs w:val="24"/>
          <w:highlight w:val="none"/>
          <w:lang w:val="en-US" w:eastAsia="zh-CN" w:bidi="ar-SA"/>
        </w:rPr>
        <w:fldChar w:fldCharType="begin"/>
      </w:r>
      <w:r>
        <w:rPr>
          <w:rFonts w:hint="eastAsia" w:ascii="黑体" w:hAnsi="黑体" w:eastAsia="黑体" w:cs="黑体"/>
          <w:color w:val="auto"/>
          <w:kern w:val="2"/>
          <w:sz w:val="24"/>
          <w:szCs w:val="24"/>
          <w:highlight w:val="none"/>
          <w:lang w:val="en-US" w:eastAsia="zh-CN" w:bidi="ar-SA"/>
        </w:rPr>
        <w:instrText xml:space="preserve"> PAGEREF _Toc29207 </w:instrText>
      </w:r>
      <w:r>
        <w:rPr>
          <w:rFonts w:hint="eastAsia" w:ascii="黑体" w:hAnsi="黑体" w:eastAsia="黑体" w:cs="黑体"/>
          <w:color w:val="auto"/>
          <w:kern w:val="2"/>
          <w:sz w:val="24"/>
          <w:szCs w:val="24"/>
          <w:highlight w:val="none"/>
          <w:lang w:val="en-US" w:eastAsia="zh-CN" w:bidi="ar-SA"/>
        </w:rPr>
        <w:fldChar w:fldCharType="separate"/>
      </w:r>
      <w:r>
        <w:rPr>
          <w:rFonts w:hint="eastAsia" w:ascii="黑体" w:hAnsi="黑体" w:eastAsia="黑体" w:cs="黑体"/>
          <w:color w:val="auto"/>
          <w:kern w:val="2"/>
          <w:sz w:val="24"/>
          <w:szCs w:val="24"/>
          <w:highlight w:val="none"/>
          <w:lang w:val="en-US" w:eastAsia="zh-CN" w:bidi="ar-SA"/>
        </w:rPr>
        <w:t>- 40 -</w:t>
      </w:r>
      <w:r>
        <w:rPr>
          <w:rFonts w:hint="eastAsia" w:ascii="黑体" w:hAnsi="黑体" w:eastAsia="黑体" w:cs="黑体"/>
          <w:color w:val="auto"/>
          <w:kern w:val="2"/>
          <w:sz w:val="24"/>
          <w:szCs w:val="24"/>
          <w:highlight w:val="none"/>
          <w:lang w:val="en-US" w:eastAsia="zh-CN" w:bidi="ar-SA"/>
        </w:rPr>
        <w:fldChar w:fldCharType="end"/>
      </w:r>
      <w:r>
        <w:rPr>
          <w:rFonts w:hint="eastAsia" w:ascii="黑体" w:hAnsi="黑体" w:eastAsia="黑体" w:cs="黑体"/>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_Toc20531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（一）国定贫困县资金使用范围和负面清单</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_Toc20531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- 40 -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0" w:firstLineChars="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t xml:space="preserve">   </w:t>
      </w: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_Toc10139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（二）省定贫困县和2个脱贫攻坚任务重的非贫困县（邓州市、唐河县）资金使用范围和负面清单</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_Toc10139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- 42 -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0" w:firstLineChars="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t xml:space="preserve">   </w:t>
      </w: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_Toc17436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（三）其他非贫困县专项扶贫资金使用范围和负面清单</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_Toc17436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- 43 -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_Toc24224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（四）项目库入库项目负面清单</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_Toc24224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- 44 -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_Toc30317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（五）公告公示内容</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_Toc30317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- 45 -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_Toc4776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bCs/>
          <w:color w:val="auto"/>
          <w:kern w:val="2"/>
          <w:sz w:val="24"/>
          <w:szCs w:val="24"/>
          <w:highlight w:val="none"/>
          <w:lang w:val="en-US" w:eastAsia="zh-CN" w:bidi="ar-SA"/>
        </w:rPr>
        <w:t>1、县级层面</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_Toc4776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- 45 -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_Toc1541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bCs/>
          <w:color w:val="auto"/>
          <w:kern w:val="2"/>
          <w:sz w:val="24"/>
          <w:szCs w:val="24"/>
          <w:highlight w:val="none"/>
          <w:lang w:val="en-US" w:eastAsia="zh-CN" w:bidi="ar-SA"/>
        </w:rPr>
        <w:t>2、乡镇层面</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_Toc1541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- 46 -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pStyle w:val="11"/>
        <w:widowControl w:val="0"/>
        <w:tabs>
          <w:tab w:val="right" w:leader="dot" w:pos="6066"/>
        </w:tabs>
        <w:wordWrap/>
        <w:topLinePunct w:val="1"/>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begin"/>
      </w:r>
      <w:r>
        <w:rPr>
          <w:rFonts w:hint="eastAsia" w:ascii="楷体_GB2312" w:hAnsi="楷体_GB2312" w:eastAsia="楷体_GB2312" w:cs="楷体_GB2312"/>
          <w:bCs w:val="0"/>
          <w:color w:val="auto"/>
          <w:kern w:val="2"/>
          <w:sz w:val="24"/>
          <w:szCs w:val="24"/>
          <w:highlight w:val="none"/>
          <w:lang w:val="en-US" w:eastAsia="zh-CN" w:bidi="ar-SA"/>
        </w:rPr>
        <w:instrText xml:space="preserve"> HYPERLINK \l _Toc15087 </w:instrText>
      </w:r>
      <w:r>
        <w:rPr>
          <w:rFonts w:hint="eastAsia" w:ascii="楷体_GB2312" w:hAnsi="楷体_GB2312" w:eastAsia="楷体_GB2312" w:cs="楷体_GB2312"/>
          <w:bCs w:val="0"/>
          <w:color w:val="auto"/>
          <w:kern w:val="2"/>
          <w:sz w:val="24"/>
          <w:szCs w:val="24"/>
          <w:highlight w:val="none"/>
          <w:lang w:val="en-US" w:eastAsia="zh-CN" w:bidi="ar-SA"/>
        </w:rPr>
        <w:fldChar w:fldCharType="separate"/>
      </w:r>
      <w:r>
        <w:rPr>
          <w:rFonts w:hint="eastAsia" w:ascii="楷体_GB2312" w:hAnsi="楷体_GB2312" w:eastAsia="楷体_GB2312" w:cs="楷体_GB2312"/>
          <w:bCs/>
          <w:color w:val="auto"/>
          <w:kern w:val="2"/>
          <w:sz w:val="24"/>
          <w:szCs w:val="24"/>
          <w:highlight w:val="none"/>
          <w:lang w:val="en-US" w:eastAsia="zh-CN" w:bidi="ar-SA"/>
        </w:rPr>
        <w:t>3、村级层面</w:t>
      </w:r>
      <w:r>
        <w:rPr>
          <w:rFonts w:hint="eastAsia" w:ascii="楷体_GB2312" w:hAnsi="楷体_GB2312" w:eastAsia="楷体_GB2312" w:cs="楷体_GB2312"/>
          <w:color w:val="auto"/>
          <w:kern w:val="2"/>
          <w:sz w:val="24"/>
          <w:szCs w:val="24"/>
          <w:highlight w:val="none"/>
          <w:lang w:val="en-US" w:eastAsia="zh-CN" w:bidi="ar-SA"/>
        </w:rPr>
        <w:tab/>
      </w:r>
      <w:r>
        <w:rPr>
          <w:rFonts w:hint="eastAsia" w:ascii="楷体_GB2312" w:hAnsi="楷体_GB2312" w:eastAsia="楷体_GB2312" w:cs="楷体_GB2312"/>
          <w:color w:val="auto"/>
          <w:kern w:val="2"/>
          <w:sz w:val="24"/>
          <w:szCs w:val="24"/>
          <w:highlight w:val="none"/>
          <w:lang w:val="en-US" w:eastAsia="zh-CN" w:bidi="ar-SA"/>
        </w:rPr>
        <w:fldChar w:fldCharType="begin"/>
      </w:r>
      <w:r>
        <w:rPr>
          <w:rFonts w:hint="eastAsia" w:ascii="楷体_GB2312" w:hAnsi="楷体_GB2312" w:eastAsia="楷体_GB2312" w:cs="楷体_GB2312"/>
          <w:color w:val="auto"/>
          <w:kern w:val="2"/>
          <w:sz w:val="24"/>
          <w:szCs w:val="24"/>
          <w:highlight w:val="none"/>
          <w:lang w:val="en-US" w:eastAsia="zh-CN" w:bidi="ar-SA"/>
        </w:rPr>
        <w:instrText xml:space="preserve"> PAGEREF _Toc15087 </w:instrText>
      </w:r>
      <w:r>
        <w:rPr>
          <w:rFonts w:hint="eastAsia" w:ascii="楷体_GB2312" w:hAnsi="楷体_GB2312" w:eastAsia="楷体_GB2312" w:cs="楷体_GB2312"/>
          <w:color w:val="auto"/>
          <w:kern w:val="2"/>
          <w:sz w:val="24"/>
          <w:szCs w:val="24"/>
          <w:highlight w:val="none"/>
          <w:lang w:val="en-US" w:eastAsia="zh-CN" w:bidi="ar-SA"/>
        </w:rPr>
        <w:fldChar w:fldCharType="separate"/>
      </w:r>
      <w:r>
        <w:rPr>
          <w:rFonts w:hint="eastAsia" w:ascii="楷体_GB2312" w:hAnsi="楷体_GB2312" w:eastAsia="楷体_GB2312" w:cs="楷体_GB2312"/>
          <w:color w:val="auto"/>
          <w:kern w:val="2"/>
          <w:sz w:val="24"/>
          <w:szCs w:val="24"/>
          <w:highlight w:val="none"/>
          <w:lang w:val="en-US" w:eastAsia="zh-CN" w:bidi="ar-SA"/>
        </w:rPr>
        <w:t>- 47 -</w:t>
      </w:r>
      <w:r>
        <w:rPr>
          <w:rFonts w:hint="eastAsia" w:ascii="楷体_GB2312" w:hAnsi="楷体_GB2312" w:eastAsia="楷体_GB2312" w:cs="楷体_GB2312"/>
          <w:color w:val="auto"/>
          <w:kern w:val="2"/>
          <w:sz w:val="24"/>
          <w:szCs w:val="24"/>
          <w:highlight w:val="none"/>
          <w:lang w:val="en-US" w:eastAsia="zh-CN" w:bidi="ar-SA"/>
        </w:rPr>
        <w:fldChar w:fldCharType="end"/>
      </w:r>
      <w:r>
        <w:rPr>
          <w:rFonts w:hint="eastAsia" w:ascii="楷体_GB2312" w:hAnsi="楷体_GB2312" w:eastAsia="楷体_GB2312" w:cs="楷体_GB2312"/>
          <w:bCs w:val="0"/>
          <w:color w:val="auto"/>
          <w:kern w:val="2"/>
          <w:sz w:val="24"/>
          <w:szCs w:val="24"/>
          <w:highlight w:val="none"/>
          <w:lang w:val="en-US" w:eastAsia="zh-CN" w:bidi="ar-SA"/>
        </w:rPr>
        <w:fldChar w:fldCharType="end"/>
      </w:r>
    </w:p>
    <w:p>
      <w:pPr>
        <w:widowControl w:val="0"/>
        <w:wordWrap/>
        <w:topLinePunct w:val="1"/>
        <w:adjustRightInd/>
        <w:snapToGrid/>
        <w:spacing w:before="0" w:after="0" w:line="400" w:lineRule="exact"/>
        <w:ind w:left="0" w:leftChars="0" w:right="0" w:firstLine="480" w:firstLineChars="200"/>
        <w:jc w:val="center"/>
        <w:textAlignment w:val="auto"/>
        <w:outlineLvl w:val="0"/>
        <w:rPr>
          <w:rFonts w:hint="eastAsia" w:ascii="楷体_GB2312" w:hAnsi="楷体_GB2312" w:eastAsia="楷体_GB2312" w:cs="楷体_GB2312"/>
          <w:bCs w:val="0"/>
          <w:color w:val="auto"/>
          <w:kern w:val="2"/>
          <w:szCs w:val="24"/>
          <w:highlight w:val="none"/>
          <w:lang w:val="en-US" w:eastAsia="zh-CN" w:bidi="ar-SA"/>
        </w:rPr>
      </w:pPr>
      <w:r>
        <w:rPr>
          <w:rFonts w:hint="eastAsia" w:ascii="楷体_GB2312" w:hAnsi="楷体_GB2312" w:eastAsia="楷体_GB2312" w:cs="楷体_GB2312"/>
          <w:bCs w:val="0"/>
          <w:color w:val="auto"/>
          <w:kern w:val="2"/>
          <w:sz w:val="24"/>
          <w:szCs w:val="24"/>
          <w:highlight w:val="none"/>
          <w:lang w:val="en-US" w:eastAsia="zh-CN" w:bidi="ar-SA"/>
        </w:rPr>
        <w:fldChar w:fldCharType="end"/>
      </w:r>
      <w:bookmarkEnd w:id="71"/>
    </w:p>
    <w:p>
      <w:pPr>
        <w:widowControl w:val="0"/>
        <w:wordWrap/>
        <w:topLinePunct w:val="1"/>
        <w:adjustRightInd/>
        <w:snapToGrid/>
        <w:spacing w:line="240" w:lineRule="auto"/>
        <w:ind w:right="0"/>
        <w:jc w:val="center"/>
        <w:textAlignment w:val="auto"/>
        <w:outlineLvl w:val="0"/>
        <w:sectPr>
          <w:footerReference r:id="rId6" w:type="default"/>
          <w:pgSz w:w="8334" w:h="11849"/>
          <w:pgMar w:top="1134" w:right="1134" w:bottom="1134" w:left="1134" w:header="851" w:footer="992" w:gutter="0"/>
          <w:pgNumType w:fmt="numberInDash" w:start="1"/>
          <w:cols w:space="720" w:num="1"/>
          <w:docGrid w:type="lines" w:linePitch="322"/>
        </w:sectPr>
      </w:pPr>
    </w:p>
    <w:p>
      <w:pPr>
        <w:widowControl w:val="0"/>
        <w:wordWrap/>
        <w:topLinePunct w:val="1"/>
        <w:adjustRightInd/>
        <w:snapToGrid/>
        <w:spacing w:line="240" w:lineRule="auto"/>
        <w:ind w:right="0"/>
        <w:jc w:val="center"/>
        <w:textAlignment w:val="auto"/>
        <w:outlineLvl w:val="0"/>
        <w:sectPr>
          <w:footerReference r:id="rId7" w:type="default"/>
          <w:pgSz w:w="8334" w:h="11849"/>
          <w:pgMar w:top="1134" w:right="1134" w:bottom="1134" w:left="1134" w:header="851" w:footer="992" w:gutter="0"/>
          <w:pgNumType w:fmt="numberInDash" w:start="1"/>
          <w:cols w:space="720" w:num="1"/>
          <w:docGrid w:type="lines" w:linePitch="322"/>
        </w:sectPr>
      </w:pPr>
    </w:p>
    <w:p>
      <w:pPr>
        <w:widowControl w:val="0"/>
        <w:wordWrap/>
        <w:topLinePunct w:val="1"/>
        <w:adjustRightInd/>
        <w:snapToGrid/>
        <w:spacing w:line="240" w:lineRule="auto"/>
        <w:ind w:right="0"/>
        <w:jc w:val="center"/>
        <w:textAlignment w:val="auto"/>
        <w:outlineLvl w:val="0"/>
        <w:rPr>
          <w:rFonts w:hint="eastAsia" w:ascii="方正小标宋简体" w:hAnsi="仿宋" w:eastAsia="方正小标宋简体"/>
          <w:color w:val="auto"/>
          <w:spacing w:val="0"/>
          <w:sz w:val="32"/>
          <w:szCs w:val="32"/>
          <w:highlight w:val="none"/>
        </w:rPr>
      </w:pPr>
      <w:bookmarkStart w:id="1" w:name="_Toc14736"/>
      <w:r>
        <w:rPr>
          <w:rFonts w:hint="eastAsia" w:ascii="方正小标宋简体" w:hAnsi="仿宋" w:eastAsia="方正小标宋简体"/>
          <w:color w:val="auto"/>
          <w:spacing w:val="0"/>
          <w:sz w:val="32"/>
          <w:szCs w:val="32"/>
          <w:highlight w:val="none"/>
        </w:rPr>
        <w:t>第一部分：习近平总书记扶贫开发战略思想</w:t>
      </w:r>
      <w:bookmarkEnd w:id="1"/>
    </w:p>
    <w:p>
      <w:pPr>
        <w:widowControl w:val="0"/>
        <w:wordWrap/>
        <w:topLinePunct w:val="1"/>
        <w:adjustRightInd/>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2" w:name="_Toc8818"/>
      <w:r>
        <w:rPr>
          <w:rFonts w:hint="eastAsia" w:ascii="楷体_GB2312" w:hAnsi="楷体_GB2312" w:eastAsia="楷体_GB2312" w:cs="楷体_GB2312"/>
          <w:b/>
          <w:color w:val="auto"/>
          <w:sz w:val="24"/>
          <w:szCs w:val="24"/>
          <w:highlight w:val="none"/>
        </w:rPr>
        <w:t>1、习近平总书记扶贫开发战略思想中，一个目标、两个确保、三个格外、四个切实、五个一批、六个精准、七个强化、八条要求分别是什么？</w:t>
      </w:r>
      <w:bookmarkEnd w:id="2"/>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0"/>
          <w:kern w:val="0"/>
          <w:sz w:val="24"/>
          <w:szCs w:val="24"/>
          <w:highlight w:val="none"/>
        </w:rPr>
        <w:t>答：</w:t>
      </w:r>
      <w:r>
        <w:rPr>
          <w:rFonts w:hint="eastAsia" w:ascii="宋体" w:hAnsi="宋体" w:eastAsia="宋体" w:cs="宋体"/>
          <w:b/>
          <w:bCs/>
          <w:color w:val="auto"/>
          <w:spacing w:val="0"/>
          <w:kern w:val="0"/>
          <w:sz w:val="24"/>
          <w:szCs w:val="24"/>
          <w:highlight w:val="none"/>
        </w:rPr>
        <w:t>一个目标：</w:t>
      </w:r>
      <w:r>
        <w:rPr>
          <w:rFonts w:hint="eastAsia" w:ascii="宋体" w:hAnsi="宋体" w:eastAsia="宋体" w:cs="宋体"/>
          <w:color w:val="auto"/>
          <w:spacing w:val="0"/>
          <w:kern w:val="0"/>
          <w:sz w:val="24"/>
          <w:szCs w:val="24"/>
          <w:highlight w:val="none"/>
        </w:rPr>
        <w:t>补好全面建成小康社会的短板。</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两个确保：</w:t>
      </w:r>
      <w:r>
        <w:rPr>
          <w:rFonts w:hint="eastAsia" w:ascii="宋体" w:hAnsi="宋体" w:eastAsia="宋体" w:cs="宋体"/>
          <w:color w:val="auto"/>
          <w:kern w:val="0"/>
          <w:sz w:val="24"/>
          <w:szCs w:val="24"/>
          <w:highlight w:val="none"/>
        </w:rPr>
        <w:t>确保现行标准下农村贫困人口全部脱贫，确保贫困县全部摘帽。</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三个格外：</w:t>
      </w:r>
      <w:r>
        <w:rPr>
          <w:rFonts w:hint="eastAsia" w:ascii="宋体" w:hAnsi="宋体" w:eastAsia="宋体" w:cs="宋体"/>
          <w:color w:val="auto"/>
          <w:kern w:val="0"/>
          <w:sz w:val="24"/>
          <w:szCs w:val="24"/>
          <w:highlight w:val="none"/>
        </w:rPr>
        <w:t>对各类困难群众要格外关注、格外关爱、格外关心。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b/>
          <w:bCs/>
          <w:color w:val="auto"/>
          <w:kern w:val="0"/>
          <w:sz w:val="24"/>
          <w:szCs w:val="24"/>
          <w:highlight w:val="none"/>
        </w:rPr>
        <w:t>四个切实：</w:t>
      </w:r>
      <w:r>
        <w:rPr>
          <w:rFonts w:hint="eastAsia" w:ascii="宋体" w:hAnsi="宋体" w:eastAsia="宋体" w:cs="宋体"/>
          <w:color w:val="auto"/>
          <w:spacing w:val="-6"/>
          <w:kern w:val="0"/>
          <w:sz w:val="24"/>
          <w:szCs w:val="24"/>
          <w:highlight w:val="none"/>
        </w:rPr>
        <w:t>切实落实领导责任、切实做到精准扶贫、切实强化社会合力、切实加强基层组织。</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五个一批：</w:t>
      </w:r>
      <w:r>
        <w:rPr>
          <w:rFonts w:hint="eastAsia" w:ascii="宋体" w:hAnsi="宋体" w:eastAsia="宋体" w:cs="宋体"/>
          <w:color w:val="auto"/>
          <w:kern w:val="0"/>
          <w:sz w:val="24"/>
          <w:szCs w:val="24"/>
          <w:highlight w:val="none"/>
        </w:rPr>
        <w:t>发展生产脱贫一批、易地搬迁脱贫一批、生态补偿脱贫一批、发展教育脱贫一批、社会保障兜底一批。</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六个精准：</w:t>
      </w:r>
      <w:r>
        <w:rPr>
          <w:rFonts w:hint="eastAsia" w:ascii="宋体" w:hAnsi="宋体" w:eastAsia="宋体" w:cs="宋体"/>
          <w:color w:val="auto"/>
          <w:kern w:val="0"/>
          <w:sz w:val="24"/>
          <w:szCs w:val="24"/>
          <w:highlight w:val="none"/>
        </w:rPr>
        <w:t>扶持对象精准、项目安排精准、资金使用精准、措施到户精准、因村派人精准、脱贫成效精准。</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七个强化：</w:t>
      </w:r>
      <w:r>
        <w:rPr>
          <w:rFonts w:hint="eastAsia" w:ascii="宋体" w:hAnsi="宋体" w:eastAsia="宋体" w:cs="宋体"/>
          <w:color w:val="auto"/>
          <w:kern w:val="0"/>
          <w:sz w:val="24"/>
          <w:szCs w:val="24"/>
          <w:highlight w:val="none"/>
        </w:rPr>
        <w:t>要强化领导责任、强化资金投入、强化部门协同、强化东西协作、强化社会合力、强化基层活力、强化任务落实。</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八条要求：</w:t>
      </w:r>
      <w:r>
        <w:rPr>
          <w:rFonts w:hint="eastAsia" w:ascii="宋体" w:hAnsi="宋体" w:eastAsia="宋体" w:cs="宋体"/>
          <w:color w:val="auto"/>
          <w:kern w:val="0"/>
          <w:sz w:val="24"/>
          <w:szCs w:val="24"/>
          <w:highlight w:val="none"/>
        </w:rPr>
        <w:t>合理确定脱贫目标、加大投入支持力度、集中优势兵力打攻坚战、区域发展必须围绕精准扶贫发力、加大各方帮扶力度、加大内生动力培育力度、加大组织领导力度、加强检查督查。</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3" w:name="_Toc8268"/>
      <w:r>
        <w:rPr>
          <w:rFonts w:hint="eastAsia" w:ascii="楷体_GB2312" w:hAnsi="楷体_GB2312" w:eastAsia="楷体_GB2312" w:cs="楷体_GB2312"/>
          <w:b/>
          <w:color w:val="auto"/>
          <w:sz w:val="24"/>
          <w:szCs w:val="24"/>
          <w:highlight w:val="none"/>
        </w:rPr>
        <w:t>2、习近平总书记在中央扶贫开发工作会议上就打赢脱贫攻坚战对各级党委政府是如何要求的？</w:t>
      </w:r>
      <w:bookmarkEnd w:id="3"/>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答：脱贫攻坚任务重的地区党委和政府要把脱贫攻坚作为“十三五”期间头等大事和第一民生工程来抓，坚持以脱贫攻坚统揽经济社会发展全局。</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4" w:name="_Toc3953"/>
      <w:r>
        <w:rPr>
          <w:rFonts w:hint="eastAsia" w:ascii="楷体_GB2312" w:hAnsi="楷体_GB2312" w:eastAsia="楷体_GB2312" w:cs="楷体_GB2312"/>
          <w:b/>
          <w:color w:val="auto"/>
          <w:sz w:val="24"/>
          <w:szCs w:val="24"/>
          <w:highlight w:val="none"/>
        </w:rPr>
        <w:t>3、习近平总书记在打好精准脱贫攻坚战座谈会上是如何要求？</w:t>
      </w:r>
      <w:bookmarkEnd w:id="4"/>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kern w:val="0"/>
          <w:sz w:val="24"/>
          <w:szCs w:val="24"/>
          <w:highlight w:val="none"/>
        </w:rPr>
        <w:t>答：</w:t>
      </w:r>
      <w:r>
        <w:rPr>
          <w:rFonts w:hint="eastAsia" w:ascii="宋体" w:hAnsi="宋体" w:eastAsia="宋体" w:cs="宋体"/>
          <w:color w:val="auto"/>
          <w:spacing w:val="-6"/>
          <w:kern w:val="0"/>
          <w:sz w:val="24"/>
          <w:szCs w:val="24"/>
          <w:highlight w:val="none"/>
        </w:rPr>
        <w:t>加强组织领导、坚持目标标准、强化体制机制、牢牢把握精准、完善资金管理、加强作风建设、组织干部轮训、注重激发内生动力。</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5" w:name="_Toc4438"/>
      <w:r>
        <w:rPr>
          <w:rFonts w:hint="eastAsia" w:ascii="楷体_GB2312" w:hAnsi="楷体_GB2312" w:eastAsia="楷体_GB2312" w:cs="楷体_GB2312"/>
          <w:b/>
          <w:color w:val="auto"/>
          <w:sz w:val="24"/>
          <w:szCs w:val="24"/>
          <w:highlight w:val="none"/>
        </w:rPr>
        <w:t>4、习近平总书记在中央扶贫开发工作会议上就打赢脱贫攻坚战对各部门各行业是如何要求的？</w:t>
      </w:r>
      <w:bookmarkEnd w:id="5"/>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答：各部门要把脱贫攻坚作为份内职责，加强对本部门本行业脱贫攻坚的组织领导，运用部门职能和行业资源做好工作，做到扶贫项目优先安排、扶贫资金优先保障、扶贫工作优先对接、扶贫措施优先落实。</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6" w:name="_Toc16729"/>
      <w:r>
        <w:rPr>
          <w:rFonts w:hint="eastAsia" w:ascii="楷体_GB2312" w:hAnsi="楷体_GB2312" w:eastAsia="楷体_GB2312" w:cs="楷体_GB2312"/>
          <w:b/>
          <w:color w:val="auto"/>
          <w:sz w:val="24"/>
          <w:szCs w:val="24"/>
          <w:highlight w:val="none"/>
        </w:rPr>
        <w:t>5、实施精准扶贫、精准脱贫战略，不断提高脱贫攻坚成效要解决好哪四个问题？</w:t>
      </w:r>
      <w:bookmarkEnd w:id="6"/>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答：要重点解决好“扶持谁、谁来扶、怎么扶、如何退”的问题。</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rPr>
      </w:pPr>
      <w:bookmarkStart w:id="7" w:name="_Toc25901"/>
      <w:r>
        <w:rPr>
          <w:rFonts w:hint="eastAsia" w:ascii="楷体_GB2312" w:hAnsi="楷体_GB2312" w:eastAsia="楷体_GB2312" w:cs="楷体_GB2312"/>
          <w:b/>
          <w:color w:val="auto"/>
          <w:sz w:val="24"/>
          <w:szCs w:val="24"/>
          <w:highlight w:val="none"/>
        </w:rPr>
        <w:t>6、贫困户脱贫的主要指标指的是什么？</w:t>
      </w:r>
      <w:bookmarkEnd w:id="7"/>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答：主要指“两不愁、三保障”和饮用水安全。两不愁、三保障指稳定实现扶贫对象不愁吃、不愁穿，义务教育、基本医疗、住房安全有保障。</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8" w:name="_Toc8005"/>
      <w:r>
        <w:rPr>
          <w:rFonts w:hint="eastAsia" w:ascii="楷体_GB2312" w:hAnsi="楷体_GB2312" w:eastAsia="楷体_GB2312" w:cs="楷体_GB2312"/>
          <w:b/>
          <w:color w:val="auto"/>
          <w:sz w:val="24"/>
          <w:szCs w:val="24"/>
          <w:highlight w:val="none"/>
          <w:lang w:val="en-US" w:eastAsia="zh-CN"/>
        </w:rPr>
        <w:t>7、习近平总书记2020年3月6日在决战决胜脱贫攻坚座谈会是如何要求的？</w:t>
      </w:r>
      <w:bookmarkEnd w:id="8"/>
    </w:p>
    <w:p>
      <w:pPr>
        <w:widowControl w:val="0"/>
        <w:numPr>
          <w:numId w:val="0"/>
        </w:numPr>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答：攻坚克难完成任务、努力克服疫情影响、多措并举巩固成果、保持脱贫攻坚政策稳定、严格考核开展普查、接续推进全面脱贫与乡村振兴有效衔接。</w:t>
      </w:r>
    </w:p>
    <w:p>
      <w:pPr>
        <w:widowControl w:val="0"/>
        <w:wordWrap/>
        <w:topLinePunct w:val="1"/>
        <w:adjustRightInd/>
        <w:snapToGrid/>
        <w:spacing w:before="0" w:after="0" w:line="440" w:lineRule="exact"/>
        <w:ind w:left="0" w:leftChars="0" w:right="0" w:firstLine="420" w:firstLineChars="200"/>
        <w:jc w:val="center"/>
        <w:textAlignment w:val="auto"/>
        <w:sectPr>
          <w:footerReference r:id="rId8" w:type="default"/>
          <w:pgSz w:w="8334" w:h="11849"/>
          <w:pgMar w:top="1134" w:right="1134" w:bottom="1134" w:left="1134" w:header="851" w:footer="992" w:gutter="0"/>
          <w:pgNumType w:fmt="numberInDash" w:start="1"/>
          <w:cols w:space="720" w:num="1"/>
          <w:docGrid w:type="lines" w:linePitch="322"/>
        </w:sectPr>
      </w:pPr>
    </w:p>
    <w:p>
      <w:pPr>
        <w:widowControl w:val="0"/>
        <w:wordWrap/>
        <w:topLinePunct w:val="1"/>
        <w:adjustRightInd/>
        <w:snapToGrid/>
        <w:spacing w:line="240" w:lineRule="auto"/>
        <w:ind w:right="0"/>
        <w:jc w:val="center"/>
        <w:textAlignment w:val="auto"/>
        <w:outlineLvl w:val="0"/>
        <w:rPr>
          <w:rFonts w:hint="eastAsia" w:ascii="方正小标宋_GBK" w:hAnsi="方正小标宋_GBK" w:eastAsia="方正小标宋_GBK" w:cs="方正小标宋_GBK"/>
          <w:color w:val="auto"/>
          <w:spacing w:val="0"/>
          <w:sz w:val="32"/>
          <w:szCs w:val="32"/>
          <w:highlight w:val="none"/>
        </w:rPr>
      </w:pPr>
      <w:bookmarkStart w:id="9" w:name="_Toc31921"/>
      <w:r>
        <w:rPr>
          <w:rFonts w:hint="eastAsia" w:ascii="方正小标宋_GBK" w:hAnsi="方正小标宋_GBK" w:eastAsia="方正小标宋_GBK" w:cs="方正小标宋_GBK"/>
          <w:color w:val="auto"/>
          <w:spacing w:val="0"/>
          <w:sz w:val="32"/>
          <w:szCs w:val="32"/>
          <w:highlight w:val="none"/>
        </w:rPr>
        <w:t>第</w:t>
      </w:r>
      <w:r>
        <w:rPr>
          <w:rFonts w:hint="eastAsia" w:ascii="方正小标宋_GBK" w:hAnsi="方正小标宋_GBK" w:eastAsia="方正小标宋_GBK" w:cs="方正小标宋_GBK"/>
          <w:color w:val="auto"/>
          <w:spacing w:val="0"/>
          <w:sz w:val="32"/>
          <w:szCs w:val="32"/>
          <w:highlight w:val="none"/>
          <w:lang w:eastAsia="zh-CN"/>
        </w:rPr>
        <w:t>二</w:t>
      </w:r>
      <w:r>
        <w:rPr>
          <w:rFonts w:hint="eastAsia" w:ascii="方正小标宋_GBK" w:hAnsi="方正小标宋_GBK" w:eastAsia="方正小标宋_GBK" w:cs="方正小标宋_GBK"/>
          <w:color w:val="auto"/>
          <w:spacing w:val="0"/>
          <w:sz w:val="32"/>
          <w:szCs w:val="32"/>
          <w:highlight w:val="none"/>
        </w:rPr>
        <w:t>部分</w:t>
      </w:r>
      <w:r>
        <w:rPr>
          <w:rFonts w:hint="eastAsia" w:ascii="方正小标宋_GBK" w:hAnsi="方正小标宋_GBK" w:eastAsia="方正小标宋_GBK" w:cs="方正小标宋_GBK"/>
          <w:color w:val="auto"/>
          <w:spacing w:val="0"/>
          <w:sz w:val="32"/>
          <w:szCs w:val="32"/>
          <w:highlight w:val="none"/>
          <w:lang w:eastAsia="zh-CN"/>
        </w:rPr>
        <w:t>：</w:t>
      </w:r>
      <w:r>
        <w:rPr>
          <w:rFonts w:hint="eastAsia" w:ascii="方正小标宋_GBK" w:hAnsi="方正小标宋_GBK" w:eastAsia="方正小标宋_GBK" w:cs="方正小标宋_GBK"/>
          <w:color w:val="auto"/>
          <w:spacing w:val="0"/>
          <w:sz w:val="32"/>
          <w:szCs w:val="32"/>
          <w:highlight w:val="none"/>
        </w:rPr>
        <w:t>南阳市脱贫攻坚相关政策汇编</w:t>
      </w:r>
      <w:bookmarkEnd w:id="9"/>
    </w:p>
    <w:p>
      <w:pPr>
        <w:widowControl w:val="0"/>
        <w:wordWrap/>
        <w:topLinePunct w:val="1"/>
        <w:adjustRightInd/>
        <w:snapToGrid/>
        <w:spacing w:before="0" w:after="0" w:line="440" w:lineRule="exact"/>
        <w:ind w:left="0" w:leftChars="0" w:right="0" w:firstLine="480" w:firstLineChars="200"/>
        <w:jc w:val="center"/>
        <w:textAlignment w:val="auto"/>
        <w:rPr>
          <w:rFonts w:hint="eastAsia" w:ascii="宋体" w:hAnsi="宋体" w:eastAsia="宋体" w:cs="宋体"/>
          <w:color w:val="auto"/>
          <w:sz w:val="24"/>
          <w:szCs w:val="24"/>
          <w:highlight w:val="none"/>
        </w:rPr>
      </w:pPr>
    </w:p>
    <w:p>
      <w:pPr>
        <w:widowControl w:val="0"/>
        <w:wordWrap/>
        <w:topLinePunct w:val="1"/>
        <w:adjustRightInd/>
        <w:snapToGrid/>
        <w:spacing w:before="0" w:after="0" w:line="440" w:lineRule="exact"/>
        <w:ind w:left="0" w:leftChars="0" w:right="0" w:firstLine="480" w:firstLineChars="200"/>
        <w:jc w:val="both"/>
        <w:textAlignment w:val="auto"/>
        <w:outlineLvl w:val="0"/>
        <w:rPr>
          <w:rFonts w:hint="eastAsia" w:ascii="黑体" w:hAnsi="黑体" w:eastAsia="黑体" w:cs="黑体"/>
          <w:color w:val="auto"/>
          <w:sz w:val="24"/>
          <w:szCs w:val="24"/>
          <w:highlight w:val="none"/>
        </w:rPr>
      </w:pPr>
      <w:bookmarkStart w:id="10" w:name="_Toc3076"/>
      <w:r>
        <w:rPr>
          <w:rFonts w:hint="eastAsia" w:ascii="黑体" w:hAnsi="黑体" w:eastAsia="黑体" w:cs="黑体"/>
          <w:color w:val="auto"/>
          <w:sz w:val="24"/>
          <w:szCs w:val="24"/>
          <w:highlight w:val="none"/>
        </w:rPr>
        <w:t>一、精准识别</w:t>
      </w:r>
      <w:bookmarkEnd w:id="10"/>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1" w:name="_Toc18230"/>
      <w:r>
        <w:rPr>
          <w:rFonts w:hint="eastAsia" w:ascii="楷体_GB2312" w:hAnsi="楷体_GB2312" w:eastAsia="楷体_GB2312" w:cs="楷体_GB2312"/>
          <w:b/>
          <w:color w:val="auto"/>
          <w:sz w:val="24"/>
          <w:szCs w:val="24"/>
          <w:highlight w:val="none"/>
          <w:lang w:val="en-US" w:eastAsia="zh-CN"/>
        </w:rPr>
        <w:t>（一）识别标准（收入标准+两不愁三保障）</w:t>
      </w:r>
      <w:bookmarkEnd w:id="11"/>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贫对象识别严格执行国家标准，即农民人均纯收入以上年度的国家农村扶贫标准为基本依据，对符合条件的农户整户识别。我省2018年执行的脱贫收入标准为3400元，2019年为3700元，2020年为4000元，标准按照年均6%的幅度增长。与此同时，统筹考虑“两不愁三保障”因素：</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1、不愁吃。</w:t>
      </w:r>
      <w:r>
        <w:rPr>
          <w:rFonts w:hint="eastAsia" w:ascii="宋体" w:hAnsi="宋体" w:eastAsia="宋体" w:cs="宋体"/>
          <w:color w:val="auto"/>
          <w:sz w:val="24"/>
          <w:szCs w:val="24"/>
          <w:highlight w:val="none"/>
        </w:rPr>
        <w:t>口粮不愁，主食细粮有保障，安全饮水不愁，水质符合饮用水标准要求，水量达到每人每天不低于20升，人力取水往返时间不超过20分钟，供水保证率不低于90%。</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2、不愁穿。</w:t>
      </w:r>
      <w:r>
        <w:rPr>
          <w:rFonts w:hint="eastAsia" w:ascii="宋体" w:hAnsi="宋体" w:eastAsia="宋体" w:cs="宋体"/>
          <w:color w:val="auto"/>
          <w:sz w:val="24"/>
          <w:szCs w:val="24"/>
          <w:highlight w:val="none"/>
        </w:rPr>
        <w:t>年有换季衣服，经常有换洗衣服。</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3、义务教育。</w:t>
      </w:r>
      <w:r>
        <w:rPr>
          <w:rFonts w:hint="eastAsia" w:ascii="宋体" w:hAnsi="宋体" w:eastAsia="宋体" w:cs="宋体"/>
          <w:color w:val="auto"/>
          <w:sz w:val="24"/>
          <w:szCs w:val="24"/>
          <w:highlight w:val="none"/>
        </w:rPr>
        <w:t>农户家庭中子女义务教育阶段上学有保障。义务教育阶段之外的学生家庭，刚性支出较大的，虽然人均纯收入达到识别标准，也要统筹考虑纳入扶贫对象。</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4、基本医疗。</w:t>
      </w:r>
      <w:r>
        <w:rPr>
          <w:rFonts w:hint="eastAsia" w:ascii="宋体" w:hAnsi="宋体" w:eastAsia="宋体" w:cs="宋体"/>
          <w:color w:val="auto"/>
          <w:sz w:val="24"/>
          <w:szCs w:val="24"/>
          <w:highlight w:val="none"/>
        </w:rPr>
        <w:t>农户家庭成员因患大病或长期慢性病，影响家庭成员正常生产生活，需要经常住院治疗或长期用药治疗，刚性支出较大，虽然人均纯收入达到识别标准，也要统筹考虑纳入扶贫对象。</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5、住房安全。</w:t>
      </w:r>
      <w:r>
        <w:rPr>
          <w:rFonts w:hint="eastAsia" w:ascii="宋体" w:hAnsi="宋体" w:eastAsia="宋体" w:cs="宋体"/>
          <w:color w:val="auto"/>
          <w:sz w:val="24"/>
          <w:szCs w:val="24"/>
          <w:highlight w:val="none"/>
        </w:rPr>
        <w:t>农户居住用房是C、D级危房的，虽然人均纯收入达到识别标准，也要统筹考虑纳入扶贫对象。</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2" w:name="_Toc31313"/>
      <w:r>
        <w:rPr>
          <w:rFonts w:hint="eastAsia" w:ascii="楷体_GB2312" w:hAnsi="楷体_GB2312" w:eastAsia="楷体_GB2312" w:cs="楷体_GB2312"/>
          <w:b/>
          <w:color w:val="auto"/>
          <w:sz w:val="24"/>
          <w:szCs w:val="24"/>
          <w:highlight w:val="none"/>
          <w:lang w:val="en-US" w:eastAsia="zh-CN"/>
        </w:rPr>
        <w:t>（二）识别范围及方法</w:t>
      </w:r>
      <w:bookmarkEnd w:id="12"/>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贫困户识别以户口薄为基本依据，以共同生活为标准，具体指居住在同一住宅内常住(半年以上为常住)或者与户主共享开支或收入的人口。对“户在人不在”、“人在户不在”的情况，按照居住在同一住宅内，常住或者与户主共同生活的成员为准。</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六步工作法：</w:t>
      </w:r>
      <w:r>
        <w:rPr>
          <w:rFonts w:hint="eastAsia" w:ascii="宋体" w:hAnsi="宋体" w:eastAsia="宋体" w:cs="宋体"/>
          <w:color w:val="auto"/>
          <w:sz w:val="24"/>
          <w:szCs w:val="24"/>
          <w:highlight w:val="none"/>
        </w:rPr>
        <w:t>一进二看三算四比五议六定</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一进：</w:t>
      </w:r>
      <w:r>
        <w:rPr>
          <w:rFonts w:hint="eastAsia" w:ascii="宋体" w:hAnsi="宋体" w:eastAsia="宋体" w:cs="宋体"/>
          <w:color w:val="auto"/>
          <w:sz w:val="24"/>
          <w:szCs w:val="24"/>
          <w:highlight w:val="none"/>
        </w:rPr>
        <w:t>包村干部、村级组织和驻村工作队（第一书记）对全村农户逐家进户调查走访，摸清底数。</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二看：</w:t>
      </w:r>
      <w:r>
        <w:rPr>
          <w:rFonts w:hint="eastAsia" w:ascii="宋体" w:hAnsi="宋体" w:eastAsia="宋体" w:cs="宋体"/>
          <w:color w:val="auto"/>
          <w:sz w:val="24"/>
          <w:szCs w:val="24"/>
          <w:highlight w:val="none"/>
        </w:rPr>
        <w:t>看房子、家具等基本生活设施状况。拥有家用轿车、大型农机具、高档家电的，不得识别或慎重识别。</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三算：</w:t>
      </w:r>
      <w:r>
        <w:rPr>
          <w:rFonts w:hint="eastAsia" w:ascii="宋体" w:hAnsi="宋体" w:eastAsia="宋体" w:cs="宋体"/>
          <w:color w:val="auto"/>
          <w:sz w:val="24"/>
          <w:szCs w:val="24"/>
          <w:highlight w:val="none"/>
        </w:rPr>
        <w:t>按照标准逐户测算收入和支出，算出人均纯收入数，算支出大账，找致贫原因，对贫富情况有本明白账。</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四比：</w:t>
      </w:r>
      <w:r>
        <w:rPr>
          <w:rFonts w:hint="eastAsia" w:ascii="宋体" w:hAnsi="宋体" w:eastAsia="宋体" w:cs="宋体"/>
          <w:color w:val="auto"/>
          <w:sz w:val="24"/>
          <w:szCs w:val="24"/>
          <w:highlight w:val="none"/>
        </w:rPr>
        <w:t>和全村左邻右舍比较生活质量。家庭成员有财政供养人员、有担任村干部的，家庭成员作为法人或股东在工商部门注册有企业的，在城镇拥有门市房、商品房的，不得识别或慎重识别。</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五议：</w:t>
      </w:r>
      <w:r>
        <w:rPr>
          <w:rFonts w:hint="eastAsia" w:ascii="宋体" w:hAnsi="宋体" w:eastAsia="宋体" w:cs="宋体"/>
          <w:color w:val="auto"/>
          <w:sz w:val="24"/>
          <w:szCs w:val="24"/>
          <w:highlight w:val="none"/>
        </w:rPr>
        <w:t>对照标准，综合考量，逐户评议。拟正式推荐为扶贫对象的，必须向村民公示公告，获得绝大多数村民认可。</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六定：</w:t>
      </w:r>
      <w:r>
        <w:rPr>
          <w:rFonts w:hint="eastAsia" w:ascii="宋体" w:hAnsi="宋体" w:eastAsia="宋体" w:cs="宋体"/>
          <w:color w:val="auto"/>
          <w:sz w:val="24"/>
          <w:szCs w:val="24"/>
          <w:highlight w:val="none"/>
        </w:rPr>
        <w:t>正式确定为扶贫对象的，由村“两委”推荐确定，乡镇党委、政府核定。</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3" w:name="_Toc4700"/>
      <w:r>
        <w:rPr>
          <w:rFonts w:hint="eastAsia" w:ascii="楷体_GB2312" w:hAnsi="楷体_GB2312" w:eastAsia="楷体_GB2312" w:cs="楷体_GB2312"/>
          <w:b/>
          <w:color w:val="auto"/>
          <w:sz w:val="24"/>
          <w:szCs w:val="24"/>
          <w:highlight w:val="none"/>
          <w:lang w:val="en-US" w:eastAsia="zh-CN"/>
        </w:rPr>
        <w:t>（三）识别程序</w:t>
      </w:r>
      <w:bookmarkEnd w:id="13"/>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第一步：初选对象。</w:t>
      </w:r>
      <w:r>
        <w:rPr>
          <w:rFonts w:hint="eastAsia" w:ascii="宋体" w:hAnsi="宋体" w:eastAsia="宋体" w:cs="宋体"/>
          <w:color w:val="auto"/>
          <w:sz w:val="24"/>
          <w:szCs w:val="24"/>
          <w:highlight w:val="none"/>
        </w:rPr>
        <w:t>在农户本人申请的基础上，对拟推荐的扶贫对象，按照党支部会提议、村“两委”会商议、党员大会审议、村民代表会议或村民会议决议的程序，形成初选名单，由村委会和驻村工作队核实后进行第一次公示，时间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第二步：乡镇审核。</w:t>
      </w:r>
      <w:r>
        <w:rPr>
          <w:rFonts w:hint="eastAsia" w:ascii="宋体" w:hAnsi="宋体" w:eastAsia="宋体" w:cs="宋体"/>
          <w:color w:val="auto"/>
          <w:sz w:val="24"/>
          <w:szCs w:val="24"/>
          <w:highlight w:val="none"/>
        </w:rPr>
        <w:t>经第一次公示无异议后，乡镇政府对初选对象进行审核。乡镇必须对初选对象逐户核查，做到不错不漏。对确定的扶贫对象名单，必须要有驻村第一书记或驻村工作队长、包村干部、村委会主任、村支部书记、乡镇长、乡镇党委书记“六签字”，并在各行政村进行第二次公示，时间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第三步：</w:t>
      </w:r>
      <w:r>
        <w:rPr>
          <w:rFonts w:hint="eastAsia" w:ascii="宋体" w:hAnsi="宋体" w:eastAsia="宋体" w:cs="宋体"/>
          <w:color w:val="auto"/>
          <w:sz w:val="24"/>
          <w:szCs w:val="24"/>
          <w:highlight w:val="none"/>
        </w:rPr>
        <w:t>县级复审。经第二次公示无异议后，报县市区扶贫办复审，复审结束后在各行政村内公告。</w:t>
      </w:r>
    </w:p>
    <w:p>
      <w:pPr>
        <w:widowControl w:val="0"/>
        <w:wordWrap/>
        <w:topLinePunct w:val="1"/>
        <w:adjustRightInd/>
        <w:snapToGrid/>
        <w:spacing w:before="0" w:after="0" w:line="440" w:lineRule="exact"/>
        <w:ind w:left="0" w:leftChars="0" w:right="0" w:firstLine="480" w:firstLineChars="200"/>
        <w:jc w:val="both"/>
        <w:textAlignment w:val="auto"/>
        <w:outlineLvl w:val="0"/>
        <w:rPr>
          <w:rFonts w:hint="eastAsia" w:ascii="黑体" w:hAnsi="黑体" w:eastAsia="黑体" w:cs="黑体"/>
          <w:color w:val="auto"/>
          <w:sz w:val="24"/>
          <w:szCs w:val="24"/>
          <w:highlight w:val="none"/>
        </w:rPr>
      </w:pPr>
      <w:bookmarkStart w:id="14" w:name="_Toc22487"/>
      <w:r>
        <w:rPr>
          <w:rFonts w:hint="eastAsia" w:ascii="黑体" w:hAnsi="黑体" w:eastAsia="黑体" w:cs="黑体"/>
          <w:color w:val="auto"/>
          <w:sz w:val="24"/>
          <w:szCs w:val="24"/>
          <w:highlight w:val="none"/>
        </w:rPr>
        <w:t>二、精准退出</w:t>
      </w:r>
      <w:bookmarkEnd w:id="14"/>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5" w:name="_Toc14727"/>
      <w:r>
        <w:rPr>
          <w:rFonts w:hint="eastAsia" w:ascii="楷体_GB2312" w:hAnsi="楷体_GB2312" w:eastAsia="楷体_GB2312" w:cs="楷体_GB2312"/>
          <w:b/>
          <w:color w:val="auto"/>
          <w:sz w:val="24"/>
          <w:szCs w:val="24"/>
          <w:highlight w:val="none"/>
          <w:lang w:val="en-US" w:eastAsia="zh-CN"/>
        </w:rPr>
        <w:t>（一）贫困户退出标准</w:t>
      </w:r>
      <w:bookmarkEnd w:id="15"/>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贫困户年人均纯收入高于当年脱贫线，不愁吃（饮水安全）、不愁穿,义务教育、基本医疗、住房安全“两不愁三保障”得到解决，并有相对稳定可靠的增收渠道和收入来源。</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6" w:name="_Toc11583"/>
      <w:r>
        <w:rPr>
          <w:rFonts w:hint="eastAsia" w:ascii="楷体_GB2312" w:hAnsi="楷体_GB2312" w:eastAsia="楷体_GB2312" w:cs="楷体_GB2312"/>
          <w:b/>
          <w:color w:val="auto"/>
          <w:sz w:val="24"/>
          <w:szCs w:val="24"/>
          <w:highlight w:val="none"/>
          <w:lang w:val="en-US" w:eastAsia="zh-CN"/>
        </w:rPr>
        <w:t>（二）特殊对象的脱贫要求</w:t>
      </w:r>
      <w:bookmarkEnd w:id="16"/>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稳定脱贫：</w:t>
      </w:r>
      <w:r>
        <w:rPr>
          <w:rFonts w:hint="eastAsia" w:ascii="宋体" w:hAnsi="宋体" w:eastAsia="宋体" w:cs="宋体"/>
          <w:color w:val="auto"/>
          <w:sz w:val="24"/>
          <w:szCs w:val="24"/>
          <w:highlight w:val="none"/>
        </w:rPr>
        <w:t>（1）对已标注的稳定脱贫户逐户排查，在保证脱贫户有持续稳定收入的基础上，有下列情形之一的原则上不能标注稳定脱贫：家庭成员正在享受且需要继续享受低保或分散特困供养政策的，正在享受教育、医疗、危房改造、易地搬迁、产业扶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包括到户增收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、金融扶贫、资产收益扶贫、光伏扶贫等扶持政策的家庭，家庭成员患有大病或长期慢性病医疗支出费用超过当年收入的家庭，有在校学生教育支出较大的家庭，不符合标注条件的要予以回退。</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（2）标注稳定脱贫要按照民主评议、核实认可、公示公告程序进行，已标注的稳定脱贫户中程序不规范的要完善程序，群众不知情、不认可的要予以回退。</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3）对农转非、分散转集中供养特困户做人口自然减少处理，对子女有赡养能力的老人户需标注稳定脱贫的，要在河南省精准扶贫信息管理平台上传户说明。</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7" w:name="_Toc14889"/>
      <w:r>
        <w:rPr>
          <w:rFonts w:hint="eastAsia" w:ascii="楷体_GB2312" w:hAnsi="楷体_GB2312" w:eastAsia="楷体_GB2312" w:cs="楷体_GB2312"/>
          <w:b/>
          <w:color w:val="auto"/>
          <w:sz w:val="24"/>
          <w:szCs w:val="24"/>
          <w:highlight w:val="none"/>
          <w:lang w:val="en-US" w:eastAsia="zh-CN"/>
        </w:rPr>
        <w:t>（三）贫困户退出程序</w:t>
      </w:r>
      <w:bookmarkEnd w:id="17"/>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第一步：民主评议。</w:t>
      </w:r>
      <w:r>
        <w:rPr>
          <w:rFonts w:hint="eastAsia" w:ascii="宋体" w:hAnsi="宋体" w:eastAsia="宋体" w:cs="宋体"/>
          <w:color w:val="auto"/>
          <w:sz w:val="24"/>
          <w:szCs w:val="24"/>
          <w:highlight w:val="none"/>
        </w:rPr>
        <w:t>由村“两委”组织相关人员召开民主评议会，按照年度贫困户退出计划，初步拟定贫困户退出名单。</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第二步：核实认可。</w:t>
      </w:r>
      <w:r>
        <w:rPr>
          <w:rFonts w:hint="eastAsia" w:ascii="宋体" w:hAnsi="宋体" w:eastAsia="宋体" w:cs="宋体"/>
          <w:color w:val="auto"/>
          <w:sz w:val="24"/>
          <w:szCs w:val="24"/>
          <w:highlight w:val="none"/>
        </w:rPr>
        <w:t>经村“两委”、驻村工作队和第一书记核实（没有驻村工作队和第一书记的行政村经村“两委”核实），得到拟退出贫困户和该户帮扶责任人认可，在村内进行第一次公示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第三步：乡镇审核。</w:t>
      </w:r>
      <w:r>
        <w:rPr>
          <w:rFonts w:hint="eastAsia" w:ascii="宋体" w:hAnsi="宋体" w:eastAsia="宋体" w:cs="宋体"/>
          <w:color w:val="auto"/>
          <w:sz w:val="24"/>
          <w:szCs w:val="24"/>
          <w:highlight w:val="none"/>
        </w:rPr>
        <w:t>第一次公示无异议后，行政村向乡镇上报脱贫拟定名单。乡镇人民政府对脱贫拟定名单进行逐户审核，审核结果在各行政村进行第二次公示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第四步：公告退出。</w:t>
      </w:r>
      <w:r>
        <w:rPr>
          <w:rFonts w:hint="eastAsia" w:ascii="宋体" w:hAnsi="宋体" w:eastAsia="宋体" w:cs="宋体"/>
          <w:color w:val="auto"/>
          <w:sz w:val="24"/>
          <w:szCs w:val="24"/>
          <w:highlight w:val="none"/>
        </w:rPr>
        <w:t>第二次公示无异议后，乡镇脱贫名单报县市区扶贫办复审。县市区扶贫办复审后，组织公告退出。</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步：颁发脱贫光荣证。</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第一次公示和第二次公示，群众均可以提出异议。向上级报送的审核或复审的名单是在公示的基础上消除异议后确定的名单，因此向上级报送的名单与公示的名单可能会存在差异。</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8" w:name="_Toc996"/>
      <w:r>
        <w:rPr>
          <w:rFonts w:hint="eastAsia" w:ascii="楷体_GB2312" w:hAnsi="楷体_GB2312" w:eastAsia="楷体_GB2312" w:cs="楷体_GB2312"/>
          <w:b/>
          <w:color w:val="auto"/>
          <w:sz w:val="24"/>
          <w:szCs w:val="24"/>
          <w:highlight w:val="none"/>
          <w:lang w:val="en-US" w:eastAsia="zh-CN"/>
        </w:rPr>
        <w:t>（四）脱贫退出的“四道防线”</w:t>
      </w:r>
      <w:bookmarkEnd w:id="18"/>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“四道防线”包括：</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村级</w:t>
      </w:r>
      <w:r>
        <w:rPr>
          <w:rFonts w:hint="eastAsia" w:ascii="宋体" w:hAnsi="宋体" w:eastAsia="宋体" w:cs="宋体"/>
          <w:color w:val="auto"/>
          <w:sz w:val="24"/>
          <w:szCs w:val="24"/>
          <w:highlight w:val="none"/>
          <w:lang w:eastAsia="zh-CN"/>
        </w:rPr>
        <w:t>脱贫攻坚</w:t>
      </w:r>
      <w:r>
        <w:rPr>
          <w:rFonts w:hint="eastAsia" w:ascii="宋体" w:hAnsi="宋体" w:eastAsia="宋体" w:cs="宋体"/>
          <w:color w:val="auto"/>
          <w:sz w:val="24"/>
          <w:szCs w:val="24"/>
          <w:highlight w:val="none"/>
        </w:rPr>
        <w:t>“五支队伍”要与本村</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年拟脱贫户全部见面并调查收集</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年度收入和“两不愁三保障”落实情况，认真填写调查表并让拟脱贫户认可，特别是帮扶责任人要对所分包户的脱贫切实负起责任；</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各乡镇组织相关人员对本乡镇所有</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年拟脱贫户全部见面并核查</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年度收入和“两不愁三保障”落实情况</w:t>
      </w:r>
      <w:r>
        <w:rPr>
          <w:rFonts w:hint="eastAsia" w:ascii="宋体" w:hAnsi="宋体" w:eastAsia="宋体" w:cs="宋体"/>
          <w:color w:val="auto"/>
          <w:spacing w:val="-6"/>
          <w:sz w:val="24"/>
          <w:szCs w:val="24"/>
          <w:highlight w:val="none"/>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各县市区要组织得力力量，对各乡镇脱贫退出工作进行指导并对本县市区所有</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年拟脱贫户全部见面并再次核查</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年度收入和“两不愁三保障”落实情况；</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市脱贫攻坚领导小组办公室适时将组织人员对</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年拟脱贫户进行抽查。</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19" w:name="_Toc6969"/>
      <w:r>
        <w:rPr>
          <w:rFonts w:hint="eastAsia" w:ascii="楷体_GB2312" w:hAnsi="楷体_GB2312" w:eastAsia="楷体_GB2312" w:cs="楷体_GB2312"/>
          <w:b/>
          <w:color w:val="auto"/>
          <w:sz w:val="24"/>
          <w:szCs w:val="24"/>
          <w:highlight w:val="none"/>
          <w:lang w:val="en-US" w:eastAsia="zh-CN"/>
        </w:rPr>
        <w:t>（五）贫困村退出标准</w:t>
      </w:r>
      <w:bookmarkEnd w:id="19"/>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贫困发生率降至2%以下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“十有”</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1、有一条通村公路实现硬化（有路）</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2、具备条件的村实现通客运班车（有班车）</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3、农村饮用水符合农村饮水安全评价指标要求（有水）</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4、基本满足生产生活用电需求（有电）；</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5、广播电视户户通（有电视信号）</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6、有综合性文化服务中心（有文化活动场所）</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7、有标准化卫生室（有卫生室）</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8、每千人至少有1名合格乡村医生或执业(助理)医师（有医生）</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9、实现通宽带（有宽带）</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10、统筹考虑产业发展、</w:t>
      </w:r>
      <w:r>
        <w:rPr>
          <w:rFonts w:hint="eastAsia" w:ascii="宋体" w:hAnsi="宋体" w:eastAsia="宋体" w:cs="宋体"/>
          <w:color w:val="auto"/>
          <w:sz w:val="24"/>
          <w:szCs w:val="24"/>
          <w:highlight w:val="none"/>
          <w:lang w:eastAsia="zh-CN"/>
        </w:rPr>
        <w:t>村</w:t>
      </w:r>
      <w:r>
        <w:rPr>
          <w:rFonts w:hint="eastAsia" w:ascii="宋体" w:hAnsi="宋体" w:eastAsia="宋体" w:cs="宋体"/>
          <w:color w:val="auto"/>
          <w:sz w:val="24"/>
          <w:szCs w:val="24"/>
          <w:highlight w:val="none"/>
        </w:rPr>
        <w:t>集体经济收入等因素。</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20" w:name="_Toc26073"/>
      <w:r>
        <w:rPr>
          <w:rFonts w:hint="eastAsia" w:ascii="楷体_GB2312" w:hAnsi="楷体_GB2312" w:eastAsia="楷体_GB2312" w:cs="楷体_GB2312"/>
          <w:b/>
          <w:color w:val="auto"/>
          <w:sz w:val="24"/>
          <w:szCs w:val="24"/>
          <w:highlight w:val="none"/>
          <w:lang w:val="en-US" w:eastAsia="zh-CN"/>
        </w:rPr>
        <w:t>（六）贫困村退出程序</w:t>
      </w:r>
      <w:bookmarkEnd w:id="20"/>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第一步：调查核实。</w:t>
      </w:r>
      <w:r>
        <w:rPr>
          <w:rFonts w:hint="eastAsia" w:ascii="宋体" w:hAnsi="宋体" w:eastAsia="宋体" w:cs="宋体"/>
          <w:color w:val="auto"/>
          <w:sz w:val="24"/>
          <w:szCs w:val="24"/>
          <w:highlight w:val="none"/>
        </w:rPr>
        <w:t>县脱贫攻坚领导小组组织相关部门，按照年度贫困村退出计划，对预退出贫困村进行入村调查、摸底核实，确定符合退出标准的贫困村名单。</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第二步：予以公示。</w:t>
      </w:r>
      <w:r>
        <w:rPr>
          <w:rFonts w:hint="eastAsia" w:ascii="宋体" w:hAnsi="宋体" w:eastAsia="宋体" w:cs="宋体"/>
          <w:color w:val="auto"/>
          <w:sz w:val="24"/>
          <w:szCs w:val="24"/>
          <w:highlight w:val="none"/>
        </w:rPr>
        <w:t>对符合退出标准的贫困村，在乡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所在地公示，公示时间不少于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第三步：公告退出。</w:t>
      </w:r>
      <w:r>
        <w:rPr>
          <w:rFonts w:hint="eastAsia" w:ascii="宋体" w:hAnsi="宋体" w:eastAsia="宋体" w:cs="宋体"/>
          <w:color w:val="auto"/>
          <w:sz w:val="24"/>
          <w:szCs w:val="24"/>
          <w:highlight w:val="none"/>
        </w:rPr>
        <w:t>公示无异议后，由县脱贫攻坚领导小组报市脱贫攻坚领导小组审批后公告退出。</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21" w:name="_Toc18830"/>
      <w:r>
        <w:rPr>
          <w:rFonts w:hint="eastAsia" w:ascii="楷体_GB2312" w:hAnsi="楷体_GB2312" w:eastAsia="楷体_GB2312" w:cs="楷体_GB2312"/>
          <w:b/>
          <w:color w:val="auto"/>
          <w:sz w:val="24"/>
          <w:szCs w:val="24"/>
          <w:highlight w:val="none"/>
          <w:lang w:val="en-US" w:eastAsia="zh-CN"/>
        </w:rPr>
        <w:t>（七）退出后的扶持政策</w:t>
      </w:r>
      <w:bookmarkEnd w:id="21"/>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贫困县退出后“四个不摘”：</w:t>
      </w:r>
      <w:r>
        <w:rPr>
          <w:rFonts w:hint="eastAsia" w:ascii="宋体" w:hAnsi="宋体" w:eastAsia="宋体" w:cs="宋体"/>
          <w:color w:val="auto"/>
          <w:sz w:val="24"/>
          <w:szCs w:val="24"/>
          <w:highlight w:val="none"/>
        </w:rPr>
        <w:t>摘帽不摘责任、摘帽不摘政策、摘帽不摘帮扶、摘帽不摘监管；贫困户、贫困村退出后，在攻坚期内可继续享受国家和省扶贫相关政策，防止出现边脱贫、边返贫现象，切实</w:t>
      </w:r>
      <w:r>
        <w:rPr>
          <w:rFonts w:hint="eastAsia" w:ascii="宋体" w:hAnsi="宋体" w:eastAsia="宋体" w:cs="宋体"/>
          <w:color w:val="auto"/>
          <w:sz w:val="24"/>
          <w:szCs w:val="24"/>
          <w:highlight w:val="none"/>
          <w:lang w:eastAsia="zh-CN"/>
        </w:rPr>
        <w:t>做到</w:t>
      </w:r>
      <w:r>
        <w:rPr>
          <w:rFonts w:hint="eastAsia" w:ascii="宋体" w:hAnsi="宋体" w:eastAsia="宋体" w:cs="宋体"/>
          <w:color w:val="auto"/>
          <w:sz w:val="24"/>
          <w:szCs w:val="24"/>
          <w:highlight w:val="none"/>
        </w:rPr>
        <w:t>应进必进、应扶尽扶、应退则退。</w:t>
      </w:r>
    </w:p>
    <w:p>
      <w:pPr>
        <w:widowControl w:val="0"/>
        <w:wordWrap/>
        <w:topLinePunct w:val="1"/>
        <w:adjustRightInd/>
        <w:snapToGrid/>
        <w:spacing w:before="0" w:after="0" w:line="440" w:lineRule="exact"/>
        <w:ind w:left="0" w:leftChars="0" w:right="0" w:firstLine="480" w:firstLineChars="200"/>
        <w:jc w:val="both"/>
        <w:textAlignment w:val="auto"/>
        <w:outlineLvl w:val="0"/>
        <w:rPr>
          <w:rFonts w:hint="eastAsia" w:ascii="黑体" w:hAnsi="黑体" w:eastAsia="黑体" w:cs="黑体"/>
          <w:color w:val="auto"/>
          <w:sz w:val="24"/>
          <w:szCs w:val="24"/>
          <w:highlight w:val="none"/>
          <w:lang w:eastAsia="zh-CN"/>
        </w:rPr>
      </w:pPr>
      <w:bookmarkStart w:id="22" w:name="_Toc13154"/>
      <w:r>
        <w:rPr>
          <w:rFonts w:hint="eastAsia" w:ascii="黑体" w:hAnsi="黑体" w:eastAsia="黑体" w:cs="黑体"/>
          <w:color w:val="auto"/>
          <w:sz w:val="24"/>
          <w:szCs w:val="24"/>
          <w:highlight w:val="none"/>
          <w:lang w:eastAsia="zh-CN"/>
        </w:rPr>
        <w:t>三、两类户帮扶管理</w:t>
      </w:r>
      <w:bookmarkEnd w:id="22"/>
    </w:p>
    <w:p>
      <w:pPr>
        <w:widowControl w:val="0"/>
        <w:wordWrap/>
        <w:topLinePunct w:val="1"/>
        <w:adjustRightInd/>
        <w:snapToGrid/>
        <w:spacing w:before="0" w:after="0" w:line="440" w:lineRule="exact"/>
        <w:ind w:left="0" w:leftChars="0" w:right="0" w:firstLine="482" w:firstLineChars="200"/>
        <w:jc w:val="both"/>
        <w:textAlignment w:val="auto"/>
        <w:outlineLvl w:val="0"/>
        <w:rPr>
          <w:rFonts w:hint="eastAsia" w:ascii="宋体" w:hAnsi="宋体" w:eastAsia="宋体" w:cs="宋体"/>
          <w:b/>
          <w:bCs/>
          <w:color w:val="auto"/>
          <w:sz w:val="24"/>
          <w:szCs w:val="24"/>
          <w:highlight w:val="none"/>
          <w:lang w:val="en-US" w:eastAsia="zh-CN"/>
        </w:rPr>
      </w:pPr>
      <w:bookmarkStart w:id="23" w:name="_Toc22525"/>
      <w:r>
        <w:rPr>
          <w:rFonts w:hint="eastAsia" w:ascii="楷体_GB2312" w:hAnsi="楷体_GB2312" w:eastAsia="楷体_GB2312" w:cs="楷体_GB2312"/>
          <w:b/>
          <w:color w:val="auto"/>
          <w:sz w:val="24"/>
          <w:szCs w:val="24"/>
          <w:highlight w:val="none"/>
          <w:lang w:val="en-US" w:eastAsia="zh-CN"/>
        </w:rPr>
        <w:t>（一）监测对象。</w:t>
      </w:r>
      <w:r>
        <w:rPr>
          <w:rFonts w:hint="eastAsia" w:ascii="宋体" w:hAnsi="宋体" w:eastAsia="宋体" w:cs="宋体"/>
          <w:color w:val="auto"/>
          <w:sz w:val="24"/>
          <w:szCs w:val="24"/>
          <w:highlight w:val="none"/>
          <w:lang w:val="en-US" w:eastAsia="zh-CN"/>
        </w:rPr>
        <w:t>以家庭为单位,主要监测具有潜在返贫致贫风险的建档立卡已脱贫但不稳定户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简称 “脱贫监测户”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和收入略高于建档立卡贫困户的非贫困户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简称 “边缘户”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bookmarkEnd w:id="23"/>
      <w:r>
        <w:rPr>
          <w:rFonts w:hint="eastAsia" w:ascii="宋体" w:hAnsi="宋体" w:eastAsia="宋体" w:cs="宋体"/>
          <w:color w:val="auto"/>
          <w:sz w:val="24"/>
          <w:szCs w:val="24"/>
          <w:highlight w:val="none"/>
          <w:lang w:val="en-US" w:eastAsia="zh-CN"/>
        </w:rPr>
        <w:t xml:space="preserve"> </w:t>
      </w:r>
    </w:p>
    <w:p>
      <w:pPr>
        <w:widowControl w:val="0"/>
        <w:wordWrap/>
        <w:topLinePunct w:val="1"/>
        <w:adjustRightInd/>
        <w:snapToGrid/>
        <w:spacing w:before="0" w:after="0" w:line="440" w:lineRule="exact"/>
        <w:ind w:right="0"/>
        <w:jc w:val="both"/>
        <w:textAlignment w:val="auto"/>
        <w:outlineLvl w:val="0"/>
        <w:rPr>
          <w:rFonts w:hint="eastAsia" w:ascii="宋体" w:hAnsi="宋体" w:eastAsia="宋体" w:cs="宋体"/>
          <w:b w:val="0"/>
          <w:bCs w:val="0"/>
          <w:color w:val="auto"/>
          <w:sz w:val="24"/>
          <w:szCs w:val="24"/>
          <w:highlight w:val="none"/>
          <w:lang w:val="en-US" w:eastAsia="zh-CN"/>
        </w:rPr>
      </w:pPr>
      <w:bookmarkStart w:id="24" w:name="_Toc8475"/>
      <w:r>
        <w:rPr>
          <w:rFonts w:hint="eastAsia" w:ascii="楷体_GB2312" w:hAnsi="楷体_GB2312" w:eastAsia="楷体_GB2312" w:cs="楷体_GB2312"/>
          <w:b/>
          <w:color w:val="auto"/>
          <w:sz w:val="24"/>
          <w:szCs w:val="24"/>
          <w:highlight w:val="none"/>
          <w:lang w:val="en-US" w:eastAsia="zh-CN"/>
        </w:rPr>
        <w:t xml:space="preserve">   （二）监测范围。</w:t>
      </w:r>
      <w:r>
        <w:rPr>
          <w:rFonts w:hint="eastAsia" w:ascii="宋体" w:hAnsi="宋体" w:eastAsia="宋体" w:cs="宋体"/>
          <w:b w:val="0"/>
          <w:bCs w:val="0"/>
          <w:color w:val="auto"/>
          <w:sz w:val="24"/>
          <w:szCs w:val="24"/>
          <w:highlight w:val="none"/>
          <w:lang w:val="en-US" w:eastAsia="zh-CN"/>
        </w:rPr>
        <w:t>人均可支配收入低于国家扶贫标准1.5倍左右的家庭，以及因病、因残、因灾、因新冠肺炎疫情影响等引发的刚性支出明显超过上年度收入和收入大幅缩减的家庭。</w:t>
      </w:r>
      <w:bookmarkEnd w:id="24"/>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宋体" w:hAnsi="宋体" w:eastAsia="宋体" w:cs="宋体"/>
          <w:color w:val="auto"/>
          <w:sz w:val="24"/>
          <w:szCs w:val="24"/>
          <w:highlight w:val="none"/>
        </w:rPr>
      </w:pPr>
      <w:bookmarkStart w:id="25" w:name="_Toc18785"/>
      <w:r>
        <w:rPr>
          <w:rFonts w:hint="eastAsia" w:ascii="楷体_GB2312" w:hAnsi="楷体_GB2312" w:eastAsia="楷体_GB2312" w:cs="楷体_GB2312"/>
          <w:b/>
          <w:color w:val="auto"/>
          <w:sz w:val="24"/>
          <w:szCs w:val="24"/>
          <w:highlight w:val="none"/>
          <w:lang w:val="en-US" w:eastAsia="zh-CN"/>
        </w:rPr>
        <w:t>（三）监测程序。</w:t>
      </w:r>
      <w:r>
        <w:rPr>
          <w:rFonts w:hint="eastAsia" w:ascii="宋体" w:hAnsi="宋体" w:eastAsia="宋体" w:cs="宋体"/>
          <w:color w:val="auto"/>
          <w:sz w:val="24"/>
          <w:szCs w:val="24"/>
          <w:highlight w:val="none"/>
          <w:lang w:val="en-US" w:eastAsia="zh-CN"/>
        </w:rPr>
        <w:t>以县为单位组织开展,通过农户申报、乡村干部走访排查、相关行业部门筛查预警等多种途径收集相关信息,由县级扶贫部门确定监测对象,录入全国扶贫开发信息系统,实行动态管理。具体监测程序如下:</w:t>
      </w:r>
      <w:bookmarkEnd w:id="25"/>
      <w:r>
        <w:rPr>
          <w:rFonts w:hint="eastAsia" w:ascii="宋体" w:hAnsi="宋体" w:eastAsia="宋体" w:cs="宋体"/>
          <w:color w:val="auto"/>
          <w:sz w:val="24"/>
          <w:szCs w:val="24"/>
          <w:highlight w:val="none"/>
          <w:lang w:val="en-US" w:eastAsia="zh-CN"/>
        </w:rPr>
        <w:t xml:space="preserve"> </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（1）村级初选。</w:t>
      </w:r>
      <w:r>
        <w:rPr>
          <w:rFonts w:hint="eastAsia" w:ascii="宋体" w:hAnsi="宋体" w:eastAsia="宋体" w:cs="宋体"/>
          <w:color w:val="auto"/>
          <w:sz w:val="24"/>
          <w:szCs w:val="24"/>
          <w:highlight w:val="none"/>
          <w:lang w:val="en-US" w:eastAsia="zh-CN"/>
        </w:rPr>
        <w:t xml:space="preserve">由村“两委”、驻村工作队、脱贫责任组组织召开村级民主评议会,根据家庭基本情况、返贫致贫风险等因素进行综合研判,以村为单位提出监测对象初选名单。 </w:t>
      </w:r>
    </w:p>
    <w:p>
      <w:pPr>
        <w:widowControl w:val="0"/>
        <w:wordWrap/>
        <w:topLinePunct w:val="1"/>
        <w:adjustRightInd/>
        <w:snapToGrid/>
        <w:spacing w:before="0" w:after="0" w:line="440" w:lineRule="exact"/>
        <w:ind w:right="0"/>
        <w:textAlignment w:val="auto"/>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（2）乡镇审核。</w:t>
      </w:r>
      <w:r>
        <w:rPr>
          <w:rFonts w:hint="eastAsia" w:ascii="宋体" w:hAnsi="宋体" w:eastAsia="宋体" w:cs="宋体"/>
          <w:color w:val="auto"/>
          <w:sz w:val="24"/>
          <w:szCs w:val="24"/>
          <w:highlight w:val="none"/>
          <w:lang w:val="en-US" w:eastAsia="zh-CN"/>
        </w:rPr>
        <w:t xml:space="preserve">由乡镇组织相关人员核查,谁核查、谁签字、谁负责,对审核后的监测对象建议名单,上报县级扶贫部门。 </w:t>
      </w:r>
    </w:p>
    <w:p>
      <w:pPr>
        <w:widowControl w:val="0"/>
        <w:wordWrap/>
        <w:topLinePunct w:val="1"/>
        <w:adjustRightInd/>
        <w:snapToGrid/>
        <w:spacing w:before="0" w:after="0" w:line="440" w:lineRule="exact"/>
        <w:ind w:right="0"/>
        <w:textAlignment w:val="auto"/>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（3）县级确定。</w:t>
      </w:r>
      <w:r>
        <w:rPr>
          <w:rFonts w:hint="eastAsia" w:ascii="宋体" w:hAnsi="宋体" w:cs="宋体"/>
          <w:b/>
          <w:bCs/>
          <w:color w:val="auto"/>
          <w:sz w:val="24"/>
          <w:szCs w:val="24"/>
          <w:highlight w:val="none"/>
          <w:lang w:val="en-US" w:eastAsia="zh-CN"/>
        </w:rPr>
        <w:t>县</w:t>
      </w:r>
      <w:r>
        <w:rPr>
          <w:rFonts w:hint="eastAsia" w:ascii="宋体" w:hAnsi="宋体" w:eastAsia="宋体" w:cs="宋体"/>
          <w:color w:val="auto"/>
          <w:sz w:val="24"/>
          <w:szCs w:val="24"/>
          <w:highlight w:val="none"/>
          <w:lang w:val="en-US" w:eastAsia="zh-CN"/>
        </w:rPr>
        <w:t xml:space="preserve">级扶贫部门通过行业部门信息比对分析,对乡镇上报的监测对象建议名单进行核准,确定监测对象最终名单,并书面通知各乡镇。 </w:t>
      </w:r>
    </w:p>
    <w:p>
      <w:pPr>
        <w:widowControl w:val="0"/>
        <w:wordWrap/>
        <w:topLinePunct w:val="1"/>
        <w:adjustRightInd/>
        <w:snapToGrid/>
        <w:spacing w:before="0" w:after="0" w:line="440" w:lineRule="exact"/>
        <w:ind w:right="0"/>
        <w:jc w:val="both"/>
        <w:textAlignment w:val="auto"/>
        <w:outlineLvl w:val="9"/>
        <w:rPr>
          <w:rFonts w:hint="eastAsia" w:ascii="宋体" w:hAnsi="宋体" w:eastAsia="宋体" w:cs="宋体"/>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（4）信息录入。</w:t>
      </w:r>
      <w:r>
        <w:rPr>
          <w:rFonts w:hint="eastAsia" w:ascii="宋体" w:hAnsi="宋体" w:eastAsia="宋体" w:cs="宋体"/>
          <w:color w:val="auto"/>
          <w:sz w:val="24"/>
          <w:szCs w:val="24"/>
          <w:highlight w:val="none"/>
          <w:lang w:val="en-US" w:eastAsia="zh-CN"/>
        </w:rPr>
        <w:t xml:space="preserve">在县级扶贫部门指导下,乡村两级组织将监测对象信息录入全国扶贫开发信息系统。 </w:t>
      </w:r>
    </w:p>
    <w:p>
      <w:pPr>
        <w:widowControl w:val="0"/>
        <w:wordWrap/>
        <w:topLinePunct w:val="1"/>
        <w:adjustRightInd/>
        <w:snapToGrid/>
        <w:spacing w:before="0" w:after="0" w:line="440" w:lineRule="exact"/>
        <w:ind w:left="0" w:leftChars="0" w:right="0" w:firstLine="480" w:firstLineChars="200"/>
        <w:jc w:val="both"/>
        <w:textAlignment w:val="auto"/>
        <w:outlineLvl w:val="0"/>
        <w:rPr>
          <w:rFonts w:hint="eastAsia" w:ascii="黑体" w:hAnsi="黑体" w:eastAsia="黑体" w:cs="黑体"/>
          <w:color w:val="auto"/>
          <w:sz w:val="24"/>
          <w:szCs w:val="24"/>
          <w:highlight w:val="none"/>
          <w:lang w:eastAsia="zh-CN"/>
        </w:rPr>
      </w:pPr>
      <w:bookmarkStart w:id="26" w:name="_Toc3162"/>
      <w:r>
        <w:rPr>
          <w:rFonts w:hint="eastAsia" w:ascii="黑体" w:hAnsi="黑体" w:eastAsia="黑体" w:cs="黑体"/>
          <w:color w:val="auto"/>
          <w:sz w:val="24"/>
          <w:szCs w:val="24"/>
          <w:highlight w:val="none"/>
          <w:lang w:eastAsia="zh-CN"/>
        </w:rPr>
        <w:t>四、基本政策</w:t>
      </w:r>
      <w:bookmarkEnd w:id="26"/>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27" w:name="_Toc31743"/>
      <w:r>
        <w:rPr>
          <w:rFonts w:hint="eastAsia" w:ascii="楷体_GB2312" w:hAnsi="楷体_GB2312" w:eastAsia="楷体_GB2312" w:cs="楷体_GB2312"/>
          <w:b/>
          <w:color w:val="auto"/>
          <w:sz w:val="24"/>
          <w:szCs w:val="24"/>
          <w:highlight w:val="none"/>
          <w:lang w:val="en-US" w:eastAsia="zh-CN"/>
        </w:rPr>
        <w:t>（一）健康扶贫政策（10项）</w:t>
      </w:r>
      <w:bookmarkEnd w:id="27"/>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基本医疗保障——七个百分之百：</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建档立卡贫困人口参加城乡居民医疗保险百分之百</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符合条件的慢性病鉴定和待遇享受百分之百；</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家庭签约医生服务百分之百；</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大病救治率百分之百；</w:t>
      </w:r>
    </w:p>
    <w:p>
      <w:pPr>
        <w:widowControl w:val="0"/>
        <w:wordWrap/>
        <w:topLinePunct w:val="1"/>
        <w:adjustRightInd/>
        <w:snapToGrid/>
        <w:spacing w:before="0" w:after="0" w:line="440" w:lineRule="exact"/>
        <w:ind w:left="0" w:leftChars="0" w:right="0" w:firstLine="480" w:firstLineChars="200"/>
        <w:jc w:val="both"/>
        <w:textAlignment w:val="auto"/>
        <w:outlineLvl w:val="1"/>
        <w:rPr>
          <w:rFonts w:hint="eastAsia" w:ascii="宋体" w:hAnsi="宋体" w:eastAsia="宋体" w:cs="宋体"/>
          <w:color w:val="auto"/>
          <w:sz w:val="24"/>
          <w:szCs w:val="24"/>
          <w:highlight w:val="none"/>
        </w:rPr>
      </w:pPr>
      <w:bookmarkStart w:id="28" w:name="_Toc32653"/>
      <w:r>
        <w:rPr>
          <w:rFonts w:hint="eastAsia" w:ascii="宋体" w:hAnsi="宋体" w:eastAsia="宋体" w:cs="宋体"/>
          <w:color w:val="auto"/>
          <w:sz w:val="24"/>
          <w:szCs w:val="24"/>
          <w:highlight w:val="none"/>
        </w:rPr>
        <w:t>县域内“一站式”结算百分之百</w:t>
      </w:r>
      <w:r>
        <w:rPr>
          <w:rFonts w:hint="eastAsia" w:ascii="宋体" w:hAnsi="宋体" w:cs="宋体"/>
          <w:color w:val="auto"/>
          <w:sz w:val="24"/>
          <w:szCs w:val="24"/>
          <w:highlight w:val="none"/>
          <w:lang w:val="en-US" w:eastAsia="zh-CN"/>
        </w:rPr>
        <w:t>；</w:t>
      </w:r>
      <w:bookmarkEnd w:id="28"/>
      <w:r>
        <w:rPr>
          <w:rFonts w:hint="eastAsia" w:ascii="宋体" w:hAnsi="宋体" w:eastAsia="宋体" w:cs="宋体"/>
          <w:color w:val="auto"/>
          <w:sz w:val="24"/>
          <w:szCs w:val="24"/>
          <w:highlight w:val="none"/>
        </w:rPr>
        <w:t xml:space="preserve"> </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“先诊疗后付费”百分之百；</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“政福保”特困群众重病医疗救助百分之百。</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1、【城乡居民基本医疗保险政策】</w:t>
      </w:r>
      <w:r>
        <w:rPr>
          <w:rFonts w:hint="eastAsia" w:ascii="宋体" w:hAnsi="宋体" w:eastAsia="宋体" w:cs="宋体"/>
          <w:color w:val="auto"/>
          <w:sz w:val="24"/>
          <w:szCs w:val="24"/>
          <w:highlight w:val="none"/>
        </w:rPr>
        <w:t>2020年城乡居民个人缴费标准为250元，各级财政补助标准也相应提高。参保人员住院时，根据定点医疗机构级别，医疗费用超过200-2000元起付线的，按照50-90%比例分级分段报销，年度最高支付限额15万元。</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2、【大病保险政策】</w:t>
      </w:r>
      <w:r>
        <w:rPr>
          <w:rFonts w:hint="eastAsia" w:ascii="宋体" w:hAnsi="宋体" w:eastAsia="宋体" w:cs="宋体"/>
          <w:color w:val="auto"/>
          <w:sz w:val="24"/>
          <w:szCs w:val="24"/>
          <w:highlight w:val="none"/>
        </w:rPr>
        <w:t>2018-2020年脱贫攻坚期内，参加我市城乡居民基本医保的建档立卡贫困人口、农村低保对象和农村特困人员救助供养对象，享受大病保险起付线为0.55万元；合规自付医疗费用报销比例：0.55万元-10万元（含10万元）部分报销85%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10万元以上报销95%，不设封顶线。</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3、【困难群众大病补充保险政策】</w:t>
      </w:r>
      <w:r>
        <w:rPr>
          <w:rFonts w:hint="eastAsia" w:ascii="宋体" w:hAnsi="宋体" w:eastAsia="宋体" w:cs="宋体"/>
          <w:color w:val="auto"/>
          <w:sz w:val="24"/>
          <w:szCs w:val="24"/>
          <w:highlight w:val="none"/>
        </w:rPr>
        <w:t>保障对象为：建档立卡贫困人口、特困人员救助对象、城乡最低生活保障对象和困境儿童。困难群众住院除享受城乡居民基本医保、大病保险报销外，个人累计负担的合规医疗费用超过3000元的，按照30%-90%的比例分段报销，不设封顶线。</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4、【医疗救助】</w:t>
      </w:r>
      <w:r>
        <w:rPr>
          <w:rFonts w:hint="eastAsia" w:ascii="宋体" w:hAnsi="宋体" w:eastAsia="宋体" w:cs="宋体"/>
          <w:color w:val="auto"/>
          <w:sz w:val="24"/>
          <w:szCs w:val="24"/>
          <w:highlight w:val="none"/>
        </w:rPr>
        <w:t>医疗救助主要采取以下两种方式，一是对救助对象参加基本医疗保险的个人缴费部分，给予补贴。全额资助农村特困人员的个人缴费部分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2020年每人250元；对农村最低生活保障对象和建档立卡贫困人口的个人缴费部分，按每人每年不低于30元资助。二是对重点救助对象经基本医疗保险、大病保险和其他补充医疗保险、商业保险等报销后个人负担的合规医疗费用，给予救助。患重大疾病的建档立卡贫困人口、农村低保对象、特困供养人员按照医保政策报销后按70-90%的比例再救助。</w:t>
      </w:r>
    </w:p>
    <w:p>
      <w:pPr>
        <w:widowControl w:val="0"/>
        <w:wordWrap/>
        <w:topLinePunct w:val="1"/>
        <w:adjustRightInd/>
        <w:snapToGrid/>
        <w:spacing w:before="0" w:after="0" w:line="440" w:lineRule="exact"/>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5.【农村困难群众“政康保工程”】</w:t>
      </w:r>
      <w:r>
        <w:rPr>
          <w:rFonts w:hint="eastAsia" w:ascii="宋体" w:hAnsi="宋体" w:eastAsia="宋体" w:cs="宋体"/>
          <w:color w:val="auto"/>
          <w:sz w:val="24"/>
          <w:szCs w:val="24"/>
          <w:highlight w:val="none"/>
        </w:rPr>
        <w:t>保障对象：具有我市户口、参加城乡居民基本医疗保险的建档立卡贫困人口或农村特困人员集中救助供养对象。</w:t>
      </w:r>
    </w:p>
    <w:p>
      <w:pPr>
        <w:widowControl w:val="0"/>
        <w:wordWrap/>
        <w:topLinePunct w:val="1"/>
        <w:adjustRightInd/>
        <w:snapToGrid/>
        <w:spacing w:before="0" w:after="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补助政策：一是贫困群众经鉴定符合门诊慢性病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19个病种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并发放慢病卡的患者，在城乡居民基本医疗保险、大病保险和大病补充保险报销的基础上，剩余合规医疗费用按70%给予补助，每人每年累计补助金额不超过2000元。二是困难群众重特大疾病门诊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35个病种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患者，在城乡居民基本医疗保险、大病保险和大病补充保险报销的基础上，剩余医疗费用，二级、三级医疗机构分别按70%、60%给予补助，每人每年累计补助金额不超过12000元。三是困难群众住院医疗费用在三次报销基础上，合规自付费用超过1000元部分，在一级、二级、三级医疗机构分别按85%、80%、70%给予补助，不设封顶线。</w:t>
      </w:r>
    </w:p>
    <w:p>
      <w:pPr>
        <w:widowControl w:val="0"/>
        <w:wordWrap/>
        <w:topLinePunct w:val="1"/>
        <w:adjustRightInd/>
        <w:snapToGrid/>
        <w:spacing w:before="0" w:after="0"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rPr>
      </w:pPr>
      <w:r>
        <w:rPr>
          <w:rFonts w:hint="eastAsia" w:ascii="方正小标宋简体" w:hAnsi="方正小标宋简体" w:eastAsia="方正小标宋简体" w:cs="方正小标宋简体"/>
          <w:color w:val="auto"/>
          <w:kern w:val="0"/>
          <w:sz w:val="32"/>
          <w:szCs w:val="32"/>
          <w:highlight w:val="none"/>
        </w:rPr>
        <w:br w:type="page"/>
      </w:r>
      <w:r>
        <w:rPr>
          <w:rFonts w:hint="eastAsia" w:ascii="方正小标宋简体" w:hAnsi="方正小标宋简体" w:eastAsia="方正小标宋简体" w:cs="方正小标宋简体"/>
          <w:color w:val="auto"/>
          <w:spacing w:val="0"/>
          <w:kern w:val="0"/>
          <w:sz w:val="32"/>
          <w:szCs w:val="32"/>
          <w:highlight w:val="none"/>
        </w:rPr>
        <w:t>南阳市城乡居民基本医疗保险门诊慢性病</w:t>
      </w:r>
    </w:p>
    <w:p>
      <w:pPr>
        <w:widowControl w:val="0"/>
        <w:wordWrap/>
        <w:topLinePunct w:val="1"/>
        <w:adjustRightInd/>
        <w:snapToGrid/>
        <w:spacing w:before="0" w:afterLines="50"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rPr>
      </w:pPr>
      <w:r>
        <w:rPr>
          <w:rFonts w:hint="eastAsia" w:ascii="方正小标宋简体" w:hAnsi="方正小标宋简体" w:eastAsia="方正小标宋简体" w:cs="方正小标宋简体"/>
          <w:color w:val="auto"/>
          <w:spacing w:val="0"/>
          <w:kern w:val="0"/>
          <w:sz w:val="32"/>
          <w:szCs w:val="32"/>
          <w:highlight w:val="none"/>
        </w:rPr>
        <w:t>病种及限额标准（19种）</w:t>
      </w:r>
    </w:p>
    <w:tbl>
      <w:tblPr>
        <w:tblW w:w="6384" w:type="dxa"/>
        <w:jc w:val="center"/>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29"/>
        <w:gridCol w:w="1260"/>
        <w:gridCol w:w="545"/>
        <w:gridCol w:w="1665"/>
        <w:gridCol w:w="1111"/>
      </w:tblGrid>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病种</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限额标准</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病种</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限额标准</w:t>
            </w:r>
          </w:p>
        </w:tc>
      </w:tr>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恶性肿瘤</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260-600元/月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肾病综合征</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r>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异体器官移植</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3200-4800元/月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Ⅱ期及以上</w:t>
            </w:r>
          </w:p>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高血压病</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r>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结核病</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冠心病</w:t>
            </w:r>
          </w:p>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（非隐匿型）</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r>
      <w:tr>
        <w:trPr>
          <w:trHeight w:val="649"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精神病</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急性脑血管病后遗症</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r>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丙肝</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600-2000元/月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强直性脊柱炎</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r>
      <w:tr>
        <w:trPr>
          <w:trHeight w:val="651"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肝硬化（肝硬化失代偿期）</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慢性阻塞性</w:t>
            </w:r>
          </w:p>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肺疾病</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r>
      <w:tr>
        <w:trPr>
          <w:trHeight w:val="559"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系统性红斑狼疮</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肺心病</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r>
      <w:tr>
        <w:trPr>
          <w:trHeight w:val="559"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类风湿性关节炎</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癫痫</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150元/月</w:t>
            </w:r>
          </w:p>
        </w:tc>
      </w:tr>
      <w:tr>
        <w:trPr>
          <w:trHeight w:val="572"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2型糖尿病伴多并发症</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艾滋病抗机会性感染</w:t>
            </w: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r>
      <w:tr>
        <w:trPr>
          <w:trHeight w:val="1155" w:hRule="atLeast"/>
          <w:jc w:val="center"/>
        </w:trPr>
        <w:tc>
          <w:tcPr>
            <w:tcW w:w="474"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9"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帕金森氏病或帕金森氏综合症（合并有脑血管病）</w:t>
            </w:r>
          </w:p>
        </w:tc>
        <w:tc>
          <w:tcPr>
            <w:tcW w:w="1260"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200元/月</w:t>
            </w:r>
          </w:p>
        </w:tc>
        <w:tc>
          <w:tcPr>
            <w:tcW w:w="54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p>
        </w:tc>
        <w:tc>
          <w:tcPr>
            <w:tcW w:w="1665"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p>
        </w:tc>
        <w:tc>
          <w:tcPr>
            <w:tcW w:w="1111" w:type="dxa"/>
            <w:vAlign w:val="center"/>
          </w:tcPr>
          <w:p>
            <w:pPr>
              <w:widowControl w:val="0"/>
              <w:wordWrap/>
              <w:topLinePunct w:val="1"/>
              <w:adjustRightInd/>
              <w:snapToGrid/>
              <w:spacing w:before="0" w:after="0" w:line="280" w:lineRule="exact"/>
              <w:ind w:left="0" w:leftChars="0" w:right="0" w:firstLine="0" w:firstLineChars="0"/>
              <w:jc w:val="center"/>
              <w:textAlignment w:val="auto"/>
              <w:outlineLvl w:val="9"/>
              <w:rPr>
                <w:rFonts w:hint="eastAsia" w:ascii="宋体" w:hAnsi="宋体" w:eastAsia="宋体" w:cs="宋体"/>
                <w:color w:val="auto"/>
                <w:kern w:val="0"/>
                <w:sz w:val="21"/>
                <w:szCs w:val="21"/>
                <w:highlight w:val="none"/>
              </w:rPr>
            </w:pPr>
          </w:p>
        </w:tc>
      </w:tr>
    </w:tbl>
    <w:p>
      <w:pPr>
        <w:widowControl w:val="0"/>
        <w:wordWrap/>
        <w:topLinePunct w:val="1"/>
        <w:adjustRightInd/>
        <w:snapToGrid/>
        <w:spacing w:before="0" w:after="0"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rPr>
      </w:pPr>
      <w:r>
        <w:rPr>
          <w:rFonts w:hint="eastAsia" w:ascii="方正小标宋简体" w:hAnsi="方正小标宋简体" w:eastAsia="方正小标宋简体" w:cs="方正小标宋简体"/>
          <w:color w:val="auto"/>
          <w:kern w:val="0"/>
          <w:sz w:val="32"/>
          <w:szCs w:val="32"/>
          <w:highlight w:val="none"/>
        </w:rPr>
        <w:br w:type="page"/>
      </w:r>
      <w:r>
        <w:rPr>
          <w:rFonts w:hint="eastAsia" w:ascii="方正小标宋简体" w:hAnsi="方正小标宋简体" w:eastAsia="方正小标宋简体" w:cs="方正小标宋简体"/>
          <w:color w:val="auto"/>
          <w:spacing w:val="0"/>
          <w:kern w:val="0"/>
          <w:sz w:val="32"/>
          <w:szCs w:val="32"/>
          <w:highlight w:val="none"/>
        </w:rPr>
        <w:t>城乡居民门诊重特大疾病医疗待遇</w:t>
      </w:r>
    </w:p>
    <w:p>
      <w:pPr>
        <w:widowControl w:val="0"/>
        <w:wordWrap/>
        <w:topLinePunct w:val="1"/>
        <w:adjustRightInd/>
        <w:snapToGrid/>
        <w:spacing w:before="0" w:afterLines="50" w:line="500" w:lineRule="exact"/>
        <w:ind w:left="0" w:leftChars="0" w:right="0" w:firstLine="0" w:firstLineChars="0"/>
        <w:jc w:val="center"/>
        <w:textAlignment w:val="auto"/>
        <w:outlineLvl w:val="9"/>
        <w:rPr>
          <w:rFonts w:ascii="方正小标宋简体" w:hAnsi="方正小标宋简体" w:eastAsia="方正小标宋简体" w:cs="方正小标宋简体"/>
          <w:color w:val="auto"/>
          <w:kern w:val="0"/>
          <w:sz w:val="32"/>
          <w:szCs w:val="32"/>
          <w:highlight w:val="none"/>
        </w:rPr>
      </w:pPr>
      <w:r>
        <w:rPr>
          <w:rFonts w:hint="eastAsia" w:ascii="方正小标宋简体" w:hAnsi="方正小标宋简体" w:eastAsia="方正小标宋简体" w:cs="方正小标宋简体"/>
          <w:color w:val="auto"/>
          <w:spacing w:val="0"/>
          <w:kern w:val="0"/>
          <w:sz w:val="32"/>
          <w:szCs w:val="32"/>
          <w:highlight w:val="none"/>
        </w:rPr>
        <w:t>（门诊35种）</w:t>
      </w:r>
    </w:p>
    <w:tbl>
      <w:tblPr>
        <w:tblW w:w="6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7"/>
        <w:gridCol w:w="744"/>
        <w:gridCol w:w="1676"/>
        <w:gridCol w:w="766"/>
        <w:gridCol w:w="2387"/>
      </w:tblGrid>
      <w:tr>
        <w:trPr>
          <w:trHeight w:val="454" w:hRule="atLeast"/>
          <w:tblHeader/>
          <w:jc w:val="center"/>
        </w:trPr>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病种名称</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病种名称</w:t>
            </w:r>
          </w:p>
        </w:tc>
      </w:tr>
      <w:tr>
        <w:trPr>
          <w:trHeight w:val="454"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w:t>
            </w:r>
          </w:p>
        </w:tc>
        <w:tc>
          <w:tcPr>
            <w:tcW w:w="24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终末期肾病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16</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晚期肾癌</w:t>
            </w:r>
          </w:p>
        </w:tc>
      </w:tr>
      <w:tr>
        <w:trPr>
          <w:trHeight w:val="454"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24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17</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胰腺神经内分泌瘤</w:t>
            </w:r>
          </w:p>
        </w:tc>
      </w:tr>
      <w:tr>
        <w:trPr>
          <w:trHeight w:val="454"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w:t>
            </w:r>
          </w:p>
        </w:tc>
        <w:tc>
          <w:tcPr>
            <w:tcW w:w="24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血友病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18</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肾血管平滑肌脂肪瘤</w:t>
            </w:r>
          </w:p>
        </w:tc>
      </w:tr>
      <w:tr>
        <w:trPr>
          <w:trHeight w:val="454"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24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19</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多发性骨髓瘤</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I</w:t>
            </w:r>
            <w:r>
              <w:rPr>
                <w:rFonts w:hint="eastAsia" w:ascii="宋体" w:hAnsi="宋体" w:cs="宋体"/>
                <w:color w:val="auto"/>
                <w:kern w:val="0"/>
                <w:sz w:val="21"/>
                <w:szCs w:val="21"/>
                <w:highlight w:val="none"/>
              </w:rPr>
              <w:t>型糖尿病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20</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前列腺癌</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4</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甲状腺机能亢进</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21</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多发性硬化</w:t>
            </w:r>
          </w:p>
        </w:tc>
      </w:tr>
      <w:tr>
        <w:trPr>
          <w:trHeight w:val="454"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5</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苯丙酮尿症</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经典型苯丙酮尿症</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22</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黄斑变性</w:t>
            </w:r>
          </w:p>
        </w:tc>
      </w:tr>
      <w:tr>
        <w:trPr>
          <w:trHeight w:val="454"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四氢生物蝶呤缺乏症</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23</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肌萎缩侧索硬化</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6</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耐多药肺结核</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24</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原发性免疫球蛋白缺乏症</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7</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再生障碍性贫血</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25</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特发性肺纤维化</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8</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慢性粒细胞性白血病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26</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肝癌</w:t>
            </w:r>
          </w:p>
        </w:tc>
      </w:tr>
      <w:tr>
        <w:trPr>
          <w:trHeight w:val="454"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9</w:t>
            </w:r>
          </w:p>
        </w:tc>
        <w:tc>
          <w:tcPr>
            <w:tcW w:w="24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非小细胞肺癌</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27</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甲状腺癌</w:t>
            </w:r>
          </w:p>
        </w:tc>
      </w:tr>
      <w:tr>
        <w:trPr>
          <w:trHeight w:val="454"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24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28</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急性早幼粒细胞白血病</w:t>
            </w:r>
          </w:p>
        </w:tc>
      </w:tr>
      <w:tr>
        <w:trPr>
          <w:trHeight w:val="454"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24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29</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晚期胃癌</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10</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胃肠间质瘤</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30</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Ⅲ</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Ⅳ期鼻咽癌</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11</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HER2</w:t>
            </w:r>
            <w:r>
              <w:rPr>
                <w:rFonts w:hint="eastAsia" w:ascii="宋体" w:hAnsi="宋体" w:cs="宋体"/>
                <w:color w:val="auto"/>
                <w:kern w:val="0"/>
                <w:sz w:val="21"/>
                <w:szCs w:val="21"/>
                <w:highlight w:val="none"/>
              </w:rPr>
              <w:t>阳性乳腺癌</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31</w:t>
            </w:r>
          </w:p>
        </w:tc>
        <w:tc>
          <w:tcPr>
            <w:tcW w:w="2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外周</w:t>
            </w:r>
            <w:r>
              <w:rPr>
                <w:rFonts w:ascii="宋体" w:hAnsi="宋体" w:cs="宋体"/>
                <w:color w:val="auto"/>
                <w:kern w:val="0"/>
                <w:sz w:val="21"/>
                <w:szCs w:val="21"/>
                <w:highlight w:val="none"/>
              </w:rPr>
              <w:t>T</w:t>
            </w:r>
            <w:r>
              <w:rPr>
                <w:rFonts w:hint="eastAsia" w:ascii="宋体" w:hAnsi="宋体" w:cs="宋体"/>
                <w:color w:val="auto"/>
                <w:kern w:val="0"/>
                <w:sz w:val="21"/>
                <w:szCs w:val="21"/>
                <w:highlight w:val="none"/>
              </w:rPr>
              <w:t>细胞淋巴瘤</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12</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结肠癌</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32</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直肠癌</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13</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黑色素瘤</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33</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小淋巴细胞淋巴瘤</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14</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套细胞淋巴瘤</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34</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慢性淋巴细胞白血病</w:t>
            </w:r>
          </w:p>
        </w:tc>
      </w:tr>
      <w:tr>
        <w:trPr>
          <w:trHeight w:val="454" w:hRule="atLeast"/>
          <w:jc w:val="center"/>
        </w:trPr>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15</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胃肠胰内分泌肿瘤</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ascii="宋体" w:hAnsi="宋体" w:cs="宋体"/>
                <w:color w:val="auto"/>
                <w:kern w:val="0"/>
                <w:sz w:val="21"/>
                <w:szCs w:val="21"/>
                <w:highlight w:val="none"/>
              </w:rPr>
              <w:t>35</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val="1"/>
              <w:spacing w:line="36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肢端肥大症</w:t>
            </w:r>
          </w:p>
        </w:tc>
      </w:tr>
    </w:tbl>
    <w:p>
      <w:pPr>
        <w:topLinePunct w:val="1"/>
        <w:spacing w:line="600" w:lineRule="exact"/>
        <w:ind w:firstLine="640" w:firstLineChars="200"/>
        <w:rPr>
          <w:rFonts w:ascii="仿宋_GB2312" w:hAnsi="仿宋_GB2312" w:eastAsia="仿宋_GB2312" w:cs="仿宋_GB2312"/>
          <w:color w:val="auto"/>
          <w:sz w:val="32"/>
          <w:szCs w:val="32"/>
          <w:highlight w:val="none"/>
        </w:rPr>
      </w:pP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6、【“政福保”特困群众重病医疗救助】保障对象：</w:t>
      </w:r>
      <w:r>
        <w:rPr>
          <w:rFonts w:hint="eastAsia" w:ascii="宋体" w:hAnsi="宋体" w:eastAsia="宋体" w:cs="宋体"/>
          <w:color w:val="auto"/>
          <w:sz w:val="24"/>
          <w:szCs w:val="24"/>
          <w:highlight w:val="none"/>
        </w:rPr>
        <w:t>家庭成员均为“老、弱、病、残、幼”对象，无劳动能力，医疗费用支出大，虽经扶贫、救助等政策帮扶，但仍然入不敷出、无法摆脱贫困的建档立卡贫困户、低保户、特困供养户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具体由民政部门认定）。</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补助政策：</w:t>
      </w:r>
      <w:r>
        <w:rPr>
          <w:rFonts w:hint="eastAsia" w:ascii="宋体" w:hAnsi="宋体" w:eastAsia="宋体" w:cs="宋体"/>
          <w:color w:val="auto"/>
          <w:sz w:val="24"/>
          <w:szCs w:val="24"/>
          <w:highlight w:val="none"/>
        </w:rPr>
        <w:t>经五级（基本医疗保险、大病保险、大病补充保险、医疗救助、政康保工程、报销后剩余合规部分，剩余部分在2000元以内的，按合规自</w:t>
      </w:r>
      <w:r>
        <w:rPr>
          <w:rFonts w:hint="eastAsia" w:ascii="宋体" w:hAnsi="宋体" w:eastAsia="宋体" w:cs="宋体"/>
          <w:color w:val="auto"/>
          <w:sz w:val="24"/>
          <w:szCs w:val="24"/>
          <w:highlight w:val="none"/>
          <w:lang w:eastAsia="zh-CN"/>
        </w:rPr>
        <w:t>负</w:t>
      </w:r>
      <w:r>
        <w:rPr>
          <w:rFonts w:hint="eastAsia" w:ascii="宋体" w:hAnsi="宋体" w:eastAsia="宋体" w:cs="宋体"/>
          <w:color w:val="auto"/>
          <w:sz w:val="24"/>
          <w:szCs w:val="24"/>
          <w:highlight w:val="none"/>
        </w:rPr>
        <w:t>金额报销；在2000元以上的，按合规自</w:t>
      </w:r>
      <w:r>
        <w:rPr>
          <w:rFonts w:hint="eastAsia" w:ascii="宋体" w:hAnsi="宋体" w:eastAsia="宋体" w:cs="宋体"/>
          <w:color w:val="auto"/>
          <w:sz w:val="24"/>
          <w:szCs w:val="24"/>
          <w:highlight w:val="none"/>
          <w:lang w:eastAsia="zh-CN"/>
        </w:rPr>
        <w:t>负</w:t>
      </w:r>
      <w:r>
        <w:rPr>
          <w:rFonts w:hint="eastAsia" w:ascii="宋体" w:hAnsi="宋体" w:eastAsia="宋体" w:cs="宋体"/>
          <w:color w:val="auto"/>
          <w:sz w:val="24"/>
          <w:szCs w:val="24"/>
          <w:highlight w:val="none"/>
        </w:rPr>
        <w:t>金额的80%报销，报销金额最高5000元。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7、【“一站式结算”】</w:t>
      </w:r>
      <w:r>
        <w:rPr>
          <w:rFonts w:hint="eastAsia" w:ascii="宋体" w:hAnsi="宋体" w:eastAsia="宋体" w:cs="宋体"/>
          <w:color w:val="auto"/>
          <w:sz w:val="24"/>
          <w:szCs w:val="24"/>
          <w:highlight w:val="none"/>
        </w:rPr>
        <w:t>贫困人口在县域内住院治疗，可享受基本医保、大病保险、大病补充保险、医疗救助、政康保工程五次报销一站式结算。</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bCs/>
          <w:color w:val="auto"/>
          <w:sz w:val="24"/>
          <w:szCs w:val="24"/>
          <w:highlight w:val="none"/>
        </w:rPr>
        <w:t>8、【“先诊疗后付费”】</w:t>
      </w:r>
      <w:r>
        <w:rPr>
          <w:rFonts w:hint="eastAsia" w:ascii="宋体" w:hAnsi="宋体" w:eastAsia="宋体" w:cs="宋体"/>
          <w:color w:val="auto"/>
          <w:sz w:val="24"/>
          <w:szCs w:val="24"/>
          <w:highlight w:val="none"/>
        </w:rPr>
        <w:t>参加城乡居民医疗保险的建档立卡贫困人口、</w:t>
      </w:r>
      <w:r>
        <w:rPr>
          <w:rFonts w:hint="eastAsia" w:ascii="宋体" w:hAnsi="宋体" w:eastAsia="宋体" w:cs="宋体"/>
          <w:bCs/>
          <w:color w:val="auto"/>
          <w:sz w:val="24"/>
          <w:szCs w:val="24"/>
          <w:highlight w:val="none"/>
        </w:rPr>
        <w:t>特困人员救助供养对象、城乡最低生活保障对象、困境儿童在县域内定点医疗机构住院治疗免交住院押金，出院时仅结清个人应承担的费用。</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9、【“家庭签约医生”服务】</w:t>
      </w:r>
      <w:r>
        <w:rPr>
          <w:rFonts w:hint="eastAsia" w:ascii="宋体" w:hAnsi="宋体" w:eastAsia="宋体" w:cs="宋体"/>
          <w:color w:val="auto"/>
          <w:sz w:val="24"/>
          <w:szCs w:val="24"/>
          <w:highlight w:val="none"/>
        </w:rPr>
        <w:t>对建档立卡贫困户（含脱贫户）开展“家庭医生”签约，可以享受15项基本公共卫生服务内容：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健康监督协管、婚前检查、免费提供避孕药具、健康素养促进。</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10、【大病救治】</w:t>
      </w:r>
      <w:r>
        <w:rPr>
          <w:rFonts w:hint="eastAsia" w:ascii="宋体" w:hAnsi="宋体" w:eastAsia="宋体" w:cs="宋体"/>
          <w:color w:val="auto"/>
          <w:sz w:val="24"/>
          <w:szCs w:val="24"/>
          <w:highlight w:val="none"/>
        </w:rPr>
        <w:t>对建档立卡贫困户（含脱贫户）家庭成员和经民政部门核实核准的农村特困人员和低保对象中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以下统称“贫困人口”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患30种大病的，开展专项救治；30种大病：儿童白血病、儿童先心病、食管癌、胃癌、结肠癌、直肠癌、终末期肾病、肺癌、肝癌、乳腺癌、宫颈癌、急性心肌梗死、白内障、尘肺、神经母细胞瘤、儿童淋巴瘤、骨肉瘤、血友病、地中海贫血、唇腭裂、尿道下裂、耐多药结核病、脑卒中、慢性阻塞性肺气肿、艾滋病机会感染、</w:t>
      </w:r>
      <w:r>
        <w:rPr>
          <w:rFonts w:hint="eastAsia" w:ascii="宋体" w:hAnsi="宋体" w:eastAsia="宋体" w:cs="宋体"/>
          <w:b/>
          <w:bCs/>
          <w:color w:val="auto"/>
          <w:sz w:val="24"/>
          <w:szCs w:val="24"/>
          <w:highlight w:val="none"/>
        </w:rPr>
        <w:t>膀胱癌、卵巢癌、肾癌、重性精神疾病、风湿性心脏病。</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29" w:name="_Toc18656"/>
      <w:r>
        <w:rPr>
          <w:rFonts w:hint="eastAsia" w:ascii="楷体_GB2312" w:hAnsi="楷体_GB2312" w:eastAsia="楷体_GB2312" w:cs="楷体_GB2312"/>
          <w:b/>
          <w:color w:val="auto"/>
          <w:sz w:val="24"/>
          <w:szCs w:val="24"/>
          <w:highlight w:val="none"/>
          <w:lang w:val="en-US" w:eastAsia="zh-CN"/>
        </w:rPr>
        <w:t>（二）教育扶贫政策（10项）</w:t>
      </w:r>
      <w:bookmarkEnd w:id="29"/>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11、【3至6岁学前阶段】</w:t>
      </w:r>
      <w:r>
        <w:rPr>
          <w:rFonts w:hint="eastAsia" w:ascii="宋体" w:hAnsi="宋体" w:eastAsia="宋体" w:cs="宋体"/>
          <w:color w:val="auto"/>
          <w:sz w:val="24"/>
          <w:szCs w:val="24"/>
          <w:highlight w:val="none"/>
        </w:rPr>
        <w:t>家庭经济困难的在园幼儿可以享受生活补助费每生每年不低于400元，建档立卡贫困家庭在园幼儿可以同时享受每生每年600元的保教费资助。条件是必须在教育行政部门审批的幼儿园并且具有正式学籍。</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12、【义务教育阶段】</w:t>
      </w:r>
      <w:r>
        <w:rPr>
          <w:rFonts w:hint="eastAsia" w:ascii="宋体" w:hAnsi="宋体" w:eastAsia="宋体" w:cs="宋体"/>
          <w:color w:val="auto"/>
          <w:sz w:val="24"/>
          <w:szCs w:val="24"/>
          <w:highlight w:val="none"/>
        </w:rPr>
        <w:t>所有建档立卡贫困家庭义务教育阶段适龄儿童必须全部上学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因自身条件不能上学的除外），按规定可以享受“两免”政策，家庭经济困难学生生活补助和营养改善计划。“两免”政策是指对城乡义务教育学生免除学杂费、免费提供教科书。</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z w:val="24"/>
          <w:szCs w:val="24"/>
          <w:highlight w:val="none"/>
        </w:rPr>
        <w:t>家庭经济困难学生生活补助是针对具有正式学籍，学生本人及其家庭所能筹集到的资金，支付其在校学习期间的学习和生活基本费用有困难的在校生（包括建档立卡贫困家庭学生），家庭经济困难寄宿生补助标准为：小学生1000元/年，初中生1250元/年；家庭经济困难非寄宿生补助标准为：小学生500元/年，初中生625元/年（家庭经济困难非寄宿生生活补助从2019年秋季学期开始执行）。</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义务教育阶段国定营养改善计划是指：按照国家有关政策规定，在26个国家连片特困地区重点县和12个国家扶贫开发重点县开展的农村义务教育营养改善计划（南阳涉及镇平、内乡、淅川、南召、社旗和桐柏六个国家级贫困县），补助标准为每生每天4元（全年按照学生在校时间200天计算），用于为学生提供营养膳食补助，不得以现金形式直接发放给学生个人和家长。</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义务教育省定营养改善计划是指：《河南省教育脱贫专项方案》中规定的义务教育阶段建档立卡贫困家庭学生营养改善计划，资助范围为全省义务教育阶段具有正式学籍的建档立卡贫困家庭在校学生，不含已经享受义务教育阶段国定营养改善计划的学生，资助标准为每生每年800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13、【高中阶段】</w:t>
      </w:r>
      <w:r>
        <w:rPr>
          <w:rFonts w:hint="eastAsia" w:ascii="宋体" w:hAnsi="宋体" w:eastAsia="宋体" w:cs="宋体"/>
          <w:color w:val="auto"/>
          <w:sz w:val="24"/>
          <w:szCs w:val="24"/>
          <w:highlight w:val="none"/>
        </w:rPr>
        <w:t>对具有正式注册学籍的普通高中建档立卡贫困家庭家庭学生（含非建档立卡家庭经济困难的残疾学生、农村低保家庭学生、农村特困救助供养学生）免除学费、住宿费，享受每生每年不低于2000元助学金。</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14、【中等职业教育阶段】</w:t>
      </w:r>
      <w:r>
        <w:rPr>
          <w:rFonts w:hint="eastAsia" w:ascii="宋体" w:hAnsi="宋体" w:eastAsia="宋体" w:cs="宋体"/>
          <w:color w:val="auto"/>
          <w:sz w:val="24"/>
          <w:szCs w:val="24"/>
          <w:highlight w:val="none"/>
        </w:rPr>
        <w:t>对各类中等职业学校全日制正式学籍的在校学生全部免除学费。对在职业教育行政管理部门依法批准、符合国家标准的民办学校就读的一、二、三年级符合免学费政策条件的学生，按照当地同类型同专业公办中等职业学校免除学费标准给予补助，民办学校经批准的学费标准高于公办学校免学费标准部分，学校可以按规定继续向学生收取。中等职业学校国家助学金资助对象是具有中等职业学校全日制正式学籍的一、二年级在校涉农专业学生和非涉农专业家庭经济困难学生，符合政策的建档立卡贫困家庭学生，可以申请享受每生每年2000元的国家助学金。全日制具有正式学籍的在校建档立卡贫困学生可以享受由扶贫部门发放的每生每年3000元“雨露计划”补助。</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15、【大学专科教育】</w:t>
      </w:r>
      <w:r>
        <w:rPr>
          <w:rFonts w:hint="eastAsia" w:ascii="宋体" w:hAnsi="宋体" w:eastAsia="宋体" w:cs="宋体"/>
          <w:color w:val="auto"/>
          <w:sz w:val="24"/>
          <w:szCs w:val="24"/>
          <w:highlight w:val="none"/>
        </w:rPr>
        <w:t>在省内就读全日制大学专科教育的建档立卡贫困家庭学生可以享受国家助学金（4000元/生/年）和“雨露计划”助学补助（3000元/生/年）。国家助学金由学生所就读高校负责落实，“雨露计划”助学补助由扶贫部门负责落实。</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16、【大学本科教育】</w:t>
      </w:r>
      <w:r>
        <w:rPr>
          <w:rFonts w:hint="eastAsia" w:ascii="宋体" w:hAnsi="宋体" w:eastAsia="宋体" w:cs="宋体"/>
          <w:color w:val="auto"/>
          <w:sz w:val="24"/>
          <w:szCs w:val="24"/>
          <w:highlight w:val="none"/>
        </w:rPr>
        <w:t>在省内就读全日制大学本科教育的建档立卡贫困户家庭学生可以享受国家助学金（4000元/生/年），由学生所就读高校负责落实。</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17、【硕士研究生教育】</w:t>
      </w:r>
      <w:r>
        <w:rPr>
          <w:rFonts w:hint="eastAsia" w:ascii="宋体" w:hAnsi="宋体" w:eastAsia="宋体" w:cs="宋体"/>
          <w:color w:val="auto"/>
          <w:sz w:val="24"/>
          <w:szCs w:val="24"/>
          <w:highlight w:val="none"/>
        </w:rPr>
        <w:t>在省内就读全日制硕士研究生教育的建档立卡贫困户家庭学生可以享受国家助学金（6000元/生/年），由学生所就读高校负责落实。</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18、【博士研究生教育】</w:t>
      </w:r>
      <w:r>
        <w:rPr>
          <w:rFonts w:hint="eastAsia" w:ascii="宋体" w:hAnsi="宋体" w:eastAsia="宋体" w:cs="宋体"/>
          <w:color w:val="auto"/>
          <w:sz w:val="24"/>
          <w:szCs w:val="24"/>
          <w:highlight w:val="none"/>
        </w:rPr>
        <w:t>在省内就读全日制博士研究生教育的建档立卡贫困户家庭学生可以享受国家助学金（13000元/生/年），由学生所就读高校负责落实。</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19、【生源地信用助学贷款</w:t>
      </w:r>
      <w:r>
        <w:rPr>
          <w:rFonts w:hint="eastAsia" w:ascii="宋体" w:hAnsi="宋体" w:eastAsia="宋体" w:cs="宋体"/>
          <w:color w:val="auto"/>
          <w:sz w:val="24"/>
          <w:szCs w:val="24"/>
          <w:highlight w:val="none"/>
        </w:rPr>
        <w:t>】被根据国家有关规定批准设立、实施高等学历教育的全日制普通本科高校、高等职业学校和高等专科学校（含民办高校和独立学院，学校名单以教育部公布的为准）正式录取，取得真实、合法、有效录取通知书的家庭经济困难新生或在校生（含建档立卡贫困家庭学生），通过户籍所在县、区资助中心按照相关规定和要求申请办理的助学贷款（大学新生应在入学前申请办理）。</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贷款金额：按学费、住宿费实际金额总和确定，本专科生每生每学年最高不超过8000元，研究生每生每年最高不超过12000元。建档立卡贫困家庭学生可以按照最高金额贷款。</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20、【高校国家助学贷款】</w:t>
      </w:r>
      <w:r>
        <w:rPr>
          <w:rFonts w:hint="eastAsia" w:ascii="宋体" w:hAnsi="宋体" w:eastAsia="宋体" w:cs="宋体"/>
          <w:color w:val="auto"/>
          <w:sz w:val="24"/>
          <w:szCs w:val="24"/>
          <w:highlight w:val="none"/>
        </w:rPr>
        <w:t>已被普通高校、科研院所、党校、行政学院、会计学院等培养单位正式录取的家庭经济困难的全日制普通本专科生（含建档立卡贫困家庭学生，含第二学士学位学生）、研究生和预科生，通过本校学生资助部门申请办理的国家助学贷款。</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贷款金额：按学费、住宿费实际金额总和确定，本专科生每生每学年最高不超过8000元，研究生每生每年最高不超过12000元。建档立卡贫困家庭学生可以按照最高金额贷款。</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30" w:name="_Toc20132"/>
      <w:r>
        <w:rPr>
          <w:rFonts w:hint="eastAsia" w:ascii="楷体_GB2312" w:hAnsi="楷体_GB2312" w:eastAsia="楷体_GB2312" w:cs="楷体_GB2312"/>
          <w:b/>
          <w:color w:val="auto"/>
          <w:sz w:val="24"/>
          <w:szCs w:val="24"/>
          <w:highlight w:val="none"/>
          <w:lang w:val="en-US" w:eastAsia="zh-CN"/>
        </w:rPr>
        <w:t>（三）住房保障政策（4项）</w:t>
      </w:r>
      <w:bookmarkEnd w:id="30"/>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、【安全评定】</w:t>
      </w:r>
      <w:r>
        <w:rPr>
          <w:rFonts w:hint="eastAsia" w:ascii="宋体" w:hAnsi="宋体" w:eastAsia="宋体" w:cs="宋体"/>
          <w:color w:val="auto"/>
          <w:sz w:val="24"/>
          <w:szCs w:val="24"/>
          <w:highlight w:val="none"/>
        </w:rPr>
        <w:t>所有4类重点对象（建档立卡贫困户、低保、五保、残疾人）的住房全部进行安全评定；4类重点对象对房屋安全等级评定结果有异议的，由第三方专业机构进行危房鉴定；经评定或鉴定为C、D级危房的进行改造，或采取置换、租赁等形式解决住房安全</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、【危房改造流程】</w:t>
      </w:r>
      <w:r>
        <w:rPr>
          <w:rFonts w:hint="eastAsia" w:ascii="宋体" w:hAnsi="宋体" w:eastAsia="宋体" w:cs="宋体"/>
          <w:color w:val="auto"/>
          <w:sz w:val="24"/>
          <w:szCs w:val="24"/>
          <w:highlight w:val="none"/>
        </w:rPr>
        <w:t>申请、民主评议、村级公示、填写申请表（新建房屋需签订建新拆旧协议）、乡镇审核、县级审批、乡镇公示、县级复核、县级公示、组织实施、竣工验收、补贴发放</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、【危房改造面积】</w:t>
      </w:r>
      <w:r>
        <w:rPr>
          <w:rFonts w:hint="eastAsia" w:ascii="宋体" w:hAnsi="宋体" w:eastAsia="宋体" w:cs="宋体"/>
          <w:color w:val="auto"/>
          <w:sz w:val="24"/>
          <w:szCs w:val="24"/>
          <w:highlight w:val="none"/>
        </w:rPr>
        <w:t>改造房屋的建筑面积原则上1至3人户控制在40-60平米以内，且1人户不低于20平米、2人户不低于30平米、3人户不低于40平米；3人以上户人均建筑面积不超过18平米，不得低于13平米。对于自筹资金困难、需要社保政策兜底脱贫的特困户，改造房屋面积按下限标准控制</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、【危房改造补助标准】</w:t>
      </w:r>
      <w:r>
        <w:rPr>
          <w:rFonts w:hint="eastAsia" w:ascii="宋体" w:hAnsi="宋体" w:eastAsia="宋体" w:cs="宋体"/>
          <w:color w:val="auto"/>
          <w:sz w:val="24"/>
          <w:szCs w:val="24"/>
          <w:highlight w:val="none"/>
        </w:rPr>
        <w:t>2019年4类重点对象农村危房改造中央补助标准为每户平均14000元,省级配套资金补助标准为每户平均3000元。依据改造原因、改造方式、建设成本和补助对象自筹资金能力等，合理确定D级、C级危房改造补助金额。各类对象补助资金原则上按以下标准执行，各县市区（工区）可根据实际进行调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（1）C级危房维修：10000元以内(含10000元)。</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（2）非建档立卡低保户、农村分散供养特困人员和贫困残疾人家庭D级危房改造：12000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30000元。</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（3）建档立卡贫困户D级危房改造：14000元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40000元。</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（4）需政策兜底解决住房安全的特困户，按照改造房屋面积下限标准全额保障。</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31" w:name="_Toc16145"/>
      <w:r>
        <w:rPr>
          <w:rFonts w:hint="eastAsia" w:ascii="楷体_GB2312" w:hAnsi="楷体_GB2312" w:eastAsia="楷体_GB2312" w:cs="楷体_GB2312"/>
          <w:b/>
          <w:color w:val="auto"/>
          <w:sz w:val="24"/>
          <w:szCs w:val="24"/>
          <w:highlight w:val="none"/>
          <w:lang w:val="en-US" w:eastAsia="zh-CN"/>
        </w:rPr>
        <w:t>（四）安全饮水政策（1项）</w:t>
      </w:r>
      <w:bookmarkEnd w:id="31"/>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、【安全饮水标准】</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安全饮水不是村村通自来水，农村饮水安全工程可以是集中供水，也可以是自备井、水窖、储水罐等分散式供水。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农村饮水安全评价指标包括水质、水量、用水方便程度、供水保证率4项指标。全部达标才能评价为饮水安全。</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b/>
          <w:bCs/>
          <w:color w:val="auto"/>
          <w:sz w:val="24"/>
          <w:szCs w:val="24"/>
          <w:highlight w:val="none"/>
        </w:rPr>
        <w:t>①</w:t>
      </w:r>
      <w:r>
        <w:rPr>
          <w:rFonts w:hint="eastAsia" w:ascii="宋体" w:hAnsi="宋体" w:eastAsia="宋体" w:cs="宋体"/>
          <w:b/>
          <w:bCs/>
          <w:color w:val="auto"/>
          <w:sz w:val="24"/>
          <w:szCs w:val="24"/>
          <w:highlight w:val="none"/>
        </w:rPr>
        <w:t>水质：</w:t>
      </w:r>
      <w:r>
        <w:rPr>
          <w:rFonts w:hint="eastAsia" w:ascii="宋体" w:hAnsi="宋体" w:eastAsia="宋体" w:cs="宋体"/>
          <w:color w:val="auto"/>
          <w:sz w:val="24"/>
          <w:szCs w:val="24"/>
          <w:highlight w:val="none"/>
        </w:rPr>
        <w:t>20人以上集中供水，每个供水点必须进行水质检测并出具检测报告；水质检测结果必须符合《生活饮用水卫生标准》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GB5749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规定。20人以下分散供水，可采用“望、闻、问、尝”等简便方法进行水质现场评价，饮用水中无肉眼可见杂质、无异色异味、用水户长期饮用无不良反应。</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b/>
          <w:bCs/>
          <w:color w:val="auto"/>
          <w:sz w:val="24"/>
          <w:szCs w:val="24"/>
          <w:highlight w:val="none"/>
        </w:rPr>
        <w:t>②水量：</w:t>
      </w:r>
      <w:r>
        <w:rPr>
          <w:rFonts w:hint="eastAsia" w:ascii="宋体" w:hAnsi="宋体" w:eastAsia="宋体" w:cs="宋体"/>
          <w:color w:val="auto"/>
          <w:sz w:val="24"/>
          <w:szCs w:val="24"/>
          <w:highlight w:val="none"/>
        </w:rPr>
        <w:t>每人每天供水量不少于20升。可根据工程实际供水能力与供水人数测算，也可根据一定时间内水窖、水罐等分散式储水设施设备的储水量或能获取的水量与供水人数测算，并结合用水户问询等方式评价。</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b/>
          <w:bCs/>
          <w:color w:val="auto"/>
          <w:sz w:val="24"/>
          <w:szCs w:val="24"/>
          <w:highlight w:val="none"/>
        </w:rPr>
        <w:t>③用水方便程度：</w:t>
      </w:r>
      <w:r>
        <w:rPr>
          <w:rFonts w:hint="eastAsia" w:ascii="宋体" w:hAnsi="宋体" w:eastAsia="宋体" w:cs="宋体"/>
          <w:color w:val="auto"/>
          <w:sz w:val="24"/>
          <w:szCs w:val="24"/>
          <w:highlight w:val="none"/>
        </w:rPr>
        <w:t>供水入户或人力取水往返时间不超过20分钟。供水入户可以是定时供水或分时供水。</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default" w:ascii="仿宋_GB2312" w:hAnsi="仿宋_GB2312" w:eastAsia="仿宋_GB2312" w:cs="仿宋_GB2312"/>
          <w:b/>
          <w:bCs/>
          <w:color w:val="auto"/>
          <w:sz w:val="24"/>
          <w:szCs w:val="24"/>
          <w:highlight w:val="none"/>
        </w:rPr>
        <w:t>④</w:t>
      </w:r>
      <w:r>
        <w:rPr>
          <w:rFonts w:hint="eastAsia" w:ascii="仿宋_GB2312" w:hAnsi="仿宋_GB2312" w:eastAsia="仿宋_GB2312" w:cs="仿宋_GB2312"/>
          <w:b/>
          <w:bCs/>
          <w:color w:val="auto"/>
          <w:sz w:val="24"/>
          <w:szCs w:val="24"/>
          <w:highlight w:val="none"/>
        </w:rPr>
        <w:t>供水保证率：</w:t>
      </w:r>
      <w:r>
        <w:rPr>
          <w:rFonts w:hint="eastAsia" w:ascii="宋体" w:hAnsi="宋体" w:eastAsia="宋体" w:cs="宋体"/>
          <w:color w:val="auto"/>
          <w:sz w:val="24"/>
          <w:szCs w:val="24"/>
          <w:highlight w:val="none"/>
        </w:rPr>
        <w:t>达到90%以上，即一年中水量不足的天数不超过36天。供水保证率可通过入户查看、问询工程实际供水情况以及用水户水窖、水罐等储水情况确认。</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32" w:name="_Toc13264"/>
      <w:r>
        <w:rPr>
          <w:rFonts w:hint="eastAsia" w:ascii="楷体_GB2312" w:hAnsi="楷体_GB2312" w:eastAsia="楷体_GB2312" w:cs="楷体_GB2312"/>
          <w:b/>
          <w:color w:val="auto"/>
          <w:sz w:val="24"/>
          <w:szCs w:val="24"/>
          <w:highlight w:val="none"/>
          <w:lang w:val="en-US" w:eastAsia="zh-CN"/>
        </w:rPr>
        <w:t>（五）综合保障扶贫政策（18项）</w:t>
      </w:r>
      <w:bookmarkEnd w:id="32"/>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26、【农村低保标准】</w:t>
      </w:r>
      <w:r>
        <w:rPr>
          <w:rFonts w:hint="eastAsia" w:ascii="宋体" w:hAnsi="宋体" w:eastAsia="宋体" w:cs="宋体"/>
          <w:color w:val="auto"/>
          <w:sz w:val="24"/>
          <w:szCs w:val="24"/>
          <w:highlight w:val="none"/>
        </w:rPr>
        <w:t>申请标准：20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年，根据算账年度农村家庭人均年收入低于</w:t>
      </w:r>
      <w:r>
        <w:rPr>
          <w:rFonts w:hint="eastAsia" w:ascii="宋体" w:hAnsi="宋体" w:eastAsia="宋体" w:cs="宋体"/>
          <w:color w:val="auto"/>
          <w:sz w:val="24"/>
          <w:szCs w:val="24"/>
          <w:highlight w:val="none"/>
          <w:lang w:val="en-US" w:eastAsia="zh-CN"/>
        </w:rPr>
        <w:t>456</w:t>
      </w:r>
      <w:r>
        <w:rPr>
          <w:rFonts w:hint="eastAsia" w:ascii="宋体" w:hAnsi="宋体" w:eastAsia="宋体" w:cs="宋体"/>
          <w:color w:val="auto"/>
          <w:sz w:val="24"/>
          <w:szCs w:val="24"/>
          <w:highlight w:val="none"/>
        </w:rPr>
        <w:t>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b/>
          <w:bCs/>
          <w:color w:val="auto"/>
          <w:sz w:val="24"/>
          <w:szCs w:val="24"/>
          <w:highlight w:val="none"/>
        </w:rPr>
        <w:t>补助标准：</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年我市农村最低生活保障月人均财政补助不低于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0元，各县市区在低保补助标准上依据平均水平分A类、B类、C类三个档次执行</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A类为每月335元，每年为4020元</w:t>
      </w:r>
      <w:r>
        <w:rPr>
          <w:rFonts w:hint="eastAsia" w:ascii="宋体" w:hAnsi="宋体" w:eastAsia="宋体" w:cs="宋体"/>
          <w:color w:val="auto"/>
          <w:sz w:val="24"/>
          <w:szCs w:val="24"/>
          <w:highlight w:val="none"/>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lang w:eastAsia="zh-CN"/>
        </w:rPr>
        <w:t>两户合一</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截止到</w:t>
      </w:r>
      <w:r>
        <w:rPr>
          <w:rFonts w:hint="eastAsia" w:ascii="宋体" w:hAnsi="宋体" w:eastAsia="宋体" w:cs="宋体"/>
          <w:color w:val="auto"/>
          <w:sz w:val="24"/>
          <w:szCs w:val="24"/>
          <w:highlight w:val="none"/>
          <w:lang w:val="en-US" w:eastAsia="zh-CN"/>
        </w:rPr>
        <w:t>2019年底，所有未脱贫的贫困户中符合条件人员全部纳入低保，原则上享受A类补助标准。</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【贫困残疾人办理低保】</w:t>
      </w:r>
      <w:r>
        <w:rPr>
          <w:rFonts w:hint="eastAsia" w:ascii="宋体" w:hAnsi="宋体" w:eastAsia="宋体" w:cs="宋体"/>
          <w:color w:val="auto"/>
          <w:sz w:val="24"/>
          <w:szCs w:val="24"/>
          <w:highlight w:val="none"/>
        </w:rPr>
        <w:t>所有未脱贫的贫困户中完全或部分丧失劳动能力的重度残疾人、重病患者必须享受到低保补助（重度残疾人是指一、二级残疾人，包括三级精神残疾人和三级智力残疾人，重病患者是指获得重特大疾病医疗救助的人员）</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、【返贫户临时救助】</w:t>
      </w:r>
      <w:r>
        <w:rPr>
          <w:rFonts w:hint="eastAsia" w:ascii="宋体" w:hAnsi="宋体" w:eastAsia="宋体" w:cs="宋体"/>
          <w:color w:val="auto"/>
          <w:sz w:val="24"/>
          <w:szCs w:val="24"/>
          <w:highlight w:val="none"/>
        </w:rPr>
        <w:t>所有返贫户家庭符合临时救助条件的必须享受到临时救助</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申请条件：家庭或个人因火灾、交通事故等意外事件，家庭成员突发重大疾病等原因，导致基本生活暂时出现严重困难。</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、【特困人员救助供养标准】</w:t>
      </w:r>
      <w:r>
        <w:rPr>
          <w:rFonts w:hint="eastAsia" w:ascii="宋体" w:hAnsi="宋体" w:eastAsia="宋体" w:cs="宋体"/>
          <w:color w:val="auto"/>
          <w:sz w:val="24"/>
          <w:szCs w:val="24"/>
          <w:highlight w:val="none"/>
        </w:rPr>
        <w:t>对无劳动能力、无生活来源、无法定赡养抚养义务人或者其法定义务人无履行义务能力的老年人、残疾人以及未满16周岁的未成年人予以救助供养，农村特困人员基本生活标准每人每年不低于6000元，并每年发放护理补贴，其中全自理人员每人每年360元，半失能人员每年1080元，全失能人员每人每年不低于3600元。</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特困人员生活自理能力，一般依据以下6项指标综合评估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自主吃饭、自主穿衣、自主上下床、自主如厕、室内自主行走、自主洗澡，6项指标全部达到的，可以视为具备生活自理能力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有3项以下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含3项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指标不能达到的，可以视为部分丧失生活自理能力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有4项以上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含4项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指标不能达到的，可以视为完全丧失生活自理能力。</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、【孤儿救助】</w:t>
      </w:r>
      <w:r>
        <w:rPr>
          <w:rFonts w:hint="eastAsia" w:ascii="宋体" w:hAnsi="宋体" w:eastAsia="宋体" w:cs="宋体"/>
          <w:color w:val="auto"/>
          <w:sz w:val="24"/>
          <w:szCs w:val="24"/>
          <w:highlight w:val="none"/>
        </w:rPr>
        <w:t>2019年，最新标准是：2019年7月1日，河南省民政厅、河南省财政厅《关于提高孤儿基本生活费最低养育标准的通知》（豫民文</w:t>
      </w:r>
      <w:r>
        <w:rPr>
          <w:rFonts w:hint="eastAsia"/>
          <w:color w:val="auto"/>
          <w:highlight w:val="none"/>
        </w:rPr>
        <w:t>〔</w:t>
      </w:r>
      <w:r>
        <w:rPr>
          <w:rFonts w:hint="eastAsia" w:ascii="宋体" w:hAnsi="宋体" w:eastAsia="宋体" w:cs="宋体"/>
          <w:color w:val="auto"/>
          <w:sz w:val="24"/>
          <w:szCs w:val="24"/>
          <w:highlight w:val="none"/>
        </w:rPr>
        <w:t>2019</w:t>
      </w:r>
      <w:r>
        <w:rPr>
          <w:rFonts w:hint="eastAsia"/>
          <w:color w:val="auto"/>
          <w:highlight w:val="none"/>
        </w:rPr>
        <w:t>〕</w:t>
      </w:r>
      <w:r>
        <w:rPr>
          <w:rFonts w:hint="eastAsia" w:ascii="宋体" w:hAnsi="宋体" w:eastAsia="宋体" w:cs="宋体"/>
          <w:color w:val="auto"/>
          <w:sz w:val="24"/>
          <w:szCs w:val="24"/>
          <w:highlight w:val="none"/>
        </w:rPr>
        <w:t>120号），从2019年1月1日起，全省社会散居孤儿基本生活费最低养育标准每人每月提高到950元，机构集中养育孤儿每人每月提高到1350元。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、【残疾鉴定】</w:t>
      </w:r>
      <w:r>
        <w:rPr>
          <w:rFonts w:hint="eastAsia" w:ascii="宋体" w:hAnsi="宋体" w:eastAsia="宋体" w:cs="宋体"/>
          <w:color w:val="auto"/>
          <w:sz w:val="24"/>
          <w:szCs w:val="24"/>
          <w:highlight w:val="none"/>
        </w:rPr>
        <w:t>所有建档立卡贫困户中的疑似残疾人必须组织进行鉴定，鉴定后不符合标准的户档中必须留存鉴定报告；符合鉴定标准的必须办理残疾证</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凡具有我市户籍,符合残疾标准的视力、听力、言语、肢体、智力、精神及多重残疾人均可申领残疾人证（听力言语障碍者,年满3周岁后方可提出申请，精神障碍者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年满2周岁后方可提出申请，因病、伤致残者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在治疗期终结、康复期满1年后方可提出申请）。</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、【贫困残疾大学新生入学资助】</w:t>
      </w:r>
      <w:r>
        <w:rPr>
          <w:rFonts w:hint="eastAsia" w:ascii="宋体" w:hAnsi="宋体" w:eastAsia="宋体" w:cs="宋体"/>
          <w:color w:val="auto"/>
          <w:sz w:val="24"/>
          <w:szCs w:val="24"/>
          <w:highlight w:val="none"/>
        </w:rPr>
        <w:t>所有考入普通高等院校及特殊教育学院的贫困残疾大学新生</w:t>
      </w:r>
      <w:r>
        <w:rPr>
          <w:rFonts w:hint="eastAsia" w:ascii="宋体" w:hAnsi="宋体" w:eastAsia="宋体" w:cs="宋体"/>
          <w:color w:val="auto"/>
          <w:sz w:val="24"/>
          <w:szCs w:val="24"/>
          <w:highlight w:val="none"/>
          <w:lang w:eastAsia="zh-CN"/>
        </w:rPr>
        <w:t>予以</w:t>
      </w:r>
      <w:r>
        <w:rPr>
          <w:rFonts w:hint="eastAsia" w:ascii="宋体" w:hAnsi="宋体" w:eastAsia="宋体" w:cs="宋体"/>
          <w:color w:val="auto"/>
          <w:sz w:val="24"/>
          <w:szCs w:val="24"/>
          <w:highlight w:val="none"/>
        </w:rPr>
        <w:t>一次性新生入学资助2000元，由各地残联部门负责落实</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、【康复救助】</w:t>
      </w:r>
      <w:r>
        <w:rPr>
          <w:rFonts w:hint="eastAsia" w:ascii="宋体" w:hAnsi="宋体" w:eastAsia="宋体" w:cs="宋体"/>
          <w:color w:val="auto"/>
          <w:sz w:val="24"/>
          <w:szCs w:val="24"/>
          <w:highlight w:val="none"/>
        </w:rPr>
        <w:t>所有有康复需求的0-6岁建档立卡贫困残疾儿童必须享受到康复救助，救助内容和标准：</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一是手术，</w:t>
      </w:r>
      <w:r>
        <w:rPr>
          <w:rFonts w:hint="eastAsia" w:ascii="宋体" w:hAnsi="宋体" w:eastAsia="宋体" w:cs="宋体"/>
          <w:color w:val="auto"/>
          <w:sz w:val="24"/>
          <w:szCs w:val="24"/>
          <w:highlight w:val="none"/>
        </w:rPr>
        <w:t>对配置基本型人工耳蜗手术每人一次性补助 12000元（含人工耳蜗术后调机费），同时可享受一个周期的康复训练费补助16000元。肢体残疾儿童矫治手术（住院期间费用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每人一次性补助17200元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其中：补贴手术费10000元，术后康复训练费6000元，矫形器装配1200元。）。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二是辅助器具适配，</w:t>
      </w:r>
      <w:r>
        <w:rPr>
          <w:rFonts w:hint="eastAsia" w:ascii="宋体" w:hAnsi="宋体" w:eastAsia="宋体" w:cs="宋体"/>
          <w:color w:val="auto"/>
          <w:sz w:val="24"/>
          <w:szCs w:val="24"/>
          <w:highlight w:val="none"/>
        </w:rPr>
        <w:t>助听器平均补助标准4800元／人（其中含2台全数字助听器，适配服务费1200元）。假肢、矫形器平均补助标准为5000元／人（其中材料费60%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适配服务费40%）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轮椅、坐姿椅、站立架、助行器、盲杖补助标准不超过1500元／人。</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三是康复训练，</w:t>
      </w:r>
      <w:r>
        <w:rPr>
          <w:rFonts w:hint="eastAsia" w:ascii="宋体" w:hAnsi="宋体" w:eastAsia="宋体" w:cs="宋体"/>
          <w:color w:val="auto"/>
          <w:sz w:val="24"/>
          <w:szCs w:val="24"/>
          <w:highlight w:val="none"/>
        </w:rPr>
        <w:t>视力残疾儿童平均补助标准1000元／人／年。听力、言语、肢体、智力残疾儿童和孤独症残疾儿童平均补助标准为16000元／人／年。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机构训练周期不少于10个月。</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、【无障碍改造】</w:t>
      </w:r>
      <w:r>
        <w:rPr>
          <w:rFonts w:hint="eastAsia" w:ascii="宋体" w:hAnsi="宋体" w:eastAsia="宋体" w:cs="宋体"/>
          <w:color w:val="auto"/>
          <w:sz w:val="24"/>
          <w:szCs w:val="24"/>
          <w:highlight w:val="none"/>
        </w:rPr>
        <w:t>建档立卡贫困重度残疾人家庭中符合无障碍改造条件的，2020年底前享受到家庭无障碍改造政策</w:t>
      </w:r>
      <w:r>
        <w:rPr>
          <w:rFonts w:hint="eastAsia" w:ascii="宋体" w:hAnsi="宋体" w:eastAsia="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改造内容：</w:t>
      </w:r>
      <w:r>
        <w:rPr>
          <w:rFonts w:hint="eastAsia" w:ascii="宋体" w:hAnsi="宋体" w:eastAsia="宋体" w:cs="宋体"/>
          <w:color w:val="auto"/>
          <w:sz w:val="24"/>
          <w:szCs w:val="24"/>
          <w:highlight w:val="none"/>
          <w:lang w:eastAsia="zh-CN"/>
        </w:rPr>
        <w:t>主要包括改造类施工、基本辅助器具配备安装和改善类配建三大类。具体实施时应以改造类施工为主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对视力、听力、智力残疾人家庭应偏重于辅助器具的配发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，条件允许时再配发安装辅助器具、进行改善类配建。改造标准按照省残联、住建厅联合印发的《贫困残疾人家庭无障碍改造指导手册》执行。</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改造类施工：</w:t>
      </w:r>
      <w:r>
        <w:rPr>
          <w:rFonts w:hint="eastAsia" w:ascii="宋体" w:hAnsi="宋体" w:eastAsia="宋体" w:cs="宋体"/>
          <w:color w:val="auto"/>
          <w:sz w:val="24"/>
          <w:szCs w:val="24"/>
          <w:highlight w:val="none"/>
          <w:lang w:eastAsia="zh-CN"/>
        </w:rPr>
        <w:t>根据受益人家庭具体情况，主要包括院落地面平整及坡化、盲道铺设，扶手安装，卫生间洗手池低位改造、蹲便器改坐便器，厨房灶台水池低位改造方便坐轮椅者使用，户门便于轮椅无障碍通行等适用于肢体、视力、听力、智力等功能缺失人员的居家改造内容。</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基本辅助器具配备安装：</w:t>
      </w:r>
      <w:r>
        <w:rPr>
          <w:rFonts w:hint="eastAsia" w:ascii="宋体" w:hAnsi="宋体" w:eastAsia="宋体" w:cs="宋体"/>
          <w:color w:val="auto"/>
          <w:sz w:val="24"/>
          <w:szCs w:val="24"/>
          <w:highlight w:val="none"/>
          <w:lang w:eastAsia="zh-CN"/>
        </w:rPr>
        <w:t>主要是配备盲杖、助行器、轮椅、助听器、沐浴椅、防滑垫、坐便椅、防褥疮坐垫、移乘板、护理床、床护栏杆、紧急呼叫装置及适用于聋哑人家庭的闪光门铃、震动闹钟，适用盲人家庭的煤气泄漏报警器等日常生活类辅助器具。</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改善类配建：</w:t>
      </w:r>
      <w:r>
        <w:rPr>
          <w:rFonts w:hint="eastAsia" w:ascii="宋体" w:hAnsi="宋体" w:eastAsia="宋体" w:cs="宋体"/>
          <w:color w:val="auto"/>
          <w:sz w:val="24"/>
          <w:szCs w:val="24"/>
          <w:highlight w:val="none"/>
          <w:lang w:eastAsia="zh-CN"/>
        </w:rPr>
        <w:t>主要为重度残疾、一户多残家庭整修卫生间、厨房地面墙体，安装卫生间热水器，为肢残人家庭安装升降晾衣架、升降橱柜，为居住于多层建筑的肢残人家庭安装升降机等。</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、【精准康复服务】</w:t>
      </w: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eastAsia="zh-CN"/>
        </w:rPr>
        <w:t>建档立卡贫困户中</w:t>
      </w:r>
      <w:r>
        <w:rPr>
          <w:rFonts w:hint="eastAsia" w:ascii="宋体" w:hAnsi="宋体" w:eastAsia="宋体" w:cs="宋体"/>
          <w:color w:val="auto"/>
          <w:sz w:val="24"/>
          <w:szCs w:val="24"/>
          <w:highlight w:val="none"/>
        </w:rPr>
        <w:t>有康复需求的重度残疾人必须享受到残疾人精准康复服务。</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、【贫困残疾人生活补贴】</w:t>
      </w:r>
      <w:r>
        <w:rPr>
          <w:rFonts w:hint="eastAsia" w:ascii="宋体" w:hAnsi="宋体" w:eastAsia="宋体" w:cs="宋体"/>
          <w:color w:val="auto"/>
          <w:sz w:val="24"/>
          <w:szCs w:val="24"/>
          <w:highlight w:val="none"/>
        </w:rPr>
        <w:t xml:space="preserve">所有建档立卡贫困户家中已纳入低保的残疾人必须发放残疾人生活补贴。 </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、【重度残疾人护理补贴】</w:t>
      </w:r>
      <w:r>
        <w:rPr>
          <w:rFonts w:hint="eastAsia" w:ascii="宋体" w:hAnsi="宋体" w:eastAsia="宋体" w:cs="宋体"/>
          <w:color w:val="auto"/>
          <w:sz w:val="24"/>
          <w:szCs w:val="24"/>
          <w:highlight w:val="none"/>
        </w:rPr>
        <w:t>所有建档立卡贫困户家中一二级残疾人</w:t>
      </w:r>
      <w:r>
        <w:rPr>
          <w:rFonts w:hint="eastAsia" w:ascii="宋体" w:hAnsi="宋体" w:eastAsia="宋体" w:cs="宋体"/>
          <w:color w:val="auto"/>
          <w:sz w:val="24"/>
          <w:szCs w:val="24"/>
          <w:highlight w:val="none"/>
          <w:lang w:eastAsia="zh-CN"/>
        </w:rPr>
        <w:t>（特困人员除外）</w:t>
      </w:r>
      <w:r>
        <w:rPr>
          <w:rFonts w:hint="eastAsia" w:ascii="宋体" w:hAnsi="宋体" w:eastAsia="宋体" w:cs="宋体"/>
          <w:color w:val="auto"/>
          <w:sz w:val="24"/>
          <w:szCs w:val="24"/>
          <w:highlight w:val="none"/>
        </w:rPr>
        <w:t>必须发放残疾人护理补贴。</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、【电费补贴】</w:t>
      </w:r>
      <w:r>
        <w:rPr>
          <w:rFonts w:hint="eastAsia" w:ascii="宋体" w:hAnsi="宋体" w:eastAsia="宋体" w:cs="宋体"/>
          <w:color w:val="auto"/>
          <w:sz w:val="24"/>
          <w:szCs w:val="24"/>
          <w:highlight w:val="none"/>
        </w:rPr>
        <w:t>所有建档立卡贫困户中已纳入低保和特困人员的建档立卡户必须享受到每户每月10度电费补贴。</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、【农村养老保险】</w:t>
      </w:r>
      <w:r>
        <w:rPr>
          <w:rFonts w:hint="eastAsia" w:ascii="宋体" w:hAnsi="宋体" w:eastAsia="宋体" w:cs="宋体"/>
          <w:color w:val="auto"/>
          <w:sz w:val="24"/>
          <w:szCs w:val="24"/>
          <w:highlight w:val="none"/>
        </w:rPr>
        <w:t>①缴费对象及标准：16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59岁符合条件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在校生、现役军人、已参加企业职工养老保险等除外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贫困人员参加城乡居民养老保险可自主选择每人每年缴费100元的最低缴费标准；②特殊补贴对象及标准：贫困人口享受政府给予每人每年不低于30元的养老保险缴费补贴，对经残联、民政等部门认定的重度残疾人或长期贫困残疾人等缴费困难群体，县级财政为其代缴最低档次标准的养老保险费(100元)；③享受待遇对象及标准：2019年对60周岁以上符合条件的贫困人员确保发放每人每月103元基础养老金。</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、【计划生育奖励奖扶、特扶】</w:t>
      </w:r>
      <w:r>
        <w:rPr>
          <w:rFonts w:hint="eastAsia" w:ascii="宋体" w:hAnsi="宋体" w:eastAsia="宋体" w:cs="宋体"/>
          <w:color w:val="auto"/>
          <w:sz w:val="24"/>
          <w:szCs w:val="24"/>
          <w:highlight w:val="none"/>
        </w:rPr>
        <w:t>独生子女或双女户父母60岁以上老人每人每年960元。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rPr>
        <w:t>【高龄补贴】</w:t>
      </w:r>
      <w:r>
        <w:rPr>
          <w:rFonts w:hint="eastAsia" w:ascii="宋体" w:hAnsi="宋体" w:eastAsia="宋体" w:cs="宋体"/>
          <w:b w:val="0"/>
          <w:bCs w:val="0"/>
          <w:color w:val="auto"/>
          <w:sz w:val="24"/>
          <w:szCs w:val="24"/>
          <w:highlight w:val="none"/>
          <w:lang w:eastAsia="zh-CN"/>
        </w:rPr>
        <w:t>凡具有我市户籍的</w:t>
      </w:r>
      <w:r>
        <w:rPr>
          <w:rFonts w:hint="eastAsia" w:ascii="宋体" w:hAnsi="宋体" w:eastAsia="宋体" w:cs="宋体"/>
          <w:b w:val="0"/>
          <w:bCs w:val="0"/>
          <w:color w:val="auto"/>
          <w:sz w:val="24"/>
          <w:szCs w:val="24"/>
          <w:highlight w:val="none"/>
          <w:lang w:val="en-US" w:eastAsia="zh-CN"/>
        </w:rPr>
        <w:t>80岁以上老人可在户籍所在地申请高龄津贴，</w:t>
      </w:r>
      <w:r>
        <w:rPr>
          <w:rFonts w:hint="eastAsia" w:ascii="宋体" w:hAnsi="宋体" w:eastAsia="宋体" w:cs="宋体"/>
          <w:b w:val="0"/>
          <w:bCs w:val="0"/>
          <w:color w:val="auto"/>
          <w:sz w:val="24"/>
          <w:szCs w:val="24"/>
          <w:highlight w:val="none"/>
        </w:rPr>
        <w:t>80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89岁每人每月50元，90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99岁每人每月100元，100岁以上每人每月300元</w:t>
      </w:r>
      <w:r>
        <w:rPr>
          <w:rFonts w:hint="eastAsia" w:ascii="宋体" w:hAnsi="宋体" w:eastAsia="宋体" w:cs="宋体"/>
          <w:b w:val="0"/>
          <w:bCs w:val="0"/>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43、</w:t>
      </w:r>
      <w:r>
        <w:rPr>
          <w:rFonts w:hint="eastAsia" w:ascii="宋体" w:hAnsi="宋体" w:eastAsia="宋体" w:cs="宋体"/>
          <w:b/>
          <w:bCs/>
          <w:color w:val="auto"/>
          <w:sz w:val="24"/>
          <w:szCs w:val="24"/>
          <w:highlight w:val="none"/>
        </w:rPr>
        <w:t>【四集中</w:t>
      </w:r>
      <w:r>
        <w:rPr>
          <w:rFonts w:hint="eastAsia" w:ascii="宋体" w:hAnsi="宋体" w:eastAsia="宋体" w:cs="宋体"/>
          <w:b/>
          <w:bCs/>
          <w:color w:val="auto"/>
          <w:sz w:val="24"/>
          <w:szCs w:val="24"/>
          <w:highlight w:val="none"/>
          <w:lang w:eastAsia="zh-CN"/>
        </w:rPr>
        <w:t>兜底</w:t>
      </w:r>
      <w:r>
        <w:rPr>
          <w:rFonts w:hint="eastAsia" w:ascii="宋体" w:hAnsi="宋体" w:eastAsia="宋体" w:cs="宋体"/>
          <w:b/>
          <w:bCs/>
          <w:color w:val="auto"/>
          <w:sz w:val="24"/>
          <w:szCs w:val="24"/>
          <w:highlight w:val="none"/>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对象：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）特困供养人员：指建档立卡贫困户中80岁以上的特困对象；达不到代养标准的特困对象；自愿集中供养的特困对象；无儿无女双人户；全失能对象；因突发事故致困、致残且家庭确无养护能力的特殊困难人员；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（2）重度残疾人员：指建档立卡贫困户中的一、二级肢体残疾、智力残疾、精神残疾人员；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（3）重症慢性病人员：指建档立卡贫困户中，因长期疾病导致生活自理困难，所在家庭难以脱贫的人员；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（4）失能、半失能人员：指建档立卡贫困户中丧失或部分丧失劳动能力且家庭无力照料或因照料负担较重无法脱贫的人员；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（5）孤儿：指无法定监护人或监护人监护能力达不到标准的孤儿（困境儿童参照孤儿执行）；</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（6）孤寡老人：指建档立卡贫困户中事实无人照料、生活自理困难的老年人。</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方式：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）村级幸福大院集中托管。主要是建档立卡贫困户中照料负担较重、适宜就近看护的半失能人员；建档立卡贫困户中的留守老人、留守儿童、孤寡老人；其他有需求、适宜村级幸福大院照料的人员。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）乡镇敬养老机构集中供养。达不到代养标准的特困供养对象；重度残疾特困供养对象；失能半失能特困供养对象；家中无力照料的重度残疾人员、失能人员；自愿入住的特困供养对象等。</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）社会福利机构集中托养。残疾人托养机构主要托养建档立卡贫困户中需要长期护理、家庭无力照料或因照料负担较重影响脱贫的重度残疾人；因突发事故致困、致残且家庭确无养护能力的特殊困难人员。</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福利机构主要托养无法定监护人或监护人监护能力达不到标准的孤儿（困境儿童参照孤儿）；找不到家庭的惯性流浪乞讨人员。</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）卫生机构集中治疗康复。主要是建档立卡贫困户中无自理能力、半自理能力的重度精神病和病情稳定的重大疾病患者等。</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33" w:name="_Toc25076"/>
      <w:r>
        <w:rPr>
          <w:rFonts w:hint="eastAsia" w:ascii="楷体_GB2312" w:hAnsi="楷体_GB2312" w:eastAsia="楷体_GB2312" w:cs="楷体_GB2312"/>
          <w:b/>
          <w:color w:val="auto"/>
          <w:sz w:val="24"/>
          <w:szCs w:val="24"/>
          <w:highlight w:val="none"/>
          <w:lang w:val="en-US" w:eastAsia="zh-CN"/>
        </w:rPr>
        <w:t>（六）转移就业扶贫政策（3项）</w:t>
      </w:r>
      <w:bookmarkEnd w:id="0"/>
      <w:bookmarkEnd w:id="33"/>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、【转移就业培训】</w:t>
      </w:r>
      <w:r>
        <w:rPr>
          <w:rFonts w:hint="eastAsia" w:ascii="宋体" w:hAnsi="宋体" w:eastAsia="宋体" w:cs="宋体"/>
          <w:color w:val="auto"/>
          <w:sz w:val="24"/>
          <w:szCs w:val="24"/>
          <w:highlight w:val="none"/>
        </w:rPr>
        <w:t>所有建档立卡贫困家庭劳动力必须进行实用技术培训（16</w:t>
      </w:r>
      <w:r>
        <w:rPr>
          <w:rFonts w:hint="eastAsia" w:ascii="宋体" w:hAnsi="宋体" w:eastAsia="宋体" w:cs="宋体"/>
          <w:color w:val="auto"/>
          <w:sz w:val="24"/>
          <w:szCs w:val="24"/>
          <w:highlight w:val="none"/>
          <w:lang w:eastAsia="zh-CN"/>
        </w:rPr>
        <w:t>周</w:t>
      </w:r>
      <w:r>
        <w:rPr>
          <w:rFonts w:hint="eastAsia" w:ascii="宋体" w:hAnsi="宋体" w:eastAsia="宋体" w:cs="宋体"/>
          <w:color w:val="auto"/>
          <w:sz w:val="24"/>
          <w:szCs w:val="24"/>
          <w:highlight w:val="none"/>
        </w:rPr>
        <w:t>岁至</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lang w:eastAsia="zh-CN"/>
        </w:rPr>
        <w:t>周</w:t>
      </w:r>
      <w:r>
        <w:rPr>
          <w:rFonts w:hint="eastAsia" w:ascii="宋体" w:hAnsi="宋体" w:eastAsia="宋体" w:cs="宋体"/>
          <w:color w:val="auto"/>
          <w:sz w:val="24"/>
          <w:szCs w:val="24"/>
          <w:highlight w:val="none"/>
        </w:rPr>
        <w:t>岁可以使用人社局专项资金进行培训，超过劳动年龄的贫困劳动力由当地政府整合资金进行培训）。参加培训机构集中培训的每人每天给予30元的生活费补贴；市外省内参加培训的，每人给予300元一次性交通、住宿费补贴。</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、【公益岗开发】</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范围：</w:t>
      </w:r>
      <w:r>
        <w:rPr>
          <w:rFonts w:hint="eastAsia" w:ascii="宋体" w:hAnsi="宋体" w:eastAsia="宋体" w:cs="宋体"/>
          <w:color w:val="auto"/>
          <w:sz w:val="24"/>
          <w:szCs w:val="24"/>
          <w:highlight w:val="none"/>
        </w:rPr>
        <w:t>人社、林业、交通、水利、农业农村、金融等行业部门，利用就业专项资金、涉农整合资金和部门自筹资金等，综合开发的保洁保绿、治安协管、乡村道路维护、水库安全管理、山林防护、孤寡老人和留守儿童看护等贫困劳动力公益性岗位；县乡政府出资或社会捐资开发设置的贫困劳动力就业公益性岗位。</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一是科学开发</w:t>
      </w:r>
      <w:r>
        <w:rPr>
          <w:rFonts w:hint="eastAsia" w:ascii="宋体" w:hAnsi="宋体" w:eastAsia="宋体" w:cs="宋体"/>
          <w:color w:val="auto"/>
          <w:sz w:val="24"/>
          <w:szCs w:val="24"/>
          <w:highlight w:val="none"/>
        </w:rPr>
        <w:t>。按照“县统筹、乡实施”的原则，明确专班负责，制订科学方案，全方位多角度开发公益岗位，统筹规划本地公益性岗位设置；根据乡村发展的实际需要和满足当地特殊贫困群体就业增收“因事设岗”，科学设置公益岗位，避免岗位设置过滥或严重不足的问题；注重统筹加大地方财政资金投入或充分利用社会民间资源合理开发公益岗位，满足特殊贫困群体就业增收需求。</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二是人岗相适。</w:t>
      </w:r>
      <w:r>
        <w:rPr>
          <w:rFonts w:hint="eastAsia" w:ascii="宋体" w:hAnsi="宋体" w:eastAsia="宋体" w:cs="宋体"/>
          <w:color w:val="auto"/>
          <w:sz w:val="24"/>
          <w:szCs w:val="24"/>
          <w:highlight w:val="none"/>
        </w:rPr>
        <w:t>开发各类公益岗要优先用于安置贫困户(脱贫户)中外出就业困难、有劳动能力或部分劳动力人员，以及贫困家庭中未就业的大中专毕业生；设置的各类公益性岗位应“以岗定人”，公益岗位适用于劳动力的身体健康状况</w:t>
      </w:r>
      <w:r>
        <w:rPr>
          <w:rFonts w:hint="eastAsia" w:ascii="宋体" w:hAnsi="宋体" w:eastAsia="宋体" w:cs="宋体"/>
          <w:color w:val="auto"/>
          <w:sz w:val="24"/>
          <w:szCs w:val="24"/>
          <w:highlight w:val="none"/>
          <w:lang w:eastAsia="zh-CN"/>
        </w:rPr>
        <w:t>避免</w:t>
      </w:r>
      <w:r>
        <w:rPr>
          <w:rFonts w:hint="eastAsia" w:ascii="宋体" w:hAnsi="宋体" w:eastAsia="宋体" w:cs="宋体"/>
          <w:color w:val="auto"/>
          <w:sz w:val="24"/>
          <w:szCs w:val="24"/>
          <w:highlight w:val="none"/>
        </w:rPr>
        <w:t>虚假聘用。</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三是规范管理。</w:t>
      </w:r>
      <w:r>
        <w:rPr>
          <w:rFonts w:hint="eastAsia" w:ascii="宋体" w:hAnsi="宋体" w:eastAsia="宋体" w:cs="宋体"/>
          <w:color w:val="auto"/>
          <w:sz w:val="24"/>
          <w:szCs w:val="24"/>
          <w:highlight w:val="none"/>
        </w:rPr>
        <w:t>公益性岗位人员的聘用要按照公开岗位信息、本人自愿申请、村级评议提名、县乡审核聘用、公开聘用结果等程序；双方需签订劳动合同（协议），劳动合同</w:t>
      </w:r>
      <w:r>
        <w:rPr>
          <w:rFonts w:hint="eastAsia" w:ascii="宋体" w:hAnsi="宋体" w:eastAsia="宋体" w:cs="宋体"/>
          <w:color w:val="auto"/>
          <w:spacing w:val="-6"/>
          <w:sz w:val="24"/>
          <w:szCs w:val="24"/>
          <w:highlight w:val="none"/>
        </w:rPr>
        <w:t>（协议）应对工作内容、时间、岗位待遇、社会保险、劳动保</w:t>
      </w:r>
      <w:r>
        <w:rPr>
          <w:rFonts w:hint="eastAsia" w:ascii="宋体" w:hAnsi="宋体" w:eastAsia="宋体" w:cs="宋体"/>
          <w:color w:val="auto"/>
          <w:sz w:val="24"/>
          <w:szCs w:val="24"/>
          <w:highlight w:val="none"/>
        </w:rPr>
        <w:t>护、劳动纪律、奖励处罚等事项进行约定；公益性岗位劳动合同解除、终止及到期续签，工资发放，考勤考核等方面要规范完善；建立公益性岗位实名信息台账，登记公益性岗位开发单位信息、使用单位信息、资金使用情况及公益性岗位安置人员平时考核情况，实行动态管理。</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、【雨露计划】</w:t>
      </w:r>
      <w:r>
        <w:rPr>
          <w:rFonts w:hint="eastAsia" w:ascii="宋体" w:hAnsi="宋体" w:eastAsia="宋体" w:cs="宋体"/>
          <w:color w:val="auto"/>
          <w:sz w:val="24"/>
          <w:szCs w:val="24"/>
          <w:highlight w:val="none"/>
        </w:rPr>
        <w:t>雨露计划主要包括四种培训方式：①职业教育：2018年春季学期开始，正在接受全日制中、高等职业教育的农村建档立卡贫困家庭中的新成长劳动力，每生每学年补助3000元。②短期技能培训：在我省省、市、县三级雨露计划培训基地培训，学习一年以内并且取得证书的短期培训，如驾照、厨师证等，每人每年根据取得技能证书的工种分类分别补助资金为1500元（C类）、1800元（B类）、2000元（A类）三个标准。③农村实用技术培训：对贫困户开展的种植、养殖、加工等增收脱贫、促进产业发展方面的培训。④创业致富带头人培训：为提高贫困村负责人和经济组织负责人带领贫困户创业致富的能力而开展的培训。</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34" w:name="_Toc6119"/>
      <w:bookmarkStart w:id="35" w:name="_Toc22290"/>
      <w:r>
        <w:rPr>
          <w:rFonts w:hint="eastAsia" w:ascii="楷体_GB2312" w:hAnsi="楷体_GB2312" w:eastAsia="楷体_GB2312" w:cs="楷体_GB2312"/>
          <w:b/>
          <w:color w:val="auto"/>
          <w:sz w:val="24"/>
          <w:szCs w:val="24"/>
          <w:highlight w:val="none"/>
          <w:lang w:val="en-US" w:eastAsia="zh-CN"/>
        </w:rPr>
        <w:t>（七）易地扶贫搬迁政策（7项）</w:t>
      </w:r>
      <w:bookmarkEnd w:id="34"/>
      <w:bookmarkEnd w:id="35"/>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bookmarkStart w:id="36" w:name="_Toc371"/>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、【搬迁步骤】</w:t>
      </w:r>
      <w:r>
        <w:rPr>
          <w:rFonts w:hint="eastAsia" w:ascii="宋体" w:hAnsi="宋体" w:eastAsia="宋体" w:cs="宋体"/>
          <w:color w:val="auto"/>
          <w:sz w:val="24"/>
          <w:szCs w:val="24"/>
          <w:highlight w:val="none"/>
        </w:rPr>
        <w:t>根据《河南省全面精准识别易地扶贫搬迁对象办法》要求，按照选定搬迁区域、公布搬迁条件、普查筛选搬迁对象、群众申请、入户核实、村民小组评议、村委会复议公示、乡镇复核公示、县审批、省辖市复核、省抽查确认等11个步骤识别登记</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、【面积要求】</w:t>
      </w:r>
      <w:r>
        <w:rPr>
          <w:rFonts w:hint="eastAsia" w:ascii="宋体" w:hAnsi="宋体" w:eastAsia="宋体" w:cs="宋体"/>
          <w:color w:val="auto"/>
          <w:sz w:val="24"/>
          <w:szCs w:val="24"/>
          <w:highlight w:val="none"/>
        </w:rPr>
        <w:t>建档立卡贫困户人均住房建设面积不超过25平方米(宅基地严格按照当地标准执行)，不得变相扩大建设面积，不得脱离实际提高建设标准</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、【补助标准】</w:t>
      </w:r>
      <w:r>
        <w:rPr>
          <w:rFonts w:hint="eastAsia" w:ascii="宋体" w:hAnsi="宋体" w:eastAsia="宋体" w:cs="宋体"/>
          <w:color w:val="auto"/>
          <w:sz w:val="24"/>
          <w:szCs w:val="24"/>
          <w:highlight w:val="none"/>
        </w:rPr>
        <w:t>省里按人均不超过6万元筹集资金。其中，住房建设人均补助3万元，另外3万元用于配套基础设施和公共服务设施，做到搬迁不举债</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、【项目管理】</w:t>
      </w:r>
      <w:r>
        <w:rPr>
          <w:rFonts w:hint="eastAsia" w:ascii="宋体" w:hAnsi="宋体" w:eastAsia="宋体" w:cs="宋体"/>
          <w:color w:val="auto"/>
          <w:sz w:val="24"/>
          <w:szCs w:val="24"/>
          <w:highlight w:val="none"/>
        </w:rPr>
        <w:t>主要涉及土地征用政策、规划选址、简化手续、安置方式、项目建设、工程验收、搬迁入住、拆旧复垦等八个方面</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pacing w:val="-5"/>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、【四靠一集中原则】</w:t>
      </w:r>
      <w:r>
        <w:rPr>
          <w:rFonts w:hint="eastAsia" w:ascii="宋体" w:hAnsi="宋体" w:eastAsia="宋体" w:cs="宋体"/>
          <w:color w:val="auto"/>
          <w:sz w:val="24"/>
          <w:szCs w:val="24"/>
          <w:highlight w:val="none"/>
        </w:rPr>
        <w:t>靠</w:t>
      </w:r>
      <w:r>
        <w:rPr>
          <w:rFonts w:hint="eastAsia" w:ascii="宋体" w:hAnsi="宋体" w:eastAsia="宋体" w:cs="宋体"/>
          <w:color w:val="auto"/>
          <w:spacing w:val="-5"/>
          <w:sz w:val="24"/>
          <w:szCs w:val="24"/>
          <w:highlight w:val="none"/>
        </w:rPr>
        <w:t>县城、靠产业园区、靠乡镇、靠乡村旅游点、集中安置</w:t>
      </w:r>
      <w:r>
        <w:rPr>
          <w:rFonts w:hint="eastAsia" w:ascii="宋体" w:hAnsi="宋体" w:cs="宋体"/>
          <w:color w:val="auto"/>
          <w:spacing w:val="-5"/>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rPr>
        <w:t>、【三个办法一项制度】</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《河南省全面精准识别易地扶贫搬迁对象办法》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《河南省易地扶贫搬迁工程项目管理办法》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《河南省易地扶贫搬迁工作成效考核办法》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《河南省易地扶贫搬迁工作情况通报制度》</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、【五个一行动方案】</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（1）在有条件的安置点建设1个村级光伏小电站</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（2）引导龙头企业建设1个扶贫车间</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（3）因地制宜落实1项特色农林业、乡村旅游、农村电商等产业帮扶措施，在有条件的安置点建设1个村级光伏小电站</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（4）有劳动意愿和劳动能力的贫困家庭至少有1人在产业园区或公益性岗位稳定就业</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outlineLvl w:val="1"/>
        <w:rPr>
          <w:rFonts w:hint="eastAsia" w:ascii="宋体" w:hAnsi="宋体" w:eastAsia="宋体" w:cs="宋体"/>
          <w:color w:val="auto"/>
          <w:sz w:val="24"/>
          <w:szCs w:val="24"/>
          <w:highlight w:val="none"/>
        </w:rPr>
      </w:pPr>
      <w:bookmarkStart w:id="37" w:name="_Toc3623"/>
      <w:bookmarkStart w:id="38" w:name="_Toc9855"/>
      <w:bookmarkStart w:id="39" w:name="_Toc14515"/>
      <w:bookmarkStart w:id="40" w:name="_Toc6850"/>
      <w:bookmarkStart w:id="41" w:name="_Toc19205"/>
      <w:r>
        <w:rPr>
          <w:rFonts w:hint="eastAsia" w:ascii="宋体" w:hAnsi="宋体" w:eastAsia="宋体" w:cs="宋体"/>
          <w:color w:val="auto"/>
          <w:sz w:val="24"/>
          <w:szCs w:val="24"/>
          <w:highlight w:val="none"/>
        </w:rPr>
        <w:t>（5）复垦券交易覆盖范围的贫困户有1份集中理财、定期返还的稳定收益。</w:t>
      </w:r>
      <w:bookmarkEnd w:id="37"/>
      <w:bookmarkEnd w:id="38"/>
      <w:bookmarkEnd w:id="39"/>
      <w:bookmarkEnd w:id="40"/>
      <w:bookmarkEnd w:id="41"/>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42" w:name="_Toc16246"/>
      <w:r>
        <w:rPr>
          <w:rFonts w:hint="eastAsia" w:ascii="楷体_GB2312" w:hAnsi="楷体_GB2312" w:eastAsia="楷体_GB2312" w:cs="楷体_GB2312"/>
          <w:b/>
          <w:color w:val="auto"/>
          <w:sz w:val="24"/>
          <w:szCs w:val="24"/>
          <w:highlight w:val="none"/>
          <w:lang w:val="en-US" w:eastAsia="zh-CN"/>
        </w:rPr>
        <w:t>（八）金融扶贫相关政策（5项）</w:t>
      </w:r>
      <w:bookmarkEnd w:id="36"/>
      <w:bookmarkEnd w:id="42"/>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、【扶贫再贷款】</w:t>
      </w:r>
      <w:r>
        <w:rPr>
          <w:rFonts w:hint="eastAsia" w:ascii="宋体" w:hAnsi="宋体" w:eastAsia="宋体" w:cs="宋体"/>
          <w:color w:val="auto"/>
          <w:sz w:val="24"/>
          <w:szCs w:val="24"/>
          <w:highlight w:val="none"/>
        </w:rPr>
        <w:t>中国人民银行为引导贫困地区地方法人金融机构扩大贫困地区信贷投放，优先和主要支持带动贫困户就业发展的企业（含家庭农场、专业大户、农民合作社等经济主体，下同）和建档立卡贫困户，积极推动贫困地区发展特色产业和贫困人口创业就业、促进贫困人口脱贫致富，而对其发放的再贷款。</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、【扶贫小额信贷】</w:t>
      </w:r>
      <w:r>
        <w:rPr>
          <w:rFonts w:hint="eastAsia" w:ascii="宋体" w:hAnsi="宋体" w:eastAsia="宋体" w:cs="宋体"/>
          <w:color w:val="auto"/>
          <w:sz w:val="24"/>
          <w:szCs w:val="24"/>
          <w:highlight w:val="none"/>
        </w:rPr>
        <w:t>对有贷款意愿、有就业创业潜质和还款能力年龄在18（含）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65（含）周岁的建档立卡贫困户发放5万元以下、3年期以内、享受基准利率和“两免一贴”（免抵押、免担保、财政贴息）的扶贫小额信用贷款；</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按照中央关于脱贫攻坚过渡期政策的要求，我省扶贫小额信贷政策延续至2023年12月31日，贷款发放条件、财政贴息、风险分担等保持不变。对到期日在2020年1月1日后</w:t>
      </w:r>
      <w:r>
        <w:rPr>
          <w:rFonts w:hint="eastAsia" w:ascii="宋体" w:hAnsi="宋体" w:eastAsia="宋体" w:cs="宋体"/>
          <w:color w:val="auto"/>
          <w:spacing w:val="-6"/>
          <w:sz w:val="24"/>
          <w:szCs w:val="24"/>
          <w:highlight w:val="none"/>
        </w:rPr>
        <w:t>（含续贷、展期）、受疫情影响出现还款困难的贫困户，确保</w:t>
      </w:r>
      <w:r>
        <w:rPr>
          <w:rFonts w:hint="eastAsia" w:ascii="宋体" w:hAnsi="宋体" w:eastAsia="宋体" w:cs="宋体"/>
          <w:color w:val="auto"/>
          <w:sz w:val="24"/>
          <w:szCs w:val="24"/>
          <w:highlight w:val="none"/>
        </w:rPr>
        <w:t>无条件做到延期还款，还款期限延长至2020年12月31日，期间继续执行原合同条款，各项政策保持不变。</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精准扶贫企业贷</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坚持“以政策扶持为引导、以市场化运作为导向、以防控风险为底线”的原则，通过降低带贫企业融资成本，不断扩大信贷投放，引导和支持符合条件的企业（含农民专业合作社），以相对稳定的利益连结机制带动贫困户脱贫增收。精准扶贫企业贷款实行不高于对应期限的基准利率放贷。带贫企业每获得10万元贷款要带动一</w:t>
      </w:r>
      <w:r>
        <w:rPr>
          <w:rFonts w:hint="eastAsia" w:ascii="宋体" w:hAnsi="宋体" w:eastAsia="宋体" w:cs="宋体"/>
          <w:color w:val="auto"/>
          <w:sz w:val="24"/>
          <w:szCs w:val="24"/>
          <w:highlight w:val="none"/>
          <w:lang w:eastAsia="zh-CN"/>
        </w:rPr>
        <w:t>户</w:t>
      </w:r>
      <w:r>
        <w:rPr>
          <w:rFonts w:hint="eastAsia" w:ascii="宋体" w:hAnsi="宋体" w:eastAsia="宋体" w:cs="宋体"/>
          <w:color w:val="auto"/>
          <w:sz w:val="24"/>
          <w:szCs w:val="24"/>
          <w:highlight w:val="none"/>
        </w:rPr>
        <w:t>贫困户。在贷款期限内以统一供种、技术指导、产品保低价回收、吸纳就业等方式与贫困户建立利益</w:t>
      </w:r>
      <w:r>
        <w:rPr>
          <w:rFonts w:hint="eastAsia" w:ascii="宋体" w:hAnsi="宋体" w:eastAsia="宋体" w:cs="宋体"/>
          <w:color w:val="auto"/>
          <w:sz w:val="24"/>
          <w:szCs w:val="24"/>
          <w:highlight w:val="none"/>
          <w:lang w:eastAsia="zh-CN"/>
        </w:rPr>
        <w:t>联结</w:t>
      </w:r>
      <w:r>
        <w:rPr>
          <w:rFonts w:hint="eastAsia" w:ascii="宋体" w:hAnsi="宋体" w:eastAsia="宋体" w:cs="宋体"/>
          <w:color w:val="auto"/>
          <w:sz w:val="24"/>
          <w:szCs w:val="24"/>
          <w:highlight w:val="none"/>
        </w:rPr>
        <w:t>机制。精准扶贫企业贷款期限3年以内，只能用于企业的流动资金，不得用于固定资产投资。</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57、</w:t>
      </w:r>
      <w:r>
        <w:rPr>
          <w:rFonts w:hint="eastAsia" w:ascii="宋体" w:hAnsi="宋体" w:eastAsia="宋体" w:cs="宋体"/>
          <w:b/>
          <w:bCs/>
          <w:color w:val="auto"/>
          <w:sz w:val="24"/>
          <w:szCs w:val="24"/>
          <w:highlight w:val="none"/>
        </w:rPr>
        <w:t>【金融扶贫“四大体系”】</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1、建立健全金融服务体系，解决好“谁来干事”的问题</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2、建立健全信用评价体系，解决好“谁能用钱”的问题</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3、建立健全风险防控体系，解决好“资金安全”的问题；</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4、建立健全产业支撑体系，解决好“资金投向”的问题</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、【信用评价体系行为标准】</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1、三好三强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遵纪守法好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家庭和睦好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邻里团结好</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责任意识强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信用观念强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履约保障强。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2、三有三无</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有劳动能力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有致富思想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有致富项目</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无赌博、吸毒、嫖娼等不良习气；</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无拖欠贷款本息、被列入贷款黑名单的记录；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无游手好闲、好吃懒做。</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43" w:name="_Toc12258"/>
      <w:bookmarkStart w:id="44" w:name="_Toc21175"/>
      <w:r>
        <w:rPr>
          <w:rFonts w:hint="eastAsia" w:ascii="楷体_GB2312" w:hAnsi="楷体_GB2312" w:eastAsia="楷体_GB2312" w:cs="楷体_GB2312"/>
          <w:b/>
          <w:color w:val="auto"/>
          <w:sz w:val="24"/>
          <w:szCs w:val="24"/>
          <w:highlight w:val="none"/>
          <w:lang w:val="en-US" w:eastAsia="zh-CN"/>
        </w:rPr>
        <w:t>（九）光伏扶贫相关政策（4项）</w:t>
      </w:r>
      <w:bookmarkEnd w:id="43"/>
      <w:bookmarkEnd w:id="44"/>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、【光伏扶贫】</w:t>
      </w:r>
      <w:r>
        <w:rPr>
          <w:rFonts w:hint="eastAsia" w:ascii="宋体" w:hAnsi="宋体" w:eastAsia="宋体" w:cs="宋体"/>
          <w:color w:val="auto"/>
          <w:sz w:val="24"/>
          <w:szCs w:val="24"/>
          <w:highlight w:val="none"/>
        </w:rPr>
        <w:t>是指利用光伏发电清洁环保、技术可靠、形式灵活、收益稳定等特点，为建档立卡扶贫对象提供20年以上稳定收益的扶贫新模式，是产业扶贫的一种方式。光伏扶贫电站是以扶贫为目的，在具备光伏扶贫实施条件的地区，利用政府性资金投资建设的光伏电站，其产权归村集体所有，全部收益用于扶贫。</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bookmarkStart w:id="45" w:name="_Toc5222"/>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、【实施对象】</w:t>
      </w:r>
      <w:bookmarkEnd w:id="45"/>
      <w:r>
        <w:rPr>
          <w:rFonts w:hint="eastAsia" w:ascii="宋体" w:hAnsi="宋体" w:eastAsia="宋体" w:cs="宋体"/>
          <w:color w:val="auto"/>
          <w:sz w:val="24"/>
          <w:szCs w:val="24"/>
          <w:highlight w:val="none"/>
        </w:rPr>
        <w:t>以建档立卡贫困村和建档立卡贫困人口较多的非贫困村为主要对象，以财政性资金为主要出资来源，实施光伏扶贫工程。各地在开展光伏扶贫过程中，要把账算细、算准、算实，避免不切实际的全覆盖、全兜底。</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bookmarkStart w:id="46" w:name="_Toc32632"/>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rPr>
        <w:t>、【主要类型】</w:t>
      </w:r>
      <w:bookmarkEnd w:id="46"/>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户用分布式光伏发电：</w:t>
      </w:r>
      <w:r>
        <w:rPr>
          <w:rFonts w:hint="eastAsia" w:ascii="宋体" w:hAnsi="宋体" w:eastAsia="宋体" w:cs="宋体"/>
          <w:color w:val="auto"/>
          <w:sz w:val="24"/>
          <w:szCs w:val="24"/>
          <w:highlight w:val="none"/>
        </w:rPr>
        <w:t>利用建档立卡贫困户屋顶或院落空闲地，安装5-7千瓦的户用分布式光伏发电系统。户用分布式光伏发电的产权归贫困户所有，收益全部归贫困户。</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村级小电站：</w:t>
      </w:r>
      <w:r>
        <w:rPr>
          <w:rFonts w:hint="eastAsia" w:ascii="宋体" w:hAnsi="宋体" w:eastAsia="宋体" w:cs="宋体"/>
          <w:color w:val="auto"/>
          <w:sz w:val="24"/>
          <w:szCs w:val="24"/>
          <w:highlight w:val="none"/>
        </w:rPr>
        <w:t>利用荒山荒坡等未利用土地建设，规模根据帮扶的贫困户数量按户均5千瓦左右配置，最大不超过7千瓦，单个电站规模原则上不超过300千瓦，具备就近接入和消纳条件的可放宽至500千瓦。村级联建电站外送线路电压等级不超过10千伏，建设规模不超过6000千瓦。村级小电站资产归村集体所有，发电收益扣除投资还贷、相应税金、运营费用、土地租金等外，需确保惠及贫困村村集体和贫困户，通过设置公益岗位、开展公益事业以及设立奖补等形式分配发电收益，激发贫困户内生动力。村级小电站是我省光伏扶贫项目的主要发展模式。</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集中并网扶贫电站：</w:t>
      </w:r>
      <w:r>
        <w:rPr>
          <w:rFonts w:hint="eastAsia" w:ascii="宋体" w:hAnsi="宋体" w:eastAsia="宋体" w:cs="宋体"/>
          <w:color w:val="auto"/>
          <w:sz w:val="24"/>
          <w:szCs w:val="24"/>
          <w:highlight w:val="none"/>
        </w:rPr>
        <w:t>按照每个贫困户25千瓦的标准，利用荒山荒坡等未利用土地、设施农业空闲棚顶等建设集中式光伏扶贫电站。集中式光伏扶贫电站资产归政府投资平台和商业投资企业共有，项目收益按比例分成，投资平台收益折股量化给贫困户。</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62</w:t>
      </w:r>
      <w:r>
        <w:rPr>
          <w:rFonts w:hint="eastAsia" w:ascii="宋体" w:hAnsi="宋体" w:eastAsia="宋体" w:cs="宋体"/>
          <w:b/>
          <w:bCs/>
          <w:color w:val="auto"/>
          <w:sz w:val="24"/>
          <w:szCs w:val="24"/>
          <w:highlight w:val="none"/>
        </w:rPr>
        <w:t>、【收益分配】</w:t>
      </w:r>
      <w:r>
        <w:rPr>
          <w:rFonts w:hint="eastAsia" w:ascii="宋体" w:hAnsi="宋体" w:eastAsia="宋体" w:cs="宋体"/>
          <w:color w:val="auto"/>
          <w:sz w:val="24"/>
          <w:szCs w:val="24"/>
          <w:highlight w:val="none"/>
        </w:rPr>
        <w:t>有光伏扶贫任务的建档立卡贫困村，由村委会每年通过“四议两公开”的形式，研究制定光伏扶贫电站收益分配使用计划，提交村民代表会议通过后报乡镇政府审核，并报县级扶贫办备案。收益分配使用计划向村民公示，作为实施收益分配的依据。村委会根据分配使用计划对年度实际发电收益进行分配，并在下年初公告前一年收益分配使用结果。</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级光伏扶贫电站的发电收益形成村集体经济，主要用以开展公益岗位扶贫、小型公益事业扶贫、奖励补助扶贫等。分配使用要以提高贫困群众自主脱贫和发展能力为目的，鼓励贫困群众积极参与公益岗位劳动获得工资收入，或对具有较强脱贫致富正能量的贫困群众进行奖励补助，杜绝将电站收益资金直接发放给贫困群众，</w:t>
      </w:r>
      <w:r>
        <w:rPr>
          <w:rFonts w:hint="eastAsia" w:ascii="宋体" w:hAnsi="宋体" w:eastAsia="宋体" w:cs="宋体"/>
          <w:color w:val="auto"/>
          <w:sz w:val="24"/>
          <w:szCs w:val="24"/>
          <w:highlight w:val="none"/>
          <w:lang w:eastAsia="zh-CN"/>
        </w:rPr>
        <w:t>要</w:t>
      </w:r>
      <w:r>
        <w:rPr>
          <w:rFonts w:hint="eastAsia" w:ascii="宋体" w:hAnsi="宋体" w:eastAsia="宋体" w:cs="宋体"/>
          <w:color w:val="auto"/>
          <w:sz w:val="24"/>
          <w:szCs w:val="24"/>
          <w:highlight w:val="none"/>
        </w:rPr>
        <w:t>视贫困户的家庭状况和贫困程度，分档次进行差异化收益分配，切实做到公开、公平、公正，确保光伏扶贫对象精准。</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47" w:name="_Toc19148"/>
      <w:bookmarkStart w:id="48" w:name="_Toc25323"/>
      <w:r>
        <w:rPr>
          <w:rFonts w:hint="eastAsia" w:ascii="楷体_GB2312" w:hAnsi="楷体_GB2312" w:eastAsia="楷体_GB2312" w:cs="楷体_GB2312"/>
          <w:b/>
          <w:color w:val="auto"/>
          <w:sz w:val="24"/>
          <w:szCs w:val="24"/>
          <w:highlight w:val="none"/>
          <w:lang w:val="en-US" w:eastAsia="zh-CN"/>
        </w:rPr>
        <w:t>（十）扶贫车间相关政策（5项）</w:t>
      </w:r>
      <w:bookmarkEnd w:id="47"/>
      <w:bookmarkEnd w:id="48"/>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63</w:t>
      </w:r>
      <w:r>
        <w:rPr>
          <w:rFonts w:hint="eastAsia" w:ascii="宋体" w:hAnsi="宋体" w:eastAsia="宋体" w:cs="宋体"/>
          <w:b/>
          <w:bCs/>
          <w:color w:val="auto"/>
          <w:sz w:val="24"/>
          <w:szCs w:val="24"/>
          <w:highlight w:val="none"/>
        </w:rPr>
        <w:t>、【扶贫车间】</w:t>
      </w:r>
      <w:r>
        <w:rPr>
          <w:rFonts w:hint="eastAsia" w:ascii="宋体" w:hAnsi="宋体" w:eastAsia="宋体" w:cs="宋体"/>
          <w:color w:val="auto"/>
          <w:sz w:val="24"/>
          <w:szCs w:val="24"/>
          <w:highlight w:val="none"/>
        </w:rPr>
        <w:t>是指贫困村或建档立卡贫困户较多的村，有效利用村内闲置建设用地、未利用地和房屋创办的无污染的劳动密集型生产加工业，以带动贫困劳动力就近就业、壮大村集体经济发展，实现村集体经济发展和贫困户增收脱贫为主要目的的生产加工就业点。</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、【建设要求】</w:t>
      </w:r>
      <w:r>
        <w:rPr>
          <w:rFonts w:hint="eastAsia" w:ascii="宋体" w:hAnsi="宋体" w:eastAsia="宋体" w:cs="宋体"/>
          <w:color w:val="auto"/>
          <w:sz w:val="24"/>
          <w:szCs w:val="24"/>
          <w:highlight w:val="none"/>
        </w:rPr>
        <w:t>扶贫车间要充分考虑车间性质、生产需求、用工人数和安全生产等方面因素，依据建筑设计规范确定建设规模。要达到通电通水通路等生产生活条件，配套建设必要的附属设施，为贫困群众就业提供便利、舒适、安全的良好工作环境。改建扶贫车间建筑面积不低于200平方米，所有新建、改建的扶贫车间都要符合国家安全生产标准和国家环保要求，要做到扶贫车间与安全设施同时设计、同时施工、同时投入使用，防止因安全生产和环保等问题影响扶贫车间正常生产。</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、【认定管理】</w:t>
      </w:r>
      <w:r>
        <w:rPr>
          <w:rFonts w:hint="eastAsia" w:ascii="宋体" w:hAnsi="宋体" w:eastAsia="宋体" w:cs="宋体"/>
          <w:color w:val="auto"/>
          <w:sz w:val="24"/>
          <w:szCs w:val="24"/>
          <w:highlight w:val="none"/>
        </w:rPr>
        <w:t>县级扶贫部门负责扶贫车间的认定。政府投资和政府、社会共同投资及社会投资政府予以奖补的扶贫车间，2018年7月5日之后建成投用的扶贫车间带贫比例不低于30%，2018年7月5日之前建成投用的扶贫车间带贫比例不低于10%，生产区域内每百平米就业人数15人左右；社会投资的扶贫车间带贫比例不低于10%。</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三齐全</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企业有用工名册、有贫困户档案资料、有贫困户工资表。</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三上墙：</w:t>
      </w:r>
      <w:r>
        <w:rPr>
          <w:rFonts w:hint="eastAsia" w:ascii="宋体" w:hAnsi="宋体" w:eastAsia="宋体" w:cs="宋体"/>
          <w:color w:val="auto"/>
          <w:sz w:val="24"/>
          <w:szCs w:val="24"/>
          <w:highlight w:val="none"/>
        </w:rPr>
        <w:t>扶贫车间用工制度、用工名单、工资花名册</w:t>
      </w:r>
      <w:r>
        <w:rPr>
          <w:rFonts w:hint="eastAsia" w:ascii="宋体" w:hAnsi="宋体" w:eastAsia="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、【退出机制】</w:t>
      </w:r>
      <w:r>
        <w:rPr>
          <w:rFonts w:hint="eastAsia" w:ascii="宋体" w:hAnsi="宋体" w:eastAsia="宋体" w:cs="宋体"/>
          <w:color w:val="auto"/>
          <w:sz w:val="24"/>
          <w:szCs w:val="24"/>
          <w:highlight w:val="none"/>
        </w:rPr>
        <w:t>建立扶贫车间管理制度，对享受政策支持但没有认真履行带贫减贫责任、违规或违法经营、损害贫困群众利益的企业，取消扶贫车间资格，不再享受优惠政策，追回已享受的扶持资金。</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、【政府主要职责】</w:t>
      </w:r>
      <w:r>
        <w:rPr>
          <w:rFonts w:hint="eastAsia" w:ascii="宋体" w:hAnsi="宋体" w:eastAsia="宋体" w:cs="宋体"/>
          <w:color w:val="auto"/>
          <w:sz w:val="24"/>
          <w:szCs w:val="24"/>
          <w:highlight w:val="none"/>
        </w:rPr>
        <w:t>扶贫部门为扶贫车间的主管部门，要切实做好规划编制及综合协调推动工作，对扶贫车间履行带贫协议、带贫实施效果等进行监督指导；工信部门要按照《河南省产业扶持脱贫实施方案》的要求，负责特色加工产业的推动，指导扶贫车间的运营工作；人力资源和社会保障部门要按照《河南省转移就业脱贫实施方案》的要求，负责引导有就业愿望和就业能力的贫困劳动力到扶贫车间就业，并开展技能培训。</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49" w:name="_Toc16730"/>
      <w:r>
        <w:rPr>
          <w:rFonts w:hint="eastAsia" w:ascii="楷体_GB2312" w:hAnsi="楷体_GB2312" w:eastAsia="楷体_GB2312" w:cs="楷体_GB2312"/>
          <w:b/>
          <w:color w:val="auto"/>
          <w:sz w:val="24"/>
          <w:szCs w:val="24"/>
          <w:highlight w:val="none"/>
          <w:lang w:val="en-US" w:eastAsia="zh-CN"/>
        </w:rPr>
        <w:t>（十一）其他相对重要的行业保障政策（2项）</w:t>
      </w:r>
      <w:bookmarkEnd w:id="49"/>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、【退耕还林补贴】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①生态林补贴：补贴期限16年。前8年每亩每年补230元；后8年每亩每年补125元。</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②经济林补贴：补贴期限10年。前5年每亩每年补230元；后5年每亩每年补125元。</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、【公益林补贴】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公益林每亩9元左右，护林员工资各县标准不一。</w:t>
      </w:r>
    </w:p>
    <w:p>
      <w:pPr>
        <w:widowControl w:val="0"/>
        <w:wordWrap/>
        <w:topLinePunct w:val="1"/>
        <w:adjustRightInd/>
        <w:snapToGrid/>
        <w:spacing w:before="0" w:after="0" w:line="440" w:lineRule="exact"/>
        <w:ind w:left="0" w:leftChars="0" w:right="0" w:firstLine="480" w:firstLineChars="200"/>
        <w:jc w:val="both"/>
        <w:textAlignment w:val="auto"/>
        <w:outlineLvl w:val="0"/>
        <w:rPr>
          <w:rFonts w:hint="eastAsia" w:ascii="黑体" w:hAnsi="黑体" w:eastAsia="黑体" w:cs="黑体"/>
          <w:color w:val="auto"/>
          <w:sz w:val="24"/>
          <w:szCs w:val="24"/>
          <w:highlight w:val="none"/>
          <w:lang w:eastAsia="zh-CN"/>
        </w:rPr>
      </w:pPr>
      <w:bookmarkStart w:id="50" w:name="_Toc4378"/>
      <w:bookmarkStart w:id="51" w:name="_Toc29207"/>
      <w:r>
        <w:rPr>
          <w:rFonts w:hint="eastAsia" w:ascii="黑体" w:hAnsi="黑体" w:eastAsia="黑体" w:cs="黑体"/>
          <w:color w:val="auto"/>
          <w:sz w:val="24"/>
          <w:szCs w:val="24"/>
          <w:highlight w:val="none"/>
          <w:lang w:eastAsia="zh-CN"/>
        </w:rPr>
        <w:t>五、资金使用和扶贫项目相关政策</w:t>
      </w:r>
      <w:bookmarkEnd w:id="50"/>
      <w:bookmarkEnd w:id="51"/>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52" w:name="_Toc7164"/>
      <w:bookmarkStart w:id="53" w:name="_Toc20531"/>
      <w:r>
        <w:rPr>
          <w:rFonts w:hint="eastAsia" w:ascii="楷体_GB2312" w:hAnsi="楷体_GB2312" w:eastAsia="楷体_GB2312" w:cs="楷体_GB2312"/>
          <w:b/>
          <w:color w:val="auto"/>
          <w:sz w:val="24"/>
          <w:szCs w:val="24"/>
          <w:highlight w:val="none"/>
          <w:lang w:val="en-US" w:eastAsia="zh-CN"/>
        </w:rPr>
        <w:t>（一）国定贫困县资金使用范围和负面清单</w:t>
      </w:r>
      <w:bookmarkEnd w:id="52"/>
      <w:bookmarkEnd w:id="53"/>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1、适用范围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w:t>
      </w:r>
      <w:r>
        <w:rPr>
          <w:rFonts w:hint="eastAsia" w:ascii="宋体" w:hAnsi="宋体" w:eastAsia="宋体" w:cs="宋体"/>
          <w:color w:val="auto"/>
          <w:spacing w:val="-5"/>
          <w:sz w:val="24"/>
          <w:szCs w:val="24"/>
          <w:highlight w:val="none"/>
        </w:rPr>
        <w:t>要使用在农业生产发展和农村基础设施建设范围内使用，优先用于带动贫困人口持续增收的产业发展项目。</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2、负面清单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2019年国定贫困县涉农资金统筹整合实施方案禁止安排以下项目，包括但不限于以下方面：</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（1）村级办公场所、卫生室、文化室、文化广场（乡村舞台）、学校等公共服务设施。</w:t>
      </w:r>
    </w:p>
    <w:p>
      <w:pPr>
        <w:widowControl w:val="0"/>
        <w:wordWrap/>
        <w:topLinePunct w:val="1"/>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（2）大中型基础设施建设。</w:t>
      </w:r>
    </w:p>
    <w:p>
      <w:pPr>
        <w:widowControl w:val="0"/>
        <w:wordWrap/>
        <w:topLinePunct w:val="1"/>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（3）医疗保障。</w:t>
      </w:r>
    </w:p>
    <w:p>
      <w:pPr>
        <w:widowControl w:val="0"/>
        <w:wordWrap/>
        <w:topLinePunct w:val="1"/>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（4）各类保险，偿还债务或垫资。</w:t>
      </w:r>
    </w:p>
    <w:p>
      <w:pPr>
        <w:widowControl w:val="0"/>
        <w:wordWrap/>
        <w:topLinePunct w:val="1"/>
        <w:adjustRightInd/>
        <w:snapToGrid/>
        <w:spacing w:before="0" w:after="0" w:line="440" w:lineRule="exact"/>
        <w:ind w:left="0" w:leftChars="0"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（5）《河南省财政专项扶贫资金管理办法》（豫财农〔2017〕216号）第十二条规定的禁止支出事项。</w:t>
      </w:r>
    </w:p>
    <w:p>
      <w:pPr>
        <w:widowControl w:val="0"/>
        <w:wordWrap/>
        <w:topLinePunct w:val="1"/>
        <w:adjustRightInd/>
        <w:snapToGrid/>
        <w:spacing w:before="0" w:after="0" w:line="440" w:lineRule="exact"/>
        <w:ind w:left="0" w:leftChars="0"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（6）绿化、亮化、美化等超出脱贫攻坚现行标准的项目。</w:t>
      </w:r>
    </w:p>
    <w:p>
      <w:pPr>
        <w:widowControl w:val="0"/>
        <w:wordWrap/>
        <w:topLinePunct w:val="1"/>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（7）豫办〔2018〕35号文件负面清单。</w:t>
      </w:r>
    </w:p>
    <w:p>
      <w:pPr>
        <w:widowControl w:val="0"/>
        <w:wordWrap/>
        <w:topLinePunct w:val="1"/>
        <w:adjustRightInd/>
        <w:snapToGrid/>
        <w:spacing w:before="0" w:after="0" w:line="440" w:lineRule="exact"/>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3、已正式摘帽的县可以扩大资金使用范围</w:t>
      </w:r>
    </w:p>
    <w:p>
      <w:pPr>
        <w:widowControl w:val="0"/>
        <w:wordWrap/>
        <w:topLinePunct w:val="1"/>
        <w:adjustRightInd/>
        <w:snapToGrid/>
        <w:spacing w:before="0" w:after="0" w:line="440" w:lineRule="exact"/>
        <w:ind w:left="0" w:leftChars="0"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（1）可将整合资金适当用于必要的农村生活垃圾治理、农村生活污水治理、农村粪污治理、农村公共厕所改造等农村人居环境整治项目。支持对象比例由县级脱贫攻坚领导小组研究确定。</w:t>
      </w:r>
    </w:p>
    <w:p>
      <w:pPr>
        <w:widowControl w:val="0"/>
        <w:wordWrap/>
        <w:topLinePunct w:val="1"/>
        <w:adjustRightInd/>
        <w:snapToGrid/>
        <w:spacing w:before="0" w:after="0" w:line="440" w:lineRule="exact"/>
        <w:ind w:left="0" w:leftChars="0"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在保障巩固脱贫攻坚成效资金需求和贫困村全部达到退出标准的前提下，可安排适当规模的整合资金用于贫困发生率高、贫困人口规模较大的非贫困村基础设施建设。支持对象比例由县级扶贫开发领导小组确定。</w:t>
      </w:r>
    </w:p>
    <w:p>
      <w:pPr>
        <w:widowControl w:val="0"/>
        <w:wordWrap/>
        <w:topLinePunct w:val="1"/>
        <w:adjustRightInd/>
        <w:snapToGrid/>
        <w:spacing w:before="0" w:after="0" w:line="440" w:lineRule="exact"/>
        <w:ind w:left="0" w:leftChars="0" w:right="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54" w:name="_Toc14626"/>
      <w:r>
        <w:rPr>
          <w:rFonts w:hint="eastAsia" w:ascii="楷体_GB2312" w:hAnsi="楷体_GB2312" w:eastAsia="楷体_GB2312" w:cs="楷体_GB2312"/>
          <w:b/>
          <w:color w:val="auto"/>
          <w:sz w:val="24"/>
          <w:szCs w:val="24"/>
          <w:highlight w:val="none"/>
          <w:lang w:val="en-US" w:eastAsia="zh-CN"/>
        </w:rPr>
        <w:t xml:space="preserve">   </w:t>
      </w:r>
      <w:bookmarkStart w:id="55" w:name="_Toc10139"/>
      <w:r>
        <w:rPr>
          <w:rFonts w:hint="eastAsia" w:ascii="楷体_GB2312" w:hAnsi="楷体_GB2312" w:eastAsia="楷体_GB2312" w:cs="楷体_GB2312"/>
          <w:b/>
          <w:color w:val="auto"/>
          <w:sz w:val="24"/>
          <w:szCs w:val="24"/>
          <w:highlight w:val="none"/>
          <w:lang w:val="en-US" w:eastAsia="zh-CN"/>
        </w:rPr>
        <w:t>（二）省定贫困县和2个脱贫攻坚任务重的非贫困县（邓州市、唐河县）资金使用范围和负面清单</w:t>
      </w:r>
      <w:bookmarkEnd w:id="54"/>
      <w:bookmarkEnd w:id="55"/>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主要使用在农业生产发展、农村基础设施和农村基本公共服务建设范围内使用，优先用于带动贫困人口持续增收的产业发展项目。</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2、负面清单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2019年省定贫困县涉农资金统筹整合实施方案禁止安排以下项目，包括但不限于以下方面：</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（1）行政事业单位基本支出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（2）交通工具及通讯设备</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（3）各种奖金、津贴和福利补助</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（4）弥补企业亏损</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pacing w:val="-6"/>
          <w:sz w:val="24"/>
          <w:szCs w:val="24"/>
          <w:highlight w:val="none"/>
        </w:rPr>
        <w:t>修建楼堂馆所及贫困农场、林场棚户改造以外的职工住宅</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（6）弥补预算支出缺口和偿还债务</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（7）大中型基本建设项目</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（8）城市基本设施建设和城市扶贫</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（9）其他与脱贫攻坚无关的支出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以上九项是豫办〔2018〕35号负面清单。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（10）刷墙、照明等面子形象工程。</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3、已正式摘帽的县可以扩大资金使用范围</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省定贫困县待正式宣布脱贫后可将整合资金适当用于必要的农村生活垃圾治理、农村生活污水治理、农村粪污治理、农村公共厕所改造等农村人居环境整治项目。支持对象比例由县级脱贫攻坚领导小组会议研究确定。</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（2）省定试点县可将整合资金安排适当规模用于贫困发生率较高、贫困人口规模较大的非贫困村基础设施，支持对象及比例由县脱贫攻坚领导小组会议研究决定。</w:t>
      </w:r>
    </w:p>
    <w:p>
      <w:pPr>
        <w:widowControl w:val="0"/>
        <w:wordWrap/>
        <w:topLinePunct w:val="1"/>
        <w:adjustRightInd/>
        <w:snapToGrid/>
        <w:spacing w:before="0" w:after="0" w:line="440" w:lineRule="exact"/>
        <w:ind w:left="0" w:leftChars="0" w:right="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56" w:name="_Toc25276"/>
      <w:r>
        <w:rPr>
          <w:rFonts w:hint="eastAsia" w:ascii="楷体_GB2312" w:hAnsi="楷体_GB2312" w:eastAsia="楷体_GB2312" w:cs="楷体_GB2312"/>
          <w:b/>
          <w:color w:val="auto"/>
          <w:sz w:val="24"/>
          <w:szCs w:val="24"/>
          <w:highlight w:val="none"/>
          <w:lang w:val="en-US" w:eastAsia="zh-CN"/>
        </w:rPr>
        <w:t xml:space="preserve">   </w:t>
      </w:r>
      <w:bookmarkStart w:id="57" w:name="_Toc17436"/>
      <w:r>
        <w:rPr>
          <w:rFonts w:hint="eastAsia" w:ascii="楷体_GB2312" w:hAnsi="楷体_GB2312" w:eastAsia="楷体_GB2312" w:cs="楷体_GB2312"/>
          <w:b/>
          <w:color w:val="auto"/>
          <w:sz w:val="24"/>
          <w:szCs w:val="24"/>
          <w:highlight w:val="none"/>
          <w:lang w:val="en-US" w:eastAsia="zh-CN"/>
        </w:rPr>
        <w:t>（三）其他非贫困县专项扶贫资金使用范围和负面清单</w:t>
      </w:r>
      <w:bookmarkEnd w:id="56"/>
      <w:bookmarkEnd w:id="57"/>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1、适用范围</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（1）围绕培育和壮大当地特色优势产业，支持贫困地区和贫困人口发展特色种植业、养殖业、加工业和服务业等与贫困人口脱贫增收相关的扶贫产业，支持贫困村发展集体经济，建立资产收益扶贫长效机制。</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围绕改善贫困地区小型公益性生产生活设施条件，支持修建小型公益性生产生活设施、小型农村饮水安全配套设施、贫困村村组道路等。在全面改善贫困村基本生产生活条件的基础上，实施贫困村提升工程，支持贫困人口较多或贫困发生率较高的非贫困村基本生产生活条件改善。</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围绕增强贫困人口自我发展能力和抵御风险能力，支持对贫困家庭子女和青壮年劳动力接受全日制中高等职业教育、贫困人口参加短期技能培训和产业发展使用技术培训给予补助；支持建立贫困村互助金；对产业化扶贫贷款贴息、贫困户参加种植业、养殖业保险农户负担保费等给予补贴。</w:t>
      </w:r>
    </w:p>
    <w:p>
      <w:pPr>
        <w:widowControl w:val="0"/>
        <w:wordWrap/>
        <w:topLinePunct w:val="1"/>
        <w:adjustRightInd/>
        <w:snapToGrid/>
        <w:spacing w:before="0" w:after="0" w:line="440" w:lineRule="exact"/>
        <w:ind w:left="0" w:leftChars="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2、负面清单</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（1）行政事业单位基本支出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（2）交通工具及通讯设备</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（3）各种奖金、津贴和福利补助</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（4）弥补企业亏损</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pacing w:val="-6"/>
          <w:sz w:val="24"/>
          <w:szCs w:val="24"/>
          <w:highlight w:val="none"/>
        </w:rPr>
        <w:t>）修建楼堂馆所及贫困农场、林场棚户改造以外的职工住宅</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（6）弥补预算支出缺口和偿还债务</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（7）大中型基本建设项目</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（8）城市基本设施建设和城市扶贫</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（9）其他与脱贫攻坚无关的支出</w:t>
      </w:r>
    </w:p>
    <w:p>
      <w:pPr>
        <w:widowControl w:val="0"/>
        <w:wordWrap/>
        <w:topLinePunct w:val="1"/>
        <w:adjustRightInd/>
        <w:snapToGrid/>
        <w:spacing w:before="0" w:after="0"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（10）教育、科学、文化、卫生、医疗、社保等社会事业支出原则不再使用专项扶贫资金支出。</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58" w:name="_Toc29561"/>
      <w:bookmarkStart w:id="59" w:name="_Toc24224"/>
      <w:r>
        <w:rPr>
          <w:rFonts w:hint="eastAsia" w:ascii="楷体_GB2312" w:hAnsi="楷体_GB2312" w:eastAsia="楷体_GB2312" w:cs="楷体_GB2312"/>
          <w:b/>
          <w:color w:val="auto"/>
          <w:sz w:val="24"/>
          <w:szCs w:val="24"/>
          <w:highlight w:val="none"/>
          <w:lang w:val="en-US" w:eastAsia="zh-CN"/>
        </w:rPr>
        <w:t>（四）项目库入库项目负面清单</w:t>
      </w:r>
      <w:bookmarkEnd w:id="58"/>
      <w:bookmarkEnd w:id="59"/>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（1）行政事业单位基本支出</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（2）交通工具及通讯设备</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（3）各种奖金、津贴和福利补助</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（4）弥补企业亏损</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（5）修建楼堂馆所及贫困农场、林场棚户改造以外的职工住宅</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（6）弥补预算支出缺口和偿还债务</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（7）大中型基本建设项目</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（8）城市基本设施建设和城市扶贫</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（9）村庄绿化、亮化、美化、刷墙、县乡道路等超出脱贫攻坚现行标准的项目</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（10）违反环保法、基本农田法相关规定的项目</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（11）其他与脱贫攻坚无关的支出</w:t>
      </w:r>
      <w:r>
        <w:rPr>
          <w:rFonts w:hint="eastAsia" w:ascii="宋体" w:hAnsi="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firstLine="482" w:firstLineChars="200"/>
        <w:jc w:val="both"/>
        <w:textAlignment w:val="auto"/>
        <w:outlineLvl w:val="1"/>
        <w:rPr>
          <w:rFonts w:hint="eastAsia" w:ascii="楷体_GB2312" w:hAnsi="楷体_GB2312" w:eastAsia="楷体_GB2312" w:cs="楷体_GB2312"/>
          <w:b/>
          <w:color w:val="auto"/>
          <w:sz w:val="24"/>
          <w:szCs w:val="24"/>
          <w:highlight w:val="none"/>
          <w:lang w:val="en-US" w:eastAsia="zh-CN"/>
        </w:rPr>
      </w:pPr>
      <w:bookmarkStart w:id="60" w:name="_Toc9875"/>
      <w:bookmarkStart w:id="61" w:name="_Toc30317"/>
      <w:r>
        <w:rPr>
          <w:rFonts w:hint="eastAsia" w:ascii="楷体_GB2312" w:hAnsi="楷体_GB2312" w:eastAsia="楷体_GB2312" w:cs="楷体_GB2312"/>
          <w:b/>
          <w:color w:val="auto"/>
          <w:sz w:val="24"/>
          <w:szCs w:val="24"/>
          <w:highlight w:val="none"/>
          <w:lang w:val="en-US" w:eastAsia="zh-CN"/>
        </w:rPr>
        <w:t>（五）公告公示内容</w:t>
      </w:r>
      <w:bookmarkEnd w:id="60"/>
      <w:bookmarkEnd w:id="61"/>
    </w:p>
    <w:p>
      <w:pPr>
        <w:widowControl w:val="0"/>
        <w:numPr>
          <w:numId w:val="0"/>
        </w:numPr>
        <w:wordWrap/>
        <w:topLinePunct w:val="1"/>
        <w:adjustRightInd/>
        <w:snapToGrid/>
        <w:spacing w:before="0" w:after="0" w:line="440" w:lineRule="exact"/>
        <w:ind w:left="0" w:leftChars="0" w:right="0" w:firstLine="482" w:firstLineChars="200"/>
        <w:jc w:val="both"/>
        <w:textAlignment w:val="auto"/>
        <w:outlineLvl w:val="1"/>
        <w:rPr>
          <w:rFonts w:hint="eastAsia" w:ascii="宋体" w:hAnsi="宋体" w:eastAsia="宋体" w:cs="宋体"/>
          <w:b/>
          <w:bCs/>
          <w:color w:val="auto"/>
          <w:sz w:val="24"/>
          <w:szCs w:val="24"/>
          <w:highlight w:val="none"/>
          <w:lang w:val="en-US" w:eastAsia="zh-CN"/>
        </w:rPr>
      </w:pPr>
      <w:bookmarkStart w:id="62" w:name="_Toc2508"/>
      <w:bookmarkStart w:id="63" w:name="_Toc8767"/>
      <w:bookmarkStart w:id="64" w:name="_Toc4776"/>
      <w:r>
        <w:rPr>
          <w:rFonts w:hint="eastAsia" w:ascii="宋体" w:hAnsi="宋体" w:eastAsia="宋体" w:cs="宋体"/>
          <w:b/>
          <w:bCs/>
          <w:color w:val="auto"/>
          <w:sz w:val="24"/>
          <w:szCs w:val="24"/>
          <w:highlight w:val="none"/>
          <w:lang w:val="en-US" w:eastAsia="zh-CN"/>
        </w:rPr>
        <w:t>1、县级层面</w:t>
      </w:r>
      <w:bookmarkEnd w:id="62"/>
      <w:bookmarkEnd w:id="63"/>
      <w:bookmarkEnd w:id="64"/>
    </w:p>
    <w:p>
      <w:pPr>
        <w:widowControl w:val="0"/>
        <w:wordWrap/>
        <w:topLinePunct w:val="1"/>
        <w:adjustRightInd/>
        <w:snapToGrid/>
        <w:spacing w:before="0" w:after="0"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财政专项扶贫资金分配结果(包括资金来源、资金规模、资金用途、使用单位、分配原则、分配结果、监督方式等)</w:t>
      </w:r>
      <w:r>
        <w:rPr>
          <w:rFonts w:hint="eastAsia" w:ascii="宋体" w:hAnsi="宋体" w:eastAsia="宋体" w:cs="宋体"/>
          <w:color w:val="auto"/>
          <w:sz w:val="24"/>
          <w:szCs w:val="24"/>
          <w:highlight w:val="none"/>
          <w:lang w:eastAsia="zh-CN"/>
        </w:rPr>
        <w:t>。需在政府网站</w:t>
      </w:r>
      <w:r>
        <w:rPr>
          <w:rFonts w:hint="eastAsia" w:ascii="宋体" w:hAnsi="宋体" w:eastAsia="宋体" w:cs="宋体"/>
          <w:color w:val="auto"/>
          <w:sz w:val="24"/>
          <w:szCs w:val="24"/>
          <w:highlight w:val="none"/>
        </w:rPr>
        <w:t>保持长期公开。各级安排资金规模与公告公示资金规模要保持一致。</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（2）扶贫资金项目年度计划公开内容</w:t>
      </w:r>
      <w:r>
        <w:rPr>
          <w:rFonts w:hint="eastAsia" w:ascii="宋体" w:hAnsi="宋体" w:eastAsia="宋体" w:cs="宋体"/>
          <w:color w:val="auto"/>
          <w:sz w:val="24"/>
          <w:szCs w:val="24"/>
          <w:highlight w:val="none"/>
          <w:lang w:eastAsia="zh-CN"/>
        </w:rPr>
        <w:t>指</w:t>
      </w:r>
      <w:r>
        <w:rPr>
          <w:rFonts w:hint="eastAsia" w:ascii="宋体" w:hAnsi="宋体" w:eastAsia="宋体" w:cs="宋体"/>
          <w:color w:val="auto"/>
          <w:sz w:val="24"/>
          <w:szCs w:val="24"/>
          <w:highlight w:val="none"/>
        </w:rPr>
        <w:t>经县脱贫攻坚领导小组批准的年度县级扶贫资金项目计划或贫困县涉农资金统筹整合方案(含调整方案)，包括项目名称、实施地点、建设任务、补助标准、资金来源及规模、实施期限、实施单位及责任人和绩效目标、带贫减贫机制、监督方式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计划完成情况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包括项目建设完成、资金使用、绩效目标和减贫机制实现情况、监督方式等。</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在政府网站保持长期公开</w:t>
      </w:r>
      <w:r>
        <w:rPr>
          <w:rFonts w:hint="eastAsia" w:ascii="宋体" w:hAnsi="宋体" w:eastAsia="宋体" w:cs="宋体"/>
          <w:color w:val="auto"/>
          <w:sz w:val="24"/>
          <w:szCs w:val="24"/>
          <w:highlight w:val="none"/>
          <w:lang w:eastAsia="zh-CN"/>
        </w:rPr>
        <w:t>。</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（3）行业扶贫相关财政资金使用情况</w:t>
      </w:r>
      <w:r>
        <w:rPr>
          <w:rFonts w:hint="eastAsia" w:ascii="宋体" w:hAnsi="宋体" w:eastAsia="宋体" w:cs="宋体"/>
          <w:color w:val="auto"/>
          <w:sz w:val="24"/>
          <w:szCs w:val="24"/>
          <w:highlight w:val="none"/>
        </w:rPr>
        <w:t>(包括项目名称、实施地点、资金规模、实施单位、带贫减贫机制、绩效目标、监督方式等)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政府网站要保持长期公开，公示栏公告原则上不少于10天。使用资金规模与公告公示资金规模要保持一致。</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（4）项目库建设公开内容指</w:t>
      </w:r>
      <w:r>
        <w:rPr>
          <w:rFonts w:hint="eastAsia" w:ascii="宋体" w:hAnsi="宋体" w:eastAsia="宋体" w:cs="宋体"/>
          <w:color w:val="auto"/>
          <w:sz w:val="24"/>
          <w:szCs w:val="24"/>
          <w:highlight w:val="none"/>
        </w:rPr>
        <w:t>经县脱贫攻坚领导小组审定的县级脱贫攻坚项目库(项目库规模、项目名单)、监督方式等。</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在政府网站上对项目库建设进行公告，并保持长期公开。</w:t>
      </w:r>
    </w:p>
    <w:p>
      <w:pPr>
        <w:widowControl w:val="0"/>
        <w:wordWrap/>
        <w:topLinePunct w:val="1"/>
        <w:adjustRightInd/>
        <w:snapToGrid/>
        <w:spacing w:before="0" w:after="0"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（5）项目实施需公开的内容</w:t>
      </w:r>
      <w:r>
        <w:rPr>
          <w:rFonts w:hint="eastAsia" w:ascii="宋体" w:hAnsi="宋体" w:eastAsia="宋体" w:cs="宋体"/>
          <w:color w:val="auto"/>
          <w:sz w:val="24"/>
          <w:szCs w:val="24"/>
          <w:highlight w:val="none"/>
        </w:rPr>
        <w:t>包括项目实施前情况(包括项目名称、资金来源、实施期限、绩效目标、实施单位及责任人、受益对象和带贫减贫机制等)、项目实施后情况(包括资金使用、项目实施结果、检查验收结果、绩效目标实现情况等)、监督方式等。</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在县政府官方网站上对项目实施前</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进行公示，对项目实施后情况进行公告，并保持长期公开。</w:t>
      </w:r>
    </w:p>
    <w:p>
      <w:pPr>
        <w:widowControl w:val="0"/>
        <w:numPr>
          <w:numId w:val="0"/>
        </w:numPr>
        <w:wordWrap/>
        <w:topLinePunct w:val="1"/>
        <w:adjustRightInd/>
        <w:snapToGrid/>
        <w:spacing w:before="0" w:after="0" w:line="440" w:lineRule="exact"/>
        <w:ind w:left="0" w:leftChars="0" w:right="0" w:firstLine="482" w:firstLineChars="200"/>
        <w:jc w:val="both"/>
        <w:textAlignment w:val="auto"/>
        <w:outlineLvl w:val="1"/>
        <w:rPr>
          <w:rFonts w:hint="eastAsia" w:ascii="宋体" w:hAnsi="宋体" w:eastAsia="宋体" w:cs="宋体"/>
          <w:b/>
          <w:bCs/>
          <w:color w:val="auto"/>
          <w:sz w:val="24"/>
          <w:szCs w:val="24"/>
          <w:highlight w:val="none"/>
          <w:lang w:val="en-US" w:eastAsia="zh-CN"/>
        </w:rPr>
      </w:pPr>
      <w:bookmarkStart w:id="65" w:name="_Toc7001"/>
      <w:bookmarkStart w:id="66" w:name="_Toc17012"/>
      <w:bookmarkStart w:id="67" w:name="_Toc1541"/>
      <w:r>
        <w:rPr>
          <w:rFonts w:hint="eastAsia" w:ascii="宋体" w:hAnsi="宋体" w:eastAsia="宋体" w:cs="宋体"/>
          <w:b/>
          <w:bCs/>
          <w:color w:val="auto"/>
          <w:sz w:val="24"/>
          <w:szCs w:val="24"/>
          <w:highlight w:val="none"/>
          <w:lang w:val="en-US" w:eastAsia="zh-CN"/>
        </w:rPr>
        <w:t>2、乡镇层面</w:t>
      </w:r>
      <w:bookmarkEnd w:id="65"/>
      <w:bookmarkEnd w:id="66"/>
      <w:bookmarkEnd w:id="67"/>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（1）当年度有资金项目的乡镇扶贫资金项目年度计划公开内容</w:t>
      </w:r>
      <w:r>
        <w:rPr>
          <w:rFonts w:hint="eastAsia" w:ascii="宋体" w:hAnsi="宋体" w:eastAsia="宋体" w:cs="宋体"/>
          <w:color w:val="auto"/>
          <w:sz w:val="24"/>
          <w:szCs w:val="24"/>
          <w:highlight w:val="none"/>
        </w:rPr>
        <w:t>包括计划安排情况(资金项目计划批复文件)，包括项目名称、实施地点、建设任务、补助标准、资金来源及规模、实施期限、实施单位及责任人和绩效目标、带贫减贫机制、监督方式等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计划完成情况，包括项目建设完成、资金使用、绩效目标和减贫机制实现情况、监督方式等。乡镇人民政府</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在固定的公告公示专栏上对扶贫资金项目年度计划进行公告，公告时间原则上不少于10天。</w:t>
      </w:r>
    </w:p>
    <w:p>
      <w:pPr>
        <w:widowControl w:val="0"/>
        <w:wordWrap/>
        <w:topLinePunct w:val="1"/>
        <w:adjustRightInd/>
        <w:snapToGrid/>
        <w:spacing w:before="0" w:after="0" w:line="44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项目库建设公开包括申报前公示和纳入后公告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公开内容包括项目名称、项目类型、建设性质、实施地点、时间进度、责任单位、建设任务、资金规模和筹资方式、受益对象、绩效目标、群众参与和带贫减贫机制等。乡镇人民政府</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在政务服务中心或固定的公告公示专栏上对项目库建设进行公告公示，公告公示时间原则上不少于10天。</w:t>
      </w:r>
    </w:p>
    <w:p>
      <w:pPr>
        <w:widowControl w:val="0"/>
        <w:wordWrap/>
        <w:topLinePunct w:val="1"/>
        <w:adjustRightInd/>
        <w:snapToGrid/>
        <w:spacing w:before="0" w:after="0" w:line="440" w:lineRule="exact"/>
        <w:ind w:right="0"/>
        <w:jc w:val="both"/>
        <w:textAlignment w:val="auto"/>
        <w:rPr>
          <w:rFonts w:hint="eastAsia" w:ascii="宋体" w:hAnsi="宋体" w:eastAsia="宋体" w:cs="宋体"/>
          <w:color w:val="auto"/>
          <w:spacing w:val="-3"/>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项目实施的公开内容包括项目实施前情况(包括项目名称、资金来源、</w:t>
      </w:r>
      <w:r>
        <w:rPr>
          <w:rFonts w:hint="eastAsia" w:ascii="宋体" w:hAnsi="宋体" w:eastAsia="宋体" w:cs="宋体"/>
          <w:color w:val="auto"/>
          <w:spacing w:val="-3"/>
          <w:sz w:val="24"/>
          <w:szCs w:val="24"/>
          <w:highlight w:val="none"/>
        </w:rPr>
        <w:t>实施期限、绩效目标、实施单位及责任人、受益对象和带贫</w:t>
      </w:r>
      <w:r>
        <w:rPr>
          <w:rFonts w:hint="eastAsia" w:ascii="宋体" w:hAnsi="宋体" w:eastAsia="宋体" w:cs="宋体"/>
          <w:color w:val="auto"/>
          <w:spacing w:val="-3"/>
          <w:sz w:val="24"/>
          <w:szCs w:val="24"/>
          <w:highlight w:val="none"/>
          <w:lang w:eastAsia="zh-CN"/>
        </w:rPr>
        <w:t>减</w:t>
      </w:r>
      <w:r>
        <w:rPr>
          <w:rFonts w:hint="eastAsia" w:ascii="宋体" w:hAnsi="宋体" w:eastAsia="宋体" w:cs="宋体"/>
          <w:color w:val="auto"/>
          <w:spacing w:val="-3"/>
          <w:sz w:val="24"/>
          <w:szCs w:val="24"/>
          <w:highlight w:val="none"/>
        </w:rPr>
        <w:t>贫机制等)、项目实施后情况(包括资金使用、项目实施结果、检查验收结果、绩效目标实现情况等)、监督方式等。项目管理单位或实施单位</w:t>
      </w:r>
      <w:r>
        <w:rPr>
          <w:rFonts w:hint="eastAsia" w:ascii="宋体" w:hAnsi="宋体" w:eastAsia="宋体" w:cs="宋体"/>
          <w:color w:val="auto"/>
          <w:spacing w:val="-3"/>
          <w:sz w:val="24"/>
          <w:szCs w:val="24"/>
          <w:highlight w:val="none"/>
          <w:lang w:eastAsia="zh-CN"/>
        </w:rPr>
        <w:t>需</w:t>
      </w:r>
      <w:r>
        <w:rPr>
          <w:rFonts w:hint="eastAsia" w:ascii="宋体" w:hAnsi="宋体" w:eastAsia="宋体" w:cs="宋体"/>
          <w:color w:val="auto"/>
          <w:spacing w:val="-3"/>
          <w:sz w:val="24"/>
          <w:szCs w:val="24"/>
          <w:highlight w:val="none"/>
        </w:rPr>
        <w:t>在乡镇政务服务中心或固定的公告公示专栏上对项目实施前情况进行公示，对项目实施后情况进行公告，公告公示时间原则上不少于10天。</w:t>
      </w:r>
    </w:p>
    <w:p>
      <w:pPr>
        <w:widowControl w:val="0"/>
        <w:numPr>
          <w:numId w:val="0"/>
        </w:numPr>
        <w:wordWrap/>
        <w:topLinePunct w:val="1"/>
        <w:adjustRightInd/>
        <w:snapToGrid/>
        <w:spacing w:before="0" w:after="0" w:line="440" w:lineRule="exact"/>
        <w:ind w:left="0" w:leftChars="0" w:right="0" w:firstLine="482" w:firstLineChars="200"/>
        <w:jc w:val="both"/>
        <w:textAlignment w:val="auto"/>
        <w:outlineLvl w:val="1"/>
        <w:rPr>
          <w:rFonts w:hint="eastAsia" w:ascii="宋体" w:hAnsi="宋体" w:eastAsia="宋体" w:cs="宋体"/>
          <w:b/>
          <w:bCs/>
          <w:color w:val="auto"/>
          <w:sz w:val="24"/>
          <w:szCs w:val="24"/>
          <w:highlight w:val="none"/>
          <w:lang w:val="en-US" w:eastAsia="zh-CN"/>
        </w:rPr>
      </w:pPr>
      <w:bookmarkStart w:id="68" w:name="_Toc20145"/>
      <w:bookmarkStart w:id="69" w:name="_Toc29177"/>
      <w:bookmarkStart w:id="70" w:name="_Toc15087"/>
      <w:r>
        <w:rPr>
          <w:rFonts w:hint="eastAsia" w:ascii="宋体" w:hAnsi="宋体" w:eastAsia="宋体" w:cs="宋体"/>
          <w:b/>
          <w:bCs/>
          <w:color w:val="auto"/>
          <w:sz w:val="24"/>
          <w:szCs w:val="24"/>
          <w:highlight w:val="none"/>
          <w:lang w:val="en-US" w:eastAsia="zh-CN"/>
        </w:rPr>
        <w:t>3、村级层面</w:t>
      </w:r>
      <w:bookmarkEnd w:id="68"/>
      <w:bookmarkEnd w:id="69"/>
      <w:bookmarkEnd w:id="70"/>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贫困人口识别公开内容包括识别标准、识别程序和识别结果。公示时间原则上不少于10天。</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贫困人口退出公开内容包括退出计划、退出标准、退出程序和退出结果。公示时间原则上不少于10天。</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年度有资金项目的行政村扶贫资金项目年度计划公开内容包括计划安排情况(资金项目计划批复文件)，包括项目名称、实施地点、建设任务、补助标准、资金来源及规模、实施期限、实施单位及责任人和绩效目标、带贫减贫机制，监督方式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计划完成情况，包括项目建设完成，资金使用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绩效目标和</w:t>
      </w:r>
      <w:r>
        <w:rPr>
          <w:rFonts w:hint="eastAsia" w:ascii="宋体" w:hAnsi="宋体" w:cs="宋体"/>
          <w:color w:val="auto"/>
          <w:sz w:val="24"/>
          <w:szCs w:val="24"/>
          <w:highlight w:val="none"/>
          <w:lang w:val="en-US" w:eastAsia="zh-CN"/>
        </w:rPr>
        <w:t>减</w:t>
      </w:r>
      <w:r>
        <w:rPr>
          <w:rFonts w:hint="eastAsia" w:ascii="宋体" w:hAnsi="宋体" w:eastAsia="宋体" w:cs="宋体"/>
          <w:color w:val="auto"/>
          <w:sz w:val="24"/>
          <w:szCs w:val="24"/>
          <w:highlight w:val="none"/>
        </w:rPr>
        <w:t>贫机制实现情况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监督方式等。行政村</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在脱贫攻坚公告公示专栏上对扶贫资金项目年度计划进行公告，公告时间原则上不少于10天。</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扶贫小额</w:t>
      </w:r>
      <w:r>
        <w:rPr>
          <w:rFonts w:hint="eastAsia" w:ascii="宋体" w:hAnsi="宋体" w:eastAsia="宋体" w:cs="宋体"/>
          <w:color w:val="auto"/>
          <w:sz w:val="24"/>
          <w:szCs w:val="24"/>
          <w:highlight w:val="none"/>
          <w:lang w:eastAsia="zh-CN"/>
        </w:rPr>
        <w:t>信贷公开内容包括</w:t>
      </w:r>
      <w:r>
        <w:rPr>
          <w:rFonts w:hint="eastAsia" w:ascii="宋体" w:hAnsi="宋体" w:eastAsia="宋体" w:cs="宋体"/>
          <w:color w:val="auto"/>
          <w:sz w:val="24"/>
          <w:szCs w:val="24"/>
          <w:highlight w:val="none"/>
        </w:rPr>
        <w:t>贷款对象，用途、额度、期限、利率等情况，</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在每年底前在脱贫攻坚公告公示专栏集中进行公告，公告时间原则上不少于10天。</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库建设公开内容包括申报前公示和纳入后公告。公开内容包括项目名称、项目类型、建设性质、实施地点、时间进度、责任单位、建设任务、资金规模和筹资方式、受益对象、绩效目标、群众参与和带贫减贫机制等。行政村</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在脱贫攻坚公告公示专栏上对项目库建设进行公告公示，公告公示时间原则上不少于10天。</w:t>
      </w:r>
    </w:p>
    <w:p>
      <w:pPr>
        <w:widowControl w:val="0"/>
        <w:wordWrap/>
        <w:topLinePunct w:val="1"/>
        <w:adjustRightInd/>
        <w:snapToGrid/>
        <w:spacing w:before="0" w:after="0" w:line="44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项目实施的公开内容包括项目实施前情况(包括项目名称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资金来源、实施期限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绩效目标、实施单位及责任人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受益对象和带贫减贫机制等)、项目实施后情况(包括资金使用、项目实施结果，检查验收结果、绩效目标实现情况等)，监督方式等。项目管理单位或实施单位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利用固定公示牌对项目实施情况进行公示，公示时间原则上不少于10天。当年度项目刚实施完毕的，项目管理单位或实施单位要在项目竣工后对项目实施情况进行公告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基础设施建设类、公共服务类和扶贫车间、光伏电站、产业基地等形成具体实物资产的项目要设立永久性公示牌。</w:t>
      </w:r>
    </w:p>
    <w:p>
      <w:pPr>
        <w:widowControl w:val="0"/>
        <w:wordWrap/>
        <w:adjustRightInd/>
        <w:snapToGrid/>
        <w:spacing w:before="0" w:after="0" w:line="500" w:lineRule="exact"/>
        <w:ind w:left="0" w:leftChars="0" w:right="0"/>
        <w:jc w:val="both"/>
        <w:textAlignment w:val="auto"/>
        <w:sectPr>
          <w:pgSz w:w="8334" w:h="11849"/>
          <w:pgMar w:top="1134" w:right="1020" w:bottom="1134" w:left="1020" w:header="851" w:footer="992" w:gutter="0"/>
          <w:pgNumType w:fmt="numberInDash"/>
          <w:cols w:space="720" w:num="1"/>
          <w:docGrid w:type="lines" w:linePitch="322"/>
        </w:sect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仿宋_GB2312" w:hAnsi="仿宋_GB2312" w:eastAsia="仿宋_GB2312" w:cs="仿宋_GB2312"/>
          <w:color w:val="auto"/>
          <w:sz w:val="24"/>
          <w:szCs w:val="24"/>
          <w:highlight w:val="none"/>
        </w:rPr>
      </w:pP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w w:val="95"/>
          <w:sz w:val="24"/>
          <w:szCs w:val="24"/>
          <w:highlight w:val="none"/>
          <w:lang w:eastAsia="zh-CN"/>
        </w:rPr>
        <w:t>编委会主任</w:t>
      </w:r>
      <w:r>
        <w:rPr>
          <w:rFonts w:hint="eastAsia" w:ascii="宋体" w:hAnsi="宋体" w:cs="宋体"/>
          <w:color w:val="auto"/>
          <w:w w:val="95"/>
          <w:sz w:val="24"/>
          <w:szCs w:val="24"/>
          <w:highlight w:val="none"/>
          <w:lang w:val="en-US" w:eastAsia="zh-CN"/>
        </w:rPr>
        <w:t>:</w:t>
      </w:r>
      <w:r>
        <w:rPr>
          <w:rFonts w:hint="eastAsia" w:ascii="宋体" w:hAnsi="宋体" w:eastAsia="宋体" w:cs="宋体"/>
          <w:color w:val="auto"/>
          <w:sz w:val="24"/>
          <w:szCs w:val="24"/>
          <w:highlight w:val="none"/>
          <w:lang w:eastAsia="zh-CN"/>
        </w:rPr>
        <w:t>张文深</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w w:val="80"/>
          <w:sz w:val="24"/>
          <w:szCs w:val="24"/>
          <w:highlight w:val="none"/>
          <w:lang w:eastAsia="zh-CN"/>
        </w:rPr>
        <w:t>编委会副主任</w:t>
      </w:r>
      <w:r>
        <w:rPr>
          <w:rFonts w:hint="eastAsia" w:ascii="宋体" w:hAnsi="宋体" w:cs="宋体"/>
          <w:color w:val="auto"/>
          <w:w w:val="80"/>
          <w:sz w:val="24"/>
          <w:szCs w:val="24"/>
          <w:highlight w:val="none"/>
          <w:lang w:val="en-US" w:eastAsia="zh-CN"/>
        </w:rPr>
        <w:t>:</w:t>
      </w:r>
      <w:r>
        <w:rPr>
          <w:rFonts w:hint="eastAsia" w:ascii="宋体" w:hAnsi="宋体" w:eastAsia="宋体" w:cs="宋体"/>
          <w:color w:val="auto"/>
          <w:sz w:val="24"/>
          <w:szCs w:val="24"/>
          <w:highlight w:val="none"/>
          <w:lang w:eastAsia="zh-CN"/>
        </w:rPr>
        <w:t>霍好胜</w:t>
      </w:r>
      <w:r>
        <w:rPr>
          <w:rFonts w:hint="eastAsia" w:ascii="宋体" w:hAnsi="宋体" w:eastAsia="宋体" w:cs="宋体"/>
          <w:color w:val="auto"/>
          <w:sz w:val="24"/>
          <w:szCs w:val="24"/>
          <w:highlight w:val="none"/>
          <w:lang w:val="en-US" w:eastAsia="zh-CN"/>
        </w:rPr>
        <w:t xml:space="preserve"> 曾垂瑞 李</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鹏</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编</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周大鹏</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副</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主</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编</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杨小强 杨文永 魏鹏程 欧阳玉军 </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周晓义 王富志</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蔡红军 谢</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雪 王桂航 杨新春 张艺馨</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w:t>
      </w:r>
      <w:r>
        <w:rPr>
          <w:rFonts w:hint="eastAsia" w:ascii="宋体" w:hAnsi="宋体" w:cs="宋体"/>
          <w:color w:val="auto"/>
          <w:w w:val="95"/>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南阳市民服务中心南区二号楼5楼行业扶贫科</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w w:val="90"/>
          <w:sz w:val="24"/>
          <w:szCs w:val="24"/>
          <w:highlight w:val="none"/>
          <w:lang w:val="en-US" w:eastAsia="zh-CN"/>
        </w:rPr>
        <w:t>联</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lang w:val="en-US" w:eastAsia="zh-CN"/>
        </w:rPr>
        <w:t>系</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lang w:val="en-US" w:eastAsia="zh-CN"/>
        </w:rPr>
        <w:t>电</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lang w:val="en-US" w:eastAsia="zh-CN"/>
        </w:rPr>
        <w:t>话</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0377-61567327</w:t>
      </w:r>
    </w:p>
    <w:p>
      <w:pPr>
        <w:widowControl w:val="0"/>
        <w:wordWrap/>
        <w:adjustRightInd/>
        <w:snapToGrid/>
        <w:spacing w:before="0" w:after="0" w:line="5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w w:val="90"/>
          <w:sz w:val="24"/>
          <w:szCs w:val="24"/>
          <w:highlight w:val="none"/>
          <w:lang w:val="en-US" w:eastAsia="zh-CN"/>
        </w:rPr>
        <w:t>联</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lang w:val="en-US" w:eastAsia="zh-CN"/>
        </w:rPr>
        <w:t>系</w:t>
      </w:r>
      <w:r>
        <w:rPr>
          <w:rFonts w:hint="eastAsia" w:ascii="宋体" w:hAnsi="宋体" w:cs="宋体"/>
          <w:color w:val="auto"/>
          <w:w w:val="90"/>
          <w:sz w:val="24"/>
          <w:szCs w:val="24"/>
          <w:highlight w:val="none"/>
          <w:lang w:val="en-US" w:eastAsia="zh-CN"/>
        </w:rPr>
        <w:t xml:space="preserve"> 邮 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nysfpb7327@163.com</w:t>
      </w:r>
    </w:p>
    <w:sectPr>
      <w:footerReference r:id="rId9" w:type="default"/>
      <w:pgSz w:w="8334" w:h="11849"/>
      <w:pgMar w:top="1134" w:right="1020" w:bottom="1134" w:left="1020" w:header="851" w:footer="992" w:gutter="0"/>
      <w:pgNumType w:fmt="numberInDash"/>
      <w:cols w:space="720" w:num="1"/>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2FF" w:usb1="42002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
    <w:altName w:val="Dark Courier"/>
    <w:panose1 w:val="00000000000000000000"/>
    <w:charset w:val="00"/>
    <w:family w:val="auto"/>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小">
    <w:altName w:val="Dark Courier"/>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Yu Gothic UI Semilight">
    <w:altName w:val="MS UI Gothic"/>
    <w:panose1 w:val="020B04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经典楷体简">
    <w:altName w:val="宋体"/>
    <w:panose1 w:val="02010609000101010101"/>
    <w:charset w:val="86"/>
    <w:family w:val="auto"/>
    <w:pitch w:val="default"/>
    <w:sig w:usb0="A1007AEF" w:usb1="F9DF7CFB" w:usb2="0000001E" w:usb3="00000000" w:csb0="00040000" w:csb1="00000000"/>
  </w:font>
  <w:font w:name="方正粗活意简体">
    <w:panose1 w:val="03000509000000000000"/>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Inherit">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方正仿宋_GBK">
    <w:panose1 w:val="03000509000000000000"/>
    <w:charset w:val="86"/>
    <w:family w:val="auto"/>
    <w:pitch w:val="default"/>
    <w:sig w:usb0="00000001" w:usb1="080E0000" w:usb2="00000000" w:usb3="00000000" w:csb0="00040000" w:csb1="00000000"/>
  </w:font>
  <w:font w:name="Helvetica">
    <w:altName w:val="Microsoft Sans Serif"/>
    <w:panose1 w:val="020B0604020202020204"/>
    <w:charset w:val="00"/>
    <w:family w:val="auto"/>
    <w:pitch w:val="default"/>
    <w:sig w:usb0="E0002AFF" w:usb1="C0007843" w:usb2="00000009" w:usb3="00000000" w:csb0="000001FF" w:csb1="00000000"/>
  </w:font>
  <w:font w:name="Microsoft Sans Serif">
    <w:panose1 w:val="020B0604020202020204"/>
    <w:charset w:val="01"/>
    <w:family w:val="auto"/>
    <w:pitch w:val="default"/>
    <w:sig w:usb0="61007BDF"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宋体 ! important">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 w:name="方正兰亭超细黑简体">
    <w:altName w:val="黑体"/>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2AF" w:usb1="01D77CFB" w:usb2="00000012" w:usb3="00000000" w:csb0="00080001" w:csb1="00000000"/>
  </w:font>
  <w:font w:name="Hiragino Sans GB W3">
    <w:altName w:val="微软雅黑"/>
    <w:panose1 w:val="00000000000000000000"/>
    <w:charset w:val="00"/>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A00002EF" w:usb1="4000207B" w:usb2="00000000" w:usb3="00000000" w:csb0="2000019F" w:csb1="00000000"/>
  </w:font>
  <w:font w:name="方正大标宋简体">
    <w:panose1 w:val="03000509000000000000"/>
    <w:charset w:val="86"/>
    <w:family w:val="auto"/>
    <w:pitch w:val="default"/>
    <w:sig w:usb0="00000001" w:usb1="080E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onotype Corsiva">
    <w:panose1 w:val="03010101010201010101"/>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MS UI Gothic">
    <w:panose1 w:val="020B0600070205080204"/>
    <w:charset w:val="80"/>
    <w:family w:val="auto"/>
    <w:pitch w:val="default"/>
    <w:sig w:usb0="A00002BF" w:usb1="68C7FCFB" w:usb2="00000010" w:usb3="00000000" w:csb0="4002009F" w:csb1="DFD70000"/>
  </w:font>
  <w:font w:name="方正大黑_GBK">
    <w:panose1 w:val="03000509000000000000"/>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Microsoft JhengHei">
    <w:panose1 w:val="020B0604030504040204"/>
    <w:charset w:val="88"/>
    <w:family w:val="auto"/>
    <w:pitch w:val="default"/>
    <w:sig w:usb0="00000087" w:usb1="28AF4000" w:usb2="00000016" w:usb3="00000000" w:csb0="00100009" w:csb1="00000000"/>
  </w:font>
  <w:font w:name="MV Boli">
    <w:panose1 w:val="02000500030200090000"/>
    <w:charset w:val="00"/>
    <w:family w:val="auto"/>
    <w:pitch w:val="default"/>
    <w:sig w:usb0="00000000" w:usb1="00000000" w:usb2="00000100" w:usb3="00000000" w:csb0="00000000" w:csb1="00000000"/>
  </w:font>
  <w:font w:name="Mongolian Baiti">
    <w:panose1 w:val="03000500000000000000"/>
    <w:charset w:val="00"/>
    <w:family w:val="auto"/>
    <w:pitch w:val="default"/>
    <w:sig w:usb0="80000023" w:usb1="00000000" w:usb2="00020000" w:usb3="00000000" w:csb0="00000001" w:csb1="00000000"/>
  </w:font>
  <w:font w:name="Nyala">
    <w:panose1 w:val="02000504070300020003"/>
    <w:charset w:val="00"/>
    <w:family w:val="auto"/>
    <w:pitch w:val="default"/>
    <w:sig w:usb0="A000006F" w:usb1="00000000" w:usb2="00000800" w:usb3="00000000" w:csb0="00000093" w:csb1="00000000"/>
  </w:font>
  <w:font w:name="等线">
    <w:altName w:val="宋体"/>
    <w:panose1 w:val="02010600030101010101"/>
    <w:charset w:val="86"/>
    <w:family w:val="auto"/>
    <w:pitch w:val="default"/>
    <w:sig w:usb0="00000000" w:usb1="00000000" w:usb2="00000016" w:usb3="00000000" w:csb0="0004000F" w:csb1="00000000"/>
  </w:font>
  <w:font w:name="Malgun Gothic Semilight">
    <w:altName w:val="宋体"/>
    <w:panose1 w:val="020B0502040204020203"/>
    <w:charset w:val="86"/>
    <w:family w:val="auto"/>
    <w:pitch w:val="default"/>
    <w:sig w:usb0="00000000" w:usb1="00000000" w:usb2="00000012" w:usb3="00000000" w:csb0="003E01BD" w:csb1="00000000"/>
  </w:font>
  <w:font w:name="Times">
    <w:altName w:val="Times New Roman"/>
    <w:panose1 w:val="02020603050405020304"/>
    <w:charset w:val="00"/>
    <w:family w:val="auto"/>
    <w:pitch w:val="default"/>
    <w:sig w:usb0="E0002AFF" w:usb1="C0007841" w:usb2="00000009" w:usb3="00000000" w:csb0="000001FF" w:csb1="00000000"/>
  </w:font>
  <w:font w:name="创艺简标宋">
    <w:altName w:val="宋体"/>
    <w:panose1 w:val="00000000000000000000"/>
    <w:charset w:val="86"/>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Adobe 仿宋 Std R">
    <w:altName w:val="微软雅黑"/>
    <w:panose1 w:val="02020400000000000000"/>
    <w:charset w:val="86"/>
    <w:family w:val="auto"/>
    <w:pitch w:val="default"/>
    <w:sig w:usb0="00000000" w:usb1="00000000" w:usb2="00000010" w:usb3="00000000" w:csb0="00060007" w:csb1="00000000"/>
  </w:font>
  <w:font w:name="文星仿宋">
    <w:altName w:val="微软雅黑"/>
    <w:panose1 w:val="02010604000101010101"/>
    <w:charset w:val="86"/>
    <w:family w:val="auto"/>
    <w:pitch w:val="default"/>
    <w:sig w:usb0="00000000" w:usb1="00000000" w:usb2="00000010" w:usb3="00000000" w:csb0="00040001" w:csb1="00000000"/>
  </w:font>
  <w:font w:name="文星书宋">
    <w:altName w:val="微软雅黑"/>
    <w:panose1 w:val="02010604000101010101"/>
    <w:charset w:val="86"/>
    <w:family w:val="auto"/>
    <w:pitch w:val="default"/>
    <w:sig w:usb0="00000000" w:usb1="00000000" w:usb2="00000010"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叶根友毛笔行书2.0版">
    <w:panose1 w:val="0201060103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Webdings">
    <w:panose1 w:val="05030102010509060703"/>
    <w:charset w:val="02"/>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0000400000000000000"/>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ideoJS">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 w:name="MingLiU_HKSCS-ExtB">
    <w:panose1 w:val="02020500000000000000"/>
    <w:charset w:val="88"/>
    <w:family w:val="auto"/>
    <w:pitch w:val="default"/>
    <w:sig w:usb0="8000002F" w:usb1="02000008" w:usb2="00000000" w:usb3="00000000" w:csb0="00100001" w:csb1="00000000"/>
  </w:font>
  <w:font w:name="??_GB2312">
    <w:altName w:val="Segoe Print"/>
    <w:panose1 w:val="00000000000000000000"/>
    <w:charset w:val="00"/>
    <w:family w:val="auto"/>
    <w:pitch w:val="default"/>
    <w:sig w:usb0="00000000" w:usb1="00000000" w:usb2="00000000" w:usb3="00000000" w:csb0="00000001" w:csb1="00000000"/>
  </w:font>
  <w:font w:name="英章行书">
    <w:altName w:val="宋体"/>
    <w:panose1 w:val="02010600040101010101"/>
    <w:charset w:val="86"/>
    <w:family w:val="auto"/>
    <w:pitch w:val="default"/>
    <w:sig w:usb0="00000001" w:usb1="080E0000" w:usb2="00000000" w:usb3="00000000" w:csb0="00040000" w:csb1="00000000"/>
  </w:font>
  <w:font w:name="英章楷书">
    <w:altName w:val="楷体_GB2312"/>
    <w:panose1 w:val="0201060004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icrosoft YaHei UI">
    <w:altName w:val="宋体"/>
    <w:panose1 w:val="020B0503020204020204"/>
    <w:charset w:val="86"/>
    <w:family w:val="auto"/>
    <w:pitch w:val="default"/>
    <w:sig w:usb0="00000000" w:usb1="00000000" w:usb2="00000016" w:usb3="00000000" w:csb0="0004001F" w:csb1="00000000"/>
  </w:font>
  <w:font w:name="寰蒋闆呴粦">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chs_boot">
    <w:altName w:val="宋体"/>
    <w:panose1 w:val="020B0502040204020203"/>
    <w:charset w:val="86"/>
    <w:family w:val="auto"/>
    <w:pitch w:val="default"/>
    <w:sig w:usb0="00000000" w:usb1="00000000" w:usb2="00000006" w:usb3="00000000" w:csb0="00140001" w:csb1="00000000"/>
  </w:font>
  <w:font w:name="宋体 ，Arial">
    <w:altName w:val="宋体"/>
    <w:panose1 w:val="00000000000000000000"/>
    <w:charset w:val="86"/>
    <w:family w:val="auto"/>
    <w:pitch w:val="default"/>
    <w:sig w:usb0="00000000" w:usb1="00000000" w:usb2="00000010" w:usb3="00000000" w:csb0="00040000" w:csb1="00000000"/>
  </w:font>
  <w:font w:name="汉仪中隶书简">
    <w:panose1 w:val="02010609000101010101"/>
    <w:charset w:val="86"/>
    <w:family w:val="auto"/>
    <w:pitch w:val="default"/>
    <w:sig w:usb0="00000001" w:usb1="080E0800" w:usb2="00000002"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jpn_boot">
    <w:altName w:val="MS UI Gothic"/>
    <w:panose1 w:val="020B0502040204020203"/>
    <w:charset w:val="80"/>
    <w:family w:val="auto"/>
    <w:pitch w:val="default"/>
    <w:sig w:usb0="00000000" w:usb1="00000000" w:usb2="00000012" w:usb3="00000000" w:csb0="0002009F" w:csb1="DFD70000"/>
  </w:font>
  <w:font w:name="Meiryo UI">
    <w:panose1 w:val="020B0604030504040204"/>
    <w:charset w:val="80"/>
    <w:family w:val="auto"/>
    <w:pitch w:val="default"/>
    <w:sig w:usb0="E10102FF" w:usb1="EAC7FFFF" w:usb2="00010012" w:usb3="00000000" w:csb0="6002009F" w:csb1="DFD70000"/>
  </w:font>
  <w:font w:name="Orcas">
    <w:panose1 w:val="02000607040000020004"/>
    <w:charset w:val="00"/>
    <w:family w:val="auto"/>
    <w:pitch w:val="default"/>
    <w:sig w:usb0="80000003" w:usb1="00000000" w:usb2="00000000" w:usb3="00000000" w:csb0="0000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Bookshelf Symbol 7">
    <w:panose1 w:val="05010101010101010101"/>
    <w:charset w:val="02"/>
    <w:family w:val="auto"/>
    <w:pitch w:val="default"/>
    <w:sig w:usb0="00000000" w:usb1="00000000" w:usb2="00000000" w:usb3="00000000" w:csb0="80000000" w:csb1="00000000"/>
  </w:font>
  <w:font w:name="LCR On the Farm">
    <w:panose1 w:val="00000400000000000000"/>
    <w:charset w:val="00"/>
    <w:family w:val="auto"/>
    <w:pitch w:val="default"/>
    <w:sig w:usb0="0000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STKaiti Western">
    <w:altName w:val="Courier New"/>
    <w:panose1 w:val="00000000000000000000"/>
    <w:charset w:val="00"/>
    <w:family w:val="auto"/>
    <w:pitch w:val="default"/>
    <w:sig w:usb0="00000000" w:usb1="00000000" w:usb2="00000000" w:usb3="00000000" w:csb0="00000001" w:csb1="00000000"/>
  </w:font>
  <w:font w:name="STKaiti CE">
    <w:altName w:val="Courier New"/>
    <w:panose1 w:val="00000000000000000000"/>
    <w:charset w:val="EE"/>
    <w:family w:val="auto"/>
    <w:pitch w:val="default"/>
    <w:sig w:usb0="00000000" w:usb1="00000000" w:usb2="00000000" w:usb3="00000000" w:csb0="00000002" w:csb1="00000000"/>
  </w:font>
  <w:font w:name="STKaiti Cyr">
    <w:altName w:val="Courier New"/>
    <w:panose1 w:val="00000000000000000000"/>
    <w:charset w:val="CC"/>
    <w:family w:val="auto"/>
    <w:pitch w:val="default"/>
    <w:sig w:usb0="00000000" w:usb1="00000000" w:usb2="00000000" w:usb3="00000000" w:csb0="00000004" w:csb1="00000000"/>
  </w:font>
  <w:font w:name="STKaiti Greek">
    <w:altName w:val="Courier New"/>
    <w:panose1 w:val="00000000000000000000"/>
    <w:charset w:val="A1"/>
    <w:family w:val="auto"/>
    <w:pitch w:val="default"/>
    <w:sig w:usb0="00000000" w:usb1="00000000" w:usb2="00000000" w:usb3="00000000" w:csb0="00000008" w:csb1="00000000"/>
  </w:font>
  <w:font w:name="STKaiti Tur">
    <w:altName w:val="Courier New"/>
    <w:panose1 w:val="00000000000000000000"/>
    <w:charset w:val="A2"/>
    <w:family w:val="auto"/>
    <w:pitch w:val="default"/>
    <w:sig w:usb0="00000000" w:usb1="00000000" w:usb2="00000000" w:usb3="00000000" w:csb0="00000010" w:csb1="00000000"/>
  </w:font>
  <w:font w:name="STKaiti Baltic">
    <w:altName w:val="Courier New"/>
    <w:panose1 w:val="00000000000000000000"/>
    <w:charset w:val="BA"/>
    <w:family w:val="auto"/>
    <w:pitch w:val="default"/>
    <w:sig w:usb0="00000000" w:usb1="00000000" w:usb2="00000000" w:usb3="00000000" w:csb0="00000080" w:csb1="00000000"/>
  </w:font>
  <w:font w:name="Lucida Grande">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Lucida Sans">
    <w:panose1 w:val="020B0602030504020204"/>
    <w:charset w:val="00"/>
    <w:family w:val="auto"/>
    <w:pitch w:val="default"/>
    <w:sig w:usb0="00000000" w:usb1="00000000" w:usb2="00000000" w:usb3="00000000" w:csb0="00000000" w:csb1="00000000"/>
  </w:font>
  <w:font w:name="经典隶变简">
    <w:panose1 w:val="02010609010101010101"/>
    <w:charset w:val="86"/>
    <w:family w:val="auto"/>
    <w:pitch w:val="default"/>
    <w:sig w:usb0="A1007AEF" w:usb1="F9DF7CFB" w:usb2="0000001E" w:usb3="00000000" w:csb0="20040000" w:csb1="00000000"/>
  </w:font>
  <w:font w:name="微软简标宋">
    <w:altName w:val="黑体"/>
    <w:panose1 w:val="00000000000000000000"/>
    <w:charset w:val="86"/>
    <w:family w:val="auto"/>
    <w:pitch w:val="default"/>
    <w:sig w:usb0="00000000" w:usb1="00000000" w:usb2="00000010" w:usb3="00000000" w:csb0="00040000" w:csb1="00000000"/>
  </w:font>
  <w:font w:name="宋体-PUA">
    <w:panose1 w:val="02010600030101010101"/>
    <w:charset w:val="86"/>
    <w:family w:val="auto"/>
    <w:pitch w:val="default"/>
    <w:sig w:usb0="00000000" w:usb1="1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Gungsuh">
    <w:panose1 w:val="02030600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hakuyoxingshu7000">
    <w:panose1 w:val="02000600000000000000"/>
    <w:charset w:val="86"/>
    <w:family w:val="auto"/>
    <w:pitch w:val="default"/>
    <w:sig w:usb0="FFFFFFFF" w:usb1="E9FFFFFF" w:usb2="0000003F" w:usb3="00000000" w:csb0="603F00FF" w:csb1="FFFF0000"/>
  </w:font>
  <w:font w:name="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经典隶书简">
    <w:panose1 w:val="02010609000101010101"/>
    <w:charset w:val="86"/>
    <w:family w:val="auto"/>
    <w:pitch w:val="default"/>
    <w:sig w:usb0="A1007AEF" w:usb1="F9DF7CFB" w:usb2="0000001E" w:usb3="00000000" w:csb0="20040000" w:csb1="00000000"/>
  </w:font>
  <w:font w:name="baikeFont_layout">
    <w:altName w:val="Segoe Print"/>
    <w:panose1 w:val="00000000000000000000"/>
    <w:charset w:val="00"/>
    <w:family w:val="auto"/>
    <w:pitch w:val="default"/>
    <w:sig w:usb0="00000000" w:usb1="00000000" w:usb2="00000000" w:usb3="00000000" w:csb0="00040001" w:csb1="00000000"/>
  </w:font>
  <w:font w:name="baikeFont_css">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Latha">
    <w:panose1 w:val="02000400000000000000"/>
    <w:charset w:val="00"/>
    <w:family w:val="auto"/>
    <w:pitch w:val="default"/>
    <w:sig w:usb0="00100003"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宋体 simsun">
    <w:altName w:val="宋体"/>
    <w:panose1 w:val="00000000000000000000"/>
    <w:charset w:val="00"/>
    <w:family w:val="auto"/>
    <w:pitch w:val="default"/>
    <w:sig w:usb0="00000000" w:usb1="00000000" w:usb2="00000000" w:usb3="00000000" w:csb0="00040001" w:csb1="00000000"/>
  </w:font>
  <w:font w:name="全新硬笔楷书简">
    <w:altName w:val="楷体_GB2312"/>
    <w:panose1 w:val="02010600040101010101"/>
    <w:charset w:val="86"/>
    <w:family w:val="auto"/>
    <w:pitch w:val="default"/>
    <w:sig w:usb0="00000001" w:usb1="080E0000" w:usb2="00000000" w:usb3="00000000" w:csb0="00040000" w:csb1="00000000"/>
  </w:font>
  <w:font w:name="方">
    <w:altName w:val="Segoe Print"/>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方正小标">
    <w:altName w:val="Segoe Print"/>
    <w:panose1 w:val="00000000000000000000"/>
    <w:charset w:val="00"/>
    <w:family w:val="auto"/>
    <w:pitch w:val="default"/>
    <w:sig w:usb0="00000000" w:usb1="00000000" w:usb2="00000000" w:usb3="00000000" w:csb0="00040001" w:csb1="00000000"/>
  </w:font>
  <w:font w:name="方正小标宋">
    <w:altName w:val="宋体"/>
    <w:panose1 w:val="00000000000000000000"/>
    <w:charset w:val="00"/>
    <w:family w:val="auto"/>
    <w:pitch w:val="default"/>
    <w:sig w:usb0="00000000" w:usb1="00000000" w:usb2="00000000" w:usb3="00000000" w:csb0="00040001" w:csb1="00000000"/>
  </w:font>
  <w:font w:name="方正小标宋简">
    <w:altName w:val="宋体"/>
    <w:panose1 w:val="00000000000000000000"/>
    <w:charset w:val="00"/>
    <w:family w:val="auto"/>
    <w:pitch w:val="default"/>
    <w:sig w:usb0="00000000" w:usb1="00000000" w:usb2="00000000" w:usb3="00000000" w:csb0="00040001" w:csb1="00000000"/>
  </w:font>
  <w:font w:name="创艺简宋体">
    <w:altName w:val="宋体"/>
    <w:panose1 w:val="00000000000000000000"/>
    <w:charset w:val="86"/>
    <w:family w:val="auto"/>
    <w:pitch w:val="default"/>
    <w:sig w:usb0="00000000" w:usb1="00000000" w:usb2="00000010" w:usb3="00000000" w:csb0="00040000" w:csb1="00000000"/>
  </w:font>
  <w:font w:name="方正小标宋词">
    <w:altName w:val="宋体"/>
    <w:panose1 w:val="00000000000000000000"/>
    <w:charset w:val="00"/>
    <w:family w:val="auto"/>
    <w:pitch w:val="default"/>
    <w:sig w:usb0="00000000" w:usb1="00000000" w:usb2="00000000" w:usb3="00000000" w:csb0="00040001" w:csb1="00000000"/>
  </w:font>
  <w:font w:name="PingFang SC">
    <w:altName w:val="仿宋_GB2312"/>
    <w:panose1 w:val="00000000000000000000"/>
    <w:charset w:val="01"/>
    <w:family w:val="auto"/>
    <w:pitch w:val="default"/>
    <w:sig w:usb0="00000000" w:usb1="00000000" w:usb2="00000000" w:usb3="00000000" w:csb0="00040001" w:csb1="00000000"/>
  </w:font>
  <w:font w:name="MicrosoftYaHei">
    <w:altName w:val="仿宋_GB2312"/>
    <w:panose1 w:val="00000000000000000000"/>
    <w:charset w:val="01"/>
    <w:family w:val="auto"/>
    <w:pitch w:val="default"/>
    <w:sig w:usb0="00000000" w:usb1="00000000" w:usb2="00000000" w:usb3="00000000" w:csb0="00040001" w:csb1="00000000"/>
  </w:font>
  <w:font w:name="楷">
    <w:altName w:val="楷体_GB2312"/>
    <w:panose1 w:val="00000000000000000000"/>
    <w:charset w:val="00"/>
    <w:family w:val="auto"/>
    <w:pitch w:val="default"/>
    <w:sig w:usb0="00000000" w:usb1="00000000" w:usb2="00000000" w:usb3="00000000" w:csb0="00040001" w:csb1="00000000"/>
  </w:font>
  <w:font w:name="楷体一">
    <w:altName w:val="楷体_GB2312"/>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小标宋">
    <w:altName w:val="黑体"/>
    <w:panose1 w:val="00000000000000000000"/>
    <w:charset w:val="86"/>
    <w:family w:val="auto"/>
    <w:pitch w:val="default"/>
    <w:sig w:usb0="00000000" w:usb1="00000000" w:usb2="00000010" w:usb3="00000000" w:csb0="00040000" w:csb1="00000000"/>
  </w:font>
  <w:font w:name="仿宋硸吀鱹吀.">
    <w:altName w:val="宋体"/>
    <w:panose1 w:val="00000000000000000000"/>
    <w:charset w:val="86"/>
    <w:family w:val="auto"/>
    <w:pitch w:val="default"/>
    <w:sig w:usb0="00000000" w:usb1="00000000" w:usb2="00000010" w:usb3="00000000" w:csb0="00040000" w:csb1="00000000"/>
  </w:font>
  <w:font w:name="楷体e眠副浡渀.">
    <w:altName w:val="宋体"/>
    <w:panose1 w:val="00000000000000000000"/>
    <w:charset w:val="86"/>
    <w:family w:val="auto"/>
    <w:pitch w:val="default"/>
    <w:sig w:usb0="00000000" w:usb1="00000000" w:usb2="00000010" w:usb3="00000000" w:csb0="00040000" w:csb1="00000000"/>
  </w:font>
  <w:font w:name="仿宋e眠副浡渀.">
    <w:altName w:val="宋体"/>
    <w:panose1 w:val="00000000000000000000"/>
    <w:charset w:val="86"/>
    <w:family w:val="auto"/>
    <w:pitch w:val="default"/>
    <w:sig w:usb0="00000000" w:usb1="00000000" w:usb2="00000010" w:usb3="00000000" w:csb0="00040000" w:csb1="00000000"/>
  </w:font>
  <w:font w:name="仿宋.衟...">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方正小标宋简笨">
    <w:altName w:val="宋体"/>
    <w:panose1 w:val="00000000000000000000"/>
    <w:charset w:val="00"/>
    <w:family w:val="auto"/>
    <w:pitch w:val="default"/>
    <w:sig w:usb0="00000000" w:usb1="00000000" w:usb2="00000000" w:usb3="00000000" w:csb0="00040001" w:csb1="00000000"/>
  </w:font>
  <w:font w:name="Exotc350 Bd BT">
    <w:panose1 w:val="04030805050B02020A03"/>
    <w:charset w:val="00"/>
    <w:family w:val="auto"/>
    <w:pitch w:val="default"/>
    <w:sig w:usb0="800000AF" w:usb1="1000204A" w:usb2="00000000" w:usb3="00000000" w:csb0="00000011" w:csb1="00000000"/>
  </w:font>
  <w:font w:name="zuoyeFont_mathFont">
    <w:altName w:val="hakuyoxingshu7000"/>
    <w:panose1 w:val="00000000000000000000"/>
    <w:charset w:val="01"/>
    <w:family w:val="auto"/>
    <w:pitch w:val="default"/>
    <w:sig w:usb0="00000000" w:usb1="00000000" w:usb2="00000000" w:usb3="00000000" w:csb0="00040001" w:csb1="00000000"/>
  </w:font>
  <w:font w:name="FZYaSongS-R-GB">
    <w:altName w:val="hakuyoxingshu7000"/>
    <w:panose1 w:val="00000000000000000000"/>
    <w:charset w:val="01"/>
    <w:family w:val="auto"/>
    <w:pitch w:val="default"/>
    <w:sig w:usb0="00000000" w:usb1="00000000" w:usb2="00000000" w:usb3="00000000" w:csb0="00040001" w:csb1="00000000"/>
  </w:font>
  <w:font w:name="\\5FAE软雅黑">
    <w:altName w:val="黑体"/>
    <w:panose1 w:val="00000000000000000000"/>
    <w:charset w:val="01"/>
    <w:family w:val="auto"/>
    <w:pitch w:val="default"/>
    <w:sig w:usb0="00000000" w:usb1="00000000" w:usb2="00000000" w:usb3="00000000" w:csb0="00040001" w:csb1="00000000"/>
  </w:font>
  <w:font w:name="OJCATQ+·ÂËÎ">
    <w:altName w:val="hakuyoxingshu7000"/>
    <w:panose1 w:val="00000000000000000000"/>
    <w:charset w:val="01"/>
    <w:family w:val="auto"/>
    <w:pitch w:val="default"/>
    <w:sig w:usb0="00000000" w:usb1="00000000" w:usb2="00000000" w:usb3="00000000" w:csb0="00040001" w:csb1="00000000"/>
  </w:font>
  <w:font w:name="JPKNVW+·ÂËÎ">
    <w:altName w:val="hakuyoxingshu7000"/>
    <w:panose1 w:val="00000000000000000000"/>
    <w:charset w:val="01"/>
    <w:family w:val="auto"/>
    <w:pitch w:val="default"/>
    <w:sig w:usb0="00000000" w:usb1="00000000" w:usb2="00000000" w:usb3="00000000" w:csb0="00040001" w:csb1="00000000"/>
  </w:font>
  <w:font w:name="黑体-简">
    <w:altName w:val="hakuyoxingshu7000"/>
    <w:panose1 w:val="00000000000000000000"/>
    <w:charset w:val="86"/>
    <w:family w:val="auto"/>
    <w:pitch w:val="default"/>
    <w:sig w:usb0="00000000"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shape id="_x0000_s2049"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t>- 1 -</w:t>
                </w:r>
                <w:r>
                  <w:rPr>
                    <w:rFonts w:hint="eastAsia" w:ascii="宋体" w:hAnsi="宋体" w:eastAsia="宋体" w:cs="宋体"/>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shape id="_x0000_s2050"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t>- 1 -</w:t>
                </w:r>
                <w:r>
                  <w:rPr>
                    <w:rFonts w:hint="eastAsia" w:ascii="宋体" w:hAnsi="宋体" w:eastAsia="宋体" w:cs="宋体"/>
                    <w:sz w:val="21"/>
                    <w:szCs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13">
    <w:name w:val="Default Paragraph Font"/>
  </w:style>
  <w:style w:type="paragraph" w:styleId="2">
    <w:name w:val="toc 7"/>
    <w:basedOn w:val="1"/>
    <w:next w:val="1"/>
    <w:pPr>
      <w:ind w:left="2520" w:leftChars="1200"/>
    </w:pPr>
  </w:style>
  <w:style w:type="paragraph" w:styleId="3">
    <w:name w:val="toc 5"/>
    <w:basedOn w:val="1"/>
    <w:next w:val="1"/>
    <w:pPr>
      <w:ind w:left="1680" w:leftChars="800"/>
    </w:pPr>
  </w:style>
  <w:style w:type="paragraph" w:styleId="4">
    <w:name w:val="toc 3"/>
    <w:basedOn w:val="1"/>
    <w:next w:val="1"/>
    <w:pPr>
      <w:ind w:left="840" w:leftChars="400"/>
    </w:pPr>
  </w:style>
  <w:style w:type="paragraph" w:styleId="5">
    <w:name w:val="toc 8"/>
    <w:basedOn w:val="1"/>
    <w:next w:val="1"/>
    <w:pPr>
      <w:ind w:left="2940" w:leftChars="1400"/>
    </w:pPr>
  </w:style>
  <w:style w:type="paragraph" w:styleId="6">
    <w:name w:val="footer"/>
    <w:basedOn w:val="1"/>
    <w:pPr>
      <w:tabs>
        <w:tab w:val="center" w:pos="4153"/>
        <w:tab w:val="right" w:pos="8306"/>
      </w:tabs>
      <w:snapToGrid w:val="0"/>
      <w:jc w:val="left"/>
    </w:pPr>
    <w:rPr>
      <w:sz w:val="18"/>
    </w:rPr>
  </w:style>
  <w:style w:type="paragraph" w:styleId="7">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style>
  <w:style w:type="paragraph" w:styleId="9">
    <w:name w:val="toc 4"/>
    <w:basedOn w:val="1"/>
    <w:next w:val="1"/>
    <w:pPr>
      <w:ind w:left="1260" w:leftChars="600"/>
    </w:pPr>
  </w:style>
  <w:style w:type="paragraph" w:styleId="10">
    <w:name w:val="toc 6"/>
    <w:basedOn w:val="1"/>
    <w:next w:val="1"/>
    <w:pPr>
      <w:ind w:left="2100" w:leftChars="1000"/>
    </w:pPr>
  </w:style>
  <w:style w:type="paragraph" w:styleId="11">
    <w:name w:val="toc 2"/>
    <w:basedOn w:val="1"/>
    <w:next w:val="1"/>
    <w:pPr>
      <w:ind w:left="420" w:leftChars="200"/>
    </w:pPr>
  </w:style>
  <w:style w:type="paragraph" w:styleId="12">
    <w:name w:val="toc 9"/>
    <w:basedOn w:val="1"/>
    <w:next w:val="1"/>
    <w:pPr>
      <w:ind w:left="3360" w:leftChars="1600"/>
    </w:pPr>
  </w:style>
  <w:style w:type="paragraph" w:customStyle="1" w:styleId="14">
    <w:name w:val="WPSOffice手动目录 1"/>
    <w:pPr>
      <w:ind w:leftChars="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22348</Words>
  <Characters>23069</Characters>
  <Lines>132</Lines>
  <Paragraphs>37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2018-07-26T03:02:00Z</dcterms:created>
  <dc:creator>南阳东盛图文</dc:creator>
  <cp:lastPrinted>2020-06-14T17:58:00Z</cp:lastPrinted>
  <dcterms:modified xsi:type="dcterms:W3CDTF">2020-06-17T16:45:20Z</dcterms:modified>
  <dc:title>admin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