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1436" w14:textId="77777777" w:rsidR="009C370A" w:rsidRPr="00543B4C" w:rsidRDefault="009C370A" w:rsidP="003C09CD">
      <w:pPr>
        <w:pStyle w:val="a0"/>
        <w:spacing w:after="0"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543B4C">
        <w:rPr>
          <w:rFonts w:ascii="方正小标宋简体" w:eastAsia="方正小标宋简体" w:hAnsi="华文中宋"/>
          <w:bCs/>
          <w:sz w:val="44"/>
          <w:szCs w:val="44"/>
        </w:rPr>
        <w:t>2020</w:t>
      </w:r>
      <w:r w:rsidRPr="00543B4C">
        <w:rPr>
          <w:rFonts w:ascii="方正小标宋简体" w:eastAsia="方正小标宋简体" w:hAnsi="华文中宋" w:hint="eastAsia"/>
          <w:bCs/>
          <w:sz w:val="44"/>
          <w:szCs w:val="44"/>
        </w:rPr>
        <w:t>年南阳市原民办教师养老补贴项目</w:t>
      </w:r>
    </w:p>
    <w:p w14:paraId="677E27AB" w14:textId="77777777" w:rsidR="009C370A" w:rsidRPr="00543B4C" w:rsidRDefault="009C370A" w:rsidP="003C09CD">
      <w:pPr>
        <w:pStyle w:val="a0"/>
        <w:spacing w:after="0"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543B4C">
        <w:rPr>
          <w:rFonts w:ascii="方正小标宋简体" w:eastAsia="方正小标宋简体" w:hAnsi="华文中宋" w:hint="eastAsia"/>
          <w:bCs/>
          <w:sz w:val="44"/>
          <w:szCs w:val="44"/>
        </w:rPr>
        <w:t>绩效评价报告</w:t>
      </w:r>
    </w:p>
    <w:p w14:paraId="6DC4B2F8" w14:textId="77777777" w:rsidR="009C370A" w:rsidRPr="00323D78" w:rsidRDefault="009C370A" w:rsidP="003C09CD">
      <w:pPr>
        <w:pStyle w:val="a0"/>
        <w:spacing w:after="0" w:line="560" w:lineRule="exact"/>
        <w:jc w:val="center"/>
        <w:rPr>
          <w:b/>
          <w:bCs/>
          <w:sz w:val="32"/>
          <w:szCs w:val="32"/>
        </w:rPr>
      </w:pPr>
    </w:p>
    <w:p w14:paraId="21FD09A7" w14:textId="66DFDAFF" w:rsidR="009C370A" w:rsidRDefault="009C370A" w:rsidP="003C09CD">
      <w:pPr>
        <w:spacing w:line="560" w:lineRule="exact"/>
        <w:ind w:leftChars="50" w:left="105" w:rightChars="-50" w:right="-10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为全面贯彻落实《中共中央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国务院关于全面实施预算绩效管理的意见》（中发〔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号）和《中共河南省委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河南省人民政府关于全面实施预算绩效管理的实施意见》（豫发〔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号）有关要求，</w:t>
      </w:r>
      <w:r w:rsidR="00A35AD3">
        <w:rPr>
          <w:rFonts w:ascii="仿宋" w:eastAsia="仿宋" w:hAnsi="仿宋" w:hint="eastAsia"/>
          <w:sz w:val="32"/>
          <w:szCs w:val="32"/>
        </w:rPr>
        <w:t>南阳市财政</w:t>
      </w:r>
      <w:r>
        <w:rPr>
          <w:rFonts w:ascii="仿宋" w:eastAsia="仿宋" w:hAnsi="仿宋" w:hint="eastAsia"/>
          <w:sz w:val="32"/>
          <w:szCs w:val="32"/>
        </w:rPr>
        <w:t>局组织</w:t>
      </w:r>
      <w:r>
        <w:rPr>
          <w:rFonts w:ascii="仿宋" w:eastAsia="仿宋" w:hAnsi="仿宋" w:cs="仿宋" w:hint="eastAsia"/>
          <w:sz w:val="32"/>
          <w:szCs w:val="32"/>
        </w:rPr>
        <w:t>对“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Times New Roman" w:eastAsia="仿宋" w:hAnsi="Times New Roman" w:cs="仿宋" w:hint="eastAsia"/>
          <w:sz w:val="32"/>
          <w:szCs w:val="32"/>
        </w:rPr>
        <w:t>南阳市原民办教师养老补贴项目资金</w:t>
      </w:r>
      <w:r>
        <w:rPr>
          <w:rFonts w:ascii="仿宋" w:eastAsia="仿宋" w:hAnsi="仿宋" w:cs="仿宋" w:hint="eastAsia"/>
          <w:sz w:val="32"/>
          <w:szCs w:val="32"/>
        </w:rPr>
        <w:t>”进行了绩效评价，现将评价结果报告如下：</w:t>
      </w:r>
    </w:p>
    <w:p w14:paraId="03681A32" w14:textId="77777777" w:rsidR="009C370A" w:rsidRPr="00B532B0" w:rsidRDefault="009C370A" w:rsidP="00B532B0">
      <w:pPr>
        <w:pStyle w:val="1"/>
        <w:numPr>
          <w:ilvl w:val="0"/>
          <w:numId w:val="1"/>
        </w:numPr>
        <w:spacing w:before="0" w:after="0" w:line="560" w:lineRule="exact"/>
        <w:ind w:left="0" w:firstLineChars="200" w:firstLine="640"/>
        <w:rPr>
          <w:rFonts w:ascii="黑体" w:eastAsia="黑体" w:hAnsi="黑体" w:cs="黑体"/>
          <w:b w:val="0"/>
          <w:sz w:val="32"/>
          <w:szCs w:val="32"/>
        </w:rPr>
      </w:pPr>
      <w:bookmarkStart w:id="0" w:name="_Toc23055"/>
      <w:r w:rsidRPr="00B532B0">
        <w:rPr>
          <w:rFonts w:ascii="黑体" w:eastAsia="黑体" w:hAnsi="黑体" w:cs="黑体" w:hint="eastAsia"/>
          <w:b w:val="0"/>
          <w:sz w:val="32"/>
          <w:szCs w:val="32"/>
        </w:rPr>
        <w:t>基本情况</w:t>
      </w:r>
      <w:bookmarkEnd w:id="0"/>
    </w:p>
    <w:p w14:paraId="4BC1B16D" w14:textId="77777777" w:rsidR="009C370A" w:rsidRPr="006D092D" w:rsidRDefault="009C370A" w:rsidP="003C09CD">
      <w:pPr>
        <w:pStyle w:val="2"/>
        <w:numPr>
          <w:ilvl w:val="0"/>
          <w:numId w:val="2"/>
        </w:numPr>
        <w:spacing w:before="0" w:after="0" w:line="560" w:lineRule="exact"/>
        <w:ind w:firstLineChars="200" w:firstLine="640"/>
        <w:rPr>
          <w:rFonts w:ascii="楷体_GB2312" w:eastAsia="楷体_GB2312" w:hAnsi="楷体" w:cs="楷体"/>
          <w:b w:val="0"/>
        </w:rPr>
      </w:pPr>
      <w:bookmarkStart w:id="1" w:name="_Toc13475"/>
      <w:r w:rsidRPr="006D092D">
        <w:rPr>
          <w:rFonts w:ascii="楷体_GB2312" w:eastAsia="楷体_GB2312" w:hAnsi="楷体" w:cs="楷体" w:hint="eastAsia"/>
          <w:b w:val="0"/>
        </w:rPr>
        <w:t>项目概况</w:t>
      </w:r>
      <w:bookmarkEnd w:id="1"/>
    </w:p>
    <w:p w14:paraId="60C08474" w14:textId="77777777" w:rsidR="009C370A" w:rsidRDefault="009C370A" w:rsidP="003C09CD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民办教师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是指我国中小学中不列入国家教员编制的教学人员，自上个世纪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50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年代开始出现，是我国中小学教师队伍的重要组成部分。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1992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月，国家教委等联合下发了《关于进一步改善和加强民办教师工作若干问题的意见》</w:t>
      </w:r>
      <w:r>
        <w:rPr>
          <w:rFonts w:ascii="仿宋" w:eastAsia="仿宋" w:hAnsi="仿宋" w:cs="仿宋" w:hint="eastAsia"/>
          <w:sz w:val="32"/>
          <w:szCs w:val="32"/>
        </w:rPr>
        <w:t>（教人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1992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41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，通过“关、转、招、辞、退”的方式解决民办教师的去留问题。截至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2000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年，该问题已基本解决，民办教师队伍已退出历史舞台，农村教育事业发展中的公办、民办教师并存的状况基本结束。</w:t>
      </w:r>
    </w:p>
    <w:p w14:paraId="54A63885" w14:textId="77777777" w:rsidR="009C370A" w:rsidRDefault="009C370A" w:rsidP="003C09CD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长期以来，广大民办教师为发展我国农村基础教育事业作出了重大贡献。为了使原民办教师共享发展成果，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2012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月，省教育厅、省人社厅和省财政厅联合印发了《关于我省原民办教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师发放养老补贴的实施意见》（豫教人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2012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182</w:t>
      </w:r>
      <w:r>
        <w:rPr>
          <w:rFonts w:ascii="仿宋" w:eastAsia="仿宋" w:hAnsi="仿宋" w:hint="eastAsia"/>
          <w:sz w:val="32"/>
          <w:szCs w:val="32"/>
        </w:rPr>
        <w:t>号），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对符合一定条件的原民办教师按照教龄每月发放养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老补贴。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2012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月，省教育厅制定了相关细则和资金管理办法，对我省原民办教师养老补贴工作作出了进一步指导。</w:t>
      </w:r>
    </w:p>
    <w:p w14:paraId="07D3331E" w14:textId="77777777" w:rsidR="009C370A" w:rsidRDefault="009C370A" w:rsidP="003C09CD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2013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月，南阳市教育局、南阳市人力资源和社会保障局、南阳市财政局联合印发了《南阳市关于对原民办教师发放养老补贴工作的实施方案》（宛教人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2013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），落实原民办教师养老补贴发放政策，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对符合条件人员按教龄每满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年（不足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年的按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年计算）每月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元的标准发放养老补贴。六十年代初下放的公办教师，按照原民办教师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年教龄的补贴标准执行。</w:t>
      </w:r>
    </w:p>
    <w:p w14:paraId="4C5CAF7C" w14:textId="77777777" w:rsidR="009C370A" w:rsidRPr="006D092D" w:rsidRDefault="009C370A" w:rsidP="003C09CD">
      <w:pPr>
        <w:spacing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bookmarkStart w:id="2" w:name="_Hlk90622412"/>
      <w:r w:rsidRPr="006D092D">
        <w:rPr>
          <w:rFonts w:ascii="楷体_GB2312" w:eastAsia="楷体_GB2312" w:hAnsi="楷体" w:hint="eastAsia"/>
          <w:bCs/>
          <w:sz w:val="32"/>
          <w:szCs w:val="32"/>
        </w:rPr>
        <w:t>（二）</w:t>
      </w:r>
      <w:bookmarkEnd w:id="2"/>
      <w:r w:rsidRPr="006D092D">
        <w:rPr>
          <w:rFonts w:ascii="楷体_GB2312" w:eastAsia="楷体_GB2312" w:hAnsi="楷体" w:hint="eastAsia"/>
          <w:bCs/>
          <w:sz w:val="32"/>
          <w:szCs w:val="32"/>
        </w:rPr>
        <w:t>资金投入和使用情况</w:t>
      </w:r>
    </w:p>
    <w:p w14:paraId="1AC4FA9F" w14:textId="77777777" w:rsidR="009C370A" w:rsidRPr="00156A8E" w:rsidRDefault="009C370A" w:rsidP="00156A8E">
      <w:pPr>
        <w:spacing w:line="56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156A8E">
        <w:rPr>
          <w:rFonts w:ascii="仿宋" w:eastAsia="仿宋" w:hAnsi="仿宋"/>
          <w:b/>
          <w:sz w:val="32"/>
          <w:szCs w:val="32"/>
        </w:rPr>
        <w:t>1</w:t>
      </w:r>
      <w:r w:rsidRPr="00156A8E">
        <w:rPr>
          <w:rFonts w:ascii="仿宋" w:eastAsia="仿宋" w:hAnsi="仿宋" w:hint="eastAsia"/>
          <w:b/>
          <w:sz w:val="32"/>
          <w:szCs w:val="32"/>
        </w:rPr>
        <w:t>、项目预算资金及来源</w:t>
      </w:r>
    </w:p>
    <w:p w14:paraId="11CF5FAF" w14:textId="77777777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原民办教师养老补贴项目资金由省、市、县（区）财政分级负担，承担比例为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年南阳市原民办教师养老补贴项目省、市、县（区）三级预算资金共计</w:t>
      </w:r>
      <w:r>
        <w:rPr>
          <w:rFonts w:ascii="仿宋" w:eastAsia="仿宋" w:hAnsi="仿宋"/>
          <w:sz w:val="32"/>
          <w:szCs w:val="32"/>
        </w:rPr>
        <w:t>4824.20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5B967FB5" w14:textId="77777777" w:rsidR="009C370A" w:rsidRPr="00156A8E" w:rsidRDefault="009C370A" w:rsidP="00156A8E">
      <w:pPr>
        <w:pStyle w:val="a0"/>
        <w:spacing w:after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6A8E">
        <w:rPr>
          <w:rFonts w:ascii="仿宋" w:eastAsia="仿宋" w:hAnsi="仿宋"/>
          <w:b/>
          <w:sz w:val="32"/>
          <w:szCs w:val="32"/>
        </w:rPr>
        <w:t>2</w:t>
      </w:r>
      <w:r w:rsidRPr="00156A8E">
        <w:rPr>
          <w:rFonts w:ascii="仿宋" w:eastAsia="仿宋" w:hAnsi="仿宋" w:hint="eastAsia"/>
          <w:b/>
          <w:sz w:val="32"/>
          <w:szCs w:val="32"/>
        </w:rPr>
        <w:t>、项目预算资金到位情况</w:t>
      </w:r>
    </w:p>
    <w:p w14:paraId="37AE395E" w14:textId="34E15595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年项</w:t>
      </w:r>
      <w:r>
        <w:rPr>
          <w:rFonts w:ascii="仿宋" w:eastAsia="仿宋" w:hAnsi="仿宋" w:hint="eastAsia"/>
          <w:sz w:val="32"/>
          <w:szCs w:val="32"/>
        </w:rPr>
        <w:t>目预算资金总额为</w:t>
      </w:r>
      <w:r>
        <w:rPr>
          <w:rFonts w:ascii="仿宋" w:eastAsia="仿宋" w:hAnsi="仿宋"/>
          <w:sz w:val="32"/>
          <w:szCs w:val="32"/>
        </w:rPr>
        <w:t>4824.20</w:t>
      </w:r>
      <w:r>
        <w:rPr>
          <w:rFonts w:ascii="仿宋" w:eastAsia="仿宋" w:hAnsi="仿宋" w:hint="eastAsia"/>
          <w:sz w:val="32"/>
          <w:szCs w:val="32"/>
        </w:rPr>
        <w:t>万元，截至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0"/>
        </w:smartTagPr>
        <w:r>
          <w:rPr>
            <w:rFonts w:ascii="仿宋" w:eastAsia="仿宋" w:hAnsi="仿宋"/>
            <w:sz w:val="32"/>
            <w:szCs w:val="32"/>
          </w:rPr>
          <w:t>2020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12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31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，资金到位共计</w:t>
      </w:r>
      <w:r>
        <w:rPr>
          <w:rFonts w:ascii="仿宋" w:eastAsia="仿宋" w:hAnsi="仿宋"/>
          <w:sz w:val="32"/>
          <w:szCs w:val="32"/>
        </w:rPr>
        <w:t>4406.21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31DB933B" w14:textId="77777777" w:rsidR="009C370A" w:rsidRPr="00156A8E" w:rsidRDefault="009C370A" w:rsidP="003C09CD">
      <w:pPr>
        <w:pStyle w:val="a0"/>
        <w:spacing w:after="0" w:line="560" w:lineRule="exact"/>
        <w:ind w:left="640"/>
        <w:rPr>
          <w:rFonts w:ascii="仿宋" w:eastAsia="仿宋" w:hAnsi="仿宋" w:cs="仿宋"/>
          <w:b/>
          <w:sz w:val="32"/>
          <w:szCs w:val="32"/>
        </w:rPr>
      </w:pPr>
      <w:r w:rsidRPr="00156A8E">
        <w:rPr>
          <w:rFonts w:ascii="仿宋" w:eastAsia="仿宋" w:hAnsi="仿宋"/>
          <w:b/>
          <w:sz w:val="32"/>
          <w:szCs w:val="32"/>
        </w:rPr>
        <w:t>3</w:t>
      </w:r>
      <w:r w:rsidRPr="00156A8E">
        <w:rPr>
          <w:rFonts w:ascii="仿宋" w:eastAsia="仿宋" w:hAnsi="仿宋" w:hint="eastAsia"/>
          <w:b/>
          <w:sz w:val="32"/>
          <w:szCs w:val="32"/>
        </w:rPr>
        <w:t>、</w:t>
      </w:r>
      <w:r w:rsidRPr="00156A8E">
        <w:rPr>
          <w:rFonts w:ascii="仿宋" w:eastAsia="仿宋" w:hAnsi="仿宋" w:cs="仿宋" w:hint="eastAsia"/>
          <w:b/>
          <w:sz w:val="32"/>
          <w:szCs w:val="32"/>
        </w:rPr>
        <w:t>项目资金使用情况</w:t>
      </w:r>
    </w:p>
    <w:p w14:paraId="4FAC0E3B" w14:textId="77777777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年项目到位资金为</w:t>
      </w:r>
      <w:r>
        <w:rPr>
          <w:rFonts w:ascii="仿宋" w:eastAsia="仿宋" w:hAnsi="仿宋" w:cs="仿宋"/>
          <w:sz w:val="32"/>
          <w:szCs w:val="32"/>
        </w:rPr>
        <w:t>4406.21</w:t>
      </w:r>
      <w:r>
        <w:rPr>
          <w:rFonts w:ascii="仿宋" w:eastAsia="仿宋" w:hAnsi="仿宋" w:cs="仿宋" w:hint="eastAsia"/>
          <w:sz w:val="32"/>
          <w:szCs w:val="32"/>
        </w:rPr>
        <w:t>万元，截至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0"/>
        </w:smartTagPr>
        <w:r>
          <w:rPr>
            <w:rFonts w:ascii="仿宋" w:eastAsia="仿宋" w:hAnsi="仿宋" w:cs="仿宋"/>
            <w:sz w:val="32"/>
            <w:szCs w:val="32"/>
          </w:rPr>
          <w:t>2020</w:t>
        </w:r>
        <w:r>
          <w:rPr>
            <w:rFonts w:ascii="仿宋" w:eastAsia="仿宋" w:hAnsi="仿宋" w:cs="仿宋" w:hint="eastAsia"/>
            <w:sz w:val="32"/>
            <w:szCs w:val="32"/>
          </w:rPr>
          <w:t>年</w:t>
        </w:r>
        <w:r>
          <w:rPr>
            <w:rFonts w:ascii="仿宋" w:eastAsia="仿宋" w:hAnsi="仿宋" w:cs="仿宋"/>
            <w:sz w:val="32"/>
            <w:szCs w:val="32"/>
          </w:rPr>
          <w:t>12</w:t>
        </w:r>
        <w:r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31</w:t>
        </w:r>
        <w:r>
          <w:rPr>
            <w:rFonts w:ascii="仿宋" w:eastAsia="仿宋" w:hAnsi="仿宋" w:cs="仿宋" w:hint="eastAsia"/>
            <w:sz w:val="32"/>
            <w:szCs w:val="32"/>
          </w:rPr>
          <w:t>日</w:t>
        </w:r>
      </w:smartTag>
      <w:r>
        <w:rPr>
          <w:rFonts w:ascii="仿宋" w:eastAsia="仿宋" w:hAnsi="仿宋" w:cs="仿宋" w:hint="eastAsia"/>
          <w:sz w:val="32"/>
          <w:szCs w:val="32"/>
        </w:rPr>
        <w:t>，项目支出资金为</w:t>
      </w:r>
      <w:r>
        <w:rPr>
          <w:rFonts w:ascii="仿宋" w:eastAsia="仿宋" w:hAnsi="仿宋" w:cs="仿宋"/>
          <w:sz w:val="32"/>
          <w:szCs w:val="32"/>
        </w:rPr>
        <w:t>4265.79</w:t>
      </w:r>
      <w:r>
        <w:rPr>
          <w:rFonts w:ascii="仿宋" w:eastAsia="仿宋" w:hAnsi="仿宋" w:cs="仿宋" w:hint="eastAsia"/>
          <w:sz w:val="32"/>
          <w:szCs w:val="32"/>
        </w:rPr>
        <w:t>万元，预算执行率为</w:t>
      </w:r>
      <w:r>
        <w:rPr>
          <w:rFonts w:ascii="仿宋" w:eastAsia="仿宋" w:hAnsi="仿宋" w:cs="仿宋"/>
          <w:sz w:val="32"/>
          <w:szCs w:val="32"/>
        </w:rPr>
        <w:t>96.81%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6AAD86F" w14:textId="77777777" w:rsidR="009C370A" w:rsidRPr="00156A8E" w:rsidRDefault="009C370A" w:rsidP="003C09CD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bCs/>
          <w:color w:val="333333"/>
          <w:sz w:val="32"/>
          <w:szCs w:val="32"/>
          <w:shd w:val="clear" w:color="auto" w:fill="FFFFFF"/>
        </w:rPr>
      </w:pPr>
      <w:r w:rsidRPr="00156A8E">
        <w:rPr>
          <w:rFonts w:ascii="楷体_GB2312" w:eastAsia="楷体_GB2312" w:hAnsi="楷体" w:hint="eastAsia"/>
          <w:bCs/>
          <w:sz w:val="32"/>
          <w:szCs w:val="32"/>
        </w:rPr>
        <w:t>（三）</w:t>
      </w:r>
      <w:r w:rsidRPr="00156A8E">
        <w:rPr>
          <w:rFonts w:ascii="楷体_GB2312" w:eastAsia="楷体_GB2312" w:hAnsi="楷体" w:hint="eastAsia"/>
          <w:bCs/>
          <w:color w:val="333333"/>
          <w:sz w:val="32"/>
          <w:szCs w:val="32"/>
          <w:shd w:val="clear" w:color="auto" w:fill="FFFFFF"/>
        </w:rPr>
        <w:t>项目实施情况</w:t>
      </w:r>
    </w:p>
    <w:p w14:paraId="333DDC7D" w14:textId="77777777" w:rsidR="009C370A" w:rsidRDefault="009C370A" w:rsidP="003C09CD">
      <w:pPr>
        <w:spacing w:line="560" w:lineRule="exact"/>
        <w:ind w:firstLineChars="200" w:firstLine="64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截至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南阳市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个县（区）按照上述标准，对符合条件的原民办教师及时发放了补贴，实际</w:t>
      </w:r>
      <w:r>
        <w:rPr>
          <w:rFonts w:ascii="仿宋" w:eastAsia="仿宋" w:hAnsi="仿宋" w:cs="楷体" w:hint="eastAsia"/>
          <w:sz w:val="32"/>
          <w:szCs w:val="32"/>
        </w:rPr>
        <w:t>发放人数共计</w:t>
      </w:r>
      <w:r>
        <w:rPr>
          <w:rFonts w:ascii="仿宋" w:eastAsia="仿宋" w:hAnsi="仿宋" w:cs="楷体"/>
          <w:sz w:val="32"/>
          <w:szCs w:val="32"/>
        </w:rPr>
        <w:t>30957</w:t>
      </w:r>
      <w:r>
        <w:rPr>
          <w:rFonts w:ascii="仿宋" w:eastAsia="仿宋" w:hAnsi="仿宋" w:cs="楷体" w:hint="eastAsia"/>
          <w:sz w:val="32"/>
          <w:szCs w:val="32"/>
        </w:rPr>
        <w:t>人，补贴发放工作已按时完成。</w:t>
      </w:r>
    </w:p>
    <w:p w14:paraId="674069CB" w14:textId="77777777" w:rsidR="009C370A" w:rsidRPr="00B532B0" w:rsidRDefault="009C370A" w:rsidP="00B532B0">
      <w:pPr>
        <w:pStyle w:val="1"/>
        <w:spacing w:before="0" w:after="0" w:line="560" w:lineRule="exact"/>
        <w:ind w:firstLineChars="200" w:firstLine="640"/>
        <w:rPr>
          <w:rFonts w:ascii="黑体" w:eastAsia="黑体" w:hAnsi="黑体" w:cs="黑体"/>
          <w:b w:val="0"/>
          <w:sz w:val="32"/>
          <w:szCs w:val="32"/>
        </w:rPr>
      </w:pPr>
      <w:bookmarkStart w:id="3" w:name="_Toc19489"/>
      <w:r w:rsidRPr="00B532B0">
        <w:rPr>
          <w:rFonts w:ascii="黑体" w:eastAsia="黑体" w:hAnsi="黑体" w:cs="黑体" w:hint="eastAsia"/>
          <w:b w:val="0"/>
          <w:sz w:val="32"/>
          <w:szCs w:val="32"/>
        </w:rPr>
        <w:t>二</w:t>
      </w:r>
      <w:r w:rsidRPr="00B532B0">
        <w:rPr>
          <w:rFonts w:ascii="宋体" w:hAnsi="宋体" w:cs="黑体" w:hint="eastAsia"/>
          <w:b w:val="0"/>
          <w:sz w:val="32"/>
          <w:szCs w:val="32"/>
        </w:rPr>
        <w:t>、</w:t>
      </w:r>
      <w:r w:rsidRPr="00B532B0">
        <w:rPr>
          <w:rFonts w:ascii="黑体" w:eastAsia="黑体" w:hAnsi="黑体" w:cs="黑体" w:hint="eastAsia"/>
          <w:b w:val="0"/>
          <w:sz w:val="32"/>
          <w:szCs w:val="32"/>
        </w:rPr>
        <w:t>绩效评价工作开展情况</w:t>
      </w:r>
      <w:bookmarkEnd w:id="3"/>
    </w:p>
    <w:p w14:paraId="2D278E67" w14:textId="77777777" w:rsidR="009C370A" w:rsidRPr="00156A8E" w:rsidRDefault="009C370A" w:rsidP="00156A8E">
      <w:pPr>
        <w:pStyle w:val="2"/>
        <w:spacing w:before="0" w:after="0" w:line="560" w:lineRule="exact"/>
        <w:ind w:firstLineChars="150" w:firstLine="480"/>
        <w:rPr>
          <w:rFonts w:ascii="楷体_GB2312" w:eastAsia="楷体_GB2312" w:hAnsi="楷体"/>
          <w:b w:val="0"/>
          <w:bCs/>
          <w:szCs w:val="32"/>
        </w:rPr>
      </w:pPr>
      <w:bookmarkStart w:id="4" w:name="_Toc17361"/>
      <w:r w:rsidRPr="00156A8E">
        <w:rPr>
          <w:rFonts w:ascii="楷体_GB2312" w:eastAsia="楷体_GB2312" w:hAnsi="楷体" w:hint="eastAsia"/>
          <w:b w:val="0"/>
          <w:bCs/>
          <w:szCs w:val="32"/>
        </w:rPr>
        <w:t>（一）</w:t>
      </w:r>
      <w:r w:rsidRPr="00156A8E">
        <w:rPr>
          <w:rFonts w:ascii="楷体_GB2312" w:eastAsia="楷体_GB2312" w:hAnsi="楷体" w:cs="楷体" w:hint="eastAsia"/>
          <w:b w:val="0"/>
        </w:rPr>
        <w:t>绩效评价目的</w:t>
      </w:r>
      <w:bookmarkEnd w:id="4"/>
    </w:p>
    <w:p w14:paraId="618ED058" w14:textId="77777777" w:rsidR="009C370A" w:rsidRDefault="009C370A" w:rsidP="003C09CD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以绩效目标为依据，从决策、过程、产出、效益四个维度，对项目资金的管理和效益进行综合研判和评定，总结成绩经验，发现偏差和问题，提出改进意见和建议。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为市委、市政府进行宏观决策提供参考，并为预算资金绩效管理提供依据。</w:t>
      </w:r>
    </w:p>
    <w:p w14:paraId="3EDBB262" w14:textId="77777777" w:rsidR="009C370A" w:rsidRPr="00156A8E" w:rsidRDefault="009C370A" w:rsidP="003C09CD">
      <w:pPr>
        <w:pStyle w:val="2"/>
        <w:spacing w:before="0" w:after="0" w:line="560" w:lineRule="exact"/>
        <w:ind w:firstLineChars="100" w:firstLine="320"/>
        <w:rPr>
          <w:rFonts w:ascii="楷体_GB2312" w:eastAsia="楷体_GB2312" w:hAnsi="楷体" w:cs="楷体"/>
          <w:b w:val="0"/>
        </w:rPr>
      </w:pPr>
      <w:bookmarkStart w:id="5" w:name="_Toc21593"/>
      <w:r w:rsidRPr="00156A8E">
        <w:rPr>
          <w:rFonts w:ascii="楷体_GB2312" w:eastAsia="楷体_GB2312" w:hAnsi="楷体" w:hint="eastAsia"/>
          <w:b w:val="0"/>
          <w:bCs/>
          <w:szCs w:val="32"/>
        </w:rPr>
        <w:t>（二）</w:t>
      </w:r>
      <w:r w:rsidRPr="00156A8E">
        <w:rPr>
          <w:rFonts w:ascii="楷体_GB2312" w:eastAsia="楷体_GB2312" w:hAnsi="楷体" w:cs="楷体" w:hint="eastAsia"/>
          <w:b w:val="0"/>
        </w:rPr>
        <w:t>绩效评价依据</w:t>
      </w:r>
      <w:bookmarkEnd w:id="5"/>
    </w:p>
    <w:p w14:paraId="0D574175" w14:textId="77777777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本次绩效评价主要依据《南阳市市级预算项目支出绩效评价管理办法》《</w:t>
      </w:r>
      <w:r>
        <w:rPr>
          <w:rFonts w:ascii="仿宋" w:eastAsia="仿宋" w:hAnsi="仿宋" w:cs="仿宋" w:hint="eastAsia"/>
          <w:sz w:val="32"/>
          <w:szCs w:val="32"/>
        </w:rPr>
        <w:t>南阳市关于对原民办教师发放养老补贴工作的实施方案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》</w:t>
      </w:r>
      <w:r>
        <w:rPr>
          <w:rFonts w:ascii="Times New Roman" w:eastAsia="仿宋" w:hAnsi="Times New Roman" w:hint="eastAsia"/>
          <w:sz w:val="32"/>
          <w:szCs w:val="32"/>
        </w:rPr>
        <w:t>以及预算编制资料等。</w:t>
      </w:r>
    </w:p>
    <w:p w14:paraId="6776CF89" w14:textId="77777777" w:rsidR="009C370A" w:rsidRPr="00156A8E" w:rsidRDefault="009C370A" w:rsidP="00156A8E">
      <w:pPr>
        <w:pStyle w:val="2"/>
        <w:spacing w:before="0" w:after="0" w:line="560" w:lineRule="exact"/>
        <w:ind w:firstLineChars="150" w:firstLine="480"/>
        <w:rPr>
          <w:rFonts w:ascii="楷体_GB2312" w:eastAsia="楷体_GB2312" w:hAnsi="楷体" w:cs="楷体"/>
          <w:b w:val="0"/>
        </w:rPr>
      </w:pPr>
      <w:bookmarkStart w:id="6" w:name="_Toc16548"/>
      <w:r w:rsidRPr="00156A8E">
        <w:rPr>
          <w:rFonts w:ascii="楷体_GB2312" w:eastAsia="楷体_GB2312" w:hAnsi="楷体" w:hint="eastAsia"/>
          <w:b w:val="0"/>
          <w:bCs/>
          <w:szCs w:val="32"/>
        </w:rPr>
        <w:t>（三）</w:t>
      </w:r>
      <w:r w:rsidRPr="00156A8E">
        <w:rPr>
          <w:rFonts w:ascii="楷体_GB2312" w:eastAsia="楷体_GB2312" w:hAnsi="楷体" w:cs="楷体" w:hint="eastAsia"/>
          <w:b w:val="0"/>
        </w:rPr>
        <w:t>评价指标体系</w:t>
      </w:r>
      <w:bookmarkEnd w:id="6"/>
    </w:p>
    <w:p w14:paraId="5404B726" w14:textId="77777777" w:rsidR="009C370A" w:rsidRDefault="009C370A" w:rsidP="003C09CD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bookmarkStart w:id="7" w:name="_Toc75615329"/>
      <w:r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、评价指标设计的总体思路</w:t>
      </w:r>
      <w:bookmarkEnd w:id="7"/>
    </w:p>
    <w:p w14:paraId="53F31AB9" w14:textId="77777777" w:rsidR="009C370A" w:rsidRDefault="009C370A" w:rsidP="003C09CD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本次绩效评价以项目资金的使用和项目开展情况为主线，收集并梳理项目的相关资料，在对资料进行整理分析的基础上，围绕决策、过程、产出和效益四方面设计评价指标体系。</w:t>
      </w:r>
    </w:p>
    <w:p w14:paraId="305516F5" w14:textId="77777777" w:rsidR="009C370A" w:rsidRDefault="009C370A" w:rsidP="003C09CD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bookmarkStart w:id="8" w:name="_Toc56073698"/>
      <w:bookmarkStart w:id="9" w:name="_Toc75615330"/>
      <w:r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、评价指标</w:t>
      </w:r>
      <w:bookmarkEnd w:id="8"/>
      <w:bookmarkEnd w:id="9"/>
    </w:p>
    <w:p w14:paraId="4B5E701F" w14:textId="77777777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本项目指标体系从决策、过程、产出、效益四个方面进行分析，由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项一级指标、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项二级指标、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项三级指标构成。</w:t>
      </w:r>
    </w:p>
    <w:p w14:paraId="01003B2B" w14:textId="77777777" w:rsidR="009C370A" w:rsidRPr="00156A8E" w:rsidRDefault="009C370A" w:rsidP="00156A8E">
      <w:pPr>
        <w:pStyle w:val="2"/>
        <w:spacing w:before="0" w:after="0" w:line="560" w:lineRule="exact"/>
        <w:ind w:firstLineChars="150" w:firstLine="480"/>
        <w:rPr>
          <w:rFonts w:ascii="楷体_GB2312" w:eastAsia="楷体_GB2312" w:hAnsi="楷体" w:cs="楷体"/>
          <w:b w:val="0"/>
        </w:rPr>
      </w:pPr>
      <w:bookmarkStart w:id="10" w:name="_Toc21513"/>
      <w:r w:rsidRPr="00156A8E">
        <w:rPr>
          <w:rFonts w:ascii="楷体_GB2312" w:eastAsia="楷体_GB2312" w:hAnsi="楷体" w:hint="eastAsia"/>
          <w:b w:val="0"/>
          <w:bCs/>
          <w:szCs w:val="32"/>
        </w:rPr>
        <w:lastRenderedPageBreak/>
        <w:t>（四）</w:t>
      </w:r>
      <w:r w:rsidRPr="00156A8E">
        <w:rPr>
          <w:rFonts w:ascii="楷体_GB2312" w:eastAsia="楷体_GB2312" w:hAnsi="楷体" w:cs="楷体" w:hint="eastAsia"/>
          <w:b w:val="0"/>
        </w:rPr>
        <w:t>绩效评价原则、评价方法和标准</w:t>
      </w:r>
      <w:bookmarkEnd w:id="10"/>
    </w:p>
    <w:p w14:paraId="00EA954D" w14:textId="77777777" w:rsidR="009C370A" w:rsidRDefault="009C370A" w:rsidP="003C09CD">
      <w:pPr>
        <w:spacing w:line="560" w:lineRule="exact"/>
        <w:ind w:firstLineChars="200" w:firstLine="640"/>
        <w:rPr>
          <w:rFonts w:ascii="Times New Roman" w:eastAsia="仿宋" w:hAnsi="Times New Roman" w:cs="仿宋"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Cs/>
          <w:sz w:val="32"/>
          <w:szCs w:val="32"/>
        </w:rPr>
        <w:t>本次评价采用定量与定性相结合的方式，始终遵循科学规范、全面系统、公正客观、合规合法、绩效相关的基本原</w:t>
      </w:r>
      <w:r>
        <w:rPr>
          <w:rFonts w:ascii="Times New Roman" w:eastAsia="仿宋" w:hAnsi="Times New Roman" w:cs="仿宋"/>
          <w:bCs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bCs/>
          <w:sz w:val="32"/>
          <w:szCs w:val="32"/>
        </w:rPr>
        <w:t>则，综合运用文献分析法、调查分析法、专家咨询与论证等。</w:t>
      </w:r>
      <w:bookmarkStart w:id="11" w:name="_Toc25323"/>
    </w:p>
    <w:p w14:paraId="426E52B0" w14:textId="77777777" w:rsidR="009C370A" w:rsidRPr="00156A8E" w:rsidRDefault="009C370A" w:rsidP="00156A8E">
      <w:pPr>
        <w:spacing w:line="560" w:lineRule="exact"/>
        <w:ind w:firstLineChars="150" w:firstLine="480"/>
        <w:rPr>
          <w:rFonts w:ascii="楷体_GB2312" w:eastAsia="楷体_GB2312" w:hAnsi="楷体"/>
          <w:bCs/>
          <w:sz w:val="32"/>
          <w:szCs w:val="32"/>
        </w:rPr>
      </w:pPr>
      <w:r w:rsidRPr="00156A8E">
        <w:rPr>
          <w:rFonts w:ascii="楷体_GB2312" w:eastAsia="楷体_GB2312" w:hAnsi="楷体" w:cs="仿宋" w:hint="eastAsia"/>
          <w:bCs/>
          <w:sz w:val="32"/>
          <w:szCs w:val="32"/>
        </w:rPr>
        <w:t>（五）</w:t>
      </w:r>
      <w:r w:rsidRPr="00156A8E">
        <w:rPr>
          <w:rFonts w:ascii="楷体_GB2312" w:eastAsia="楷体_GB2312" w:hAnsi="楷体" w:hint="eastAsia"/>
          <w:bCs/>
          <w:sz w:val="32"/>
          <w:szCs w:val="32"/>
        </w:rPr>
        <w:t>绩效评价基准日</w:t>
      </w:r>
    </w:p>
    <w:p w14:paraId="1D66F341" w14:textId="77777777" w:rsidR="009C370A" w:rsidRDefault="009C370A" w:rsidP="003C09CD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绩效评价基准日为</w:t>
      </w: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日。</w:t>
      </w:r>
      <w:bookmarkStart w:id="12" w:name="_Toc20401"/>
      <w:bookmarkStart w:id="13" w:name="_Hlk89763725"/>
      <w:bookmarkEnd w:id="11"/>
    </w:p>
    <w:p w14:paraId="118ED085" w14:textId="77777777" w:rsidR="009C370A" w:rsidRPr="00B532B0" w:rsidRDefault="009C370A" w:rsidP="00B532B0">
      <w:pPr>
        <w:pStyle w:val="a0"/>
        <w:spacing w:after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B532B0">
        <w:rPr>
          <w:rFonts w:ascii="黑体" w:eastAsia="黑体" w:hAnsi="黑体" w:cs="黑体" w:hint="eastAsia"/>
          <w:bCs/>
          <w:sz w:val="32"/>
          <w:szCs w:val="32"/>
        </w:rPr>
        <w:t>三、绩效评价指标分析</w:t>
      </w:r>
      <w:bookmarkEnd w:id="12"/>
    </w:p>
    <w:p w14:paraId="2EE231DE" w14:textId="77777777" w:rsidR="009C370A" w:rsidRPr="00156A8E" w:rsidRDefault="009C370A" w:rsidP="003C09CD">
      <w:pPr>
        <w:pStyle w:val="2"/>
        <w:numPr>
          <w:ilvl w:val="0"/>
          <w:numId w:val="3"/>
        </w:numPr>
        <w:spacing w:before="0" w:after="0" w:line="560" w:lineRule="exact"/>
        <w:ind w:firstLineChars="200" w:firstLine="640"/>
        <w:rPr>
          <w:rFonts w:ascii="楷体_GB2312" w:eastAsia="楷体_GB2312" w:hAnsi="楷体" w:cs="楷体"/>
          <w:b w:val="0"/>
        </w:rPr>
      </w:pPr>
      <w:bookmarkStart w:id="14" w:name="_Toc10978"/>
      <w:bookmarkEnd w:id="13"/>
      <w:r w:rsidRPr="00156A8E">
        <w:rPr>
          <w:rFonts w:ascii="楷体_GB2312" w:eastAsia="楷体_GB2312" w:hAnsi="楷体" w:cs="楷体" w:hint="eastAsia"/>
          <w:b w:val="0"/>
        </w:rPr>
        <w:t>项目决策情况</w:t>
      </w:r>
      <w:bookmarkEnd w:id="14"/>
    </w:p>
    <w:p w14:paraId="369FEA4A" w14:textId="77777777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决策指标包括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个二级指标及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个三级指标，总分值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分，实际得</w:t>
      </w:r>
      <w:r>
        <w:rPr>
          <w:rFonts w:ascii="仿宋" w:eastAsia="仿宋" w:hAnsi="仿宋"/>
          <w:sz w:val="32"/>
          <w:szCs w:val="32"/>
        </w:rPr>
        <w:t>12.30</w:t>
      </w:r>
      <w:r>
        <w:rPr>
          <w:rFonts w:ascii="仿宋" w:eastAsia="仿宋" w:hAnsi="仿宋" w:hint="eastAsia"/>
          <w:sz w:val="32"/>
          <w:szCs w:val="32"/>
        </w:rPr>
        <w:t>分，得分率为</w:t>
      </w:r>
      <w:r>
        <w:rPr>
          <w:rFonts w:ascii="仿宋" w:eastAsia="仿宋" w:hAnsi="仿宋"/>
          <w:sz w:val="32"/>
          <w:szCs w:val="32"/>
        </w:rPr>
        <w:t>82%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FEBEE27" w14:textId="77777777" w:rsidR="009C370A" w:rsidRPr="00156A8E" w:rsidRDefault="009C370A" w:rsidP="003C09CD">
      <w:pPr>
        <w:pStyle w:val="2"/>
        <w:numPr>
          <w:ilvl w:val="0"/>
          <w:numId w:val="3"/>
        </w:numPr>
        <w:spacing w:before="0" w:after="0" w:line="560" w:lineRule="exact"/>
        <w:ind w:firstLineChars="200" w:firstLine="640"/>
        <w:rPr>
          <w:rFonts w:ascii="楷体_GB2312" w:eastAsia="楷体_GB2312" w:hAnsi="楷体" w:cs="楷体"/>
          <w:b w:val="0"/>
          <w:szCs w:val="32"/>
        </w:rPr>
      </w:pPr>
      <w:bookmarkStart w:id="15" w:name="_Toc3570"/>
      <w:r w:rsidRPr="00156A8E">
        <w:rPr>
          <w:rFonts w:ascii="楷体_GB2312" w:eastAsia="楷体_GB2312" w:hAnsi="楷体" w:cs="楷体" w:hint="eastAsia"/>
          <w:b w:val="0"/>
          <w:szCs w:val="32"/>
        </w:rPr>
        <w:t>项目过程情况</w:t>
      </w:r>
      <w:bookmarkEnd w:id="15"/>
    </w:p>
    <w:p w14:paraId="091C1CC5" w14:textId="77777777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过程指标包括</w:t>
      </w:r>
      <w:r>
        <w:rPr>
          <w:rFonts w:ascii="仿宋" w:eastAsia="仿宋" w:hAnsi="仿宋" w:cs="楷体"/>
          <w:sz w:val="32"/>
          <w:szCs w:val="32"/>
        </w:rPr>
        <w:t>2</w:t>
      </w:r>
      <w:r>
        <w:rPr>
          <w:rFonts w:ascii="仿宋" w:eastAsia="仿宋" w:hAnsi="仿宋" w:cs="楷体" w:hint="eastAsia"/>
          <w:sz w:val="32"/>
          <w:szCs w:val="32"/>
        </w:rPr>
        <w:t>个二级指标以及</w:t>
      </w:r>
      <w:r>
        <w:rPr>
          <w:rFonts w:ascii="仿宋" w:eastAsia="仿宋" w:hAnsi="仿宋" w:cs="楷体"/>
          <w:sz w:val="32"/>
          <w:szCs w:val="32"/>
        </w:rPr>
        <w:t>5</w:t>
      </w:r>
      <w:r>
        <w:rPr>
          <w:rFonts w:ascii="仿宋" w:eastAsia="仿宋" w:hAnsi="仿宋" w:cs="楷体" w:hint="eastAsia"/>
          <w:sz w:val="32"/>
          <w:szCs w:val="32"/>
        </w:rPr>
        <w:t>个三级指标，总分值</w:t>
      </w:r>
      <w:r>
        <w:rPr>
          <w:rFonts w:ascii="仿宋" w:eastAsia="仿宋" w:hAnsi="仿宋" w:cs="楷体"/>
          <w:sz w:val="32"/>
          <w:szCs w:val="32"/>
        </w:rPr>
        <w:t>30</w:t>
      </w:r>
      <w:r>
        <w:rPr>
          <w:rFonts w:ascii="仿宋" w:eastAsia="仿宋" w:hAnsi="仿宋" w:cs="楷体" w:hint="eastAsia"/>
          <w:sz w:val="32"/>
          <w:szCs w:val="32"/>
        </w:rPr>
        <w:t>分，实际得</w:t>
      </w:r>
      <w:r>
        <w:rPr>
          <w:rFonts w:ascii="仿宋" w:eastAsia="仿宋" w:hAnsi="仿宋" w:cs="楷体"/>
          <w:sz w:val="32"/>
          <w:szCs w:val="32"/>
        </w:rPr>
        <w:t>22.31</w:t>
      </w:r>
      <w:r>
        <w:rPr>
          <w:rFonts w:ascii="仿宋" w:eastAsia="仿宋" w:hAnsi="仿宋" w:cs="楷体" w:hint="eastAsia"/>
          <w:sz w:val="32"/>
          <w:szCs w:val="32"/>
        </w:rPr>
        <w:t>分，得分率为</w:t>
      </w:r>
      <w:r>
        <w:rPr>
          <w:rFonts w:ascii="仿宋" w:eastAsia="仿宋" w:hAnsi="仿宋" w:cs="楷体"/>
          <w:sz w:val="32"/>
          <w:szCs w:val="32"/>
        </w:rPr>
        <w:t>74.37%</w:t>
      </w:r>
      <w:r>
        <w:rPr>
          <w:rFonts w:ascii="仿宋" w:eastAsia="仿宋" w:hAnsi="仿宋" w:cs="楷体" w:hint="eastAsia"/>
          <w:sz w:val="32"/>
          <w:szCs w:val="32"/>
        </w:rPr>
        <w:t>。</w:t>
      </w:r>
    </w:p>
    <w:p w14:paraId="168879CD" w14:textId="77777777" w:rsidR="009C370A" w:rsidRPr="00B532B0" w:rsidRDefault="009C370A" w:rsidP="003C09CD">
      <w:pPr>
        <w:pStyle w:val="2"/>
        <w:numPr>
          <w:ilvl w:val="0"/>
          <w:numId w:val="3"/>
        </w:numPr>
        <w:spacing w:before="0" w:after="0" w:line="560" w:lineRule="exact"/>
        <w:ind w:firstLineChars="200" w:firstLine="640"/>
        <w:rPr>
          <w:rFonts w:ascii="楷体_GB2312" w:eastAsia="楷体_GB2312" w:hAnsi="楷体" w:cs="楷体"/>
          <w:b w:val="0"/>
          <w:szCs w:val="32"/>
        </w:rPr>
      </w:pPr>
      <w:bookmarkStart w:id="16" w:name="_Toc15178"/>
      <w:r w:rsidRPr="00B532B0">
        <w:rPr>
          <w:rFonts w:ascii="楷体_GB2312" w:eastAsia="楷体_GB2312" w:hAnsi="楷体" w:cs="楷体" w:hint="eastAsia"/>
          <w:b w:val="0"/>
          <w:szCs w:val="32"/>
        </w:rPr>
        <w:t>项目产出情况</w:t>
      </w:r>
      <w:bookmarkEnd w:id="16"/>
    </w:p>
    <w:p w14:paraId="0CB564D9" w14:textId="77777777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产出指标包括</w:t>
      </w:r>
      <w:r>
        <w:rPr>
          <w:rFonts w:ascii="仿宋" w:eastAsia="仿宋" w:hAnsi="仿宋" w:cs="楷体"/>
          <w:sz w:val="32"/>
          <w:szCs w:val="32"/>
        </w:rPr>
        <w:t>3</w:t>
      </w:r>
      <w:r>
        <w:rPr>
          <w:rFonts w:ascii="仿宋" w:eastAsia="仿宋" w:hAnsi="仿宋" w:cs="楷体" w:hint="eastAsia"/>
          <w:sz w:val="32"/>
          <w:szCs w:val="32"/>
        </w:rPr>
        <w:t>个二级指标及</w:t>
      </w:r>
      <w:r>
        <w:rPr>
          <w:rFonts w:ascii="仿宋" w:eastAsia="仿宋" w:hAnsi="仿宋" w:cs="楷体"/>
          <w:sz w:val="32"/>
          <w:szCs w:val="32"/>
        </w:rPr>
        <w:t>4</w:t>
      </w:r>
      <w:r>
        <w:rPr>
          <w:rFonts w:ascii="仿宋" w:eastAsia="仿宋" w:hAnsi="仿宋" w:cs="楷体" w:hint="eastAsia"/>
          <w:sz w:val="32"/>
          <w:szCs w:val="32"/>
        </w:rPr>
        <w:t>个三级指标，总分值为</w:t>
      </w:r>
      <w:r>
        <w:rPr>
          <w:rFonts w:ascii="仿宋" w:eastAsia="仿宋" w:hAnsi="仿宋" w:cs="楷体"/>
          <w:sz w:val="32"/>
          <w:szCs w:val="32"/>
        </w:rPr>
        <w:t>40</w:t>
      </w:r>
      <w:r>
        <w:rPr>
          <w:rFonts w:ascii="仿宋" w:eastAsia="仿宋" w:hAnsi="仿宋" w:cs="楷体" w:hint="eastAsia"/>
          <w:sz w:val="32"/>
          <w:szCs w:val="32"/>
        </w:rPr>
        <w:t>分，实际得</w:t>
      </w:r>
      <w:r>
        <w:rPr>
          <w:rFonts w:ascii="仿宋" w:eastAsia="仿宋" w:hAnsi="仿宋" w:cs="楷体"/>
          <w:sz w:val="32"/>
          <w:szCs w:val="32"/>
        </w:rPr>
        <w:t>33.59</w:t>
      </w:r>
      <w:r>
        <w:rPr>
          <w:rFonts w:ascii="仿宋" w:eastAsia="仿宋" w:hAnsi="仿宋" w:cs="楷体" w:hint="eastAsia"/>
          <w:sz w:val="32"/>
          <w:szCs w:val="32"/>
        </w:rPr>
        <w:t>分，得分率为</w:t>
      </w:r>
      <w:r>
        <w:rPr>
          <w:rFonts w:ascii="仿宋" w:eastAsia="仿宋" w:hAnsi="仿宋" w:cs="楷体"/>
          <w:sz w:val="32"/>
          <w:szCs w:val="32"/>
        </w:rPr>
        <w:t>83.98%</w:t>
      </w:r>
      <w:r>
        <w:rPr>
          <w:rFonts w:ascii="仿宋" w:eastAsia="仿宋" w:hAnsi="仿宋" w:cs="楷体" w:hint="eastAsia"/>
          <w:sz w:val="32"/>
          <w:szCs w:val="32"/>
        </w:rPr>
        <w:t>。</w:t>
      </w:r>
    </w:p>
    <w:p w14:paraId="25EA953A" w14:textId="77777777" w:rsidR="009C370A" w:rsidRPr="00B532B0" w:rsidRDefault="009C370A" w:rsidP="003C09CD">
      <w:pPr>
        <w:pStyle w:val="2"/>
        <w:numPr>
          <w:ilvl w:val="0"/>
          <w:numId w:val="3"/>
        </w:numPr>
        <w:spacing w:before="0" w:after="0" w:line="560" w:lineRule="exact"/>
        <w:ind w:firstLineChars="200" w:firstLine="640"/>
        <w:rPr>
          <w:rFonts w:ascii="楷体_GB2312" w:eastAsia="楷体_GB2312" w:hAnsi="楷体" w:cs="楷体"/>
          <w:b w:val="0"/>
          <w:szCs w:val="32"/>
        </w:rPr>
      </w:pPr>
      <w:bookmarkStart w:id="17" w:name="_Toc21080"/>
      <w:r w:rsidRPr="00B532B0">
        <w:rPr>
          <w:rFonts w:ascii="楷体_GB2312" w:eastAsia="楷体_GB2312" w:hAnsi="楷体" w:cs="楷体" w:hint="eastAsia"/>
          <w:b w:val="0"/>
          <w:szCs w:val="32"/>
        </w:rPr>
        <w:t>项目效益情况</w:t>
      </w:r>
      <w:bookmarkEnd w:id="17"/>
    </w:p>
    <w:p w14:paraId="336B94FB" w14:textId="77777777" w:rsidR="009C370A" w:rsidRDefault="009C370A" w:rsidP="003C09CD">
      <w:pPr>
        <w:pStyle w:val="a0"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效益指标包括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个二级指标以及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个三级指标，总分值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分，实际得</w:t>
      </w:r>
      <w:r>
        <w:rPr>
          <w:rFonts w:ascii="仿宋" w:eastAsia="仿宋" w:hAnsi="仿宋" w:cs="仿宋"/>
          <w:sz w:val="32"/>
          <w:szCs w:val="32"/>
        </w:rPr>
        <w:t>14.38</w:t>
      </w:r>
      <w:r>
        <w:rPr>
          <w:rFonts w:ascii="仿宋" w:eastAsia="仿宋" w:hAnsi="仿宋" w:cs="仿宋" w:hint="eastAsia"/>
          <w:sz w:val="32"/>
          <w:szCs w:val="32"/>
        </w:rPr>
        <w:t>分，得分率为</w:t>
      </w:r>
      <w:r>
        <w:rPr>
          <w:rFonts w:ascii="仿宋" w:eastAsia="仿宋" w:hAnsi="仿宋" w:cs="仿宋"/>
          <w:sz w:val="32"/>
          <w:szCs w:val="32"/>
        </w:rPr>
        <w:t>95.87%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13F42E4" w14:textId="77777777" w:rsidR="009C370A" w:rsidRDefault="009C370A" w:rsidP="003C09C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具体得分情况见下表。</w:t>
      </w:r>
    </w:p>
    <w:p w14:paraId="32F5F946" w14:textId="77777777" w:rsidR="009C370A" w:rsidRDefault="009C370A" w:rsidP="003C09CD">
      <w:pPr>
        <w:pStyle w:val="a0"/>
        <w:spacing w:after="0" w:line="560" w:lineRule="exact"/>
        <w:ind w:firstLineChars="500" w:firstLine="1205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Times New Roman" w:eastAsia="仿宋" w:hAnsi="Times New Roman"/>
          <w:b/>
          <w:sz w:val="24"/>
          <w:szCs w:val="24"/>
        </w:rPr>
        <w:t>2020</w:t>
      </w:r>
      <w:r>
        <w:rPr>
          <w:rFonts w:ascii="Times New Roman" w:eastAsia="仿宋" w:hAnsi="Times New Roman" w:hint="eastAsia"/>
          <w:b/>
          <w:sz w:val="24"/>
          <w:szCs w:val="24"/>
        </w:rPr>
        <w:t>年南阳市原民办教师养老补贴项目绩效评价得分表</w:t>
      </w:r>
    </w:p>
    <w:tbl>
      <w:tblPr>
        <w:tblW w:w="8463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1"/>
        <w:gridCol w:w="1432"/>
        <w:gridCol w:w="1432"/>
        <w:gridCol w:w="1432"/>
        <w:gridCol w:w="1433"/>
        <w:gridCol w:w="1433"/>
      </w:tblGrid>
      <w:tr w:rsidR="009C370A" w14:paraId="0F857029" w14:textId="77777777" w:rsidTr="002C7C2A">
        <w:trPr>
          <w:trHeight w:val="177"/>
          <w:tblHeader/>
        </w:trPr>
        <w:tc>
          <w:tcPr>
            <w:tcW w:w="1301" w:type="dxa"/>
            <w:vAlign w:val="center"/>
          </w:tcPr>
          <w:p w14:paraId="2168C11B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b/>
                <w:bCs/>
                <w:kern w:val="0"/>
                <w:sz w:val="20"/>
                <w:szCs w:val="21"/>
              </w:rPr>
              <w:t>一级指标</w:t>
            </w:r>
          </w:p>
        </w:tc>
        <w:tc>
          <w:tcPr>
            <w:tcW w:w="1432" w:type="dxa"/>
            <w:vAlign w:val="center"/>
          </w:tcPr>
          <w:p w14:paraId="4AC4F802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b/>
                <w:bCs/>
                <w:kern w:val="0"/>
                <w:sz w:val="20"/>
                <w:szCs w:val="21"/>
              </w:rPr>
              <w:t>项目决策</w:t>
            </w:r>
          </w:p>
        </w:tc>
        <w:tc>
          <w:tcPr>
            <w:tcW w:w="1432" w:type="dxa"/>
            <w:vAlign w:val="center"/>
          </w:tcPr>
          <w:p w14:paraId="016B3E58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b/>
                <w:bCs/>
                <w:kern w:val="0"/>
                <w:sz w:val="20"/>
                <w:szCs w:val="21"/>
              </w:rPr>
              <w:t>项目过程</w:t>
            </w:r>
          </w:p>
        </w:tc>
        <w:tc>
          <w:tcPr>
            <w:tcW w:w="1432" w:type="dxa"/>
            <w:vAlign w:val="center"/>
          </w:tcPr>
          <w:p w14:paraId="0A4372BD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b/>
                <w:bCs/>
                <w:kern w:val="0"/>
                <w:sz w:val="20"/>
                <w:szCs w:val="21"/>
              </w:rPr>
              <w:t>项目产出</w:t>
            </w:r>
          </w:p>
        </w:tc>
        <w:tc>
          <w:tcPr>
            <w:tcW w:w="1433" w:type="dxa"/>
            <w:vAlign w:val="center"/>
          </w:tcPr>
          <w:p w14:paraId="58957C0D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b/>
                <w:bCs/>
                <w:kern w:val="0"/>
                <w:sz w:val="20"/>
                <w:szCs w:val="21"/>
              </w:rPr>
              <w:t>项目效益</w:t>
            </w:r>
          </w:p>
        </w:tc>
        <w:tc>
          <w:tcPr>
            <w:tcW w:w="1433" w:type="dxa"/>
            <w:vAlign w:val="center"/>
          </w:tcPr>
          <w:p w14:paraId="79C4D752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b/>
                <w:bCs/>
                <w:kern w:val="0"/>
                <w:sz w:val="20"/>
                <w:szCs w:val="21"/>
              </w:rPr>
              <w:t>合计</w:t>
            </w:r>
          </w:p>
        </w:tc>
      </w:tr>
      <w:tr w:rsidR="009C370A" w14:paraId="18BE37E1" w14:textId="77777777" w:rsidTr="002C7C2A">
        <w:trPr>
          <w:trHeight w:val="177"/>
        </w:trPr>
        <w:tc>
          <w:tcPr>
            <w:tcW w:w="1301" w:type="dxa"/>
            <w:vAlign w:val="center"/>
          </w:tcPr>
          <w:p w14:paraId="0D2C82AE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kern w:val="0"/>
                <w:sz w:val="20"/>
                <w:szCs w:val="21"/>
              </w:rPr>
              <w:t>权重分值</w:t>
            </w:r>
          </w:p>
        </w:tc>
        <w:tc>
          <w:tcPr>
            <w:tcW w:w="1432" w:type="dxa"/>
            <w:vAlign w:val="center"/>
          </w:tcPr>
          <w:p w14:paraId="7F9E0002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15</w:t>
            </w:r>
          </w:p>
        </w:tc>
        <w:tc>
          <w:tcPr>
            <w:tcW w:w="1432" w:type="dxa"/>
            <w:vAlign w:val="center"/>
          </w:tcPr>
          <w:p w14:paraId="6B7352C5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30</w:t>
            </w:r>
          </w:p>
        </w:tc>
        <w:tc>
          <w:tcPr>
            <w:tcW w:w="1432" w:type="dxa"/>
            <w:vAlign w:val="center"/>
          </w:tcPr>
          <w:p w14:paraId="423B4E1F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40</w:t>
            </w:r>
          </w:p>
        </w:tc>
        <w:tc>
          <w:tcPr>
            <w:tcW w:w="1433" w:type="dxa"/>
            <w:vAlign w:val="center"/>
          </w:tcPr>
          <w:p w14:paraId="7830CD28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15</w:t>
            </w:r>
          </w:p>
        </w:tc>
        <w:tc>
          <w:tcPr>
            <w:tcW w:w="1433" w:type="dxa"/>
            <w:vAlign w:val="center"/>
          </w:tcPr>
          <w:p w14:paraId="033B65D4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100</w:t>
            </w:r>
          </w:p>
        </w:tc>
      </w:tr>
      <w:tr w:rsidR="009C370A" w14:paraId="78483808" w14:textId="77777777" w:rsidTr="002C7C2A">
        <w:trPr>
          <w:trHeight w:val="177"/>
        </w:trPr>
        <w:tc>
          <w:tcPr>
            <w:tcW w:w="1301" w:type="dxa"/>
            <w:vAlign w:val="center"/>
          </w:tcPr>
          <w:p w14:paraId="54727F9E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kern w:val="0"/>
                <w:sz w:val="20"/>
                <w:szCs w:val="21"/>
              </w:rPr>
              <w:t>得分</w:t>
            </w:r>
          </w:p>
        </w:tc>
        <w:tc>
          <w:tcPr>
            <w:tcW w:w="1432" w:type="dxa"/>
            <w:vAlign w:val="center"/>
          </w:tcPr>
          <w:p w14:paraId="4796A8D0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12.30</w:t>
            </w:r>
          </w:p>
        </w:tc>
        <w:tc>
          <w:tcPr>
            <w:tcW w:w="1432" w:type="dxa"/>
            <w:vAlign w:val="center"/>
          </w:tcPr>
          <w:p w14:paraId="79D71A49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22.31</w:t>
            </w:r>
          </w:p>
        </w:tc>
        <w:tc>
          <w:tcPr>
            <w:tcW w:w="1432" w:type="dxa"/>
            <w:vAlign w:val="center"/>
          </w:tcPr>
          <w:p w14:paraId="4C1863D8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33.59</w:t>
            </w:r>
          </w:p>
        </w:tc>
        <w:tc>
          <w:tcPr>
            <w:tcW w:w="1433" w:type="dxa"/>
            <w:vAlign w:val="center"/>
          </w:tcPr>
          <w:p w14:paraId="5EBB4316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14.38</w:t>
            </w:r>
          </w:p>
        </w:tc>
        <w:tc>
          <w:tcPr>
            <w:tcW w:w="1433" w:type="dxa"/>
            <w:vAlign w:val="center"/>
          </w:tcPr>
          <w:p w14:paraId="5109993A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82.58</w:t>
            </w:r>
          </w:p>
        </w:tc>
      </w:tr>
      <w:tr w:rsidR="009C370A" w14:paraId="28EB33C3" w14:textId="77777777" w:rsidTr="002C7C2A">
        <w:trPr>
          <w:trHeight w:val="177"/>
        </w:trPr>
        <w:tc>
          <w:tcPr>
            <w:tcW w:w="1301" w:type="dxa"/>
            <w:vAlign w:val="center"/>
          </w:tcPr>
          <w:p w14:paraId="059A95AD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 w:hint="eastAsia"/>
                <w:kern w:val="0"/>
                <w:sz w:val="20"/>
                <w:szCs w:val="21"/>
              </w:rPr>
              <w:t>得分率</w:t>
            </w:r>
          </w:p>
        </w:tc>
        <w:tc>
          <w:tcPr>
            <w:tcW w:w="1432" w:type="dxa"/>
            <w:vAlign w:val="center"/>
          </w:tcPr>
          <w:p w14:paraId="166CD09D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82.00%</w:t>
            </w:r>
          </w:p>
        </w:tc>
        <w:tc>
          <w:tcPr>
            <w:tcW w:w="1432" w:type="dxa"/>
            <w:vAlign w:val="center"/>
          </w:tcPr>
          <w:p w14:paraId="678BC471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74.37%</w:t>
            </w:r>
          </w:p>
        </w:tc>
        <w:tc>
          <w:tcPr>
            <w:tcW w:w="1432" w:type="dxa"/>
            <w:vAlign w:val="center"/>
          </w:tcPr>
          <w:p w14:paraId="77FBFFBC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83.98%</w:t>
            </w:r>
          </w:p>
        </w:tc>
        <w:tc>
          <w:tcPr>
            <w:tcW w:w="1433" w:type="dxa"/>
            <w:vAlign w:val="center"/>
          </w:tcPr>
          <w:p w14:paraId="198EC397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95.87%</w:t>
            </w:r>
          </w:p>
        </w:tc>
        <w:tc>
          <w:tcPr>
            <w:tcW w:w="1433" w:type="dxa"/>
            <w:vAlign w:val="center"/>
          </w:tcPr>
          <w:p w14:paraId="14F227BD" w14:textId="77777777" w:rsidR="009C370A" w:rsidRPr="00C7758B" w:rsidRDefault="009C370A" w:rsidP="00C7758B">
            <w:pPr>
              <w:jc w:val="center"/>
              <w:rPr>
                <w:rFonts w:ascii="Times New Roman" w:eastAsia="仿宋" w:hAnsi="Times New Roman"/>
                <w:kern w:val="0"/>
                <w:sz w:val="20"/>
                <w:szCs w:val="21"/>
              </w:rPr>
            </w:pPr>
            <w:r w:rsidRPr="00C7758B">
              <w:rPr>
                <w:rFonts w:ascii="Times New Roman" w:eastAsia="仿宋" w:hAnsi="Times New Roman"/>
                <w:kern w:val="0"/>
                <w:sz w:val="20"/>
                <w:szCs w:val="21"/>
              </w:rPr>
              <w:t>82.58%</w:t>
            </w:r>
          </w:p>
        </w:tc>
      </w:tr>
    </w:tbl>
    <w:p w14:paraId="0E9A0955" w14:textId="77777777" w:rsidR="00A35AD3" w:rsidRPr="00B532B0" w:rsidRDefault="009C370A" w:rsidP="00A35AD3">
      <w:pPr>
        <w:pStyle w:val="a0"/>
        <w:spacing w:after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bookmarkStart w:id="18" w:name="_Hlk89764005"/>
      <w:r w:rsidRPr="00B532B0">
        <w:rPr>
          <w:rFonts w:ascii="黑体" w:eastAsia="黑体" w:hAnsi="黑体" w:cs="黑体" w:hint="eastAsia"/>
          <w:sz w:val="32"/>
          <w:szCs w:val="32"/>
        </w:rPr>
        <w:t>四</w:t>
      </w:r>
      <w:r w:rsidRPr="00B532B0">
        <w:rPr>
          <w:rFonts w:ascii="宋体" w:hAnsi="宋体" w:cs="黑体" w:hint="eastAsia"/>
          <w:sz w:val="32"/>
          <w:szCs w:val="32"/>
        </w:rPr>
        <w:t>、</w:t>
      </w:r>
      <w:bookmarkEnd w:id="18"/>
      <w:r w:rsidR="00A35AD3" w:rsidRPr="00B532B0">
        <w:rPr>
          <w:rFonts w:ascii="黑体" w:eastAsia="黑体" w:hAnsi="黑体" w:cs="黑体" w:hint="eastAsia"/>
          <w:bCs/>
          <w:sz w:val="32"/>
          <w:szCs w:val="32"/>
        </w:rPr>
        <w:t>项目实施过程中存在的问题</w:t>
      </w:r>
    </w:p>
    <w:p w14:paraId="4664C23E" w14:textId="789B075F" w:rsidR="00A35AD3" w:rsidRPr="00B532B0" w:rsidRDefault="00D75E5F" w:rsidP="00A35AD3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lastRenderedPageBreak/>
        <w:t>1</w:t>
      </w:r>
      <w:r>
        <w:rPr>
          <w:rFonts w:ascii="楷体_GB2312" w:eastAsia="楷体_GB2312" w:hAnsi="楷体"/>
          <w:bCs/>
          <w:sz w:val="32"/>
          <w:szCs w:val="32"/>
        </w:rPr>
        <w:t>.</w:t>
      </w:r>
      <w:r w:rsidR="00A35AD3" w:rsidRPr="00B532B0">
        <w:rPr>
          <w:rFonts w:ascii="楷体_GB2312" w:eastAsia="楷体_GB2312" w:hAnsi="楷体" w:hint="eastAsia"/>
          <w:bCs/>
          <w:sz w:val="32"/>
          <w:szCs w:val="32"/>
        </w:rPr>
        <w:t>预算编制精细化程度不够</w:t>
      </w:r>
    </w:p>
    <w:p w14:paraId="21FF4585" w14:textId="61527976" w:rsidR="00A35AD3" w:rsidRPr="00B532B0" w:rsidRDefault="00D75E5F" w:rsidP="00A35AD3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D75E5F">
        <w:rPr>
          <w:rFonts w:ascii="楷体" w:eastAsia="楷体" w:hAnsi="楷体" w:hint="eastAsia"/>
          <w:sz w:val="32"/>
          <w:szCs w:val="32"/>
        </w:rPr>
        <w:t>2</w:t>
      </w:r>
      <w:r w:rsidRPr="00D75E5F">
        <w:rPr>
          <w:rFonts w:ascii="楷体" w:eastAsia="楷体" w:hAnsi="楷体"/>
          <w:sz w:val="32"/>
          <w:szCs w:val="32"/>
        </w:rPr>
        <w:t>.</w:t>
      </w:r>
      <w:r w:rsidR="00A35AD3" w:rsidRPr="00B532B0">
        <w:rPr>
          <w:rFonts w:ascii="楷体_GB2312" w:eastAsia="楷体_GB2312" w:hAnsi="楷体" w:hint="eastAsia"/>
          <w:bCs/>
          <w:sz w:val="32"/>
          <w:szCs w:val="32"/>
        </w:rPr>
        <w:t>资金监管措施不力，管理机制亟需完善</w:t>
      </w:r>
    </w:p>
    <w:p w14:paraId="7274AE75" w14:textId="2DCF3C03" w:rsidR="00A35AD3" w:rsidRPr="00B532B0" w:rsidRDefault="00D75E5F" w:rsidP="00A35AD3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Cs/>
          <w:sz w:val="32"/>
          <w:szCs w:val="32"/>
        </w:rPr>
        <w:t>3</w:t>
      </w:r>
      <w:r>
        <w:rPr>
          <w:rFonts w:ascii="楷体_GB2312" w:eastAsia="楷体_GB2312" w:hAnsi="楷体"/>
          <w:bCs/>
          <w:sz w:val="32"/>
          <w:szCs w:val="32"/>
        </w:rPr>
        <w:t>.</w:t>
      </w:r>
      <w:r w:rsidR="00A35AD3" w:rsidRPr="00B532B0">
        <w:rPr>
          <w:rFonts w:ascii="楷体_GB2312" w:eastAsia="楷体_GB2312" w:hAnsi="楷体" w:hint="eastAsia"/>
          <w:bCs/>
          <w:sz w:val="32"/>
          <w:szCs w:val="32"/>
        </w:rPr>
        <w:t>绩效目标编制质量不高，指标体系不够完整</w:t>
      </w:r>
    </w:p>
    <w:p w14:paraId="0F859483" w14:textId="77777777" w:rsidR="00A35AD3" w:rsidRPr="00B532B0" w:rsidRDefault="009C370A" w:rsidP="00A35AD3">
      <w:pPr>
        <w:tabs>
          <w:tab w:val="left" w:pos="1131"/>
        </w:tabs>
        <w:spacing w:line="560" w:lineRule="exact"/>
        <w:ind w:left="748" w:rightChars="-50" w:right="-105"/>
        <w:rPr>
          <w:rFonts w:ascii="黑体" w:eastAsia="黑体" w:hAnsi="黑体" w:cs="黑体"/>
          <w:bCs/>
          <w:sz w:val="32"/>
          <w:szCs w:val="32"/>
        </w:rPr>
      </w:pPr>
      <w:r w:rsidRPr="00B532B0">
        <w:rPr>
          <w:rFonts w:ascii="黑体" w:eastAsia="黑体" w:hAnsi="黑体" w:cs="黑体" w:hint="eastAsia"/>
          <w:bCs/>
          <w:sz w:val="32"/>
          <w:szCs w:val="32"/>
        </w:rPr>
        <w:t>五、</w:t>
      </w:r>
      <w:r w:rsidR="00A35AD3" w:rsidRPr="00B532B0">
        <w:rPr>
          <w:rFonts w:ascii="黑体" w:eastAsia="黑体" w:hAnsi="黑体" w:cs="黑体" w:hint="eastAsia"/>
          <w:bCs/>
          <w:sz w:val="32"/>
          <w:szCs w:val="32"/>
        </w:rPr>
        <w:t>建议</w:t>
      </w:r>
    </w:p>
    <w:p w14:paraId="129F1CBD" w14:textId="77777777" w:rsidR="00A35AD3" w:rsidRPr="00B532B0" w:rsidRDefault="00A35AD3" w:rsidP="00A35AD3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bookmarkStart w:id="19" w:name="_Toc20326"/>
      <w:r w:rsidRPr="00B532B0">
        <w:rPr>
          <w:rFonts w:ascii="楷体_GB2312" w:eastAsia="楷体_GB2312" w:hAnsi="楷体" w:hint="eastAsia"/>
          <w:sz w:val="32"/>
          <w:szCs w:val="32"/>
        </w:rPr>
        <w:t>（一）加强预算管理，提高预算编制的准确性</w:t>
      </w:r>
    </w:p>
    <w:p w14:paraId="7D1E4C82" w14:textId="77777777" w:rsidR="00A35AD3" w:rsidRDefault="00A35AD3" w:rsidP="00A35AD3">
      <w:pPr>
        <w:pStyle w:val="a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各级教育部门在预算编制过程中，要依照规定的要求，规范操作，科学合理测算项目预算资金需求，提高预算编制精细化水平。</w:t>
      </w:r>
    </w:p>
    <w:p w14:paraId="0E6A0CDE" w14:textId="77777777" w:rsidR="00A35AD3" w:rsidRPr="00B532B0" w:rsidRDefault="00A35AD3" w:rsidP="00A35AD3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bookmarkStart w:id="20" w:name="_Toc24703"/>
      <w:r w:rsidRPr="00B532B0">
        <w:rPr>
          <w:rFonts w:ascii="楷体_GB2312" w:eastAsia="楷体_GB2312" w:hAnsi="楷体" w:hint="eastAsia"/>
          <w:sz w:val="32"/>
          <w:szCs w:val="32"/>
        </w:rPr>
        <w:t>（二）</w:t>
      </w:r>
      <w:bookmarkEnd w:id="20"/>
      <w:r w:rsidRPr="00B532B0">
        <w:rPr>
          <w:rFonts w:ascii="楷体_GB2312" w:eastAsia="楷体_GB2312" w:hAnsi="楷体" w:hint="eastAsia"/>
          <w:sz w:val="32"/>
          <w:szCs w:val="32"/>
        </w:rPr>
        <w:t>建立健全联动管理机制</w:t>
      </w:r>
      <w:bookmarkEnd w:id="19"/>
    </w:p>
    <w:p w14:paraId="157C5B05" w14:textId="77777777" w:rsidR="00A35AD3" w:rsidRDefault="00A35AD3" w:rsidP="00A35AD3">
      <w:pPr>
        <w:pStyle w:val="a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加强部门间的协调沟通，借助社保部门养老金数据系统平台，利用现代化信息手段，逐步实现与公安等相关部门的数据对接，及时更新原民办教师养老补贴发放名单，提高资金发放的及时性和准确性。二是进一步明确教育部门和社保部门的具体工作职责划分，破除信息“孤岛”，实现互联互通，健全联动管理机制，强化资金支出监管。确保服务端和治理端“质效”双提升。</w:t>
      </w:r>
    </w:p>
    <w:p w14:paraId="5EBC9566" w14:textId="77777777" w:rsidR="00A35AD3" w:rsidRPr="00B532B0" w:rsidRDefault="00A35AD3" w:rsidP="00A35AD3">
      <w:pPr>
        <w:pStyle w:val="a0"/>
        <w:spacing w:after="0"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bookmarkStart w:id="21" w:name="_Toc19420"/>
      <w:r w:rsidRPr="00B532B0">
        <w:rPr>
          <w:rFonts w:ascii="楷体_GB2312" w:eastAsia="楷体_GB2312" w:hAnsi="楷体" w:hint="eastAsia"/>
          <w:sz w:val="32"/>
          <w:szCs w:val="32"/>
        </w:rPr>
        <w:t>（三）增强绩效意识，强化全过程监管</w:t>
      </w:r>
      <w:bookmarkStart w:id="22" w:name="_Hlk91057272"/>
      <w:bookmarkEnd w:id="21"/>
    </w:p>
    <w:bookmarkEnd w:id="22"/>
    <w:p w14:paraId="03BC47F2" w14:textId="77777777" w:rsidR="00A35AD3" w:rsidRDefault="00A35AD3" w:rsidP="00A35AD3">
      <w:pPr>
        <w:pStyle w:val="a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建立健全资金全过程绩效管理机制，完善绩效指标体系结构，提高绩效管理工作的质量水平。二是及时开展中期绩效监控，对资金使用情况实施“双监控”，强化资金日常管理。三是加强管理人员的绩效培训，提高相关人员绩效管理技能，提升绩效管理理念。</w:t>
      </w:r>
    </w:p>
    <w:p w14:paraId="6920B2E1" w14:textId="207514FC" w:rsidR="00A35AD3" w:rsidRPr="00B532B0" w:rsidRDefault="00D75E5F" w:rsidP="00A35AD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</w:t>
      </w:r>
      <w:r w:rsidR="00A35AD3" w:rsidRPr="00B532B0">
        <w:rPr>
          <w:rFonts w:ascii="黑体" w:eastAsia="黑体" w:hAnsi="黑体" w:cs="仿宋" w:hint="eastAsia"/>
          <w:sz w:val="32"/>
          <w:szCs w:val="32"/>
        </w:rPr>
        <w:t>、</w:t>
      </w:r>
      <w:r w:rsidR="00A35AD3" w:rsidRPr="00B532B0">
        <w:rPr>
          <w:rFonts w:ascii="黑体" w:eastAsia="黑体" w:hAnsi="黑体" w:cs="黑体" w:hint="eastAsia"/>
          <w:sz w:val="32"/>
          <w:szCs w:val="32"/>
        </w:rPr>
        <w:t>综合评价结论</w:t>
      </w:r>
    </w:p>
    <w:p w14:paraId="61BD6205" w14:textId="46B2C584" w:rsidR="00A35AD3" w:rsidRDefault="00A35AD3" w:rsidP="00A35AD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根据评价指标体系和评价标准，通过数据采集、现场调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研等形式，对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年南阳市原民办教师养老补贴项目资金”进行了客观评价，该项目综合评价</w:t>
      </w:r>
      <w:r>
        <w:rPr>
          <w:rFonts w:ascii="仿宋" w:eastAsia="仿宋" w:hAnsi="仿宋" w:hint="eastAsia"/>
          <w:bCs/>
          <w:sz w:val="32"/>
          <w:szCs w:val="32"/>
        </w:rPr>
        <w:t>得分为</w:t>
      </w:r>
      <w:r>
        <w:rPr>
          <w:rFonts w:ascii="仿宋" w:eastAsia="仿宋" w:hAnsi="仿宋"/>
          <w:bCs/>
          <w:sz w:val="32"/>
          <w:szCs w:val="32"/>
        </w:rPr>
        <w:t>82.58</w:t>
      </w:r>
      <w:r>
        <w:rPr>
          <w:rFonts w:ascii="仿宋" w:eastAsia="仿宋" w:hAnsi="仿宋" w:hint="eastAsia"/>
          <w:bCs/>
          <w:sz w:val="32"/>
          <w:szCs w:val="32"/>
        </w:rPr>
        <w:t>分，</w:t>
      </w:r>
      <w:r>
        <w:rPr>
          <w:rFonts w:ascii="仿宋" w:eastAsia="仿宋" w:hAnsi="仿宋" w:hint="eastAsia"/>
          <w:sz w:val="32"/>
          <w:szCs w:val="32"/>
        </w:rPr>
        <w:t>根据《南阳市市级预算项目支出绩效评价管理办法》（宛财办〔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号）规定的“优、良、中、差”的绩效评价等级标准，该项目绩效评价等级为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“良”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14:paraId="39664D95" w14:textId="77777777" w:rsidR="00A35AD3" w:rsidRDefault="00A35AD3" w:rsidP="00A35AD3">
      <w:pPr>
        <w:pStyle w:val="a0"/>
        <w:spacing w:after="156" w:line="580" w:lineRule="exact"/>
        <w:jc w:val="right"/>
        <w:rPr>
          <w:rFonts w:ascii="仿宋" w:eastAsia="仿宋" w:hAnsi="仿宋"/>
          <w:sz w:val="32"/>
          <w:szCs w:val="32"/>
        </w:rPr>
      </w:pPr>
    </w:p>
    <w:p w14:paraId="1CE71CE0" w14:textId="2D4F952A" w:rsidR="009C370A" w:rsidRPr="006D092D" w:rsidRDefault="009C370A" w:rsidP="006D092D">
      <w:pPr>
        <w:rPr>
          <w:rFonts w:ascii="仿宋_GB2312" w:eastAsia="仿宋_GB2312"/>
          <w:sz w:val="28"/>
          <w:szCs w:val="28"/>
        </w:rPr>
      </w:pPr>
    </w:p>
    <w:sectPr w:rsidR="009C370A" w:rsidRPr="006D092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F64D" w14:textId="77777777" w:rsidR="000D5F54" w:rsidRDefault="000D5F54" w:rsidP="00144BF9">
      <w:r>
        <w:separator/>
      </w:r>
    </w:p>
  </w:endnote>
  <w:endnote w:type="continuationSeparator" w:id="0">
    <w:p w14:paraId="7BFBE145" w14:textId="77777777" w:rsidR="000D5F54" w:rsidRDefault="000D5F54" w:rsidP="0014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E99D" w14:textId="77777777" w:rsidR="009C370A" w:rsidRDefault="00BC5C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370A" w:rsidRPr="00816A78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2269DCD1" w14:textId="77777777" w:rsidR="009C370A" w:rsidRDefault="009C37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5F8C" w14:textId="77777777" w:rsidR="000D5F54" w:rsidRDefault="000D5F54" w:rsidP="00144BF9">
      <w:r>
        <w:separator/>
      </w:r>
    </w:p>
  </w:footnote>
  <w:footnote w:type="continuationSeparator" w:id="0">
    <w:p w14:paraId="49CC9D3F" w14:textId="77777777" w:rsidR="000D5F54" w:rsidRDefault="000D5F54" w:rsidP="0014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D6BA" w14:textId="77777777" w:rsidR="009C370A" w:rsidRDefault="009C370A" w:rsidP="00604DA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07ED5D"/>
    <w:multiLevelType w:val="singleLevel"/>
    <w:tmpl w:val="C407ED5D"/>
    <w:lvl w:ilvl="0">
      <w:start w:val="1"/>
      <w:numFmt w:val="chineseCounting"/>
      <w:suff w:val="nothing"/>
      <w:lvlText w:val="%1、"/>
      <w:lvlJc w:val="left"/>
      <w:pPr>
        <w:ind w:left="851"/>
      </w:pPr>
      <w:rPr>
        <w:rFonts w:cs="Times New Roman" w:hint="eastAsia"/>
      </w:rPr>
    </w:lvl>
  </w:abstractNum>
  <w:abstractNum w:abstractNumId="1" w15:restartNumberingAfterBreak="0">
    <w:nsid w:val="20E6EB81"/>
    <w:multiLevelType w:val="singleLevel"/>
    <w:tmpl w:val="20E6EB8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 w15:restartNumberingAfterBreak="0">
    <w:nsid w:val="69D01E77"/>
    <w:multiLevelType w:val="singleLevel"/>
    <w:tmpl w:val="69D01E77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51C"/>
    <w:rsid w:val="000526EF"/>
    <w:rsid w:val="000B68AB"/>
    <w:rsid w:val="000D0B8B"/>
    <w:rsid w:val="000D5F54"/>
    <w:rsid w:val="000F2BA3"/>
    <w:rsid w:val="00136B87"/>
    <w:rsid w:val="00142392"/>
    <w:rsid w:val="00144BF9"/>
    <w:rsid w:val="00145356"/>
    <w:rsid w:val="00151FC1"/>
    <w:rsid w:val="00156A8E"/>
    <w:rsid w:val="00185ECE"/>
    <w:rsid w:val="001B6E1D"/>
    <w:rsid w:val="001F6F63"/>
    <w:rsid w:val="00274E86"/>
    <w:rsid w:val="002C7C2A"/>
    <w:rsid w:val="00323D78"/>
    <w:rsid w:val="00325AD1"/>
    <w:rsid w:val="00336F89"/>
    <w:rsid w:val="003C09CD"/>
    <w:rsid w:val="0044406D"/>
    <w:rsid w:val="00445462"/>
    <w:rsid w:val="00482D50"/>
    <w:rsid w:val="004A2350"/>
    <w:rsid w:val="004E7E73"/>
    <w:rsid w:val="004F4191"/>
    <w:rsid w:val="00521CC0"/>
    <w:rsid w:val="00540CE6"/>
    <w:rsid w:val="00541D82"/>
    <w:rsid w:val="00543B4C"/>
    <w:rsid w:val="005B1571"/>
    <w:rsid w:val="005C0FFA"/>
    <w:rsid w:val="005D2F97"/>
    <w:rsid w:val="00604DAA"/>
    <w:rsid w:val="006376A9"/>
    <w:rsid w:val="006C2188"/>
    <w:rsid w:val="006D092D"/>
    <w:rsid w:val="00711068"/>
    <w:rsid w:val="0071698B"/>
    <w:rsid w:val="007314AE"/>
    <w:rsid w:val="007C49F5"/>
    <w:rsid w:val="00816A78"/>
    <w:rsid w:val="008C4B07"/>
    <w:rsid w:val="008C540E"/>
    <w:rsid w:val="008D5A3B"/>
    <w:rsid w:val="008E3AAF"/>
    <w:rsid w:val="00963E1A"/>
    <w:rsid w:val="009C370A"/>
    <w:rsid w:val="009E46D0"/>
    <w:rsid w:val="00A35AD3"/>
    <w:rsid w:val="00A93A12"/>
    <w:rsid w:val="00B532B0"/>
    <w:rsid w:val="00BC5C20"/>
    <w:rsid w:val="00BE2073"/>
    <w:rsid w:val="00C01233"/>
    <w:rsid w:val="00C11460"/>
    <w:rsid w:val="00C7151C"/>
    <w:rsid w:val="00C7758B"/>
    <w:rsid w:val="00CE38DF"/>
    <w:rsid w:val="00D54C62"/>
    <w:rsid w:val="00D55267"/>
    <w:rsid w:val="00D725E3"/>
    <w:rsid w:val="00D75E5F"/>
    <w:rsid w:val="00DB3A32"/>
    <w:rsid w:val="00E12E9D"/>
    <w:rsid w:val="00E74893"/>
    <w:rsid w:val="00ED14D9"/>
    <w:rsid w:val="00F42084"/>
    <w:rsid w:val="00F63C86"/>
    <w:rsid w:val="00FC5FA1"/>
    <w:rsid w:val="752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BB46CF7"/>
  <w15:docId w15:val="{7F984244-62ED-4B55-AFBC-EB565812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44BF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4BF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9"/>
    <w:qFormat/>
    <w:rsid w:val="00144BF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144BF9"/>
    <w:rPr>
      <w:rFonts w:ascii="Calibri" w:eastAsia="宋体" w:hAnsi="Calibri"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locked/>
    <w:rsid w:val="00144BF9"/>
    <w:rPr>
      <w:rFonts w:ascii="Arial" w:eastAsia="黑体" w:hAnsi="Arial" w:cs="Times New Roman"/>
      <w:b/>
      <w:sz w:val="32"/>
    </w:rPr>
  </w:style>
  <w:style w:type="paragraph" w:styleId="a0">
    <w:name w:val="Body Text"/>
    <w:basedOn w:val="a"/>
    <w:link w:val="a4"/>
    <w:uiPriority w:val="99"/>
    <w:rsid w:val="00144BF9"/>
    <w:pPr>
      <w:spacing w:after="120"/>
    </w:pPr>
    <w:rPr>
      <w:rFonts w:ascii="??" w:hAnsi="??"/>
    </w:rPr>
  </w:style>
  <w:style w:type="character" w:customStyle="1" w:styleId="a4">
    <w:name w:val="正文文本 字符"/>
    <w:link w:val="a0"/>
    <w:uiPriority w:val="99"/>
    <w:locked/>
    <w:rsid w:val="00144BF9"/>
    <w:rPr>
      <w:rFonts w:cs="Times New Roman"/>
    </w:rPr>
  </w:style>
  <w:style w:type="paragraph" w:styleId="a5">
    <w:name w:val="footer"/>
    <w:basedOn w:val="a"/>
    <w:link w:val="a6"/>
    <w:uiPriority w:val="99"/>
    <w:rsid w:val="0014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44BF9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144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144BF9"/>
    <w:rPr>
      <w:rFonts w:cs="Times New Roman"/>
      <w:sz w:val="18"/>
      <w:szCs w:val="18"/>
    </w:rPr>
  </w:style>
  <w:style w:type="table" w:styleId="a9">
    <w:name w:val="Table Grid"/>
    <w:basedOn w:val="a2"/>
    <w:uiPriority w:val="99"/>
    <w:rsid w:val="00144BF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44BF9"/>
    <w:pPr>
      <w:ind w:firstLineChars="200" w:firstLine="420"/>
    </w:pPr>
  </w:style>
  <w:style w:type="character" w:styleId="ab">
    <w:name w:val="Placeholder Text"/>
    <w:uiPriority w:val="99"/>
    <w:semiHidden/>
    <w:rsid w:val="00144BF9"/>
    <w:rPr>
      <w:rFonts w:cs="Times New Roman"/>
      <w:color w:val="808080"/>
    </w:rPr>
  </w:style>
  <w:style w:type="paragraph" w:styleId="ac">
    <w:name w:val="Date"/>
    <w:basedOn w:val="a"/>
    <w:next w:val="a"/>
    <w:link w:val="ad"/>
    <w:uiPriority w:val="99"/>
    <w:rsid w:val="002C7C2A"/>
    <w:pPr>
      <w:ind w:leftChars="2500" w:left="100"/>
    </w:pPr>
  </w:style>
  <w:style w:type="character" w:customStyle="1" w:styleId="ad">
    <w:name w:val="日期 字符"/>
    <w:link w:val="ac"/>
    <w:uiPriority w:val="99"/>
    <w:semiHidden/>
    <w:rsid w:val="006B31C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1 2</cp:lastModifiedBy>
  <cp:revision>29</cp:revision>
  <cp:lastPrinted>2022-01-07T02:28:00Z</cp:lastPrinted>
  <dcterms:created xsi:type="dcterms:W3CDTF">2021-12-07T01:55:00Z</dcterms:created>
  <dcterms:modified xsi:type="dcterms:W3CDTF">2022-02-28T03:05:00Z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29E9119AB7CF4B16B56AB07910775F7D</vt:lpwstr>
  </property>
</Properties>
</file>