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CFDA" w14:textId="77777777" w:rsidR="00520736" w:rsidRDefault="00520736" w:rsidP="00E7692F">
      <w:pPr>
        <w:ind w:firstLine="640"/>
        <w:jc w:val="center"/>
        <w:rPr>
          <w:rFonts w:ascii="仿宋_GB2312" w:eastAsia="仿宋_GB2312" w:hAnsi="宋体" w:cs="宋体"/>
          <w:bCs/>
          <w:szCs w:val="32"/>
        </w:rPr>
      </w:pPr>
    </w:p>
    <w:p w14:paraId="67AAAB38" w14:textId="77777777" w:rsidR="00520736" w:rsidRPr="00E7692F" w:rsidRDefault="00520736" w:rsidP="00E7692F">
      <w:pPr>
        <w:pStyle w:val="a0"/>
      </w:pPr>
    </w:p>
    <w:p w14:paraId="1977790F" w14:textId="77777777" w:rsidR="00520736" w:rsidRDefault="00520736" w:rsidP="00E7692F">
      <w:pPr>
        <w:spacing w:line="600" w:lineRule="exact"/>
        <w:jc w:val="center"/>
        <w:rPr>
          <w:rFonts w:ascii="方正小标宋简体" w:eastAsia="方正小标宋简体"/>
          <w:sz w:val="44"/>
          <w:szCs w:val="44"/>
        </w:rPr>
      </w:pPr>
      <w:r w:rsidRPr="00E7692F">
        <w:rPr>
          <w:rFonts w:ascii="方正小标宋简体" w:eastAsia="方正小标宋简体"/>
          <w:sz w:val="44"/>
          <w:szCs w:val="44"/>
        </w:rPr>
        <w:t>2020</w:t>
      </w:r>
      <w:r w:rsidRPr="00E7692F">
        <w:rPr>
          <w:rFonts w:ascii="方正小标宋简体" w:eastAsia="方正小标宋简体" w:hint="eastAsia"/>
          <w:sz w:val="44"/>
          <w:szCs w:val="44"/>
        </w:rPr>
        <w:t>年南阳市水污染防治工程项目</w:t>
      </w:r>
    </w:p>
    <w:p w14:paraId="176BF5A4" w14:textId="77777777" w:rsidR="00520736" w:rsidRPr="00E7692F" w:rsidRDefault="00520736" w:rsidP="00E7692F">
      <w:pPr>
        <w:spacing w:line="600" w:lineRule="exact"/>
        <w:jc w:val="center"/>
        <w:rPr>
          <w:rFonts w:ascii="方正小标宋简体" w:eastAsia="方正小标宋简体"/>
          <w:sz w:val="44"/>
          <w:szCs w:val="44"/>
        </w:rPr>
      </w:pPr>
      <w:r w:rsidRPr="00E7692F">
        <w:rPr>
          <w:rFonts w:ascii="方正小标宋简体" w:eastAsia="方正小标宋简体" w:hint="eastAsia"/>
          <w:sz w:val="44"/>
          <w:szCs w:val="44"/>
        </w:rPr>
        <w:t>绩效评价报告</w:t>
      </w:r>
    </w:p>
    <w:p w14:paraId="23BB491B" w14:textId="77777777" w:rsidR="00520736" w:rsidRDefault="00520736" w:rsidP="00E7692F">
      <w:pPr>
        <w:pStyle w:val="a0"/>
        <w:spacing w:after="0"/>
        <w:rPr>
          <w:rFonts w:ascii="仿宋" w:eastAsia="仿宋" w:hAnsi="仿宋" w:cs="宋体"/>
          <w:sz w:val="32"/>
          <w:szCs w:val="32"/>
        </w:rPr>
      </w:pPr>
    </w:p>
    <w:p w14:paraId="385E4056" w14:textId="455213E8" w:rsidR="00520736" w:rsidRDefault="00520736" w:rsidP="00E7692F">
      <w:pPr>
        <w:ind w:firstLineChars="200" w:firstLine="640"/>
      </w:pPr>
      <w:r>
        <w:rPr>
          <w:rFonts w:ascii="仿宋" w:hAnsi="仿宋" w:hint="eastAsia"/>
          <w:szCs w:val="32"/>
        </w:rPr>
        <w:t>为全面贯彻落实《中共中央</w:t>
      </w:r>
      <w:r>
        <w:rPr>
          <w:rFonts w:ascii="仿宋" w:hAnsi="仿宋"/>
          <w:szCs w:val="32"/>
        </w:rPr>
        <w:t xml:space="preserve"> </w:t>
      </w:r>
      <w:r>
        <w:rPr>
          <w:rFonts w:ascii="仿宋" w:hAnsi="仿宋" w:hint="eastAsia"/>
          <w:szCs w:val="32"/>
        </w:rPr>
        <w:t>国务院关于全面实施预算绩效管理的意见》（中发</w:t>
      </w:r>
      <w:r>
        <w:rPr>
          <w:rFonts w:ascii="仿宋" w:hAnsi="仿宋" w:cs="仿宋" w:hint="eastAsia"/>
          <w:szCs w:val="32"/>
        </w:rPr>
        <w:t>〔</w:t>
      </w:r>
      <w:r>
        <w:rPr>
          <w:rFonts w:ascii="仿宋" w:hAnsi="仿宋"/>
          <w:szCs w:val="32"/>
        </w:rPr>
        <w:t>2018</w:t>
      </w:r>
      <w:r>
        <w:rPr>
          <w:rFonts w:ascii="仿宋" w:hAnsi="仿宋" w:cs="仿宋" w:hint="eastAsia"/>
          <w:szCs w:val="32"/>
        </w:rPr>
        <w:t>〕</w:t>
      </w:r>
      <w:r>
        <w:rPr>
          <w:rFonts w:ascii="仿宋" w:hAnsi="仿宋"/>
          <w:szCs w:val="32"/>
        </w:rPr>
        <w:t>34</w:t>
      </w:r>
      <w:r>
        <w:rPr>
          <w:rFonts w:ascii="仿宋" w:hAnsi="仿宋" w:hint="eastAsia"/>
          <w:szCs w:val="32"/>
        </w:rPr>
        <w:t>号）和《中共河南省委</w:t>
      </w:r>
      <w:r>
        <w:rPr>
          <w:rFonts w:ascii="仿宋" w:hAnsi="仿宋"/>
          <w:szCs w:val="32"/>
        </w:rPr>
        <w:t xml:space="preserve">  </w:t>
      </w:r>
      <w:r>
        <w:rPr>
          <w:rFonts w:ascii="仿宋" w:hAnsi="仿宋" w:hint="eastAsia"/>
          <w:szCs w:val="32"/>
        </w:rPr>
        <w:t>河南省人民政府关于全面实施预算绩效管理的实施意见》（豫发</w:t>
      </w:r>
      <w:r>
        <w:rPr>
          <w:rFonts w:ascii="仿宋" w:hAnsi="仿宋" w:cs="仿宋" w:hint="eastAsia"/>
          <w:szCs w:val="32"/>
        </w:rPr>
        <w:t>〔</w:t>
      </w:r>
      <w:r>
        <w:rPr>
          <w:rFonts w:ascii="仿宋" w:hAnsi="仿宋"/>
          <w:szCs w:val="32"/>
        </w:rPr>
        <w:t>2019</w:t>
      </w:r>
      <w:r>
        <w:rPr>
          <w:rFonts w:ascii="仿宋" w:hAnsi="仿宋" w:cs="仿宋" w:hint="eastAsia"/>
          <w:szCs w:val="32"/>
        </w:rPr>
        <w:t>〕</w:t>
      </w:r>
      <w:r>
        <w:rPr>
          <w:rFonts w:ascii="仿宋" w:hAnsi="仿宋"/>
          <w:szCs w:val="32"/>
        </w:rPr>
        <w:t>10</w:t>
      </w:r>
      <w:r>
        <w:rPr>
          <w:rFonts w:ascii="仿宋" w:hAnsi="仿宋" w:hint="eastAsia"/>
          <w:szCs w:val="32"/>
        </w:rPr>
        <w:t>号）有关要求，</w:t>
      </w:r>
      <w:r w:rsidR="00DC03EA">
        <w:rPr>
          <w:rFonts w:ascii="仿宋" w:hAnsi="仿宋" w:hint="eastAsia"/>
          <w:szCs w:val="32"/>
        </w:rPr>
        <w:t>南阳市财政</w:t>
      </w:r>
      <w:r>
        <w:rPr>
          <w:rFonts w:ascii="仿宋" w:hAnsi="仿宋" w:hint="eastAsia"/>
          <w:szCs w:val="32"/>
        </w:rPr>
        <w:t>局组织</w:t>
      </w:r>
      <w:r>
        <w:rPr>
          <w:rFonts w:hint="eastAsia"/>
        </w:rPr>
        <w:t>对</w:t>
      </w:r>
      <w:r>
        <w:rPr>
          <w:rFonts w:ascii="仿宋" w:hAnsi="仿宋" w:hint="eastAsia"/>
        </w:rPr>
        <w:t>“</w:t>
      </w:r>
      <w:r>
        <w:rPr>
          <w:rFonts w:hint="eastAsia"/>
        </w:rPr>
        <w:t>南阳市水污染防治工程项目补助资金</w:t>
      </w:r>
      <w:r>
        <w:rPr>
          <w:rFonts w:ascii="仿宋" w:hAnsi="仿宋" w:hint="eastAsia"/>
        </w:rPr>
        <w:t>”</w:t>
      </w:r>
      <w:r>
        <w:rPr>
          <w:rFonts w:hint="eastAsia"/>
        </w:rPr>
        <w:t>进行了绩效评价，</w:t>
      </w:r>
      <w:r>
        <w:rPr>
          <w:rFonts w:ascii="仿宋" w:hAnsi="仿宋" w:cs="仿宋" w:hint="eastAsia"/>
          <w:szCs w:val="32"/>
        </w:rPr>
        <w:t>现将评价结果报告如下：</w:t>
      </w:r>
    </w:p>
    <w:p w14:paraId="12D6F6B7" w14:textId="77777777" w:rsidR="00520736" w:rsidRPr="00E32326" w:rsidRDefault="00520736" w:rsidP="00E32326">
      <w:pPr>
        <w:pStyle w:val="1"/>
        <w:ind w:firstLine="640"/>
        <w:rPr>
          <w:bCs/>
        </w:rPr>
      </w:pPr>
      <w:bookmarkStart w:id="0" w:name="_Toc26207"/>
      <w:r w:rsidRPr="00E32326">
        <w:rPr>
          <w:rFonts w:hint="eastAsia"/>
          <w:bCs/>
        </w:rPr>
        <w:t>一、基本情况</w:t>
      </w:r>
      <w:bookmarkEnd w:id="0"/>
    </w:p>
    <w:p w14:paraId="5BC38B4B" w14:textId="77777777" w:rsidR="00520736" w:rsidRDefault="00520736" w:rsidP="00E7692F">
      <w:pPr>
        <w:ind w:firstLineChars="200" w:firstLine="640"/>
        <w:rPr>
          <w:rFonts w:ascii="仿宋"/>
        </w:rPr>
      </w:pPr>
      <w:r>
        <w:rPr>
          <w:rFonts w:ascii="仿宋" w:hAnsi="仿宋" w:hint="eastAsia"/>
        </w:rPr>
        <w:t>水是生命之源、生产之要、生态之基。防治水污染、保护水环境，关系到人民群众的切身利益，也关系经济社会的高质量发展。南阳市委、市政府以习近平生态文明思想为指导，积极落实国家和省相关决策部署，深入推进水污染防治攻坚战，</w:t>
      </w:r>
      <w:r>
        <w:rPr>
          <w:rFonts w:ascii="仿宋" w:hAnsi="仿宋"/>
        </w:rPr>
        <w:t>2018</w:t>
      </w:r>
      <w:r>
        <w:rPr>
          <w:rFonts w:ascii="仿宋" w:hAnsi="仿宋" w:hint="eastAsia"/>
        </w:rPr>
        <w:t>年通过了全国水生态文明城市建设试点验收，取得了阶段性成效。为确保全市水环境质量持续改善，</w:t>
      </w:r>
      <w:r>
        <w:rPr>
          <w:rFonts w:ascii="仿宋" w:hAnsi="仿宋"/>
        </w:rPr>
        <w:t>2019</w:t>
      </w:r>
      <w:r>
        <w:rPr>
          <w:rFonts w:ascii="仿宋" w:hAnsi="仿宋" w:hint="eastAsia"/>
        </w:rPr>
        <w:t>年，南阳市颁布了《南阳市水污染防治攻坚考核断面生态补偿办法》（宛环攻坚办</w:t>
      </w:r>
      <w:r>
        <w:rPr>
          <w:rFonts w:ascii="仿宋" w:hAnsi="仿宋" w:cs="仿宋" w:hint="eastAsia"/>
          <w:szCs w:val="32"/>
        </w:rPr>
        <w:t>〔</w:t>
      </w:r>
      <w:r>
        <w:rPr>
          <w:rFonts w:ascii="仿宋" w:hAnsi="仿宋"/>
          <w:szCs w:val="32"/>
        </w:rPr>
        <w:t>2019</w:t>
      </w:r>
      <w:r>
        <w:rPr>
          <w:rFonts w:ascii="仿宋" w:hAnsi="仿宋" w:cs="仿宋" w:hint="eastAsia"/>
          <w:szCs w:val="32"/>
        </w:rPr>
        <w:t>〕</w:t>
      </w:r>
      <w:r>
        <w:rPr>
          <w:rFonts w:ascii="仿宋" w:hAnsi="仿宋"/>
          <w:szCs w:val="32"/>
        </w:rPr>
        <w:t>62</w:t>
      </w:r>
      <w:r>
        <w:rPr>
          <w:rFonts w:ascii="仿宋" w:hAnsi="仿宋" w:hint="eastAsia"/>
          <w:szCs w:val="32"/>
        </w:rPr>
        <w:t>号</w:t>
      </w:r>
      <w:r>
        <w:rPr>
          <w:rFonts w:ascii="仿宋" w:hAnsi="仿宋" w:hint="eastAsia"/>
        </w:rPr>
        <w:t>），决定对各县</w:t>
      </w:r>
      <w:r>
        <w:rPr>
          <w:rFonts w:ascii="华文楷体" w:eastAsia="华文楷体" w:hAnsi="华文楷体" w:hint="eastAsia"/>
        </w:rPr>
        <w:t>（</w:t>
      </w:r>
      <w:r>
        <w:rPr>
          <w:rFonts w:ascii="仿宋" w:hAnsi="仿宋" w:hint="eastAsia"/>
        </w:rPr>
        <w:t>市</w:t>
      </w:r>
      <w:r>
        <w:rPr>
          <w:rFonts w:ascii="华文楷体" w:eastAsia="华文楷体" w:hAnsi="华文楷体" w:hint="eastAsia"/>
        </w:rPr>
        <w:t>）</w:t>
      </w:r>
      <w:r>
        <w:rPr>
          <w:rFonts w:ascii="仿宋" w:hAnsi="仿宋" w:hint="eastAsia"/>
        </w:rPr>
        <w:t>区水环境质量进行奖惩，强化对水环境质量的治理。</w:t>
      </w:r>
      <w:r>
        <w:rPr>
          <w:rFonts w:ascii="仿宋" w:hAnsi="仿宋"/>
        </w:rPr>
        <w:t xml:space="preserve">    </w:t>
      </w:r>
    </w:p>
    <w:p w14:paraId="77C39AA7" w14:textId="77777777" w:rsidR="00520736" w:rsidRDefault="00520736" w:rsidP="00E7692F">
      <w:pPr>
        <w:ind w:firstLineChars="200" w:firstLine="640"/>
        <w:rPr>
          <w:rFonts w:ascii="仿宋"/>
        </w:rPr>
      </w:pPr>
      <w:r>
        <w:rPr>
          <w:rFonts w:ascii="仿宋" w:hAnsi="仿宋" w:hint="eastAsia"/>
        </w:rPr>
        <w:t>为此，市委</w:t>
      </w:r>
      <w:r>
        <w:rPr>
          <w:rFonts w:ascii="宋体" w:eastAsia="宋体" w:hAnsi="宋体" w:hint="eastAsia"/>
        </w:rPr>
        <w:t>、</w:t>
      </w:r>
      <w:r>
        <w:rPr>
          <w:rFonts w:ascii="仿宋" w:hAnsi="仿宋" w:hint="eastAsia"/>
        </w:rPr>
        <w:t>市政府决定在</w:t>
      </w:r>
      <w:r>
        <w:rPr>
          <w:rFonts w:ascii="仿宋" w:hAnsi="仿宋"/>
        </w:rPr>
        <w:t>2020</w:t>
      </w:r>
      <w:r>
        <w:rPr>
          <w:rFonts w:ascii="仿宋" w:hAnsi="仿宋" w:hint="eastAsia"/>
        </w:rPr>
        <w:t>年度安排水生态奖惩</w:t>
      </w:r>
      <w:r>
        <w:rPr>
          <w:rFonts w:ascii="仿宋" w:hAnsi="仿宋" w:hint="eastAsia"/>
        </w:rPr>
        <w:lastRenderedPageBreak/>
        <w:t>结余专项资金</w:t>
      </w:r>
      <w:r>
        <w:rPr>
          <w:rFonts w:ascii="仿宋" w:hAnsi="仿宋"/>
        </w:rPr>
        <w:t>2395</w:t>
      </w:r>
      <w:r>
        <w:rPr>
          <w:rFonts w:ascii="仿宋" w:hAnsi="仿宋" w:hint="eastAsia"/>
        </w:rPr>
        <w:t>万元，专项用于补助</w:t>
      </w:r>
      <w:bookmarkStart w:id="1" w:name="_Hlk90394367"/>
      <w:r>
        <w:rPr>
          <w:rFonts w:ascii="仿宋" w:hAnsi="仿宋" w:hint="eastAsia"/>
        </w:rPr>
        <w:t>邓州市污水管道改造提升项目</w:t>
      </w:r>
      <w:bookmarkEnd w:id="1"/>
      <w:r>
        <w:rPr>
          <w:rFonts w:ascii="仿宋" w:hAnsi="仿宋" w:hint="eastAsia"/>
        </w:rPr>
        <w:t>和新野县军民渠河道治理工程建设。</w:t>
      </w:r>
      <w:r>
        <w:rPr>
          <w:rFonts w:ascii="仿宋" w:hAnsi="仿宋" w:cs="仿宋" w:hint="eastAsia"/>
          <w:bCs/>
          <w:szCs w:val="32"/>
        </w:rPr>
        <w:t>根据《关于下达水污染治理资金的通知》（宛财预〔</w:t>
      </w:r>
      <w:r>
        <w:rPr>
          <w:rFonts w:ascii="仿宋" w:hAnsi="仿宋"/>
          <w:bCs/>
          <w:szCs w:val="32"/>
        </w:rPr>
        <w:t>2020</w:t>
      </w:r>
      <w:r>
        <w:rPr>
          <w:rFonts w:ascii="仿宋" w:hAnsi="仿宋" w:cs="仿宋" w:hint="eastAsia"/>
          <w:bCs/>
          <w:szCs w:val="32"/>
        </w:rPr>
        <w:t>〕</w:t>
      </w:r>
      <w:r>
        <w:rPr>
          <w:rFonts w:ascii="仿宋" w:hAnsi="仿宋"/>
          <w:bCs/>
          <w:szCs w:val="32"/>
        </w:rPr>
        <w:t>798</w:t>
      </w:r>
      <w:r>
        <w:rPr>
          <w:rFonts w:ascii="仿宋" w:hAnsi="仿宋" w:cs="仿宋" w:hint="eastAsia"/>
          <w:bCs/>
          <w:szCs w:val="32"/>
        </w:rPr>
        <w:t>号），南阳市财政局及时全额拨付了专项资金</w:t>
      </w:r>
      <w:r>
        <w:rPr>
          <w:rFonts w:ascii="仿宋" w:hAnsi="仿宋"/>
          <w:bCs/>
          <w:szCs w:val="32"/>
        </w:rPr>
        <w:t>2395</w:t>
      </w:r>
      <w:r>
        <w:rPr>
          <w:rFonts w:ascii="仿宋" w:hAnsi="仿宋" w:cs="仿宋" w:hint="eastAsia"/>
          <w:bCs/>
          <w:szCs w:val="32"/>
        </w:rPr>
        <w:t>万元。截至</w:t>
      </w:r>
      <w:r>
        <w:rPr>
          <w:rFonts w:ascii="仿宋" w:hAnsi="仿宋" w:cs="仿宋"/>
          <w:bCs/>
          <w:szCs w:val="32"/>
        </w:rPr>
        <w:t>2021</w:t>
      </w:r>
      <w:r>
        <w:rPr>
          <w:rFonts w:ascii="仿宋" w:hAnsi="仿宋" w:cs="仿宋" w:hint="eastAsia"/>
          <w:bCs/>
          <w:szCs w:val="32"/>
        </w:rPr>
        <w:t>年</w:t>
      </w:r>
      <w:r>
        <w:rPr>
          <w:rFonts w:ascii="仿宋" w:hAnsi="仿宋" w:cs="仿宋"/>
          <w:bCs/>
          <w:szCs w:val="32"/>
        </w:rPr>
        <w:t>6</w:t>
      </w:r>
      <w:r>
        <w:rPr>
          <w:rFonts w:ascii="仿宋" w:hAnsi="仿宋" w:cs="仿宋" w:hint="eastAsia"/>
          <w:bCs/>
          <w:szCs w:val="32"/>
        </w:rPr>
        <w:t>月</w:t>
      </w:r>
      <w:r>
        <w:rPr>
          <w:rFonts w:ascii="仿宋" w:hAnsi="仿宋" w:cs="仿宋"/>
          <w:bCs/>
          <w:szCs w:val="32"/>
        </w:rPr>
        <w:t>30</w:t>
      </w:r>
      <w:r>
        <w:rPr>
          <w:rFonts w:ascii="仿宋" w:hAnsi="仿宋" w:cs="仿宋" w:hint="eastAsia"/>
          <w:bCs/>
          <w:szCs w:val="32"/>
        </w:rPr>
        <w:t>日，项目共支付资金</w:t>
      </w:r>
      <w:r>
        <w:rPr>
          <w:rFonts w:ascii="仿宋" w:hAnsi="仿宋" w:cs="仿宋"/>
          <w:bCs/>
          <w:szCs w:val="32"/>
        </w:rPr>
        <w:t>1212</w:t>
      </w:r>
      <w:r>
        <w:rPr>
          <w:rFonts w:ascii="仿宋" w:hAnsi="仿宋" w:cs="仿宋" w:hint="eastAsia"/>
          <w:bCs/>
          <w:szCs w:val="32"/>
        </w:rPr>
        <w:t>万元，预算执行率为</w:t>
      </w:r>
      <w:r>
        <w:rPr>
          <w:rFonts w:ascii="仿宋" w:hAnsi="仿宋" w:cs="仿宋"/>
          <w:bCs/>
          <w:szCs w:val="32"/>
        </w:rPr>
        <w:t>50.61%</w:t>
      </w:r>
      <w:r>
        <w:rPr>
          <w:rFonts w:ascii="仿宋" w:hAnsi="仿宋" w:cs="仿宋" w:hint="eastAsia"/>
          <w:bCs/>
          <w:szCs w:val="32"/>
        </w:rPr>
        <w:t>。</w:t>
      </w:r>
    </w:p>
    <w:p w14:paraId="2610F3C7" w14:textId="77777777" w:rsidR="00520736" w:rsidRDefault="00520736" w:rsidP="00E32326">
      <w:pPr>
        <w:ind w:firstLineChars="200" w:firstLine="640"/>
      </w:pPr>
      <w:r>
        <w:rPr>
          <w:rFonts w:hint="eastAsia"/>
        </w:rPr>
        <w:t>截至</w:t>
      </w:r>
      <w:r>
        <w:t>2021</w:t>
      </w:r>
      <w:r>
        <w:rPr>
          <w:rFonts w:hint="eastAsia"/>
        </w:rPr>
        <w:t>年</w:t>
      </w:r>
      <w:r>
        <w:t>6</w:t>
      </w:r>
      <w:r>
        <w:rPr>
          <w:rFonts w:hint="eastAsia"/>
        </w:rPr>
        <w:t>月</w:t>
      </w:r>
      <w:r>
        <w:t>30</w:t>
      </w:r>
      <w:r>
        <w:rPr>
          <w:rFonts w:hint="eastAsia"/>
        </w:rPr>
        <w:t>日，邓州市污水管道改造提升项目已经完成</w:t>
      </w:r>
      <w:r>
        <w:t>3</w:t>
      </w:r>
      <w:r>
        <w:rPr>
          <w:rFonts w:hint="eastAsia"/>
        </w:rPr>
        <w:t>条河道的截污纳管升级改造并投入使用，治理入河排污口</w:t>
      </w:r>
      <w:r>
        <w:t>241</w:t>
      </w:r>
      <w:r>
        <w:rPr>
          <w:rFonts w:hint="eastAsia"/>
        </w:rPr>
        <w:t>个，铺设污水管道</w:t>
      </w:r>
      <w:r>
        <w:t>12.13km</w:t>
      </w:r>
      <w:r>
        <w:rPr>
          <w:rFonts w:hint="eastAsia"/>
        </w:rPr>
        <w:t>。新野县军民渠河道治理工程项目已经完成疏浚河道</w:t>
      </w:r>
      <w:r>
        <w:t>6979</w:t>
      </w:r>
      <w:r>
        <w:rPr>
          <w:rFonts w:hint="eastAsia"/>
        </w:rPr>
        <w:t>米，节制闸建设已经封顶。</w:t>
      </w:r>
      <w:bookmarkStart w:id="2" w:name="_Toc19051"/>
    </w:p>
    <w:p w14:paraId="7364DD8D" w14:textId="77777777" w:rsidR="00520736" w:rsidRPr="00E32326" w:rsidRDefault="00520736" w:rsidP="00E32326">
      <w:pPr>
        <w:ind w:firstLineChars="200" w:firstLine="640"/>
        <w:rPr>
          <w:rFonts w:ascii="黑体" w:eastAsia="黑体"/>
        </w:rPr>
      </w:pPr>
      <w:r w:rsidRPr="00E32326">
        <w:rPr>
          <w:rFonts w:ascii="黑体" w:eastAsia="黑体" w:hint="eastAsia"/>
        </w:rPr>
        <w:t>二、绩效评价工作开展情况</w:t>
      </w:r>
      <w:bookmarkEnd w:id="2"/>
    </w:p>
    <w:p w14:paraId="7F945644" w14:textId="77777777" w:rsidR="00520736" w:rsidRPr="00E32326" w:rsidRDefault="00520736" w:rsidP="00E32326">
      <w:pPr>
        <w:pStyle w:val="2"/>
        <w:ind w:firstLine="640"/>
        <w:rPr>
          <w:rFonts w:ascii="楷体_GB2312" w:eastAsia="楷体_GB2312"/>
          <w:b w:val="0"/>
        </w:rPr>
      </w:pPr>
      <w:bookmarkStart w:id="3" w:name="_Toc5541"/>
      <w:r w:rsidRPr="00E32326">
        <w:rPr>
          <w:rFonts w:ascii="楷体_GB2312" w:eastAsia="楷体_GB2312" w:hint="eastAsia"/>
          <w:b w:val="0"/>
        </w:rPr>
        <w:t>（一）绩效评价目的</w:t>
      </w:r>
      <w:bookmarkEnd w:id="3"/>
    </w:p>
    <w:p w14:paraId="78BE6C34" w14:textId="77777777" w:rsidR="00520736" w:rsidRDefault="00520736" w:rsidP="00E7692F">
      <w:pPr>
        <w:ind w:firstLineChars="200" w:firstLine="640"/>
        <w:rPr>
          <w:rFonts w:ascii="仿宋"/>
          <w:color w:val="000000"/>
          <w:kern w:val="0"/>
          <w:szCs w:val="32"/>
        </w:rPr>
      </w:pPr>
      <w:r>
        <w:rPr>
          <w:rFonts w:ascii="仿宋" w:hAnsi="仿宋" w:hint="eastAsia"/>
          <w:color w:val="000000"/>
          <w:kern w:val="0"/>
          <w:szCs w:val="32"/>
        </w:rPr>
        <w:t>以绩效目标为依据，从决策、过程、产出、效益四个维度，对项目资金的管理和效益进行综合研判和评定，总结成绩经验，发现偏差和问题，提出改进意见和建议。</w:t>
      </w:r>
      <w:r>
        <w:rPr>
          <w:rFonts w:ascii="仿宋" w:hAnsi="仿宋" w:cs="仿宋_GB2312" w:hint="eastAsia"/>
          <w:color w:val="000000"/>
          <w:kern w:val="0"/>
          <w:szCs w:val="32"/>
        </w:rPr>
        <w:t>为市委、市政府进行宏观决策提供参考，并为预算资金绩效管理提供依据。</w:t>
      </w:r>
    </w:p>
    <w:p w14:paraId="3C4A10AF" w14:textId="77777777" w:rsidR="00520736" w:rsidRPr="00E32326" w:rsidRDefault="00520736" w:rsidP="00E7692F">
      <w:pPr>
        <w:pStyle w:val="2"/>
        <w:ind w:firstLine="640"/>
        <w:rPr>
          <w:rFonts w:ascii="楷体_GB2312" w:eastAsia="楷体_GB2312"/>
          <w:b w:val="0"/>
        </w:rPr>
      </w:pPr>
      <w:bookmarkStart w:id="4" w:name="_Toc21942"/>
      <w:bookmarkStart w:id="5" w:name="_Toc15046"/>
      <w:r w:rsidRPr="00E32326">
        <w:rPr>
          <w:rFonts w:ascii="楷体_GB2312" w:eastAsia="楷体_GB2312" w:hint="eastAsia"/>
          <w:b w:val="0"/>
        </w:rPr>
        <w:t>（二）绩效评价原则及评价方法</w:t>
      </w:r>
      <w:bookmarkEnd w:id="4"/>
      <w:bookmarkEnd w:id="5"/>
    </w:p>
    <w:p w14:paraId="006EE4EA" w14:textId="77777777" w:rsidR="00520736" w:rsidRDefault="00520736" w:rsidP="00E7692F">
      <w:pPr>
        <w:ind w:firstLineChars="200" w:firstLine="640"/>
        <w:rPr>
          <w:rFonts w:ascii="仿宋" w:cs="仿宋"/>
          <w:bCs/>
          <w:szCs w:val="32"/>
        </w:rPr>
      </w:pPr>
      <w:r>
        <w:rPr>
          <w:rFonts w:ascii="仿宋" w:hAnsi="仿宋" w:cs="仿宋" w:hint="eastAsia"/>
          <w:bCs/>
          <w:szCs w:val="32"/>
        </w:rPr>
        <w:t>评价组遵循科学规范、全面系统、公正客观、合规合法、绩效相关的基本原则，采用查验材料、现场调研、定量与定性相结合的方法展开评价。</w:t>
      </w:r>
    </w:p>
    <w:p w14:paraId="3950A898" w14:textId="77777777" w:rsidR="00520736" w:rsidRPr="00E32326" w:rsidRDefault="00520736" w:rsidP="00E7692F">
      <w:pPr>
        <w:pStyle w:val="2"/>
        <w:ind w:firstLine="640"/>
        <w:rPr>
          <w:rFonts w:ascii="楷体_GB2312" w:eastAsia="楷体_GB2312"/>
          <w:b w:val="0"/>
        </w:rPr>
      </w:pPr>
      <w:bookmarkStart w:id="6" w:name="_Toc25573"/>
      <w:bookmarkStart w:id="7" w:name="_Toc2262"/>
      <w:r w:rsidRPr="00E32326">
        <w:rPr>
          <w:rFonts w:ascii="楷体_GB2312" w:eastAsia="楷体_GB2312" w:hint="eastAsia"/>
          <w:b w:val="0"/>
        </w:rPr>
        <w:lastRenderedPageBreak/>
        <w:t>（三）绩效评价指标体系及评价标准</w:t>
      </w:r>
      <w:bookmarkEnd w:id="6"/>
      <w:bookmarkEnd w:id="7"/>
    </w:p>
    <w:p w14:paraId="6660A2EA" w14:textId="77777777" w:rsidR="00520736" w:rsidRDefault="00520736" w:rsidP="00E7692F">
      <w:pPr>
        <w:ind w:firstLineChars="200" w:firstLine="640"/>
        <w:rPr>
          <w:rFonts w:ascii="仿宋"/>
          <w:szCs w:val="32"/>
        </w:rPr>
      </w:pPr>
      <w:bookmarkStart w:id="8" w:name="_Toc11278"/>
      <w:r>
        <w:rPr>
          <w:rFonts w:ascii="仿宋" w:hAnsi="仿宋" w:hint="eastAsia"/>
        </w:rPr>
        <w:t>本次绩效评价以南阳市水污染防治工程项目补助资金的使用和项目开展情况为主要依据，围绕决策、过程、产出和效益四方面设计评价指标体系。由于子项目刚完成或者正在实施，</w:t>
      </w:r>
      <w:r>
        <w:rPr>
          <w:rFonts w:ascii="仿宋" w:hAnsi="仿宋" w:cs="仿宋" w:hint="eastAsia"/>
          <w:bCs/>
          <w:szCs w:val="32"/>
        </w:rPr>
        <w:t>项目效益发挥还需要一段时间，因此本次评价稍侧重过程和产出的效果，指标分值分配为</w:t>
      </w:r>
      <w:r>
        <w:rPr>
          <w:rFonts w:ascii="仿宋" w:hAnsi="仿宋" w:hint="eastAsia"/>
          <w:szCs w:val="32"/>
        </w:rPr>
        <w:t>决策</w:t>
      </w:r>
      <w:r>
        <w:rPr>
          <w:rFonts w:ascii="仿宋" w:hAnsi="仿宋"/>
          <w:szCs w:val="32"/>
        </w:rPr>
        <w:t>15</w:t>
      </w:r>
      <w:r>
        <w:rPr>
          <w:rFonts w:ascii="仿宋" w:hAnsi="仿宋" w:hint="eastAsia"/>
          <w:szCs w:val="32"/>
        </w:rPr>
        <w:t>分、过程</w:t>
      </w:r>
      <w:r>
        <w:rPr>
          <w:rFonts w:ascii="仿宋" w:hAnsi="仿宋"/>
          <w:szCs w:val="32"/>
        </w:rPr>
        <w:t>30</w:t>
      </w:r>
      <w:r>
        <w:rPr>
          <w:rFonts w:ascii="仿宋" w:hAnsi="仿宋" w:hint="eastAsia"/>
          <w:szCs w:val="32"/>
        </w:rPr>
        <w:t>分、产出</w:t>
      </w:r>
      <w:r>
        <w:rPr>
          <w:rFonts w:ascii="仿宋" w:hAnsi="仿宋"/>
          <w:szCs w:val="32"/>
        </w:rPr>
        <w:t>30</w:t>
      </w:r>
      <w:r>
        <w:rPr>
          <w:rFonts w:ascii="仿宋" w:hAnsi="仿宋" w:hint="eastAsia"/>
          <w:szCs w:val="32"/>
        </w:rPr>
        <w:t>分、效益</w:t>
      </w:r>
      <w:r>
        <w:rPr>
          <w:rFonts w:ascii="仿宋" w:hAnsi="仿宋"/>
          <w:szCs w:val="32"/>
        </w:rPr>
        <w:t>25</w:t>
      </w:r>
      <w:r>
        <w:rPr>
          <w:rFonts w:ascii="仿宋" w:hAnsi="仿宋" w:hint="eastAsia"/>
          <w:szCs w:val="32"/>
        </w:rPr>
        <w:t>分。</w:t>
      </w:r>
    </w:p>
    <w:p w14:paraId="2456CC31" w14:textId="77777777" w:rsidR="00520736" w:rsidRPr="00E32326" w:rsidRDefault="00520736" w:rsidP="00E7692F">
      <w:pPr>
        <w:ind w:firstLineChars="200" w:firstLine="640"/>
        <w:rPr>
          <w:rFonts w:ascii="楷体_GB2312" w:eastAsia="楷体_GB2312" w:hAnsi="楷体"/>
          <w:bCs/>
          <w:szCs w:val="32"/>
        </w:rPr>
      </w:pPr>
      <w:r w:rsidRPr="00E32326">
        <w:rPr>
          <w:rFonts w:ascii="楷体_GB2312" w:eastAsia="楷体_GB2312" w:hAnsi="楷体" w:cs="仿宋" w:hint="eastAsia"/>
          <w:bCs/>
          <w:szCs w:val="32"/>
        </w:rPr>
        <w:t>（四）</w:t>
      </w:r>
      <w:r w:rsidRPr="00E32326">
        <w:rPr>
          <w:rFonts w:ascii="楷体_GB2312" w:eastAsia="楷体_GB2312" w:hAnsi="楷体" w:hint="eastAsia"/>
          <w:bCs/>
          <w:szCs w:val="32"/>
        </w:rPr>
        <w:t>绩效评价基准日</w:t>
      </w:r>
    </w:p>
    <w:p w14:paraId="30E43DD5" w14:textId="77777777" w:rsidR="00520736" w:rsidRDefault="00520736" w:rsidP="00E7692F">
      <w:pPr>
        <w:ind w:firstLineChars="200" w:firstLine="640"/>
        <w:rPr>
          <w:rFonts w:ascii="仿宋"/>
          <w:szCs w:val="32"/>
        </w:rPr>
      </w:pPr>
      <w:r>
        <w:rPr>
          <w:rFonts w:ascii="仿宋" w:hAnsi="仿宋" w:hint="eastAsia"/>
          <w:szCs w:val="32"/>
        </w:rPr>
        <w:t>绩效评价基准日为</w:t>
      </w:r>
      <w:r>
        <w:rPr>
          <w:rFonts w:ascii="仿宋" w:hAnsi="仿宋"/>
          <w:szCs w:val="32"/>
        </w:rPr>
        <w:t>2021</w:t>
      </w:r>
      <w:r>
        <w:rPr>
          <w:rFonts w:ascii="仿宋" w:hAnsi="仿宋" w:hint="eastAsia"/>
          <w:szCs w:val="32"/>
        </w:rPr>
        <w:t>年</w:t>
      </w:r>
      <w:r>
        <w:rPr>
          <w:rFonts w:ascii="仿宋" w:hAnsi="仿宋"/>
          <w:szCs w:val="32"/>
        </w:rPr>
        <w:t>6</w:t>
      </w:r>
      <w:r>
        <w:rPr>
          <w:rFonts w:ascii="仿宋" w:hAnsi="仿宋" w:hint="eastAsia"/>
          <w:szCs w:val="32"/>
        </w:rPr>
        <w:t>月</w:t>
      </w:r>
      <w:r>
        <w:rPr>
          <w:rFonts w:ascii="仿宋" w:hAnsi="仿宋"/>
          <w:szCs w:val="32"/>
        </w:rPr>
        <w:t>3</w:t>
      </w:r>
      <w:r>
        <w:rPr>
          <w:rFonts w:ascii="仿宋"/>
          <w:szCs w:val="32"/>
        </w:rPr>
        <w:t>0</w:t>
      </w:r>
      <w:r>
        <w:rPr>
          <w:rFonts w:ascii="仿宋" w:hAnsi="仿宋" w:hint="eastAsia"/>
          <w:szCs w:val="32"/>
        </w:rPr>
        <w:t>日。</w:t>
      </w:r>
    </w:p>
    <w:p w14:paraId="3F24D98A" w14:textId="77777777" w:rsidR="00520736" w:rsidRPr="00E32326" w:rsidRDefault="00520736" w:rsidP="00E32326">
      <w:pPr>
        <w:pStyle w:val="1"/>
        <w:ind w:firstLine="640"/>
        <w:rPr>
          <w:bCs/>
        </w:rPr>
      </w:pPr>
      <w:bookmarkStart w:id="9" w:name="_Toc19134"/>
      <w:bookmarkEnd w:id="8"/>
      <w:r w:rsidRPr="00E32326">
        <w:rPr>
          <w:rFonts w:hint="eastAsia"/>
          <w:bCs/>
        </w:rPr>
        <w:t>三、绩效评价指标分析</w:t>
      </w:r>
      <w:bookmarkEnd w:id="9"/>
    </w:p>
    <w:p w14:paraId="03BA4FB7" w14:textId="77777777" w:rsidR="00520736" w:rsidRPr="00E32326" w:rsidRDefault="00520736" w:rsidP="00E7692F">
      <w:pPr>
        <w:pStyle w:val="2"/>
        <w:ind w:firstLine="640"/>
        <w:rPr>
          <w:rFonts w:ascii="楷体_GB2312" w:eastAsia="楷体_GB2312"/>
          <w:b w:val="0"/>
        </w:rPr>
      </w:pPr>
      <w:bookmarkStart w:id="10" w:name="_Toc29082"/>
      <w:r w:rsidRPr="00E32326">
        <w:rPr>
          <w:rFonts w:ascii="楷体_GB2312" w:eastAsia="楷体_GB2312" w:hint="eastAsia"/>
          <w:b w:val="0"/>
        </w:rPr>
        <w:t>（一）项目决策情况</w:t>
      </w:r>
      <w:bookmarkEnd w:id="10"/>
    </w:p>
    <w:p w14:paraId="1D90C506" w14:textId="77777777" w:rsidR="00520736" w:rsidRDefault="00520736" w:rsidP="00E7692F">
      <w:pPr>
        <w:ind w:firstLineChars="200" w:firstLine="640"/>
        <w:rPr>
          <w:rFonts w:ascii="仿宋"/>
        </w:rPr>
      </w:pPr>
      <w:r>
        <w:rPr>
          <w:rFonts w:ascii="仿宋" w:hAnsi="仿宋" w:hint="eastAsia"/>
        </w:rPr>
        <w:t>决策指标总分值为</w:t>
      </w:r>
      <w:r>
        <w:rPr>
          <w:rFonts w:ascii="仿宋" w:hAnsi="仿宋"/>
        </w:rPr>
        <w:t>15</w:t>
      </w:r>
      <w:r>
        <w:rPr>
          <w:rFonts w:ascii="仿宋" w:hAnsi="仿宋" w:hint="eastAsia"/>
        </w:rPr>
        <w:t>分，得</w:t>
      </w:r>
      <w:r>
        <w:rPr>
          <w:rFonts w:ascii="仿宋" w:hAnsi="仿宋"/>
        </w:rPr>
        <w:t>10.65</w:t>
      </w:r>
      <w:r>
        <w:rPr>
          <w:rFonts w:ascii="仿宋" w:hAnsi="仿宋" w:hint="eastAsia"/>
        </w:rPr>
        <w:t>分，得分率</w:t>
      </w:r>
      <w:r>
        <w:rPr>
          <w:rFonts w:ascii="仿宋" w:hAnsi="仿宋"/>
        </w:rPr>
        <w:t>71%</w:t>
      </w:r>
      <w:r>
        <w:rPr>
          <w:rFonts w:ascii="仿宋" w:hAnsi="仿宋" w:hint="eastAsia"/>
        </w:rPr>
        <w:t>。主要扣分项为立项程序规范性、绩效目标合理性、绩效指标明确性、预算编制科学性。</w:t>
      </w:r>
    </w:p>
    <w:p w14:paraId="55E32ABB" w14:textId="77777777" w:rsidR="00520736" w:rsidRPr="00E32326" w:rsidRDefault="00520736" w:rsidP="00E7692F">
      <w:pPr>
        <w:pStyle w:val="2"/>
        <w:ind w:firstLine="640"/>
        <w:rPr>
          <w:rFonts w:ascii="楷体_GB2312" w:eastAsia="楷体_GB2312"/>
          <w:b w:val="0"/>
        </w:rPr>
      </w:pPr>
      <w:bookmarkStart w:id="11" w:name="_Toc24686"/>
      <w:bookmarkStart w:id="12" w:name="_Toc20511"/>
      <w:r w:rsidRPr="00E32326">
        <w:rPr>
          <w:rFonts w:ascii="楷体_GB2312" w:eastAsia="楷体_GB2312" w:hint="eastAsia"/>
          <w:b w:val="0"/>
        </w:rPr>
        <w:t>（二）项目过程</w:t>
      </w:r>
      <w:bookmarkEnd w:id="11"/>
      <w:bookmarkEnd w:id="12"/>
      <w:r w:rsidRPr="00E32326">
        <w:rPr>
          <w:rFonts w:ascii="楷体_GB2312" w:eastAsia="楷体_GB2312" w:hint="eastAsia"/>
          <w:b w:val="0"/>
        </w:rPr>
        <w:t>情况</w:t>
      </w:r>
    </w:p>
    <w:p w14:paraId="06EB2094" w14:textId="78D27695" w:rsidR="00520736" w:rsidRDefault="00520736" w:rsidP="00E7692F">
      <w:pPr>
        <w:ind w:firstLineChars="200" w:firstLine="640"/>
        <w:rPr>
          <w:rFonts w:ascii="仿宋"/>
          <w:szCs w:val="32"/>
        </w:rPr>
      </w:pPr>
      <w:r>
        <w:rPr>
          <w:rFonts w:ascii="仿宋" w:hAnsi="仿宋" w:hint="eastAsia"/>
          <w:szCs w:val="32"/>
        </w:rPr>
        <w:t>过程指标总分值</w:t>
      </w:r>
      <w:r>
        <w:rPr>
          <w:rFonts w:ascii="仿宋" w:hAnsi="仿宋"/>
          <w:szCs w:val="32"/>
        </w:rPr>
        <w:t>30</w:t>
      </w:r>
      <w:r>
        <w:rPr>
          <w:rFonts w:ascii="仿宋" w:hAnsi="仿宋" w:hint="eastAsia"/>
          <w:szCs w:val="32"/>
        </w:rPr>
        <w:t>分，得</w:t>
      </w:r>
      <w:r>
        <w:rPr>
          <w:rFonts w:ascii="仿宋" w:hAnsi="仿宋"/>
          <w:szCs w:val="32"/>
        </w:rPr>
        <w:t>21.52</w:t>
      </w:r>
      <w:r>
        <w:rPr>
          <w:rFonts w:ascii="仿宋" w:hAnsi="仿宋" w:hint="eastAsia"/>
          <w:szCs w:val="32"/>
        </w:rPr>
        <w:t>分，得分率</w:t>
      </w:r>
      <w:r>
        <w:rPr>
          <w:rFonts w:ascii="仿宋" w:hAnsi="仿宋"/>
          <w:szCs w:val="32"/>
        </w:rPr>
        <w:t>71.73%</w:t>
      </w:r>
      <w:r>
        <w:rPr>
          <w:rFonts w:ascii="仿宋" w:hAnsi="仿宋" w:hint="eastAsia"/>
          <w:szCs w:val="32"/>
        </w:rPr>
        <w:t>。</w:t>
      </w:r>
    </w:p>
    <w:p w14:paraId="054D7CAD" w14:textId="77777777" w:rsidR="00520736" w:rsidRPr="00E32326" w:rsidRDefault="00520736" w:rsidP="00E7692F">
      <w:pPr>
        <w:pStyle w:val="2"/>
        <w:ind w:firstLine="640"/>
        <w:rPr>
          <w:rFonts w:ascii="楷体_GB2312" w:eastAsia="楷体_GB2312"/>
          <w:b w:val="0"/>
        </w:rPr>
      </w:pPr>
      <w:bookmarkStart w:id="13" w:name="_Toc8477"/>
      <w:bookmarkStart w:id="14" w:name="_Toc25898"/>
      <w:r w:rsidRPr="00E32326">
        <w:rPr>
          <w:rFonts w:ascii="楷体_GB2312" w:eastAsia="楷体_GB2312" w:hint="eastAsia"/>
          <w:b w:val="0"/>
        </w:rPr>
        <w:t>（三）项目产出情况</w:t>
      </w:r>
      <w:bookmarkEnd w:id="13"/>
      <w:bookmarkEnd w:id="14"/>
    </w:p>
    <w:p w14:paraId="08B4A116" w14:textId="3D1C2106" w:rsidR="00520736" w:rsidRDefault="00520736" w:rsidP="00E7692F">
      <w:pPr>
        <w:ind w:firstLineChars="200" w:firstLine="640"/>
        <w:rPr>
          <w:rFonts w:ascii="仿宋"/>
          <w:szCs w:val="32"/>
        </w:rPr>
      </w:pPr>
      <w:r>
        <w:rPr>
          <w:rFonts w:ascii="仿宋" w:hAnsi="仿宋" w:hint="eastAsia"/>
          <w:szCs w:val="32"/>
        </w:rPr>
        <w:t>产出指标总分值</w:t>
      </w:r>
      <w:r>
        <w:rPr>
          <w:rFonts w:ascii="仿宋" w:hAnsi="仿宋"/>
          <w:szCs w:val="32"/>
        </w:rPr>
        <w:t>30</w:t>
      </w:r>
      <w:r>
        <w:rPr>
          <w:rFonts w:ascii="仿宋" w:hAnsi="仿宋" w:hint="eastAsia"/>
          <w:szCs w:val="32"/>
        </w:rPr>
        <w:t>分，得</w:t>
      </w:r>
      <w:r>
        <w:rPr>
          <w:rFonts w:ascii="仿宋" w:hAnsi="仿宋"/>
          <w:szCs w:val="32"/>
        </w:rPr>
        <w:t>24</w:t>
      </w:r>
      <w:r>
        <w:rPr>
          <w:rFonts w:ascii="仿宋" w:hAnsi="仿宋" w:hint="eastAsia"/>
          <w:szCs w:val="32"/>
        </w:rPr>
        <w:t>分，得分率</w:t>
      </w:r>
      <w:r>
        <w:rPr>
          <w:rFonts w:ascii="仿宋" w:hAnsi="仿宋"/>
          <w:szCs w:val="32"/>
        </w:rPr>
        <w:t>80%</w:t>
      </w:r>
      <w:r>
        <w:rPr>
          <w:rFonts w:ascii="仿宋" w:hAnsi="仿宋" w:hint="eastAsia"/>
          <w:szCs w:val="32"/>
        </w:rPr>
        <w:t>。</w:t>
      </w:r>
    </w:p>
    <w:p w14:paraId="1494913A" w14:textId="77777777" w:rsidR="00520736" w:rsidRPr="00E32326" w:rsidRDefault="00520736" w:rsidP="00E7692F">
      <w:pPr>
        <w:pStyle w:val="2"/>
        <w:ind w:firstLine="640"/>
        <w:rPr>
          <w:rFonts w:ascii="楷体_GB2312" w:eastAsia="楷体_GB2312"/>
          <w:b w:val="0"/>
        </w:rPr>
      </w:pPr>
      <w:bookmarkStart w:id="15" w:name="_Toc2976"/>
      <w:bookmarkStart w:id="16" w:name="_Toc12542"/>
      <w:r w:rsidRPr="00E32326">
        <w:rPr>
          <w:rFonts w:ascii="楷体_GB2312" w:eastAsia="楷体_GB2312" w:hint="eastAsia"/>
          <w:b w:val="0"/>
        </w:rPr>
        <w:t>（四）项目效益情况</w:t>
      </w:r>
      <w:bookmarkEnd w:id="15"/>
      <w:bookmarkEnd w:id="16"/>
    </w:p>
    <w:p w14:paraId="22941572" w14:textId="7B2BB66C" w:rsidR="00520736" w:rsidRDefault="00520736" w:rsidP="00E7692F">
      <w:pPr>
        <w:ind w:firstLineChars="200" w:firstLine="640"/>
        <w:rPr>
          <w:rFonts w:ascii="仿宋"/>
          <w:szCs w:val="32"/>
        </w:rPr>
      </w:pPr>
      <w:r>
        <w:rPr>
          <w:rFonts w:ascii="仿宋" w:hAnsi="仿宋" w:hint="eastAsia"/>
          <w:szCs w:val="32"/>
        </w:rPr>
        <w:t>效益指标总分值</w:t>
      </w:r>
      <w:r>
        <w:rPr>
          <w:rFonts w:ascii="仿宋" w:hAnsi="仿宋"/>
          <w:szCs w:val="32"/>
        </w:rPr>
        <w:t>25</w:t>
      </w:r>
      <w:r>
        <w:rPr>
          <w:rFonts w:ascii="仿宋" w:hAnsi="仿宋" w:hint="eastAsia"/>
          <w:szCs w:val="32"/>
        </w:rPr>
        <w:t>分，得</w:t>
      </w:r>
      <w:r>
        <w:rPr>
          <w:rFonts w:ascii="仿宋" w:hAnsi="仿宋"/>
          <w:szCs w:val="32"/>
        </w:rPr>
        <w:t>22.79</w:t>
      </w:r>
      <w:r>
        <w:rPr>
          <w:rFonts w:ascii="仿宋" w:hAnsi="仿宋" w:hint="eastAsia"/>
          <w:szCs w:val="32"/>
        </w:rPr>
        <w:t>分，得分率</w:t>
      </w:r>
      <w:r>
        <w:rPr>
          <w:rFonts w:ascii="仿宋" w:hAnsi="仿宋"/>
          <w:szCs w:val="32"/>
        </w:rPr>
        <w:t>91.16%</w:t>
      </w:r>
      <w:r>
        <w:rPr>
          <w:rFonts w:ascii="仿宋" w:hAnsi="仿宋" w:hint="eastAsia"/>
          <w:szCs w:val="32"/>
        </w:rPr>
        <w:t>。</w:t>
      </w:r>
    </w:p>
    <w:p w14:paraId="260772CF" w14:textId="77777777" w:rsidR="00520736" w:rsidRDefault="00520736" w:rsidP="00E7692F">
      <w:pPr>
        <w:ind w:firstLineChars="200" w:firstLine="640"/>
        <w:rPr>
          <w:szCs w:val="32"/>
        </w:rPr>
      </w:pPr>
      <w:r>
        <w:rPr>
          <w:rFonts w:hint="eastAsia"/>
          <w:szCs w:val="32"/>
        </w:rPr>
        <w:t>具体得分情况见下表。</w:t>
      </w:r>
    </w:p>
    <w:p w14:paraId="06CC321D" w14:textId="77777777" w:rsidR="00520736" w:rsidRDefault="00520736" w:rsidP="00E7692F">
      <w:pPr>
        <w:jc w:val="center"/>
        <w:rPr>
          <w:rFonts w:ascii="楷体" w:eastAsia="楷体" w:hAnsi="楷体" w:cs="楷体"/>
          <w:sz w:val="28"/>
          <w:szCs w:val="28"/>
        </w:rPr>
      </w:pPr>
      <w:r>
        <w:rPr>
          <w:rFonts w:hint="eastAsia"/>
          <w:b/>
          <w:bCs/>
          <w:sz w:val="28"/>
          <w:szCs w:val="28"/>
        </w:rPr>
        <w:t>南阳市水污染防治工程项目补助资金绩效评价得分情况表</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7"/>
        <w:gridCol w:w="1420"/>
        <w:gridCol w:w="1420"/>
        <w:gridCol w:w="1420"/>
        <w:gridCol w:w="1421"/>
        <w:gridCol w:w="1322"/>
      </w:tblGrid>
      <w:tr w:rsidR="00520736" w:rsidRPr="00917467" w14:paraId="597F8EC1" w14:textId="77777777" w:rsidTr="00917467">
        <w:trPr>
          <w:trHeight w:val="680"/>
        </w:trPr>
        <w:tc>
          <w:tcPr>
            <w:tcW w:w="1297" w:type="dxa"/>
            <w:vAlign w:val="center"/>
          </w:tcPr>
          <w:p w14:paraId="62AB3DE0" w14:textId="77777777" w:rsidR="00520736" w:rsidRPr="00917467" w:rsidRDefault="00520736" w:rsidP="00917467">
            <w:pPr>
              <w:jc w:val="center"/>
              <w:rPr>
                <w:b/>
                <w:bCs/>
                <w:kern w:val="0"/>
                <w:sz w:val="24"/>
              </w:rPr>
            </w:pPr>
            <w:r w:rsidRPr="00917467">
              <w:rPr>
                <w:rFonts w:hint="eastAsia"/>
                <w:b/>
                <w:bCs/>
                <w:kern w:val="0"/>
                <w:sz w:val="24"/>
              </w:rPr>
              <w:lastRenderedPageBreak/>
              <w:t>一级指标</w:t>
            </w:r>
          </w:p>
        </w:tc>
        <w:tc>
          <w:tcPr>
            <w:tcW w:w="1420" w:type="dxa"/>
            <w:vAlign w:val="center"/>
          </w:tcPr>
          <w:p w14:paraId="5E71B52E" w14:textId="77777777" w:rsidR="00520736" w:rsidRPr="00917467" w:rsidRDefault="00520736" w:rsidP="00917467">
            <w:pPr>
              <w:jc w:val="center"/>
              <w:rPr>
                <w:b/>
                <w:bCs/>
                <w:kern w:val="0"/>
                <w:sz w:val="24"/>
              </w:rPr>
            </w:pPr>
            <w:r w:rsidRPr="00917467">
              <w:rPr>
                <w:rFonts w:hint="eastAsia"/>
                <w:b/>
                <w:bCs/>
                <w:kern w:val="0"/>
                <w:sz w:val="24"/>
              </w:rPr>
              <w:t>决策指标</w:t>
            </w:r>
          </w:p>
        </w:tc>
        <w:tc>
          <w:tcPr>
            <w:tcW w:w="1420" w:type="dxa"/>
            <w:vAlign w:val="center"/>
          </w:tcPr>
          <w:p w14:paraId="4B409AC0" w14:textId="77777777" w:rsidR="00520736" w:rsidRPr="00917467" w:rsidRDefault="00520736" w:rsidP="00917467">
            <w:pPr>
              <w:jc w:val="center"/>
              <w:rPr>
                <w:b/>
                <w:bCs/>
                <w:kern w:val="0"/>
                <w:sz w:val="24"/>
              </w:rPr>
            </w:pPr>
            <w:r w:rsidRPr="00917467">
              <w:rPr>
                <w:rFonts w:hint="eastAsia"/>
                <w:b/>
                <w:bCs/>
                <w:kern w:val="0"/>
                <w:sz w:val="24"/>
              </w:rPr>
              <w:t>过程指标</w:t>
            </w:r>
          </w:p>
        </w:tc>
        <w:tc>
          <w:tcPr>
            <w:tcW w:w="1420" w:type="dxa"/>
            <w:vAlign w:val="center"/>
          </w:tcPr>
          <w:p w14:paraId="087D86F4" w14:textId="77777777" w:rsidR="00520736" w:rsidRPr="00917467" w:rsidRDefault="00520736" w:rsidP="00917467">
            <w:pPr>
              <w:jc w:val="center"/>
              <w:rPr>
                <w:b/>
                <w:bCs/>
                <w:kern w:val="0"/>
                <w:sz w:val="24"/>
              </w:rPr>
            </w:pPr>
            <w:r w:rsidRPr="00917467">
              <w:rPr>
                <w:rFonts w:hint="eastAsia"/>
                <w:b/>
                <w:bCs/>
                <w:kern w:val="0"/>
                <w:sz w:val="24"/>
              </w:rPr>
              <w:t>产出指标</w:t>
            </w:r>
          </w:p>
        </w:tc>
        <w:tc>
          <w:tcPr>
            <w:tcW w:w="1421" w:type="dxa"/>
            <w:vAlign w:val="center"/>
          </w:tcPr>
          <w:p w14:paraId="52AEF1E4" w14:textId="77777777" w:rsidR="00520736" w:rsidRPr="00917467" w:rsidRDefault="00520736" w:rsidP="00917467">
            <w:pPr>
              <w:jc w:val="center"/>
              <w:rPr>
                <w:b/>
                <w:bCs/>
                <w:kern w:val="0"/>
                <w:sz w:val="24"/>
              </w:rPr>
            </w:pPr>
            <w:r w:rsidRPr="00917467">
              <w:rPr>
                <w:rFonts w:hint="eastAsia"/>
                <w:b/>
                <w:bCs/>
                <w:kern w:val="0"/>
                <w:sz w:val="24"/>
              </w:rPr>
              <w:t>效益指标</w:t>
            </w:r>
          </w:p>
        </w:tc>
        <w:tc>
          <w:tcPr>
            <w:tcW w:w="1322" w:type="dxa"/>
            <w:vAlign w:val="center"/>
          </w:tcPr>
          <w:p w14:paraId="1C829AF6" w14:textId="77777777" w:rsidR="00520736" w:rsidRPr="00917467" w:rsidRDefault="00520736" w:rsidP="00917467">
            <w:pPr>
              <w:jc w:val="center"/>
              <w:rPr>
                <w:b/>
                <w:bCs/>
                <w:kern w:val="0"/>
                <w:sz w:val="24"/>
              </w:rPr>
            </w:pPr>
            <w:r w:rsidRPr="00917467">
              <w:rPr>
                <w:rFonts w:hint="eastAsia"/>
                <w:b/>
                <w:bCs/>
                <w:kern w:val="0"/>
                <w:sz w:val="24"/>
              </w:rPr>
              <w:t>总分</w:t>
            </w:r>
          </w:p>
        </w:tc>
      </w:tr>
      <w:tr w:rsidR="00520736" w:rsidRPr="00917467" w14:paraId="2D82F7E6" w14:textId="77777777" w:rsidTr="00917467">
        <w:trPr>
          <w:trHeight w:val="567"/>
        </w:trPr>
        <w:tc>
          <w:tcPr>
            <w:tcW w:w="1297" w:type="dxa"/>
            <w:vAlign w:val="center"/>
          </w:tcPr>
          <w:p w14:paraId="0D947595" w14:textId="77777777" w:rsidR="00520736" w:rsidRPr="00917467" w:rsidRDefault="00520736" w:rsidP="00917467">
            <w:pPr>
              <w:jc w:val="center"/>
              <w:rPr>
                <w:kern w:val="0"/>
                <w:sz w:val="24"/>
              </w:rPr>
            </w:pPr>
            <w:r w:rsidRPr="00917467">
              <w:rPr>
                <w:rFonts w:hint="eastAsia"/>
                <w:kern w:val="0"/>
                <w:sz w:val="24"/>
              </w:rPr>
              <w:t>分值</w:t>
            </w:r>
          </w:p>
        </w:tc>
        <w:tc>
          <w:tcPr>
            <w:tcW w:w="1420" w:type="dxa"/>
            <w:vAlign w:val="center"/>
          </w:tcPr>
          <w:p w14:paraId="136F8516" w14:textId="77777777" w:rsidR="00520736" w:rsidRPr="00917467" w:rsidRDefault="00520736" w:rsidP="00917467">
            <w:pPr>
              <w:jc w:val="center"/>
              <w:rPr>
                <w:kern w:val="0"/>
                <w:sz w:val="24"/>
              </w:rPr>
            </w:pPr>
            <w:r w:rsidRPr="00917467">
              <w:rPr>
                <w:kern w:val="0"/>
                <w:sz w:val="24"/>
              </w:rPr>
              <w:t>15.00</w:t>
            </w:r>
          </w:p>
        </w:tc>
        <w:tc>
          <w:tcPr>
            <w:tcW w:w="1420" w:type="dxa"/>
            <w:vAlign w:val="center"/>
          </w:tcPr>
          <w:p w14:paraId="38515A0F" w14:textId="77777777" w:rsidR="00520736" w:rsidRPr="00917467" w:rsidRDefault="00520736" w:rsidP="00917467">
            <w:pPr>
              <w:jc w:val="center"/>
              <w:rPr>
                <w:kern w:val="0"/>
                <w:sz w:val="24"/>
              </w:rPr>
            </w:pPr>
            <w:r w:rsidRPr="00917467">
              <w:rPr>
                <w:kern w:val="0"/>
                <w:sz w:val="24"/>
              </w:rPr>
              <w:t>30.00</w:t>
            </w:r>
          </w:p>
        </w:tc>
        <w:tc>
          <w:tcPr>
            <w:tcW w:w="1420" w:type="dxa"/>
            <w:vAlign w:val="center"/>
          </w:tcPr>
          <w:p w14:paraId="23F8CCB7" w14:textId="77777777" w:rsidR="00520736" w:rsidRPr="00917467" w:rsidRDefault="00520736" w:rsidP="00917467">
            <w:pPr>
              <w:jc w:val="center"/>
              <w:rPr>
                <w:kern w:val="0"/>
                <w:sz w:val="24"/>
              </w:rPr>
            </w:pPr>
            <w:r w:rsidRPr="00917467">
              <w:rPr>
                <w:kern w:val="0"/>
                <w:sz w:val="24"/>
              </w:rPr>
              <w:t>30.00</w:t>
            </w:r>
          </w:p>
        </w:tc>
        <w:tc>
          <w:tcPr>
            <w:tcW w:w="1421" w:type="dxa"/>
            <w:vAlign w:val="center"/>
          </w:tcPr>
          <w:p w14:paraId="1AD2451A" w14:textId="77777777" w:rsidR="00520736" w:rsidRPr="00917467" w:rsidRDefault="00520736" w:rsidP="00917467">
            <w:pPr>
              <w:jc w:val="center"/>
              <w:rPr>
                <w:kern w:val="0"/>
                <w:sz w:val="24"/>
              </w:rPr>
            </w:pPr>
            <w:r w:rsidRPr="00917467">
              <w:rPr>
                <w:kern w:val="0"/>
                <w:sz w:val="24"/>
              </w:rPr>
              <w:t>25.00</w:t>
            </w:r>
          </w:p>
        </w:tc>
        <w:tc>
          <w:tcPr>
            <w:tcW w:w="1322" w:type="dxa"/>
            <w:vAlign w:val="center"/>
          </w:tcPr>
          <w:p w14:paraId="0FB1A7E7" w14:textId="77777777" w:rsidR="00520736" w:rsidRPr="00917467" w:rsidRDefault="00520736" w:rsidP="00917467">
            <w:pPr>
              <w:jc w:val="center"/>
              <w:rPr>
                <w:kern w:val="0"/>
                <w:sz w:val="24"/>
              </w:rPr>
            </w:pPr>
            <w:r w:rsidRPr="00917467">
              <w:rPr>
                <w:kern w:val="0"/>
                <w:sz w:val="24"/>
              </w:rPr>
              <w:t>100.00</w:t>
            </w:r>
          </w:p>
        </w:tc>
      </w:tr>
      <w:tr w:rsidR="00520736" w:rsidRPr="00917467" w14:paraId="4965854E" w14:textId="77777777" w:rsidTr="00917467">
        <w:trPr>
          <w:trHeight w:val="567"/>
        </w:trPr>
        <w:tc>
          <w:tcPr>
            <w:tcW w:w="1297" w:type="dxa"/>
            <w:vAlign w:val="center"/>
          </w:tcPr>
          <w:p w14:paraId="146D0820" w14:textId="77777777" w:rsidR="00520736" w:rsidRPr="00917467" w:rsidRDefault="00520736" w:rsidP="00917467">
            <w:pPr>
              <w:jc w:val="center"/>
              <w:rPr>
                <w:kern w:val="0"/>
                <w:sz w:val="24"/>
              </w:rPr>
            </w:pPr>
            <w:r w:rsidRPr="00917467">
              <w:rPr>
                <w:rFonts w:hint="eastAsia"/>
                <w:kern w:val="0"/>
                <w:sz w:val="24"/>
              </w:rPr>
              <w:t>得分</w:t>
            </w:r>
          </w:p>
        </w:tc>
        <w:tc>
          <w:tcPr>
            <w:tcW w:w="1420" w:type="dxa"/>
            <w:vAlign w:val="center"/>
          </w:tcPr>
          <w:p w14:paraId="35DD77BC" w14:textId="77777777" w:rsidR="00520736" w:rsidRPr="00917467" w:rsidRDefault="00520736" w:rsidP="00917467">
            <w:pPr>
              <w:jc w:val="center"/>
              <w:rPr>
                <w:kern w:val="0"/>
                <w:sz w:val="24"/>
              </w:rPr>
            </w:pPr>
            <w:r w:rsidRPr="00917467">
              <w:rPr>
                <w:kern w:val="0"/>
                <w:sz w:val="24"/>
              </w:rPr>
              <w:t>10.65</w:t>
            </w:r>
          </w:p>
        </w:tc>
        <w:tc>
          <w:tcPr>
            <w:tcW w:w="1420" w:type="dxa"/>
            <w:vAlign w:val="center"/>
          </w:tcPr>
          <w:p w14:paraId="0C474569" w14:textId="77777777" w:rsidR="00520736" w:rsidRPr="00917467" w:rsidRDefault="00520736" w:rsidP="00917467">
            <w:pPr>
              <w:jc w:val="center"/>
              <w:rPr>
                <w:kern w:val="0"/>
                <w:sz w:val="24"/>
              </w:rPr>
            </w:pPr>
            <w:r w:rsidRPr="00917467">
              <w:rPr>
                <w:kern w:val="0"/>
                <w:sz w:val="24"/>
              </w:rPr>
              <w:t>21.52</w:t>
            </w:r>
          </w:p>
        </w:tc>
        <w:tc>
          <w:tcPr>
            <w:tcW w:w="1420" w:type="dxa"/>
            <w:vAlign w:val="center"/>
          </w:tcPr>
          <w:p w14:paraId="253E8604" w14:textId="77777777" w:rsidR="00520736" w:rsidRPr="00917467" w:rsidRDefault="00520736" w:rsidP="00917467">
            <w:pPr>
              <w:jc w:val="center"/>
              <w:rPr>
                <w:kern w:val="0"/>
                <w:sz w:val="24"/>
              </w:rPr>
            </w:pPr>
            <w:r w:rsidRPr="00917467">
              <w:rPr>
                <w:kern w:val="0"/>
                <w:sz w:val="24"/>
              </w:rPr>
              <w:t>24.00</w:t>
            </w:r>
          </w:p>
        </w:tc>
        <w:tc>
          <w:tcPr>
            <w:tcW w:w="1421" w:type="dxa"/>
            <w:vAlign w:val="center"/>
          </w:tcPr>
          <w:p w14:paraId="6AA81C1F" w14:textId="77777777" w:rsidR="00520736" w:rsidRPr="00917467" w:rsidRDefault="00520736" w:rsidP="00917467">
            <w:pPr>
              <w:jc w:val="center"/>
              <w:rPr>
                <w:kern w:val="0"/>
                <w:sz w:val="24"/>
              </w:rPr>
            </w:pPr>
            <w:r w:rsidRPr="00917467">
              <w:rPr>
                <w:kern w:val="0"/>
                <w:sz w:val="24"/>
              </w:rPr>
              <w:t>22.79</w:t>
            </w:r>
          </w:p>
        </w:tc>
        <w:tc>
          <w:tcPr>
            <w:tcW w:w="1322" w:type="dxa"/>
            <w:vAlign w:val="center"/>
          </w:tcPr>
          <w:p w14:paraId="4E4BB4D7" w14:textId="77777777" w:rsidR="00520736" w:rsidRPr="00917467" w:rsidRDefault="00520736" w:rsidP="00917467">
            <w:pPr>
              <w:jc w:val="center"/>
              <w:rPr>
                <w:kern w:val="0"/>
                <w:sz w:val="24"/>
              </w:rPr>
            </w:pPr>
            <w:r w:rsidRPr="00917467">
              <w:rPr>
                <w:kern w:val="0"/>
                <w:sz w:val="24"/>
              </w:rPr>
              <w:t>78.96</w:t>
            </w:r>
          </w:p>
        </w:tc>
      </w:tr>
      <w:tr w:rsidR="00520736" w:rsidRPr="00917467" w14:paraId="0536017F" w14:textId="77777777" w:rsidTr="00917467">
        <w:trPr>
          <w:trHeight w:val="567"/>
        </w:trPr>
        <w:tc>
          <w:tcPr>
            <w:tcW w:w="1297" w:type="dxa"/>
            <w:vAlign w:val="center"/>
          </w:tcPr>
          <w:p w14:paraId="56B7DC13" w14:textId="77777777" w:rsidR="00520736" w:rsidRPr="00917467" w:rsidRDefault="00520736" w:rsidP="00917467">
            <w:pPr>
              <w:jc w:val="center"/>
              <w:rPr>
                <w:kern w:val="0"/>
                <w:sz w:val="24"/>
              </w:rPr>
            </w:pPr>
            <w:r w:rsidRPr="00917467">
              <w:rPr>
                <w:rFonts w:hint="eastAsia"/>
                <w:kern w:val="0"/>
                <w:sz w:val="24"/>
              </w:rPr>
              <w:t>得分率</w:t>
            </w:r>
          </w:p>
        </w:tc>
        <w:tc>
          <w:tcPr>
            <w:tcW w:w="1420" w:type="dxa"/>
            <w:vAlign w:val="center"/>
          </w:tcPr>
          <w:p w14:paraId="66829D77" w14:textId="77777777" w:rsidR="00520736" w:rsidRPr="00917467" w:rsidRDefault="00520736" w:rsidP="00917467">
            <w:pPr>
              <w:jc w:val="center"/>
              <w:rPr>
                <w:kern w:val="0"/>
                <w:sz w:val="24"/>
              </w:rPr>
            </w:pPr>
            <w:r w:rsidRPr="00917467">
              <w:rPr>
                <w:kern w:val="0"/>
                <w:sz w:val="24"/>
              </w:rPr>
              <w:t>71.00%</w:t>
            </w:r>
          </w:p>
        </w:tc>
        <w:tc>
          <w:tcPr>
            <w:tcW w:w="1420" w:type="dxa"/>
            <w:vAlign w:val="center"/>
          </w:tcPr>
          <w:p w14:paraId="3BDFD2E5" w14:textId="77777777" w:rsidR="00520736" w:rsidRPr="00917467" w:rsidRDefault="00520736" w:rsidP="00917467">
            <w:pPr>
              <w:jc w:val="center"/>
              <w:rPr>
                <w:kern w:val="0"/>
                <w:sz w:val="24"/>
              </w:rPr>
            </w:pPr>
            <w:r w:rsidRPr="00917467">
              <w:rPr>
                <w:kern w:val="0"/>
                <w:sz w:val="24"/>
              </w:rPr>
              <w:t>71.73%</w:t>
            </w:r>
          </w:p>
        </w:tc>
        <w:tc>
          <w:tcPr>
            <w:tcW w:w="1420" w:type="dxa"/>
            <w:vAlign w:val="center"/>
          </w:tcPr>
          <w:p w14:paraId="14AA6DEA" w14:textId="77777777" w:rsidR="00520736" w:rsidRPr="00917467" w:rsidRDefault="00520736" w:rsidP="00917467">
            <w:pPr>
              <w:jc w:val="center"/>
              <w:rPr>
                <w:kern w:val="0"/>
                <w:sz w:val="24"/>
              </w:rPr>
            </w:pPr>
            <w:r w:rsidRPr="00917467">
              <w:rPr>
                <w:kern w:val="0"/>
                <w:sz w:val="24"/>
              </w:rPr>
              <w:t>80.00%</w:t>
            </w:r>
          </w:p>
        </w:tc>
        <w:tc>
          <w:tcPr>
            <w:tcW w:w="1421" w:type="dxa"/>
            <w:vAlign w:val="center"/>
          </w:tcPr>
          <w:p w14:paraId="694771DD" w14:textId="77777777" w:rsidR="00520736" w:rsidRPr="00917467" w:rsidRDefault="00520736" w:rsidP="00917467">
            <w:pPr>
              <w:jc w:val="center"/>
              <w:rPr>
                <w:kern w:val="0"/>
                <w:sz w:val="24"/>
              </w:rPr>
            </w:pPr>
            <w:r w:rsidRPr="00917467">
              <w:rPr>
                <w:kern w:val="0"/>
                <w:sz w:val="24"/>
              </w:rPr>
              <w:t>91.16%</w:t>
            </w:r>
          </w:p>
        </w:tc>
        <w:tc>
          <w:tcPr>
            <w:tcW w:w="1322" w:type="dxa"/>
            <w:vAlign w:val="center"/>
          </w:tcPr>
          <w:p w14:paraId="74E80C8A" w14:textId="77777777" w:rsidR="00520736" w:rsidRPr="00917467" w:rsidRDefault="00520736" w:rsidP="00917467">
            <w:pPr>
              <w:jc w:val="center"/>
              <w:rPr>
                <w:kern w:val="0"/>
                <w:sz w:val="24"/>
              </w:rPr>
            </w:pPr>
            <w:r w:rsidRPr="00917467">
              <w:rPr>
                <w:kern w:val="0"/>
                <w:sz w:val="24"/>
              </w:rPr>
              <w:t>78.96%</w:t>
            </w:r>
          </w:p>
        </w:tc>
      </w:tr>
    </w:tbl>
    <w:p w14:paraId="13CFB2BB" w14:textId="77777777" w:rsidR="00DC03EA" w:rsidRPr="00E32326" w:rsidRDefault="00520736" w:rsidP="00DC03EA">
      <w:pPr>
        <w:ind w:firstLineChars="200" w:firstLine="640"/>
        <w:rPr>
          <w:rFonts w:ascii="黑体" w:eastAsia="黑体" w:hAnsi="黑体" w:cs="黑体"/>
          <w:bCs/>
          <w:szCs w:val="32"/>
        </w:rPr>
      </w:pPr>
      <w:bookmarkStart w:id="17" w:name="_Hlk89764005"/>
      <w:r w:rsidRPr="00E32326">
        <w:rPr>
          <w:rFonts w:ascii="黑体" w:eastAsia="黑体" w:hAnsi="黑体" w:cs="黑体" w:hint="eastAsia"/>
          <w:kern w:val="44"/>
          <w:szCs w:val="32"/>
        </w:rPr>
        <w:t>四</w:t>
      </w:r>
      <w:r w:rsidRPr="00E32326">
        <w:rPr>
          <w:rFonts w:ascii="宋体" w:eastAsia="宋体" w:hAnsi="宋体" w:cs="黑体" w:hint="eastAsia"/>
          <w:kern w:val="44"/>
          <w:szCs w:val="32"/>
        </w:rPr>
        <w:t>、</w:t>
      </w:r>
      <w:bookmarkEnd w:id="17"/>
      <w:r w:rsidR="00DC03EA" w:rsidRPr="00E32326">
        <w:rPr>
          <w:rFonts w:ascii="黑体" w:eastAsia="黑体" w:hAnsi="黑体" w:cs="黑体" w:hint="eastAsia"/>
          <w:bCs/>
          <w:szCs w:val="32"/>
        </w:rPr>
        <w:t>项目实施过程中存在的问题</w:t>
      </w:r>
    </w:p>
    <w:p w14:paraId="22086DD4" w14:textId="74DB1CE6" w:rsidR="00DC03EA" w:rsidRPr="00E32326" w:rsidRDefault="00DC03EA" w:rsidP="00DC03EA">
      <w:pPr>
        <w:pStyle w:val="a0"/>
        <w:spacing w:after="0"/>
        <w:ind w:firstLineChars="200" w:firstLine="640"/>
        <w:rPr>
          <w:rFonts w:ascii="楷体_GB2312" w:eastAsia="楷体_GB2312" w:hAnsi="楷体"/>
          <w:bCs/>
          <w:sz w:val="32"/>
          <w:szCs w:val="32"/>
        </w:rPr>
      </w:pPr>
      <w:r>
        <w:rPr>
          <w:rFonts w:ascii="楷体_GB2312" w:eastAsia="楷体_GB2312" w:hAnsi="楷体" w:hint="eastAsia"/>
          <w:bCs/>
          <w:sz w:val="32"/>
          <w:szCs w:val="32"/>
        </w:rPr>
        <w:t>1</w:t>
      </w:r>
      <w:r>
        <w:rPr>
          <w:rFonts w:ascii="楷体_GB2312" w:eastAsia="楷体_GB2312" w:hAnsi="楷体"/>
          <w:bCs/>
          <w:sz w:val="32"/>
          <w:szCs w:val="32"/>
        </w:rPr>
        <w:t>.</w:t>
      </w:r>
      <w:r w:rsidRPr="00E32326">
        <w:rPr>
          <w:rFonts w:ascii="楷体_GB2312" w:eastAsia="楷体_GB2312" w:hAnsi="楷体" w:hint="eastAsia"/>
          <w:bCs/>
          <w:sz w:val="32"/>
          <w:szCs w:val="32"/>
        </w:rPr>
        <w:t>绩效目标编制不够完整</w:t>
      </w:r>
    </w:p>
    <w:p w14:paraId="476A9BB0" w14:textId="014909B9" w:rsidR="00520736" w:rsidRPr="00DC03EA" w:rsidRDefault="00DC03EA" w:rsidP="00DC03EA">
      <w:pPr>
        <w:pStyle w:val="a0"/>
        <w:spacing w:after="0"/>
        <w:ind w:firstLineChars="200" w:firstLine="640"/>
        <w:rPr>
          <w:rFonts w:ascii="仿宋" w:eastAsia="仿宋" w:hAnsi="仿宋"/>
          <w:sz w:val="32"/>
          <w:szCs w:val="32"/>
        </w:rPr>
      </w:pPr>
      <w:r>
        <w:rPr>
          <w:rFonts w:ascii="楷体_GB2312" w:eastAsia="楷体_GB2312" w:hAnsi="楷体" w:hint="eastAsia"/>
          <w:bCs/>
          <w:sz w:val="32"/>
          <w:szCs w:val="32"/>
        </w:rPr>
        <w:t>2</w:t>
      </w:r>
      <w:r>
        <w:rPr>
          <w:rFonts w:ascii="楷体_GB2312" w:eastAsia="楷体_GB2312" w:hAnsi="楷体"/>
          <w:bCs/>
          <w:sz w:val="32"/>
          <w:szCs w:val="32"/>
        </w:rPr>
        <w:t>.</w:t>
      </w:r>
      <w:r w:rsidRPr="00E32326">
        <w:rPr>
          <w:rFonts w:ascii="楷体_GB2312" w:eastAsia="楷体_GB2312" w:hAnsi="楷体" w:hint="eastAsia"/>
          <w:bCs/>
          <w:sz w:val="32"/>
          <w:szCs w:val="32"/>
        </w:rPr>
        <w:t>项目实施成效未能完全达到达预期目标</w:t>
      </w:r>
    </w:p>
    <w:p w14:paraId="2AE18C79" w14:textId="77777777" w:rsidR="00DC03EA" w:rsidRPr="00E32326" w:rsidRDefault="00520736" w:rsidP="00DC03EA">
      <w:pPr>
        <w:tabs>
          <w:tab w:val="left" w:pos="1131"/>
        </w:tabs>
        <w:ind w:left="748" w:rightChars="-50" w:right="-160"/>
        <w:rPr>
          <w:rFonts w:ascii="黑体" w:eastAsia="黑体" w:hAnsi="黑体" w:cs="黑体"/>
          <w:bCs/>
          <w:szCs w:val="32"/>
        </w:rPr>
      </w:pPr>
      <w:r w:rsidRPr="00E32326">
        <w:rPr>
          <w:rFonts w:ascii="黑体" w:eastAsia="黑体" w:hAnsi="黑体" w:cs="黑体" w:hint="eastAsia"/>
          <w:bCs/>
          <w:szCs w:val="32"/>
        </w:rPr>
        <w:t>五、</w:t>
      </w:r>
      <w:r w:rsidR="00DC03EA" w:rsidRPr="00E32326">
        <w:rPr>
          <w:rFonts w:ascii="黑体" w:eastAsia="黑体" w:hAnsi="黑体" w:cs="黑体" w:hint="eastAsia"/>
          <w:bCs/>
          <w:szCs w:val="32"/>
        </w:rPr>
        <w:t>建议</w:t>
      </w:r>
    </w:p>
    <w:p w14:paraId="29D6BE2C" w14:textId="77777777" w:rsidR="00DC03EA" w:rsidRPr="00E32326" w:rsidRDefault="00DC03EA" w:rsidP="00DC03EA">
      <w:pPr>
        <w:pStyle w:val="a0"/>
        <w:spacing w:after="0"/>
        <w:ind w:firstLineChars="200" w:firstLine="640"/>
        <w:rPr>
          <w:rFonts w:ascii="楷体_GB2312" w:eastAsia="楷体_GB2312" w:hAnsi="楷体"/>
          <w:bCs/>
          <w:sz w:val="32"/>
          <w:szCs w:val="32"/>
        </w:rPr>
      </w:pPr>
      <w:r w:rsidRPr="00E32326">
        <w:rPr>
          <w:rFonts w:ascii="楷体_GB2312" w:eastAsia="楷体_GB2312" w:hAnsi="楷体" w:hint="eastAsia"/>
          <w:bCs/>
          <w:sz w:val="32"/>
          <w:szCs w:val="32"/>
        </w:rPr>
        <w:t>（一）增强绩效意识，提升管理质量</w:t>
      </w:r>
    </w:p>
    <w:p w14:paraId="2E4A6B03" w14:textId="77777777" w:rsidR="00DC03EA" w:rsidRDefault="00DC03EA" w:rsidP="00DC03EA">
      <w:pPr>
        <w:pStyle w:val="a0"/>
        <w:spacing w:after="0"/>
        <w:ind w:firstLineChars="200" w:firstLine="640"/>
        <w:rPr>
          <w:rFonts w:ascii="仿宋" w:eastAsia="仿宋" w:hAnsi="仿宋"/>
          <w:sz w:val="32"/>
          <w:szCs w:val="32"/>
        </w:rPr>
      </w:pPr>
      <w:r>
        <w:rPr>
          <w:rFonts w:ascii="仿宋" w:eastAsia="仿宋" w:hAnsi="仿宋" w:hint="eastAsia"/>
          <w:sz w:val="32"/>
          <w:szCs w:val="32"/>
        </w:rPr>
        <w:t>建议项目单位夯实绩效主体责任，落实资金全过程绩效监管措施，提升财政资金绩效管理水平，发现问题及时纠偏，切实增强“花钱必问效，无效必问责”的责任意识，提升财政资金的综合效益。</w:t>
      </w:r>
    </w:p>
    <w:p w14:paraId="2FCBAC6B" w14:textId="77777777" w:rsidR="00DC03EA" w:rsidRPr="00E32326" w:rsidRDefault="00DC03EA" w:rsidP="00DC03EA">
      <w:pPr>
        <w:pStyle w:val="a0"/>
        <w:spacing w:after="0"/>
        <w:ind w:firstLineChars="200" w:firstLine="640"/>
        <w:rPr>
          <w:rFonts w:ascii="楷体_GB2312" w:eastAsia="楷体_GB2312" w:hAnsi="楷体"/>
          <w:bCs/>
          <w:sz w:val="32"/>
          <w:szCs w:val="32"/>
        </w:rPr>
      </w:pPr>
      <w:r w:rsidRPr="00E32326">
        <w:rPr>
          <w:rFonts w:ascii="楷体_GB2312" w:eastAsia="楷体_GB2312" w:hAnsi="楷体" w:hint="eastAsia"/>
          <w:bCs/>
          <w:sz w:val="32"/>
          <w:szCs w:val="32"/>
        </w:rPr>
        <w:t>（二）抓关键促整改，落实目标任务</w:t>
      </w:r>
    </w:p>
    <w:p w14:paraId="33A24A1B" w14:textId="77777777" w:rsidR="00DC03EA" w:rsidRDefault="00DC03EA" w:rsidP="00DC03EA">
      <w:pPr>
        <w:pStyle w:val="a0"/>
        <w:spacing w:after="0"/>
        <w:ind w:firstLineChars="200" w:firstLine="640"/>
        <w:rPr>
          <w:rFonts w:ascii="仿宋" w:eastAsia="仿宋" w:hAnsi="仿宋"/>
          <w:sz w:val="32"/>
          <w:szCs w:val="32"/>
        </w:rPr>
      </w:pPr>
      <w:r>
        <w:rPr>
          <w:rFonts w:ascii="仿宋" w:eastAsia="仿宋" w:hAnsi="仿宋" w:hint="eastAsia"/>
          <w:sz w:val="32"/>
          <w:szCs w:val="32"/>
        </w:rPr>
        <w:t>针对项目效果未达到规划设计目标问题，建议项目主管部门认真整改，查清原因，及时改进完善，圆满完成“河流断面水质达到规划类别的比例为</w:t>
      </w:r>
      <w:r>
        <w:rPr>
          <w:rFonts w:ascii="仿宋" w:eastAsia="仿宋" w:hAnsi="仿宋"/>
          <w:sz w:val="32"/>
          <w:szCs w:val="32"/>
        </w:rPr>
        <w:t>100%</w:t>
      </w: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的目标任务。</w:t>
      </w:r>
    </w:p>
    <w:p w14:paraId="6CF3FA1F" w14:textId="3F5F1D8B" w:rsidR="00DC03EA" w:rsidRPr="00E32326" w:rsidRDefault="00DC03EA" w:rsidP="00DC03EA">
      <w:pPr>
        <w:ind w:firstLineChars="200" w:firstLine="640"/>
        <w:rPr>
          <w:rFonts w:ascii="黑体" w:eastAsia="黑体" w:hAnsi="黑体"/>
          <w:bCs/>
        </w:rPr>
      </w:pPr>
      <w:r>
        <w:rPr>
          <w:rFonts w:ascii="黑体" w:eastAsia="黑体" w:hAnsi="黑体" w:hint="eastAsia"/>
          <w:bCs/>
        </w:rPr>
        <w:t>六</w:t>
      </w:r>
      <w:r w:rsidRPr="00E32326">
        <w:rPr>
          <w:rFonts w:ascii="黑体" w:eastAsia="黑体" w:hAnsi="黑体" w:hint="eastAsia"/>
          <w:bCs/>
        </w:rPr>
        <w:t>、综合评价结论</w:t>
      </w:r>
    </w:p>
    <w:p w14:paraId="3F4F4B9A" w14:textId="3EFD408E" w:rsidR="00DC03EA" w:rsidRDefault="00DC03EA" w:rsidP="00DC03EA">
      <w:pPr>
        <w:ind w:firstLineChars="200" w:firstLine="640"/>
        <w:rPr>
          <w:rFonts w:ascii="仿宋"/>
          <w:szCs w:val="32"/>
        </w:rPr>
      </w:pPr>
      <w:r>
        <w:rPr>
          <w:rFonts w:ascii="仿宋" w:hAnsi="仿宋" w:hint="eastAsia"/>
          <w:bCs/>
          <w:szCs w:val="32"/>
        </w:rPr>
        <w:t>根据评价指标体系和评价标准，通过数据采集、现场调研等形式，</w:t>
      </w:r>
      <w:r>
        <w:rPr>
          <w:rFonts w:ascii="仿宋" w:hAnsi="仿宋" w:hint="eastAsia"/>
          <w:szCs w:val="32"/>
        </w:rPr>
        <w:t>对“南阳市水污染防治工程项目补助资金”进行了客观评价，该项目综合评价得分为</w:t>
      </w:r>
      <w:r>
        <w:rPr>
          <w:rFonts w:ascii="仿宋" w:hAnsi="仿宋"/>
          <w:szCs w:val="32"/>
        </w:rPr>
        <w:t>78.96</w:t>
      </w:r>
      <w:r>
        <w:rPr>
          <w:rFonts w:ascii="仿宋" w:hAnsi="仿宋" w:hint="eastAsia"/>
          <w:szCs w:val="32"/>
        </w:rPr>
        <w:t>分，根据《南阳市市级预算项目支出绩效评价管理办法》（宛财办〔</w:t>
      </w:r>
      <w:r>
        <w:rPr>
          <w:rFonts w:ascii="仿宋" w:hAnsi="仿宋"/>
          <w:szCs w:val="32"/>
        </w:rPr>
        <w:t>2020</w:t>
      </w:r>
      <w:r>
        <w:rPr>
          <w:rFonts w:ascii="仿宋" w:hAnsi="仿宋" w:hint="eastAsia"/>
          <w:szCs w:val="32"/>
        </w:rPr>
        <w:t>〕</w:t>
      </w:r>
      <w:r>
        <w:rPr>
          <w:rFonts w:ascii="仿宋" w:hAnsi="仿宋"/>
          <w:szCs w:val="32"/>
        </w:rPr>
        <w:lastRenderedPageBreak/>
        <w:t>35</w:t>
      </w:r>
      <w:r>
        <w:rPr>
          <w:rFonts w:ascii="仿宋" w:hAnsi="仿宋" w:hint="eastAsia"/>
          <w:szCs w:val="32"/>
        </w:rPr>
        <w:t>号）规定的“优、良、中、差”的绩效评价等级标准，该项目绩效评价等级为</w:t>
      </w:r>
      <w:r>
        <w:rPr>
          <w:rFonts w:ascii="仿宋" w:hint="eastAsia"/>
          <w:szCs w:val="32"/>
        </w:rPr>
        <w:t>“</w:t>
      </w:r>
      <w:r>
        <w:rPr>
          <w:rFonts w:ascii="仿宋" w:hAnsi="仿宋" w:hint="eastAsia"/>
          <w:szCs w:val="32"/>
        </w:rPr>
        <w:t>中</w:t>
      </w:r>
      <w:r>
        <w:rPr>
          <w:rFonts w:ascii="仿宋" w:hint="eastAsia"/>
          <w:szCs w:val="32"/>
        </w:rPr>
        <w:t>”</w:t>
      </w:r>
      <w:r>
        <w:rPr>
          <w:rFonts w:ascii="仿宋" w:hAnsi="仿宋" w:hint="eastAsia"/>
          <w:szCs w:val="32"/>
        </w:rPr>
        <w:t>。</w:t>
      </w:r>
    </w:p>
    <w:p w14:paraId="0581963B" w14:textId="14A25703" w:rsidR="00520736" w:rsidRPr="00E7692F" w:rsidRDefault="00520736" w:rsidP="00E7692F">
      <w:pPr>
        <w:rPr>
          <w:rFonts w:ascii="仿宋_GB2312" w:eastAsia="仿宋_GB2312" w:hAnsi="Calibri"/>
          <w:sz w:val="28"/>
          <w:szCs w:val="28"/>
        </w:rPr>
      </w:pPr>
    </w:p>
    <w:sectPr w:rsidR="00520736" w:rsidRPr="00E7692F" w:rsidSect="009C7EA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6D0B3" w14:textId="77777777" w:rsidR="002D3994" w:rsidRDefault="002D3994" w:rsidP="009C7EA0">
      <w:r>
        <w:separator/>
      </w:r>
    </w:p>
  </w:endnote>
  <w:endnote w:type="continuationSeparator" w:id="0">
    <w:p w14:paraId="060D98C1" w14:textId="77777777" w:rsidR="002D3994" w:rsidRDefault="002D3994" w:rsidP="009C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
    <w:altName w:val="Calibri"/>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微软雅黑"/>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807D" w14:textId="77777777" w:rsidR="00520736" w:rsidRDefault="0052073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AEB6" w14:textId="77777777" w:rsidR="00520736" w:rsidRDefault="00CB4433">
    <w:pPr>
      <w:pStyle w:val="a5"/>
      <w:jc w:val="center"/>
    </w:pPr>
    <w:r>
      <w:fldChar w:fldCharType="begin"/>
    </w:r>
    <w:r>
      <w:instrText>PAGE   \* MERGEFORMAT</w:instrText>
    </w:r>
    <w:r>
      <w:fldChar w:fldCharType="separate"/>
    </w:r>
    <w:r w:rsidR="00520736" w:rsidRPr="005C3B26">
      <w:rPr>
        <w:noProof/>
        <w:lang w:val="zh-CN"/>
      </w:rPr>
      <w:t>1</w:t>
    </w:r>
    <w:r>
      <w:rPr>
        <w:noProof/>
        <w:lang w:val="zh-CN"/>
      </w:rPr>
      <w:fldChar w:fldCharType="end"/>
    </w:r>
  </w:p>
  <w:p w14:paraId="7DAE2E2A" w14:textId="77777777" w:rsidR="00520736" w:rsidRDefault="0052073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BFAC" w14:textId="77777777" w:rsidR="00520736" w:rsidRDefault="005207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00F92" w14:textId="77777777" w:rsidR="002D3994" w:rsidRDefault="002D3994" w:rsidP="009C7EA0">
      <w:r>
        <w:separator/>
      </w:r>
    </w:p>
  </w:footnote>
  <w:footnote w:type="continuationSeparator" w:id="0">
    <w:p w14:paraId="66F41D7E" w14:textId="77777777" w:rsidR="002D3994" w:rsidRDefault="002D3994" w:rsidP="009C7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6722" w14:textId="77777777" w:rsidR="00520736" w:rsidRDefault="0052073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15B5" w14:textId="77777777" w:rsidR="00520736" w:rsidRDefault="00520736" w:rsidP="00E7692F">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475E" w14:textId="77777777" w:rsidR="00520736" w:rsidRDefault="0052073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3B2A"/>
    <w:rsid w:val="00001883"/>
    <w:rsid w:val="00007837"/>
    <w:rsid w:val="00064187"/>
    <w:rsid w:val="00084C3F"/>
    <w:rsid w:val="000868B5"/>
    <w:rsid w:val="00092B64"/>
    <w:rsid w:val="000E18BF"/>
    <w:rsid w:val="00104662"/>
    <w:rsid w:val="00184BB7"/>
    <w:rsid w:val="001A3446"/>
    <w:rsid w:val="001B29E9"/>
    <w:rsid w:val="001C5522"/>
    <w:rsid w:val="002001C6"/>
    <w:rsid w:val="002B5A4E"/>
    <w:rsid w:val="002C3984"/>
    <w:rsid w:val="002D3994"/>
    <w:rsid w:val="00323B58"/>
    <w:rsid w:val="0035469C"/>
    <w:rsid w:val="00383D53"/>
    <w:rsid w:val="003F54AB"/>
    <w:rsid w:val="003F6D2A"/>
    <w:rsid w:val="004432A5"/>
    <w:rsid w:val="00482D50"/>
    <w:rsid w:val="0049528B"/>
    <w:rsid w:val="004B1FF7"/>
    <w:rsid w:val="004D301C"/>
    <w:rsid w:val="00506F1F"/>
    <w:rsid w:val="00520736"/>
    <w:rsid w:val="00570982"/>
    <w:rsid w:val="00575E45"/>
    <w:rsid w:val="00584320"/>
    <w:rsid w:val="005953F8"/>
    <w:rsid w:val="005C3B26"/>
    <w:rsid w:val="005D3B2A"/>
    <w:rsid w:val="00603324"/>
    <w:rsid w:val="00621808"/>
    <w:rsid w:val="006376A9"/>
    <w:rsid w:val="006503AC"/>
    <w:rsid w:val="00666D69"/>
    <w:rsid w:val="006A072F"/>
    <w:rsid w:val="006A58E8"/>
    <w:rsid w:val="006A6686"/>
    <w:rsid w:val="006B2723"/>
    <w:rsid w:val="00703CE8"/>
    <w:rsid w:val="00711068"/>
    <w:rsid w:val="00727459"/>
    <w:rsid w:val="0076012D"/>
    <w:rsid w:val="007B29A4"/>
    <w:rsid w:val="007E69C4"/>
    <w:rsid w:val="00873650"/>
    <w:rsid w:val="00917467"/>
    <w:rsid w:val="00972686"/>
    <w:rsid w:val="00987D8B"/>
    <w:rsid w:val="009C1ABD"/>
    <w:rsid w:val="009C7EA0"/>
    <w:rsid w:val="00A40D65"/>
    <w:rsid w:val="00A42575"/>
    <w:rsid w:val="00AA357B"/>
    <w:rsid w:val="00AD3C0D"/>
    <w:rsid w:val="00B30CDE"/>
    <w:rsid w:val="00B90CAA"/>
    <w:rsid w:val="00BC4577"/>
    <w:rsid w:val="00BF1B6A"/>
    <w:rsid w:val="00C32B83"/>
    <w:rsid w:val="00C96F23"/>
    <w:rsid w:val="00CB4433"/>
    <w:rsid w:val="00CD481B"/>
    <w:rsid w:val="00D575BF"/>
    <w:rsid w:val="00D6363C"/>
    <w:rsid w:val="00DC03EA"/>
    <w:rsid w:val="00DF7845"/>
    <w:rsid w:val="00E21F7E"/>
    <w:rsid w:val="00E32326"/>
    <w:rsid w:val="00E40744"/>
    <w:rsid w:val="00E6095F"/>
    <w:rsid w:val="00E7692F"/>
    <w:rsid w:val="00EF2AB5"/>
    <w:rsid w:val="00F10D8F"/>
    <w:rsid w:val="00FA4373"/>
    <w:rsid w:val="164C2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12F538"/>
  <w15:docId w15:val="{D5A070C0-4484-49F1-8A1B-C8CB6840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 w:eastAsia="宋体" w:hAns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9C7EA0"/>
    <w:pPr>
      <w:widowControl w:val="0"/>
      <w:jc w:val="both"/>
    </w:pPr>
    <w:rPr>
      <w:rFonts w:ascii="Times New Roman" w:eastAsia="仿宋" w:hAnsi="Times New Roman"/>
      <w:kern w:val="2"/>
      <w:sz w:val="32"/>
      <w:szCs w:val="24"/>
    </w:rPr>
  </w:style>
  <w:style w:type="paragraph" w:styleId="1">
    <w:name w:val="heading 1"/>
    <w:basedOn w:val="a"/>
    <w:next w:val="a"/>
    <w:link w:val="10"/>
    <w:uiPriority w:val="99"/>
    <w:qFormat/>
    <w:rsid w:val="009C7EA0"/>
    <w:pPr>
      <w:keepNext/>
      <w:keepLines/>
      <w:ind w:firstLineChars="200" w:firstLine="720"/>
      <w:outlineLvl w:val="0"/>
    </w:pPr>
    <w:rPr>
      <w:rFonts w:eastAsia="黑体"/>
      <w:kern w:val="44"/>
    </w:rPr>
  </w:style>
  <w:style w:type="paragraph" w:styleId="2">
    <w:name w:val="heading 2"/>
    <w:basedOn w:val="a"/>
    <w:next w:val="a"/>
    <w:link w:val="20"/>
    <w:uiPriority w:val="99"/>
    <w:qFormat/>
    <w:rsid w:val="009C7EA0"/>
    <w:pPr>
      <w:keepNext/>
      <w:keepLines/>
      <w:ind w:firstLineChars="200" w:firstLine="720"/>
      <w:outlineLvl w:val="1"/>
    </w:pPr>
    <w:rPr>
      <w:rFonts w:eastAsia="楷体"/>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9C7EA0"/>
    <w:rPr>
      <w:rFonts w:ascii="Times New Roman" w:eastAsia="黑体" w:hAnsi="Times New Roman" w:cs="Times New Roman"/>
      <w:kern w:val="44"/>
      <w:sz w:val="24"/>
      <w:szCs w:val="24"/>
    </w:rPr>
  </w:style>
  <w:style w:type="character" w:customStyle="1" w:styleId="20">
    <w:name w:val="标题 2 字符"/>
    <w:link w:val="2"/>
    <w:uiPriority w:val="99"/>
    <w:locked/>
    <w:rsid w:val="009C7EA0"/>
    <w:rPr>
      <w:rFonts w:ascii="Times New Roman" w:eastAsia="楷体" w:hAnsi="Times New Roman" w:cs="Times New Roman"/>
      <w:b/>
      <w:sz w:val="24"/>
      <w:szCs w:val="24"/>
    </w:rPr>
  </w:style>
  <w:style w:type="paragraph" w:styleId="a0">
    <w:name w:val="Body Text"/>
    <w:basedOn w:val="a"/>
    <w:link w:val="a4"/>
    <w:uiPriority w:val="99"/>
    <w:rsid w:val="009C7EA0"/>
    <w:pPr>
      <w:spacing w:after="120"/>
    </w:pPr>
    <w:rPr>
      <w:rFonts w:ascii="Calibri" w:eastAsia="宋体" w:hAnsi="Calibri"/>
      <w:sz w:val="21"/>
      <w:szCs w:val="22"/>
    </w:rPr>
  </w:style>
  <w:style w:type="character" w:customStyle="1" w:styleId="a4">
    <w:name w:val="正文文本 字符"/>
    <w:link w:val="a0"/>
    <w:uiPriority w:val="99"/>
    <w:locked/>
    <w:rsid w:val="009C7EA0"/>
    <w:rPr>
      <w:rFonts w:ascii="Calibri" w:eastAsia="宋体" w:hAnsi="Calibri" w:cs="Times New Roman"/>
    </w:rPr>
  </w:style>
  <w:style w:type="paragraph" w:styleId="a5">
    <w:name w:val="footer"/>
    <w:basedOn w:val="a"/>
    <w:link w:val="a6"/>
    <w:uiPriority w:val="99"/>
    <w:rsid w:val="009C7EA0"/>
    <w:pPr>
      <w:tabs>
        <w:tab w:val="center" w:pos="4153"/>
        <w:tab w:val="right" w:pos="8306"/>
      </w:tabs>
      <w:snapToGrid w:val="0"/>
      <w:jc w:val="left"/>
    </w:pPr>
    <w:rPr>
      <w:sz w:val="18"/>
      <w:szCs w:val="18"/>
    </w:rPr>
  </w:style>
  <w:style w:type="character" w:customStyle="1" w:styleId="a6">
    <w:name w:val="页脚 字符"/>
    <w:link w:val="a5"/>
    <w:uiPriority w:val="99"/>
    <w:locked/>
    <w:rsid w:val="009C7EA0"/>
    <w:rPr>
      <w:rFonts w:cs="Times New Roman"/>
      <w:sz w:val="18"/>
      <w:szCs w:val="18"/>
    </w:rPr>
  </w:style>
  <w:style w:type="paragraph" w:styleId="a7">
    <w:name w:val="header"/>
    <w:basedOn w:val="a"/>
    <w:link w:val="a8"/>
    <w:uiPriority w:val="99"/>
    <w:rsid w:val="009C7EA0"/>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locked/>
    <w:rsid w:val="009C7EA0"/>
    <w:rPr>
      <w:rFonts w:cs="Times New Roman"/>
      <w:sz w:val="18"/>
      <w:szCs w:val="18"/>
    </w:rPr>
  </w:style>
  <w:style w:type="paragraph" w:styleId="a9">
    <w:name w:val="footnote text"/>
    <w:basedOn w:val="a"/>
    <w:link w:val="aa"/>
    <w:uiPriority w:val="99"/>
    <w:rsid w:val="009C7EA0"/>
    <w:pPr>
      <w:snapToGrid w:val="0"/>
      <w:jc w:val="left"/>
    </w:pPr>
    <w:rPr>
      <w:sz w:val="18"/>
    </w:rPr>
  </w:style>
  <w:style w:type="character" w:customStyle="1" w:styleId="aa">
    <w:name w:val="脚注文本 字符"/>
    <w:link w:val="a9"/>
    <w:uiPriority w:val="99"/>
    <w:locked/>
    <w:rsid w:val="009C7EA0"/>
    <w:rPr>
      <w:rFonts w:ascii="Times New Roman" w:eastAsia="仿宋" w:hAnsi="Times New Roman" w:cs="Times New Roman"/>
      <w:sz w:val="24"/>
      <w:szCs w:val="24"/>
    </w:rPr>
  </w:style>
  <w:style w:type="table" w:styleId="ab">
    <w:name w:val="Table Grid"/>
    <w:basedOn w:val="a2"/>
    <w:uiPriority w:val="99"/>
    <w:rsid w:val="009C7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c">
    <w:name w:val="footnote reference"/>
    <w:uiPriority w:val="99"/>
    <w:rsid w:val="009C7EA0"/>
    <w:rPr>
      <w:rFonts w:cs="Times New Roman"/>
      <w:vertAlign w:val="superscript"/>
    </w:rPr>
  </w:style>
  <w:style w:type="paragraph" w:styleId="ad">
    <w:name w:val="List Paragraph"/>
    <w:basedOn w:val="a"/>
    <w:uiPriority w:val="99"/>
    <w:qFormat/>
    <w:rsid w:val="009C7E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1 2</dc:creator>
  <cp:keywords/>
  <dc:description/>
  <cp:lastModifiedBy>1 2</cp:lastModifiedBy>
  <cp:revision>35</cp:revision>
  <cp:lastPrinted>2022-01-07T02:18:00Z</cp:lastPrinted>
  <dcterms:created xsi:type="dcterms:W3CDTF">2021-12-07T02:18:00Z</dcterms:created>
  <dcterms:modified xsi:type="dcterms:W3CDTF">2022-03-01T00:40:00Z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14B83BB7334C4A5A9A74D04847649051</vt:lpwstr>
  </property>
</Properties>
</file>