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w:t>
      </w:r>
    </w:p>
    <w:p>
      <w:pPr>
        <w:spacing w:line="600" w:lineRule="exact"/>
        <w:ind w:firstLine="723" w:firstLineChars="200"/>
        <w:jc w:val="center"/>
        <w:rPr>
          <w:rFonts w:hint="eastAsia" w:ascii="宋体" w:hAnsi="宋体" w:eastAsia="宋体" w:cs="Arial"/>
          <w:b/>
          <w:bCs/>
          <w:sz w:val="36"/>
          <w:szCs w:val="36"/>
        </w:rPr>
      </w:pPr>
      <w:r>
        <w:rPr>
          <w:rFonts w:hint="eastAsia" w:ascii="宋体" w:hAnsi="宋体" w:eastAsia="宋体" w:cs="Arial"/>
          <w:b/>
          <w:bCs/>
          <w:sz w:val="36"/>
          <w:szCs w:val="36"/>
        </w:rPr>
        <w:t>南阳市地形图及地下管线项目支出</w:t>
      </w:r>
    </w:p>
    <w:p>
      <w:pPr>
        <w:spacing w:line="600" w:lineRule="exact"/>
        <w:ind w:firstLine="723" w:firstLineChars="200"/>
        <w:jc w:val="center"/>
        <w:rPr>
          <w:rFonts w:hint="eastAsia" w:ascii="宋体" w:hAnsi="宋体" w:eastAsia="宋体" w:cs="Arial"/>
          <w:b/>
          <w:bCs/>
          <w:sz w:val="36"/>
          <w:szCs w:val="36"/>
        </w:rPr>
      </w:pPr>
      <w:r>
        <w:rPr>
          <w:rFonts w:hint="eastAsia" w:ascii="宋体" w:hAnsi="宋体" w:eastAsia="宋体" w:cs="Arial"/>
          <w:b/>
          <w:bCs/>
          <w:sz w:val="36"/>
          <w:szCs w:val="36"/>
        </w:rPr>
        <w:t>绩效评价报告</w:t>
      </w:r>
    </w:p>
    <w:p>
      <w:pPr>
        <w:spacing w:line="600" w:lineRule="exact"/>
        <w:ind w:firstLine="600" w:firstLineChars="200"/>
        <w:rPr>
          <w:rFonts w:ascii="黑体" w:hAnsi="黑体" w:eastAsia="黑体"/>
        </w:rPr>
      </w:pPr>
      <w:r>
        <w:rPr>
          <w:rFonts w:hint="eastAsia" w:ascii="黑体" w:hAnsi="黑体" w:eastAsia="黑体"/>
        </w:rPr>
        <w:t>一、基本情况</w:t>
      </w:r>
      <w:bookmarkStart w:id="0" w:name="_GoBack"/>
      <w:bookmarkEnd w:id="0"/>
    </w:p>
    <w:p>
      <w:pPr>
        <w:spacing w:line="560" w:lineRule="exact"/>
        <w:ind w:firstLine="531" w:firstLineChars="177"/>
        <w:rPr>
          <w:rFonts w:ascii="仿宋_GB2312"/>
        </w:rPr>
      </w:pPr>
      <w:r>
        <w:rPr>
          <w:rFonts w:hint="eastAsia" w:ascii="仿宋_GB2312"/>
        </w:rPr>
        <w:t>（一）项目概况。</w:t>
      </w:r>
    </w:p>
    <w:p>
      <w:pPr>
        <w:spacing w:line="560" w:lineRule="exact"/>
        <w:ind w:firstLine="566" w:firstLineChars="177"/>
        <w:rPr>
          <w:rFonts w:ascii="仿宋_GB2312" w:hAnsi="宋体"/>
          <w:sz w:val="32"/>
        </w:rPr>
      </w:pPr>
      <w:r>
        <w:rPr>
          <w:rFonts w:hint="eastAsia" w:ascii="仿宋_GB2312" w:hAnsi="宋体"/>
          <w:sz w:val="32"/>
        </w:rPr>
        <w:t>随着城市的快速发展，城市综合地下管线新建、改建、扩展不断发生，城市开发日渐加快，造成现有的综合地下管线数据和建筑物、地名地址等地形图专题数据的现势性与现状之间的差异逐步扩大，难以适应城市建设日益加快的步伐。</w:t>
      </w:r>
      <w:r>
        <w:rPr>
          <w:rFonts w:hint="eastAsia" w:ascii="仿宋_GB2312" w:hAnsi="宋体"/>
          <w:kern w:val="0"/>
          <w:sz w:val="32"/>
        </w:rPr>
        <w:t>《国务院办公厅关于加强城市地下管线建设管理的指导意见》（国办发〔2014〕27号）、《住房和城乡建设部等四部委关于进一步加强城市地下管线建设管理有关工作的通知》等文件都明确要求要加强城市综合地下管线管理和动态更新工作。</w:t>
      </w:r>
      <w:r>
        <w:rPr>
          <w:rFonts w:hint="eastAsia" w:ascii="仿宋_GB2312" w:hAnsi="宋体"/>
          <w:sz w:val="32"/>
        </w:rPr>
        <w:t>为此，通过开展南阳市地下管线及建筑物、地名地址等地形图专题数据动态更新工作，对中心城区综合地下管线数据及建筑物、地名地址等地形图专题数据进行更新，切实提高地下管线及建筑物、地名地址等地形图专题数据的准确性和现势性，为城市规划、城市管理和相关职能部门提供全面、精确的基础数据，助推城市的信息化建设和应用水平提升。</w:t>
      </w:r>
    </w:p>
    <w:p>
      <w:pPr>
        <w:spacing w:line="560" w:lineRule="exact"/>
        <w:ind w:firstLine="566" w:firstLineChars="177"/>
        <w:rPr>
          <w:rFonts w:ascii="仿宋_GB2312" w:hAnsi="宋体"/>
          <w:sz w:val="32"/>
        </w:rPr>
      </w:pPr>
      <w:r>
        <w:rPr>
          <w:rFonts w:hint="eastAsia" w:ascii="仿宋_GB2312" w:hAnsi="宋体"/>
          <w:sz w:val="32"/>
        </w:rPr>
        <w:t>本项目建设内容主要包括综合地下管线修补测及建筑物、地名地址等相关数据采集更新等，具体包括：</w:t>
      </w:r>
    </w:p>
    <w:p>
      <w:pPr>
        <w:pStyle w:val="9"/>
        <w:numPr>
          <w:ilvl w:val="1"/>
          <w:numId w:val="1"/>
        </w:numPr>
        <w:spacing w:line="560" w:lineRule="exact"/>
        <w:ind w:firstLineChars="0"/>
        <w:outlineLvl w:val="1"/>
        <w:rPr>
          <w:rFonts w:ascii="仿宋_GB2312" w:hAnsi="宋体" w:eastAsia="仿宋_GB2312"/>
          <w:b/>
          <w:sz w:val="32"/>
          <w:szCs w:val="24"/>
        </w:rPr>
      </w:pPr>
      <w:r>
        <w:rPr>
          <w:rFonts w:hint="eastAsia" w:ascii="仿宋_GB2312" w:hAnsi="宋体" w:eastAsia="仿宋_GB2312"/>
          <w:b/>
          <w:sz w:val="32"/>
          <w:szCs w:val="24"/>
        </w:rPr>
        <w:t>变化管线及沿线带状地形图修补测</w:t>
      </w:r>
    </w:p>
    <w:p>
      <w:pPr>
        <w:spacing w:line="560" w:lineRule="exact"/>
        <w:ind w:firstLine="640" w:firstLineChars="200"/>
        <w:rPr>
          <w:rFonts w:ascii="仿宋_GB2312" w:hAnsi="宋体"/>
          <w:sz w:val="32"/>
        </w:rPr>
      </w:pPr>
      <w:r>
        <w:rPr>
          <w:rFonts w:hint="eastAsia" w:ascii="仿宋_GB2312" w:hAnsi="宋体"/>
          <w:sz w:val="32"/>
        </w:rPr>
        <w:t>对南阳市约450平方公里范围内发生变化的约300公里地下管线及沿线带状地形图进行修补测、数据处理和更新融合入库。</w:t>
      </w:r>
    </w:p>
    <w:p>
      <w:pPr>
        <w:pStyle w:val="9"/>
        <w:numPr>
          <w:ilvl w:val="1"/>
          <w:numId w:val="1"/>
        </w:numPr>
        <w:spacing w:line="560" w:lineRule="exact"/>
        <w:ind w:firstLineChars="0"/>
        <w:outlineLvl w:val="1"/>
        <w:rPr>
          <w:rFonts w:ascii="仿宋_GB2312" w:hAnsi="宋体" w:eastAsia="仿宋_GB2312"/>
          <w:b/>
          <w:sz w:val="32"/>
          <w:szCs w:val="24"/>
        </w:rPr>
      </w:pPr>
      <w:r>
        <w:rPr>
          <w:rFonts w:hint="eastAsia" w:ascii="仿宋_GB2312" w:hAnsi="宋体" w:eastAsia="仿宋_GB2312"/>
          <w:b/>
          <w:sz w:val="32"/>
          <w:szCs w:val="24"/>
        </w:rPr>
        <w:t>地形图专题采集更新</w:t>
      </w:r>
    </w:p>
    <w:p>
      <w:pPr>
        <w:pStyle w:val="9"/>
        <w:spacing w:line="560" w:lineRule="exact"/>
        <w:ind w:firstLine="640"/>
        <w:rPr>
          <w:rFonts w:ascii="仿宋_GB2312" w:hAnsi="宋体" w:eastAsia="仿宋_GB2312"/>
          <w:sz w:val="32"/>
          <w:szCs w:val="24"/>
        </w:rPr>
      </w:pPr>
      <w:r>
        <w:rPr>
          <w:rFonts w:hint="eastAsia" w:ascii="仿宋_GB2312" w:hAnsi="宋体" w:eastAsia="仿宋_GB2312"/>
          <w:sz w:val="32"/>
          <w:szCs w:val="24"/>
        </w:rPr>
        <w:t>对南阳市约450平方公里范围内发生变化的建筑物及重要地名地址等地形图专题数据进行采集和更新入库。</w:t>
      </w:r>
    </w:p>
    <w:p>
      <w:pPr>
        <w:spacing w:line="560" w:lineRule="exact"/>
        <w:ind w:firstLine="566" w:firstLineChars="177"/>
        <w:rPr>
          <w:rFonts w:ascii="仿宋_GB2312" w:hAnsi="宋体"/>
          <w:sz w:val="32"/>
        </w:rPr>
      </w:pPr>
      <w:r>
        <w:rPr>
          <w:rFonts w:hint="eastAsia" w:ascii="仿宋_GB2312" w:hAnsi="宋体"/>
          <w:sz w:val="32"/>
        </w:rPr>
        <w:t>本项目已于2020年12月完成招标工作，并全面启动相关实施工作，项目工期约6个月。项目合同总额为358万元，所有投资采用市财政资金，2020年已完成投资109.9776万元。</w:t>
      </w:r>
    </w:p>
    <w:p>
      <w:pPr>
        <w:spacing w:line="600" w:lineRule="exact"/>
        <w:ind w:firstLine="600" w:firstLineChars="200"/>
        <w:rPr>
          <w:rFonts w:ascii="仿宋_GB2312"/>
        </w:rPr>
      </w:pPr>
      <w:r>
        <w:rPr>
          <w:rFonts w:hint="eastAsia" w:ascii="仿宋_GB2312"/>
        </w:rPr>
        <w:t>（二）项目绩效目标。包括总体目标和阶段性目标。</w:t>
      </w:r>
    </w:p>
    <w:p>
      <w:pPr>
        <w:pStyle w:val="9"/>
        <w:spacing w:line="560" w:lineRule="exact"/>
        <w:ind w:firstLine="640"/>
        <w:rPr>
          <w:rFonts w:ascii="仿宋_GB2312" w:hAnsi="宋体" w:eastAsia="仿宋_GB2312"/>
          <w:sz w:val="32"/>
          <w:szCs w:val="24"/>
        </w:rPr>
      </w:pPr>
      <w:r>
        <w:rPr>
          <w:rFonts w:hint="eastAsia" w:ascii="仿宋_GB2312" w:hAnsi="宋体" w:eastAsia="仿宋_GB2312"/>
          <w:sz w:val="32"/>
          <w:szCs w:val="24"/>
        </w:rPr>
        <w:t>1、项目总体目标</w:t>
      </w:r>
    </w:p>
    <w:p>
      <w:pPr>
        <w:pStyle w:val="9"/>
        <w:spacing w:line="560" w:lineRule="exact"/>
        <w:ind w:firstLine="640"/>
        <w:rPr>
          <w:rFonts w:ascii="仿宋_GB2312" w:hAnsi="宋体" w:eastAsia="仿宋_GB2312"/>
          <w:sz w:val="32"/>
          <w:szCs w:val="24"/>
        </w:rPr>
      </w:pPr>
      <w:r>
        <w:rPr>
          <w:rFonts w:hint="eastAsia" w:ascii="仿宋_GB2312" w:hAnsi="宋体" w:eastAsia="仿宋_GB2312"/>
          <w:sz w:val="32"/>
          <w:szCs w:val="24"/>
        </w:rPr>
        <w:t>通过对城市综合地下管线及建筑物、地名地址等地形图专题数据进行动态更新，切实提高基础数据的时效性、准确性和完整性，更好地为政府部门和社会公众提供权威翔实的基础数据服务，为“智慧城市”建设提供更为准确可靠的核心数据支撑。</w:t>
      </w:r>
    </w:p>
    <w:p>
      <w:pPr>
        <w:spacing w:line="600" w:lineRule="exact"/>
        <w:ind w:firstLine="600" w:firstLineChars="200"/>
        <w:rPr>
          <w:rFonts w:ascii="仿宋_GB2312"/>
        </w:rPr>
      </w:pPr>
      <w:r>
        <w:rPr>
          <w:rFonts w:ascii="仿宋_GB2312"/>
        </w:rPr>
        <w:t>2</w:t>
      </w:r>
      <w:r>
        <w:rPr>
          <w:rFonts w:hint="eastAsia" w:ascii="仿宋_GB2312"/>
        </w:rPr>
        <w:t>、阶段性目标</w:t>
      </w:r>
    </w:p>
    <w:p>
      <w:pPr>
        <w:spacing w:line="600" w:lineRule="exact"/>
        <w:ind w:firstLine="600" w:firstLineChars="200"/>
        <w:rPr>
          <w:rFonts w:ascii="仿宋_GB2312"/>
        </w:rPr>
      </w:pPr>
      <w:r>
        <w:rPr>
          <w:rFonts w:hint="eastAsia" w:ascii="仿宋_GB2312"/>
        </w:rPr>
        <w:t>第一阶段  完成项目招标工作；</w:t>
      </w:r>
    </w:p>
    <w:p>
      <w:pPr>
        <w:spacing w:line="600" w:lineRule="exact"/>
        <w:ind w:firstLine="600" w:firstLineChars="200"/>
        <w:rPr>
          <w:rFonts w:ascii="仿宋_GB2312"/>
        </w:rPr>
      </w:pPr>
      <w:r>
        <w:rPr>
          <w:rFonts w:hint="eastAsia" w:ascii="仿宋_GB2312"/>
        </w:rPr>
        <w:t xml:space="preserve">第二阶段 </w:t>
      </w:r>
      <w:r>
        <w:rPr>
          <w:rFonts w:ascii="仿宋_GB2312"/>
        </w:rPr>
        <w:t xml:space="preserve"> </w:t>
      </w:r>
      <w:r>
        <w:rPr>
          <w:rFonts w:hint="eastAsia" w:ascii="仿宋_GB2312"/>
        </w:rPr>
        <w:t>项目实施工作正式启动；</w:t>
      </w:r>
    </w:p>
    <w:p>
      <w:pPr>
        <w:spacing w:line="600" w:lineRule="exact"/>
        <w:ind w:firstLine="600" w:firstLineChars="200"/>
        <w:rPr>
          <w:rFonts w:ascii="仿宋_GB2312"/>
        </w:rPr>
      </w:pPr>
      <w:r>
        <w:rPr>
          <w:rFonts w:hint="eastAsia" w:ascii="仿宋_GB2312"/>
        </w:rPr>
        <w:t xml:space="preserve">第三阶段 </w:t>
      </w:r>
      <w:r>
        <w:rPr>
          <w:rFonts w:ascii="仿宋_GB2312"/>
        </w:rPr>
        <w:t xml:space="preserve"> </w:t>
      </w:r>
      <w:r>
        <w:rPr>
          <w:rFonts w:hint="eastAsia" w:ascii="仿宋_GB2312"/>
        </w:rPr>
        <w:t>完成项目全部实施任务；</w:t>
      </w:r>
    </w:p>
    <w:p>
      <w:pPr>
        <w:spacing w:line="600" w:lineRule="exact"/>
        <w:ind w:firstLine="600" w:firstLineChars="200"/>
        <w:rPr>
          <w:rFonts w:ascii="仿宋_GB2312"/>
        </w:rPr>
      </w:pPr>
      <w:r>
        <w:rPr>
          <w:rFonts w:hint="eastAsia" w:ascii="仿宋_GB2312"/>
        </w:rPr>
        <w:t xml:space="preserve">第四阶段 </w:t>
      </w:r>
      <w:r>
        <w:rPr>
          <w:rFonts w:ascii="仿宋_GB2312"/>
        </w:rPr>
        <w:t xml:space="preserve"> </w:t>
      </w:r>
      <w:r>
        <w:rPr>
          <w:rFonts w:hint="eastAsia" w:ascii="仿宋_GB2312"/>
        </w:rPr>
        <w:t>完成项目验收。</w:t>
      </w:r>
    </w:p>
    <w:p>
      <w:pPr>
        <w:spacing w:line="600" w:lineRule="exact"/>
        <w:ind w:firstLine="600" w:firstLineChars="200"/>
        <w:rPr>
          <w:rFonts w:ascii="黑体" w:hAnsi="黑体" w:eastAsia="黑体"/>
        </w:rPr>
      </w:pPr>
      <w:r>
        <w:rPr>
          <w:rFonts w:hint="eastAsia" w:ascii="黑体" w:hAnsi="黑体" w:eastAsia="黑体"/>
        </w:rPr>
        <w:t>二、绩效评价工作开展情况</w:t>
      </w:r>
    </w:p>
    <w:p>
      <w:pPr>
        <w:spacing w:line="600" w:lineRule="exact"/>
        <w:ind w:firstLine="600" w:firstLineChars="200"/>
        <w:rPr>
          <w:rFonts w:ascii="仿宋_GB2312"/>
        </w:rPr>
      </w:pPr>
      <w:r>
        <w:rPr>
          <w:rFonts w:hint="eastAsia" w:ascii="仿宋_GB2312"/>
        </w:rPr>
        <w:t>（一）绩效评价目的、对象和范围。</w:t>
      </w:r>
    </w:p>
    <w:p>
      <w:pPr>
        <w:spacing w:line="600" w:lineRule="exact"/>
        <w:ind w:firstLine="600" w:firstLineChars="200"/>
        <w:rPr>
          <w:rFonts w:ascii="仿宋_GB2312"/>
        </w:rPr>
      </w:pPr>
      <w:r>
        <w:rPr>
          <w:rFonts w:hint="eastAsia" w:ascii="仿宋_GB2312"/>
        </w:rPr>
        <w:t xml:space="preserve"> 严格执行《中华人民共和国预算法》，强化支出责任，提高自然资源事业资金使用效益，对自然资源事务项目支出开展绩效评价。</w:t>
      </w:r>
    </w:p>
    <w:p>
      <w:pPr>
        <w:spacing w:line="600" w:lineRule="exact"/>
        <w:ind w:firstLine="600" w:firstLineChars="200"/>
        <w:rPr>
          <w:rFonts w:ascii="仿宋_GB2312"/>
        </w:rPr>
      </w:pPr>
      <w:r>
        <w:rPr>
          <w:rFonts w:hint="eastAsia" w:ascii="仿宋_GB2312"/>
        </w:rPr>
        <w:t>（二）绩效评价原则、评价指标体系（附表说明）、评价方法、评价标准等。</w:t>
      </w:r>
    </w:p>
    <w:p>
      <w:pPr>
        <w:spacing w:line="600" w:lineRule="exact"/>
        <w:ind w:firstLine="600" w:firstLineChars="200"/>
        <w:rPr>
          <w:rFonts w:ascii="仿宋_GB2312"/>
        </w:rPr>
      </w:pPr>
      <w:r>
        <w:rPr>
          <w:rFonts w:hint="eastAsia" w:ascii="仿宋_GB2312"/>
        </w:rPr>
        <w:t>本着客观公正和有效性原则，按照设定的绩效评价指标体系，成立2020年度项目支出绩效评价小组，由相关业务科室抽选人员进行评价打分，由项目负责人整理汇总。</w:t>
      </w:r>
    </w:p>
    <w:p>
      <w:pPr>
        <w:spacing w:line="600" w:lineRule="exact"/>
        <w:ind w:firstLine="600" w:firstLineChars="200"/>
        <w:rPr>
          <w:rFonts w:ascii="仿宋_GB2312"/>
        </w:rPr>
      </w:pPr>
      <w:r>
        <w:rPr>
          <w:rFonts w:hint="eastAsia" w:ascii="仿宋_GB2312"/>
        </w:rPr>
        <w:t>（三）绩效评价工作过程。</w:t>
      </w:r>
    </w:p>
    <w:p>
      <w:pPr>
        <w:spacing w:line="600" w:lineRule="exact"/>
        <w:ind w:firstLine="600" w:firstLineChars="200"/>
        <w:rPr>
          <w:rFonts w:ascii="仿宋_GB2312"/>
        </w:rPr>
      </w:pPr>
      <w:r>
        <w:rPr>
          <w:rFonts w:hint="eastAsia" w:ascii="仿宋_GB2312"/>
        </w:rPr>
        <w:t xml:space="preserve">1、成立绩效评价小组，学习绩效评价相关文件要求和绩效评价参考设计指标体系。2、组织实施，按照规定的工作程序组织绩效评价自评，注重评价质量，撰写绩效评价报告。3、对评价结果进行反馈整改，充分运用评价结果提高项目支出综合效益。  </w:t>
      </w:r>
      <w:r>
        <w:rPr>
          <w:rFonts w:hint="eastAsia" w:ascii="黑体" w:hAnsi="黑体" w:eastAsia="黑体"/>
        </w:rPr>
        <w:t>三、综合评价情况及评价结论</w:t>
      </w:r>
      <w:r>
        <w:rPr>
          <w:rFonts w:hint="eastAsia" w:ascii="仿宋_GB2312"/>
        </w:rPr>
        <w:t>（附相关评分表）</w:t>
      </w:r>
    </w:p>
    <w:p>
      <w:pPr>
        <w:spacing w:line="600" w:lineRule="exact"/>
        <w:ind w:firstLine="600" w:firstLineChars="200"/>
        <w:rPr>
          <w:rFonts w:ascii="仿宋_GB2312"/>
        </w:rPr>
      </w:pPr>
      <w:r>
        <w:rPr>
          <w:rFonts w:hint="eastAsia" w:ascii="仿宋_GB2312"/>
        </w:rPr>
        <w:t xml:space="preserve"> 根据项目支出绩效自评表逐项打分，该项目评价结果为优，自评分数96.9分。</w:t>
      </w:r>
    </w:p>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40" w:firstLineChars="200"/>
        <w:outlineLvl w:val="0"/>
        <w:rPr>
          <w:rFonts w:ascii="仿宋_GB2312"/>
          <w:sz w:val="32"/>
          <w:szCs w:val="32"/>
        </w:rPr>
      </w:pPr>
      <w:r>
        <w:rPr>
          <w:rFonts w:hint="eastAsia" w:ascii="仿宋_GB2312"/>
          <w:sz w:val="32"/>
          <w:szCs w:val="32"/>
        </w:rPr>
        <w:t>（一）项目决策情况。</w:t>
      </w:r>
    </w:p>
    <w:p>
      <w:pPr>
        <w:spacing w:line="600" w:lineRule="exact"/>
        <w:ind w:firstLine="600" w:firstLineChars="200"/>
        <w:outlineLvl w:val="0"/>
        <w:rPr>
          <w:rFonts w:ascii="仿宋_GB2312"/>
        </w:rPr>
      </w:pPr>
      <w:r>
        <w:rPr>
          <w:rFonts w:hint="eastAsia" w:ascii="仿宋_GB2312"/>
        </w:rPr>
        <w:t>绩效指标明确，科学编制年初预算，预算内容与项目内容相匹配。</w:t>
      </w:r>
    </w:p>
    <w:p>
      <w:pPr>
        <w:spacing w:line="600" w:lineRule="exact"/>
        <w:ind w:firstLine="600" w:firstLineChars="200"/>
        <w:outlineLvl w:val="0"/>
        <w:rPr>
          <w:rFonts w:ascii="仿宋_GB2312"/>
        </w:rPr>
      </w:pPr>
      <w:r>
        <w:rPr>
          <w:rFonts w:hint="eastAsia" w:ascii="仿宋_GB2312"/>
        </w:rPr>
        <w:t>（二）项目过程情况。</w:t>
      </w:r>
    </w:p>
    <w:p>
      <w:pPr>
        <w:spacing w:line="600" w:lineRule="exact"/>
        <w:ind w:firstLine="600" w:firstLineChars="200"/>
        <w:outlineLvl w:val="0"/>
        <w:rPr>
          <w:rFonts w:ascii="仿宋_GB2312"/>
        </w:rPr>
      </w:pPr>
      <w:r>
        <w:rPr>
          <w:rFonts w:hint="eastAsia" w:ascii="仿宋_GB2312"/>
        </w:rPr>
        <w:t>年初预算数360万元，实际到位资金110万元，资金到位率30.6%，全年执行资金109.9776万元，预算执行率99.98%。</w:t>
      </w:r>
    </w:p>
    <w:p>
      <w:pPr>
        <w:spacing w:line="600" w:lineRule="exact"/>
        <w:ind w:firstLine="600" w:firstLineChars="200"/>
        <w:outlineLvl w:val="0"/>
        <w:rPr>
          <w:rFonts w:ascii="仿宋_GB2312"/>
        </w:rPr>
      </w:pPr>
      <w:r>
        <w:rPr>
          <w:rFonts w:hint="eastAsia" w:ascii="仿宋_GB2312"/>
        </w:rPr>
        <w:t>（三）项目产出情况。</w:t>
      </w:r>
    </w:p>
    <w:p>
      <w:pPr>
        <w:spacing w:line="600" w:lineRule="exact"/>
        <w:ind w:firstLine="600" w:firstLineChars="200"/>
        <w:outlineLvl w:val="0"/>
        <w:rPr>
          <w:rFonts w:ascii="仿宋_GB2312"/>
        </w:rPr>
      </w:pPr>
      <w:r>
        <w:rPr>
          <w:rFonts w:hint="eastAsia" w:ascii="仿宋_GB2312"/>
        </w:rPr>
        <w:t>资金使用合规，无截留、挪用情况，资金使用效益明显。</w:t>
      </w:r>
    </w:p>
    <w:p>
      <w:pPr>
        <w:spacing w:line="600" w:lineRule="exact"/>
        <w:ind w:firstLine="600" w:firstLineChars="200"/>
        <w:outlineLvl w:val="0"/>
        <w:rPr>
          <w:rFonts w:ascii="仿宋_GB2312"/>
        </w:rPr>
      </w:pPr>
      <w:r>
        <w:rPr>
          <w:rFonts w:hint="eastAsia" w:ascii="仿宋_GB2312"/>
        </w:rPr>
        <w:t>（四）项目效益情况。</w:t>
      </w:r>
    </w:p>
    <w:p>
      <w:pPr>
        <w:spacing w:line="600" w:lineRule="exact"/>
        <w:ind w:firstLine="600" w:firstLineChars="200"/>
        <w:outlineLvl w:val="0"/>
        <w:rPr>
          <w:rFonts w:ascii="仿宋_GB2312"/>
        </w:rPr>
      </w:pPr>
      <w:r>
        <w:rPr>
          <w:rFonts w:hint="eastAsia" w:ascii="仿宋_GB2312"/>
        </w:rPr>
        <w:t>2</w:t>
      </w:r>
      <w:r>
        <w:rPr>
          <w:rFonts w:ascii="仿宋_GB2312"/>
        </w:rPr>
        <w:t>020</w:t>
      </w:r>
      <w:r>
        <w:rPr>
          <w:rFonts w:hint="eastAsia" w:ascii="仿宋_GB2312"/>
        </w:rPr>
        <w:t>年项目主要完成项目招标工作和前期准备工作，尚未开展实施工作，项目效益目前难以评估。</w:t>
      </w:r>
    </w:p>
    <w:p>
      <w:pPr>
        <w:spacing w:line="600" w:lineRule="exact"/>
        <w:ind w:firstLine="600" w:firstLineChars="200"/>
        <w:rPr>
          <w:rFonts w:ascii="黑体" w:hAnsi="黑体" w:eastAsia="黑体"/>
        </w:rPr>
      </w:pPr>
      <w:r>
        <w:rPr>
          <w:rFonts w:hint="eastAsia" w:ascii="黑体" w:hAnsi="黑体" w:eastAsia="黑体"/>
        </w:rPr>
        <w:t>五、主要经验及做法、存在的问题及原因分析</w:t>
      </w:r>
    </w:p>
    <w:p>
      <w:pPr>
        <w:spacing w:line="600" w:lineRule="exact"/>
        <w:ind w:firstLine="640" w:firstLineChars="200"/>
        <w:rPr>
          <w:rFonts w:ascii="仿宋_GB2312" w:hAnsi="黑体"/>
          <w:sz w:val="32"/>
        </w:rPr>
      </w:pPr>
      <w:r>
        <w:rPr>
          <w:rFonts w:hint="eastAsia" w:ascii="仿宋_GB2312" w:hAnsi="黑体"/>
          <w:sz w:val="32"/>
        </w:rPr>
        <w:t>1、充分做好前期准备工作，为有序推进相关工作奠定坚实的基础；</w:t>
      </w:r>
    </w:p>
    <w:p>
      <w:pPr>
        <w:spacing w:line="600" w:lineRule="exact"/>
        <w:ind w:firstLine="640" w:firstLineChars="200"/>
        <w:rPr>
          <w:rFonts w:ascii="仿宋_GB2312" w:hAnsi="黑体"/>
          <w:sz w:val="32"/>
        </w:rPr>
      </w:pPr>
      <w:r>
        <w:rPr>
          <w:rFonts w:hint="eastAsia" w:ascii="仿宋_GB2312" w:hAnsi="黑体"/>
          <w:sz w:val="32"/>
        </w:rPr>
        <w:t>2、建立有效的项目沟通协调机制，及时解决工作推进过程中存在的问题，严格控制项目进度和质量，保障各项目考核任务要求得以有效落实。</w:t>
      </w:r>
    </w:p>
    <w:p>
      <w:pPr>
        <w:spacing w:line="600" w:lineRule="exact"/>
        <w:ind w:firstLine="600" w:firstLineChars="200"/>
        <w:rPr>
          <w:rFonts w:ascii="黑体" w:hAnsi="黑体" w:eastAsia="黑体"/>
        </w:rPr>
      </w:pPr>
      <w:r>
        <w:rPr>
          <w:rFonts w:hint="eastAsia" w:ascii="黑体" w:hAnsi="黑体" w:eastAsia="黑体"/>
        </w:rPr>
        <w:t>六、有关建议</w:t>
      </w:r>
    </w:p>
    <w:p>
      <w:pPr>
        <w:ind w:firstLine="640" w:firstLineChars="200"/>
        <w:rPr>
          <w:rFonts w:ascii="仿宋_GB2312" w:hAnsi="黑体"/>
          <w:sz w:val="32"/>
        </w:rPr>
      </w:pPr>
      <w:r>
        <w:rPr>
          <w:rFonts w:hint="eastAsia" w:ascii="仿宋_GB2312" w:cs="黑体"/>
          <w:snapToGrid w:val="0"/>
          <w:kern w:val="0"/>
          <w:sz w:val="32"/>
          <w:szCs w:val="32"/>
        </w:rPr>
        <w:t>项目绩效评估工作内容较细、专业性较强，建议加强对项目绩效评价人员的业务指导和培训，提高绩效评价总体工作水平。</w:t>
      </w:r>
    </w:p>
    <w:p>
      <w:pPr>
        <w:rPr>
          <w:rFonts w:ascii="仿宋_GB2312"/>
          <w:sz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13FB4"/>
    <w:multiLevelType w:val="multilevel"/>
    <w:tmpl w:val="1F913FB4"/>
    <w:lvl w:ilvl="0" w:tentative="0">
      <w:start w:val="1"/>
      <w:numFmt w:val="chineseCountingThousand"/>
      <w:lvlText w:val="%1、"/>
      <w:lvlJc w:val="left"/>
      <w:pPr>
        <w:ind w:left="425" w:hanging="425"/>
      </w:pPr>
    </w:lvl>
    <w:lvl w:ilvl="1" w:tentative="0">
      <w:start w:val="1"/>
      <w:numFmt w:val="chineseCountingThousand"/>
      <w:lvlText w:val="(%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80"/>
    <w:rsid w:val="00070E80"/>
    <w:rsid w:val="000F04BB"/>
    <w:rsid w:val="0010638B"/>
    <w:rsid w:val="001115EC"/>
    <w:rsid w:val="001176E4"/>
    <w:rsid w:val="00151758"/>
    <w:rsid w:val="001772AC"/>
    <w:rsid w:val="00261333"/>
    <w:rsid w:val="003913F0"/>
    <w:rsid w:val="003F7C2C"/>
    <w:rsid w:val="00746592"/>
    <w:rsid w:val="007F7584"/>
    <w:rsid w:val="00871553"/>
    <w:rsid w:val="00A8333D"/>
    <w:rsid w:val="00B16ECC"/>
    <w:rsid w:val="00B314D4"/>
    <w:rsid w:val="00C25C0F"/>
    <w:rsid w:val="00CF7CEC"/>
    <w:rsid w:val="00D72B8D"/>
    <w:rsid w:val="00E56895"/>
    <w:rsid w:val="00EB7D9F"/>
    <w:rsid w:val="00F33018"/>
    <w:rsid w:val="1EF41A59"/>
    <w:rsid w:val="1F4F746F"/>
    <w:rsid w:val="4C80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rPr>
      <w:rFonts w:ascii="Calibri" w:hAnsi="Calibri" w:eastAsia="宋体"/>
      <w:sz w:val="21"/>
      <w:szCs w:val="22"/>
    </w:rPr>
  </w:style>
  <w:style w:type="character" w:customStyle="1" w:styleId="10">
    <w:name w:val="批注框文本 Char"/>
    <w:basedOn w:val="6"/>
    <w:link w:val="2"/>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249</Words>
  <Characters>1420</Characters>
  <Lines>11</Lines>
  <Paragraphs>3</Paragraphs>
  <TotalTime>1</TotalTime>
  <ScaleCrop>false</ScaleCrop>
  <LinksUpToDate>false</LinksUpToDate>
  <CharactersWithSpaces>1666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2021-04-09T03:23:00Z</dcterms:created>
  <dc:creator>1 2</dc:creator>
  <cp:lastModifiedBy>Administrator</cp:lastModifiedBy>
  <cp:lastPrinted>2021-04-09T02:51:00Z</cp:lastPrinted>
  <dcterms:modified xsi:type="dcterms:W3CDTF">2022-02-14T07:14:50Z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057634F35E0C41E0A9FD2CD221D432B9</vt:lpwstr>
  </property>
</Properties>
</file>