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w:t>
      </w:r>
    </w:p>
    <w:p>
      <w:pPr>
        <w:jc w:val="center"/>
        <w:rPr>
          <w:rFonts w:ascii="Arial" w:hAnsi="Arial" w:eastAsia="宋体" w:cs="Arial"/>
          <w:b/>
          <w:bCs/>
          <w:sz w:val="36"/>
          <w:szCs w:val="36"/>
        </w:rPr>
      </w:pPr>
      <w:r>
        <w:rPr>
          <w:rFonts w:hint="eastAsia" w:ascii="宋体" w:hAnsi="宋体" w:eastAsia="宋体" w:cs="Arial"/>
          <w:b/>
          <w:bCs/>
          <w:sz w:val="36"/>
          <w:szCs w:val="36"/>
        </w:rPr>
        <w:t>智慧南阳建筑物与地名地址项目支出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center"/>
        <w:rPr>
          <w:rFonts w:ascii="仿宋_GB2312"/>
          <w:szCs w:val="30"/>
        </w:rPr>
      </w:pPr>
    </w:p>
    <w:p>
      <w:pPr>
        <w:spacing w:line="600" w:lineRule="exact"/>
        <w:ind w:firstLine="600" w:firstLineChars="200"/>
        <w:rPr>
          <w:rFonts w:ascii="黑体" w:hAnsi="黑体" w:eastAsia="黑体"/>
        </w:rPr>
      </w:pPr>
      <w:r>
        <w:rPr>
          <w:rFonts w:hint="eastAsia" w:ascii="黑体" w:hAnsi="黑体" w:eastAsia="黑体"/>
        </w:rPr>
        <w:t>一、基本情况</w:t>
      </w:r>
      <w:bookmarkStart w:id="0" w:name="_GoBack"/>
      <w:bookmarkEnd w:id="0"/>
    </w:p>
    <w:p>
      <w:pPr>
        <w:spacing w:line="560" w:lineRule="exact"/>
        <w:ind w:firstLine="531" w:firstLineChars="177"/>
        <w:rPr>
          <w:rFonts w:ascii="仿宋_GB2312"/>
        </w:rPr>
      </w:pPr>
      <w:r>
        <w:rPr>
          <w:rFonts w:hint="eastAsia" w:ascii="仿宋_GB2312"/>
        </w:rPr>
        <w:t>（一）项目概况。</w:t>
      </w:r>
    </w:p>
    <w:p>
      <w:pPr>
        <w:spacing w:line="560" w:lineRule="exact"/>
        <w:ind w:firstLine="566" w:firstLineChars="177"/>
        <w:rPr>
          <w:rFonts w:ascii="仿宋_GB2312" w:hAnsi="宋体"/>
          <w:sz w:val="32"/>
        </w:rPr>
      </w:pPr>
      <w:r>
        <w:rPr>
          <w:rFonts w:hint="eastAsia" w:ascii="仿宋_GB2312" w:hAnsi="宋体"/>
          <w:sz w:val="32"/>
        </w:rPr>
        <w:t>根据《住房城乡建设部办公厅科学技术部办公厅关于公布国家智慧城市2014年度试点名单的通知》（建办科[2015]15号），确定南阳市为国家智慧城市2014年度试点。为保证创建目标和主要任务顺利完成，住房城乡建设部建筑节能与科技司、科学技术部社会发展科技司、南阳市人民政府和河南省住房城乡建设厅、科学技术厅签订智慧城市创建任务书。</w:t>
      </w:r>
    </w:p>
    <w:p>
      <w:pPr>
        <w:spacing w:line="560" w:lineRule="exact"/>
        <w:ind w:firstLine="566" w:firstLineChars="177"/>
        <w:rPr>
          <w:rFonts w:ascii="仿宋_GB2312" w:hAnsi="宋体"/>
          <w:sz w:val="32"/>
        </w:rPr>
      </w:pPr>
      <w:r>
        <w:rPr>
          <w:rFonts w:hint="eastAsia" w:ascii="仿宋_GB2312" w:hAnsi="宋体"/>
          <w:sz w:val="32"/>
        </w:rPr>
        <w:t>根据《智慧南阳创建任务书》，建立集中统一、结构合理、接口规范、安全可靠的人口、法人、宏观经济、地理空间等基础数据库，并保证动态数据实时更新，为典型智慧应用系统提供全面的数据支撑和数据共享服务是南阳智慧城市建设的主要任务之一，根据基础先行的原则，地名地址数据库、建筑物基础数据库作为智慧城市公共基础数据库的六大基础数据库的重要组成部分，将建筑物和地名地址基础数据库建设作为智慧南阳的第一批建设任务。建筑物基础数据库，通过整合规划、国土、建设等部门的数据，可实现快速、准确、大范围地获取地理空间数据，满足城乡规划建设、经济和社会快速发展的需要。地名地址信息作为空间基础数据库与其他非空间基础数据库的连接纽带，可以便捷实现智慧城市各种业务数据通过地址落图，实现关联分析。本项目建设内容主要包括：</w:t>
      </w:r>
    </w:p>
    <w:p>
      <w:pPr>
        <w:pStyle w:val="10"/>
        <w:numPr>
          <w:ilvl w:val="0"/>
          <w:numId w:val="1"/>
        </w:numPr>
        <w:spacing w:line="560" w:lineRule="exact"/>
        <w:ind w:left="0" w:firstLine="640" w:firstLineChars="0"/>
        <w:rPr>
          <w:rFonts w:ascii="仿宋_GB2312" w:hAnsi="宋体" w:eastAsia="仿宋_GB2312"/>
          <w:sz w:val="32"/>
          <w:szCs w:val="24"/>
        </w:rPr>
      </w:pPr>
      <w:r>
        <w:rPr>
          <w:rFonts w:hint="eastAsia" w:ascii="仿宋_GB2312" w:hAnsi="宋体" w:eastAsia="仿宋_GB2312"/>
          <w:sz w:val="32"/>
          <w:szCs w:val="24"/>
        </w:rPr>
        <w:t>标准规范规划</w:t>
      </w:r>
      <w:r>
        <w:rPr>
          <w:rFonts w:ascii="仿宋_GB2312" w:hAnsi="宋体" w:eastAsia="仿宋_GB2312"/>
          <w:sz w:val="32"/>
          <w:szCs w:val="24"/>
        </w:rPr>
        <w:t>编制：</w:t>
      </w:r>
      <w:r>
        <w:rPr>
          <w:rFonts w:hint="eastAsia" w:ascii="仿宋_GB2312" w:hAnsi="宋体" w:eastAsia="仿宋_GB2312"/>
          <w:sz w:val="32"/>
          <w:szCs w:val="24"/>
        </w:rPr>
        <w:t>在</w:t>
      </w:r>
      <w:r>
        <w:rPr>
          <w:rFonts w:ascii="仿宋_GB2312" w:hAnsi="宋体" w:eastAsia="仿宋_GB2312"/>
          <w:sz w:val="32"/>
          <w:szCs w:val="24"/>
        </w:rPr>
        <w:t>参照国家与行业相关标准的基础上，根据南阳市的具体情况与实际需求，</w:t>
      </w:r>
      <w:r>
        <w:rPr>
          <w:rFonts w:hint="eastAsia" w:ascii="仿宋_GB2312" w:hAnsi="宋体" w:eastAsia="仿宋_GB2312"/>
          <w:sz w:val="32"/>
          <w:szCs w:val="24"/>
        </w:rPr>
        <w:t>制定</w:t>
      </w:r>
      <w:r>
        <w:rPr>
          <w:rFonts w:ascii="仿宋_GB2312" w:hAnsi="宋体" w:eastAsia="仿宋_GB2312"/>
          <w:sz w:val="32"/>
          <w:szCs w:val="24"/>
        </w:rPr>
        <w:t>相应的数据标准规范</w:t>
      </w:r>
      <w:r>
        <w:rPr>
          <w:rFonts w:hint="eastAsia" w:ascii="仿宋_GB2312" w:hAnsi="宋体" w:eastAsia="仿宋_GB2312"/>
          <w:sz w:val="32"/>
          <w:szCs w:val="24"/>
        </w:rPr>
        <w:t>。</w:t>
      </w:r>
    </w:p>
    <w:p>
      <w:pPr>
        <w:pStyle w:val="10"/>
        <w:numPr>
          <w:ilvl w:val="0"/>
          <w:numId w:val="1"/>
        </w:numPr>
        <w:spacing w:line="560" w:lineRule="exact"/>
        <w:ind w:left="0" w:firstLine="640" w:firstLineChars="0"/>
        <w:rPr>
          <w:rFonts w:ascii="仿宋_GB2312" w:hAnsi="宋体" w:eastAsia="仿宋_GB2312"/>
          <w:sz w:val="32"/>
          <w:szCs w:val="24"/>
        </w:rPr>
      </w:pPr>
      <w:r>
        <w:rPr>
          <w:rFonts w:hint="eastAsia" w:ascii="仿宋_GB2312" w:hAnsi="宋体" w:eastAsia="仿宋_GB2312"/>
          <w:sz w:val="32"/>
          <w:szCs w:val="24"/>
        </w:rPr>
        <w:t>建筑物基础数据库：完成</w:t>
      </w:r>
      <w:r>
        <w:rPr>
          <w:rFonts w:ascii="仿宋_GB2312" w:hAnsi="宋体" w:eastAsia="仿宋_GB2312"/>
          <w:sz w:val="32"/>
          <w:szCs w:val="24"/>
        </w:rPr>
        <w:t>南阳市</w:t>
      </w:r>
      <w:r>
        <w:rPr>
          <w:rFonts w:hint="eastAsia" w:ascii="仿宋_GB2312" w:hAnsi="宋体" w:eastAsia="仿宋_GB2312"/>
          <w:sz w:val="32"/>
          <w:szCs w:val="24"/>
        </w:rPr>
        <w:t>规划区（包括中心</w:t>
      </w:r>
      <w:r>
        <w:rPr>
          <w:rFonts w:ascii="仿宋_GB2312" w:hAnsi="宋体" w:eastAsia="仿宋_GB2312"/>
          <w:sz w:val="32"/>
          <w:szCs w:val="24"/>
        </w:rPr>
        <w:t>城区与郊区</w:t>
      </w:r>
      <w:r>
        <w:rPr>
          <w:rFonts w:hint="eastAsia" w:ascii="仿宋_GB2312" w:hAnsi="宋体" w:eastAsia="仿宋_GB2312"/>
          <w:sz w:val="32"/>
          <w:szCs w:val="24"/>
        </w:rPr>
        <w:t>，</w:t>
      </w:r>
      <w:r>
        <w:rPr>
          <w:rFonts w:ascii="仿宋_GB2312" w:hAnsi="宋体" w:eastAsia="仿宋_GB2312"/>
          <w:sz w:val="32"/>
          <w:szCs w:val="24"/>
        </w:rPr>
        <w:t>面积</w:t>
      </w:r>
      <w:r>
        <w:rPr>
          <w:rFonts w:hint="eastAsia" w:ascii="仿宋_GB2312" w:hAnsi="宋体" w:eastAsia="仿宋_GB2312"/>
          <w:sz w:val="32"/>
          <w:szCs w:val="24"/>
        </w:rPr>
        <w:t>约</w:t>
      </w:r>
      <w:r>
        <w:rPr>
          <w:rFonts w:ascii="仿宋_GB2312" w:hAnsi="宋体" w:eastAsia="仿宋_GB2312"/>
          <w:sz w:val="32"/>
          <w:szCs w:val="24"/>
        </w:rPr>
        <w:t>450</w:t>
      </w:r>
      <w:r>
        <w:rPr>
          <w:rFonts w:hint="eastAsia" w:ascii="仿宋_GB2312" w:hAnsi="宋体" w:eastAsia="仿宋_GB2312"/>
          <w:sz w:val="32"/>
          <w:szCs w:val="24"/>
        </w:rPr>
        <w:t>平方</w:t>
      </w:r>
      <w:r>
        <w:rPr>
          <w:rFonts w:ascii="仿宋_GB2312" w:hAnsi="宋体" w:eastAsia="仿宋_GB2312"/>
          <w:sz w:val="32"/>
          <w:szCs w:val="24"/>
        </w:rPr>
        <w:t>公里）</w:t>
      </w:r>
      <w:r>
        <w:rPr>
          <w:rFonts w:hint="eastAsia" w:ascii="仿宋_GB2312" w:hAnsi="宋体" w:eastAsia="仿宋_GB2312"/>
          <w:sz w:val="32"/>
          <w:szCs w:val="24"/>
        </w:rPr>
        <w:t>建筑物信息采集，并</w:t>
      </w:r>
      <w:r>
        <w:rPr>
          <w:rFonts w:ascii="仿宋_GB2312" w:hAnsi="宋体" w:eastAsia="仿宋_GB2312"/>
          <w:sz w:val="32"/>
          <w:szCs w:val="24"/>
        </w:rPr>
        <w:t>建设</w:t>
      </w:r>
      <w:r>
        <w:rPr>
          <w:rFonts w:hint="eastAsia" w:ascii="仿宋_GB2312" w:hAnsi="宋体" w:eastAsia="仿宋_GB2312"/>
          <w:sz w:val="32"/>
          <w:szCs w:val="24"/>
        </w:rPr>
        <w:t>满足智慧南阳所需的建筑物基础数据库，为城市管理提供时效性强、准确性高、全面完整的空间信息和决策依据</w:t>
      </w:r>
      <w:r>
        <w:rPr>
          <w:rFonts w:ascii="仿宋_GB2312" w:hAnsi="宋体" w:eastAsia="仿宋_GB2312"/>
          <w:sz w:val="32"/>
          <w:szCs w:val="24"/>
        </w:rPr>
        <w:t>。</w:t>
      </w:r>
    </w:p>
    <w:p>
      <w:pPr>
        <w:pStyle w:val="10"/>
        <w:numPr>
          <w:ilvl w:val="0"/>
          <w:numId w:val="1"/>
        </w:numPr>
        <w:spacing w:line="560" w:lineRule="exact"/>
        <w:ind w:left="0" w:firstLine="640" w:firstLineChars="0"/>
        <w:rPr>
          <w:rFonts w:ascii="仿宋_GB2312" w:hAnsi="宋体" w:eastAsia="仿宋_GB2312"/>
          <w:sz w:val="32"/>
          <w:szCs w:val="24"/>
        </w:rPr>
      </w:pPr>
      <w:r>
        <w:rPr>
          <w:rFonts w:hint="eastAsia" w:ascii="仿宋_GB2312" w:hAnsi="宋体" w:eastAsia="仿宋_GB2312"/>
          <w:sz w:val="32"/>
          <w:szCs w:val="24"/>
        </w:rPr>
        <w:t>地名地址数据库：采集南阳市规划区重要地名、楼牌、门牌（大门牌、中门牌、小门牌/梯位牌、室牌）信息</w:t>
      </w:r>
      <w:r>
        <w:rPr>
          <w:rFonts w:ascii="仿宋_GB2312" w:hAnsi="宋体" w:eastAsia="仿宋_GB2312"/>
          <w:sz w:val="32"/>
          <w:szCs w:val="24"/>
        </w:rPr>
        <w:t>，</w:t>
      </w:r>
      <w:r>
        <w:rPr>
          <w:rFonts w:hint="eastAsia" w:ascii="仿宋_GB2312" w:hAnsi="宋体" w:eastAsia="仿宋_GB2312"/>
          <w:sz w:val="32"/>
          <w:szCs w:val="24"/>
        </w:rPr>
        <w:t>并对</w:t>
      </w:r>
      <w:r>
        <w:rPr>
          <w:rFonts w:ascii="仿宋_GB2312" w:hAnsi="宋体" w:eastAsia="仿宋_GB2312"/>
          <w:sz w:val="32"/>
          <w:szCs w:val="24"/>
        </w:rPr>
        <w:t>外业</w:t>
      </w:r>
      <w:r>
        <w:rPr>
          <w:rFonts w:hint="eastAsia" w:ascii="仿宋_GB2312" w:hAnsi="宋体" w:eastAsia="仿宋_GB2312"/>
          <w:sz w:val="32"/>
          <w:szCs w:val="24"/>
        </w:rPr>
        <w:t>采集</w:t>
      </w:r>
      <w:r>
        <w:rPr>
          <w:rFonts w:ascii="仿宋_GB2312" w:hAnsi="宋体" w:eastAsia="仿宋_GB2312"/>
          <w:sz w:val="32"/>
          <w:szCs w:val="24"/>
        </w:rPr>
        <w:t>的地名地址数据</w:t>
      </w:r>
      <w:r>
        <w:rPr>
          <w:rFonts w:hint="eastAsia" w:ascii="仿宋_GB2312" w:hAnsi="宋体" w:eastAsia="仿宋_GB2312"/>
          <w:sz w:val="32"/>
          <w:szCs w:val="24"/>
        </w:rPr>
        <w:t>进行整理入库，同时整合南阳市已有的民政地名地址数据与</w:t>
      </w:r>
      <w:r>
        <w:rPr>
          <w:rFonts w:ascii="仿宋_GB2312" w:hAnsi="宋体" w:eastAsia="仿宋_GB2312"/>
          <w:sz w:val="32"/>
          <w:szCs w:val="24"/>
        </w:rPr>
        <w:t>兴趣点数据</w:t>
      </w:r>
      <w:r>
        <w:rPr>
          <w:rFonts w:hint="eastAsia" w:ascii="仿宋_GB2312" w:hAnsi="宋体" w:eastAsia="仿宋_GB2312"/>
          <w:sz w:val="32"/>
          <w:szCs w:val="24"/>
        </w:rPr>
        <w:t>，最终形成符合智慧南阳建设需求的地名地址数据库。</w:t>
      </w:r>
    </w:p>
    <w:p>
      <w:pPr>
        <w:pStyle w:val="10"/>
        <w:numPr>
          <w:ilvl w:val="0"/>
          <w:numId w:val="1"/>
        </w:numPr>
        <w:spacing w:line="560" w:lineRule="exact"/>
        <w:ind w:left="0" w:firstLine="640" w:firstLineChars="0"/>
        <w:rPr>
          <w:rFonts w:ascii="仿宋_GB2312" w:hAnsi="宋体" w:eastAsia="仿宋_GB2312"/>
          <w:sz w:val="32"/>
          <w:szCs w:val="24"/>
        </w:rPr>
      </w:pPr>
      <w:r>
        <w:rPr>
          <w:rFonts w:hint="eastAsia" w:ascii="仿宋_GB2312" w:hAnsi="宋体" w:eastAsia="仿宋_GB2312"/>
          <w:sz w:val="32"/>
          <w:szCs w:val="24"/>
        </w:rPr>
        <w:t>建筑物与地名地址数据库管理系统：建设面向建筑物与地名地址数据的数据管理系统，实现对各类数据的入库、更新、管理和地图配置，同时为全市各个部门提供建筑物与地名地址信息的</w:t>
      </w:r>
      <w:r>
        <w:rPr>
          <w:rFonts w:ascii="仿宋_GB2312" w:hAnsi="宋体" w:eastAsia="仿宋_GB2312"/>
          <w:sz w:val="32"/>
          <w:szCs w:val="24"/>
        </w:rPr>
        <w:t>发布与</w:t>
      </w:r>
      <w:r>
        <w:rPr>
          <w:rFonts w:hint="eastAsia" w:ascii="仿宋_GB2312" w:hAnsi="宋体" w:eastAsia="仿宋_GB2312"/>
          <w:sz w:val="32"/>
          <w:szCs w:val="24"/>
        </w:rPr>
        <w:t>共享服务。</w:t>
      </w:r>
    </w:p>
    <w:p>
      <w:pPr>
        <w:pStyle w:val="10"/>
        <w:spacing w:line="560" w:lineRule="exact"/>
        <w:ind w:firstLine="566" w:firstLineChars="177"/>
        <w:rPr>
          <w:rFonts w:hint="eastAsia" w:ascii="仿宋_GB2312" w:hAnsi="宋体" w:eastAsia="仿宋_GB2312"/>
          <w:sz w:val="32"/>
          <w:szCs w:val="24"/>
        </w:rPr>
      </w:pPr>
      <w:r>
        <w:rPr>
          <w:rFonts w:hint="eastAsia" w:ascii="仿宋_GB2312" w:hAnsi="宋体" w:eastAsia="仿宋_GB2312"/>
          <w:sz w:val="32"/>
          <w:szCs w:val="24"/>
        </w:rPr>
        <w:t>本项目已建设完成并于2019年8月通过验收，相关成果已广泛共享应用。项目总投资为2198万元，2020年计划投资109.</w:t>
      </w:r>
      <w:r>
        <w:rPr>
          <w:rFonts w:ascii="仿宋_GB2312" w:hAnsi="宋体" w:eastAsia="仿宋_GB2312"/>
          <w:sz w:val="32"/>
          <w:szCs w:val="24"/>
        </w:rPr>
        <w:t>9</w:t>
      </w:r>
      <w:r>
        <w:rPr>
          <w:rFonts w:hint="eastAsia" w:ascii="仿宋_GB2312" w:hAnsi="宋体" w:eastAsia="仿宋_GB2312"/>
          <w:sz w:val="32"/>
          <w:szCs w:val="24"/>
        </w:rPr>
        <w:t>万元，完成投资109.9万元。</w:t>
      </w:r>
    </w:p>
    <w:p>
      <w:pPr>
        <w:spacing w:line="600" w:lineRule="exact"/>
        <w:ind w:firstLine="600" w:firstLineChars="200"/>
        <w:rPr>
          <w:rFonts w:ascii="仿宋_GB2312"/>
        </w:rPr>
      </w:pPr>
      <w:r>
        <w:rPr>
          <w:rFonts w:hint="eastAsia" w:ascii="仿宋_GB2312"/>
        </w:rPr>
        <w:t>（二）项目绩效目标。包括总体目标和阶段性目标。</w:t>
      </w:r>
    </w:p>
    <w:p>
      <w:pPr>
        <w:pStyle w:val="10"/>
        <w:spacing w:line="560" w:lineRule="exact"/>
        <w:ind w:firstLine="640"/>
        <w:rPr>
          <w:rFonts w:ascii="仿宋_GB2312" w:hAnsi="宋体" w:eastAsia="仿宋_GB2312"/>
          <w:sz w:val="32"/>
          <w:szCs w:val="24"/>
        </w:rPr>
      </w:pPr>
      <w:r>
        <w:rPr>
          <w:rFonts w:hint="eastAsia" w:ascii="仿宋_GB2312" w:hAnsi="宋体" w:eastAsia="仿宋_GB2312"/>
          <w:sz w:val="32"/>
          <w:szCs w:val="24"/>
        </w:rPr>
        <w:t>1、项目总体目标</w:t>
      </w:r>
    </w:p>
    <w:p>
      <w:pPr>
        <w:pStyle w:val="10"/>
        <w:spacing w:line="560" w:lineRule="exact"/>
        <w:ind w:firstLine="640"/>
        <w:rPr>
          <w:rFonts w:hint="eastAsia" w:ascii="仿宋_GB2312" w:hAnsi="宋体" w:eastAsia="仿宋_GB2312"/>
          <w:sz w:val="32"/>
          <w:szCs w:val="24"/>
        </w:rPr>
      </w:pPr>
      <w:r>
        <w:rPr>
          <w:rFonts w:hint="eastAsia" w:ascii="仿宋_GB2312" w:hAnsi="宋体" w:eastAsia="仿宋_GB2312"/>
          <w:sz w:val="32"/>
          <w:szCs w:val="24"/>
        </w:rPr>
        <w:t>通过建设智慧南阳建筑物和地名地址基础数据库，实现基础空间数据库、人口基础数据库、法人基础数据库和宏观经济数据库四大基础数据库的有机结合，实现建筑物与地名地址数据库建设过程中应用和更新相互促进和推动；有效解决建筑物和地名地址信息更新难的问题，有效地解决规划管理、规划编制和规划研究过程中对现状不清的问题，从而提升政务信息化和科学化水平，为智慧城市的各类资源与经济发展要素数据的地址落图提供支撑，并可基于地名地址实现如税源分析、人口分布合理性分析、城管数据分析等需要与空间关联的业务分析，切实为“智慧城市”建设提供准确、可靠的重要数据支撑。</w:t>
      </w:r>
    </w:p>
    <w:p>
      <w:pPr>
        <w:spacing w:line="600" w:lineRule="exact"/>
        <w:ind w:firstLine="600" w:firstLineChars="200"/>
        <w:rPr>
          <w:rFonts w:ascii="仿宋_GB2312"/>
        </w:rPr>
      </w:pPr>
      <w:r>
        <w:rPr>
          <w:rFonts w:ascii="仿宋_GB2312"/>
        </w:rPr>
        <w:t>2</w:t>
      </w:r>
      <w:r>
        <w:rPr>
          <w:rFonts w:hint="eastAsia" w:ascii="仿宋_GB2312"/>
        </w:rPr>
        <w:t>、阶段性目标</w:t>
      </w:r>
    </w:p>
    <w:p>
      <w:pPr>
        <w:spacing w:line="600" w:lineRule="exact"/>
        <w:ind w:firstLine="600" w:firstLineChars="200"/>
        <w:rPr>
          <w:rFonts w:ascii="仿宋_GB2312"/>
        </w:rPr>
      </w:pPr>
      <w:r>
        <w:rPr>
          <w:rFonts w:hint="eastAsia" w:ascii="仿宋_GB2312"/>
        </w:rPr>
        <w:t>按照资金投资计划完成2020年度预算资金投资。</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ascii="仿宋_GB2312"/>
        </w:rPr>
      </w:pPr>
      <w:r>
        <w:rPr>
          <w:rFonts w:hint="eastAsia" w:ascii="仿宋_GB2312"/>
        </w:rPr>
        <w:t>（一）绩效评价目的、对象和范围。</w:t>
      </w:r>
    </w:p>
    <w:p>
      <w:pPr>
        <w:spacing w:line="600" w:lineRule="exact"/>
        <w:ind w:firstLine="600" w:firstLineChars="200"/>
        <w:rPr>
          <w:rFonts w:ascii="仿宋_GB2312"/>
        </w:rPr>
      </w:pPr>
      <w:r>
        <w:rPr>
          <w:rFonts w:hint="eastAsia" w:ascii="仿宋_GB2312"/>
        </w:rPr>
        <w:t xml:space="preserve"> 严格执行《中华人民共和国预算法》，强化支出责任，提高自然资源事业资金使用效益，对自然资源事务项目支出开展绩效评价。</w:t>
      </w:r>
    </w:p>
    <w:p>
      <w:pPr>
        <w:spacing w:line="600" w:lineRule="exact"/>
        <w:ind w:firstLine="600" w:firstLineChars="200"/>
        <w:rPr>
          <w:rFonts w:ascii="仿宋_GB2312"/>
        </w:rPr>
      </w:pPr>
      <w:r>
        <w:rPr>
          <w:rFonts w:hint="eastAsia" w:ascii="仿宋_GB2312"/>
        </w:rPr>
        <w:t>（二）绩效评价原则、评价指标体系（附表说明）、评价方法、评价标准等。</w:t>
      </w:r>
    </w:p>
    <w:p>
      <w:pPr>
        <w:spacing w:line="600" w:lineRule="exact"/>
        <w:ind w:firstLine="600" w:firstLineChars="200"/>
        <w:rPr>
          <w:rFonts w:ascii="仿宋_GB2312"/>
        </w:rPr>
      </w:pPr>
      <w:r>
        <w:rPr>
          <w:rFonts w:hint="eastAsia" w:ascii="仿宋_GB2312"/>
        </w:rPr>
        <w:t>本着客观公正和有效性原则，按照设定的绩效评价指标体系，成立2020年度项目支出绩效评价小组，由相关业务科室抽选人员进行评价打分，由项目负责人整理汇总。</w:t>
      </w:r>
    </w:p>
    <w:p>
      <w:pPr>
        <w:spacing w:line="600" w:lineRule="exact"/>
        <w:ind w:firstLine="600" w:firstLineChars="200"/>
        <w:rPr>
          <w:rFonts w:ascii="仿宋_GB2312"/>
        </w:rPr>
      </w:pPr>
      <w:r>
        <w:rPr>
          <w:rFonts w:hint="eastAsia" w:ascii="仿宋_GB2312"/>
        </w:rPr>
        <w:t>（三）绩效评价工作过程。</w:t>
      </w:r>
    </w:p>
    <w:p>
      <w:pPr>
        <w:spacing w:line="600" w:lineRule="exact"/>
        <w:ind w:firstLine="600" w:firstLineChars="200"/>
        <w:rPr>
          <w:rFonts w:ascii="仿宋_GB2312"/>
        </w:rPr>
      </w:pPr>
      <w:r>
        <w:rPr>
          <w:rFonts w:hint="eastAsia" w:ascii="仿宋_GB2312"/>
        </w:rPr>
        <w:t xml:space="preserve">1、成立绩效评价小组，学习绩效评价相关文件要求和绩效评价参考设计指标体系。2、组织实施，按照规定的工作程序组织绩效评价自评，注重评价质量，撰写绩效评价报告。3、对评价结果进行反馈整改，充分运用评价结果提高项目支出综合效益。  </w:t>
      </w:r>
      <w:r>
        <w:rPr>
          <w:rFonts w:hint="eastAsia" w:ascii="黑体" w:hAnsi="黑体" w:eastAsia="黑体"/>
        </w:rPr>
        <w:t>三、综合评价情况及评价结论</w:t>
      </w:r>
      <w:r>
        <w:rPr>
          <w:rFonts w:hint="eastAsia" w:ascii="仿宋_GB2312"/>
        </w:rPr>
        <w:t>（附相关评分表）</w:t>
      </w:r>
    </w:p>
    <w:p>
      <w:pPr>
        <w:spacing w:line="600" w:lineRule="exact"/>
        <w:ind w:firstLine="600" w:firstLineChars="200"/>
        <w:rPr>
          <w:rFonts w:ascii="仿宋_GB2312"/>
        </w:rPr>
      </w:pPr>
      <w:r>
        <w:rPr>
          <w:rFonts w:hint="eastAsia" w:ascii="仿宋_GB2312"/>
        </w:rPr>
        <w:t xml:space="preserve"> 根据项目支出绩效自评表逐项打分，该项目评价结果为优，自评分数9</w:t>
      </w:r>
      <w:r>
        <w:rPr>
          <w:rFonts w:hint="eastAsia" w:ascii="仿宋_GB2312"/>
          <w:lang w:val="en-US" w:eastAsia="zh-CN"/>
        </w:rPr>
        <w:t>7</w:t>
      </w:r>
      <w:r>
        <w:rPr>
          <w:rFonts w:hint="eastAsia" w:ascii="仿宋_GB2312"/>
        </w:rPr>
        <w:t>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40" w:firstLineChars="200"/>
        <w:outlineLvl w:val="0"/>
        <w:rPr>
          <w:rFonts w:ascii="仿宋_GB2312"/>
          <w:sz w:val="32"/>
          <w:szCs w:val="32"/>
        </w:rPr>
      </w:pPr>
      <w:r>
        <w:rPr>
          <w:rFonts w:hint="eastAsia" w:ascii="仿宋_GB2312"/>
          <w:sz w:val="32"/>
          <w:szCs w:val="32"/>
        </w:rPr>
        <w:t>（一）项目决策情况。</w:t>
      </w:r>
    </w:p>
    <w:p>
      <w:pPr>
        <w:spacing w:line="600" w:lineRule="exact"/>
        <w:ind w:firstLine="600" w:firstLineChars="200"/>
        <w:outlineLvl w:val="0"/>
        <w:rPr>
          <w:rFonts w:ascii="仿宋_GB2312"/>
        </w:rPr>
      </w:pPr>
      <w:r>
        <w:rPr>
          <w:rFonts w:hint="eastAsia" w:ascii="仿宋_GB2312"/>
        </w:rPr>
        <w:t>绩效指标明确，科学编制年初预算，预算内容与项目内容相匹配。</w:t>
      </w:r>
    </w:p>
    <w:p>
      <w:pPr>
        <w:spacing w:line="600" w:lineRule="exact"/>
        <w:ind w:firstLine="600" w:firstLineChars="200"/>
        <w:outlineLvl w:val="0"/>
        <w:rPr>
          <w:rFonts w:ascii="仿宋_GB2312"/>
        </w:rPr>
      </w:pPr>
      <w:r>
        <w:rPr>
          <w:rFonts w:hint="eastAsia" w:ascii="仿宋_GB2312"/>
        </w:rPr>
        <w:t>（二）项目过程情况。</w:t>
      </w:r>
    </w:p>
    <w:p>
      <w:pPr>
        <w:spacing w:line="600" w:lineRule="exact"/>
        <w:ind w:firstLine="600" w:firstLineChars="200"/>
        <w:outlineLvl w:val="0"/>
        <w:rPr>
          <w:rFonts w:ascii="仿宋_GB2312"/>
        </w:rPr>
      </w:pPr>
      <w:r>
        <w:rPr>
          <w:rFonts w:hint="eastAsia" w:ascii="仿宋_GB2312"/>
        </w:rPr>
        <w:t>年初预算数109.9万元，实际到位资金109.9万元，资金到位率100%，预算执行率100%。</w:t>
      </w:r>
    </w:p>
    <w:p>
      <w:pPr>
        <w:spacing w:line="600" w:lineRule="exact"/>
        <w:ind w:firstLine="600" w:firstLineChars="200"/>
        <w:outlineLvl w:val="0"/>
        <w:rPr>
          <w:rFonts w:ascii="仿宋_GB2312"/>
        </w:rPr>
      </w:pPr>
      <w:r>
        <w:rPr>
          <w:rFonts w:hint="eastAsia" w:ascii="仿宋_GB2312"/>
        </w:rPr>
        <w:t>（三）项目产出情况。</w:t>
      </w:r>
    </w:p>
    <w:p>
      <w:pPr>
        <w:spacing w:line="600" w:lineRule="exact"/>
        <w:ind w:firstLine="600" w:firstLineChars="200"/>
        <w:outlineLvl w:val="0"/>
        <w:rPr>
          <w:rFonts w:ascii="仿宋_GB2312"/>
        </w:rPr>
      </w:pPr>
      <w:r>
        <w:rPr>
          <w:rFonts w:hint="eastAsia" w:ascii="仿宋_GB2312"/>
        </w:rPr>
        <w:t>资金使用合规，无截留、挪用情况，资金使用效益明显。</w:t>
      </w:r>
    </w:p>
    <w:p>
      <w:pPr>
        <w:spacing w:line="600" w:lineRule="exact"/>
        <w:ind w:firstLine="600" w:firstLineChars="200"/>
        <w:outlineLvl w:val="0"/>
        <w:rPr>
          <w:rFonts w:ascii="仿宋_GB2312"/>
        </w:rPr>
      </w:pPr>
      <w:r>
        <w:rPr>
          <w:rFonts w:hint="eastAsia" w:ascii="仿宋_GB2312"/>
        </w:rPr>
        <w:t>（四）项目效益情况。</w:t>
      </w:r>
    </w:p>
    <w:p>
      <w:pPr>
        <w:spacing w:line="600" w:lineRule="exact"/>
        <w:ind w:firstLine="600" w:firstLineChars="200"/>
        <w:outlineLvl w:val="0"/>
        <w:rPr>
          <w:rFonts w:ascii="仿宋_GB2312"/>
        </w:rPr>
      </w:pPr>
      <w:r>
        <w:rPr>
          <w:rFonts w:hint="eastAsia"/>
        </w:rPr>
        <w:t>数据库建设完成后，将全面推动和促进“智慧城市”应用系统的发展。有利于促进南阳市循环经济的发展、推动“智慧南阳”数据基础设施</w:t>
      </w:r>
      <w:r>
        <w:t>的</w:t>
      </w:r>
      <w:r>
        <w:rPr>
          <w:rFonts w:hint="eastAsia"/>
        </w:rPr>
        <w:t>建设进程，可以有效地提高城市规划、建设与管理的决策科学化、管理现代化和服务社会化，具有巨大的社会和经济效益。</w:t>
      </w:r>
    </w:p>
    <w:p>
      <w:pPr>
        <w:spacing w:line="600" w:lineRule="exact"/>
        <w:ind w:firstLine="600" w:firstLineChars="200"/>
        <w:rPr>
          <w:rFonts w:ascii="黑体" w:hAnsi="黑体" w:eastAsia="黑体"/>
        </w:rPr>
      </w:pPr>
      <w:r>
        <w:rPr>
          <w:rFonts w:hint="eastAsia" w:ascii="黑体" w:hAnsi="黑体" w:eastAsia="黑体"/>
        </w:rPr>
        <w:t>五、主要经验及做法、存在的问题及原因分析</w:t>
      </w:r>
    </w:p>
    <w:p>
      <w:pPr>
        <w:pStyle w:val="2"/>
        <w:ind w:firstLine="480"/>
        <w:rPr>
          <w:rFonts w:ascii="仿宋_GB2312" w:hAnsi="黑体"/>
          <w:sz w:val="32"/>
        </w:rPr>
      </w:pPr>
      <w:r>
        <w:rPr>
          <w:rFonts w:hint="eastAsia" w:ascii="仿宋_GB2312" w:hAnsi="黑体"/>
          <w:sz w:val="32"/>
        </w:rPr>
        <w:t>1</w:t>
      </w:r>
      <w:r>
        <w:rPr>
          <w:rFonts w:hint="eastAsia" w:ascii="仿宋_GB2312" w:hAnsi="黑体" w:eastAsia="仿宋_GB2312" w:cs="Times New Roman"/>
          <w:kern w:val="2"/>
          <w:sz w:val="32"/>
          <w:szCs w:val="24"/>
          <w:lang w:val="en-US" w:eastAsia="zh-CN" w:bidi="ar-SA"/>
        </w:rPr>
        <w:t>、数据的充分共享，需要通过强有力的行政手段、技术指导和管理规章实现各部门间的统一管理模式、统一信息系统、统一数据格式，实现相互之间的数据交流和共享</w:t>
      </w:r>
      <w:r>
        <w:rPr>
          <w:rFonts w:hint="eastAsia" w:ascii="仿宋_GB2312" w:hAnsi="黑体"/>
          <w:sz w:val="32"/>
        </w:rPr>
        <w:t>；</w:t>
      </w:r>
    </w:p>
    <w:p>
      <w:pPr>
        <w:spacing w:line="600" w:lineRule="exact"/>
        <w:ind w:firstLine="640" w:firstLineChars="200"/>
        <w:rPr>
          <w:rFonts w:ascii="仿宋_GB2312" w:hAnsi="黑体"/>
          <w:sz w:val="32"/>
        </w:rPr>
      </w:pPr>
      <w:r>
        <w:rPr>
          <w:rFonts w:hint="eastAsia" w:ascii="仿宋_GB2312" w:hAnsi="黑体"/>
          <w:sz w:val="32"/>
        </w:rPr>
        <w:t>2、建立有效的项目沟通协调机制，及时解决工作推进过程中存在的问题，严格控制项目进度和质量，保障各项目考核任务要求得以有效落实。</w:t>
      </w:r>
    </w:p>
    <w:p>
      <w:pPr>
        <w:spacing w:line="600" w:lineRule="exact"/>
        <w:ind w:firstLine="600" w:firstLineChars="200"/>
        <w:rPr>
          <w:rFonts w:ascii="黑体" w:hAnsi="黑体" w:eastAsia="黑体"/>
        </w:rPr>
      </w:pPr>
      <w:r>
        <w:rPr>
          <w:rFonts w:hint="eastAsia" w:ascii="黑体" w:hAnsi="黑体" w:eastAsia="黑体"/>
        </w:rPr>
        <w:t>六、有关建议</w:t>
      </w:r>
    </w:p>
    <w:p>
      <w:pPr>
        <w:ind w:firstLine="640" w:firstLineChars="200"/>
        <w:rPr>
          <w:rFonts w:ascii="仿宋_GB2312" w:hAnsi="黑体"/>
          <w:sz w:val="32"/>
        </w:rPr>
      </w:pPr>
      <w:r>
        <w:rPr>
          <w:rFonts w:hint="eastAsia" w:ascii="仿宋_GB2312" w:cs="黑体"/>
          <w:snapToGrid w:val="0"/>
          <w:kern w:val="0"/>
          <w:sz w:val="32"/>
          <w:szCs w:val="32"/>
        </w:rPr>
        <w:t>项目绩效评估工作内容较细、专业性较强，建议加强对项目绩效评价人员的业务指导和培训，提高绩效评价总体工作水平。</w:t>
      </w:r>
    </w:p>
    <w:p>
      <w:pPr>
        <w:spacing w:line="600" w:lineRule="exact"/>
        <w:ind w:firstLine="600" w:firstLineChars="200"/>
        <w:rPr>
          <w:rFonts w:ascii="黑体" w:hAnsi="黑体" w:eastAsia="黑体"/>
        </w:rPr>
      </w:pPr>
      <w:r>
        <w:rPr>
          <w:rFonts w:hint="eastAsia" w:ascii="黑体" w:hAnsi="黑体" w:eastAsia="黑体"/>
        </w:rPr>
        <w:t>七、其他需要说明的问题</w:t>
      </w:r>
    </w:p>
    <w:p>
      <w:pPr>
        <w:rPr>
          <w:rFonts w:ascii="仿宋_GB2312"/>
          <w:sz w:val="32"/>
        </w:rPr>
      </w:pPr>
    </w:p>
    <w:p>
      <w:pPr>
        <w:rPr>
          <w:rFonts w:hint="eastAsia"/>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E553C"/>
    <w:multiLevelType w:val="multilevel"/>
    <w:tmpl w:val="729E553C"/>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80"/>
    <w:rsid w:val="00070E80"/>
    <w:rsid w:val="001115EC"/>
    <w:rsid w:val="001176E4"/>
    <w:rsid w:val="00261333"/>
    <w:rsid w:val="003F7C2C"/>
    <w:rsid w:val="007F7584"/>
    <w:rsid w:val="00B16ECC"/>
    <w:rsid w:val="00C25C0F"/>
    <w:rsid w:val="00CF7CEC"/>
    <w:rsid w:val="00EB7D9F"/>
    <w:rsid w:val="188C4611"/>
    <w:rsid w:val="1F4F746F"/>
    <w:rsid w:val="39E8552F"/>
    <w:rsid w:val="3B4A1359"/>
    <w:rsid w:val="4C803CCE"/>
    <w:rsid w:val="6D3A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3"/>
    <w:qFormat/>
    <w:uiPriority w:val="99"/>
    <w:pPr>
      <w:ind w:firstLine="200" w:firstLineChars="200"/>
    </w:pPr>
    <w:rPr>
      <w:sz w:val="24"/>
    </w:rPr>
  </w:style>
  <w:style w:type="paragraph" w:customStyle="1" w:styleId="3">
    <w:name w:val="正文1"/>
    <w:qFormat/>
    <w:uiPriority w:val="0"/>
    <w:pPr>
      <w:widowControl w:val="0"/>
      <w:spacing w:line="360" w:lineRule="auto"/>
      <w:jc w:val="both"/>
    </w:pPr>
    <w:rPr>
      <w:rFonts w:ascii="Times New Roman" w:hAnsi="Times New Roman" w:eastAsia="宋体" w:cs="Times New Roman"/>
      <w:sz w:val="28"/>
      <w:szCs w:val="24"/>
      <w:lang w:val="en-US" w:eastAsia="zh-CN" w:bidi="ar-SA"/>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paragraph" w:styleId="10">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1277</Characters>
  <Lines>10</Lines>
  <Paragraphs>2</Paragraphs>
  <TotalTime>0</TotalTime>
  <ScaleCrop>false</ScaleCrop>
  <LinksUpToDate>false</LinksUpToDate>
  <CharactersWithSpaces>1499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2021-03-17T08:40:00Z</dcterms:created>
  <dc:creator>1 2</dc:creator>
  <cp:lastModifiedBy>Administrator</cp:lastModifiedBy>
  <dcterms:modified xsi:type="dcterms:W3CDTF">2022-02-14T07:09:46Z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FB785EFC98F84B89A8472404B7B73319</vt:lpwstr>
  </property>
</Properties>
</file>