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w:t>
      </w:r>
    </w:p>
    <w:p>
      <w:pPr>
        <w:jc w:val="center"/>
        <w:rPr>
          <w:rFonts w:ascii="Arial" w:hAnsi="Arial" w:eastAsia="宋体" w:cs="Arial"/>
          <w:b/>
          <w:bCs/>
          <w:sz w:val="36"/>
          <w:szCs w:val="36"/>
        </w:rPr>
      </w:pPr>
      <w:bookmarkStart w:id="1" w:name="_GoBack"/>
      <w:r>
        <w:rPr>
          <w:rFonts w:hint="eastAsia" w:ascii="宋体" w:hAnsi="宋体" w:eastAsia="宋体" w:cs="Arial"/>
          <w:b/>
          <w:bCs/>
          <w:sz w:val="36"/>
          <w:szCs w:val="36"/>
        </w:rPr>
        <w:t>河南省水稻产业技术体系南阳综合试验站项目</w:t>
      </w:r>
      <w:r>
        <w:rPr>
          <w:rFonts w:ascii="宋体" w:hAnsi="宋体" w:eastAsia="宋体" w:cs="Arial"/>
          <w:b/>
          <w:bCs/>
          <w:sz w:val="36"/>
          <w:szCs w:val="36"/>
        </w:rPr>
        <w:t>绩效</w:t>
      </w:r>
      <w:r>
        <w:rPr>
          <w:rFonts w:hint="eastAsia" w:ascii="宋体" w:hAnsi="宋体" w:eastAsia="宋体" w:cs="Arial"/>
          <w:b/>
          <w:bCs/>
          <w:sz w:val="36"/>
          <w:szCs w:val="36"/>
        </w:rPr>
        <w:t>评价报告</w:t>
      </w:r>
      <w:bookmarkEnd w:id="1"/>
    </w:p>
    <w:p>
      <w:pPr>
        <w:jc w:val="center"/>
        <w:rPr>
          <w:rFonts w:ascii="仿宋_GB2312"/>
          <w:szCs w:val="30"/>
        </w:rPr>
      </w:pP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ascii="仿宋_GB2312"/>
        </w:rPr>
      </w:pPr>
      <w:r>
        <w:rPr>
          <w:rFonts w:hint="eastAsia" w:ascii="仿宋_GB2312"/>
        </w:rPr>
        <w:t>（一）项目概况。包括项目背景、主要内容及实施情况、资金投入和使用情况等。</w:t>
      </w:r>
    </w:p>
    <w:p>
      <w:pPr>
        <w:tabs>
          <w:tab w:val="left" w:pos="720"/>
          <w:tab w:val="left" w:pos="960"/>
          <w:tab w:val="left" w:pos="8280"/>
        </w:tabs>
        <w:spacing w:line="600" w:lineRule="exact"/>
        <w:ind w:firstLine="600" w:firstLineChars="200"/>
        <w:rPr>
          <w:rFonts w:ascii="仿宋_GB2312"/>
        </w:rPr>
      </w:pPr>
      <w:r>
        <w:rPr>
          <w:rFonts w:hint="eastAsia" w:ascii="仿宋_GB2312"/>
        </w:rPr>
        <w:t>2</w:t>
      </w:r>
      <w:r>
        <w:rPr>
          <w:rFonts w:ascii="仿宋_GB2312"/>
        </w:rPr>
        <w:t>020年度</w:t>
      </w:r>
      <w:r>
        <w:rPr>
          <w:rFonts w:hint="eastAsia" w:ascii="仿宋_GB2312"/>
        </w:rPr>
        <w:t>南阳综合</w:t>
      </w:r>
      <w:r>
        <w:rPr>
          <w:rFonts w:ascii="仿宋_GB2312"/>
        </w:rPr>
        <w:t>试验站团队共获得专项资金20万元，于2020年5月划拨到位，单立账户，全部用于试验站团队建设、试验研究、示范推广及成果转化应用等各方面的支出。</w:t>
      </w:r>
      <w:r>
        <w:rPr>
          <w:rFonts w:hint="eastAsia" w:ascii="仿宋_GB2312"/>
        </w:rPr>
        <w:t>南阳水稻试验站依托单位在经费管理上高度重视，安排财务人员对项目经费进行严格的核算制度，在经费使用过程中严格按照预算及《河南省现代农业产业技术体系建设专项资金管理试行办法》和《南阳市农业科学院经费支出管理办法》的有关规定，遵循专款专用、高效透明的原则。</w:t>
      </w:r>
    </w:p>
    <w:p>
      <w:pPr>
        <w:spacing w:line="600" w:lineRule="exact"/>
        <w:ind w:firstLine="600" w:firstLineChars="200"/>
        <w:rPr>
          <w:rFonts w:ascii="仿宋_GB2312"/>
        </w:rPr>
      </w:pPr>
      <w:r>
        <w:rPr>
          <w:rFonts w:hint="eastAsia" w:ascii="仿宋_GB2312"/>
        </w:rPr>
        <w:t>（二）项目绩效目标。包括总体目标和阶段性目标。</w:t>
      </w:r>
    </w:p>
    <w:p>
      <w:pPr>
        <w:ind w:firstLine="600" w:firstLineChars="200"/>
        <w:rPr>
          <w:rFonts w:ascii="仿宋_GB2312"/>
          <w:kern w:val="44"/>
          <w:sz w:val="32"/>
          <w:szCs w:val="32"/>
        </w:rPr>
      </w:pPr>
      <w:r>
        <w:rPr>
          <w:rFonts w:hint="eastAsia" w:ascii="仿宋_GB2312"/>
        </w:rPr>
        <w:t>以服务豫西南水稻产业发展需求和促进稻米供给侧改革为宗旨，承接国家和省产业技术体系科技成果转化应用，引进示范优质、高产、高效水稻品种，开展南阳麦后直播稻新品种选育及配套技术研究、水稻种养高效技术模式研究与产业化应用、水稻绿色高效简化生产技术推广与产业化应用；为本区域农技人员、新型农业经营主体、农户进行技术培训和信息服务；开展水稻产业发展重大技术问题调研，调查制约产业发展的技术瓶颈与需求；服务“一三五五”工作，为南阳稻区的新型农业经营主体提供新信息、新产品、新技术，提供技术咨询、技术培训、技术服务、技术指导；开展产业技术发展规划与产业经济政策研究，为政府部门决策产业发展提供咨询建议。</w:t>
      </w:r>
    </w:p>
    <w:tbl>
      <w:tblPr>
        <w:tblStyle w:val="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2537" w:type="dxa"/>
            <w:tcBorders>
              <w:top w:val="single" w:color="auto" w:sz="12" w:space="0"/>
              <w:left w:val="single" w:color="auto" w:sz="12" w:space="0"/>
              <w:bottom w:val="single" w:color="auto" w:sz="12" w:space="0"/>
            </w:tcBorders>
          </w:tcPr>
          <w:p>
            <w:pPr>
              <w:spacing w:line="440" w:lineRule="exact"/>
              <w:jc w:val="center"/>
              <w:rPr>
                <w:rFonts w:ascii="仿宋" w:hAnsi="仿宋" w:eastAsia="仿宋"/>
                <w:b/>
                <w:bCs/>
                <w:sz w:val="28"/>
                <w:szCs w:val="28"/>
              </w:rPr>
            </w:pPr>
            <w:r>
              <w:rPr>
                <w:rFonts w:hint="eastAsia" w:ascii="仿宋" w:hAnsi="仿宋" w:eastAsia="仿宋"/>
                <w:b/>
                <w:bCs/>
                <w:sz w:val="28"/>
                <w:szCs w:val="28"/>
              </w:rPr>
              <w:t>绩效指标设定</w:t>
            </w:r>
          </w:p>
        </w:tc>
        <w:tc>
          <w:tcPr>
            <w:tcW w:w="6508" w:type="dxa"/>
            <w:tcBorders>
              <w:top w:val="single" w:color="auto" w:sz="12" w:space="0"/>
              <w:bottom w:val="single" w:color="auto" w:sz="12" w:space="0"/>
            </w:tcBorders>
            <w:vAlign w:val="center"/>
          </w:tcPr>
          <w:p>
            <w:pPr>
              <w:spacing w:line="440" w:lineRule="exact"/>
              <w:jc w:val="center"/>
              <w:rPr>
                <w:rFonts w:ascii="仿宋" w:hAnsi="仿宋" w:eastAsia="仿宋"/>
                <w:b/>
                <w:sz w:val="28"/>
                <w:szCs w:val="28"/>
              </w:rPr>
            </w:pPr>
            <w:r>
              <w:rPr>
                <w:rFonts w:hint="eastAsia" w:ascii="仿宋" w:hAnsi="仿宋" w:eastAsia="仿宋"/>
                <w:b/>
                <w:sz w:val="28"/>
                <w:szCs w:val="28"/>
              </w:rPr>
              <w:t>预期工作目标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Header/>
          <w:jc w:val="center"/>
        </w:trPr>
        <w:tc>
          <w:tcPr>
            <w:tcW w:w="2537" w:type="dxa"/>
            <w:tcBorders>
              <w:top w:val="single" w:color="auto" w:sz="12" w:space="0"/>
              <w:left w:val="single" w:color="auto" w:sz="12" w:space="0"/>
            </w:tcBorders>
            <w:vAlign w:val="center"/>
          </w:tcPr>
          <w:p>
            <w:pPr>
              <w:spacing w:line="440" w:lineRule="exact"/>
              <w:jc w:val="center"/>
              <w:rPr>
                <w:rFonts w:ascii="仿宋" w:hAnsi="仿宋" w:eastAsia="仿宋"/>
                <w:b/>
                <w:sz w:val="28"/>
              </w:rPr>
            </w:pPr>
            <w:r>
              <w:rPr>
                <w:rFonts w:hint="eastAsia" w:ascii="仿宋" w:hAnsi="仿宋" w:eastAsia="仿宋"/>
                <w:b/>
                <w:sz w:val="28"/>
              </w:rPr>
              <w:t>科研创新</w:t>
            </w:r>
          </w:p>
        </w:tc>
        <w:tc>
          <w:tcPr>
            <w:tcW w:w="6508" w:type="dxa"/>
            <w:tcBorders>
              <w:top w:val="single" w:color="auto" w:sz="12" w:space="0"/>
            </w:tcBorders>
            <w:vAlign w:val="center"/>
          </w:tcPr>
          <w:p>
            <w:pPr>
              <w:spacing w:line="280" w:lineRule="exact"/>
              <w:rPr>
                <w:rFonts w:ascii="宋体" w:hAnsi="宋体" w:cs="宋体"/>
                <w:color w:val="333333"/>
                <w:sz w:val="21"/>
                <w:szCs w:val="15"/>
              </w:rPr>
            </w:pPr>
            <w:r>
              <w:rPr>
                <w:rFonts w:hint="eastAsia" w:ascii="宋体" w:hAnsi="宋体" w:cs="宋体"/>
                <w:color w:val="333333"/>
                <w:sz w:val="21"/>
                <w:szCs w:val="15"/>
              </w:rPr>
              <w:t>1. 承担首席和岗位专家下达的各项试验任务。</w:t>
            </w:r>
          </w:p>
          <w:p>
            <w:pPr>
              <w:spacing w:line="280" w:lineRule="exact"/>
              <w:rPr>
                <w:rFonts w:ascii="宋体" w:hAnsi="宋体" w:cs="宋体"/>
                <w:color w:val="333333"/>
                <w:sz w:val="21"/>
                <w:szCs w:val="15"/>
              </w:rPr>
            </w:pPr>
            <w:r>
              <w:rPr>
                <w:rFonts w:ascii="宋体" w:hAnsi="宋体" w:cs="宋体"/>
                <w:color w:val="333333"/>
                <w:sz w:val="21"/>
                <w:szCs w:val="15"/>
              </w:rPr>
              <w:t>2.</w:t>
            </w:r>
            <w:r>
              <w:rPr>
                <w:rFonts w:hint="eastAsia" w:ascii="宋体" w:hAnsi="宋体" w:cs="宋体"/>
                <w:color w:val="333333"/>
                <w:sz w:val="21"/>
                <w:szCs w:val="15"/>
              </w:rPr>
              <w:t xml:space="preserve"> 利用已建立的本区域信息采集点，完成水稻产业需求的调研与信息采集等各项任务。</w:t>
            </w:r>
          </w:p>
          <w:p>
            <w:pPr>
              <w:spacing w:line="280" w:lineRule="exact"/>
              <w:rPr>
                <w:rFonts w:ascii="宋体" w:hAnsi="宋体" w:cs="宋体"/>
                <w:color w:val="333333"/>
                <w:sz w:val="21"/>
                <w:szCs w:val="15"/>
              </w:rPr>
            </w:pPr>
            <w:r>
              <w:rPr>
                <w:rFonts w:ascii="宋体" w:hAnsi="宋体" w:cs="宋体"/>
                <w:color w:val="333333"/>
                <w:sz w:val="21"/>
                <w:szCs w:val="15"/>
              </w:rPr>
              <w:t>3.</w:t>
            </w:r>
            <w:r>
              <w:rPr>
                <w:rFonts w:hint="eastAsia" w:ascii="宋体" w:hAnsi="宋体" w:cs="宋体"/>
                <w:color w:val="333333"/>
                <w:sz w:val="21"/>
                <w:szCs w:val="15"/>
              </w:rPr>
              <w:t xml:space="preserve"> 在首席科学家的指导下开展本生态区优质、高产、高效水稻简化</w:t>
            </w:r>
            <w:r>
              <w:rPr>
                <w:rFonts w:hint="eastAsia" w:ascii="宋体" w:hAnsi="宋体"/>
                <w:sz w:val="21"/>
                <w:szCs w:val="15"/>
              </w:rPr>
              <w:t>生产技术及产业化研究。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Header/>
          <w:jc w:val="center"/>
        </w:trPr>
        <w:tc>
          <w:tcPr>
            <w:tcW w:w="2537" w:type="dxa"/>
            <w:tcBorders>
              <w:left w:val="single" w:color="auto" w:sz="12" w:space="0"/>
            </w:tcBorders>
            <w:vAlign w:val="center"/>
          </w:tcPr>
          <w:p>
            <w:pPr>
              <w:spacing w:line="440" w:lineRule="exact"/>
              <w:jc w:val="center"/>
              <w:rPr>
                <w:rFonts w:ascii="仿宋" w:hAnsi="仿宋" w:eastAsia="仿宋"/>
                <w:b/>
                <w:sz w:val="28"/>
              </w:rPr>
            </w:pPr>
            <w:r>
              <w:rPr>
                <w:rFonts w:hint="eastAsia" w:ascii="仿宋" w:hAnsi="仿宋" w:eastAsia="仿宋"/>
                <w:b/>
                <w:sz w:val="28"/>
              </w:rPr>
              <w:t>产业支撑</w:t>
            </w:r>
          </w:p>
        </w:tc>
        <w:tc>
          <w:tcPr>
            <w:tcW w:w="6508" w:type="dxa"/>
            <w:vAlign w:val="center"/>
          </w:tcPr>
          <w:p>
            <w:pPr>
              <w:spacing w:line="280" w:lineRule="exact"/>
              <w:ind w:firstLine="420" w:firstLineChars="200"/>
              <w:rPr>
                <w:rFonts w:ascii="宋体" w:hAnsi="宋体" w:cs="宋体"/>
                <w:color w:val="333333"/>
                <w:sz w:val="21"/>
                <w:szCs w:val="15"/>
              </w:rPr>
            </w:pPr>
            <w:r>
              <w:rPr>
                <w:rFonts w:hint="eastAsia" w:ascii="宋体" w:hAnsi="宋体" w:cs="宋体"/>
                <w:color w:val="333333"/>
                <w:sz w:val="21"/>
                <w:szCs w:val="15"/>
              </w:rPr>
              <w:t>在联系的示范县建立示范点，并针对对接的新型农业经营主体开展新品种的栽培、植保、农机、土肥、储藏加工等新技术、新产品等试验、展示、示范工作。在本区域建立水稻产业技术体系10-50亩水稻高产攻关等示范田，完成产业体系小面积典型示范任务。为区域内的农技人员和新型农业经营主体成员提供新品种新技术信息，技术培训、技术服务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Header/>
          <w:jc w:val="center"/>
        </w:trPr>
        <w:tc>
          <w:tcPr>
            <w:tcW w:w="2537" w:type="dxa"/>
            <w:tcBorders>
              <w:left w:val="single" w:color="auto" w:sz="12" w:space="0"/>
            </w:tcBorders>
            <w:vAlign w:val="center"/>
          </w:tcPr>
          <w:p>
            <w:pPr>
              <w:spacing w:line="440" w:lineRule="exact"/>
              <w:jc w:val="center"/>
              <w:rPr>
                <w:rFonts w:ascii="仿宋" w:hAnsi="仿宋" w:eastAsia="仿宋"/>
                <w:b/>
                <w:sz w:val="28"/>
              </w:rPr>
            </w:pPr>
            <w:r>
              <w:rPr>
                <w:rFonts w:hint="eastAsia" w:ascii="仿宋" w:hAnsi="仿宋" w:eastAsia="仿宋"/>
                <w:b/>
                <w:sz w:val="28"/>
              </w:rPr>
              <w:t>生产应急</w:t>
            </w:r>
          </w:p>
        </w:tc>
        <w:tc>
          <w:tcPr>
            <w:tcW w:w="6508" w:type="dxa"/>
            <w:vAlign w:val="center"/>
          </w:tcPr>
          <w:p>
            <w:pPr>
              <w:spacing w:line="280" w:lineRule="exact"/>
              <w:rPr>
                <w:rFonts w:ascii="宋体" w:hAnsi="宋体" w:cs="宋体"/>
                <w:color w:val="333333"/>
                <w:sz w:val="21"/>
                <w:szCs w:val="15"/>
              </w:rPr>
            </w:pPr>
            <w:r>
              <w:rPr>
                <w:rFonts w:hint="eastAsia" w:ascii="宋体" w:hAnsi="宋体" w:cs="宋体"/>
                <w:color w:val="333333"/>
                <w:sz w:val="21"/>
                <w:szCs w:val="15"/>
              </w:rPr>
              <w:t>1.根据实际生产需要，及时赴各地开展技术指导和服务工作。</w:t>
            </w:r>
          </w:p>
          <w:p>
            <w:pPr>
              <w:spacing w:line="280" w:lineRule="exact"/>
              <w:rPr>
                <w:rFonts w:ascii="宋体" w:hAnsi="宋体" w:cs="宋体"/>
                <w:color w:val="333333"/>
                <w:sz w:val="21"/>
                <w:szCs w:val="15"/>
              </w:rPr>
            </w:pPr>
            <w:r>
              <w:rPr>
                <w:rFonts w:hint="eastAsia" w:ascii="宋体" w:hAnsi="宋体" w:cs="宋体"/>
                <w:color w:val="333333"/>
                <w:sz w:val="21"/>
                <w:szCs w:val="15"/>
              </w:rPr>
              <w:t>2.认真完成产业体系交办的其他任务。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Header/>
          <w:jc w:val="center"/>
        </w:trPr>
        <w:tc>
          <w:tcPr>
            <w:tcW w:w="2537" w:type="dxa"/>
            <w:tcBorders>
              <w:left w:val="single" w:color="auto" w:sz="12" w:space="0"/>
              <w:bottom w:val="single" w:color="auto" w:sz="12" w:space="0"/>
            </w:tcBorders>
            <w:vAlign w:val="center"/>
          </w:tcPr>
          <w:p>
            <w:pPr>
              <w:spacing w:line="440" w:lineRule="exact"/>
              <w:jc w:val="center"/>
              <w:rPr>
                <w:rFonts w:ascii="仿宋" w:hAnsi="仿宋" w:eastAsia="仿宋"/>
                <w:b/>
                <w:sz w:val="28"/>
              </w:rPr>
            </w:pPr>
            <w:r>
              <w:rPr>
                <w:rFonts w:hint="eastAsia" w:ascii="仿宋" w:hAnsi="仿宋" w:eastAsia="仿宋"/>
                <w:b/>
                <w:sz w:val="28"/>
              </w:rPr>
              <w:t>团队建设</w:t>
            </w:r>
          </w:p>
        </w:tc>
        <w:tc>
          <w:tcPr>
            <w:tcW w:w="6508" w:type="dxa"/>
            <w:tcBorders>
              <w:bottom w:val="single" w:color="auto" w:sz="12" w:space="0"/>
            </w:tcBorders>
            <w:vAlign w:val="center"/>
          </w:tcPr>
          <w:p>
            <w:pPr>
              <w:spacing w:line="280" w:lineRule="exact"/>
              <w:rPr>
                <w:rFonts w:ascii="宋体" w:hAnsi="宋体" w:cs="宋体"/>
                <w:color w:val="333333"/>
                <w:sz w:val="21"/>
                <w:szCs w:val="15"/>
              </w:rPr>
            </w:pPr>
            <w:r>
              <w:rPr>
                <w:rFonts w:hint="eastAsia" w:ascii="宋体" w:hAnsi="宋体" w:cs="宋体"/>
                <w:color w:val="333333"/>
                <w:sz w:val="21"/>
                <w:szCs w:val="15"/>
              </w:rPr>
              <w:t>1.完善团队成员知识结构，引进人才。</w:t>
            </w:r>
          </w:p>
          <w:p>
            <w:pPr>
              <w:spacing w:line="280" w:lineRule="exact"/>
              <w:rPr>
                <w:rFonts w:ascii="宋体" w:hAnsi="宋体" w:cs="宋体"/>
                <w:color w:val="333333"/>
                <w:sz w:val="21"/>
                <w:szCs w:val="15"/>
              </w:rPr>
            </w:pPr>
            <w:r>
              <w:rPr>
                <w:rFonts w:hint="eastAsia" w:ascii="宋体" w:hAnsi="宋体" w:cs="宋体"/>
                <w:color w:val="333333"/>
                <w:sz w:val="21"/>
                <w:szCs w:val="15"/>
              </w:rPr>
              <w:t>2.组织团队成员参加学术会议或业务培训，拓宽团队研究视野。通过各类项目支撑，培养或整合盘活现有人才，建成一支服务南阳水稻产业发展的科技创新团队。</w:t>
            </w:r>
          </w:p>
        </w:tc>
      </w:tr>
    </w:tbl>
    <w:p>
      <w:pPr>
        <w:spacing w:line="600" w:lineRule="exact"/>
        <w:ind w:firstLine="600" w:firstLineChars="200"/>
        <w:rPr>
          <w:rFonts w:ascii="黑体" w:hAnsi="黑体" w:eastAsia="黑体"/>
        </w:rPr>
      </w:pPr>
      <w:r>
        <w:rPr>
          <w:rFonts w:hint="eastAsia" w:ascii="黑体" w:hAnsi="黑体" w:eastAsia="黑体"/>
        </w:rPr>
        <w:t>二、绩效评价工作开展情况</w:t>
      </w:r>
    </w:p>
    <w:p>
      <w:pPr>
        <w:ind w:firstLine="600" w:firstLineChars="200"/>
        <w:rPr>
          <w:rFonts w:ascii="仿宋_GB2312"/>
        </w:rPr>
      </w:pPr>
      <w:r>
        <w:rPr>
          <w:rFonts w:hint="eastAsia" w:ascii="仿宋_GB2312"/>
        </w:rPr>
        <w:t>在项目依托单位的绩效评价领导小组的指导下，试验站整理汇总项目资金的使用情况，对项目资金实施自我评价工作、社会公众问卷调查，撰写自评报告。</w:t>
      </w:r>
    </w:p>
    <w:p>
      <w:pPr>
        <w:ind w:firstLine="600" w:firstLineChars="200"/>
        <w:rPr>
          <w:rFonts w:ascii="仿宋_GB2312"/>
        </w:rPr>
      </w:pPr>
      <w:r>
        <w:rPr>
          <w:rFonts w:hint="eastAsia" w:ascii="仿宋_GB2312"/>
        </w:rPr>
        <w:t>通过开展项目支出绩效评级，从整体上提升项目预算绩效管理水平，强化资金支出责任，规范资金管理行为，总结总结管理经验，提高资金使用绩效。在院领导小组办公室的领导和指导下，按照“谁支出、谁评价”的原则对本试验站全部财政资金产生的整体绩效，包括预算执行，部门产出和实施效果等方面用以全面反映和考核项目预算管理水平，职能履行，整体逾期目标完成等情况。</w:t>
      </w:r>
    </w:p>
    <w:p>
      <w:pPr>
        <w:spacing w:line="600" w:lineRule="exact"/>
        <w:ind w:firstLine="600" w:firstLineChars="200"/>
        <w:rPr>
          <w:rFonts w:ascii="仿宋_GB2312"/>
        </w:rPr>
      </w:pPr>
      <w:r>
        <w:rPr>
          <w:rFonts w:hint="eastAsia" w:ascii="黑体" w:hAnsi="黑体" w:eastAsia="黑体"/>
        </w:rPr>
        <w:t>三、综合评价情况及评价结论</w:t>
      </w:r>
      <w:r>
        <w:rPr>
          <w:rFonts w:hint="eastAsia" w:ascii="仿宋_GB2312"/>
        </w:rPr>
        <w:t>（附相关评分表）</w:t>
      </w:r>
    </w:p>
    <w:tbl>
      <w:tblPr>
        <w:tblStyle w:val="4"/>
        <w:tblW w:w="9080" w:type="dxa"/>
        <w:jc w:val="center"/>
        <w:tblLayout w:type="fixed"/>
        <w:tblCellMar>
          <w:top w:w="0" w:type="dxa"/>
          <w:left w:w="108" w:type="dxa"/>
          <w:bottom w:w="0" w:type="dxa"/>
          <w:right w:w="108" w:type="dxa"/>
        </w:tblCellMar>
      </w:tblPr>
      <w:tblGrid>
        <w:gridCol w:w="588"/>
        <w:gridCol w:w="980"/>
        <w:gridCol w:w="1112"/>
        <w:gridCol w:w="2135"/>
        <w:gridCol w:w="850"/>
        <w:gridCol w:w="818"/>
        <w:gridCol w:w="567"/>
        <w:gridCol w:w="567"/>
        <w:gridCol w:w="1463"/>
      </w:tblGrid>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一级指标</w:t>
            </w:r>
          </w:p>
        </w:tc>
        <w:tc>
          <w:tcPr>
            <w:tcW w:w="11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二级指标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年度</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指标值</w:t>
            </w:r>
          </w:p>
        </w:tc>
        <w:tc>
          <w:tcPr>
            <w:tcW w:w="8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实际</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完成值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分值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得分</w:t>
            </w: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挂牌建设示范基地（个）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集成示范技术模式（项）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制定发布技术规程、应急预案（项）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制定地方/行业技术标准（套）</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审定登记新品种（个）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获得植物新品种权保护（个）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筛选作物品种（个）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获得发明专利和实用新型专利（个）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体系冠名媒体宣传（次）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2-3</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7</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体系冠名发表论文（篇）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2-3</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获得市级以上科技奖励（项）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专利许可和转让（项）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物化技术产品（项）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技术服务收入（万元）</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开展技术服务/扶贫宣讲活动（次）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15</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培训农业农村各类人才（人次）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800</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835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推动产业绿色发展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为政府部门提供决策咨询（次）</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1-2</w:t>
            </w:r>
          </w:p>
        </w:tc>
        <w:tc>
          <w:tcPr>
            <w:tcW w:w="8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体系冠名学术交流活动（次）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2-3</w:t>
            </w:r>
          </w:p>
        </w:tc>
        <w:tc>
          <w:tcPr>
            <w:tcW w:w="8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890" w:hRule="atLeas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35" w:type="dxa"/>
            <w:tcBorders>
              <w:top w:val="single" w:color="auto" w:sz="4" w:space="0"/>
              <w:left w:val="nil"/>
              <w:right w:val="single" w:color="auto" w:sz="4" w:space="0"/>
            </w:tcBorders>
            <w:vAlign w:val="center"/>
          </w:tcPr>
          <w:p>
            <w:pPr>
              <w:widowControl/>
              <w:rPr>
                <w:rFonts w:ascii="宋体" w:hAnsi="宋体" w:eastAsia="宋体" w:cs="宋体"/>
                <w:color w:val="000000"/>
                <w:kern w:val="0"/>
                <w:sz w:val="13"/>
                <w:szCs w:val="13"/>
              </w:rPr>
            </w:pPr>
            <w:r>
              <w:rPr>
                <w:rFonts w:hint="eastAsia" w:ascii="宋体" w:hAnsi="宋体" w:eastAsia="宋体" w:cs="宋体"/>
                <w:color w:val="000000"/>
                <w:kern w:val="0"/>
                <w:sz w:val="13"/>
                <w:szCs w:val="13"/>
              </w:rPr>
              <w:t>科教兴农“一三五五”工作机制</w:t>
            </w:r>
          </w:p>
          <w:p>
            <w:pPr>
              <w:widowControl/>
              <w:spacing w:line="240" w:lineRule="exact"/>
              <w:rPr>
                <w:rFonts w:ascii="宋体" w:hAnsi="宋体" w:eastAsia="宋体" w:cs="宋体"/>
                <w:kern w:val="0"/>
                <w:sz w:val="13"/>
                <w:szCs w:val="13"/>
              </w:rPr>
            </w:pPr>
            <w:r>
              <w:rPr>
                <w:rFonts w:hint="eastAsia" w:ascii="宋体" w:hAnsi="宋体" w:eastAsia="宋体" w:cs="宋体"/>
                <w:color w:val="000000"/>
                <w:kern w:val="0"/>
                <w:sz w:val="13"/>
                <w:szCs w:val="13"/>
              </w:rPr>
              <w:t>服务对象等产业用户满意度（%）</w:t>
            </w:r>
          </w:p>
        </w:tc>
        <w:tc>
          <w:tcPr>
            <w:tcW w:w="850" w:type="dxa"/>
            <w:tcBorders>
              <w:top w:val="single" w:color="auto" w:sz="4" w:space="0"/>
              <w:left w:val="nil"/>
              <w:right w:val="single" w:color="auto" w:sz="4" w:space="0"/>
            </w:tcBorders>
            <w:vAlign w:val="center"/>
          </w:tcPr>
          <w:p>
            <w:pPr>
              <w:widowControl/>
              <w:spacing w:line="240" w:lineRule="exact"/>
              <w:rPr>
                <w:rFonts w:ascii="宋体" w:hAnsi="宋体" w:eastAsia="宋体" w:cs="宋体"/>
                <w:kern w:val="0"/>
                <w:sz w:val="13"/>
                <w:szCs w:val="13"/>
              </w:rPr>
            </w:pPr>
            <w:r>
              <w:rPr>
                <w:rFonts w:hint="eastAsia" w:ascii="宋体" w:hAnsi="宋体" w:eastAsia="宋体" w:cs="宋体"/>
                <w:kern w:val="0"/>
                <w:sz w:val="13"/>
                <w:szCs w:val="13"/>
              </w:rPr>
              <w:t>95</w:t>
            </w:r>
          </w:p>
        </w:tc>
        <w:tc>
          <w:tcPr>
            <w:tcW w:w="818" w:type="dxa"/>
            <w:tcBorders>
              <w:top w:val="single" w:color="auto" w:sz="4" w:space="0"/>
              <w:left w:val="nil"/>
              <w:right w:val="single" w:color="auto" w:sz="4" w:space="0"/>
            </w:tcBorders>
            <w:vAlign w:val="center"/>
          </w:tcPr>
          <w:p>
            <w:pPr>
              <w:widowControl/>
              <w:spacing w:line="240" w:lineRule="exact"/>
              <w:rPr>
                <w:rFonts w:ascii="宋体" w:hAnsi="宋体" w:eastAsia="宋体" w:cs="宋体"/>
                <w:kern w:val="0"/>
                <w:sz w:val="13"/>
                <w:szCs w:val="13"/>
              </w:rPr>
            </w:pPr>
            <w:r>
              <w:rPr>
                <w:rFonts w:hint="eastAsia" w:ascii="宋体" w:hAnsi="宋体" w:eastAsia="宋体" w:cs="宋体"/>
                <w:kern w:val="0"/>
                <w:sz w:val="13"/>
                <w:szCs w:val="13"/>
              </w:rPr>
              <w:t>95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3"/>
                <w:szCs w:val="13"/>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3"/>
                <w:szCs w:val="13"/>
              </w:rPr>
            </w:pPr>
          </w:p>
        </w:tc>
        <w:tc>
          <w:tcPr>
            <w:tcW w:w="1463" w:type="dxa"/>
            <w:tcBorders>
              <w:top w:val="single" w:color="auto" w:sz="4" w:space="0"/>
              <w:left w:val="nil"/>
              <w:right w:val="single" w:color="auto" w:sz="4" w:space="0"/>
            </w:tcBorders>
            <w:vAlign w:val="center"/>
          </w:tcPr>
          <w:p>
            <w:pPr>
              <w:widowControl/>
              <w:spacing w:line="240" w:lineRule="exact"/>
              <w:rPr>
                <w:rFonts w:ascii="宋体" w:hAnsi="宋体" w:eastAsia="宋体" w:cs="宋体"/>
                <w:kern w:val="0"/>
                <w:sz w:val="13"/>
                <w:szCs w:val="13"/>
              </w:rPr>
            </w:pPr>
          </w:p>
        </w:tc>
      </w:tr>
      <w:tr>
        <w:tblPrEx>
          <w:tblCellMar>
            <w:top w:w="0" w:type="dxa"/>
            <w:left w:w="108" w:type="dxa"/>
            <w:bottom w:w="0" w:type="dxa"/>
            <w:right w:w="108" w:type="dxa"/>
          </w:tblCellMar>
        </w:tblPrEx>
        <w:trPr>
          <w:trHeight w:val="300" w:hRule="exact"/>
          <w:jc w:val="center"/>
        </w:trPr>
        <w:tc>
          <w:tcPr>
            <w:tcW w:w="648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4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ind w:firstLine="600" w:firstLineChars="200"/>
        <w:rPr>
          <w:rFonts w:hint="eastAsia" w:ascii="仿宋_GB2312"/>
        </w:rPr>
      </w:pPr>
      <w:r>
        <w:rPr>
          <w:rFonts w:hint="eastAsia" w:ascii="仿宋_GB2312"/>
        </w:rPr>
        <w:t>2</w:t>
      </w:r>
      <w:r>
        <w:rPr>
          <w:rFonts w:ascii="仿宋_GB2312"/>
        </w:rPr>
        <w:t>020</w:t>
      </w:r>
      <w:r>
        <w:rPr>
          <w:rFonts w:hint="eastAsia" w:ascii="仿宋_GB2312"/>
        </w:rPr>
        <w:t>年度河南省水稻产业技术体系南阳综合试验站圆满完成了各项工作任务，达到预期的各项绩效目标。并且项目的收益远远超出成本，带来的社会效益和经济效益巨大，为水稻生产节本、提质、增效和供给侧改革起到了积极有效的作用。</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ascii="仿宋_GB2312"/>
        </w:rPr>
      </w:pPr>
      <w:r>
        <w:rPr>
          <w:rFonts w:hint="eastAsia" w:ascii="仿宋_GB2312"/>
        </w:rPr>
        <w:t>（一）项目决策情况。</w:t>
      </w:r>
    </w:p>
    <w:p>
      <w:pPr>
        <w:spacing w:line="600" w:lineRule="exact"/>
        <w:ind w:firstLine="600" w:firstLineChars="200"/>
        <w:outlineLvl w:val="0"/>
        <w:rPr>
          <w:rFonts w:ascii="仿宋_GB2312"/>
        </w:rPr>
      </w:pPr>
      <w:r>
        <w:rPr>
          <w:rFonts w:hint="eastAsia" w:ascii="仿宋_GB2312"/>
        </w:rPr>
        <w:t>现代农业产业技术体系是按照优势农产品区域布局规划，依托具有创新优势的现有中央和地方科研力量与科技资源，围绕产业发展需求，以产品为单位，以产业为主线，建设从产地到餐桌、从生产到消费、从研发到市场各个环节紧密衔接、环环相扣、服务国家目标的现代农业产业技术体系。河南省水稻产业技术体系自启动以来，南阳综合试验站按照体系要求，根据河南省水稻产业发展的需求和体系的目标任务，结合南阳市水稻生产现状和存在的主要技术难题，围绕水稻产业技术体系的重点任务开展相应工作，做好优良品种的创新研究，集成水稻高产、高效、节本、简化的栽培技术规程并进行技术培训；调查、收集本区域生产实际问题与技术需求信息，发现问题及时上报，并协助处理相关问题；积极落实“一三五五”工作机制；完成本地区的水稻体系应急性和临时性任务；主动与当地农业行政和技术推广部门联系和配合，为本生态区域水稻产业发展发挥核心、支撑和联络作用。</w:t>
      </w:r>
    </w:p>
    <w:p>
      <w:pPr>
        <w:spacing w:line="600" w:lineRule="exact"/>
        <w:ind w:firstLine="600" w:firstLineChars="200"/>
        <w:outlineLvl w:val="0"/>
        <w:rPr>
          <w:rFonts w:hint="eastAsia" w:ascii="仿宋_GB2312"/>
        </w:rPr>
      </w:pPr>
      <w:r>
        <w:rPr>
          <w:rFonts w:hint="eastAsia" w:ascii="仿宋_GB2312"/>
        </w:rPr>
        <w:t>1. 承担体系首席和岗位专家下达的各项试验任务。</w:t>
      </w:r>
    </w:p>
    <w:p>
      <w:pPr>
        <w:spacing w:line="600" w:lineRule="exact"/>
        <w:ind w:firstLine="600" w:firstLineChars="200"/>
        <w:outlineLvl w:val="0"/>
        <w:rPr>
          <w:rFonts w:hint="eastAsia" w:ascii="仿宋_GB2312"/>
        </w:rPr>
      </w:pPr>
      <w:r>
        <w:rPr>
          <w:rFonts w:hint="eastAsia" w:ascii="仿宋_GB2312"/>
        </w:rPr>
        <w:t>2. 利用已建立的本区域信息采集点，完成水稻产业需求的调研与信息采集等各项任务。</w:t>
      </w:r>
    </w:p>
    <w:p>
      <w:pPr>
        <w:spacing w:line="600" w:lineRule="exact"/>
        <w:ind w:firstLine="600" w:firstLineChars="200"/>
        <w:outlineLvl w:val="0"/>
        <w:rPr>
          <w:rFonts w:hint="eastAsia" w:ascii="仿宋_GB2312"/>
        </w:rPr>
      </w:pPr>
      <w:r>
        <w:rPr>
          <w:rFonts w:hint="eastAsia" w:ascii="仿宋_GB2312"/>
        </w:rPr>
        <w:t>3. 在首席科学家的指导下开展本生态区优质、高产、高效水稻简化生产技术及产业化研究。</w:t>
      </w:r>
    </w:p>
    <w:p>
      <w:pPr>
        <w:spacing w:line="600" w:lineRule="exact"/>
        <w:ind w:firstLine="600" w:firstLineChars="200"/>
        <w:outlineLvl w:val="0"/>
        <w:rPr>
          <w:rFonts w:ascii="仿宋_GB2312"/>
        </w:rPr>
      </w:pPr>
      <w:r>
        <w:rPr>
          <w:rFonts w:hint="eastAsia" w:ascii="仿宋_GB2312"/>
        </w:rPr>
        <w:t>4</w:t>
      </w:r>
      <w:r>
        <w:rPr>
          <w:rFonts w:ascii="仿宋_GB2312"/>
        </w:rPr>
        <w:t xml:space="preserve">. </w:t>
      </w:r>
      <w:r>
        <w:rPr>
          <w:rFonts w:hint="eastAsia" w:ascii="仿宋_GB2312"/>
        </w:rPr>
        <w:t>在联系的示范县建立示范点，并针对对接的新型农业经营主体开展新品种和栽培、植保、农机、土肥、储藏加工等新技术、新产品等试验、展示、示范工作。在本区域建立水稻产业技术体系10-50亩水稻高产攻关等示范田，完成产业体系小面积典型示范任务。根据实际生产需要，为区域内的农技人员和新型农业经营主体成员提供新品种新技术信息，技术培训、技术服务和技术指导。</w:t>
      </w:r>
    </w:p>
    <w:p>
      <w:pPr>
        <w:spacing w:line="600" w:lineRule="exact"/>
        <w:ind w:firstLine="600" w:firstLineChars="200"/>
        <w:outlineLvl w:val="0"/>
        <w:rPr>
          <w:rFonts w:hint="eastAsia" w:ascii="仿宋_GB2312"/>
        </w:rPr>
      </w:pPr>
      <w:r>
        <w:rPr>
          <w:rFonts w:ascii="仿宋_GB2312"/>
        </w:rPr>
        <w:t xml:space="preserve">5. </w:t>
      </w:r>
      <w:r>
        <w:rPr>
          <w:rFonts w:hint="eastAsia" w:ascii="仿宋_GB2312"/>
        </w:rPr>
        <w:t>组织团队成员参加学术会议或业务培训，拓宽团队研究视野。通过各类项目支撑，培养或整合盘活现有人才，建成一支服务南阳水稻产业发展的科技创新团队。</w:t>
      </w:r>
    </w:p>
    <w:p>
      <w:pPr>
        <w:spacing w:line="600" w:lineRule="exact"/>
        <w:ind w:firstLine="600" w:firstLineChars="200"/>
        <w:outlineLvl w:val="0"/>
        <w:rPr>
          <w:rFonts w:ascii="仿宋_GB2312"/>
        </w:rPr>
      </w:pPr>
      <w:r>
        <w:rPr>
          <w:rFonts w:hint="eastAsia" w:ascii="仿宋_GB2312"/>
        </w:rPr>
        <w:t>（二）项目过程情况。</w:t>
      </w:r>
    </w:p>
    <w:p>
      <w:pPr>
        <w:tabs>
          <w:tab w:val="left" w:pos="720"/>
          <w:tab w:val="left" w:pos="960"/>
          <w:tab w:val="left" w:pos="8280"/>
        </w:tabs>
        <w:spacing w:line="600" w:lineRule="exact"/>
        <w:ind w:firstLine="600" w:firstLineChars="200"/>
        <w:jc w:val="left"/>
        <w:rPr>
          <w:rFonts w:ascii="仿宋_GB2312"/>
        </w:rPr>
      </w:pPr>
      <w:r>
        <w:rPr>
          <w:rFonts w:hint="eastAsia" w:ascii="仿宋_GB2312"/>
        </w:rPr>
        <w:t>试验站团队严格按照河南省农业厅要求，认真贯彻省现代农业产业技术体系管理咨询委员会的有关精神，加强团队组织管理。实行站长全面负责制，根据年度目标任务书的具体要求，明确团队成员工作任务和职责，在工作中由站长负总责，成员在明确分工的基础上，采取“小分工，大合作”的工作机制；定期召开会议，协商、讨论试验方案和实施细则,分析试验进展中存在的问题及改进措施，提出具体解决措施、办法，确保项目顺利推进。</w:t>
      </w:r>
    </w:p>
    <w:p>
      <w:pPr>
        <w:spacing w:line="600" w:lineRule="exact"/>
        <w:ind w:firstLine="600" w:firstLineChars="200"/>
        <w:outlineLvl w:val="0"/>
        <w:rPr>
          <w:rFonts w:ascii="仿宋_GB2312"/>
        </w:rPr>
      </w:pPr>
      <w:r>
        <w:rPr>
          <w:rFonts w:hint="eastAsia" w:ascii="仿宋_GB2312"/>
        </w:rPr>
        <w:t>（三）项目产出情况。</w:t>
      </w:r>
    </w:p>
    <w:p>
      <w:pPr>
        <w:tabs>
          <w:tab w:val="left" w:pos="720"/>
          <w:tab w:val="left" w:pos="960"/>
          <w:tab w:val="left" w:pos="8280"/>
        </w:tabs>
        <w:spacing w:line="600" w:lineRule="exact"/>
        <w:ind w:firstLine="600" w:firstLineChars="200"/>
        <w:rPr>
          <w:rFonts w:ascii="仿宋_GB2312"/>
        </w:rPr>
      </w:pPr>
      <w:r>
        <w:rPr>
          <w:rFonts w:ascii="仿宋_GB2312"/>
        </w:rPr>
        <w:t>1. 2020年共种植育种材料634份</w:t>
      </w:r>
      <w:r>
        <w:rPr>
          <w:rFonts w:hint="eastAsia" w:ascii="仿宋_GB2312"/>
        </w:rPr>
        <w:t>，</w:t>
      </w:r>
      <w:r>
        <w:rPr>
          <w:rFonts w:ascii="仿宋_GB2312"/>
        </w:rPr>
        <w:t>其中不同代数材料557份</w:t>
      </w:r>
      <w:r>
        <w:rPr>
          <w:rFonts w:hint="eastAsia" w:ascii="仿宋_GB2312"/>
        </w:rPr>
        <w:t>，</w:t>
      </w:r>
      <w:r>
        <w:rPr>
          <w:rFonts w:ascii="仿宋_GB2312"/>
        </w:rPr>
        <w:t>外因</w:t>
      </w:r>
      <w:r>
        <w:rPr>
          <w:rFonts w:hint="eastAsia" w:ascii="仿宋_GB2312"/>
        </w:rPr>
        <w:t>辽宁水稻研究所</w:t>
      </w:r>
      <w:r>
        <w:rPr>
          <w:rFonts w:ascii="仿宋_GB2312"/>
        </w:rPr>
        <w:t>材料22份</w:t>
      </w:r>
      <w:r>
        <w:rPr>
          <w:rFonts w:hint="eastAsia" w:ascii="仿宋_GB2312"/>
        </w:rPr>
        <w:t>，外引隆平高科材料 48 份，外因山东水稻研究所材料 7份，</w:t>
      </w:r>
      <w:r>
        <w:rPr>
          <w:rFonts w:ascii="仿宋_GB2312"/>
        </w:rPr>
        <w:t>配制杂交组合31份，F1代16份，</w:t>
      </w:r>
      <w:r>
        <w:rPr>
          <w:rFonts w:hint="eastAsia" w:ascii="仿宋_GB2312"/>
        </w:rPr>
        <w:t>F</w:t>
      </w:r>
      <w:r>
        <w:rPr>
          <w:rFonts w:ascii="仿宋_GB2312"/>
        </w:rPr>
        <w:t>2穗行47</w:t>
      </w:r>
      <w:r>
        <w:rPr>
          <w:rFonts w:hint="eastAsia" w:ascii="仿宋_GB2312"/>
        </w:rPr>
        <w:t>份</w:t>
      </w:r>
      <w:r>
        <w:rPr>
          <w:rFonts w:ascii="仿宋_GB2312"/>
        </w:rPr>
        <w:t>。</w:t>
      </w:r>
      <w:r>
        <w:rPr>
          <w:rFonts w:hint="eastAsia" w:ascii="仿宋_GB2312"/>
        </w:rPr>
        <w:t>鉴定麦后直播稻新品系 57个，根据特征特性、丰产性、抗病性等方面的表现，进行选择收获，室内考种称产，比对照增产幅度超过 5% 以上的品系有 2 个，其它性状均表现较好，计划 2021 年参加河南省早熟组筛选试验。2020年宛11-16参加河南省水稻豫南组区试，宛丰3号参加河南省水稻豫南组筛选试验；宛早181参加河南省水稻早熟组区试，宛粳3号参加河南省水稻沿黄组筛选试验；2020年9月宛粳 68D获河南省水稻新品种审定，2020年11月获得国家品种权公告。</w:t>
      </w:r>
    </w:p>
    <w:p>
      <w:pPr>
        <w:tabs>
          <w:tab w:val="left" w:pos="720"/>
          <w:tab w:val="left" w:pos="960"/>
          <w:tab w:val="left" w:pos="8280"/>
        </w:tabs>
        <w:spacing w:line="600" w:lineRule="exact"/>
        <w:ind w:firstLine="600" w:firstLineChars="200"/>
        <w:rPr>
          <w:rFonts w:ascii="仿宋_GB2312"/>
        </w:rPr>
      </w:pPr>
      <w:r>
        <w:rPr>
          <w:rFonts w:hint="eastAsia" w:ascii="仿宋_GB2312"/>
        </w:rPr>
        <w:t>2</w:t>
      </w:r>
      <w:r>
        <w:rPr>
          <w:rFonts w:ascii="仿宋_GB2312"/>
        </w:rPr>
        <w:t xml:space="preserve">. </w:t>
      </w:r>
      <w:r>
        <w:rPr>
          <w:rFonts w:hint="eastAsia" w:ascii="仿宋_GB2312"/>
        </w:rPr>
        <w:t>芽后除草剂应用研究：结合连续两年试验结果分析表明，直播稻田的化学除草首先要过好芽前化学除草关。芽前化学除草不到位，芽后除草草相复杂，但芽后化学除草是芽前化学除草的有力补充。选择多种常用的除草剂与空白（CK）进行除草试验，筛选出适宜大面积推广应用的芽后除草剂套装。套装1、15%双草醚+25%二氯喹啉酸+10%氰氟·精恶唑+氯氟吡氧乙酸·异辛酯+高分子复合助剂；套装2：10%</w:t>
      </w:r>
      <w:r>
        <w:rPr>
          <w:rFonts w:hint="eastAsia" w:ascii="微软雅黑" w:hAnsi="微软雅黑" w:eastAsia="微软雅黑" w:cs="微软雅黑"/>
        </w:rPr>
        <w:t>噁</w:t>
      </w:r>
      <w:r>
        <w:rPr>
          <w:rFonts w:hint="eastAsia" w:ascii="仿宋_GB2312"/>
        </w:rPr>
        <w:t>唑酰草胺乳油+ 35%氰氟草酯乳油+甲基和乙基化植物油助剂；套装3：10%双草醚悬浮剂+ 50%二氯喹啉酸可湿性粉剂+ 10%吡嘧磺隆；套装4：10%双草醚悬浮剂+ 50%二氯喹啉酸可湿性粉剂+ 10%吡嘧·莎稗磷；套装5：20%氰氟草酯乳油+ 50%二氯喹啉酸+32%吡嘧·莎稗磷可湿性粉剂。</w:t>
      </w:r>
    </w:p>
    <w:p>
      <w:pPr>
        <w:tabs>
          <w:tab w:val="left" w:pos="720"/>
          <w:tab w:val="left" w:pos="960"/>
          <w:tab w:val="left" w:pos="8280"/>
        </w:tabs>
        <w:spacing w:line="600" w:lineRule="exact"/>
        <w:ind w:firstLine="600" w:firstLineChars="200"/>
        <w:rPr>
          <w:rFonts w:ascii="仿宋_GB2312"/>
        </w:rPr>
      </w:pPr>
      <w:r>
        <w:rPr>
          <w:rFonts w:hint="eastAsia" w:ascii="仿宋_GB2312"/>
        </w:rPr>
        <w:t>简化栽培技术研究：针对南阳水稻生产中存在的问题，南阳水稻试验站经过五年的试验、示范、推广，提出了提高稻作效益的三种技术模式：“水稻种养技术模式”、“水稻麦后直播技术模式”、“水稻节水、节肥、节药技术模式”；集成组装一套“水稻绿色优质高效综合技术模式研究推广与应用”技术，2020年获得河南省农牧渔业丰收三等奖。</w:t>
      </w:r>
    </w:p>
    <w:p>
      <w:pPr>
        <w:tabs>
          <w:tab w:val="left" w:pos="720"/>
          <w:tab w:val="left" w:pos="960"/>
          <w:tab w:val="left" w:pos="8280"/>
        </w:tabs>
        <w:spacing w:line="600" w:lineRule="exact"/>
        <w:ind w:firstLine="600" w:firstLineChars="200"/>
        <w:rPr>
          <w:rFonts w:ascii="仿宋_GB2312"/>
        </w:rPr>
      </w:pPr>
      <w:r>
        <w:rPr>
          <w:rFonts w:hint="eastAsia" w:ascii="仿宋_GB2312"/>
        </w:rPr>
        <w:t>为充分利用稻田资源，拓展龙虾养殖发展空间，发挥稻田增产增效潜力，增加低洼稻田和原有稻田养殖区的经济效益，引导种植业和养殖业健康发展，2020年南阳水稻试验站提出并制定“南阳市稻虾共作种养技术规程”，大力推广以稻虾为主的稻渔种养模式，推进稻虾产业扶贫，推动稻虾综合种养标准化生产，规模化开发，产业化经营，品牌化运作，促进稻虾一二三产业融合发展，助推乡村振兴。</w:t>
      </w:r>
    </w:p>
    <w:p>
      <w:pPr>
        <w:tabs>
          <w:tab w:val="left" w:pos="720"/>
          <w:tab w:val="left" w:pos="960"/>
          <w:tab w:val="left" w:pos="8280"/>
        </w:tabs>
        <w:spacing w:line="600" w:lineRule="exact"/>
        <w:ind w:firstLine="600" w:firstLineChars="200"/>
        <w:rPr>
          <w:rFonts w:ascii="仿宋_GB2312"/>
        </w:rPr>
      </w:pPr>
      <w:r>
        <w:rPr>
          <w:rFonts w:hint="eastAsia" w:ascii="仿宋_GB2312"/>
        </w:rPr>
        <w:t>3</w:t>
      </w:r>
      <w:r>
        <w:rPr>
          <w:rFonts w:ascii="仿宋_GB2312"/>
        </w:rPr>
        <w:t xml:space="preserve">. </w:t>
      </w:r>
      <w:r>
        <w:rPr>
          <w:rFonts w:hint="eastAsia" w:ascii="仿宋_GB2312"/>
        </w:rPr>
        <w:t>认真服务“一三五五”工作机制，建立了桐柏县和唐河县两个示范县，辖区内常年水稻种植面积分别为25万亩和7万亩，联系了桐柏县城郊区域站和唐河县马振抚区域站。对接了桐柏神农生态农业专业合作社、唐河县禾健农业植保专业合作社、淅川县厚土农业开发有限公司、桐柏县农博士农作物种植专业合作社、内乡县赤眉镇朱陈村种植大户周起营等5个新型农业经营主体，建立挂牌示范基地3个。开展水稻新品种推广应用、新技术集成、新模式等示范展示。</w:t>
      </w:r>
    </w:p>
    <w:p>
      <w:pPr>
        <w:spacing w:line="600" w:lineRule="exact"/>
        <w:ind w:firstLine="600" w:firstLineChars="200"/>
        <w:outlineLvl w:val="0"/>
        <w:rPr>
          <w:rFonts w:ascii="仿宋_GB2312"/>
        </w:rPr>
      </w:pPr>
      <w:r>
        <w:rPr>
          <w:rFonts w:hint="eastAsia" w:ascii="仿宋_GB2312"/>
        </w:rPr>
        <w:t>（四）项目效益情况。</w:t>
      </w:r>
    </w:p>
    <w:p>
      <w:pPr>
        <w:tabs>
          <w:tab w:val="left" w:pos="720"/>
          <w:tab w:val="left" w:pos="960"/>
          <w:tab w:val="left" w:pos="8280"/>
        </w:tabs>
        <w:spacing w:line="600" w:lineRule="exact"/>
        <w:ind w:firstLine="600" w:firstLineChars="200"/>
        <w:rPr>
          <w:rFonts w:ascii="仿宋_GB2312"/>
        </w:rPr>
      </w:pPr>
      <w:r>
        <w:rPr>
          <w:rFonts w:hint="eastAsia" w:ascii="仿宋_GB2312"/>
        </w:rPr>
        <w:t>1</w:t>
      </w:r>
      <w:r>
        <w:rPr>
          <w:rFonts w:ascii="仿宋_GB2312"/>
        </w:rPr>
        <w:t xml:space="preserve">. </w:t>
      </w:r>
      <w:r>
        <w:rPr>
          <w:rFonts w:hint="eastAsia" w:ascii="仿宋_GB2312"/>
        </w:rPr>
        <w:t>在桐柏、唐河、淅川、邓州、内乡等市县宛粳096高产创建试验，2020年10月25日我院组织5名专家在南阳市市委巡查组的监督下对以上五个示范点进行测产验收, 五个示范点均比周边种植户增产,增产幅度3.5-8.1%，取得了较好的示范效果。</w:t>
      </w:r>
    </w:p>
    <w:p>
      <w:pPr>
        <w:ind w:firstLine="600" w:firstLineChars="200"/>
        <w:jc w:val="left"/>
        <w:rPr>
          <w:rFonts w:ascii="仿宋_GB2312"/>
        </w:rPr>
      </w:pPr>
      <w:r>
        <w:rPr>
          <w:rFonts w:hint="eastAsia" w:ascii="仿宋_GB2312"/>
        </w:rPr>
        <w:t>2</w:t>
      </w:r>
      <w:r>
        <w:rPr>
          <w:rFonts w:ascii="仿宋_GB2312"/>
        </w:rPr>
        <w:t xml:space="preserve">. </w:t>
      </w:r>
      <w:r>
        <w:rPr>
          <w:rFonts w:hint="eastAsia" w:ascii="仿宋_GB2312"/>
        </w:rPr>
        <w:t>在桐柏县月河镇沈庄村农博士种植合作社、桐柏县淮源镇“桐柏淮鑫农业种植专业合作社”、桐柏县月河镇“桐柏县玉皇龙虾养殖专业合作社”、淅川厚坡镇厚土稻渔种养专业合作社推广稻虾共养集成技术；在桐柏农博士种植合作社推广稻鸭共养集成技术；在唐河康元农作物种植专业合作社推广水稻绿色优质高效机械化集成技术。</w:t>
      </w:r>
    </w:p>
    <w:p>
      <w:pPr>
        <w:ind w:firstLine="600" w:firstLineChars="200"/>
        <w:rPr>
          <w:rFonts w:ascii="仿宋_GB2312"/>
        </w:rPr>
      </w:pPr>
      <w:r>
        <w:rPr>
          <w:rFonts w:hint="eastAsia" w:ascii="仿宋_GB2312"/>
        </w:rPr>
        <w:t>以桐柏农博士种植合作社为例：2020年合作社共流转土地256亩，其中稻虾共养面积40亩,高产示范田面积100亩，麦后直播田40亩，每年种稻纯收益10.0万元，养虾收益10.0万元，每年万只鸭收益20万元，合作社每年纯收益40万元，同时带动周边五个村庄1565人脱贫致富。</w:t>
      </w:r>
    </w:p>
    <w:p>
      <w:pPr>
        <w:ind w:firstLine="600" w:firstLineChars="200"/>
        <w:rPr>
          <w:rFonts w:ascii="仿宋_GB2312"/>
        </w:rPr>
      </w:pPr>
      <w:r>
        <w:rPr>
          <w:rFonts w:ascii="仿宋_GB2312"/>
        </w:rPr>
        <w:t xml:space="preserve">3. </w:t>
      </w:r>
      <w:r>
        <w:rPr>
          <w:rFonts w:hint="eastAsia" w:ascii="仿宋_GB2312"/>
        </w:rPr>
        <w:t>在桐柏县“桐柏神农生态农业专业合作社”、桐柏农博士种植合作社、唐河县康元农作物种植专业合作社、内乡县赤眉镇朱陈村、淅川厚坡镇厚土稻渔种养专业合作社创建麦后直播稻示范田。2020年10月20日我站对以上合作社示范田进行麦后直播稻经济性状、产量调查，并对水稻不同栽培模式的投入和产出效益分析，麦后直播稻不仅经济效益高，而且具有节本省工，高产高效（节本增效）的优点</w:t>
      </w:r>
      <w:r>
        <w:rPr>
          <w:rFonts w:ascii="仿宋_GB2312"/>
        </w:rPr>
        <w:t>，对实现水稻生产的机械化、轻型化、专业化、规模化有着重要的意义。特别在稻田面积较大、种粮效益低、农村劳动力紧缺的情况下，推广水稻直播栽培更具有其特殊的意义和推广前景。</w:t>
      </w:r>
    </w:p>
    <w:p>
      <w:pPr>
        <w:ind w:firstLine="600" w:firstLineChars="200"/>
        <w:rPr>
          <w:rFonts w:ascii="仿宋_GB2312"/>
        </w:rPr>
      </w:pPr>
      <w:r>
        <w:rPr>
          <w:rFonts w:ascii="仿宋_GB2312"/>
        </w:rPr>
        <w:t xml:space="preserve">4. </w:t>
      </w:r>
      <w:r>
        <w:rPr>
          <w:rFonts w:hint="eastAsia" w:ascii="仿宋_GB2312"/>
        </w:rPr>
        <w:t>2020年由南阳市水稻试验站参与技术指导的南阳市南召县城郊乡上店村稻田画，把百里奚、范蠡、张衡、张仲景以及诸葛亮五位曾为推动中华文化作出巨大贡献的“南阳五圣”用不同色彩的秧苗栽种出来，“绿水青山，就是金山银山”这句展现生态文明建设的文字也被巧妙地镶嵌在稻田中。稻田画是采用不同品种的水稻，按照提前设定好的图形种植出来的。以田为纸、以手为笔、以秧为墨，稻田画在一定程度上也推动了农业结构调整，将种植业也作为观光农业的发展方向，助力新时代乡村振兴。据统计，南召稻田画与该区国储林项目相映成辉，共吸引周边群众及游客12万人次，推动了一二三产业融合发展新模式。</w:t>
      </w:r>
    </w:p>
    <w:p>
      <w:pPr>
        <w:ind w:firstLine="600" w:firstLineChars="200"/>
        <w:rPr>
          <w:rFonts w:hint="eastAsia" w:ascii="仿宋_GB2312"/>
        </w:rPr>
      </w:pPr>
      <w:r>
        <w:rPr>
          <w:rFonts w:hint="eastAsia" w:ascii="仿宋_GB2312"/>
        </w:rPr>
        <w:t>5</w:t>
      </w:r>
      <w:r>
        <w:rPr>
          <w:rFonts w:ascii="仿宋_GB2312"/>
        </w:rPr>
        <w:t xml:space="preserve">. </w:t>
      </w:r>
      <w:r>
        <w:rPr>
          <w:rFonts w:hint="eastAsia" w:ascii="仿宋_GB2312"/>
        </w:rPr>
        <w:t>坚持以培训高素质农民为核心，积极开展农民实用技术培训，把农民急需要的知识传授给他，让他能及时准确地解决生产中遇到的问题，把技术培训送到田间地头；通过讲课、互动交流等方式，多渠道、多形式地就水稻的栽培和管理、病虫草害的防治等实用新技术进行培训。本年度召开8次室内技术培训会，16次田间现场指导观摩，其中覆盖桐柏县、淅川县两个贫困县，线上、线下共计培训基层技术人员、经销商、种粮大户和经营主体负责人835人次，发放技术资料600余份，受到群众的强烈欢迎。</w:t>
      </w:r>
    </w:p>
    <w:p>
      <w:pPr>
        <w:tabs>
          <w:tab w:val="left" w:pos="720"/>
          <w:tab w:val="left" w:pos="960"/>
          <w:tab w:val="left" w:pos="8280"/>
        </w:tabs>
        <w:spacing w:line="600" w:lineRule="exact"/>
        <w:ind w:firstLine="600" w:firstLineChars="200"/>
        <w:rPr>
          <w:rFonts w:ascii="仿宋_GB2312"/>
        </w:rPr>
      </w:pPr>
      <w:r>
        <w:rPr>
          <w:rFonts w:hint="eastAsia" w:ascii="仿宋_GB2312"/>
        </w:rPr>
        <w:t>通过水稻新品种、新技术、新模式的示范推广，特别是麦后直播水稻、稻渔综合种养技术、水稻新品种引进的示范、展示与观摩，使新型经营主体和当地农民群众开阔了眼界，提高了认识，看到了希望，增加了干劲，为水稻生产节本、提质、增效和供给侧改革起到了积极有效的作用。</w:t>
      </w:r>
    </w:p>
    <w:p>
      <w:pPr>
        <w:spacing w:line="600" w:lineRule="exact"/>
        <w:ind w:firstLine="600" w:firstLineChars="200"/>
        <w:rPr>
          <w:rFonts w:ascii="黑体" w:hAnsi="黑体" w:eastAsia="黑体"/>
        </w:rPr>
      </w:pPr>
      <w:r>
        <w:rPr>
          <w:rFonts w:hint="eastAsia" w:ascii="黑体" w:hAnsi="黑体" w:eastAsia="黑体"/>
        </w:rPr>
        <w:t>五、主要经验及做法、存在的问题及原因分析</w:t>
      </w:r>
    </w:p>
    <w:p>
      <w:pPr>
        <w:ind w:firstLine="600" w:firstLineChars="200"/>
        <w:rPr>
          <w:rFonts w:ascii="仿宋_GB2312"/>
        </w:rPr>
      </w:pPr>
      <w:r>
        <w:rPr>
          <w:rFonts w:hint="eastAsia" w:ascii="仿宋_GB2312"/>
        </w:rPr>
        <w:t>1、及时制定年初预算，正确做好年终决算，确保与上级各项收支正确无误。</w:t>
      </w:r>
    </w:p>
    <w:p>
      <w:pPr>
        <w:ind w:firstLine="600" w:firstLineChars="200"/>
        <w:rPr>
          <w:rFonts w:ascii="仿宋_GB2312"/>
        </w:rPr>
      </w:pPr>
      <w:r>
        <w:rPr>
          <w:rFonts w:ascii="仿宋_GB2312"/>
        </w:rPr>
        <w:t>2</w:t>
      </w:r>
      <w:r>
        <w:rPr>
          <w:rFonts w:hint="eastAsia" w:ascii="仿宋_GB2312"/>
        </w:rPr>
        <w:t>、加强项目管理技术人员专业学习。加强与财政部门的沟通、协调，按照有关文件精神和实施方案积极落实建设资金，建立严格的资金使用、监管和审计制度，并接受有关部门的监督。</w:t>
      </w:r>
    </w:p>
    <w:p>
      <w:pPr>
        <w:ind w:firstLine="600" w:firstLineChars="200"/>
        <w:rPr>
          <w:rFonts w:ascii="仿宋_GB2312"/>
        </w:rPr>
      </w:pPr>
      <w:r>
        <w:rPr>
          <w:rFonts w:hint="eastAsia" w:ascii="仿宋_GB2312"/>
        </w:rPr>
        <w:t>3、项目实施要分工明确，职责到人，使得项目顺利进行有了坚实的领导基础，项目实施过程中，要沟通、磋商，对发现的问题及提出的要求能够及时进行整改，使得项目的进度及质量得到有力的保障。</w:t>
      </w:r>
    </w:p>
    <w:p>
      <w:pPr>
        <w:ind w:firstLine="600" w:firstLineChars="200"/>
        <w:rPr>
          <w:rFonts w:ascii="仿宋_GB2312"/>
        </w:rPr>
      </w:pPr>
      <w:r>
        <w:rPr>
          <w:rFonts w:hint="eastAsia" w:ascii="仿宋_GB2312"/>
        </w:rPr>
        <w:t>存在问题</w:t>
      </w:r>
      <w:bookmarkStart w:id="0" w:name="_Toc169183194"/>
      <w:r>
        <w:rPr>
          <w:rFonts w:hint="eastAsia" w:ascii="仿宋_GB2312"/>
        </w:rPr>
        <w:t>：专项资金拨付的时间与项目实施的进度存在时间差异，专项已启动，但上级资金不能拨付到位。</w:t>
      </w:r>
    </w:p>
    <w:bookmarkEnd w:id="0"/>
    <w:p>
      <w:pPr>
        <w:spacing w:line="600" w:lineRule="exact"/>
        <w:ind w:firstLine="600" w:firstLineChars="200"/>
        <w:rPr>
          <w:rFonts w:ascii="黑体" w:hAnsi="黑体" w:eastAsia="黑体"/>
        </w:rPr>
      </w:pPr>
      <w:r>
        <w:rPr>
          <w:rFonts w:hint="eastAsia" w:ascii="黑体" w:hAnsi="黑体" w:eastAsia="黑体"/>
        </w:rPr>
        <w:t>六、有关建议</w:t>
      </w:r>
    </w:p>
    <w:p>
      <w:pPr>
        <w:ind w:firstLine="600" w:firstLineChars="200"/>
        <w:rPr>
          <w:rFonts w:ascii="仿宋_GB2312"/>
        </w:rPr>
      </w:pPr>
      <w:r>
        <w:rPr>
          <w:rFonts w:hint="eastAsia" w:ascii="仿宋_GB2312"/>
        </w:rPr>
        <w:t>进一步健全和完善财务管理制度及内部控制制度，创新管理手段，用新思路、新方法，改进完善财务管理方法。</w:t>
      </w:r>
    </w:p>
    <w:p>
      <w:pPr>
        <w:spacing w:line="600" w:lineRule="exact"/>
        <w:ind w:firstLine="600" w:firstLineChars="200"/>
        <w:rPr>
          <w:rFonts w:ascii="仿宋_GB2312"/>
          <w:bCs/>
          <w:sz w:val="32"/>
          <w:szCs w:val="32"/>
        </w:rPr>
      </w:pPr>
      <w:r>
        <w:rPr>
          <w:rFonts w:hint="eastAsia" w:ascii="黑体" w:hAnsi="黑体" w:eastAsia="黑体"/>
        </w:rPr>
        <w:t>七、其他需要说明的问题</w:t>
      </w:r>
    </w:p>
    <w:p>
      <w:r>
        <w:rPr>
          <w:rFonts w:hint="eastAsia"/>
        </w:rPr>
        <w:t>无。</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80"/>
    <w:rsid w:val="0006523B"/>
    <w:rsid w:val="00070E80"/>
    <w:rsid w:val="001176E4"/>
    <w:rsid w:val="0043261E"/>
    <w:rsid w:val="006C626B"/>
    <w:rsid w:val="00777A33"/>
    <w:rsid w:val="00974286"/>
    <w:rsid w:val="009E4493"/>
    <w:rsid w:val="00A00845"/>
    <w:rsid w:val="00B16ECC"/>
    <w:rsid w:val="00C04476"/>
    <w:rsid w:val="00C21145"/>
    <w:rsid w:val="00CF7CEC"/>
    <w:rsid w:val="00D24DB6"/>
    <w:rsid w:val="00DA532B"/>
    <w:rsid w:val="00E350F6"/>
    <w:rsid w:val="00E6440A"/>
    <w:rsid w:val="00EB4738"/>
    <w:rsid w:val="00F640F1"/>
    <w:rsid w:val="11167411"/>
    <w:rsid w:val="3C3B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897</Words>
  <Characters>5118</Characters>
  <Lines>42</Lines>
  <Paragraphs>12</Paragraphs>
  <TotalTime>0</TotalTime>
  <ScaleCrop>false</ScaleCrop>
  <LinksUpToDate>false</LinksUpToDate>
  <CharactersWithSpaces>6003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2021-03-17T08:40:00Z</dcterms:created>
  <dc:creator>1 2</dc:creator>
  <cp:lastModifiedBy>Administrator</cp:lastModifiedBy>
  <dcterms:modified xsi:type="dcterms:W3CDTF">2022-01-19T08:16:35Z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57785F9DBD97414AB0CED185381DEE32</vt:lpwstr>
  </property>
</Properties>
</file>