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  件</w:t>
      </w:r>
    </w:p>
    <w:p>
      <w:pPr>
        <w:snapToGrid w:val="0"/>
        <w:spacing w:after="289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南阳市工业用地地价优惠政策对照表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65"/>
        <w:gridCol w:w="1318"/>
        <w:gridCol w:w="1482"/>
        <w:gridCol w:w="1318"/>
        <w:gridCol w:w="1317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3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采用地价政策</w:t>
            </w:r>
          </w:p>
        </w:tc>
        <w:tc>
          <w:tcPr>
            <w:tcW w:w="28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全年期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50年地价</w:t>
            </w:r>
          </w:p>
        </w:tc>
        <w:tc>
          <w:tcPr>
            <w:tcW w:w="26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弹性年期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30年地价</w:t>
            </w:r>
          </w:p>
        </w:tc>
        <w:tc>
          <w:tcPr>
            <w:tcW w:w="15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需具备的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传统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产业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(万元/亩)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战略型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新兴产业(万元/亩)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传统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产业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(万元/亩)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战略型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新兴产业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(万元/亩)</w:t>
            </w:r>
          </w:p>
        </w:tc>
        <w:tc>
          <w:tcPr>
            <w:tcW w:w="15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按国土资发〔2009〕56号公布的卧龙、宛城行政辖区工业用地最低价标准13.6万元/亩出让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13.6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9.6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8.2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5.8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1.根据项目评审委员会评定和推送的结果确定相应的地价。</w:t>
            </w:r>
          </w:p>
          <w:p>
            <w:pPr>
              <w:widowControl/>
              <w:spacing w:line="34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2.出让公告明确项目需经评审委员会审核通过。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按A等地价1.5倍确认出让地价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20.4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14.4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12.3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8.7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5A171422"/>
    <w:rsid w:val="5A17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center"/>
      <w:textAlignment w:val="baseline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2023-11-13T09:07:00Z</dcterms:created>
  <dc:creator>马皮皮</dc:creator>
  <cp:lastModifiedBy>马皮皮</cp:lastModifiedBy>
  <dcterms:modified xsi:type="dcterms:W3CDTF">2023-11-13T09:07:27Z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3550778DDAB24BBB9ACFDE1151B6D663_11</vt:lpwstr>
  </property>
</Properties>
</file>