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bookmarkStart w:id="1" w:name="_GoBack"/>
      <w:bookmarkEnd w:id="1"/>
      <w:bookmarkStart w:id="0" w:name="PO_contentAll"/>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南阳市“十四五”时期体育公园</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和足球场地建设方案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为贯彻落实党中央国务院决策部署，深入推进全民健身国家战略，加快健康南阳和体育强市建设，根据国家发展改革委体育总局等部门《</w:t>
      </w:r>
      <w:r>
        <w:rPr>
          <w:rFonts w:hint="eastAsia" w:ascii="仿宋" w:hAnsi="仿宋" w:eastAsia="仿宋" w:cs="仿宋"/>
          <w:sz w:val="32"/>
          <w:szCs w:val="32"/>
          <w:lang w:val="en-US" w:eastAsia="zh-CN"/>
        </w:rPr>
        <w:t>关于推进体育公园建设的指导意见</w:t>
      </w:r>
      <w:r>
        <w:rPr>
          <w:rFonts w:hint="eastAsia" w:ascii="仿宋" w:hAnsi="仿宋" w:eastAsia="仿宋" w:cs="仿宋"/>
          <w:sz w:val="32"/>
          <w:szCs w:val="32"/>
          <w:lang w:val="en" w:eastAsia="zh-CN"/>
        </w:rPr>
        <w:t>》《国家发展改革委</w:t>
      </w:r>
      <w:r>
        <w:rPr>
          <w:rFonts w:hint="eastAsia" w:ascii="仿宋" w:hAnsi="仿宋" w:eastAsia="仿宋" w:cs="仿宋"/>
          <w:sz w:val="32"/>
          <w:szCs w:val="32"/>
          <w:lang w:val="en-US" w:eastAsia="zh-CN"/>
        </w:rPr>
        <w:t>体育总局关于印发&lt;“十四五”时期全民健身设施补短板工程实施方案&gt;的通知</w:t>
      </w:r>
      <w:r>
        <w:rPr>
          <w:rFonts w:hint="eastAsia" w:ascii="仿宋" w:hAnsi="仿宋" w:eastAsia="仿宋" w:cs="仿宋"/>
          <w:sz w:val="32"/>
          <w:szCs w:val="32"/>
          <w:lang w:val="en" w:eastAsia="zh-CN"/>
        </w:rPr>
        <w:t>》《河南省足球中长期发展规划（</w:t>
      </w:r>
      <w:r>
        <w:rPr>
          <w:rFonts w:hint="eastAsia" w:ascii="仿宋" w:hAnsi="仿宋" w:eastAsia="仿宋" w:cs="仿宋"/>
          <w:sz w:val="32"/>
          <w:szCs w:val="32"/>
          <w:lang w:val="en-US" w:eastAsia="zh-CN"/>
        </w:rPr>
        <w:t>2016-2050年</w:t>
      </w:r>
      <w:r>
        <w:rPr>
          <w:rFonts w:hint="eastAsia" w:ascii="仿宋" w:hAnsi="仿宋" w:eastAsia="仿宋" w:cs="仿宋"/>
          <w:sz w:val="32"/>
          <w:szCs w:val="32"/>
          <w:lang w:val="en" w:eastAsia="zh-CN"/>
        </w:rPr>
        <w:t>）》《河南省“十四五”时期体育公园和足球场地建设方案》等文件，制定本实施方案。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sz w:val="32"/>
          <w:szCs w:val="32"/>
          <w:lang w:val="en" w:eastAsia="zh-CN"/>
        </w:rPr>
      </w:pPr>
      <w:r>
        <w:rPr>
          <w:rFonts w:hint="eastAsia" w:ascii="楷体" w:hAnsi="楷体" w:eastAsia="楷体" w:cs="楷体"/>
          <w:b/>
          <w:bCs/>
          <w:sz w:val="32"/>
          <w:szCs w:val="32"/>
          <w:lang w:val="en"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以习近平新时代中国特色社会主义思想为指导，全面贯彻党的十九大和十九届历次全会精神，认真落实习近平总书记关于体育工作的重要论述、视察河南重要讲话重要指示，完整、准确、全面贯彻新发展理念，坚持以人民为中心，聚焦群众“健身去哪儿”的问题，以补齐群众身边的健身设施短板为核心，以体育公园和足球场地设施为重点，扩大公益性、基础性全民健身服务供给，打造绿色便捷的全民健身新载体，推动加快构建更高水平的全民健身公共服务体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楷体" w:hAnsi="楷体" w:eastAsia="楷体" w:cs="楷体"/>
          <w:b/>
          <w:bCs/>
          <w:sz w:val="32"/>
          <w:szCs w:val="32"/>
          <w:lang w:val="en" w:eastAsia="zh-CN"/>
        </w:rPr>
      </w:pPr>
      <w:r>
        <w:rPr>
          <w:rFonts w:hint="default" w:ascii="楷体" w:hAnsi="楷体" w:eastAsia="楷体" w:cs="楷体"/>
          <w:b/>
          <w:bCs/>
          <w:sz w:val="32"/>
          <w:szCs w:val="32"/>
          <w:lang w:val="en" w:eastAsia="zh-CN"/>
        </w:rPr>
        <w:t>（二）发展目标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 w:eastAsia="zh-CN"/>
        </w:rPr>
        <w:t>科学规划，统筹布局，加快体育公园和足球场地设施（以下简称“园场设施”）建设，“十四五”期间，新建改扩建体育公园</w:t>
      </w:r>
      <w:r>
        <w:rPr>
          <w:rFonts w:hint="eastAsia" w:ascii="仿宋" w:hAnsi="仿宋" w:eastAsia="仿宋" w:cs="仿宋"/>
          <w:sz w:val="32"/>
          <w:szCs w:val="32"/>
          <w:lang w:val="en-US" w:eastAsia="zh-CN"/>
        </w:rPr>
        <w:t>13个，新建足球场地218块，每万人拥有足球场地数量达到1块以上，基本形成经济实用、近民便民、普惠性强、生态绿色的全民健身设施网络，园场设施成为全民健身的新载体、绿地系统的有机部分、改善人民生活品质的有效途径、提升城市品味的重要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 w:eastAsia="zh-CN"/>
        </w:rPr>
        <w:t>二、</w:t>
      </w:r>
      <w:r>
        <w:rPr>
          <w:rFonts w:hint="default" w:ascii="Times New Roman" w:hAnsi="Times New Roman" w:eastAsia="黑体" w:cs="Times New Roman"/>
          <w:sz w:val="32"/>
          <w:szCs w:val="32"/>
          <w:lang w:val="en-US" w:eastAsia="zh-CN"/>
        </w:rPr>
        <w:t>统筹场地设施规划布局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lang w:val="en-US" w:eastAsia="zh-CN"/>
        </w:rPr>
      </w:pPr>
      <w:r>
        <w:rPr>
          <w:rFonts w:hint="default" w:ascii="楷体" w:hAnsi="楷体" w:eastAsia="楷体" w:cs="楷体"/>
          <w:b/>
          <w:bCs/>
          <w:sz w:val="32"/>
          <w:szCs w:val="32"/>
          <w:lang w:val="en" w:eastAsia="zh-CN"/>
        </w:rPr>
        <w:t>（一）按人口规模科学布局。</w:t>
      </w:r>
      <w:r>
        <w:rPr>
          <w:rFonts w:hint="eastAsia" w:ascii="仿宋" w:hAnsi="仿宋" w:eastAsia="仿宋" w:cs="仿宋"/>
          <w:sz w:val="32"/>
          <w:szCs w:val="32"/>
          <w:lang w:val="en" w:eastAsia="zh-CN"/>
        </w:rPr>
        <w:t>园场设施</w:t>
      </w:r>
      <w:r>
        <w:rPr>
          <w:rFonts w:hint="eastAsia" w:ascii="仿宋" w:hAnsi="仿宋" w:eastAsia="仿宋" w:cs="仿宋"/>
          <w:sz w:val="32"/>
          <w:szCs w:val="32"/>
          <w:lang w:val="en-US" w:eastAsia="zh-CN"/>
        </w:rPr>
        <w:t>建设要与常住人口总量、结构和发展趋势相衔接，优先考虑在距离居住人群较近、覆盖人口较多、健身设施供需矛盾突出的地区布局建设，增强公益性，提高可及性，方便群众就近就便参与体育锻炼。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（二）优化设施空间布局。</w:t>
      </w:r>
      <w:r>
        <w:rPr>
          <w:rFonts w:hint="default" w:ascii="仿宋" w:hAnsi="仿宋" w:eastAsia="仿宋" w:cs="仿宋"/>
          <w:sz w:val="32"/>
          <w:szCs w:val="32"/>
          <w:lang w:val="en-US" w:eastAsia="zh-CN"/>
        </w:rPr>
        <w:t>结合新建城区、郊区新城、新校区等建设，推动有条件的地方建设辐射面大、设施完善、功能健全的体育公园和11人制标准足球场地，形成示范带动作用。紧密结合城镇老旧小区改造、城市生态修复功能完善、各级各类学校建设，灵活布局规模适宜的</w:t>
      </w:r>
      <w:r>
        <w:rPr>
          <w:rFonts w:hint="default" w:ascii="仿宋" w:hAnsi="仿宋" w:eastAsia="仿宋" w:cs="仿宋"/>
          <w:sz w:val="32"/>
          <w:szCs w:val="32"/>
          <w:lang w:val="en" w:eastAsia="zh-CN"/>
        </w:rPr>
        <w:t>园场设施</w:t>
      </w:r>
      <w:r>
        <w:rPr>
          <w:rFonts w:hint="default" w:ascii="仿宋" w:hAnsi="仿宋" w:eastAsia="仿宋" w:cs="仿宋"/>
          <w:sz w:val="32"/>
          <w:szCs w:val="32"/>
          <w:lang w:val="en-US" w:eastAsia="zh-CN"/>
        </w:rPr>
        <w:t>，满足居民就近就便健身需求。</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lang w:val="en-US" w:eastAsia="zh-CN"/>
        </w:rPr>
      </w:pPr>
      <w:r>
        <w:rPr>
          <w:rFonts w:hint="default" w:ascii="楷体" w:hAnsi="楷体" w:eastAsia="楷体" w:cs="楷体"/>
          <w:b/>
          <w:bCs/>
          <w:sz w:val="32"/>
          <w:szCs w:val="32"/>
          <w:lang w:val="en" w:eastAsia="zh-CN"/>
        </w:rPr>
        <w:t>（三）合理确定建设规模。</w:t>
      </w:r>
      <w:r>
        <w:rPr>
          <w:rFonts w:hint="eastAsia" w:ascii="仿宋" w:hAnsi="仿宋" w:eastAsia="仿宋" w:cs="仿宋"/>
          <w:sz w:val="32"/>
          <w:szCs w:val="32"/>
          <w:lang w:val="en-US" w:eastAsia="zh-CN"/>
        </w:rPr>
        <w:t>各地要按照节约集约用地的原则，统筹考虑城区常住人口规模、服务半径、周边功能协调、面积配比等因素，合理预留场地设施建设空间。体育公园建设规模，按照不低于10万平方米、不低于6万平方米、不低于4万平方米三种标准科学确定；足球场地建设规模，按照5人制、7人制（8人制）和11人制三种类型科学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三、科学制定本地工作方案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（一）编制本地工作方案。</w:t>
      </w:r>
      <w:r>
        <w:rPr>
          <w:rFonts w:hint="default" w:ascii="仿宋" w:hAnsi="仿宋" w:eastAsia="仿宋" w:cs="仿宋"/>
          <w:sz w:val="32"/>
          <w:szCs w:val="32"/>
          <w:lang w:val="en-US" w:eastAsia="zh-CN"/>
        </w:rPr>
        <w:t>各</w:t>
      </w:r>
      <w:r>
        <w:rPr>
          <w:rFonts w:hint="eastAsia" w:ascii="仿宋" w:hAnsi="仿宋" w:eastAsia="仿宋" w:cs="仿宋"/>
          <w:sz w:val="32"/>
          <w:szCs w:val="32"/>
          <w:lang w:val="en-US" w:eastAsia="zh-CN"/>
        </w:rPr>
        <w:t>地</w:t>
      </w:r>
      <w:r>
        <w:rPr>
          <w:rFonts w:hint="default" w:ascii="仿宋" w:hAnsi="仿宋" w:eastAsia="仿宋" w:cs="仿宋"/>
          <w:sz w:val="32"/>
          <w:szCs w:val="32"/>
          <w:lang w:val="en-US" w:eastAsia="zh-CN"/>
        </w:rPr>
        <w:t>要以本方案为指导，根据确定的建设任务，结合当地实际，编制本地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十四五</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体育公园和足球场地设施建设实施方案，明确土地、资金等要素保障，完善工作举措</w:t>
      </w:r>
      <w:r>
        <w:rPr>
          <w:rFonts w:hint="eastAsia" w:ascii="仿宋" w:hAnsi="仿宋" w:eastAsia="仿宋" w:cs="仿宋"/>
          <w:sz w:val="32"/>
          <w:szCs w:val="32"/>
          <w:lang w:val="en-US" w:eastAsia="zh-CN"/>
        </w:rPr>
        <w:t>、建设进度</w:t>
      </w:r>
      <w:r>
        <w:rPr>
          <w:rFonts w:hint="default" w:ascii="仿宋" w:hAnsi="仿宋" w:eastAsia="仿宋" w:cs="仿宋"/>
          <w:sz w:val="32"/>
          <w:szCs w:val="32"/>
          <w:lang w:val="en-US" w:eastAsia="zh-CN"/>
        </w:rPr>
        <w:t>和责任分工，确保按时按质按量完成目标任务。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（二）制定项目建设清单。</w:t>
      </w:r>
      <w:r>
        <w:rPr>
          <w:rFonts w:hint="default" w:ascii="仿宋" w:hAnsi="仿宋" w:eastAsia="仿宋" w:cs="仿宋"/>
          <w:sz w:val="32"/>
          <w:szCs w:val="32"/>
          <w:lang w:val="en-US" w:eastAsia="zh-CN"/>
        </w:rPr>
        <w:t>各</w:t>
      </w:r>
      <w:r>
        <w:rPr>
          <w:rFonts w:hint="eastAsia" w:ascii="仿宋" w:hAnsi="仿宋" w:eastAsia="仿宋" w:cs="仿宋"/>
          <w:sz w:val="32"/>
          <w:szCs w:val="32"/>
          <w:lang w:val="en-US" w:eastAsia="zh-CN"/>
        </w:rPr>
        <w:t>地</w:t>
      </w:r>
      <w:r>
        <w:rPr>
          <w:rFonts w:hint="default" w:ascii="仿宋" w:hAnsi="仿宋" w:eastAsia="仿宋" w:cs="仿宋"/>
          <w:sz w:val="32"/>
          <w:szCs w:val="32"/>
          <w:lang w:val="en-US" w:eastAsia="zh-CN"/>
        </w:rPr>
        <w:t>要对照指导目标任务，明确具体建设项目，将</w:t>
      </w:r>
      <w:r>
        <w:rPr>
          <w:rFonts w:hint="default" w:ascii="仿宋" w:hAnsi="仿宋" w:eastAsia="仿宋" w:cs="仿宋"/>
          <w:sz w:val="32"/>
          <w:szCs w:val="32"/>
          <w:lang w:val="en" w:eastAsia="zh-CN"/>
        </w:rPr>
        <w:t>园场设施</w:t>
      </w:r>
      <w:r>
        <w:rPr>
          <w:rFonts w:hint="default" w:ascii="仿宋" w:hAnsi="仿宋" w:eastAsia="仿宋" w:cs="仿宋"/>
          <w:sz w:val="32"/>
          <w:szCs w:val="32"/>
          <w:lang w:val="en-US" w:eastAsia="zh-CN"/>
        </w:rPr>
        <w:t>建设位置落到城市图斑，明确各场地名称、位置、规模（制式）、建设内容、资金来源、进度节点、责任人等，逐一场地建档立卡，形成项目建设清单，全力推进实施。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四、强化土地要素保障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（一）保障设施场地建设用地需求。</w:t>
      </w:r>
      <w:r>
        <w:rPr>
          <w:rFonts w:hint="default" w:ascii="仿宋" w:hAnsi="仿宋" w:eastAsia="仿宋" w:cs="仿宋"/>
          <w:sz w:val="32"/>
          <w:szCs w:val="32"/>
          <w:lang w:val="en" w:eastAsia="zh-CN"/>
        </w:rPr>
        <w:t>各</w:t>
      </w:r>
      <w:r>
        <w:rPr>
          <w:rFonts w:hint="eastAsia" w:ascii="仿宋" w:hAnsi="仿宋" w:eastAsia="仿宋" w:cs="仿宋"/>
          <w:sz w:val="32"/>
          <w:szCs w:val="32"/>
          <w:lang w:val="en-US" w:eastAsia="zh-CN"/>
        </w:rPr>
        <w:t>地</w:t>
      </w:r>
      <w:r>
        <w:rPr>
          <w:rFonts w:hint="default" w:ascii="仿宋" w:hAnsi="仿宋" w:eastAsia="仿宋" w:cs="仿宋"/>
          <w:sz w:val="32"/>
          <w:szCs w:val="32"/>
          <w:lang w:val="en" w:eastAsia="zh-CN"/>
        </w:rPr>
        <w:t>要依据国土空间规划将园场设施建设用地纳入年度用地计划，</w:t>
      </w:r>
      <w:r>
        <w:rPr>
          <w:rFonts w:hint="default" w:ascii="仿宋" w:hAnsi="仿宋" w:eastAsia="仿宋" w:cs="仿宋"/>
          <w:sz w:val="32"/>
          <w:szCs w:val="32"/>
          <w:lang w:val="en-US" w:eastAsia="zh-CN"/>
        </w:rPr>
        <w:t>合理安排用地需求。对符合《划拨用地目录》的非营利性体育用地，可以采取划拨方式供地。对不符合划拨用地目录的，应当依法采取有偿方式供地。在符合相关规划的前提下，对使用荒山、荒地、荒滩及石漠化土地建设的</w:t>
      </w:r>
      <w:r>
        <w:rPr>
          <w:rFonts w:hint="default" w:ascii="仿宋" w:hAnsi="仿宋" w:eastAsia="仿宋" w:cs="仿宋"/>
          <w:sz w:val="32"/>
          <w:szCs w:val="32"/>
          <w:lang w:val="en" w:eastAsia="zh-CN"/>
        </w:rPr>
        <w:t>园场设施</w:t>
      </w:r>
      <w:r>
        <w:rPr>
          <w:rFonts w:hint="default" w:ascii="仿宋" w:hAnsi="仿宋" w:eastAsia="仿宋" w:cs="仿宋"/>
          <w:sz w:val="32"/>
          <w:szCs w:val="32"/>
          <w:lang w:val="en-US" w:eastAsia="zh-CN"/>
        </w:rPr>
        <w:t>，优先安排新增建设用地计划指标，出让底价可按不低于土地取得成本、土地前期开发成本和按规定应收取相关费用之和的原则确定。鼓励各地区在符合国土空间规划的前提下，以租赁方式提供园场设施建设用地。</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 w:eastAsia="zh-CN"/>
        </w:rPr>
      </w:pPr>
      <w:r>
        <w:rPr>
          <w:rFonts w:hint="default" w:ascii="楷体" w:hAnsi="楷体" w:eastAsia="楷体" w:cs="楷体"/>
          <w:b/>
          <w:bCs/>
          <w:sz w:val="32"/>
          <w:szCs w:val="32"/>
          <w:lang w:val="en" w:eastAsia="zh-CN"/>
        </w:rPr>
        <w:t>（二）落实居住小区配建要求。</w:t>
      </w:r>
      <w:r>
        <w:rPr>
          <w:rFonts w:hint="default" w:ascii="仿宋" w:hAnsi="仿宋" w:eastAsia="仿宋" w:cs="仿宋"/>
          <w:sz w:val="32"/>
          <w:szCs w:val="32"/>
          <w:lang w:val="en" w:eastAsia="zh-CN"/>
        </w:rPr>
        <w:t>将足球场地作为推动居住小区居民健身的重要设施基础，加快推进实施。新建居住小区要按照国家规定的室内人均建筑面积不低于0.1平方米或室外人均用地面积不低于0.3平方米标准配建社区健身设施，并与住宅同步规划、同步设计、同步建设、同步验收、同步交付，不得挪用或侵占。体育主管部门参与新建居住小区建设设计方案联合审查和联合指导服务。社区健身设施未达到规划要求或建设标准的既有居住小区，要结合城镇老旧小区改造，统筹建设社区健身设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lang w:val="en" w:eastAsia="zh-CN"/>
        </w:rPr>
      </w:pPr>
      <w:r>
        <w:rPr>
          <w:rFonts w:hint="default" w:ascii="楷体" w:hAnsi="楷体" w:eastAsia="楷体" w:cs="楷体"/>
          <w:b/>
          <w:bCs/>
          <w:sz w:val="32"/>
          <w:szCs w:val="32"/>
          <w:lang w:val="en" w:eastAsia="zh-CN"/>
        </w:rPr>
        <w:t>（三）盘活城乡空闲土地。</w:t>
      </w:r>
      <w:r>
        <w:rPr>
          <w:rFonts w:hint="eastAsia" w:ascii="仿宋" w:hAnsi="仿宋" w:eastAsia="仿宋" w:cs="仿宋"/>
          <w:sz w:val="32"/>
          <w:szCs w:val="32"/>
          <w:lang w:val="en" w:eastAsia="zh-CN"/>
        </w:rPr>
        <w:t>鼓励和支持各地依法依规盘活城乡闲置用地，</w:t>
      </w:r>
      <w:r>
        <w:rPr>
          <w:rFonts w:hint="eastAsia" w:ascii="仿宋" w:hAnsi="仿宋" w:eastAsia="仿宋" w:cs="仿宋"/>
          <w:sz w:val="32"/>
          <w:szCs w:val="32"/>
          <w:lang w:val="en-US" w:eastAsia="zh-CN"/>
        </w:rPr>
        <w:t>在符合国土空间规划的前提下，充分引入市场化机制，合理盘活利用旧住宅区、旧厂区、城中村改造、闲置农村集体建设用地、闲置校舍等，改扩建</w:t>
      </w:r>
      <w:r>
        <w:rPr>
          <w:rFonts w:hint="eastAsia" w:ascii="仿宋" w:hAnsi="仿宋" w:eastAsia="仿宋" w:cs="仿宋"/>
          <w:sz w:val="32"/>
          <w:szCs w:val="32"/>
          <w:lang w:val="en" w:eastAsia="zh-CN"/>
        </w:rPr>
        <w:t>园场设施</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统筹考虑预留应急避难（险）功能。</w:t>
      </w:r>
      <w:r>
        <w:rPr>
          <w:rFonts w:hint="eastAsia" w:ascii="仿宋" w:hAnsi="仿宋" w:eastAsia="仿宋" w:cs="仿宋"/>
          <w:sz w:val="32"/>
          <w:szCs w:val="32"/>
          <w:lang w:val="en-US" w:eastAsia="zh-CN"/>
        </w:rPr>
        <w:t>支持各类主体利用具备条件的大型建筑屋顶、地下室空间改建足球场地。</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（四）推进土地资源复合利用。</w:t>
      </w:r>
      <w:r>
        <w:rPr>
          <w:rFonts w:hint="default" w:ascii="仿宋" w:hAnsi="仿宋" w:eastAsia="仿宋" w:cs="仿宋"/>
          <w:sz w:val="32"/>
          <w:szCs w:val="32"/>
          <w:lang w:val="en-US" w:eastAsia="zh-CN"/>
        </w:rPr>
        <w:t>支持各地在不改变不占压土地、不改变地表形态、不破坏自然生态的前提下，充分利用山、水、林、田、湖、草等自然资源建设</w:t>
      </w:r>
      <w:r>
        <w:rPr>
          <w:rFonts w:hint="default" w:ascii="仿宋" w:hAnsi="仿宋" w:eastAsia="仿宋" w:cs="仿宋"/>
          <w:sz w:val="32"/>
          <w:szCs w:val="32"/>
          <w:lang w:val="en" w:eastAsia="zh-CN"/>
        </w:rPr>
        <w:t>园场设施</w:t>
      </w:r>
      <w:r>
        <w:rPr>
          <w:rFonts w:hint="default" w:ascii="仿宋" w:hAnsi="仿宋" w:eastAsia="仿宋" w:cs="仿宋"/>
          <w:sz w:val="32"/>
          <w:szCs w:val="32"/>
          <w:lang w:val="en-US" w:eastAsia="zh-CN"/>
        </w:rPr>
        <w:t>。</w:t>
      </w:r>
      <w:r>
        <w:rPr>
          <w:rFonts w:hint="eastAsia" w:ascii="仿宋" w:hAnsi="仿宋" w:eastAsia="仿宋" w:cs="仿宋"/>
          <w:sz w:val="32"/>
          <w:szCs w:val="32"/>
          <w:lang w:val="en" w:eastAsia="zh-CN"/>
        </w:rPr>
        <w:t>支持在满足防洪标准，且不影响正常行洪前提下利用河滩等地建设园场设施。</w:t>
      </w:r>
      <w:r>
        <w:rPr>
          <w:rFonts w:hint="default" w:ascii="仿宋" w:hAnsi="仿宋" w:eastAsia="仿宋" w:cs="仿宋"/>
          <w:sz w:val="32"/>
          <w:szCs w:val="32"/>
          <w:lang w:val="en-US" w:eastAsia="zh-CN"/>
        </w:rPr>
        <w:t>支持在不影响安全、符合功能兼具的前提下，允许利用高铁沿线、高架桥下等限建区建设</w:t>
      </w:r>
      <w:r>
        <w:rPr>
          <w:rFonts w:hint="default" w:ascii="仿宋" w:hAnsi="仿宋" w:eastAsia="仿宋" w:cs="仿宋"/>
          <w:sz w:val="32"/>
          <w:szCs w:val="32"/>
          <w:lang w:val="en" w:eastAsia="zh-CN"/>
        </w:rPr>
        <w:t>园场设施</w:t>
      </w:r>
      <w:r>
        <w:rPr>
          <w:rFonts w:hint="default" w:ascii="仿宋" w:hAnsi="仿宋" w:eastAsia="仿宋" w:cs="仿宋"/>
          <w:sz w:val="32"/>
          <w:szCs w:val="32"/>
          <w:lang w:val="en-US" w:eastAsia="zh-CN"/>
        </w:rPr>
        <w:t>。支持结合垃圾填埋场封场治理等项目探索体育设施建设新路径。鼓励利用体育公园内的林业生产用地建设森林步道、登山步道等场地设施。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（五）拓展现有公园和公共绿地功能。</w:t>
      </w:r>
      <w:r>
        <w:rPr>
          <w:rFonts w:hint="default" w:ascii="仿宋" w:hAnsi="仿宋" w:eastAsia="仿宋" w:cs="仿宋"/>
          <w:sz w:val="32"/>
          <w:szCs w:val="32"/>
          <w:lang w:val="en-US" w:eastAsia="zh-CN"/>
        </w:rPr>
        <w:t>支持各地探索公园绿地和体育设施融合发展方式，在有条件的郊野公园、城市公园中，可适当提高公园内铺装面积比例，用于配建一定比例的健身设施。允许在公园、滨水绿带、大草坪等建设铺设天然草皮的足球场，并计入园内绿化用地面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五、多措并举保障建设资金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 w:eastAsia="zh-CN"/>
        </w:rPr>
        <w:t>（一）</w:t>
      </w:r>
      <w:r>
        <w:rPr>
          <w:rFonts w:hint="default" w:ascii="楷体" w:hAnsi="楷体" w:eastAsia="楷体" w:cs="楷体"/>
          <w:b/>
          <w:bCs/>
          <w:sz w:val="32"/>
          <w:szCs w:val="32"/>
          <w:lang w:val="en" w:eastAsia="zh-CN"/>
        </w:rPr>
        <w:t>用好国家资金支持政策。</w:t>
      </w:r>
      <w:r>
        <w:rPr>
          <w:rFonts w:hint="default" w:ascii="仿宋" w:hAnsi="仿宋" w:eastAsia="仿宋" w:cs="仿宋"/>
          <w:sz w:val="32"/>
          <w:szCs w:val="32"/>
          <w:lang w:val="en-US" w:eastAsia="zh-CN"/>
        </w:rPr>
        <w:t>支持各地将</w:t>
      </w:r>
      <w:r>
        <w:rPr>
          <w:rFonts w:hint="default" w:ascii="仿宋" w:hAnsi="仿宋" w:eastAsia="仿宋" w:cs="仿宋"/>
          <w:sz w:val="32"/>
          <w:szCs w:val="32"/>
          <w:lang w:val="en" w:eastAsia="zh-CN"/>
        </w:rPr>
        <w:t>园场设施</w:t>
      </w:r>
      <w:r>
        <w:rPr>
          <w:rFonts w:hint="default" w:ascii="仿宋" w:hAnsi="仿宋" w:eastAsia="仿宋" w:cs="仿宋"/>
          <w:sz w:val="32"/>
          <w:szCs w:val="32"/>
          <w:lang w:val="en-US" w:eastAsia="zh-CN"/>
        </w:rPr>
        <w:t>建设纳入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十四五</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全民健身设施补短板工程，积极争取中央预算内投资，对符合条件的</w:t>
      </w:r>
      <w:r>
        <w:rPr>
          <w:rFonts w:hint="default" w:ascii="仿宋" w:hAnsi="仿宋" w:eastAsia="仿宋" w:cs="仿宋"/>
          <w:sz w:val="32"/>
          <w:szCs w:val="32"/>
          <w:lang w:val="en" w:eastAsia="zh-CN"/>
        </w:rPr>
        <w:t>园场设施</w:t>
      </w:r>
      <w:r>
        <w:rPr>
          <w:rFonts w:hint="default" w:ascii="仿宋" w:hAnsi="仿宋" w:eastAsia="仿宋" w:cs="仿宋"/>
          <w:sz w:val="32"/>
          <w:szCs w:val="32"/>
          <w:lang w:val="en-US" w:eastAsia="zh-CN"/>
        </w:rPr>
        <w:t>建设项目重点支持。配合国家开展项目资金对接活动，对各地建设规划并符合业务范围的体育公园建设项目，积极争取中国农业发展银行在贷款利率、贷款期限、贷款方式等方面予以优惠支持，开辟绿色办贷通道，优先安排调查审查审批，优先满足信贷规模，优先安排投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（二）加大政府资金保障力度。</w:t>
      </w:r>
      <w:r>
        <w:rPr>
          <w:rFonts w:hint="default" w:ascii="仿宋" w:hAnsi="仿宋" w:eastAsia="仿宋" w:cs="仿宋"/>
          <w:sz w:val="32"/>
          <w:szCs w:val="32"/>
          <w:lang w:val="en-US" w:eastAsia="zh-CN"/>
        </w:rPr>
        <w:t>各</w:t>
      </w:r>
      <w:r>
        <w:rPr>
          <w:rFonts w:hint="eastAsia" w:ascii="仿宋" w:hAnsi="仿宋" w:eastAsia="仿宋" w:cs="仿宋"/>
          <w:sz w:val="32"/>
          <w:szCs w:val="32"/>
          <w:lang w:val="en-US" w:eastAsia="zh-CN"/>
        </w:rPr>
        <w:t>地</w:t>
      </w:r>
      <w:r>
        <w:rPr>
          <w:rFonts w:hint="default" w:ascii="仿宋" w:hAnsi="仿宋" w:eastAsia="仿宋" w:cs="仿宋"/>
          <w:sz w:val="32"/>
          <w:szCs w:val="32"/>
          <w:lang w:val="en-US" w:eastAsia="zh-CN"/>
        </w:rPr>
        <w:t>政府要将公共体育设施建设纳入本地区国民经济和社会发展规划，将</w:t>
      </w:r>
      <w:r>
        <w:rPr>
          <w:rFonts w:hint="default" w:ascii="仿宋" w:hAnsi="仿宋" w:eastAsia="仿宋" w:cs="仿宋"/>
          <w:sz w:val="32"/>
          <w:szCs w:val="32"/>
          <w:lang w:val="en" w:eastAsia="zh-CN"/>
        </w:rPr>
        <w:t>园场设施</w:t>
      </w:r>
      <w:r>
        <w:rPr>
          <w:rFonts w:hint="default" w:ascii="仿宋" w:hAnsi="仿宋" w:eastAsia="仿宋" w:cs="仿宋"/>
          <w:sz w:val="32"/>
          <w:szCs w:val="32"/>
          <w:lang w:val="en-US" w:eastAsia="zh-CN"/>
        </w:rPr>
        <w:t>纳入年度重点工作，切实加大财政投入。可统筹使用体育彩票公益金，保障园场设施建设。</w:t>
      </w:r>
      <w:r>
        <w:rPr>
          <w:rFonts w:hint="default" w:ascii="仿宋" w:hAnsi="仿宋" w:eastAsia="仿宋" w:cs="仿宋"/>
          <w:sz w:val="32"/>
          <w:szCs w:val="32"/>
          <w:lang w:val="en" w:eastAsia="zh-CN"/>
        </w:rPr>
        <w:t>支持各地结合园场设施布局，统筹将园场设施纳入市政建设、乡村振兴等实施范围。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（三）积极拓展融资渠道。</w:t>
      </w:r>
      <w:r>
        <w:rPr>
          <w:rFonts w:hint="default" w:ascii="仿宋" w:hAnsi="仿宋" w:eastAsia="仿宋" w:cs="仿宋"/>
          <w:sz w:val="32"/>
          <w:szCs w:val="32"/>
          <w:lang w:val="en-US" w:eastAsia="zh-CN"/>
        </w:rPr>
        <w:t>鼓励和支持各地综合运用财政资金、商业贷款、地方政府专项债券、企业债券、产业投资基金等多种资金渠道，解决项目建设资金。支持各地政府性融资担保机构将符合条件的投资主体纳入支持范围，鼓励银行金融机构开展体育企业应收账款、知识产权等质押贷款创新。支持社会力量投资建设、运营园场设施，鼓励社会力量捐资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六、创新体制机制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（一）简化优化审批程序。</w:t>
      </w:r>
      <w:r>
        <w:rPr>
          <w:rFonts w:hint="default" w:ascii="仿宋" w:hAnsi="仿宋" w:eastAsia="仿宋" w:cs="仿宋"/>
          <w:sz w:val="32"/>
          <w:szCs w:val="32"/>
          <w:lang w:val="en-US" w:eastAsia="zh-CN"/>
        </w:rPr>
        <w:t>各</w:t>
      </w:r>
      <w:r>
        <w:rPr>
          <w:rFonts w:hint="eastAsia" w:ascii="仿宋" w:hAnsi="仿宋" w:eastAsia="仿宋" w:cs="仿宋"/>
          <w:sz w:val="32"/>
          <w:szCs w:val="32"/>
          <w:lang w:val="en-US" w:eastAsia="zh-CN"/>
        </w:rPr>
        <w:t>地</w:t>
      </w:r>
      <w:r>
        <w:rPr>
          <w:rFonts w:hint="default" w:ascii="仿宋" w:hAnsi="仿宋" w:eastAsia="仿宋" w:cs="仿宋"/>
          <w:sz w:val="32"/>
          <w:szCs w:val="32"/>
          <w:lang w:val="en-US" w:eastAsia="zh-CN"/>
        </w:rPr>
        <w:t>要深化“放管服”改革，对投资500万元及以下的同类足球场地项目可合并审批可行性研究报告，允许项目单位自行编制可行性研究报告。已取得使用土地的有关证明文件的足球场地项目，在符合国土空间规划的前提下，免予办理建设工程规划许可证或乡村建设规划许可证。</w:t>
      </w:r>
      <w:r>
        <w:rPr>
          <w:rFonts w:hint="eastAsia" w:ascii="仿宋" w:hAnsi="仿宋" w:eastAsia="仿宋" w:cs="仿宋"/>
          <w:sz w:val="32"/>
          <w:szCs w:val="32"/>
          <w:lang w:val="en-US" w:eastAsia="zh-CN"/>
        </w:rPr>
        <w:t>各地</w:t>
      </w:r>
      <w:r>
        <w:rPr>
          <w:rFonts w:hint="default" w:ascii="仿宋" w:hAnsi="仿宋" w:eastAsia="仿宋" w:cs="仿宋"/>
          <w:sz w:val="32"/>
          <w:szCs w:val="32"/>
          <w:lang w:val="en-US" w:eastAsia="zh-CN"/>
        </w:rPr>
        <w:t>可根据实际情况，组织编制足球场地通用图纸供项目单位参考使用，并将消防、人防、技防、预算等技术审查并入施工图审查。优化施工许可证核发流程</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缩短办理时间。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（二）完善场馆开放机制。</w:t>
      </w:r>
      <w:r>
        <w:rPr>
          <w:rFonts w:hint="default" w:ascii="仿宋" w:hAnsi="仿宋" w:eastAsia="仿宋" w:cs="仿宋"/>
          <w:sz w:val="32"/>
          <w:szCs w:val="32"/>
          <w:lang w:val="en-US" w:eastAsia="zh-CN"/>
        </w:rPr>
        <w:t>贯彻落实国家公共体育场馆向社会免费低收费开放政策，在场馆设立公布开放时间、收费标准、管理规则等信息标志。在疫情防控常态下，推动校园、机关、企事业单位等所属足球场地向社会开放。推动足球场地对学校开放，拓展校园运动空间，完善校内外足球场地设施共建共享、公用机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 w:eastAsia="zh-CN"/>
        </w:rPr>
        <w:t>（三）完善运营管理模式。</w:t>
      </w:r>
      <w:r>
        <w:rPr>
          <w:rFonts w:hint="eastAsia" w:ascii="仿宋" w:hAnsi="仿宋" w:eastAsia="仿宋" w:cs="仿宋"/>
          <w:sz w:val="32"/>
          <w:szCs w:val="32"/>
          <w:lang w:val="en" w:eastAsia="zh-CN"/>
        </w:rPr>
        <w:t>各地</w:t>
      </w:r>
      <w:r>
        <w:rPr>
          <w:rFonts w:hint="default" w:ascii="仿宋" w:hAnsi="仿宋" w:eastAsia="仿宋" w:cs="仿宋"/>
          <w:sz w:val="32"/>
          <w:szCs w:val="32"/>
          <w:lang w:val="en-US" w:eastAsia="zh-CN"/>
        </w:rPr>
        <w:t>可根据实际情况，将政府部门、事业单位或企业等确定为项目建设和运营主体。鼓励通过多样化的建设管理运营模式，吸引社会资本参与运行管理。支持各地政府投资建设的园场设施，委托第三方管理运营，并向社会免费或低收费开放，培育一批特色化、品牌化运营主体。充分运用现代化科技和信息技术，提高数字化、智能化水平，打造智慧型园场设施。严格执行水、电、气、热等方面的价格优惠政策，落实体育设施建设和运营税费减免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七、保障措施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Times New Roman" w:hAnsi="Times New Roman" w:eastAsia="仿宋"/>
          <w:color w:val="000000"/>
          <w:sz w:val="32"/>
          <w:szCs w:val="32"/>
        </w:rPr>
      </w:pPr>
      <w:r>
        <w:rPr>
          <w:rFonts w:hint="eastAsia" w:ascii="楷体" w:hAnsi="楷体" w:eastAsia="楷体" w:cs="楷体"/>
          <w:b/>
          <w:bCs/>
          <w:sz w:val="32"/>
          <w:szCs w:val="32"/>
          <w:lang w:val="en" w:eastAsia="zh-CN"/>
        </w:rPr>
        <w:t>（一）加强组织领导。</w:t>
      </w:r>
      <w:r>
        <w:rPr>
          <w:rFonts w:ascii="Times New Roman" w:hAnsi="Times New Roman" w:eastAsia="仿宋"/>
          <w:color w:val="000000"/>
          <w:sz w:val="32"/>
          <w:szCs w:val="32"/>
        </w:rPr>
        <w:t>成立</w:t>
      </w:r>
      <w:r>
        <w:rPr>
          <w:rFonts w:hint="eastAsia" w:ascii="Times New Roman" w:hAnsi="Times New Roman" w:eastAsia="仿宋"/>
          <w:color w:val="000000"/>
          <w:sz w:val="32"/>
          <w:szCs w:val="32"/>
          <w:lang w:eastAsia="zh-CN"/>
        </w:rPr>
        <w:t>南阳</w:t>
      </w:r>
      <w:r>
        <w:rPr>
          <w:rFonts w:ascii="Times New Roman" w:hAnsi="Times New Roman" w:eastAsia="仿宋"/>
          <w:color w:val="000000"/>
          <w:sz w:val="32"/>
          <w:szCs w:val="32"/>
        </w:rPr>
        <w:t>市</w:t>
      </w:r>
      <w:r>
        <w:rPr>
          <w:rFonts w:hint="eastAsia" w:ascii="Times New Roman" w:hAnsi="Times New Roman" w:eastAsia="仿宋"/>
          <w:color w:val="000000"/>
          <w:sz w:val="32"/>
          <w:szCs w:val="32"/>
          <w:lang w:eastAsia="zh-CN"/>
        </w:rPr>
        <w:t>全民健身场地设施建设补短板工作专班</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发展改革</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卫生健康体育</w:t>
      </w:r>
      <w:r>
        <w:rPr>
          <w:rFonts w:ascii="Times New Roman" w:hAnsi="Times New Roman" w:eastAsia="仿宋"/>
          <w:color w:val="000000"/>
          <w:sz w:val="32"/>
          <w:szCs w:val="32"/>
        </w:rPr>
        <w:t>、教育、财政、</w:t>
      </w:r>
      <w:r>
        <w:rPr>
          <w:rFonts w:hint="eastAsia" w:ascii="Times New Roman" w:hAnsi="Times New Roman" w:eastAsia="仿宋"/>
          <w:color w:val="000000"/>
          <w:sz w:val="32"/>
          <w:szCs w:val="32"/>
          <w:lang w:eastAsia="zh-CN"/>
        </w:rPr>
        <w:t>人力资源社会保障</w:t>
      </w:r>
      <w:r>
        <w:rPr>
          <w:rFonts w:ascii="Times New Roman" w:hAnsi="Times New Roman" w:eastAsia="仿宋"/>
          <w:color w:val="000000"/>
          <w:sz w:val="32"/>
          <w:szCs w:val="32"/>
        </w:rPr>
        <w:t>、自然资源</w:t>
      </w:r>
      <w:r>
        <w:rPr>
          <w:rFonts w:hint="eastAsia" w:ascii="Times New Roman" w:hAnsi="Times New Roman" w:eastAsia="仿宋"/>
          <w:color w:val="000000"/>
          <w:sz w:val="32"/>
          <w:szCs w:val="32"/>
          <w:lang w:eastAsia="zh-CN"/>
        </w:rPr>
        <w:t>和</w:t>
      </w:r>
      <w:r>
        <w:rPr>
          <w:rFonts w:ascii="Times New Roman" w:hAnsi="Times New Roman" w:eastAsia="仿宋"/>
          <w:color w:val="000000"/>
          <w:sz w:val="32"/>
          <w:szCs w:val="32"/>
        </w:rPr>
        <w:t>规划、</w:t>
      </w:r>
      <w:r>
        <w:rPr>
          <w:rFonts w:hint="eastAsia" w:ascii="Times New Roman" w:hAnsi="Times New Roman" w:eastAsia="仿宋"/>
          <w:color w:val="000000"/>
          <w:sz w:val="32"/>
          <w:szCs w:val="32"/>
          <w:lang w:eastAsia="zh-CN"/>
        </w:rPr>
        <w:t>水利、农业农村、</w:t>
      </w:r>
      <w:r>
        <w:rPr>
          <w:rFonts w:ascii="Times New Roman" w:hAnsi="Times New Roman" w:eastAsia="仿宋"/>
          <w:color w:val="000000"/>
          <w:sz w:val="32"/>
          <w:szCs w:val="32"/>
        </w:rPr>
        <w:t>住建、</w:t>
      </w:r>
      <w:r>
        <w:rPr>
          <w:rFonts w:hint="eastAsia" w:ascii="Times New Roman" w:hAnsi="Times New Roman" w:eastAsia="仿宋"/>
          <w:color w:val="000000"/>
          <w:sz w:val="32"/>
          <w:szCs w:val="32"/>
          <w:lang w:eastAsia="zh-CN"/>
        </w:rPr>
        <w:t>林业、园林绿化、中国农业发展银行南阳市分行</w:t>
      </w:r>
      <w:r>
        <w:rPr>
          <w:rFonts w:ascii="Times New Roman" w:hAnsi="Times New Roman" w:eastAsia="仿宋"/>
          <w:color w:val="000000"/>
          <w:sz w:val="32"/>
          <w:szCs w:val="32"/>
        </w:rPr>
        <w:t>等</w:t>
      </w:r>
      <w:r>
        <w:rPr>
          <w:rFonts w:hint="eastAsia" w:ascii="Times New Roman" w:hAnsi="Times New Roman" w:eastAsia="仿宋"/>
          <w:color w:val="000000"/>
          <w:sz w:val="32"/>
          <w:szCs w:val="32"/>
          <w:lang w:eastAsia="zh-CN"/>
        </w:rPr>
        <w:t>部门</w:t>
      </w:r>
      <w:r>
        <w:rPr>
          <w:rFonts w:ascii="Times New Roman" w:hAnsi="Times New Roman" w:eastAsia="仿宋"/>
          <w:color w:val="000000"/>
          <w:sz w:val="32"/>
          <w:szCs w:val="32"/>
        </w:rPr>
        <w:t>为成员单位，统</w:t>
      </w:r>
      <w:r>
        <w:rPr>
          <w:rFonts w:hint="eastAsia" w:ascii="Times New Roman" w:hAnsi="Times New Roman" w:eastAsia="仿宋"/>
          <w:color w:val="000000"/>
          <w:sz w:val="32"/>
          <w:szCs w:val="32"/>
          <w:lang w:eastAsia="zh-CN"/>
        </w:rPr>
        <w:t>筹协调全市园场设施建设中的重大问题。各县（市、区）政府（管委会）要高度重视，参照市工作专班模式，要建立相应的工作</w:t>
      </w:r>
      <w:r>
        <w:rPr>
          <w:rFonts w:ascii="Times New Roman" w:hAnsi="Times New Roman" w:eastAsia="仿宋"/>
          <w:color w:val="000000"/>
          <w:sz w:val="32"/>
          <w:szCs w:val="32"/>
        </w:rPr>
        <w:t>机制，明确本地</w:t>
      </w:r>
      <w:r>
        <w:rPr>
          <w:rFonts w:hint="eastAsia" w:ascii="Times New Roman" w:hAnsi="Times New Roman" w:eastAsia="仿宋"/>
          <w:color w:val="000000"/>
          <w:sz w:val="32"/>
          <w:szCs w:val="32"/>
          <w:lang w:eastAsia="zh-CN"/>
        </w:rPr>
        <w:t>园场设施</w:t>
      </w:r>
      <w:r>
        <w:rPr>
          <w:rFonts w:ascii="Times New Roman" w:hAnsi="Times New Roman" w:eastAsia="仿宋"/>
          <w:color w:val="000000"/>
          <w:sz w:val="32"/>
          <w:szCs w:val="32"/>
        </w:rPr>
        <w:t>建设牵头责任人，加强组织领导，及时协调解决用地、资金等问题，加快</w:t>
      </w:r>
      <w:r>
        <w:rPr>
          <w:rFonts w:hint="eastAsia" w:ascii="Times New Roman" w:hAnsi="Times New Roman" w:eastAsia="仿宋"/>
          <w:color w:val="000000"/>
          <w:sz w:val="32"/>
          <w:szCs w:val="32"/>
          <w:lang w:eastAsia="zh-CN"/>
        </w:rPr>
        <w:t>园场</w:t>
      </w:r>
      <w:r>
        <w:rPr>
          <w:rFonts w:ascii="Times New Roman" w:hAnsi="Times New Roman" w:eastAsia="仿宋"/>
          <w:color w:val="000000"/>
          <w:sz w:val="32"/>
          <w:szCs w:val="32"/>
        </w:rPr>
        <w:t>设施建设进度。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Times New Roman" w:hAnsi="Times New Roman" w:eastAsia="仿宋"/>
          <w:b/>
          <w:color w:val="000000"/>
          <w:sz w:val="32"/>
          <w:szCs w:val="32"/>
        </w:rPr>
      </w:pPr>
      <w:r>
        <w:rPr>
          <w:rFonts w:hint="default" w:ascii="楷体" w:hAnsi="楷体" w:eastAsia="楷体" w:cs="楷体"/>
          <w:b/>
          <w:bCs/>
          <w:sz w:val="32"/>
          <w:szCs w:val="32"/>
          <w:lang w:val="en" w:eastAsia="zh-CN"/>
        </w:rPr>
        <w:t>（二）明确责任</w:t>
      </w:r>
      <w:r>
        <w:rPr>
          <w:rFonts w:hint="eastAsia" w:ascii="楷体" w:hAnsi="楷体" w:eastAsia="楷体" w:cs="楷体"/>
          <w:b/>
          <w:bCs/>
          <w:sz w:val="32"/>
          <w:szCs w:val="32"/>
          <w:lang w:val="en" w:eastAsia="zh-CN"/>
        </w:rPr>
        <w:t>分工</w:t>
      </w:r>
      <w:r>
        <w:rPr>
          <w:rFonts w:hint="default" w:ascii="楷体" w:hAnsi="楷体" w:eastAsia="楷体" w:cs="楷体"/>
          <w:b/>
          <w:bCs/>
          <w:sz w:val="32"/>
          <w:szCs w:val="32"/>
          <w:lang w:val="en" w:eastAsia="zh-CN"/>
        </w:rPr>
        <w:t>。</w:t>
      </w:r>
      <w:r>
        <w:rPr>
          <w:rFonts w:hint="eastAsia" w:ascii="Times New Roman" w:hAnsi="Times New Roman" w:eastAsia="仿宋"/>
          <w:color w:val="000000"/>
          <w:sz w:val="32"/>
          <w:szCs w:val="32"/>
          <w:lang w:val="en" w:eastAsia="zh-CN"/>
        </w:rPr>
        <w:t>实施方案需各单位分工协作，共同落实。</w:t>
      </w:r>
      <w:r>
        <w:rPr>
          <w:rFonts w:hint="eastAsia" w:ascii="Times New Roman" w:hAnsi="Times New Roman" w:eastAsia="仿宋"/>
          <w:b/>
          <w:bCs/>
          <w:color w:val="000000"/>
          <w:sz w:val="32"/>
          <w:szCs w:val="32"/>
          <w:lang w:eastAsia="zh-CN"/>
        </w:rPr>
        <w:t>发展改革部门：</w:t>
      </w:r>
      <w:r>
        <w:rPr>
          <w:rFonts w:hint="eastAsia" w:ascii="Times New Roman" w:hAnsi="Times New Roman" w:eastAsia="仿宋"/>
          <w:color w:val="000000"/>
          <w:sz w:val="32"/>
          <w:szCs w:val="32"/>
          <w:lang w:eastAsia="zh-CN"/>
        </w:rPr>
        <w:t>负责成立全民健身场地设施建设补短板工作专班，制定工作方案，</w:t>
      </w:r>
      <w:r>
        <w:rPr>
          <w:rFonts w:hint="default" w:ascii="Times New Roman" w:hAnsi="Times New Roman" w:eastAsia="仿宋"/>
          <w:color w:val="000000"/>
          <w:sz w:val="32"/>
          <w:szCs w:val="32"/>
          <w:lang w:val="en-US" w:eastAsia="zh-CN"/>
        </w:rPr>
        <w:t>分解建设任务</w:t>
      </w:r>
      <w:r>
        <w:rPr>
          <w:rFonts w:hint="eastAsia" w:ascii="Times New Roman" w:hAnsi="Times New Roman" w:eastAsia="仿宋"/>
          <w:color w:val="000000"/>
          <w:sz w:val="32"/>
          <w:szCs w:val="32"/>
          <w:lang w:val="en-US" w:eastAsia="zh-CN"/>
        </w:rPr>
        <w:t>；</w:t>
      </w:r>
      <w:r>
        <w:rPr>
          <w:rFonts w:hint="default" w:ascii="Times New Roman" w:hAnsi="Times New Roman" w:eastAsia="仿宋"/>
          <w:color w:val="000000"/>
          <w:sz w:val="32"/>
          <w:szCs w:val="32"/>
          <w:lang w:val="en-US" w:eastAsia="zh-CN"/>
        </w:rPr>
        <w:t>统筹协调做好</w:t>
      </w:r>
      <w:r>
        <w:rPr>
          <w:rFonts w:hint="eastAsia" w:ascii="Times New Roman" w:hAnsi="Times New Roman" w:eastAsia="仿宋"/>
          <w:color w:val="000000"/>
          <w:sz w:val="32"/>
          <w:szCs w:val="32"/>
          <w:lang w:val="en-US" w:eastAsia="zh-CN"/>
        </w:rPr>
        <w:t>园场</w:t>
      </w:r>
      <w:r>
        <w:rPr>
          <w:rFonts w:hint="default" w:ascii="Times New Roman" w:hAnsi="Times New Roman" w:eastAsia="仿宋"/>
          <w:color w:val="000000"/>
          <w:sz w:val="32"/>
          <w:szCs w:val="32"/>
          <w:lang w:val="en-US" w:eastAsia="zh-CN"/>
        </w:rPr>
        <w:t>设施统计摸底、推进实施和监督检查工作</w:t>
      </w:r>
      <w:r>
        <w:rPr>
          <w:rFonts w:hint="eastAsia" w:ascii="Times New Roman" w:hAnsi="Times New Roman" w:eastAsia="仿宋"/>
          <w:color w:val="000000"/>
          <w:sz w:val="32"/>
          <w:szCs w:val="32"/>
          <w:lang w:val="en-US" w:eastAsia="zh-CN"/>
        </w:rPr>
        <w:t>；配合体育部门</w:t>
      </w:r>
      <w:r>
        <w:rPr>
          <w:rFonts w:hint="default" w:ascii="Times New Roman" w:hAnsi="Times New Roman" w:eastAsia="仿宋"/>
          <w:color w:val="000000"/>
          <w:sz w:val="32"/>
          <w:szCs w:val="32"/>
          <w:lang w:val="en-US" w:eastAsia="zh-CN"/>
        </w:rPr>
        <w:t>积极争取国家政策资金支持</w:t>
      </w:r>
      <w:r>
        <w:rPr>
          <w:rFonts w:hint="eastAsia" w:ascii="Times New Roman" w:hAnsi="Times New Roman" w:eastAsia="仿宋"/>
          <w:color w:val="000000"/>
          <w:sz w:val="32"/>
          <w:szCs w:val="32"/>
          <w:lang w:val="en-US" w:eastAsia="zh-CN"/>
        </w:rPr>
        <w:t>。</w:t>
      </w:r>
      <w:r>
        <w:rPr>
          <w:rFonts w:hint="eastAsia" w:ascii="Times New Roman" w:hAnsi="Times New Roman" w:eastAsia="仿宋"/>
          <w:b/>
          <w:bCs/>
          <w:color w:val="000000"/>
          <w:sz w:val="32"/>
          <w:szCs w:val="32"/>
          <w:lang w:eastAsia="zh-CN"/>
        </w:rPr>
        <w:t>体育部门：</w:t>
      </w:r>
      <w:r>
        <w:rPr>
          <w:rFonts w:hint="eastAsia" w:ascii="Times New Roman" w:hAnsi="Times New Roman" w:eastAsia="仿宋"/>
          <w:b w:val="0"/>
          <w:bCs w:val="0"/>
          <w:color w:val="000000"/>
          <w:sz w:val="32"/>
          <w:szCs w:val="32"/>
          <w:lang w:eastAsia="zh-CN"/>
        </w:rPr>
        <w:t>负责收集统计体育公园和足球场数量，对体育公园和足球场设施建立台账、建档立卡；负责对体育公园和足球场设施建设的监督检查和建设标准的认定，确保场地体育设施建设标准规范、数据真实准确；配合建设部门争取国家资金支持。</w:t>
      </w:r>
      <w:r>
        <w:rPr>
          <w:rFonts w:hint="eastAsia" w:ascii="Times New Roman" w:hAnsi="Times New Roman" w:eastAsia="仿宋"/>
          <w:b/>
          <w:bCs/>
          <w:color w:val="000000"/>
          <w:sz w:val="32"/>
          <w:szCs w:val="32"/>
          <w:lang w:eastAsia="zh-CN"/>
        </w:rPr>
        <w:t>教育部门：</w:t>
      </w:r>
      <w:r>
        <w:rPr>
          <w:rFonts w:hint="default" w:ascii="Times New Roman" w:hAnsi="Times New Roman" w:eastAsia="仿宋"/>
          <w:color w:val="000000"/>
          <w:sz w:val="32"/>
          <w:szCs w:val="32"/>
          <w:lang w:val="en-US" w:eastAsia="zh-CN"/>
        </w:rPr>
        <w:t>负责</w:t>
      </w:r>
      <w:r>
        <w:rPr>
          <w:rFonts w:hint="eastAsia" w:ascii="Times New Roman" w:hAnsi="Times New Roman" w:eastAsia="仿宋"/>
          <w:color w:val="000000"/>
          <w:sz w:val="32"/>
          <w:szCs w:val="32"/>
          <w:lang w:val="en-US" w:eastAsia="zh-CN"/>
        </w:rPr>
        <w:t>统计</w:t>
      </w:r>
      <w:r>
        <w:rPr>
          <w:rFonts w:hint="default" w:ascii="Times New Roman" w:hAnsi="Times New Roman" w:eastAsia="仿宋"/>
          <w:color w:val="000000"/>
          <w:sz w:val="32"/>
          <w:szCs w:val="32"/>
          <w:lang w:val="en-US" w:eastAsia="zh-CN"/>
        </w:rPr>
        <w:t>校园足球场地（含</w:t>
      </w:r>
      <w:r>
        <w:rPr>
          <w:rFonts w:hint="eastAsia" w:ascii="Times New Roman" w:hAnsi="Times New Roman" w:eastAsia="仿宋"/>
          <w:color w:val="000000"/>
          <w:sz w:val="32"/>
          <w:szCs w:val="32"/>
          <w:lang w:val="en-US" w:eastAsia="zh-CN"/>
        </w:rPr>
        <w:t>公办、民办各级各类学校、中职高职学校、市属及驻宛</w:t>
      </w:r>
      <w:r>
        <w:rPr>
          <w:rFonts w:hint="default" w:ascii="Times New Roman" w:hAnsi="Times New Roman" w:eastAsia="仿宋"/>
          <w:color w:val="000000"/>
          <w:sz w:val="32"/>
          <w:szCs w:val="32"/>
          <w:lang w:val="en-US" w:eastAsia="zh-CN"/>
        </w:rPr>
        <w:t>高校）</w:t>
      </w:r>
      <w:r>
        <w:rPr>
          <w:rFonts w:hint="eastAsia" w:ascii="Times New Roman" w:hAnsi="Times New Roman" w:eastAsia="仿宋"/>
          <w:color w:val="000000"/>
          <w:sz w:val="32"/>
          <w:szCs w:val="32"/>
          <w:lang w:val="en-US" w:eastAsia="zh-CN"/>
        </w:rPr>
        <w:t>足球场数量；</w:t>
      </w:r>
      <w:r>
        <w:rPr>
          <w:rFonts w:hint="default" w:ascii="Times New Roman" w:hAnsi="Times New Roman" w:eastAsia="仿宋"/>
          <w:color w:val="000000"/>
          <w:sz w:val="32"/>
          <w:szCs w:val="32"/>
          <w:lang w:val="en-US" w:eastAsia="zh-CN"/>
        </w:rPr>
        <w:t>将校园足球场地建设纳入教育发展规划，按照工作方案明确的建设任务、时间节点推进校园足球场地建设</w:t>
      </w:r>
      <w:r>
        <w:rPr>
          <w:rFonts w:hint="eastAsia" w:ascii="Times New Roman" w:hAnsi="Times New Roman" w:eastAsia="仿宋"/>
          <w:color w:val="000000"/>
          <w:sz w:val="32"/>
          <w:szCs w:val="32"/>
          <w:lang w:val="en-US" w:eastAsia="zh-CN"/>
        </w:rPr>
        <w:t>；</w:t>
      </w:r>
      <w:r>
        <w:rPr>
          <w:rFonts w:hint="default" w:ascii="Times New Roman" w:hAnsi="Times New Roman" w:eastAsia="仿宋"/>
          <w:color w:val="000000"/>
          <w:sz w:val="32"/>
          <w:szCs w:val="32"/>
          <w:lang w:val="en-US" w:eastAsia="zh-CN"/>
        </w:rPr>
        <w:t>建立健全校园社会共享机制，实现有序安全开放。</w:t>
      </w:r>
      <w:r>
        <w:rPr>
          <w:rFonts w:ascii="Times New Roman" w:hAnsi="Times New Roman" w:eastAsia="仿宋"/>
          <w:b/>
          <w:color w:val="000000"/>
          <w:sz w:val="32"/>
          <w:szCs w:val="32"/>
        </w:rPr>
        <w:t>财政</w:t>
      </w:r>
      <w:r>
        <w:rPr>
          <w:rFonts w:hint="eastAsia" w:ascii="Times New Roman" w:hAnsi="Times New Roman" w:eastAsia="仿宋"/>
          <w:b/>
          <w:color w:val="000000"/>
          <w:sz w:val="32"/>
          <w:szCs w:val="32"/>
          <w:lang w:eastAsia="zh-CN"/>
        </w:rPr>
        <w:t>部门：</w:t>
      </w:r>
      <w:r>
        <w:rPr>
          <w:rFonts w:hint="default" w:ascii="Times New Roman" w:hAnsi="Times New Roman" w:eastAsia="仿宋"/>
          <w:color w:val="000000"/>
          <w:sz w:val="32"/>
          <w:szCs w:val="32"/>
          <w:lang w:val="en-US" w:eastAsia="zh-CN"/>
        </w:rPr>
        <w:t>统筹做好利用现有政策和资金渠道支持</w:t>
      </w:r>
      <w:r>
        <w:rPr>
          <w:rFonts w:hint="eastAsia" w:ascii="Times New Roman" w:hAnsi="Times New Roman" w:eastAsia="仿宋"/>
          <w:color w:val="000000"/>
          <w:sz w:val="32"/>
          <w:szCs w:val="32"/>
          <w:lang w:val="en-US" w:eastAsia="zh-CN"/>
        </w:rPr>
        <w:t>园场</w:t>
      </w:r>
      <w:r>
        <w:rPr>
          <w:rFonts w:hint="default" w:ascii="Times New Roman" w:hAnsi="Times New Roman" w:eastAsia="仿宋"/>
          <w:color w:val="000000"/>
          <w:sz w:val="32"/>
          <w:szCs w:val="32"/>
          <w:lang w:val="en-US" w:eastAsia="zh-CN"/>
        </w:rPr>
        <w:t>设施建设工作。</w:t>
      </w:r>
      <w:r>
        <w:rPr>
          <w:rFonts w:hint="default" w:ascii="Times New Roman" w:hAnsi="Times New Roman" w:eastAsia="仿宋"/>
          <w:b/>
          <w:color w:val="000000"/>
          <w:sz w:val="32"/>
          <w:szCs w:val="32"/>
          <w:lang w:val="en-US" w:eastAsia="zh-CN"/>
        </w:rPr>
        <w:t>人力资源社会保障</w:t>
      </w:r>
      <w:r>
        <w:rPr>
          <w:rFonts w:hint="eastAsia" w:ascii="Times New Roman" w:hAnsi="Times New Roman" w:eastAsia="仿宋"/>
          <w:b/>
          <w:color w:val="000000"/>
          <w:sz w:val="32"/>
          <w:szCs w:val="32"/>
          <w:lang w:val="en-US" w:eastAsia="zh-CN"/>
        </w:rPr>
        <w:t>部门</w:t>
      </w:r>
      <w:r>
        <w:rPr>
          <w:rFonts w:hint="default" w:ascii="Times New Roman" w:hAnsi="Times New Roman" w:eastAsia="仿宋"/>
          <w:b/>
          <w:color w:val="000000"/>
          <w:sz w:val="32"/>
          <w:szCs w:val="32"/>
          <w:lang w:val="en-US" w:eastAsia="zh-CN"/>
        </w:rPr>
        <w:t>：</w:t>
      </w:r>
      <w:r>
        <w:rPr>
          <w:rFonts w:hint="default" w:ascii="Times New Roman" w:hAnsi="Times New Roman" w:eastAsia="仿宋"/>
          <w:color w:val="000000"/>
          <w:sz w:val="32"/>
          <w:szCs w:val="32"/>
          <w:lang w:val="en-US" w:eastAsia="zh-CN"/>
        </w:rPr>
        <w:t>负责</w:t>
      </w:r>
      <w:r>
        <w:rPr>
          <w:rFonts w:hint="eastAsia" w:ascii="Times New Roman" w:hAnsi="Times New Roman" w:eastAsia="仿宋"/>
          <w:color w:val="000000"/>
          <w:sz w:val="32"/>
          <w:szCs w:val="32"/>
          <w:lang w:val="en-US" w:eastAsia="zh-CN"/>
        </w:rPr>
        <w:t>统计本</w:t>
      </w:r>
      <w:r>
        <w:rPr>
          <w:rFonts w:hint="default" w:ascii="Times New Roman" w:hAnsi="Times New Roman" w:eastAsia="仿宋"/>
          <w:color w:val="000000"/>
          <w:sz w:val="32"/>
          <w:szCs w:val="32"/>
          <w:lang w:val="en-US" w:eastAsia="zh-CN"/>
        </w:rPr>
        <w:t>行业所属校园（市</w:t>
      </w:r>
      <w:r>
        <w:rPr>
          <w:rFonts w:hint="eastAsia" w:ascii="Times New Roman" w:hAnsi="Times New Roman" w:eastAsia="仿宋"/>
          <w:color w:val="000000"/>
          <w:sz w:val="32"/>
          <w:szCs w:val="32"/>
          <w:lang w:val="en-US" w:eastAsia="zh-CN"/>
        </w:rPr>
        <w:t>属</w:t>
      </w:r>
      <w:r>
        <w:rPr>
          <w:rFonts w:hint="default" w:ascii="Times New Roman" w:hAnsi="Times New Roman" w:eastAsia="仿宋"/>
          <w:color w:val="000000"/>
          <w:sz w:val="32"/>
          <w:szCs w:val="32"/>
          <w:lang w:val="en-US" w:eastAsia="zh-CN"/>
        </w:rPr>
        <w:t>技师学院，县（</w:t>
      </w:r>
      <w:r>
        <w:rPr>
          <w:rFonts w:hint="eastAsia" w:ascii="Times New Roman" w:hAnsi="Times New Roman" w:eastAsia="仿宋"/>
          <w:color w:val="000000"/>
          <w:sz w:val="32"/>
          <w:szCs w:val="32"/>
          <w:lang w:val="en-US" w:eastAsia="zh-CN"/>
        </w:rPr>
        <w:t>市、</w:t>
      </w:r>
      <w:r>
        <w:rPr>
          <w:rFonts w:hint="default" w:ascii="Times New Roman" w:hAnsi="Times New Roman" w:eastAsia="仿宋"/>
          <w:color w:val="000000"/>
          <w:sz w:val="32"/>
          <w:szCs w:val="32"/>
          <w:lang w:val="en-US" w:eastAsia="zh-CN"/>
        </w:rPr>
        <w:t>区）技工学校等）</w:t>
      </w:r>
      <w:r>
        <w:rPr>
          <w:rFonts w:hint="eastAsia" w:ascii="Times New Roman" w:hAnsi="Times New Roman" w:eastAsia="仿宋"/>
          <w:color w:val="000000"/>
          <w:sz w:val="32"/>
          <w:szCs w:val="32"/>
          <w:lang w:val="en-US" w:eastAsia="zh-CN"/>
        </w:rPr>
        <w:t>园场数量</w:t>
      </w:r>
      <w:r>
        <w:rPr>
          <w:rFonts w:hint="default" w:ascii="Times New Roman" w:hAnsi="Times New Roman" w:eastAsia="仿宋"/>
          <w:color w:val="000000"/>
          <w:sz w:val="32"/>
          <w:szCs w:val="32"/>
          <w:lang w:val="en-US" w:eastAsia="zh-CN"/>
        </w:rPr>
        <w:t>；按照工作方案明确的建设任务、时间节点推进足球场地建设；建立健全校园社会共享机制，实现有序安全开放。</w:t>
      </w:r>
      <w:r>
        <w:rPr>
          <w:rFonts w:hint="eastAsia" w:ascii="Times New Roman" w:hAnsi="Times New Roman" w:eastAsia="仿宋"/>
          <w:b/>
          <w:color w:val="000000"/>
          <w:sz w:val="32"/>
          <w:szCs w:val="32"/>
          <w:lang w:val="en-US" w:eastAsia="zh-CN"/>
        </w:rPr>
        <w:t>园林绿化部门</w:t>
      </w:r>
      <w:r>
        <w:rPr>
          <w:rFonts w:hint="default" w:ascii="Times New Roman" w:hAnsi="Times New Roman" w:eastAsia="仿宋"/>
          <w:b/>
          <w:color w:val="000000"/>
          <w:sz w:val="32"/>
          <w:szCs w:val="32"/>
          <w:lang w:val="en-US" w:eastAsia="zh-CN"/>
        </w:rPr>
        <w:t>：</w:t>
      </w:r>
      <w:r>
        <w:rPr>
          <w:rFonts w:hint="default" w:ascii="Times New Roman" w:hAnsi="Times New Roman" w:eastAsia="仿宋"/>
          <w:color w:val="000000"/>
          <w:sz w:val="32"/>
          <w:szCs w:val="32"/>
          <w:lang w:val="en-US" w:eastAsia="zh-CN"/>
        </w:rPr>
        <w:t>负责结合城市公园、绿地、湿地公园建设，合理布局</w:t>
      </w:r>
      <w:r>
        <w:rPr>
          <w:rFonts w:hint="eastAsia" w:ascii="Times New Roman" w:hAnsi="Times New Roman" w:eastAsia="仿宋"/>
          <w:color w:val="000000"/>
          <w:sz w:val="32"/>
          <w:szCs w:val="32"/>
          <w:lang w:val="en-US" w:eastAsia="zh-CN"/>
        </w:rPr>
        <w:t>、建设</w:t>
      </w:r>
      <w:r>
        <w:rPr>
          <w:rFonts w:hint="default" w:ascii="Times New Roman" w:hAnsi="Times New Roman" w:eastAsia="仿宋"/>
          <w:color w:val="000000"/>
          <w:sz w:val="32"/>
          <w:szCs w:val="32"/>
          <w:lang w:val="en-US" w:eastAsia="zh-CN"/>
        </w:rPr>
        <w:t>体育公园和足球场地</w:t>
      </w:r>
      <w:r>
        <w:rPr>
          <w:rFonts w:hint="eastAsia" w:ascii="Times New Roman" w:hAnsi="Times New Roman" w:eastAsia="仿宋"/>
          <w:color w:val="000000"/>
          <w:sz w:val="32"/>
          <w:szCs w:val="32"/>
          <w:lang w:val="en-US" w:eastAsia="zh-CN"/>
        </w:rPr>
        <w:t>设施</w:t>
      </w:r>
      <w:r>
        <w:rPr>
          <w:rFonts w:hint="default" w:ascii="Times New Roman" w:hAnsi="Times New Roman" w:eastAsia="仿宋"/>
          <w:color w:val="000000"/>
          <w:sz w:val="32"/>
          <w:szCs w:val="32"/>
          <w:lang w:val="en-US" w:eastAsia="zh-CN"/>
        </w:rPr>
        <w:t>。</w:t>
      </w:r>
      <w:r>
        <w:rPr>
          <w:rFonts w:ascii="Times New Roman" w:hAnsi="Times New Roman" w:eastAsia="仿宋"/>
          <w:b/>
          <w:color w:val="000000"/>
          <w:sz w:val="32"/>
          <w:szCs w:val="32"/>
        </w:rPr>
        <w:t>自然资源</w:t>
      </w:r>
      <w:r>
        <w:rPr>
          <w:rFonts w:hint="eastAsia" w:ascii="Times New Roman" w:hAnsi="Times New Roman" w:eastAsia="仿宋"/>
          <w:b/>
          <w:color w:val="000000"/>
          <w:sz w:val="32"/>
          <w:szCs w:val="32"/>
          <w:lang w:eastAsia="zh-CN"/>
        </w:rPr>
        <w:t>和</w:t>
      </w:r>
      <w:r>
        <w:rPr>
          <w:rFonts w:ascii="Times New Roman" w:hAnsi="Times New Roman" w:eastAsia="仿宋"/>
          <w:b/>
          <w:color w:val="000000"/>
          <w:sz w:val="32"/>
          <w:szCs w:val="32"/>
        </w:rPr>
        <w:t>规划</w:t>
      </w:r>
      <w:r>
        <w:rPr>
          <w:rFonts w:hint="eastAsia" w:ascii="Times New Roman" w:hAnsi="Times New Roman" w:eastAsia="仿宋"/>
          <w:b/>
          <w:color w:val="000000"/>
          <w:sz w:val="32"/>
          <w:szCs w:val="32"/>
          <w:lang w:eastAsia="zh-CN"/>
        </w:rPr>
        <w:t>部门：</w:t>
      </w:r>
      <w:r>
        <w:rPr>
          <w:rFonts w:hint="eastAsia" w:ascii="Times New Roman" w:hAnsi="Times New Roman" w:eastAsia="仿宋"/>
          <w:color w:val="000000"/>
          <w:sz w:val="32"/>
          <w:szCs w:val="32"/>
          <w:lang w:eastAsia="zh-CN"/>
        </w:rPr>
        <w:t>负责</w:t>
      </w:r>
      <w:r>
        <w:rPr>
          <w:rFonts w:ascii="Times New Roman" w:hAnsi="Times New Roman" w:eastAsia="仿宋"/>
          <w:color w:val="000000"/>
          <w:sz w:val="32"/>
          <w:szCs w:val="32"/>
        </w:rPr>
        <w:t>落实</w:t>
      </w:r>
      <w:r>
        <w:rPr>
          <w:rFonts w:hint="eastAsia" w:ascii="Times New Roman" w:hAnsi="Times New Roman" w:eastAsia="仿宋"/>
          <w:color w:val="000000"/>
          <w:sz w:val="32"/>
          <w:szCs w:val="32"/>
          <w:lang w:eastAsia="zh-CN"/>
        </w:rPr>
        <w:t>园场</w:t>
      </w:r>
      <w:r>
        <w:rPr>
          <w:rFonts w:ascii="Times New Roman" w:hAnsi="Times New Roman" w:eastAsia="仿宋"/>
          <w:color w:val="000000"/>
          <w:sz w:val="32"/>
          <w:szCs w:val="32"/>
        </w:rPr>
        <w:t>设施布局规划</w:t>
      </w:r>
      <w:r>
        <w:rPr>
          <w:rFonts w:hint="eastAsia" w:ascii="Times New Roman" w:hAnsi="Times New Roman" w:eastAsia="仿宋"/>
          <w:color w:val="000000"/>
          <w:sz w:val="32"/>
          <w:szCs w:val="32"/>
          <w:lang w:eastAsia="zh-CN"/>
        </w:rPr>
        <w:t>选址、用地保障等</w:t>
      </w:r>
      <w:r>
        <w:rPr>
          <w:rFonts w:ascii="Times New Roman" w:hAnsi="Times New Roman" w:eastAsia="仿宋"/>
          <w:color w:val="000000"/>
          <w:sz w:val="32"/>
          <w:szCs w:val="32"/>
        </w:rPr>
        <w:t>工作</w:t>
      </w:r>
      <w:r>
        <w:rPr>
          <w:rFonts w:hint="eastAsia" w:ascii="Times New Roman" w:hAnsi="Times New Roman" w:eastAsia="仿宋"/>
          <w:color w:val="000000"/>
          <w:sz w:val="32"/>
          <w:szCs w:val="32"/>
          <w:lang w:eastAsia="zh-CN"/>
        </w:rPr>
        <w:t>；配合相关部门完成园场</w:t>
      </w:r>
      <w:r>
        <w:rPr>
          <w:rFonts w:ascii="Times New Roman" w:hAnsi="Times New Roman" w:eastAsia="仿宋"/>
          <w:color w:val="000000"/>
          <w:sz w:val="32"/>
          <w:szCs w:val="32"/>
        </w:rPr>
        <w:t>设施</w:t>
      </w:r>
      <w:r>
        <w:rPr>
          <w:rFonts w:hint="eastAsia" w:ascii="Times New Roman" w:hAnsi="Times New Roman" w:eastAsia="仿宋"/>
          <w:color w:val="000000"/>
          <w:sz w:val="32"/>
          <w:szCs w:val="32"/>
          <w:lang w:eastAsia="zh-CN"/>
        </w:rPr>
        <w:t>城市图斑的制作工作</w:t>
      </w:r>
      <w:r>
        <w:rPr>
          <w:rFonts w:ascii="Times New Roman" w:hAnsi="Times New Roman" w:eastAsia="仿宋"/>
          <w:color w:val="000000"/>
          <w:sz w:val="32"/>
          <w:szCs w:val="32"/>
        </w:rPr>
        <w:t>。</w:t>
      </w:r>
      <w:r>
        <w:rPr>
          <w:rFonts w:hint="eastAsia" w:ascii="Times New Roman" w:hAnsi="Times New Roman" w:eastAsia="仿宋"/>
          <w:b/>
          <w:color w:val="000000"/>
          <w:sz w:val="32"/>
          <w:szCs w:val="32"/>
          <w:lang w:eastAsia="zh-CN"/>
        </w:rPr>
        <w:t>住房城乡建设、</w:t>
      </w:r>
      <w:r>
        <w:rPr>
          <w:rFonts w:hint="eastAsia" w:ascii="仿宋" w:hAnsi="仿宋" w:eastAsia="仿宋" w:cs="仿宋"/>
          <w:b/>
          <w:bCs/>
          <w:color w:val="000000"/>
          <w:sz w:val="32"/>
          <w:szCs w:val="32"/>
          <w:lang w:eastAsia="zh-CN"/>
        </w:rPr>
        <w:t>水利、林业、农业农村部门：</w:t>
      </w:r>
      <w:r>
        <w:rPr>
          <w:rFonts w:hint="default" w:ascii="Times New Roman" w:hAnsi="Times New Roman" w:eastAsia="仿宋"/>
          <w:color w:val="000000"/>
          <w:sz w:val="32"/>
          <w:szCs w:val="32"/>
          <w:lang w:eastAsia="zh-CN"/>
        </w:rPr>
        <w:t>负责将</w:t>
      </w:r>
      <w:r>
        <w:rPr>
          <w:rFonts w:hint="eastAsia" w:ascii="Times New Roman" w:hAnsi="Times New Roman" w:eastAsia="仿宋"/>
          <w:color w:val="000000"/>
          <w:sz w:val="32"/>
          <w:szCs w:val="32"/>
          <w:lang w:eastAsia="zh-CN"/>
        </w:rPr>
        <w:t>园场设施</w:t>
      </w:r>
      <w:r>
        <w:rPr>
          <w:rFonts w:hint="default" w:ascii="Times New Roman" w:hAnsi="Times New Roman" w:eastAsia="仿宋"/>
          <w:color w:val="000000"/>
          <w:sz w:val="32"/>
          <w:szCs w:val="32"/>
          <w:lang w:eastAsia="zh-CN"/>
        </w:rPr>
        <w:t>建设纳入</w:t>
      </w:r>
      <w:r>
        <w:rPr>
          <w:rFonts w:hint="eastAsia" w:ascii="Times New Roman" w:hAnsi="Times New Roman" w:eastAsia="仿宋"/>
          <w:color w:val="000000"/>
          <w:sz w:val="32"/>
          <w:szCs w:val="32"/>
          <w:lang w:eastAsia="zh-CN"/>
        </w:rPr>
        <w:t>城市更新等相关专项规划。</w:t>
      </w:r>
      <w:r>
        <w:rPr>
          <w:rFonts w:hint="eastAsia" w:ascii="Times New Roman" w:hAnsi="Times New Roman" w:eastAsia="仿宋"/>
          <w:b/>
          <w:bCs/>
          <w:color w:val="000000"/>
          <w:sz w:val="32"/>
          <w:szCs w:val="32"/>
          <w:lang w:eastAsia="zh-CN"/>
        </w:rPr>
        <w:t>中国农业发展银行南阳市分行：</w:t>
      </w:r>
      <w:r>
        <w:rPr>
          <w:rFonts w:hint="eastAsia" w:ascii="Times New Roman" w:hAnsi="Times New Roman" w:eastAsia="仿宋"/>
          <w:b w:val="0"/>
          <w:bCs w:val="0"/>
          <w:color w:val="000000"/>
          <w:sz w:val="32"/>
          <w:szCs w:val="32"/>
          <w:lang w:eastAsia="zh-CN"/>
        </w:rPr>
        <w:t>做好资金支持工作，对符合要求的体育公园和足球场地设施建设项目，在贷款利率、贷款期限、贷款方式等方面予以优惠支持。</w:t>
      </w:r>
    </w:p>
    <w:p>
      <w:pPr>
        <w:pStyle w:val="2"/>
        <w:numPr>
          <w:ilvl w:val="0"/>
          <w:numId w:val="0"/>
        </w:numPr>
        <w:ind w:firstLine="643" w:firstLineChars="200"/>
        <w:rPr>
          <w:rFonts w:hint="eastAsia" w:ascii="Times New Roman" w:hAnsi="Times New Roman" w:eastAsia="仿宋"/>
          <w:color w:val="000000"/>
          <w:sz w:val="32"/>
          <w:szCs w:val="32"/>
          <w:lang w:eastAsia="zh-CN"/>
        </w:rPr>
      </w:pPr>
      <w:r>
        <w:rPr>
          <w:rFonts w:hint="eastAsia" w:ascii="仿宋" w:hAnsi="仿宋" w:eastAsia="仿宋" w:cs="仿宋"/>
          <w:b/>
          <w:bCs/>
          <w:color w:val="000000"/>
          <w:sz w:val="32"/>
          <w:szCs w:val="32"/>
        </w:rPr>
        <w:t>各县</w:t>
      </w:r>
      <w:r>
        <w:rPr>
          <w:rFonts w:hint="eastAsia" w:ascii="仿宋" w:hAnsi="仿宋" w:eastAsia="仿宋" w:cs="仿宋"/>
          <w:b/>
          <w:bCs/>
          <w:color w:val="000000"/>
          <w:sz w:val="32"/>
          <w:szCs w:val="32"/>
          <w:lang w:eastAsia="zh-CN"/>
        </w:rPr>
        <w:t>（市、</w:t>
      </w:r>
      <w:r>
        <w:rPr>
          <w:rFonts w:hint="eastAsia" w:ascii="仿宋" w:hAnsi="仿宋" w:eastAsia="仿宋" w:cs="仿宋"/>
          <w:b/>
          <w:bCs/>
          <w:color w:val="000000"/>
          <w:sz w:val="32"/>
          <w:szCs w:val="32"/>
        </w:rPr>
        <w:t>区</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政府</w:t>
      </w:r>
      <w:r>
        <w:rPr>
          <w:rFonts w:hint="eastAsia" w:ascii="仿宋" w:hAnsi="仿宋" w:eastAsia="仿宋" w:cs="仿宋"/>
          <w:b/>
          <w:bCs/>
          <w:color w:val="auto"/>
          <w:sz w:val="32"/>
          <w:szCs w:val="32"/>
          <w:lang w:eastAsia="zh-CN"/>
        </w:rPr>
        <w:t>（管委会）</w:t>
      </w:r>
      <w:r>
        <w:rPr>
          <w:rFonts w:hint="eastAsia" w:ascii="Times New Roman" w:hAnsi="Times New Roman" w:eastAsia="仿宋"/>
          <w:b/>
          <w:color w:val="000000"/>
          <w:sz w:val="32"/>
          <w:szCs w:val="32"/>
          <w:lang w:eastAsia="zh-CN"/>
        </w:rPr>
        <w:t>：</w:t>
      </w:r>
      <w:r>
        <w:rPr>
          <w:rFonts w:hint="eastAsia" w:ascii="Times New Roman" w:hAnsi="Times New Roman" w:eastAsia="仿宋"/>
          <w:color w:val="000000"/>
          <w:sz w:val="32"/>
          <w:szCs w:val="32"/>
          <w:lang w:eastAsia="zh-CN"/>
        </w:rPr>
        <w:t>要</w:t>
      </w:r>
      <w:r>
        <w:rPr>
          <w:rFonts w:ascii="Times New Roman" w:hAnsi="Times New Roman" w:eastAsia="仿宋"/>
          <w:color w:val="000000"/>
          <w:sz w:val="32"/>
          <w:szCs w:val="32"/>
        </w:rPr>
        <w:t>切实履行</w:t>
      </w:r>
      <w:r>
        <w:rPr>
          <w:rFonts w:hint="eastAsia" w:ascii="Times New Roman" w:hAnsi="Times New Roman" w:eastAsia="仿宋"/>
          <w:color w:val="000000"/>
          <w:sz w:val="32"/>
          <w:szCs w:val="32"/>
          <w:lang w:eastAsia="zh-CN"/>
        </w:rPr>
        <w:t>园场</w:t>
      </w:r>
      <w:r>
        <w:rPr>
          <w:rFonts w:ascii="Times New Roman" w:hAnsi="Times New Roman" w:eastAsia="仿宋"/>
          <w:color w:val="000000"/>
          <w:sz w:val="32"/>
          <w:szCs w:val="32"/>
        </w:rPr>
        <w:t>设施建设主体责任，</w:t>
      </w:r>
      <w:r>
        <w:rPr>
          <w:rFonts w:hint="eastAsia" w:ascii="仿宋" w:hAnsi="仿宋" w:eastAsia="仿宋" w:cs="仿宋"/>
          <w:sz w:val="32"/>
          <w:szCs w:val="32"/>
          <w:lang w:val="en-US" w:eastAsia="zh-CN"/>
        </w:rPr>
        <w:t>完善工作机制，落实要素保障，</w:t>
      </w:r>
      <w:r>
        <w:rPr>
          <w:rFonts w:hint="eastAsia" w:ascii="Times New Roman" w:hAnsi="Times New Roman" w:eastAsia="仿宋"/>
          <w:color w:val="000000"/>
          <w:sz w:val="32"/>
          <w:szCs w:val="32"/>
        </w:rPr>
        <w:t>按照</w:t>
      </w:r>
      <w:r>
        <w:rPr>
          <w:rFonts w:hint="eastAsia" w:ascii="Times New Roman" w:hAnsi="Times New Roman" w:eastAsia="仿宋"/>
          <w:color w:val="000000"/>
          <w:sz w:val="32"/>
          <w:szCs w:val="32"/>
          <w:lang w:eastAsia="zh-CN"/>
        </w:rPr>
        <w:t>分解</w:t>
      </w:r>
      <w:r>
        <w:rPr>
          <w:rFonts w:hint="eastAsia" w:ascii="Times New Roman" w:hAnsi="Times New Roman" w:eastAsia="仿宋"/>
          <w:color w:val="000000"/>
          <w:sz w:val="32"/>
          <w:szCs w:val="32"/>
        </w:rPr>
        <w:t>目标任</w:t>
      </w:r>
      <w:r>
        <w:rPr>
          <w:rFonts w:hint="eastAsia" w:ascii="仿宋" w:hAnsi="仿宋" w:eastAsia="仿宋" w:cs="仿宋"/>
          <w:sz w:val="32"/>
          <w:szCs w:val="32"/>
          <w:lang w:val="en-US" w:eastAsia="zh-CN"/>
        </w:rPr>
        <w:t>务（见附件2），严</w:t>
      </w:r>
      <w:r>
        <w:rPr>
          <w:rFonts w:hint="eastAsia" w:ascii="Times New Roman" w:hAnsi="Times New Roman" w:eastAsia="仿宋"/>
          <w:color w:val="000000"/>
          <w:sz w:val="32"/>
          <w:szCs w:val="32"/>
        </w:rPr>
        <w:t>格建设标准，明确到</w:t>
      </w:r>
      <w:r>
        <w:rPr>
          <w:rFonts w:hint="eastAsia" w:ascii="Times New Roman" w:hAnsi="Times New Roman" w:eastAsia="仿宋"/>
          <w:color w:val="000000"/>
          <w:sz w:val="32"/>
          <w:szCs w:val="32"/>
          <w:lang w:eastAsia="zh-CN"/>
        </w:rPr>
        <w:t>各</w:t>
      </w:r>
      <w:r>
        <w:rPr>
          <w:rFonts w:hint="eastAsia" w:ascii="Times New Roman" w:hAnsi="Times New Roman" w:eastAsia="仿宋"/>
          <w:color w:val="000000"/>
          <w:sz w:val="32"/>
          <w:szCs w:val="32"/>
        </w:rPr>
        <w:t>部门、单位和具体建设地点，落实到</w:t>
      </w:r>
      <w:r>
        <w:rPr>
          <w:rFonts w:hint="eastAsia" w:ascii="Times New Roman" w:hAnsi="Times New Roman" w:eastAsia="仿宋"/>
          <w:color w:val="000000"/>
          <w:sz w:val="32"/>
          <w:szCs w:val="32"/>
          <w:lang w:eastAsia="zh-CN"/>
        </w:rPr>
        <w:t>所辖</w:t>
      </w:r>
      <w:r>
        <w:rPr>
          <w:rFonts w:hint="eastAsia" w:ascii="Times New Roman" w:hAnsi="Times New Roman" w:eastAsia="仿宋"/>
          <w:color w:val="000000"/>
          <w:sz w:val="32"/>
          <w:szCs w:val="32"/>
        </w:rPr>
        <w:t>城市图斑</w:t>
      </w:r>
      <w:r>
        <w:rPr>
          <w:rFonts w:hint="eastAsia" w:ascii="Times New Roman" w:hAnsi="Times New Roman" w:eastAsia="仿宋"/>
          <w:color w:val="000000"/>
          <w:sz w:val="32"/>
          <w:szCs w:val="32"/>
          <w:lang w:eastAsia="zh-CN"/>
        </w:rPr>
        <w:t>，</w:t>
      </w:r>
      <w:r>
        <w:rPr>
          <w:rFonts w:ascii="Times New Roman" w:hAnsi="Times New Roman" w:eastAsia="仿宋"/>
          <w:color w:val="000000"/>
          <w:sz w:val="32"/>
          <w:szCs w:val="32"/>
        </w:rPr>
        <w:t>确保按时</w:t>
      </w:r>
      <w:r>
        <w:rPr>
          <w:rFonts w:hint="eastAsia" w:ascii="Times New Roman" w:hAnsi="Times New Roman" w:eastAsia="仿宋"/>
          <w:color w:val="000000"/>
          <w:sz w:val="32"/>
          <w:szCs w:val="32"/>
        </w:rPr>
        <w:t>保质保量</w:t>
      </w:r>
      <w:r>
        <w:rPr>
          <w:rFonts w:ascii="Times New Roman" w:hAnsi="Times New Roman" w:eastAsia="仿宋"/>
          <w:color w:val="000000"/>
          <w:sz w:val="32"/>
          <w:szCs w:val="32"/>
        </w:rPr>
        <w:t>完成建设任务。</w:t>
      </w:r>
    </w:p>
    <w:p>
      <w:pPr>
        <w:pStyle w:val="2"/>
        <w:numPr>
          <w:ilvl w:val="0"/>
          <w:numId w:val="0"/>
        </w:numPr>
        <w:ind w:firstLine="643" w:firstLineChars="200"/>
        <w:rPr>
          <w:rFonts w:hint="eastAsia" w:ascii="CESI仿宋-GB2312" w:hAnsi="CESI仿宋-GB2312" w:eastAsia="CESI仿宋-GB2312" w:cs="CESI仿宋-GB2312"/>
          <w:color w:val="000000"/>
          <w:sz w:val="32"/>
          <w:szCs w:val="32"/>
          <w:lang w:eastAsia="zh-CN"/>
        </w:rPr>
      </w:pPr>
      <w:r>
        <w:rPr>
          <w:rFonts w:hint="eastAsia" w:ascii="楷体" w:hAnsi="楷体" w:eastAsia="楷体" w:cs="楷体"/>
          <w:b/>
          <w:bCs/>
          <w:kern w:val="2"/>
          <w:sz w:val="32"/>
          <w:szCs w:val="32"/>
          <w:lang w:val="en" w:eastAsia="zh-CN" w:bidi="ar-SA"/>
        </w:rPr>
        <w:t>（三）严格时间节点。</w:t>
      </w:r>
      <w:r>
        <w:rPr>
          <w:rFonts w:hint="eastAsia" w:ascii="CESI仿宋-GB2312" w:hAnsi="CESI仿宋-GB2312" w:eastAsia="CESI仿宋-GB2312" w:cs="CESI仿宋-GB2312"/>
          <w:color w:val="000000"/>
          <w:sz w:val="32"/>
          <w:szCs w:val="32"/>
          <w:lang w:eastAsia="zh-CN"/>
        </w:rPr>
        <w:t>各县（市、区）政府（管委会）</w:t>
      </w:r>
      <w:r>
        <w:rPr>
          <w:rFonts w:hint="eastAsia" w:ascii="CESI仿宋-GB2312" w:hAnsi="CESI仿宋-GB2312" w:eastAsia="CESI仿宋-GB2312" w:cs="CESI仿宋-GB2312"/>
          <w:color w:val="000000"/>
          <w:sz w:val="32"/>
          <w:szCs w:val="32"/>
          <w:lang w:val="en-US" w:eastAsia="zh-CN"/>
        </w:rPr>
        <w:t>在2023年5</w:t>
      </w:r>
      <w:r>
        <w:rPr>
          <w:rFonts w:hint="eastAsia" w:ascii="CESI仿宋-GB2312" w:hAnsi="CESI仿宋-GB2312" w:eastAsia="CESI仿宋-GB2312" w:cs="CESI仿宋-GB2312"/>
          <w:color w:val="000000"/>
          <w:sz w:val="32"/>
          <w:szCs w:val="32"/>
          <w:lang w:eastAsia="zh-CN"/>
        </w:rPr>
        <w:t>月</w:t>
      </w:r>
      <w:r>
        <w:rPr>
          <w:rFonts w:hint="eastAsia" w:ascii="CESI仿宋-GB2312" w:hAnsi="CESI仿宋-GB2312" w:eastAsia="CESI仿宋-GB2312" w:cs="CESI仿宋-GB2312"/>
          <w:color w:val="000000"/>
          <w:sz w:val="32"/>
          <w:szCs w:val="32"/>
          <w:lang w:val="en-US" w:eastAsia="zh-CN"/>
        </w:rPr>
        <w:t>6日</w:t>
      </w:r>
      <w:r>
        <w:rPr>
          <w:rFonts w:hint="eastAsia" w:ascii="CESI仿宋-GB2312" w:hAnsi="CESI仿宋-GB2312" w:eastAsia="CESI仿宋-GB2312" w:cs="CESI仿宋-GB2312"/>
          <w:color w:val="000000"/>
          <w:sz w:val="32"/>
          <w:szCs w:val="32"/>
          <w:lang w:eastAsia="zh-CN"/>
        </w:rPr>
        <w:t>前向市专班报送《</w:t>
      </w:r>
      <w:r>
        <w:rPr>
          <w:rFonts w:hint="eastAsia" w:ascii="CESI仿宋-GB2312" w:hAnsi="CESI仿宋-GB2312" w:eastAsia="CESI仿宋-GB2312" w:cs="CESI仿宋-GB2312"/>
          <w:color w:val="000000"/>
          <w:sz w:val="32"/>
          <w:szCs w:val="32"/>
          <w:lang w:val="en-US" w:eastAsia="zh-CN"/>
        </w:rPr>
        <w:t xml:space="preserve">各县（市、区）政府（管委会）第一协调责任人及工作人员回执单 </w:t>
      </w:r>
      <w:r>
        <w:rPr>
          <w:rFonts w:hint="eastAsia" w:ascii="CESI仿宋-GB2312" w:hAnsi="CESI仿宋-GB2312" w:eastAsia="CESI仿宋-GB2312" w:cs="CESI仿宋-GB2312"/>
          <w:color w:val="000000"/>
          <w:sz w:val="32"/>
          <w:szCs w:val="32"/>
          <w:lang w:eastAsia="zh-CN"/>
        </w:rPr>
        <w:t>》（附件</w:t>
      </w:r>
      <w:r>
        <w:rPr>
          <w:rFonts w:hint="eastAsia" w:ascii="CESI仿宋-GB2312" w:hAnsi="CESI仿宋-GB2312" w:eastAsia="CESI仿宋-GB2312" w:cs="CESI仿宋-GB2312"/>
          <w:color w:val="000000"/>
          <w:sz w:val="32"/>
          <w:szCs w:val="32"/>
          <w:lang w:val="en-US" w:eastAsia="zh-CN"/>
        </w:rPr>
        <w:t>3</w:t>
      </w:r>
      <w:r>
        <w:rPr>
          <w:rFonts w:hint="eastAsia" w:ascii="CESI仿宋-GB2312" w:hAnsi="CESI仿宋-GB2312" w:eastAsia="CESI仿宋-GB2312" w:cs="CESI仿宋-GB2312"/>
          <w:color w:val="000000"/>
          <w:sz w:val="32"/>
          <w:szCs w:val="32"/>
          <w:lang w:eastAsia="zh-CN"/>
        </w:rPr>
        <w:t>）；在</w:t>
      </w:r>
      <w:r>
        <w:rPr>
          <w:rFonts w:hint="eastAsia" w:ascii="CESI仿宋-GB2312" w:hAnsi="CESI仿宋-GB2312" w:eastAsia="CESI仿宋-GB2312" w:cs="CESI仿宋-GB2312"/>
          <w:color w:val="000000"/>
          <w:sz w:val="32"/>
          <w:szCs w:val="32"/>
          <w:lang w:val="en-US" w:eastAsia="zh-CN"/>
        </w:rPr>
        <w:t>2023年5月12日前</w:t>
      </w:r>
      <w:r>
        <w:rPr>
          <w:rFonts w:hint="eastAsia" w:ascii="CESI仿宋-GB2312" w:hAnsi="CESI仿宋-GB2312" w:eastAsia="CESI仿宋-GB2312" w:cs="CESI仿宋-GB2312"/>
          <w:color w:val="000000"/>
          <w:sz w:val="32"/>
          <w:szCs w:val="32"/>
          <w:lang w:eastAsia="zh-CN"/>
        </w:rPr>
        <w:t>向市专班</w:t>
      </w:r>
      <w:r>
        <w:rPr>
          <w:rFonts w:hint="eastAsia" w:ascii="CESI仿宋-GB2312" w:hAnsi="CESI仿宋-GB2312" w:eastAsia="CESI仿宋-GB2312" w:cs="CESI仿宋-GB2312"/>
          <w:color w:val="000000"/>
          <w:sz w:val="32"/>
          <w:szCs w:val="32"/>
          <w:lang w:val="en-US" w:eastAsia="zh-CN"/>
        </w:rPr>
        <w:t>报送本地工作方案和</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“十四五”体育公园和足球场地建设任务进度明细表</w:t>
      </w:r>
      <w:r>
        <w:rPr>
          <w:rFonts w:hint="eastAsia" w:ascii="CESI仿宋-GB2312" w:hAnsi="CESI仿宋-GB2312" w:eastAsia="CESI仿宋-GB2312" w:cs="CESI仿宋-GB2312"/>
          <w:color w:val="000000"/>
          <w:sz w:val="32"/>
          <w:szCs w:val="32"/>
          <w:lang w:eastAsia="zh-CN"/>
        </w:rPr>
        <w:t>》（附件</w:t>
      </w:r>
      <w:r>
        <w:rPr>
          <w:rFonts w:hint="eastAsia" w:ascii="CESI仿宋-GB2312" w:hAnsi="CESI仿宋-GB2312" w:eastAsia="CESI仿宋-GB2312" w:cs="CESI仿宋-GB2312"/>
          <w:color w:val="000000"/>
          <w:sz w:val="32"/>
          <w:szCs w:val="32"/>
          <w:lang w:val="en-US" w:eastAsia="zh-CN"/>
        </w:rPr>
        <w:t>4</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，落实具体建设项目，明确年度目标任务，</w:t>
      </w:r>
      <w:r>
        <w:rPr>
          <w:rFonts w:hint="eastAsia" w:ascii="CESI仿宋-GB2312" w:hAnsi="CESI仿宋-GB2312" w:eastAsia="CESI仿宋-GB2312" w:cs="CESI仿宋-GB2312"/>
          <w:color w:val="000000"/>
          <w:sz w:val="32"/>
          <w:szCs w:val="32"/>
          <w:lang w:eastAsia="zh-CN"/>
        </w:rPr>
        <w:t>以后每季度的第</w:t>
      </w:r>
      <w:r>
        <w:rPr>
          <w:rFonts w:hint="eastAsia" w:ascii="CESI仿宋-GB2312" w:hAnsi="CESI仿宋-GB2312" w:eastAsia="CESI仿宋-GB2312" w:cs="CESI仿宋-GB2312"/>
          <w:color w:val="000000"/>
          <w:sz w:val="32"/>
          <w:szCs w:val="32"/>
          <w:lang w:val="en-US" w:eastAsia="zh-CN"/>
        </w:rPr>
        <w:t>1</w:t>
      </w:r>
      <w:r>
        <w:rPr>
          <w:rFonts w:hint="eastAsia" w:ascii="CESI仿宋-GB2312" w:hAnsi="CESI仿宋-GB2312" w:eastAsia="CESI仿宋-GB2312" w:cs="CESI仿宋-GB2312"/>
          <w:color w:val="000000"/>
          <w:sz w:val="32"/>
          <w:szCs w:val="32"/>
          <w:lang w:eastAsia="zh-CN"/>
        </w:rPr>
        <w:t>个月</w:t>
      </w:r>
      <w:r>
        <w:rPr>
          <w:rFonts w:hint="eastAsia" w:ascii="CESI仿宋-GB2312" w:hAnsi="CESI仿宋-GB2312" w:eastAsia="CESI仿宋-GB2312" w:cs="CESI仿宋-GB2312"/>
          <w:color w:val="000000"/>
          <w:sz w:val="32"/>
          <w:szCs w:val="32"/>
          <w:lang w:val="en-US" w:eastAsia="zh-CN"/>
        </w:rPr>
        <w:t>10</w:t>
      </w:r>
      <w:r>
        <w:rPr>
          <w:rFonts w:hint="eastAsia" w:ascii="CESI仿宋-GB2312" w:hAnsi="CESI仿宋-GB2312" w:eastAsia="CESI仿宋-GB2312" w:cs="CESI仿宋-GB2312"/>
          <w:color w:val="000000"/>
          <w:sz w:val="32"/>
          <w:szCs w:val="32"/>
          <w:lang w:eastAsia="zh-CN"/>
        </w:rPr>
        <w:t>日前报送上季度进展情况，确保全市在“十四五”末全面完成</w:t>
      </w:r>
      <w:r>
        <w:rPr>
          <w:rFonts w:hint="eastAsia" w:ascii="CESI仿宋-GB2312" w:hAnsi="CESI仿宋-GB2312" w:eastAsia="CESI仿宋-GB2312" w:cs="CESI仿宋-GB2312"/>
          <w:color w:val="000000"/>
          <w:sz w:val="32"/>
          <w:szCs w:val="32"/>
          <w:lang w:val="en-US" w:eastAsia="zh-CN"/>
        </w:rPr>
        <w:t>体育公园和</w:t>
      </w:r>
      <w:r>
        <w:rPr>
          <w:rFonts w:hint="eastAsia" w:ascii="CESI仿宋-GB2312" w:hAnsi="CESI仿宋-GB2312" w:eastAsia="CESI仿宋-GB2312" w:cs="CESI仿宋-GB2312"/>
          <w:color w:val="000000"/>
          <w:sz w:val="32"/>
          <w:szCs w:val="32"/>
          <w:lang w:eastAsia="zh-CN"/>
        </w:rPr>
        <w:t>足球场地设施建设任务。</w:t>
      </w:r>
    </w:p>
    <w:p>
      <w:pPr>
        <w:pStyle w:val="2"/>
        <w:numPr>
          <w:ilvl w:val="0"/>
          <w:numId w:val="0"/>
        </w:numPr>
        <w:ind w:firstLine="643" w:firstLineChars="200"/>
        <w:rPr>
          <w:rFonts w:hint="eastAsia" w:ascii="Times New Roman" w:hAnsi="Times New Roman" w:eastAsia="仿宋" w:cs="Times New Roman"/>
          <w:color w:val="000000"/>
          <w:kern w:val="0"/>
          <w:sz w:val="32"/>
          <w:szCs w:val="32"/>
          <w:lang w:val="en-US" w:eastAsia="zh-CN" w:bidi="ar-SA"/>
        </w:rPr>
      </w:pPr>
      <w:r>
        <w:rPr>
          <w:rFonts w:hint="eastAsia" w:ascii="楷体" w:hAnsi="楷体" w:eastAsia="楷体" w:cs="楷体"/>
          <w:b/>
          <w:bCs/>
          <w:sz w:val="32"/>
          <w:szCs w:val="32"/>
          <w:lang w:val="en-US" w:eastAsia="zh-CN"/>
        </w:rPr>
        <w:t>（四）加强绩效考核。</w:t>
      </w:r>
      <w:r>
        <w:rPr>
          <w:rFonts w:hint="eastAsia" w:ascii="Times New Roman" w:hAnsi="Times New Roman" w:eastAsia="仿宋" w:cs="Times New Roman"/>
          <w:color w:val="000000"/>
          <w:kern w:val="0"/>
          <w:sz w:val="32"/>
          <w:szCs w:val="32"/>
          <w:lang w:val="en-US" w:eastAsia="zh-CN" w:bidi="ar-SA"/>
        </w:rPr>
        <w:t>市工作专班将对各地园场建设情况进行调研督导、监督检查和跟踪分析，确保各项任务落到实处、见到实效。省发展改革、体育部门将适时遴选园场设施建设典型案例向国家推荐。各地要将园场设施建设纳入政府考核范围，全力确保任务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28" w:firstLineChars="200"/>
        <w:jc w:val="both"/>
        <w:textAlignment w:val="auto"/>
        <w:rPr>
          <w:rFonts w:hint="eastAsia" w:ascii="仿宋" w:hAnsi="仿宋" w:eastAsia="仿宋" w:cs="仿宋"/>
          <w:spacing w:val="-2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28" w:firstLineChars="200"/>
        <w:jc w:val="both"/>
        <w:textAlignment w:val="auto"/>
        <w:rPr>
          <w:rFonts w:hint="eastAsia" w:ascii="仿宋" w:hAnsi="仿宋" w:eastAsia="仿宋" w:cs="仿宋"/>
          <w:spacing w:val="-28"/>
          <w:sz w:val="32"/>
          <w:szCs w:val="32"/>
          <w:lang w:val="en-US" w:eastAsia="zh-CN"/>
        </w:rPr>
      </w:pPr>
      <w:r>
        <w:rPr>
          <w:rFonts w:hint="eastAsia" w:ascii="仿宋" w:hAnsi="仿宋" w:eastAsia="仿宋" w:cs="仿宋"/>
          <w:spacing w:val="-28"/>
          <w:sz w:val="32"/>
          <w:szCs w:val="32"/>
          <w:lang w:val="en-US" w:eastAsia="zh-CN"/>
        </w:rPr>
        <w:t>附件：1.体育公园和足球场地设施建设参考标准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28" w:firstLineChars="200"/>
        <w:jc w:val="both"/>
        <w:textAlignment w:val="auto"/>
        <w:rPr>
          <w:rFonts w:hint="eastAsia" w:ascii="仿宋" w:hAnsi="仿宋" w:eastAsia="仿宋" w:cs="仿宋"/>
          <w:spacing w:val="-28"/>
          <w:sz w:val="32"/>
          <w:szCs w:val="32"/>
          <w:lang w:val="en-US" w:eastAsia="zh-CN"/>
        </w:rPr>
      </w:pPr>
      <w:r>
        <w:rPr>
          <w:rFonts w:hint="eastAsia" w:ascii="仿宋" w:hAnsi="仿宋" w:eastAsia="仿宋" w:cs="仿宋"/>
          <w:spacing w:val="-28"/>
          <w:sz w:val="32"/>
          <w:szCs w:val="32"/>
          <w:lang w:val="en-US" w:eastAsia="zh-CN"/>
        </w:rPr>
        <w:t>2.“十四五”各地体育公园和足球场地设施建设指导目标表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28" w:firstLineChars="200"/>
        <w:jc w:val="both"/>
        <w:textAlignment w:val="auto"/>
        <w:rPr>
          <w:rFonts w:hint="eastAsia" w:ascii="仿宋" w:hAnsi="仿宋" w:eastAsia="仿宋" w:cs="仿宋"/>
          <w:spacing w:val="-28"/>
          <w:sz w:val="32"/>
          <w:szCs w:val="32"/>
          <w:lang w:val="en-US" w:eastAsia="zh-CN"/>
        </w:rPr>
      </w:pPr>
      <w:r>
        <w:rPr>
          <w:rFonts w:hint="eastAsia" w:ascii="仿宋" w:hAnsi="仿宋" w:eastAsia="仿宋" w:cs="仿宋"/>
          <w:spacing w:val="-28"/>
          <w:sz w:val="32"/>
          <w:szCs w:val="32"/>
          <w:lang w:val="en-US" w:eastAsia="zh-CN"/>
        </w:rPr>
        <w:t>3.各县（市、区）政府（管委会）第一协调责任人及工作人员回执单</w:t>
      </w:r>
    </w:p>
    <w:p>
      <w:pPr>
        <w:pStyle w:val="2"/>
        <w:ind w:firstLine="528" w:firstLineChars="200"/>
        <w:rPr>
          <w:rFonts w:ascii="Times New Roman" w:hAnsi="Times New Roman" w:eastAsia="仿宋_GB2312"/>
          <w:sz w:val="32"/>
          <w:szCs w:val="32"/>
        </w:rPr>
      </w:pPr>
      <w:r>
        <w:rPr>
          <w:rFonts w:hint="eastAsia" w:ascii="仿宋" w:hAnsi="仿宋" w:eastAsia="仿宋" w:cs="仿宋"/>
          <w:spacing w:val="-28"/>
          <w:sz w:val="32"/>
          <w:szCs w:val="32"/>
          <w:lang w:val="en-US" w:eastAsia="zh-CN"/>
        </w:rPr>
        <w:t>4.“十四五”体育公园和足球场地建设任务进度明细表</w:t>
      </w: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体育公园和足球场地设施建设参考标准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一、体育公园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育公园是以体育健身为重要元素，与自然生态融为一体，具备改善生态、美化环境、体育健身、运动休闲、娱乐休憩、防灾避险等多种功能的绿色公共空间，是绿地系统的有机组成部分。按照区域中心城市、县城、中心镇（县域次区域）和一般镇四个等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US" w:eastAsia="zh-CN"/>
        </w:rPr>
        <w:t>（一）不低于10万平方米的体育公园。</w:t>
      </w:r>
      <w:r>
        <w:rPr>
          <w:rFonts w:hint="default" w:ascii="仿宋" w:hAnsi="仿宋" w:eastAsia="仿宋" w:cs="仿宋"/>
          <w:sz w:val="32"/>
          <w:szCs w:val="32"/>
          <w:lang w:val="en-US" w:eastAsia="zh-CN"/>
        </w:rPr>
        <w:t>鼓励常住人口50万以上的行政区域（含县级行政区域和乡镇，下同），建设该类型体育公园。其中，健身设施用地占比不低于15%，绿化用地占比不低于65%，健身步道不少于2公里，无相对固定服务半径，至少具有10块以上运动场地，可同时开展的体育项目不少于5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US" w:eastAsia="zh-CN"/>
        </w:rPr>
        <w:t>（二）不低于6万平方米的体育公园。</w:t>
      </w:r>
      <w:r>
        <w:rPr>
          <w:rFonts w:hint="default" w:ascii="仿宋" w:hAnsi="仿宋" w:eastAsia="仿宋" w:cs="仿宋"/>
          <w:sz w:val="32"/>
          <w:szCs w:val="32"/>
          <w:lang w:val="en-US" w:eastAsia="zh-CN"/>
        </w:rPr>
        <w:t>鼓励常住人口30—50万的行政区域，建设该类型体育公园。其中，健身设施用地占比不低于20%，绿化用地占比不低于65%，健身步道不少于1公里，主要服务半径应在5公里以内，至少具有8块以上运动场地，可同时开展的体育项目不少于4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US" w:eastAsia="zh-CN"/>
        </w:rPr>
        <w:t>（三）不低于4万平方米的体育公园。</w:t>
      </w:r>
      <w:r>
        <w:rPr>
          <w:rFonts w:hint="default" w:ascii="仿宋" w:hAnsi="仿宋" w:eastAsia="仿宋" w:cs="仿宋"/>
          <w:sz w:val="32"/>
          <w:szCs w:val="32"/>
          <w:lang w:val="en-US" w:eastAsia="zh-CN"/>
        </w:rPr>
        <w:t>鼓励常住人口30万以下的行政区域，建设该类型体育公园。其中，健身设施用地占比不低于20%，绿化用地占比不低于65%，主要服务半径应在1公里以内，至少具有4块以上运动场地，可同时开展的体育项目不少于3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二、足球场地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包括标准和非标准足球场地，标准场地指11人制足球场，非标准场地指7人制（8人制）、5人制足球场。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（一）11人制标准足球场。</w:t>
      </w:r>
      <w:r>
        <w:rPr>
          <w:rFonts w:hint="default" w:ascii="仿宋" w:hAnsi="仿宋" w:eastAsia="仿宋" w:cs="仿宋"/>
          <w:sz w:val="32"/>
          <w:szCs w:val="32"/>
          <w:lang w:val="en-US" w:eastAsia="zh-CN"/>
        </w:rPr>
        <w:t>比赛区域（划线区）不小于90×45米，可设置在田径场地内，也可独立设置，比赛区域应采用人工草坪或天然草坪覆盖，周边还需设置草坪延展区，满足安全缓冲和竞赛工作需要。</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US" w:eastAsia="zh-CN"/>
        </w:rPr>
        <w:t>（二）非标准足球场。</w:t>
      </w:r>
      <w:r>
        <w:rPr>
          <w:rFonts w:hint="default" w:ascii="仿宋" w:hAnsi="仿宋" w:eastAsia="仿宋" w:cs="仿宋"/>
          <w:sz w:val="32"/>
          <w:szCs w:val="32"/>
          <w:lang w:val="en-US" w:eastAsia="zh-CN"/>
        </w:rPr>
        <w:t>一是7人制（8人制）足球场，比赛区域（划线区）不小于45×45米，并在比赛区域外设置缓冲区。二是5人制足球场，比赛区域（划线区）不小于25×15米，并在比赛区域外设置缓冲区。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足球场地尺寸在执行过程中可按照国家印发的足球场地建设有关标准、规定等进行优化调整。</w:t>
      </w: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“十四五”各地体育公园和足球场地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设施建设指导目标表</w:t>
      </w:r>
    </w:p>
    <w:p>
      <w:pPr>
        <w:pStyle w:val="2"/>
        <w:rPr>
          <w:rFonts w:hint="eastAsia"/>
          <w:lang w:val="en-US" w:eastAsia="zh-CN"/>
        </w:rPr>
      </w:pPr>
    </w:p>
    <w:tbl>
      <w:tblPr>
        <w:tblStyle w:val="5"/>
        <w:tblW w:w="6752" w:type="dxa"/>
        <w:tblInd w:w="0" w:type="dxa"/>
        <w:tblLayout w:type="fixed"/>
        <w:tblCellMar>
          <w:top w:w="0" w:type="dxa"/>
          <w:left w:w="0" w:type="dxa"/>
          <w:bottom w:w="0" w:type="dxa"/>
          <w:right w:w="0" w:type="dxa"/>
        </w:tblCellMar>
      </w:tblPr>
      <w:tblGrid>
        <w:gridCol w:w="1843"/>
        <w:gridCol w:w="1470"/>
        <w:gridCol w:w="1980"/>
        <w:gridCol w:w="1830"/>
        <w:gridCol w:w="990"/>
      </w:tblGrid>
      <w:tr>
        <w:trPr>
          <w:trHeight w:val="953" w:hRule="atLeas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spacing w:val="0"/>
                <w:w w:val="100"/>
                <w:kern w:val="0"/>
                <w:position w:val="0"/>
                <w:sz w:val="22"/>
                <w:szCs w:val="22"/>
                <w:u w:val="none"/>
                <w:lang w:val="en-US" w:eastAsia="zh-CN" w:bidi="ar"/>
              </w:rPr>
              <w:t>县（市、区）</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0"/>
                <w:w w:val="100"/>
                <w:kern w:val="0"/>
                <w:position w:val="0"/>
                <w:sz w:val="22"/>
                <w:szCs w:val="22"/>
                <w:u w:val="none"/>
                <w:lang w:val="en-US" w:eastAsia="zh-CN" w:bidi="ar"/>
              </w:rPr>
              <w:t>2021年常住人口（万人）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0"/>
                <w:w w:val="100"/>
                <w:kern w:val="0"/>
                <w:position w:val="0"/>
                <w:sz w:val="22"/>
                <w:szCs w:val="22"/>
                <w:u w:val="none"/>
                <w:lang w:val="en-US" w:eastAsia="zh-CN" w:bidi="ar"/>
              </w:rPr>
              <w:t>“十四五”新建改扩建体育公园数（个）</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0"/>
                <w:w w:val="100"/>
                <w:kern w:val="0"/>
                <w:position w:val="0"/>
                <w:sz w:val="22"/>
                <w:szCs w:val="22"/>
                <w:u w:val="none"/>
                <w:lang w:val="en-US" w:eastAsia="zh-CN" w:bidi="ar"/>
              </w:rPr>
              <w:t>“十四五”新建足球场地数（块）</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0"/>
                <w:w w:val="100"/>
                <w:kern w:val="0"/>
                <w:position w:val="0"/>
                <w:sz w:val="22"/>
                <w:szCs w:val="22"/>
                <w:u w:val="none"/>
                <w:lang w:val="en-US" w:eastAsia="zh-CN" w:bidi="ar"/>
              </w:rPr>
              <w:t>备注</w:t>
            </w:r>
          </w:p>
        </w:tc>
      </w:tr>
      <w:tr>
        <w:tblPrEx>
          <w:tblCellMar>
            <w:top w:w="0" w:type="dxa"/>
            <w:left w:w="0" w:type="dxa"/>
            <w:bottom w:w="0" w:type="dxa"/>
            <w:right w:w="0" w:type="dxa"/>
          </w:tblCellMar>
        </w:tblPrEx>
        <w:trPr>
          <w:trHeight w:val="524" w:hRule="atLeas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spacing w:val="0"/>
                <w:w w:val="100"/>
                <w:kern w:val="0"/>
                <w:position w:val="0"/>
                <w:sz w:val="22"/>
                <w:szCs w:val="22"/>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pacing w:val="0"/>
                <w:w w:val="100"/>
                <w:kern w:val="0"/>
                <w:positio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962.9</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lang w:val="en-US"/>
              </w:rPr>
            </w:pPr>
            <w:r>
              <w:rPr>
                <w:rFonts w:hint="eastAsia" w:ascii="仿宋_GB2312" w:hAnsi="仿宋_GB2312" w:eastAsia="仿宋_GB2312" w:cs="仿宋_GB2312"/>
                <w:b/>
                <w:bCs/>
                <w:i w:val="0"/>
                <w:color w:val="000000"/>
                <w:spacing w:val="0"/>
                <w:w w:val="100"/>
                <w:kern w:val="0"/>
                <w:position w:val="0"/>
                <w:sz w:val="22"/>
                <w:szCs w:val="22"/>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218</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2"/>
                <w:szCs w:val="22"/>
                <w:u w:val="none"/>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宛城区</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63.35</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卧龙区</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86.66</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南召县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53.94</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方城县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86.34</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西峡县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44.54</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镇平县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82.09</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内乡县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54.24</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淅川县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53.3</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社旗县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55.54</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唐河县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104.18</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新野县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59.55</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桐柏县</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37.11</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高新技术开发区</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22.69</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0</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城乡一体化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示范区</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22.51</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0</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官庄工区</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13.33</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0</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567" w:hRule="exact"/>
        </w:trPr>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邓州市</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123.53</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r>
    </w:tbl>
    <w:p>
      <w:pPr>
        <w:pStyle w:val="2"/>
        <w:rPr>
          <w:rFonts w:hint="eastAsia"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2"/>
        <w:jc w:val="center"/>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各县（市、区）政府（管委会）第一协调</w:t>
      </w: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责任人及工作人员回执单</w:t>
      </w:r>
    </w:p>
    <w:p>
      <w:pPr>
        <w:pStyle w:val="2"/>
        <w:rPr>
          <w:rFonts w:ascii="Times New Roman" w:hAnsi="Times New Roman" w:eastAsia="仿宋_GB2312"/>
          <w:sz w:val="32"/>
          <w:szCs w:val="32"/>
        </w:rPr>
      </w:pPr>
    </w:p>
    <w:tbl>
      <w:tblPr>
        <w:tblStyle w:val="6"/>
        <w:tblW w:w="8874"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1638"/>
        <w:gridCol w:w="1584"/>
        <w:gridCol w:w="1278"/>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508" w:type="dxa"/>
            <w:noWrap w:val="0"/>
            <w:vAlign w:val="top"/>
          </w:tcPr>
          <w:p>
            <w:pPr>
              <w:shd w:val="clear" w:color="auto" w:fill="auto"/>
              <w:jc w:val="center"/>
              <w:rPr>
                <w:rFonts w:hint="eastAsia" w:ascii="黑体" w:hAnsi="黑体" w:eastAsia="黑体" w:cs="黑体"/>
                <w:b w:val="0"/>
                <w:bCs w:val="0"/>
                <w:color w:val="000000"/>
                <w:spacing w:val="0"/>
                <w:w w:val="100"/>
                <w:position w:val="0"/>
                <w:sz w:val="32"/>
                <w:szCs w:val="32"/>
                <w:vertAlign w:val="baseline"/>
                <w:lang w:val="zh-TW" w:eastAsia="zh-CN" w:bidi="zh-TW"/>
              </w:rPr>
            </w:pPr>
          </w:p>
        </w:tc>
        <w:tc>
          <w:tcPr>
            <w:tcW w:w="1638" w:type="dxa"/>
            <w:noWrap w:val="0"/>
            <w:vAlign w:val="top"/>
          </w:tcPr>
          <w:p>
            <w:pPr>
              <w:shd w:val="clear" w:color="auto" w:fill="auto"/>
              <w:jc w:val="center"/>
              <w:rPr>
                <w:rFonts w:hint="eastAsia" w:ascii="黑体" w:hAnsi="黑体" w:eastAsia="黑体" w:cs="黑体"/>
                <w:b w:val="0"/>
                <w:bCs w:val="0"/>
                <w:color w:val="000000"/>
                <w:spacing w:val="0"/>
                <w:w w:val="100"/>
                <w:position w:val="0"/>
                <w:sz w:val="28"/>
                <w:szCs w:val="28"/>
                <w:vertAlign w:val="baseline"/>
                <w:lang w:val="zh-TW" w:eastAsia="zh-CN" w:bidi="zh-TW"/>
              </w:rPr>
            </w:pPr>
            <w:r>
              <w:rPr>
                <w:rFonts w:hint="eastAsia" w:ascii="黑体" w:hAnsi="黑体" w:eastAsia="黑体" w:cs="黑体"/>
                <w:b w:val="0"/>
                <w:bCs w:val="0"/>
                <w:color w:val="000000"/>
                <w:spacing w:val="0"/>
                <w:w w:val="100"/>
                <w:position w:val="0"/>
                <w:sz w:val="28"/>
                <w:szCs w:val="28"/>
                <w:vertAlign w:val="baseline"/>
                <w:lang w:val="zh-TW" w:eastAsia="zh-CN" w:bidi="zh-TW"/>
              </w:rPr>
              <w:t>姓名</w:t>
            </w:r>
          </w:p>
        </w:tc>
        <w:tc>
          <w:tcPr>
            <w:tcW w:w="1584" w:type="dxa"/>
            <w:noWrap w:val="0"/>
            <w:vAlign w:val="top"/>
          </w:tcPr>
          <w:p>
            <w:pPr>
              <w:shd w:val="clear" w:color="auto" w:fill="auto"/>
              <w:jc w:val="center"/>
              <w:rPr>
                <w:rFonts w:hint="eastAsia" w:ascii="黑体" w:hAnsi="黑体" w:eastAsia="黑体" w:cs="黑体"/>
                <w:b w:val="0"/>
                <w:bCs w:val="0"/>
                <w:color w:val="000000"/>
                <w:spacing w:val="0"/>
                <w:w w:val="100"/>
                <w:position w:val="0"/>
                <w:sz w:val="28"/>
                <w:szCs w:val="28"/>
                <w:vertAlign w:val="baseline"/>
                <w:lang w:val="zh-TW" w:eastAsia="zh-CN" w:bidi="zh-TW"/>
              </w:rPr>
            </w:pPr>
            <w:r>
              <w:rPr>
                <w:rFonts w:hint="eastAsia" w:ascii="黑体" w:hAnsi="黑体" w:eastAsia="黑体" w:cs="黑体"/>
                <w:b w:val="0"/>
                <w:bCs w:val="0"/>
                <w:color w:val="000000"/>
                <w:spacing w:val="0"/>
                <w:w w:val="100"/>
                <w:position w:val="0"/>
                <w:sz w:val="28"/>
                <w:szCs w:val="28"/>
                <w:vertAlign w:val="baseline"/>
                <w:lang w:val="zh-TW" w:eastAsia="zh-CN" w:bidi="zh-TW"/>
              </w:rPr>
              <w:t>单位</w:t>
            </w:r>
          </w:p>
        </w:tc>
        <w:tc>
          <w:tcPr>
            <w:tcW w:w="1278" w:type="dxa"/>
            <w:noWrap w:val="0"/>
            <w:vAlign w:val="top"/>
          </w:tcPr>
          <w:p>
            <w:pPr>
              <w:shd w:val="clear" w:color="auto" w:fill="auto"/>
              <w:jc w:val="center"/>
              <w:rPr>
                <w:rFonts w:hint="eastAsia" w:ascii="黑体" w:hAnsi="黑体" w:eastAsia="黑体" w:cs="黑体"/>
                <w:b w:val="0"/>
                <w:bCs w:val="0"/>
                <w:color w:val="000000"/>
                <w:spacing w:val="0"/>
                <w:w w:val="100"/>
                <w:position w:val="0"/>
                <w:sz w:val="28"/>
                <w:szCs w:val="28"/>
                <w:vertAlign w:val="baseline"/>
                <w:lang w:val="zh-TW" w:eastAsia="zh-CN" w:bidi="zh-TW"/>
              </w:rPr>
            </w:pPr>
            <w:r>
              <w:rPr>
                <w:rFonts w:hint="eastAsia" w:ascii="黑体" w:hAnsi="黑体" w:eastAsia="黑体" w:cs="黑体"/>
                <w:b w:val="0"/>
                <w:bCs w:val="0"/>
                <w:color w:val="000000"/>
                <w:spacing w:val="0"/>
                <w:w w:val="100"/>
                <w:position w:val="0"/>
                <w:sz w:val="28"/>
                <w:szCs w:val="28"/>
                <w:vertAlign w:val="baseline"/>
                <w:lang w:val="zh-TW" w:eastAsia="zh-CN" w:bidi="zh-TW"/>
              </w:rPr>
              <w:t>职务</w:t>
            </w:r>
          </w:p>
        </w:tc>
        <w:tc>
          <w:tcPr>
            <w:tcW w:w="1866" w:type="dxa"/>
            <w:noWrap w:val="0"/>
            <w:vAlign w:val="top"/>
          </w:tcPr>
          <w:p>
            <w:pPr>
              <w:shd w:val="clear" w:color="auto" w:fill="auto"/>
              <w:jc w:val="center"/>
              <w:rPr>
                <w:rFonts w:hint="eastAsia" w:ascii="黑体" w:hAnsi="黑体" w:eastAsia="黑体" w:cs="黑体"/>
                <w:b w:val="0"/>
                <w:bCs w:val="0"/>
                <w:color w:val="000000"/>
                <w:spacing w:val="0"/>
                <w:w w:val="100"/>
                <w:position w:val="0"/>
                <w:sz w:val="28"/>
                <w:szCs w:val="28"/>
                <w:vertAlign w:val="baseline"/>
                <w:lang w:val="zh-TW" w:eastAsia="zh-CN" w:bidi="zh-TW"/>
              </w:rPr>
            </w:pPr>
            <w:r>
              <w:rPr>
                <w:rFonts w:hint="eastAsia" w:ascii="黑体" w:hAnsi="黑体" w:eastAsia="黑体" w:cs="黑体"/>
                <w:b w:val="0"/>
                <w:bCs w:val="0"/>
                <w:color w:val="000000"/>
                <w:spacing w:val="0"/>
                <w:w w:val="100"/>
                <w:position w:val="0"/>
                <w:sz w:val="28"/>
                <w:szCs w:val="28"/>
                <w:vertAlign w:val="baseline"/>
                <w:lang w:val="zh-TW" w:eastAsia="zh-CN" w:bidi="zh-TW"/>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50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pPr>
            <w:r>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t>政府（管委会）</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pPr>
            <w:r>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t>第一协调责任人</w:t>
            </w:r>
          </w:p>
        </w:tc>
        <w:tc>
          <w:tcPr>
            <w:tcW w:w="163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58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2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86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50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pPr>
            <w:r>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t>牵头单位分管</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pPr>
            <w:r>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t>负责同志</w:t>
            </w:r>
          </w:p>
        </w:tc>
        <w:tc>
          <w:tcPr>
            <w:tcW w:w="163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58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2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86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0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pPr>
            <w:r>
              <w:rPr>
                <w:rFonts w:hint="eastAsia" w:ascii="仿宋_GB2312" w:hAnsi="仿宋_GB2312" w:eastAsia="仿宋_GB2312" w:cs="仿宋_GB2312"/>
                <w:b w:val="0"/>
                <w:bCs w:val="0"/>
                <w:color w:val="000000"/>
                <w:spacing w:val="0"/>
                <w:w w:val="100"/>
                <w:position w:val="0"/>
                <w:sz w:val="28"/>
                <w:szCs w:val="28"/>
                <w:vertAlign w:val="baseline"/>
                <w:lang w:val="zh-TW" w:eastAsia="zh-CN" w:bidi="zh-TW"/>
              </w:rPr>
              <w:t>工作联络员</w:t>
            </w:r>
          </w:p>
        </w:tc>
        <w:tc>
          <w:tcPr>
            <w:tcW w:w="163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58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2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c>
          <w:tcPr>
            <w:tcW w:w="186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pacing w:val="0"/>
                <w:w w:val="100"/>
                <w:position w:val="0"/>
                <w:sz w:val="28"/>
                <w:szCs w:val="28"/>
                <w:vertAlign w:val="baseline"/>
                <w:lang w:val="zh-TW" w:eastAsia="zh-CN" w:bidi="zh-TW"/>
              </w:rPr>
            </w:pPr>
          </w:p>
        </w:tc>
      </w:tr>
    </w:tbl>
    <w:p>
      <w:pPr>
        <w:pStyle w:val="2"/>
        <w:rPr>
          <w:rFonts w:ascii="Times New Roman" w:hAnsi="Times New Roman" w:eastAsia="仿宋_GB2312"/>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tbl>
      <w:tblPr>
        <w:tblStyle w:val="5"/>
        <w:tblpPr w:leftFromText="180" w:rightFromText="180" w:vertAnchor="text" w:horzAnchor="page" w:tblpXSpec="center" w:tblpY="168"/>
        <w:tblOverlap w:val="never"/>
        <w:tblW w:w="15092" w:type="dxa"/>
        <w:jc w:val="center"/>
        <w:tblLayout w:type="fixed"/>
        <w:tblCellMar>
          <w:top w:w="0" w:type="dxa"/>
          <w:left w:w="0" w:type="dxa"/>
          <w:bottom w:w="0" w:type="dxa"/>
          <w:right w:w="0" w:type="dxa"/>
        </w:tblCellMar>
      </w:tblPr>
      <w:tblGrid>
        <w:gridCol w:w="956"/>
        <w:gridCol w:w="852"/>
        <w:gridCol w:w="852"/>
        <w:gridCol w:w="807"/>
        <w:gridCol w:w="598"/>
        <w:gridCol w:w="1165"/>
        <w:gridCol w:w="1241"/>
        <w:gridCol w:w="1020"/>
        <w:gridCol w:w="1102"/>
        <w:gridCol w:w="1176"/>
        <w:gridCol w:w="953"/>
        <w:gridCol w:w="711"/>
        <w:gridCol w:w="810"/>
        <w:gridCol w:w="810"/>
        <w:gridCol w:w="1424"/>
        <w:gridCol w:w="615"/>
      </w:tblGrid>
      <w:tr>
        <w:tblPrEx>
          <w:tblCellMar>
            <w:top w:w="0" w:type="dxa"/>
            <w:left w:w="0" w:type="dxa"/>
            <w:bottom w:w="0" w:type="dxa"/>
            <w:right w:w="0" w:type="dxa"/>
          </w:tblCellMar>
        </w:tblPrEx>
        <w:trPr>
          <w:trHeight w:val="90" w:hRule="atLeast"/>
          <w:jc w:val="center"/>
        </w:trPr>
        <w:tc>
          <w:tcPr>
            <w:tcW w:w="956"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32"/>
                <w:szCs w:val="32"/>
                <w:u w:val="none"/>
              </w:rPr>
            </w:pPr>
            <w:r>
              <w:rPr>
                <w:rFonts w:hint="eastAsia" w:ascii="黑体" w:hAnsi="黑体" w:eastAsia="黑体" w:cs="黑体"/>
                <w:sz w:val="32"/>
                <w:szCs w:val="32"/>
                <w:lang w:val="en-US" w:eastAsia="zh-CN"/>
              </w:rPr>
              <w:t>附件4</w:t>
            </w:r>
          </w:p>
        </w:tc>
        <w:tc>
          <w:tcPr>
            <w:tcW w:w="852"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852"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807"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598"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1165"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1241"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1020"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1102"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1176"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953"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711"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810"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810"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1424"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c>
          <w:tcPr>
            <w:tcW w:w="615" w:type="dxa"/>
            <w:tcBorders>
              <w:top w:val="nil"/>
              <w:left w:val="nil"/>
              <w:bottom w:val="nil"/>
              <w:right w:val="nil"/>
            </w:tcBorders>
            <w:noWrap/>
            <w:tcMar>
              <w:top w:w="15" w:type="dxa"/>
              <w:left w:w="15" w:type="dxa"/>
              <w:right w:w="15" w:type="dxa"/>
            </w:tcMar>
            <w:vAlign w:val="center"/>
          </w:tcPr>
          <w:p>
            <w:pPr>
              <w:rPr>
                <w:rFonts w:hint="eastAsia" w:ascii="黑体" w:hAnsi="黑体" w:eastAsia="黑体" w:cs="黑体"/>
                <w:i w:val="0"/>
                <w:color w:val="000000"/>
                <w:sz w:val="32"/>
                <w:szCs w:val="32"/>
                <w:u w:val="none"/>
              </w:rPr>
            </w:pPr>
          </w:p>
        </w:tc>
      </w:tr>
      <w:tr>
        <w:tblPrEx>
          <w:tblCellMar>
            <w:top w:w="0" w:type="dxa"/>
            <w:left w:w="0" w:type="dxa"/>
            <w:bottom w:w="0" w:type="dxa"/>
            <w:right w:w="0" w:type="dxa"/>
          </w:tblCellMar>
        </w:tblPrEx>
        <w:trPr>
          <w:trHeight w:val="566" w:hRule="atLeast"/>
          <w:jc w:val="center"/>
        </w:trPr>
        <w:tc>
          <w:tcPr>
            <w:tcW w:w="15092" w:type="dxa"/>
            <w:gridSpan w:val="16"/>
            <w:tcBorders>
              <w:top w:val="nil"/>
              <w:left w:val="nil"/>
              <w:bottom w:val="nil"/>
              <w:right w:val="nil"/>
            </w:tcBorders>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“十四五”体育公园和足球场地建设任务进度明细表</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tc>
      </w:tr>
      <w:tr>
        <w:tblPrEx>
          <w:tblCellMar>
            <w:top w:w="0" w:type="dxa"/>
            <w:left w:w="0" w:type="dxa"/>
            <w:bottom w:w="0" w:type="dxa"/>
            <w:right w:w="0" w:type="dxa"/>
          </w:tblCellMar>
        </w:tblPrEx>
        <w:trPr>
          <w:trHeight w:val="393" w:hRule="atLeast"/>
          <w:jc w:val="center"/>
        </w:trPr>
        <w:tc>
          <w:tcPr>
            <w:tcW w:w="3467"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spacing w:val="0"/>
                <w:w w:val="100"/>
                <w:kern w:val="0"/>
                <w:position w:val="0"/>
                <w:sz w:val="28"/>
                <w:szCs w:val="28"/>
                <w:u w:val="none"/>
                <w:lang w:val="en-US" w:eastAsia="zh-CN" w:bidi="ar"/>
              </w:rPr>
              <w:t xml:space="preserve">报送单位（盖章）：    </w:t>
            </w:r>
          </w:p>
        </w:tc>
        <w:tc>
          <w:tcPr>
            <w:tcW w:w="1763" w:type="dxa"/>
            <w:gridSpan w:val="2"/>
            <w:tcBorders>
              <w:top w:val="nil"/>
              <w:left w:val="nil"/>
              <w:bottom w:val="single" w:color="000000" w:sz="4" w:space="0"/>
              <w:right w:val="nil"/>
            </w:tcBorders>
            <w:noWrap/>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1241" w:type="dxa"/>
            <w:tcBorders>
              <w:top w:val="nil"/>
              <w:left w:val="nil"/>
              <w:bottom w:val="nil"/>
              <w:right w:val="nil"/>
            </w:tcBorders>
            <w:noWrap/>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1020" w:type="dxa"/>
            <w:tcBorders>
              <w:top w:val="nil"/>
              <w:left w:val="nil"/>
              <w:bottom w:val="nil"/>
              <w:right w:val="nil"/>
            </w:tcBorders>
            <w:noWrap/>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1102" w:type="dxa"/>
            <w:tcBorders>
              <w:top w:val="nil"/>
              <w:left w:val="nil"/>
              <w:bottom w:val="nil"/>
              <w:right w:val="nil"/>
            </w:tcBorders>
            <w:noWrap/>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1176" w:type="dxa"/>
            <w:tcBorders>
              <w:top w:val="nil"/>
              <w:left w:val="nil"/>
              <w:bottom w:val="nil"/>
              <w:right w:val="nil"/>
            </w:tcBorders>
            <w:noWrap/>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953" w:type="dxa"/>
            <w:tcBorders>
              <w:top w:val="nil"/>
              <w:left w:val="nil"/>
              <w:bottom w:val="nil"/>
              <w:right w:val="nil"/>
            </w:tcBorders>
            <w:noWrap/>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711" w:type="dxa"/>
            <w:tcBorders>
              <w:top w:val="nil"/>
              <w:left w:val="nil"/>
              <w:bottom w:val="nil"/>
              <w:right w:val="nil"/>
            </w:tcBorders>
            <w:noWrap/>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3659"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spacing w:val="0"/>
                <w:w w:val="100"/>
                <w:kern w:val="0"/>
                <w:position w:val="0"/>
                <w:sz w:val="28"/>
                <w:szCs w:val="28"/>
                <w:u w:val="none"/>
                <w:lang w:val="en-US" w:eastAsia="zh-CN" w:bidi="ar"/>
              </w:rPr>
              <w:t>时间：   年   月   日</w:t>
            </w:r>
          </w:p>
        </w:tc>
      </w:tr>
      <w:tr>
        <w:tblPrEx>
          <w:tblCellMar>
            <w:top w:w="0" w:type="dxa"/>
            <w:left w:w="0" w:type="dxa"/>
            <w:bottom w:w="0" w:type="dxa"/>
            <w:right w:w="0" w:type="dxa"/>
          </w:tblCellMar>
        </w:tblPrEx>
        <w:trPr>
          <w:trHeight w:val="658"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县市区</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人口</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基数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（万）</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现有</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（块）</w:t>
            </w:r>
          </w:p>
        </w:tc>
        <w:tc>
          <w:tcPr>
            <w:tcW w:w="8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任务</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缺口</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（块）</w:t>
            </w:r>
          </w:p>
        </w:tc>
        <w:tc>
          <w:tcPr>
            <w:tcW w:w="11010"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“十四五”体育公园和足球场地综合信息</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说明</w:t>
            </w:r>
          </w:p>
        </w:tc>
      </w:tr>
      <w:tr>
        <w:tblPrEx>
          <w:tblCellMar>
            <w:top w:w="0" w:type="dxa"/>
            <w:left w:w="0" w:type="dxa"/>
            <w:bottom w:w="0" w:type="dxa"/>
            <w:right w:w="0" w:type="dxa"/>
          </w:tblCellMar>
        </w:tblPrEx>
        <w:trPr>
          <w:trHeight w:val="694"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黑体" w:eastAsia="黑体" w:cs="黑体"/>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黑体" w:eastAsia="黑体" w:cs="黑体"/>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黑体" w:eastAsia="黑体" w:cs="黑体"/>
                <w:i w:val="0"/>
                <w:color w:val="000000"/>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黑体" w:eastAsia="黑体" w:cs="黑体"/>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数量序号</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项目名称</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位置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场地制式</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投资金额</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资金来源</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年度</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完工情况</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主管部门</w:t>
            </w: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pacing w:val="0"/>
                <w:w w:val="100"/>
                <w:kern w:val="0"/>
                <w:position w:val="0"/>
                <w:sz w:val="24"/>
                <w:szCs w:val="24"/>
                <w:u w:val="none"/>
                <w:lang w:val="en-US" w:eastAsia="zh-CN" w:bidi="ar"/>
              </w:rPr>
            </w:pPr>
            <w:r>
              <w:rPr>
                <w:rFonts w:hint="eastAsia" w:ascii="黑体" w:hAnsi="黑体" w:eastAsia="黑体" w:cs="黑体"/>
                <w:i w:val="0"/>
                <w:color w:val="000000"/>
                <w:spacing w:val="0"/>
                <w:w w:val="100"/>
                <w:kern w:val="0"/>
                <w:position w:val="0"/>
                <w:sz w:val="24"/>
                <w:szCs w:val="24"/>
                <w:u w:val="none"/>
                <w:lang w:val="en-US" w:eastAsia="zh-CN" w:bidi="ar"/>
              </w:rPr>
              <w:t>责任人及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pacing w:val="0"/>
                <w:w w:val="100"/>
                <w:kern w:val="0"/>
                <w:position w:val="0"/>
                <w:sz w:val="24"/>
                <w:szCs w:val="24"/>
                <w:u w:val="none"/>
                <w:lang w:val="en-US" w:eastAsia="zh-CN" w:bidi="ar"/>
              </w:rPr>
              <w:t>联系方式</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黑体" w:eastAsia="黑体" w:cs="黑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pacing w:val="0"/>
                <w:w w:val="100"/>
                <w:kern w:val="0"/>
                <w:position w:val="0"/>
                <w:sz w:val="24"/>
                <w:szCs w:val="24"/>
                <w:u w:val="none"/>
                <w:lang w:val="en-US" w:eastAsia="zh-CN" w:bidi="ar"/>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各县（市、区）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w:t>
            </w:r>
          </w:p>
        </w:tc>
        <w:tc>
          <w:tcPr>
            <w:tcW w:w="8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pacing w:val="0"/>
                <w:w w:val="100"/>
                <w:kern w:val="0"/>
                <w:position w:val="0"/>
                <w:sz w:val="24"/>
                <w:szCs w:val="24"/>
                <w:u w:val="none"/>
                <w:lang w:val="en-US" w:eastAsia="zh-CN" w:bidi="ar"/>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功能区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w:t>
            </w:r>
          </w:p>
        </w:tc>
        <w:tc>
          <w:tcPr>
            <w:tcW w:w="8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956"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总计</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c>
          <w:tcPr>
            <w:tcW w:w="10412"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w:t>
            </w:r>
          </w:p>
        </w:tc>
        <w:tc>
          <w:tcPr>
            <w:tcW w:w="61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844" w:hRule="atLeast"/>
          <w:jc w:val="center"/>
        </w:trPr>
        <w:tc>
          <w:tcPr>
            <w:tcW w:w="15092"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afterAutospacing="0" w:line="260" w:lineRule="exact"/>
              <w:jc w:val="left"/>
              <w:textAlignment w:val="center"/>
              <w:rPr>
                <w:rFonts w:hint="eastAsia" w:ascii="仿宋_GB2312" w:hAnsi="仿宋_GB2312" w:eastAsia="仿宋_GB2312" w:cs="仿宋_GB2312"/>
                <w:i w:val="0"/>
                <w:color w:val="000000"/>
                <w:spacing w:val="0"/>
                <w:w w:val="100"/>
                <w:kern w:val="0"/>
                <w:position w:val="0"/>
                <w:sz w:val="24"/>
                <w:szCs w:val="24"/>
                <w:u w:val="none"/>
                <w:lang w:val="en-US" w:eastAsia="zh-CN" w:bidi="ar"/>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填报说明：</w:t>
            </w:r>
          </w:p>
          <w:p>
            <w:pPr>
              <w:keepNext w:val="0"/>
              <w:keepLines w:val="0"/>
              <w:pageBreakBefore w:val="0"/>
              <w:widowControl/>
              <w:suppressLineNumbers w:val="0"/>
              <w:kinsoku/>
              <w:wordWrap/>
              <w:overflowPunct/>
              <w:topLinePunct w:val="0"/>
              <w:autoSpaceDE/>
              <w:autoSpaceDN/>
              <w:bidi w:val="0"/>
              <w:adjustRightInd/>
              <w:snapToGrid/>
              <w:spacing w:after="0" w:afterAutospacing="0" w:line="260" w:lineRule="exact"/>
              <w:jc w:val="left"/>
              <w:textAlignment w:val="center"/>
              <w:rPr>
                <w:rFonts w:hint="eastAsia" w:ascii="仿宋_GB2312" w:hAnsi="仿宋_GB2312" w:eastAsia="仿宋_GB2312" w:cs="仿宋_GB2312"/>
                <w:i w:val="0"/>
                <w:color w:val="000000"/>
                <w:spacing w:val="0"/>
                <w:w w:val="100"/>
                <w:kern w:val="0"/>
                <w:position w:val="0"/>
                <w:sz w:val="24"/>
                <w:szCs w:val="24"/>
                <w:u w:val="none"/>
                <w:lang w:val="en-US" w:eastAsia="zh-CN" w:bidi="ar"/>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 xml:space="preserve">    1.“资金来源”：是指是政府投资、自筹、自筹+政府补助、体彩公益金等。</w:t>
            </w:r>
          </w:p>
          <w:p>
            <w:pPr>
              <w:keepNext w:val="0"/>
              <w:keepLines w:val="0"/>
              <w:pageBreakBefore w:val="0"/>
              <w:widowControl/>
              <w:suppressLineNumbers w:val="0"/>
              <w:kinsoku/>
              <w:wordWrap/>
              <w:overflowPunct/>
              <w:topLinePunct w:val="0"/>
              <w:autoSpaceDE/>
              <w:autoSpaceDN/>
              <w:bidi w:val="0"/>
              <w:adjustRightInd/>
              <w:snapToGrid/>
              <w:spacing w:after="0" w:afterAutospacing="0" w:line="260" w:lineRule="exact"/>
              <w:jc w:val="left"/>
              <w:textAlignment w:val="center"/>
              <w:rPr>
                <w:rFonts w:hint="eastAsia" w:ascii="仿宋_GB2312" w:hAnsi="仿宋_GB2312" w:eastAsia="仿宋_GB2312" w:cs="仿宋_GB2312"/>
                <w:i w:val="0"/>
                <w:color w:val="000000"/>
                <w:spacing w:val="0"/>
                <w:w w:val="100"/>
                <w:kern w:val="0"/>
                <w:position w:val="0"/>
                <w:sz w:val="24"/>
                <w:szCs w:val="24"/>
                <w:u w:val="none"/>
                <w:lang w:val="en-US" w:eastAsia="zh-CN" w:bidi="ar"/>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 xml:space="preserve">    2.“责任人及联系方式”：是指主管部门的责任人和联系方式。</w:t>
            </w:r>
          </w:p>
          <w:p>
            <w:pPr>
              <w:keepNext w:val="0"/>
              <w:keepLines w:val="0"/>
              <w:pageBreakBefore w:val="0"/>
              <w:widowControl/>
              <w:suppressLineNumbers w:val="0"/>
              <w:kinsoku/>
              <w:wordWrap/>
              <w:overflowPunct/>
              <w:topLinePunct w:val="0"/>
              <w:autoSpaceDE/>
              <w:autoSpaceDN/>
              <w:bidi w:val="0"/>
              <w:adjustRightInd/>
              <w:snapToGrid/>
              <w:spacing w:after="0" w:afterAutospacing="0" w:line="260" w:lineRule="exact"/>
              <w:jc w:val="left"/>
              <w:textAlignment w:val="center"/>
              <w:rPr>
                <w:rFonts w:hint="eastAsia" w:ascii="仿宋_GB2312" w:hAnsi="仿宋_GB2312" w:eastAsia="仿宋_GB2312" w:cs="仿宋_GB2312"/>
                <w:i w:val="0"/>
                <w:color w:val="000000"/>
                <w:spacing w:val="0"/>
                <w:w w:val="100"/>
                <w:kern w:val="0"/>
                <w:position w:val="0"/>
                <w:sz w:val="24"/>
                <w:szCs w:val="24"/>
                <w:u w:val="none"/>
                <w:lang w:val="en-US" w:eastAsia="zh-CN" w:bidi="ar"/>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 xml:space="preserve">    3.“主管部门”：是指体育局、教育局、住建局等。</w:t>
            </w:r>
          </w:p>
          <w:p>
            <w:pPr>
              <w:keepNext w:val="0"/>
              <w:keepLines w:val="0"/>
              <w:pageBreakBefore w:val="0"/>
              <w:widowControl/>
              <w:suppressLineNumbers w:val="0"/>
              <w:kinsoku/>
              <w:wordWrap/>
              <w:overflowPunct/>
              <w:topLinePunct w:val="0"/>
              <w:autoSpaceDE/>
              <w:autoSpaceDN/>
              <w:bidi w:val="0"/>
              <w:adjustRightInd/>
              <w:snapToGrid/>
              <w:spacing w:after="0" w:afterAutospacing="0" w:line="260" w:lineRule="exact"/>
              <w:jc w:val="left"/>
              <w:textAlignment w:val="center"/>
              <w:rPr>
                <w:rFonts w:hint="eastAsia" w:ascii="仿宋_GB2312" w:hAnsi="仿宋_GB2312" w:eastAsia="仿宋_GB2312" w:cs="仿宋_GB2312"/>
                <w:i w:val="0"/>
                <w:color w:val="000000"/>
                <w:spacing w:val="0"/>
                <w:w w:val="100"/>
                <w:kern w:val="0"/>
                <w:position w:val="0"/>
                <w:sz w:val="24"/>
                <w:szCs w:val="24"/>
                <w:u w:val="none"/>
                <w:lang w:val="en-US" w:eastAsia="zh-CN" w:bidi="ar"/>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 xml:space="preserve">    4.“场地名称”和“场地位置”：场地名称一定要规范，场地位置一定要准确、唯一，确保能够落实到城市图斑。   </w:t>
            </w:r>
          </w:p>
          <w:p>
            <w:pPr>
              <w:keepNext w:val="0"/>
              <w:keepLines w:val="0"/>
              <w:pageBreakBefore w:val="0"/>
              <w:widowControl/>
              <w:suppressLineNumbers w:val="0"/>
              <w:kinsoku/>
              <w:wordWrap/>
              <w:overflowPunct/>
              <w:topLinePunct w:val="0"/>
              <w:autoSpaceDE/>
              <w:autoSpaceDN/>
              <w:bidi w:val="0"/>
              <w:adjustRightInd/>
              <w:snapToGrid/>
              <w:spacing w:after="0" w:afterAutospacing="0"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0"/>
                <w:w w:val="100"/>
                <w:kern w:val="0"/>
                <w:position w:val="0"/>
                <w:sz w:val="24"/>
                <w:szCs w:val="24"/>
                <w:u w:val="none"/>
                <w:lang w:val="en-US" w:eastAsia="zh-CN" w:bidi="ar"/>
              </w:rPr>
              <w:t xml:space="preserve">    5.每季度的第1个月10日前报送，如有更新可及时报送，经分管领导审阅签字加盖公章后，报送市专班办公室。联系人：李风英 ；联系电话：63898809；电子邮箱nyfgwshk@sina.com</w:t>
            </w:r>
          </w:p>
        </w:tc>
      </w:tr>
      <w:bookmarkEnd w:id="0"/>
    </w:tbl>
    <w:p>
      <w:pPr>
        <w:pStyle w:val="2"/>
        <w:keepNext w:val="0"/>
        <w:keepLines w:val="0"/>
        <w:pageBreakBefore w:val="0"/>
        <w:kinsoku/>
        <w:wordWrap/>
        <w:overflowPunct/>
        <w:topLinePunct w:val="0"/>
        <w:autoSpaceDE/>
        <w:autoSpaceDN/>
        <w:bidi w:val="0"/>
        <w:adjustRightInd/>
        <w:snapToGrid/>
        <w:spacing w:line="260" w:lineRule="exact"/>
        <w:rPr>
          <w:rFonts w:hint="eastAsia" w:ascii="黑体" w:hAnsi="黑体" w:eastAsia="黑体" w:cs="黑体"/>
          <w:sz w:val="24"/>
          <w:szCs w:val="24"/>
        </w:rPr>
        <w:sectPr>
          <w:footerReference r:id="rId7" w:type="first"/>
          <w:headerReference r:id="rId4" w:type="default"/>
          <w:footerReference r:id="rId5" w:type="default"/>
          <w:footerReference r:id="rId6" w:type="even"/>
          <w:pgSz w:w="16838" w:h="11906" w:orient="landscape"/>
          <w:pgMar w:top="1588" w:right="1757" w:bottom="1588" w:left="1758" w:header="851" w:footer="1474" w:gutter="0"/>
          <w:pgNumType w:fmt="decimal"/>
          <w:cols w:space="720" w:num="1"/>
          <w:docGrid w:type="lines" w:linePitch="590" w:charSpace="365"/>
        </w:sectPr>
      </w:pPr>
    </w:p>
    <w:tbl>
      <w:tblPr>
        <w:tblStyle w:val="6"/>
        <w:tblpPr w:leftFromText="180" w:rightFromText="180" w:vertAnchor="text" w:horzAnchor="page" w:tblpXSpec="center" w:tblpY="12320"/>
        <w:tblOverlap w:val="never"/>
        <w:tblW w:w="894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vertAlign w:val="baseline"/>
                <w:lang w:val="en-US" w:eastAsia="zh-CN"/>
              </w:rPr>
            </w:pPr>
            <w:r>
              <w:rPr>
                <w:rFonts w:hint="eastAsia" w:ascii="仿宋_GB2312" w:hAnsi="仿宋_GB2312" w:eastAsia="仿宋_GB2312" w:cs="仿宋_GB2312"/>
                <w:sz w:val="32"/>
                <w:vertAlign w:val="baseline"/>
                <w:lang w:val="en-US" w:eastAsia="zh-CN"/>
              </w:rPr>
              <w:t>南阳市发展和改革委员会办公室      2023年4月20日印发</w:t>
            </w:r>
          </w:p>
        </w:tc>
      </w:tr>
    </w:tbl>
    <w:p>
      <w:pPr>
        <w:pStyle w:val="2"/>
        <w:keepNext w:val="0"/>
        <w:keepLines w:val="0"/>
        <w:pageBreakBefore w:val="0"/>
        <w:kinsoku/>
        <w:wordWrap/>
        <w:overflowPunct/>
        <w:topLinePunct w:val="0"/>
        <w:autoSpaceDE/>
        <w:autoSpaceDN/>
        <w:bidi w:val="0"/>
        <w:adjustRightInd/>
        <w:snapToGrid/>
        <w:spacing w:line="260" w:lineRule="exact"/>
        <w:rPr>
          <w:rFonts w:hint="eastAsia" w:ascii="黑体" w:hAnsi="黑体" w:eastAsia="黑体" w:cs="黑体"/>
          <w:sz w:val="24"/>
          <w:szCs w:val="24"/>
        </w:rPr>
      </w:pPr>
    </w:p>
    <w:sectPr>
      <w:pgSz w:w="11906" w:h="16838"/>
      <w:pgMar w:top="1757" w:right="1588" w:bottom="1757" w:left="1588" w:header="851" w:footer="1474" w:gutter="0"/>
      <w:pgNumType w:fmt="decimal"/>
      <w:cols w:space="0" w:num="1"/>
      <w:rtlGutter w:val="0"/>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3CB8A7-68C7-42DE-AA33-60F40412F4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60A6B94C-6181-4769-96C0-6CD4D84807F7}"/>
  </w:font>
  <w:font w:name="仿宋_GB2312">
    <w:panose1 w:val="02010609030101010101"/>
    <w:charset w:val="86"/>
    <w:family w:val="modern"/>
    <w:pitch w:val="default"/>
    <w:sig w:usb0="00000001" w:usb1="080E0000" w:usb2="00000000" w:usb3="00000000" w:csb0="00040000" w:csb1="00000000"/>
    <w:embedRegular r:id="rId3" w:fontKey="{84D7C48F-00EB-4E2B-8CC0-D625485C1ACE}"/>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F93DE56A-897B-4846-94CB-A1785CC95E48}"/>
  </w:font>
  <w:font w:name="楷体">
    <w:panose1 w:val="02010609060101010101"/>
    <w:charset w:val="86"/>
    <w:family w:val="auto"/>
    <w:pitch w:val="default"/>
    <w:sig w:usb0="800002BF" w:usb1="38CF7CFA" w:usb2="00000016" w:usb3="00000000" w:csb0="00040001" w:csb1="00000000"/>
    <w:embedRegular r:id="rId5" w:fontKey="{E3927D8B-21A5-474E-95E3-EA374F6B55C6}"/>
  </w:font>
  <w:font w:name="CESI仿宋-GB2312">
    <w:altName w:val="仿宋"/>
    <w:panose1 w:val="02000500000000000000"/>
    <w:charset w:val="86"/>
    <w:family w:val="auto"/>
    <w:pitch w:val="default"/>
    <w:sig w:usb0="00000000" w:usb1="00000000" w:usb2="00000010" w:usb3="00000000" w:csb0="0004000F" w:csb1="00000000"/>
    <w:embedRegular r:id="rId6" w:fontKey="{B7C3A95F-6670-4F45-9B48-67D1E4E7DA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ind w:right="357" w:firstLine="35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napToGrid/>
                            <w:ind w:right="357" w:firstLine="357"/>
                            <w:jc w:val="right"/>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1</w:t>
                          </w:r>
                          <w:r>
                            <w:rPr>
                              <w:rFonts w:hint="eastAsia" w:ascii="宋体" w:hAnsi="宋体"/>
                              <w:sz w:val="28"/>
                              <w:szCs w:val="28"/>
                            </w:rPr>
                            <w:fldChar w:fldCharType="end"/>
                          </w:r>
                          <w:r>
                            <w:rPr>
                              <w:rStyle w:val="8"/>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snapToGrid/>
                      <w:ind w:right="357" w:firstLine="357"/>
                      <w:jc w:val="right"/>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1</w:t>
                    </w:r>
                    <w:r>
                      <w:rPr>
                        <w:rFonts w:hint="eastAsia"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140" w:firstLineChars="50"/>
    </w:pPr>
    <w:r>
      <w:rPr>
        <w:rStyle w:val="8"/>
        <w:rFonts w:hint="eastAsia" w:ascii="宋体" w:hAnsi="宋体"/>
        <w:sz w:val="28"/>
        <w:szCs w:val="28"/>
      </w:rPr>
      <w:t>—</w:t>
    </w:r>
    <w:r>
      <w:rPr>
        <w:rStyle w:val="8"/>
      </w:rPr>
      <w:t xml:space="preserve"> </w:t>
    </w:r>
    <w:r>
      <w:rPr>
        <w:rFonts w:ascii="宋体" w:hAnsi="宋体"/>
        <w:sz w:val="28"/>
        <w:szCs w:val="28"/>
      </w:rPr>
      <w:fldChar w:fldCharType="begin"/>
    </w:r>
    <w:r>
      <w:rPr>
        <w:rStyle w:val="8"/>
        <w:rFonts w:ascii="宋体" w:hAnsi="宋体"/>
        <w:sz w:val="28"/>
        <w:szCs w:val="28"/>
      </w:rPr>
      <w:instrText xml:space="preserve"> PAGE   \* MERGEFORMAT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sz w:val="28"/>
        <w:szCs w:val="28"/>
      </w:rPr>
      <w:t xml:space="preserve"> </w:t>
    </w:r>
    <w:r>
      <w:rPr>
        <w:rStyle w:val="8"/>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rPr>
    </w:pPr>
    <w:r>
      <w:rPr>
        <w:rStyle w:val="8"/>
        <w:rFonts w:hint="eastAsia" w:ascii="宋体" w:hAnsi="宋体"/>
        <w:sz w:val="28"/>
        <w:szCs w:val="28"/>
      </w:rPr>
      <w:t>—</w:t>
    </w:r>
    <w:r>
      <w:rPr>
        <w:rStyle w:val="8"/>
      </w:rPr>
      <w:t xml:space="preserve"> </w:t>
    </w:r>
    <w:r>
      <w:rPr>
        <w:rStyle w:val="8"/>
        <w:rFonts w:ascii="宋体" w:hAnsi="宋体"/>
        <w:sz w:val="28"/>
        <w:szCs w:val="28"/>
      </w:rPr>
      <w:t>1</w:t>
    </w:r>
    <w:r>
      <w:rPr>
        <w:rStyle w:val="8"/>
        <w:sz w:val="28"/>
        <w:szCs w:val="28"/>
      </w:rPr>
      <w:t xml:space="preserve"> </w:t>
    </w:r>
    <w:r>
      <w:rPr>
        <w:rStyle w:val="8"/>
        <w:rFonts w:hint="eastAsia" w:ascii="宋体" w:hAnsi="宋体"/>
        <w:sz w:val="28"/>
        <w:szCs w:val="28"/>
      </w:rPr>
      <w:t>—</w:t>
    </w:r>
  </w:p>
  <w:p>
    <w:pPr>
      <w:pStyle w:val="3"/>
    </w:pPr>
    <w:r>
      <w:rPr>
        <w:rFonts w:hint="eastAsia"/>
      </w:rPr>
      <w:t xml:space="preserve"> </w:t>
    </w:r>
    <w:r>
      <mc:AlternateContent>
        <mc:Choice Requires="wps">
          <w:drawing>
            <wp:anchor distT="0" distB="0" distL="114300" distR="114300" simplePos="0" relativeHeight="251659264" behindDoc="0" locked="1" layoutInCell="1" hidden="1" allowOverlap="0">
              <wp:simplePos x="0" y="0"/>
              <wp:positionH relativeFrom="column">
                <wp:posOffset>-297180</wp:posOffset>
              </wp:positionH>
              <wp:positionV relativeFrom="page">
                <wp:posOffset>9796780</wp:posOffset>
              </wp:positionV>
              <wp:extent cx="6149340" cy="1270"/>
              <wp:effectExtent l="0" t="0" r="0" b="0"/>
              <wp:wrapNone/>
              <wp:docPr id="15" name="直接连接符 1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49340" cy="1270"/>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23.4pt;margin-top:771.4pt;height:0.1pt;width:484.2pt;mso-position-vertical-relative:page;visibility:hidden;z-index:251659264;mso-width-relative:page;mso-height-relative:page;" filled="f" stroked="t" coordsize="21600,21600" o:allowoverlap="f" o:gfxdata="UEsDBAoAAAAAAIdO4kAAAAAAAAAAAAAAAAAEAAAAZHJzL1BLAwQUAAAACACHTuJAgtfg0NwAAAAN&#10;AQAADwAAAGRycy9kb3ducmV2LnhtbE2PzU7DMBCE70i8g7VIXFBrJ5QUQpxKIHqoOCDScndjEwfi&#10;dbDdH3h6Fi5w290ZzX5TLY5uYHsTYu9RQjYVwAy2XvfYSdisl5NrYDEp1GrwaCR8mgiL+vSkUqX2&#10;B3w2+yZ1jEIwlkqCTWksOY+tNU7FqR8Nkvbqg1OJ1tBxHdSBwt3AcyEK7lSP9MGq0dxb0743Oyeh&#10;ufh4tG++08Pq6ynNN3fLVXh4kfL8LBO3wJI5pj8z/OATOtTEtPU71JENEiazgtATCVeznCay3ORZ&#10;AWz7e7oUwOuK/29RfwNQSwMEFAAAAAgAh07iQKlHzhILAgAA7QMAAA4AAABkcnMvZTJvRG9jLnht&#10;bK1TzW4TMRC+I/EOlu9kk9C0sMqmQonCpUCkhgdwbO+uVdtj2U42eQleAIkbnHrkztvQPkbHzg+0&#10;XHpgD5Y9nvk83zffji+3RpON9EGBreig16dEWg5C2aain5fzV28oCZFZwTRYWdGdDPRy8vLFuHOl&#10;HEILWkhPEMSGsnMVbWN0ZVEE3krDQg+ctHhZgzcs4tE3hfCsQ3Sji2G/f1504IXzwGUIGJ3tL+kB&#10;0T8HEOpacTkDvjbSxj2ql5pFpBRa5QKd5G7rWvL4qa6DjERXFJnGvOIjuF+ltZiMWdl45lrFDy2w&#10;57TwhJNhyuKjJ6gZi4ysvfoHyijuIUAdexxMsSeSFUEWg/4Tba5b5mTmglIHdxI9/D9Y/nGz8EQJ&#10;dMKIEssMTvzu68/fX77f//qG693tD5JuWiWETH5JinUulFg4tQufOPOtvXZXwG8CsTBtmW3ku+BQ&#10;+pR+CmUyy53DBzJI8QglHYLDVlbdBxCYw9YRsqLb2pv0CmpFtnlwu9Pg5DYSjsHzwdnb12c4U453&#10;g+FFnmvBymOt8yG+l2BI2lRUK5tkZSXbXIWIhDD1mJLCFuZK62wNbUlX0dHFYJTQjUOhYqvsEu1y&#10;kyECaCVSeioMvllNtScbhnabz/v4Jb0Q/lGah7UV+7i2qU5mpx56OUqx13kFYrfwKTnF0QUZ7uDY&#10;ZLO/zznrz186e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1+DQ3AAAAA0BAAAPAAAAAAAAAAEA&#10;IAAAACIAAABkcnMvZG93bnJldi54bWxQSwECFAAUAAAACACHTuJAqUfOEgsCAADtAwAADgAAAAAA&#10;AAABACAAAAArAQAAZHJzL2Uyb0RvYy54bWxQSwUGAAAAAAYABgBZAQAAqAUAAAAA&#10;">
              <v:fill on="f" focussize="0,0"/>
              <v:stroke weight="4.5pt" color="#FF0000" linestyle="thinThick" joinstyle="round"/>
              <v:imagedata o:title=""/>
              <o:lock v:ext="edit" aspectratio="t"/>
              <w10:anchorlock/>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00000000"/>
    <w:rsid w:val="04324734"/>
    <w:rsid w:val="07DF59A7"/>
    <w:rsid w:val="0AD6E19B"/>
    <w:rsid w:val="11EC5CD2"/>
    <w:rsid w:val="187A7FF0"/>
    <w:rsid w:val="1E7ECB48"/>
    <w:rsid w:val="1E9FE86B"/>
    <w:rsid w:val="1FFFC52E"/>
    <w:rsid w:val="206C220C"/>
    <w:rsid w:val="21FF3F34"/>
    <w:rsid w:val="2C2A27EA"/>
    <w:rsid w:val="2EF77252"/>
    <w:rsid w:val="2FE30FDE"/>
    <w:rsid w:val="31FE04D7"/>
    <w:rsid w:val="34FEACC1"/>
    <w:rsid w:val="34FFE98A"/>
    <w:rsid w:val="36657E20"/>
    <w:rsid w:val="3BEFDA37"/>
    <w:rsid w:val="3D796595"/>
    <w:rsid w:val="3DF47606"/>
    <w:rsid w:val="3E52987D"/>
    <w:rsid w:val="3EAB0813"/>
    <w:rsid w:val="3F136F60"/>
    <w:rsid w:val="3F7FC166"/>
    <w:rsid w:val="3FF88854"/>
    <w:rsid w:val="3FFBF90F"/>
    <w:rsid w:val="3FFE6D93"/>
    <w:rsid w:val="3FFF0C07"/>
    <w:rsid w:val="3FFFC4E4"/>
    <w:rsid w:val="42500A1C"/>
    <w:rsid w:val="42CE10D8"/>
    <w:rsid w:val="431D45BB"/>
    <w:rsid w:val="478B48E3"/>
    <w:rsid w:val="49FD0DD8"/>
    <w:rsid w:val="4F57C182"/>
    <w:rsid w:val="4F7F0A2A"/>
    <w:rsid w:val="53FE330C"/>
    <w:rsid w:val="54AD1E19"/>
    <w:rsid w:val="56EECB88"/>
    <w:rsid w:val="575F749E"/>
    <w:rsid w:val="57F3AC50"/>
    <w:rsid w:val="59A06767"/>
    <w:rsid w:val="5B7A63DB"/>
    <w:rsid w:val="5BAFF894"/>
    <w:rsid w:val="5D485594"/>
    <w:rsid w:val="5E6C3504"/>
    <w:rsid w:val="5EEE5101"/>
    <w:rsid w:val="5FFB0ACE"/>
    <w:rsid w:val="5FFB2250"/>
    <w:rsid w:val="62A863E5"/>
    <w:rsid w:val="67673D41"/>
    <w:rsid w:val="67FAE61A"/>
    <w:rsid w:val="6BFB95C7"/>
    <w:rsid w:val="6C4DF485"/>
    <w:rsid w:val="6CDDD465"/>
    <w:rsid w:val="6D2F2D8A"/>
    <w:rsid w:val="6DEA7652"/>
    <w:rsid w:val="6EFFE36A"/>
    <w:rsid w:val="6F3FA30F"/>
    <w:rsid w:val="6F4730CA"/>
    <w:rsid w:val="6F7B1314"/>
    <w:rsid w:val="6FE77E31"/>
    <w:rsid w:val="6FFBE98F"/>
    <w:rsid w:val="6FFD7105"/>
    <w:rsid w:val="6FFEBF98"/>
    <w:rsid w:val="6FFEE0DD"/>
    <w:rsid w:val="6FFF320A"/>
    <w:rsid w:val="707305B0"/>
    <w:rsid w:val="71FFB5C4"/>
    <w:rsid w:val="7277390D"/>
    <w:rsid w:val="74FFBD0E"/>
    <w:rsid w:val="75604CB2"/>
    <w:rsid w:val="757FCA4F"/>
    <w:rsid w:val="75FE6AB7"/>
    <w:rsid w:val="763E261D"/>
    <w:rsid w:val="76CF6EF7"/>
    <w:rsid w:val="777A7307"/>
    <w:rsid w:val="77997F7E"/>
    <w:rsid w:val="77F81629"/>
    <w:rsid w:val="77F951BC"/>
    <w:rsid w:val="78DF7F62"/>
    <w:rsid w:val="78EFF82D"/>
    <w:rsid w:val="794B59DE"/>
    <w:rsid w:val="798681FA"/>
    <w:rsid w:val="79E9D796"/>
    <w:rsid w:val="79FD126B"/>
    <w:rsid w:val="7ADEDFB9"/>
    <w:rsid w:val="7B9F3460"/>
    <w:rsid w:val="7BBF6316"/>
    <w:rsid w:val="7BCE4005"/>
    <w:rsid w:val="7BDF110C"/>
    <w:rsid w:val="7C6D1A74"/>
    <w:rsid w:val="7D6B42AB"/>
    <w:rsid w:val="7DBBA9B6"/>
    <w:rsid w:val="7DBE0983"/>
    <w:rsid w:val="7DCE4D44"/>
    <w:rsid w:val="7DF6402B"/>
    <w:rsid w:val="7DFC3890"/>
    <w:rsid w:val="7DFD7A7C"/>
    <w:rsid w:val="7E2D4A35"/>
    <w:rsid w:val="7E2F3C21"/>
    <w:rsid w:val="7E9BCDCB"/>
    <w:rsid w:val="7ECA01C4"/>
    <w:rsid w:val="7EFE3477"/>
    <w:rsid w:val="7EFF9C05"/>
    <w:rsid w:val="7F5E93DE"/>
    <w:rsid w:val="7F5EEBAB"/>
    <w:rsid w:val="7F9D9738"/>
    <w:rsid w:val="7F9EBF28"/>
    <w:rsid w:val="7FAE9AD6"/>
    <w:rsid w:val="7FAF192A"/>
    <w:rsid w:val="7FBB1936"/>
    <w:rsid w:val="7FC74771"/>
    <w:rsid w:val="7FD6530E"/>
    <w:rsid w:val="7FDC8E6F"/>
    <w:rsid w:val="7FEF56A8"/>
    <w:rsid w:val="7FEF9C3E"/>
    <w:rsid w:val="7FFB75CB"/>
    <w:rsid w:val="7FFBB12F"/>
    <w:rsid w:val="7FFC0E04"/>
    <w:rsid w:val="7FFD5912"/>
    <w:rsid w:val="99D3D32D"/>
    <w:rsid w:val="9DF784D2"/>
    <w:rsid w:val="9FBE5C07"/>
    <w:rsid w:val="B2FFE965"/>
    <w:rsid w:val="B4EFE594"/>
    <w:rsid w:val="B6BC5340"/>
    <w:rsid w:val="B7F6E92B"/>
    <w:rsid w:val="B7FAD88B"/>
    <w:rsid w:val="B7FE56E1"/>
    <w:rsid w:val="B9AF4649"/>
    <w:rsid w:val="BBFD925F"/>
    <w:rsid w:val="BDBFD813"/>
    <w:rsid w:val="BDEE8CF4"/>
    <w:rsid w:val="BF5FF03B"/>
    <w:rsid w:val="BFAF56D8"/>
    <w:rsid w:val="BFBD587C"/>
    <w:rsid w:val="BFDE96CD"/>
    <w:rsid w:val="BFF7C06E"/>
    <w:rsid w:val="BFFBD422"/>
    <w:rsid w:val="BFFF7A72"/>
    <w:rsid w:val="CAC7FA67"/>
    <w:rsid w:val="D278E336"/>
    <w:rsid w:val="D6444C46"/>
    <w:rsid w:val="DB79CDF1"/>
    <w:rsid w:val="DB7C2946"/>
    <w:rsid w:val="DBCAFB4E"/>
    <w:rsid w:val="DCDF661F"/>
    <w:rsid w:val="DDEFBF54"/>
    <w:rsid w:val="DF3F46E7"/>
    <w:rsid w:val="DF6FF51C"/>
    <w:rsid w:val="DF7D3D2A"/>
    <w:rsid w:val="DF9B73EE"/>
    <w:rsid w:val="DFFB7249"/>
    <w:rsid w:val="E33E2703"/>
    <w:rsid w:val="E36383EB"/>
    <w:rsid w:val="E77CCFDE"/>
    <w:rsid w:val="E8F6D4A1"/>
    <w:rsid w:val="E9DF656D"/>
    <w:rsid w:val="E9F6B872"/>
    <w:rsid w:val="EB7F1D44"/>
    <w:rsid w:val="EBBB2A12"/>
    <w:rsid w:val="EBDEF46B"/>
    <w:rsid w:val="EC9F7DA2"/>
    <w:rsid w:val="ECFD801B"/>
    <w:rsid w:val="EE415C5E"/>
    <w:rsid w:val="EF2B4178"/>
    <w:rsid w:val="EF3F0F48"/>
    <w:rsid w:val="EFAACFD9"/>
    <w:rsid w:val="EFF79136"/>
    <w:rsid w:val="EFF90FE1"/>
    <w:rsid w:val="EFFE6C2D"/>
    <w:rsid w:val="EFFF31AE"/>
    <w:rsid w:val="F31DBE63"/>
    <w:rsid w:val="F3BFE865"/>
    <w:rsid w:val="F3DBE944"/>
    <w:rsid w:val="F3FA95D7"/>
    <w:rsid w:val="F56B4E87"/>
    <w:rsid w:val="F5A90F45"/>
    <w:rsid w:val="F65F2126"/>
    <w:rsid w:val="F6DE049B"/>
    <w:rsid w:val="F7BB60E1"/>
    <w:rsid w:val="F7D7B569"/>
    <w:rsid w:val="F7F733BE"/>
    <w:rsid w:val="F7FE05F1"/>
    <w:rsid w:val="F7FFB230"/>
    <w:rsid w:val="F7FFC4D7"/>
    <w:rsid w:val="FA7E55F2"/>
    <w:rsid w:val="FA9FFAE3"/>
    <w:rsid w:val="FABFFE03"/>
    <w:rsid w:val="FBA6A61E"/>
    <w:rsid w:val="FBE7B3FD"/>
    <w:rsid w:val="FBFB10D9"/>
    <w:rsid w:val="FBFBF8C4"/>
    <w:rsid w:val="FBFC961F"/>
    <w:rsid w:val="FBFD22C0"/>
    <w:rsid w:val="FBFE9CAC"/>
    <w:rsid w:val="FCB62B40"/>
    <w:rsid w:val="FCD4CEA9"/>
    <w:rsid w:val="FCF512D4"/>
    <w:rsid w:val="FD317DA5"/>
    <w:rsid w:val="FDEF3899"/>
    <w:rsid w:val="FDF7D214"/>
    <w:rsid w:val="FDFB0821"/>
    <w:rsid w:val="FE33F49B"/>
    <w:rsid w:val="FEAFA091"/>
    <w:rsid w:val="FEB35070"/>
    <w:rsid w:val="FECC18AC"/>
    <w:rsid w:val="FEFB8381"/>
    <w:rsid w:val="FEFF1360"/>
    <w:rsid w:val="FF2CC0B9"/>
    <w:rsid w:val="FF36B93C"/>
    <w:rsid w:val="FF3F220E"/>
    <w:rsid w:val="FF5F385F"/>
    <w:rsid w:val="FF5FF941"/>
    <w:rsid w:val="FF7789FC"/>
    <w:rsid w:val="FF9FFE35"/>
    <w:rsid w:val="FFAB0611"/>
    <w:rsid w:val="FFB3099B"/>
    <w:rsid w:val="FFBF2839"/>
    <w:rsid w:val="FFBF9709"/>
    <w:rsid w:val="FFDFF897"/>
    <w:rsid w:val="FFEA281B"/>
    <w:rsid w:val="FFEF2E11"/>
    <w:rsid w:val="FFFD128E"/>
    <w:rsid w:val="FFFD96D4"/>
    <w:rsid w:val="FFFEF708"/>
    <w:rsid w:val="FFFF4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kern w:val="0"/>
      <w:sz w:val="20"/>
    </w:rPr>
  </w:style>
  <w:style w:type="paragraph" w:styleId="3">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6551</Words>
  <Characters>6739</Characters>
  <Lines>0</Lines>
  <Paragraphs>0</Paragraphs>
  <TotalTime>71</TotalTime>
  <ScaleCrop>false</ScaleCrop>
  <LinksUpToDate>false</LinksUpToDate>
  <CharactersWithSpaces>6878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Administrator</cp:lastModifiedBy>
  <cp:lastPrinted>2023-05-05T01:42:00Z</cp:lastPrinted>
  <dcterms:modified xsi:type="dcterms:W3CDTF">2023-05-23T02:48:25Z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B85BB571CF4B4DD8BF16D362156CAC7A_13</vt:lpwstr>
  </property>
</Properties>
</file>