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南阳市政府出资引进建设的新型研发机构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/>
        </w:rPr>
        <w:t>考核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指标体系</w:t>
      </w:r>
    </w:p>
    <w:tbl>
      <w:tblPr>
        <w:tblStyle w:val="11"/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50"/>
        <w:gridCol w:w="2145"/>
        <w:gridCol w:w="706"/>
        <w:gridCol w:w="4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1.体制机制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1.1清晰的战略设计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1.1.1 清晰的发展战略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1.1.2 明确的研发方向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1.2新型的运营机制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1.2.1 现代化管理制度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1.2.2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市场化分配激励机制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1.2.3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灵活的用人机制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2.人才团队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2.1研发人员规模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2.1.1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研发人员总数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2.1.2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研发人员占机构总人数的比重（%）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2.1.3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兼职研发人员数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2.1.4 硕士学历或副高职称以上研发人员占全部研发人员比重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2.2 成果转化人员规模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2.2.1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经理人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2.3 高端人才和创新团队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2.3.1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引进市级以上创新团队数量（个）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2.3.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高层次人才创新创业情况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3.创新能力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3.1研发投入水平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3.1.1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研发经费支出总额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3.1.2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研发经费支出占总收入的比重（%）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3.1.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 列入固定资产的研究开发仪器设备数量及原值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3.2研发项目能力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3.2.1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承担（参与）财政科技计划项目数（项）及经费总额（万元）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3.2.2承担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企业委托研发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项目数（项）及经费总额（万元）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3.3研发产出水平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3.3.1发明专利拥有量（申请量、授权量）（件）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3.3.2牵头或参与制定标准数量（个）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3.3.3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登记科技成果数量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4.创新效益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经济技术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4.1.1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机构总收入（万元）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4.1.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促成技术交易项目数（项）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、技术合同登记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4.1.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技术性收入占总收入的比重（%）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4.2创业孵化效益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4.2.1引入或设立投融资机构（基金）数及年投资服务创办孵化企业数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4.2.2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创办孵化企业数量（家）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4.2.3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创办孵化企业营业收入（万元）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4.3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效益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4.3.1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服务企业数量（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4.3.2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带动区域创新创业情况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4.3.3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对区域产业发展的促进作用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5.开放协同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5.1协同发展能力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5.1.1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5.1.2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与研发机构、专业服务机构合作情况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5.1.3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与地方产业集群互动情况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5.2 知名度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5.2.1 区域或行业的认知度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5.2.2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举办（参与）重大创新活动情况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5.2.3 总结推广经验做法情况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加分项指标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获得国家级、省部级以上科技奖励数量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国家级、省级创新平台数量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立或获得各种产业投资资（基）金规模</w:t>
            </w: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24"/>
        </w:rPr>
      </w:pPr>
      <w:r>
        <w:rPr>
          <w:rFonts w:ascii="Times New Roman" w:hAnsi="Times New Roman" w:eastAsia="仿宋_GB2312"/>
          <w:b/>
          <w:sz w:val="24"/>
        </w:rPr>
        <w:t>注</w:t>
      </w:r>
      <w:r>
        <w:rPr>
          <w:rFonts w:ascii="Times New Roman" w:hAnsi="Times New Roman" w:eastAsia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1.本</w:t>
      </w:r>
      <w:r>
        <w:rPr>
          <w:rFonts w:ascii="仿宋_GB2312" w:hAnsi="仿宋_GB2312" w:eastAsia="仿宋_GB2312" w:cs="仿宋_GB2312"/>
          <w:sz w:val="24"/>
          <w:lang w:val="en"/>
        </w:rPr>
        <w:t>考核</w:t>
      </w:r>
      <w:r>
        <w:rPr>
          <w:rFonts w:hint="eastAsia" w:ascii="仿宋_GB2312" w:hAnsi="仿宋_GB2312" w:eastAsia="仿宋_GB2312" w:cs="仿宋_GB2312"/>
          <w:sz w:val="24"/>
        </w:rPr>
        <w:t>指标体系适用南阳市政府出资引进建设的新型研发机构绩效考核；</w:t>
      </w:r>
    </w:p>
    <w:p>
      <w:pPr>
        <w:pStyle w:val="2"/>
        <w:spacing w:line="600" w:lineRule="exact"/>
        <w:ind w:firstLine="48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hAnsi="仿宋_GB2312" w:cs="仿宋_GB2312"/>
          <w:szCs w:val="24"/>
        </w:rPr>
        <w:t>2.本</w:t>
      </w:r>
      <w:r>
        <w:rPr>
          <w:rFonts w:hAnsi="仿宋_GB2312" w:cs="仿宋_GB2312"/>
          <w:szCs w:val="24"/>
          <w:lang w:val="en"/>
        </w:rPr>
        <w:t>考核</w:t>
      </w:r>
      <w:r>
        <w:rPr>
          <w:rFonts w:hint="eastAsia" w:hAnsi="仿宋_GB2312" w:cs="仿宋_GB2312"/>
          <w:szCs w:val="24"/>
        </w:rPr>
        <w:t>指标体系根据国家有关政策及实施情况可适当进行调整。</w:t>
      </w: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1760" w:firstLineChars="400"/>
        <w:rPr>
          <w:rFonts w:ascii="文星书宋" w:hAnsi="文星书宋" w:eastAsia="文星标宋"/>
          <w:sz w:val="44"/>
          <w:szCs w:val="44"/>
        </w:rPr>
      </w:pPr>
    </w:p>
    <w:p/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191" w:right="1520" w:bottom="1191" w:left="1576" w:header="680" w:footer="62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CD247BA-B7F7-4CBB-948A-1A4F49DD823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7CAB552-70FB-4460-9477-E264FB98B9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793DB7D-73CA-420B-8AA7-3F4D6AE0AEAD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文星书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  <w:embedRegular r:id="rId4" w:fontKey="{8AC6574C-6D13-4990-9CF9-7376EBBB5376}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  <w:embedRegular r:id="rId5" w:fontKey="{987EF02F-4BF9-46EC-B91C-9744647D9CCA}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Nimbus Roman No9 L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156370814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U4OTEyYzlmNDMzYTA1MzgwY2E3N2U1ZTk5YzMifQ=="/>
  </w:docVars>
  <w:rsids>
    <w:rsidRoot w:val="7DF946A8"/>
    <w:rsid w:val="000942FE"/>
    <w:rsid w:val="001A5FB3"/>
    <w:rsid w:val="003B6A0E"/>
    <w:rsid w:val="004F6341"/>
    <w:rsid w:val="0068599D"/>
    <w:rsid w:val="00945C6E"/>
    <w:rsid w:val="00A1072F"/>
    <w:rsid w:val="00E40F0B"/>
    <w:rsid w:val="01EE7C08"/>
    <w:rsid w:val="04475979"/>
    <w:rsid w:val="04C50FCA"/>
    <w:rsid w:val="0B0D62D3"/>
    <w:rsid w:val="0BEB340A"/>
    <w:rsid w:val="0CA8316B"/>
    <w:rsid w:val="0E455054"/>
    <w:rsid w:val="0EF47FB4"/>
    <w:rsid w:val="0F136F00"/>
    <w:rsid w:val="106F460A"/>
    <w:rsid w:val="141D437D"/>
    <w:rsid w:val="15D13671"/>
    <w:rsid w:val="18DF264F"/>
    <w:rsid w:val="19241D0A"/>
    <w:rsid w:val="1AA40F04"/>
    <w:rsid w:val="1B3A6A78"/>
    <w:rsid w:val="1DAF5E4A"/>
    <w:rsid w:val="1E077D20"/>
    <w:rsid w:val="1E595D30"/>
    <w:rsid w:val="1F643BD2"/>
    <w:rsid w:val="217575A6"/>
    <w:rsid w:val="2177223F"/>
    <w:rsid w:val="21ED538F"/>
    <w:rsid w:val="22C95DFC"/>
    <w:rsid w:val="22DD6585"/>
    <w:rsid w:val="22F64717"/>
    <w:rsid w:val="232D505F"/>
    <w:rsid w:val="23C1633C"/>
    <w:rsid w:val="24264B88"/>
    <w:rsid w:val="243A7391"/>
    <w:rsid w:val="25B74631"/>
    <w:rsid w:val="264448C5"/>
    <w:rsid w:val="271B474C"/>
    <w:rsid w:val="29272709"/>
    <w:rsid w:val="2CE25B5F"/>
    <w:rsid w:val="2CFE2270"/>
    <w:rsid w:val="2E68188E"/>
    <w:rsid w:val="2F43701A"/>
    <w:rsid w:val="2F4F4A49"/>
    <w:rsid w:val="30706FBF"/>
    <w:rsid w:val="319000B5"/>
    <w:rsid w:val="33D75E9F"/>
    <w:rsid w:val="34FE67C6"/>
    <w:rsid w:val="35F271AB"/>
    <w:rsid w:val="362C0724"/>
    <w:rsid w:val="369D19AA"/>
    <w:rsid w:val="37FD22D4"/>
    <w:rsid w:val="38246D60"/>
    <w:rsid w:val="38547ABE"/>
    <w:rsid w:val="38EE287F"/>
    <w:rsid w:val="3A086DB2"/>
    <w:rsid w:val="3B1127D3"/>
    <w:rsid w:val="3B113975"/>
    <w:rsid w:val="3C5B5639"/>
    <w:rsid w:val="3CB843CC"/>
    <w:rsid w:val="3D98044D"/>
    <w:rsid w:val="3DC471DC"/>
    <w:rsid w:val="3E524A9F"/>
    <w:rsid w:val="40151FE5"/>
    <w:rsid w:val="403C77B4"/>
    <w:rsid w:val="40FC6F44"/>
    <w:rsid w:val="41652D3C"/>
    <w:rsid w:val="42B775C7"/>
    <w:rsid w:val="44045C2C"/>
    <w:rsid w:val="47C92E12"/>
    <w:rsid w:val="49033566"/>
    <w:rsid w:val="492B486B"/>
    <w:rsid w:val="4970227E"/>
    <w:rsid w:val="497A4588"/>
    <w:rsid w:val="4BA64925"/>
    <w:rsid w:val="4E3F684E"/>
    <w:rsid w:val="4E574BEA"/>
    <w:rsid w:val="500951DA"/>
    <w:rsid w:val="5189542A"/>
    <w:rsid w:val="51F31C9E"/>
    <w:rsid w:val="53033302"/>
    <w:rsid w:val="53C928CB"/>
    <w:rsid w:val="54196176"/>
    <w:rsid w:val="54877ACD"/>
    <w:rsid w:val="55DA0974"/>
    <w:rsid w:val="5C2D75EE"/>
    <w:rsid w:val="5C3C5B8E"/>
    <w:rsid w:val="5CAD02D1"/>
    <w:rsid w:val="5D111454"/>
    <w:rsid w:val="5D2B35FF"/>
    <w:rsid w:val="5FDC1FC3"/>
    <w:rsid w:val="607B6190"/>
    <w:rsid w:val="61DF5A54"/>
    <w:rsid w:val="62F022F5"/>
    <w:rsid w:val="634934E0"/>
    <w:rsid w:val="636429FB"/>
    <w:rsid w:val="64616A2F"/>
    <w:rsid w:val="65CB4FB4"/>
    <w:rsid w:val="66C57C55"/>
    <w:rsid w:val="68FE11FC"/>
    <w:rsid w:val="691F6B1D"/>
    <w:rsid w:val="694A61EF"/>
    <w:rsid w:val="699F5261"/>
    <w:rsid w:val="6A16143E"/>
    <w:rsid w:val="6A1832EE"/>
    <w:rsid w:val="6A766435"/>
    <w:rsid w:val="6B735CE0"/>
    <w:rsid w:val="6B9901E8"/>
    <w:rsid w:val="6BFF253B"/>
    <w:rsid w:val="6C071FC9"/>
    <w:rsid w:val="6C361E37"/>
    <w:rsid w:val="6CE0504D"/>
    <w:rsid w:val="6D9013CB"/>
    <w:rsid w:val="6E014265"/>
    <w:rsid w:val="6E684A4C"/>
    <w:rsid w:val="6EC72090"/>
    <w:rsid w:val="6F25483F"/>
    <w:rsid w:val="73B03C46"/>
    <w:rsid w:val="74A27EB2"/>
    <w:rsid w:val="760B6D06"/>
    <w:rsid w:val="767479F9"/>
    <w:rsid w:val="76B038FC"/>
    <w:rsid w:val="77AE3DED"/>
    <w:rsid w:val="7A602AD9"/>
    <w:rsid w:val="7A7F8D3F"/>
    <w:rsid w:val="7AD42CF6"/>
    <w:rsid w:val="7AE7015F"/>
    <w:rsid w:val="7B2014A6"/>
    <w:rsid w:val="7C06244A"/>
    <w:rsid w:val="7C482A62"/>
    <w:rsid w:val="7CC05352"/>
    <w:rsid w:val="7D0D3B6E"/>
    <w:rsid w:val="7D472D1A"/>
    <w:rsid w:val="7DF946A8"/>
    <w:rsid w:val="7E3FCA4C"/>
    <w:rsid w:val="7E863894"/>
    <w:rsid w:val="7F316340"/>
    <w:rsid w:val="7FA10757"/>
    <w:rsid w:val="7FBF60A2"/>
    <w:rsid w:val="7FFF3CDA"/>
    <w:rsid w:val="BFBB2D1B"/>
    <w:rsid w:val="FDB9F620"/>
    <w:rsid w:val="FE3F273C"/>
    <w:rsid w:val="FF46DB90"/>
    <w:rsid w:val="FFF6A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9"/>
    <w:link w:val="5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3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8485</Words>
  <Characters>8727</Characters>
  <Lines>67</Lines>
  <Paragraphs>18</Paragraphs>
  <ScaleCrop>false</ScaleCrop>
  <LinksUpToDate>false</LinksUpToDate>
  <CharactersWithSpaces>8972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2023-05-29T21:07:00Z</dcterms:created>
  <dc:creator>丁</dc:creator>
  <cp:lastModifiedBy>Administrator</cp:lastModifiedBy>
  <cp:lastPrinted>2023-08-22T07:47:00Z</cp:lastPrinted>
  <dcterms:modified xsi:type="dcterms:W3CDTF">2023-09-19T04:18:52Z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  <property fmtid="{D5CDD505-2E9C-101B-9397-08002B2CF9AE}" pid="3" name="ICV">
    <vt:lpwstr>52598E1861384FD4B9C3C3532BE5E5AA_13</vt:lpwstr>
  </property>
</Properties>
</file>