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年政府信息公开工作年度报告</w:t>
      </w:r>
    </w:p>
    <w:bookmarkEnd w:id="0"/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根据《中华人民共和国政府信息公开条例》有关规定，现公布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南阳市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审计局202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年信息公开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工作年度报告。202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年以来，南阳市审计局深入贯彻《中华人民共和国政府信息公开条例》；《国务院办公厅政府信息与政务公开办公室关于政府信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息公开工作年度报告有关事项的通知》。认真落实好《南阳市202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年政务公开工作要点》有关要求，依法依规办理政府信息公开工作，及时准确主动公开信息。坚持“以公开为常态，不公开为例外”，及时、高效、全面地公开政务信息，进一步提高政务公开工作质量和实效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南阳市审计局高度重视政府信息公开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本年度通过局门户网站主动公开信息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639条，其中审计动态类信息589条、公示公告40条，政策类信息10条。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依申请公开情况。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本年度共接收依申请公开信息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件，已按要求及时办结。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政务公开办要求，结合我单位实际，完善信息公开各项管理制度，安排专人负责政府信息公开工作，严格落实三审三校制度，依托南阳市政府网站监测平台，加强信息发布的审核管理，确保政府信息公开工作有序开展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安排专人与第三方运营人员对接，加强局门户网站信息公开平台建设管理，按照需求及时更新所设栏目内容，支持关键词智能搜索，不断提升信息公开质量和网站服务水平。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监督保障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情况。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真落实各项信息安全管理制度，组织相关科室参加线上网络安全培训，依托市政府网站监测平台，落实常态化监管制度，确保公开信息的准确性。将政府信息公开工作纳入年度责任目标，按照《南阳市审计局党务政务公开工作检查和监督考核评估暂行办法》对局机关各科室政府信息公开工作进行考核，列入年底评先的条件，推动局属部门(单位)有效落实政府信息公开要求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10"/>
        <w:tblW w:w="8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111"/>
        <w:gridCol w:w="2111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收到和处理政府信息公开申请情况</w:t>
      </w:r>
    </w:p>
    <w:tbl>
      <w:tblPr>
        <w:tblStyle w:val="10"/>
        <w:tblW w:w="8453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921"/>
        <w:gridCol w:w="2530"/>
        <w:gridCol w:w="604"/>
        <w:gridCol w:w="604"/>
        <w:gridCol w:w="604"/>
        <w:gridCol w:w="604"/>
        <w:gridCol w:w="604"/>
        <w:gridCol w:w="63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7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5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10"/>
        <w:tblW w:w="8448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96"/>
        <w:gridCol w:w="555"/>
        <w:gridCol w:w="555"/>
        <w:gridCol w:w="555"/>
        <w:gridCol w:w="555"/>
        <w:gridCol w:w="596"/>
        <w:gridCol w:w="555"/>
        <w:gridCol w:w="555"/>
        <w:gridCol w:w="555"/>
        <w:gridCol w:w="555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32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16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16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022年，我局在推进政务公开工作方面取得了一定的成效，但仍存在一些不足，一是重点领域信息公开内容不够全面，信息量不多。二是公开的形式还不够丰富，创新性有欠缺。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560" w:firstLineChars="200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202</w:t>
      </w:r>
      <w:r>
        <w:rPr>
          <w:rFonts w:hint="default" w:asciiTheme="minorEastAsia" w:hAnsiTheme="minorEastAsia" w:cstheme="minorEastAsia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年我局将进一步加强政府信息公开工作：一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是进一步充实重点领域公开内容，及时公开审计重点工作开展情况，公开内容做到真实、具体、全面。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二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是进一步增强政策解读的丰富性和可读性，用深入浅出、通俗易懂的语言，采取图片图表、视频等多种方式进行立体式、多方位解读，让解读信息更可视、可读、可感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。三是积极参加培训、座谈等活动，学习其他部门经验做法；对照全国政务公开第三方评估涉及我市存在问题，举一反三，确保公开信息准确、规范、全面。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收取信息费用情况。依据《国务院办公厅关于&lt;印发政府信息公开信息处理费管理办法&gt;的通知》，审计局提供依申请公开的政府信息不收取费用。2022年度我局信息公开事项未收取信息费用。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DC6C"/>
    <w:multiLevelType w:val="singleLevel"/>
    <w:tmpl w:val="57F1DC6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D97596"/>
    <w:multiLevelType w:val="singleLevel"/>
    <w:tmpl w:val="64D9759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zU0ZDYzNzFkNmZiNmI4YTZlYTdlZTk2MDQ3OTgifQ=="/>
  </w:docVars>
  <w:rsids>
    <w:rsidRoot w:val="00000000"/>
    <w:rsid w:val="00774AB7"/>
    <w:rsid w:val="0494572C"/>
    <w:rsid w:val="04E80917"/>
    <w:rsid w:val="14D9136F"/>
    <w:rsid w:val="17C13957"/>
    <w:rsid w:val="193A131F"/>
    <w:rsid w:val="195B0B96"/>
    <w:rsid w:val="1D2F2BB9"/>
    <w:rsid w:val="2217240B"/>
    <w:rsid w:val="24E5167F"/>
    <w:rsid w:val="25B87D7D"/>
    <w:rsid w:val="26676E71"/>
    <w:rsid w:val="2E530C6F"/>
    <w:rsid w:val="31A379B8"/>
    <w:rsid w:val="35C35207"/>
    <w:rsid w:val="374512DB"/>
    <w:rsid w:val="398C5ECB"/>
    <w:rsid w:val="3AEFF1EC"/>
    <w:rsid w:val="3D367E3E"/>
    <w:rsid w:val="3E570BF5"/>
    <w:rsid w:val="42BC0541"/>
    <w:rsid w:val="4C63564A"/>
    <w:rsid w:val="4F5A7138"/>
    <w:rsid w:val="5A8309B3"/>
    <w:rsid w:val="5F7C244B"/>
    <w:rsid w:val="5FDF27D2"/>
    <w:rsid w:val="62C210C8"/>
    <w:rsid w:val="649774F9"/>
    <w:rsid w:val="6DDEF810"/>
    <w:rsid w:val="71EF3E0D"/>
    <w:rsid w:val="72705062"/>
    <w:rsid w:val="7AFB8153"/>
    <w:rsid w:val="7DF70FC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Variable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paragraph" w:customStyle="1" w:styleId="11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2059</Words>
  <Characters>2099</Characters>
  <Lines>0</Lines>
  <Paragraphs>0</Paragraphs>
  <ScaleCrop>false</ScaleCrop>
  <LinksUpToDate>false</LinksUpToDate>
  <CharactersWithSpaces>2148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办公室</cp:lastModifiedBy>
  <dcterms:modified xsi:type="dcterms:W3CDTF">2023-08-17T02:07:29Z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  <property fmtid="{D5CDD505-2E9C-101B-9397-08002B2CF9AE}" pid="3" name="ICV">
    <vt:lpwstr>BB1431865C7148B0ADB09E1848762262</vt:lpwstr>
  </property>
</Properties>
</file>