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left="0" w:firstLine="0"/>
        <w:rPr>
          <w:rFonts w:ascii="仿宋_GB2312" w:hAnsi="仿宋_GB2312" w:eastAsia="仿宋_GB2312" w:cs="仿宋_GB2312"/>
        </w:rPr>
      </w:pPr>
      <w:bookmarkStart w:id="0" w:name="_GoBack"/>
      <w:bookmarkEnd w:id="0"/>
    </w:p>
    <w:p>
      <w:pPr>
        <w:pStyle w:val="3"/>
        <w:tabs>
          <w:tab w:val="left" w:pos="1291"/>
        </w:tabs>
        <w:spacing w:line="600" w:lineRule="exact"/>
        <w:ind w:left="0" w:firstLine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eastAsia="黑体"/>
        </w:rPr>
        <w:t xml:space="preserve">   附</w:t>
      </w:r>
      <w:r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  <w:pict>
          <v:shape id="_x0000_s1031" o:spid="_x0000_s1031" o:spt="100" style="position:absolute;left:0pt;margin-left:474.95pt;margin-top:85.75pt;height:276.9pt;width:71pt;mso-position-horizontal-relative:page;z-index:-251653120;mso-width-relative:page;mso-height-relative:page;" fillcolor="#FFFFFF" filled="t" o:preferrelative="t" stroked="f" coordorigin="9499,1715" coordsize="-17578,2108" adj="" path="m10919,4159l9499,4159,9499,7253,10919,7253,10919,4159xm10919,1715l9499,1715,9499,4154,10919,4154,10919,1715xe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hint="eastAsia" w:ascii="黑体" w:eastAsia="黑体"/>
        </w:rPr>
        <w:t>件：</w:t>
      </w:r>
    </w:p>
    <w:p>
      <w:pPr>
        <w:pStyle w:val="3"/>
        <w:tabs>
          <w:tab w:val="left" w:pos="1291"/>
        </w:tabs>
        <w:spacing w:line="600" w:lineRule="exact"/>
        <w:ind w:lef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食品安全事件分级、响应标准</w:t>
      </w:r>
    </w:p>
    <w:tbl>
      <w:tblPr>
        <w:tblStyle w:val="8"/>
        <w:tblpPr w:leftFromText="180" w:rightFromText="180" w:vertAnchor="text" w:horzAnchor="page" w:tblpXSpec="center" w:tblpY="55"/>
        <w:tblOverlap w:val="never"/>
        <w:tblW w:w="90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7014"/>
        <w:gridCol w:w="1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6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hint="eastAsia"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事件</w:t>
            </w:r>
          </w:p>
          <w:p>
            <w:pPr>
              <w:pStyle w:val="13"/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分级</w:t>
            </w:r>
          </w:p>
        </w:tc>
        <w:tc>
          <w:tcPr>
            <w:tcW w:w="7014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评估指标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响应级别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68" w:type="dxa"/>
            <w:tcBorders>
              <w:bottom w:val="nil"/>
            </w:tcBorders>
            <w:vAlign w:val="center"/>
          </w:tcPr>
          <w:p>
            <w:pPr>
              <w:pStyle w:val="13"/>
              <w:snapToGrid w:val="0"/>
              <w:spacing w:line="0" w:lineRule="atLeas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7014" w:type="dxa"/>
            <w:tcBorders>
              <w:bottom w:val="nil"/>
            </w:tcBorders>
            <w:vAlign w:val="center"/>
          </w:tcPr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pacing w:val="-19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</w:rPr>
              <w:t>（1）受污染食品流入2个以上省份或国（境）外（含港澳台</w:t>
            </w:r>
          </w:p>
        </w:tc>
        <w:tc>
          <w:tcPr>
            <w:tcW w:w="1303" w:type="dxa"/>
            <w:tcBorders>
              <w:bottom w:val="nil"/>
            </w:tcBorders>
            <w:vAlign w:val="center"/>
          </w:tcPr>
          <w:p>
            <w:pPr>
              <w:pStyle w:val="13"/>
              <w:snapToGrid w:val="0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768" w:type="dxa"/>
            <w:tcBorders>
              <w:top w:val="nil"/>
              <w:bottom w:val="nil"/>
            </w:tcBorders>
            <w:vAlign w:val="center"/>
          </w:tcPr>
          <w:p>
            <w:pPr>
              <w:pStyle w:val="13"/>
              <w:snapToGrid w:val="0"/>
              <w:spacing w:line="0" w:lineRule="atLeast"/>
              <w:jc w:val="center"/>
              <w:rPr>
                <w:rFonts w:hint="eastAsia"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特别</w:t>
            </w:r>
          </w:p>
          <w:p>
            <w:pPr>
              <w:pStyle w:val="13"/>
              <w:snapToGrid w:val="0"/>
              <w:spacing w:line="0" w:lineRule="atLeast"/>
              <w:jc w:val="center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重大</w:t>
            </w:r>
          </w:p>
        </w:tc>
        <w:tc>
          <w:tcPr>
            <w:tcW w:w="7014" w:type="dxa"/>
            <w:tcBorders>
              <w:top w:val="nil"/>
              <w:bottom w:val="nil"/>
            </w:tcBorders>
            <w:vAlign w:val="center"/>
          </w:tcPr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pacing w:val="-19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</w:rPr>
              <w:t>地区），造成特别严重健康损害后果的；或经评估认为事件危害特别严重的；</w:t>
            </w:r>
          </w:p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pacing w:val="-19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</w:rPr>
              <w:t>（2）1起食品安全事件出现30人以上死亡的；</w:t>
            </w:r>
          </w:p>
        </w:tc>
        <w:tc>
          <w:tcPr>
            <w:tcW w:w="1303" w:type="dxa"/>
            <w:tcBorders>
              <w:top w:val="nil"/>
              <w:bottom w:val="nil"/>
            </w:tcBorders>
            <w:vAlign w:val="center"/>
          </w:tcPr>
          <w:p>
            <w:pPr>
              <w:pStyle w:val="13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33"/>
              </w:rPr>
            </w:pPr>
          </w:p>
          <w:p>
            <w:pPr>
              <w:pStyle w:val="13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一级响应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68" w:type="dxa"/>
            <w:tcBorders>
              <w:top w:val="nil"/>
            </w:tcBorders>
            <w:vAlign w:val="center"/>
          </w:tcPr>
          <w:p>
            <w:pPr>
              <w:pStyle w:val="13"/>
              <w:snapToGrid w:val="0"/>
              <w:spacing w:line="0" w:lineRule="atLeast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7014" w:type="dxa"/>
            <w:tcBorders>
              <w:top w:val="nil"/>
            </w:tcBorders>
            <w:vAlign w:val="center"/>
          </w:tcPr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pacing w:val="-19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</w:rPr>
              <w:t>（3）党中央、国务院认定的其他特别重大级别食品安全事件。</w:t>
            </w:r>
          </w:p>
        </w:tc>
        <w:tc>
          <w:tcPr>
            <w:tcW w:w="1303" w:type="dxa"/>
            <w:tcBorders>
              <w:top w:val="nil"/>
            </w:tcBorders>
            <w:vAlign w:val="center"/>
          </w:tcPr>
          <w:p>
            <w:pPr>
              <w:pStyle w:val="13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4" w:hRule="atLeast"/>
        </w:trPr>
        <w:tc>
          <w:tcPr>
            <w:tcW w:w="76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重大</w:t>
            </w:r>
          </w:p>
        </w:tc>
        <w:tc>
          <w:tcPr>
            <w:tcW w:w="7014" w:type="dxa"/>
            <w:vAlign w:val="center"/>
          </w:tcPr>
          <w:p>
            <w:pPr>
              <w:pStyle w:val="13"/>
              <w:tabs>
                <w:tab w:val="left" w:pos="809"/>
              </w:tabs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</w:rPr>
              <w:t>（1）受污染食品流入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2个以上地市，造成或经评估认为可能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</w:rPr>
              <w:t>造成对社会公众健康产生严重损害的食品安全事件；</w:t>
            </w:r>
          </w:p>
          <w:p>
            <w:pPr>
              <w:pStyle w:val="13"/>
              <w:tabs>
                <w:tab w:val="left" w:pos="809"/>
              </w:tabs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</w:rPr>
              <w:t>（2）发现在我国首次出现的新的污染物引起的食品安全事件，造成严重健康损害后果，并有扩散趋势的；</w:t>
            </w:r>
          </w:p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（3）1起食品安全事件涉及人数在100人以上并出现死亡病例；或出现10人以上、29人以下死亡的；</w:t>
            </w:r>
          </w:p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（4）省级党委、政府认定的其他重大级别食品安全事件。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二级响应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77" w:hRule="atLeast"/>
        </w:trPr>
        <w:tc>
          <w:tcPr>
            <w:tcW w:w="76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较大</w:t>
            </w:r>
          </w:p>
        </w:tc>
        <w:tc>
          <w:tcPr>
            <w:tcW w:w="7014" w:type="dxa"/>
            <w:vAlign w:val="center"/>
          </w:tcPr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</w:rPr>
              <w:t>受污染食品流入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</w:rPr>
              <w:t>个以上县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pacing w:val="-89"/>
                <w:sz w:val="28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12"/>
                <w:sz w:val="28"/>
              </w:rPr>
              <w:t>，已造成严重健康损害</w:t>
            </w:r>
            <w:r>
              <w:rPr>
                <w:rFonts w:hint="eastAsia" w:ascii="仿宋_GB2312" w:hAnsi="仿宋_GB2312" w:eastAsia="仿宋_GB2312" w:cs="仿宋_GB2312"/>
                <w:spacing w:val="-5"/>
                <w:sz w:val="28"/>
              </w:rPr>
              <w:t>后果的；</w:t>
            </w:r>
          </w:p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</w:rPr>
              <w:t>（2）1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</w:rPr>
              <w:t>起食品安全事件涉及人数在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100人以上；或出现死亡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</w:rPr>
              <w:t>病例的；</w:t>
            </w:r>
          </w:p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（3）市级党委、政府认定的其他较大级别食品安全事件。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三级响应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25" w:hRule="atLeast"/>
        </w:trPr>
        <w:tc>
          <w:tcPr>
            <w:tcW w:w="768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ascii="楷体" w:eastAsia="楷体"/>
                <w:sz w:val="28"/>
              </w:rPr>
            </w:pPr>
            <w:r>
              <w:rPr>
                <w:rFonts w:hint="eastAsia" w:ascii="楷体" w:eastAsia="楷体"/>
                <w:sz w:val="28"/>
              </w:rPr>
              <w:t>一般</w:t>
            </w:r>
          </w:p>
        </w:tc>
        <w:tc>
          <w:tcPr>
            <w:tcW w:w="7014" w:type="dxa"/>
            <w:vAlign w:val="center"/>
          </w:tcPr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8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</w:rPr>
              <w:t>存在健康损害的污染食品，已造成严重健康损害后果的；</w:t>
            </w:r>
          </w:p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</w:rPr>
              <w:t>（2）1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</w:rPr>
              <w:t>起食品安全事件涉及人数在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</w:rPr>
              <w:t>人以上、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99</w:t>
            </w:r>
            <w:r>
              <w:rPr>
                <w:rFonts w:hint="eastAsia" w:ascii="仿宋_GB2312" w:hAnsi="仿宋_GB2312" w:eastAsia="仿宋_GB2312" w:cs="仿宋_GB2312"/>
                <w:spacing w:val="-9"/>
                <w:sz w:val="28"/>
              </w:rPr>
              <w:t>人以下，且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</w:rPr>
              <w:t>未出现死亡病例的；</w:t>
            </w:r>
          </w:p>
          <w:p>
            <w:pPr>
              <w:pStyle w:val="13"/>
              <w:spacing w:line="0" w:lineRule="atLeast"/>
              <w:jc w:val="both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（3）县级党委、政府认定的其他一般级别食品安全事件。</w:t>
            </w:r>
          </w:p>
        </w:tc>
        <w:tc>
          <w:tcPr>
            <w:tcW w:w="1303" w:type="dxa"/>
            <w:vAlign w:val="center"/>
          </w:tcPr>
          <w:p>
            <w:pPr>
              <w:pStyle w:val="13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四级响应</w:t>
            </w:r>
          </w:p>
        </w:tc>
      </w:tr>
    </w:tbl>
    <w:p>
      <w:pPr>
        <w:spacing w:line="600" w:lineRule="exact"/>
        <w:rPr>
          <w:rFonts w:ascii="仿宋" w:hAnsi="仿宋" w:eastAsia="仿宋"/>
          <w:snapToGrid w:val="0"/>
          <w:spacing w:val="0"/>
          <w:kern w:val="0"/>
          <w:sz w:val="28"/>
          <w:szCs w:val="28"/>
        </w:rPr>
      </w:pPr>
      <w:r>
        <w:rPr>
          <w:rFonts w:ascii="仿宋" w:hAnsi="仿宋" w:eastAsia="仿宋" w:cs="黑体"/>
          <w:snapToGrid w:val="0"/>
          <w:spacing w:val="0"/>
          <w:kern w:val="0"/>
          <w:sz w:val="28"/>
          <w:szCs w:val="28"/>
          <w:lang w:val="en-US" w:eastAsia="zh-CN" w:bidi="ar-SA"/>
        </w:rPr>
        <w:pict>
          <v:rect id="_x0000_s1027" o:spid="_x0000_s1027" o:spt="1" style="position:absolute;left:0pt;margin-left:474.95pt;margin-top:-107.05pt;height:99.7pt;width:71pt;mso-position-horizontal-relative:page;z-index:-25165721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ascii="仿宋" w:hAnsi="仿宋" w:eastAsia="仿宋"/>
          <w:snapToGrid w:val="0"/>
          <w:spacing w:val="0"/>
          <w:kern w:val="0"/>
          <w:sz w:val="28"/>
          <w:szCs w:val="28"/>
        </w:rPr>
        <w:t>注：“以上”、“以下”均含本数。</w:t>
      </w:r>
    </w:p>
    <w:p>
      <w:pPr>
        <w:widowControl w:val="0"/>
        <w:wordWrap/>
        <w:adjustRightInd/>
        <w:snapToGrid w:val="0"/>
        <w:spacing w:before="0" w:after="0" w:line="560" w:lineRule="atLeast"/>
        <w:ind w:left="0" w:leftChars="0" w:right="0"/>
        <w:textAlignment w:val="auto"/>
        <w:outlineLvl w:val="9"/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ind w:firstLine="641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12"/>
        <w:spacing w:line="579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Calibri" w:hAnsi="Calibri" w:eastAsia="宋体" w:cs="宋体"/>
          <w:kern w:val="0"/>
          <w:sz w:val="32"/>
          <w:szCs w:val="21"/>
          <w:lang w:val="en-US" w:eastAsia="zh-CN" w:bidi="ar-SA"/>
        </w:rPr>
        <w:pict>
          <v:line id="_x0000_s1028" o:spid="_x0000_s1028" o:spt="20" style="position:absolute;left:0pt;margin-left:0.1pt;margin-top:3.55pt;height:0.05pt;width:441.75pt;z-index:25166233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抄送：河南省人民政府食品安全委员会办公室，各县（市、区）</w:t>
      </w:r>
    </w:p>
    <w:p>
      <w:pPr>
        <w:pStyle w:val="12"/>
        <w:spacing w:line="579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人民政府（管委会）食品安全委员办公室</w:t>
      </w:r>
    </w:p>
    <w:p>
      <w:pPr>
        <w:pStyle w:val="12"/>
        <w:spacing w:line="579" w:lineRule="exact"/>
        <w:rPr>
          <w:rFonts w:ascii="仿宋_GB2312" w:hAnsi="黑体" w:eastAsia="仿宋_GB2312"/>
          <w:sz w:val="28"/>
          <w:szCs w:val="28"/>
        </w:rPr>
      </w:pPr>
      <w:r>
        <w:rPr>
          <w:rFonts w:ascii="Calibri" w:hAnsi="Calibri" w:eastAsia="宋体" w:cs="宋体"/>
          <w:kern w:val="0"/>
          <w:sz w:val="32"/>
          <w:szCs w:val="21"/>
          <w:lang w:val="en-US" w:eastAsia="zh-CN" w:bidi="ar-SA"/>
        </w:rPr>
        <w:pict>
          <v:line id="直线 1027" o:spid="_x0000_s1029" o:spt="20" style="position:absolute;left:0pt;margin-left:0.1pt;margin-top:32.15pt;height:0.05pt;width:441.75pt;z-index:2516613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宋体"/>
          <w:kern w:val="0"/>
          <w:sz w:val="32"/>
          <w:szCs w:val="21"/>
          <w:lang w:val="en-US" w:eastAsia="zh-CN" w:bidi="ar-SA"/>
        </w:rPr>
        <w:pict>
          <v:line id="直线 4" o:spid="_x0000_s1030" o:spt="20" style="position:absolute;left:0pt;margin-left:0.1pt;margin-top:3.55pt;height:0.05pt;width:441.75pt;z-index:2516602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南阳市人民政府食品安全委员会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right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1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BkODM1ZWY0YzA2M2JlMDVhMmE2YmEyZjliY2RlOTgifQ=="/>
  </w:docVars>
  <w:rsids>
    <w:rsidRoot w:val="00000000"/>
    <w:rsid w:val="4DFD26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96"/>
      <w:ind w:left="573" w:right="593"/>
      <w:jc w:val="center"/>
      <w:outlineLvl w:val="0"/>
    </w:pPr>
    <w:rPr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uiPriority w:val="0"/>
    <w:pPr>
      <w:ind w:left="651" w:firstLine="640"/>
    </w:pPr>
    <w:rPr>
      <w:sz w:val="32"/>
      <w:szCs w:val="32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0">
    <w:name w:val="body text"/>
    <w:basedOn w:val="1"/>
    <w:qFormat/>
    <w:uiPriority w:val="99"/>
    <w:pPr>
      <w:autoSpaceDE w:val="0"/>
      <w:autoSpaceDN w:val="0"/>
      <w:spacing w:before="16"/>
      <w:ind w:left="1767"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</w:rPr>
  </w:style>
  <w:style w:type="paragraph" w:customStyle="1" w:styleId="14">
    <w:name w:val="List Paragraph"/>
    <w:basedOn w:val="1"/>
    <w:qFormat/>
    <w:uiPriority w:val="1"/>
    <w:pPr>
      <w:ind w:left="651" w:hanging="800"/>
    </w:pPr>
  </w:style>
  <w:style w:type="character" w:customStyle="1" w:styleId="15">
    <w:name w:val="页眉 Char Char"/>
    <w:basedOn w:val="9"/>
    <w:link w:val="6"/>
    <w:qFormat/>
    <w:uiPriority w:val="0"/>
    <w:rPr>
      <w:sz w:val="18"/>
      <w:szCs w:val="18"/>
    </w:rPr>
  </w:style>
  <w:style w:type="character" w:customStyle="1" w:styleId="16">
    <w:name w:val="批注框文本 Char Char"/>
    <w:basedOn w:val="9"/>
    <w:link w:val="4"/>
    <w:qFormat/>
    <w:uiPriority w:val="0"/>
    <w:rPr>
      <w:sz w:val="18"/>
      <w:szCs w:val="18"/>
    </w:rPr>
  </w:style>
  <w:style w:type="character" w:customStyle="1" w:styleId="17">
    <w:name w:val="页脚 Char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标题 Char Char"/>
    <w:basedOn w:val="9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25</Pages>
  <Words>11126</Words>
  <Characters>11298</Characters>
  <Lines>7</Lines>
  <Paragraphs>2</Paragraphs>
  <TotalTime>1</TotalTime>
  <ScaleCrop>false</ScaleCrop>
  <LinksUpToDate>false</LinksUpToDate>
  <CharactersWithSpaces>11463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2021-03-17T06:31:00Z</dcterms:created>
  <dc:creator>LYM</dc:creator>
  <cp:lastModifiedBy>Administrator</cp:lastModifiedBy>
  <cp:lastPrinted>2022-08-31T08:29:00Z</cp:lastPrinted>
  <dcterms:modified xsi:type="dcterms:W3CDTF">2023-07-18T09:02:29Z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9F8744B1D25442AA97AE8207661778BC_12</vt:lpwstr>
  </property>
</Properties>
</file>