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bookmarkStart w:id="11" w:name="_GoBack"/>
      <w:bookmarkEnd w:id="11"/>
    </w:p>
    <w:p>
      <w:pPr>
        <w:pStyle w:val="2"/>
        <w:keepNext w:val="0"/>
        <w:keepLines w:val="0"/>
        <w:pageBreakBefore w:val="0"/>
        <w:widowControl w:val="0"/>
        <w:kinsoku/>
        <w:wordWrap/>
        <w:overflowPunct/>
        <w:topLinePunct/>
        <w:autoSpaceDE/>
        <w:autoSpaceDN/>
        <w:bidi w:val="0"/>
        <w:adjustRightInd/>
        <w:snapToGrid/>
        <w:spacing w:after="0" w:line="560" w:lineRule="exact"/>
        <w:ind w:firstLine="0" w:firstLineChars="0"/>
        <w:textAlignment w:val="auto"/>
        <w:rPr>
          <w:rFonts w:hint="eastAsia"/>
          <w:lang w:val="en-US" w:eastAsia="zh-CN"/>
        </w:rPr>
      </w:pPr>
      <w:bookmarkStart w:id="0" w:name="_Toc26689"/>
      <w:bookmarkStart w:id="1" w:name="_Toc291003729"/>
      <w:bookmarkStart w:id="2" w:name="_Toc336419902"/>
      <w:bookmarkStart w:id="3" w:name="_Toc291002928"/>
      <w:bookmarkStart w:id="4" w:name="_Toc291003253"/>
    </w:p>
    <w:p>
      <w:pPr>
        <w:pStyle w:val="2"/>
        <w:keepNext w:val="0"/>
        <w:keepLines w:val="0"/>
        <w:pageBreakBefore w:val="0"/>
        <w:widowControl w:val="0"/>
        <w:kinsoku/>
        <w:wordWrap/>
        <w:overflowPunct/>
        <w:topLinePunct/>
        <w:autoSpaceDE/>
        <w:autoSpaceDN/>
        <w:bidi w:val="0"/>
        <w:adjustRightInd/>
        <w:snapToGrid/>
        <w:spacing w:after="0" w:line="600" w:lineRule="exact"/>
        <w:ind w:firstLine="0" w:firstLineChars="0"/>
        <w:jc w:val="center"/>
        <w:textAlignment w:val="auto"/>
        <w:rPr>
          <w:rFonts w:hint="eastAsia" w:ascii="方正小标宋_GBK" w:hAnsi="方正小标宋_GBK" w:eastAsia="方正小标宋_GBK" w:cs="方正小标宋_GBK"/>
          <w:b w:val="0"/>
          <w:bCs w:val="0"/>
          <w:color w:val="000000" w:themeColor="text1"/>
          <w:sz w:val="44"/>
          <w:szCs w:val="44"/>
          <w:highlight w:val="none"/>
          <w:lang w:val="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highlight w:val="none"/>
          <w:lang w:val="zh-CN"/>
          <w14:textFill>
            <w14:solidFill>
              <w14:schemeClr w14:val="tx1"/>
            </w14:solidFill>
          </w14:textFill>
        </w:rPr>
        <w:t>全国基层中医药</w:t>
      </w:r>
      <w:r>
        <w:rPr>
          <w:rFonts w:hint="eastAsia" w:ascii="方正小标宋_GBK" w:hAnsi="方正小标宋_GBK" w:eastAsia="方正小标宋_GBK" w:cs="方正小标宋_GBK"/>
          <w:b w:val="0"/>
          <w:bCs w:val="0"/>
          <w:color w:val="000000" w:themeColor="text1"/>
          <w:sz w:val="44"/>
          <w:szCs w:val="44"/>
          <w:highlight w:val="none"/>
          <w:lang w:val="en-US" w:eastAsia="zh-CN"/>
          <w14:textFill>
            <w14:solidFill>
              <w14:schemeClr w14:val="tx1"/>
            </w14:solidFill>
          </w14:textFill>
        </w:rPr>
        <w:t>工作</w:t>
      </w:r>
      <w:r>
        <w:rPr>
          <w:rFonts w:hint="eastAsia" w:ascii="方正小标宋_GBK" w:hAnsi="方正小标宋_GBK" w:eastAsia="方正小标宋_GBK" w:cs="方正小标宋_GBK"/>
          <w:b w:val="0"/>
          <w:bCs w:val="0"/>
          <w:color w:val="000000" w:themeColor="text1"/>
          <w:sz w:val="44"/>
          <w:szCs w:val="44"/>
          <w:highlight w:val="none"/>
          <w14:textFill>
            <w14:solidFill>
              <w14:schemeClr w14:val="tx1"/>
            </w14:solidFill>
          </w14:textFill>
        </w:rPr>
        <w:t>示范</w:t>
      </w:r>
      <w:r>
        <w:rPr>
          <w:rFonts w:hint="eastAsia" w:ascii="方正小标宋_GBK" w:hAnsi="方正小标宋_GBK" w:eastAsia="方正小标宋_GBK" w:cs="方正小标宋_GBK"/>
          <w:b w:val="0"/>
          <w:bCs w:val="0"/>
          <w:color w:val="000000" w:themeColor="text1"/>
          <w:sz w:val="44"/>
          <w:szCs w:val="44"/>
          <w:highlight w:val="none"/>
          <w:lang w:val="en-US" w:eastAsia="zh-CN"/>
          <w14:textFill>
            <w14:solidFill>
              <w14:schemeClr w14:val="tx1"/>
            </w14:solidFill>
          </w14:textFill>
        </w:rPr>
        <w:t>市现场</w:t>
      </w:r>
      <w:r>
        <w:rPr>
          <w:rFonts w:hint="eastAsia" w:ascii="方正小标宋_GBK" w:hAnsi="方正小标宋_GBK" w:eastAsia="方正小标宋_GBK" w:cs="方正小标宋_GBK"/>
          <w:b w:val="0"/>
          <w:bCs w:val="0"/>
          <w:color w:val="000000" w:themeColor="text1"/>
          <w:sz w:val="44"/>
          <w:szCs w:val="44"/>
          <w:highlight w:val="none"/>
          <w:lang w:val="zh-CN"/>
          <w14:textFill>
            <w14:solidFill>
              <w14:schemeClr w14:val="tx1"/>
            </w14:solidFill>
          </w14:textFill>
        </w:rPr>
        <w:t>评审评分表（20</w:t>
      </w:r>
      <w:r>
        <w:rPr>
          <w:rFonts w:hint="eastAsia" w:ascii="方正小标宋_GBK" w:hAnsi="方正小标宋_GBK" w:eastAsia="方正小标宋_GBK" w:cs="方正小标宋_GBK"/>
          <w:b w:val="0"/>
          <w:bCs w:val="0"/>
          <w:color w:val="000000" w:themeColor="text1"/>
          <w:sz w:val="44"/>
          <w:szCs w:val="44"/>
          <w:highlight w:val="none"/>
          <w14:textFill>
            <w14:solidFill>
              <w14:schemeClr w14:val="tx1"/>
            </w14:solidFill>
          </w14:textFill>
        </w:rPr>
        <w:t>22</w:t>
      </w:r>
      <w:r>
        <w:rPr>
          <w:rFonts w:hint="eastAsia" w:ascii="方正小标宋_GBK" w:hAnsi="方正小标宋_GBK" w:eastAsia="方正小标宋_GBK" w:cs="方正小标宋_GBK"/>
          <w:b w:val="0"/>
          <w:bCs w:val="0"/>
          <w:color w:val="000000" w:themeColor="text1"/>
          <w:sz w:val="44"/>
          <w:szCs w:val="44"/>
          <w:highlight w:val="none"/>
          <w:lang w:val="zh-CN"/>
          <w14:textFill>
            <w14:solidFill>
              <w14:schemeClr w14:val="tx1"/>
            </w14:solidFill>
          </w14:textFill>
        </w:rPr>
        <w:t>版）</w:t>
      </w:r>
    </w:p>
    <w:p>
      <w:pPr>
        <w:keepNext w:val="0"/>
        <w:keepLines w:val="0"/>
        <w:pageBreakBefore w:val="0"/>
        <w:widowControl w:val="0"/>
        <w:kinsoku/>
        <w:wordWrap/>
        <w:overflowPunct/>
        <w:topLinePunct/>
        <w:autoSpaceDE/>
        <w:autoSpaceDN/>
        <w:bidi w:val="0"/>
        <w:adjustRightInd/>
        <w:snapToGrid/>
        <w:spacing w:line="560" w:lineRule="exact"/>
        <w:ind w:firstLine="0" w:firstLineChars="0"/>
        <w:textAlignment w:val="auto"/>
        <w:rPr>
          <w:rFonts w:hint="eastAsia"/>
          <w:lang w:val="en-US" w:eastAsia="zh-CN"/>
        </w:rPr>
      </w:pPr>
    </w:p>
    <w:bookmarkEnd w:id="0"/>
    <w:tbl>
      <w:tblPr>
        <w:tblStyle w:val="8"/>
        <w:tblW w:w="14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8"/>
        <w:gridCol w:w="4407"/>
        <w:gridCol w:w="4612"/>
        <w:gridCol w:w="806"/>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blHeader/>
          <w:jc w:val="center"/>
        </w:trPr>
        <w:tc>
          <w:tcPr>
            <w:tcW w:w="357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建设标准</w:t>
            </w: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bCs/>
                <w:color w:val="000000" w:themeColor="text1"/>
                <w:kern w:val="0"/>
                <w:sz w:val="28"/>
                <w:szCs w:val="28"/>
                <w:highlight w:val="none"/>
                <w:lang w:eastAsia="zh-CN"/>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评审方法</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bCs/>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评分标准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宋体" w:hAnsi="宋体" w:eastAsia="宋体" w:cs="宋体"/>
                <w:b/>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分值</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bCs/>
                <w:color w:val="000000" w:themeColor="text1"/>
                <w:kern w:val="0"/>
                <w:sz w:val="28"/>
                <w:szCs w:val="28"/>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62"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default" w:ascii="仿宋_GB2312" w:hAnsi="宋体" w:cs="宋体"/>
                <w:b/>
                <w:bCs/>
                <w:color w:val="000000" w:themeColor="text1"/>
                <w:kern w:val="0"/>
                <w:sz w:val="24"/>
                <w:szCs w:val="24"/>
                <w:highlight w:val="none"/>
                <w:lang w:val="en-US"/>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一、组织管理</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100分</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357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b w:val="0"/>
                <w:bCs w:val="0"/>
                <w:color w:val="000000" w:themeColor="text1"/>
                <w:sz w:val="21"/>
                <w:szCs w:val="21"/>
                <w:highlight w:val="none"/>
                <w14:textFill>
                  <w14:solidFill>
                    <w14:schemeClr w14:val="tx1"/>
                  </w14:solidFill>
                </w14:textFill>
              </w:rPr>
              <w:t>市委、市政府深入贯彻落实习近平总书记关于中医药工作的重要论述、指示精神，认真贯彻落实《中华人民共和国中医药法》《中共中央 国务院关于促进中医药传承创新发展的意见》，充分发挥党委在中医药工作中的核心领导作用，将中医药工作纳入本市国民经济和社会发展规划及政府议事日程。</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40</w:t>
            </w:r>
            <w:r>
              <w:rPr>
                <w:rFonts w:hint="eastAsia" w:ascii="宋体" w:hAnsi="宋体" w:eastAsia="宋体" w:cs="宋体"/>
                <w:b w:val="0"/>
                <w:bCs w:val="0"/>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36分为达标</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44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1.1.1</w:t>
            </w:r>
            <w:r>
              <w:rPr>
                <w:rFonts w:hint="eastAsia" w:ascii="宋体" w:hAnsi="宋体" w:eastAsia="宋体" w:cs="宋体"/>
                <w:b w:val="0"/>
                <w:bCs w:val="0"/>
                <w:color w:val="000000" w:themeColor="text1"/>
                <w:sz w:val="21"/>
                <w:szCs w:val="21"/>
                <w:highlight w:val="none"/>
                <w14:textFill>
                  <w14:solidFill>
                    <w14:schemeClr w14:val="tx1"/>
                  </w14:solidFill>
                </w14:textFill>
              </w:rPr>
              <w:t>查阅</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b w:val="0"/>
                <w:bCs w:val="0"/>
                <w:color w:val="000000" w:themeColor="text1"/>
                <w:sz w:val="21"/>
                <w:szCs w:val="21"/>
                <w:highlight w:val="none"/>
                <w14:textFill>
                  <w14:solidFill>
                    <w14:schemeClr w14:val="tx1"/>
                  </w14:solidFill>
                </w14:textFill>
              </w:rPr>
              <w:t>委</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市政府</w:t>
            </w:r>
            <w:r>
              <w:rPr>
                <w:rFonts w:hint="eastAsia" w:ascii="宋体" w:hAnsi="宋体" w:eastAsia="宋体" w:cs="宋体"/>
                <w:b w:val="0"/>
                <w:bCs w:val="0"/>
                <w:color w:val="000000" w:themeColor="text1"/>
                <w:sz w:val="21"/>
                <w:szCs w:val="21"/>
                <w:highlight w:val="none"/>
                <w14:textFill>
                  <w14:solidFill>
                    <w14:schemeClr w14:val="tx1"/>
                  </w14:solidFill>
                </w14:textFill>
              </w:rPr>
              <w:t>传达学习习近平总书记关于中医药工作的重要论述、《中华人民共和国中医药法》《中共中央</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highlight w:val="none"/>
                <w14:textFill>
                  <w14:solidFill>
                    <w14:schemeClr w14:val="tx1"/>
                  </w14:solidFill>
                </w14:textFill>
              </w:rPr>
              <w:t>国务院关于促进中医药传承创新发展的意见》及</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其他相关政策</w:t>
            </w:r>
            <w:r>
              <w:rPr>
                <w:rFonts w:hint="eastAsia" w:ascii="宋体" w:hAnsi="宋体" w:eastAsia="宋体" w:cs="宋体"/>
                <w:b w:val="0"/>
                <w:bCs w:val="0"/>
                <w:color w:val="000000" w:themeColor="text1"/>
                <w:sz w:val="21"/>
                <w:szCs w:val="21"/>
                <w:highlight w:val="none"/>
                <w14:textFill>
                  <w14:solidFill>
                    <w14:schemeClr w14:val="tx1"/>
                  </w14:solidFill>
                </w14:textFill>
              </w:rPr>
              <w:t>文件等的会议记录、纪要等资料。</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default"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未查阅到相关会议记录、纪要，扣10分。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（至少包含习近平总书记关于中医药工作的重要论述、《中华人民共和国中医药法》、《中共中央 国务院关于促进中医药传承创新发展的意见》三项学习内容，少一项扣3分）。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1.1.2</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查阅</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市</w:t>
            </w:r>
            <w:r>
              <w:rPr>
                <w:rFonts w:hint="eastAsia" w:ascii="宋体" w:hAnsi="宋体" w:eastAsia="宋体" w:cs="宋体"/>
                <w:b w:val="0"/>
                <w:bCs w:val="0"/>
                <w:color w:val="000000" w:themeColor="text1"/>
                <w:kern w:val="0"/>
                <w:sz w:val="21"/>
                <w:szCs w:val="21"/>
                <w:highlight w:val="none"/>
                <w14:textFill>
                  <w14:solidFill>
                    <w14:schemeClr w14:val="tx1"/>
                  </w14:solidFill>
                </w14:textFill>
              </w:rPr>
              <w:t>国民经济和社会发展规划</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并抽查部分下辖县的规划</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p>
        </w:tc>
        <w:tc>
          <w:tcPr>
            <w:tcW w:w="46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jc w:val="left"/>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中</w:t>
            </w:r>
            <w:r>
              <w:rPr>
                <w:rFonts w:hint="eastAsia" w:ascii="宋体" w:hAnsi="宋体" w:eastAsia="宋体" w:cs="宋体"/>
                <w:b w:val="0"/>
                <w:bCs w:val="0"/>
                <w:color w:val="000000" w:themeColor="text1"/>
                <w:sz w:val="21"/>
                <w:szCs w:val="21"/>
                <w:highlight w:val="none"/>
                <w14:textFill>
                  <w14:solidFill>
                    <w14:schemeClr w14:val="tx1"/>
                  </w14:solidFill>
                </w14:textFill>
              </w:rPr>
              <w:t>医药工作</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w:t>
            </w:r>
            <w:r>
              <w:rPr>
                <w:rFonts w:hint="eastAsia" w:ascii="宋体" w:hAnsi="宋体" w:eastAsia="宋体" w:cs="宋体"/>
                <w:b w:val="0"/>
                <w:bCs w:val="0"/>
                <w:color w:val="000000" w:themeColor="text1"/>
                <w:sz w:val="21"/>
                <w:szCs w:val="21"/>
                <w:highlight w:val="none"/>
                <w14:textFill>
                  <w14:solidFill>
                    <w14:schemeClr w14:val="tx1"/>
                  </w14:solidFill>
                </w14:textFill>
              </w:rPr>
              <w:t>纳入</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b w:val="0"/>
                <w:bCs w:val="0"/>
                <w:color w:val="000000" w:themeColor="text1"/>
                <w:sz w:val="21"/>
                <w:szCs w:val="21"/>
                <w:highlight w:val="none"/>
                <w14:textFill>
                  <w14:solidFill>
                    <w14:schemeClr w14:val="tx1"/>
                  </w14:solidFill>
                </w14:textFill>
              </w:rPr>
              <w:t>国民经济和社会发展规划</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扣10分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纳入发展规划，但内容不具体、指导性不强，扣2分；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未体现财政支持，扣2分。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随机抽取2个下辖县，中医药工作未纳入县国民经济和社会发展规划的，每个县扣2分。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1.1.3.查阅市委、市</w:t>
            </w:r>
            <w:r>
              <w:rPr>
                <w:rFonts w:hint="eastAsia" w:ascii="宋体" w:hAnsi="宋体" w:eastAsia="宋体" w:cs="宋体"/>
                <w:b w:val="0"/>
                <w:bCs w:val="0"/>
                <w:color w:val="000000" w:themeColor="text1"/>
                <w:sz w:val="21"/>
                <w:szCs w:val="21"/>
                <w:highlight w:val="none"/>
                <w14:textFill>
                  <w14:solidFill>
                    <w14:schemeClr w14:val="tx1"/>
                  </w14:solidFill>
                </w14:textFill>
              </w:rPr>
              <w:t>政府</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研究部署和指导本市下辖县中医药工作</w:t>
            </w:r>
            <w:r>
              <w:rPr>
                <w:rFonts w:hint="eastAsia" w:ascii="宋体" w:hAnsi="宋体" w:eastAsia="宋体" w:cs="宋体"/>
                <w:b w:val="0"/>
                <w:bCs w:val="0"/>
                <w:color w:val="000000" w:themeColor="text1"/>
                <w:kern w:val="0"/>
                <w:sz w:val="21"/>
                <w:szCs w:val="21"/>
                <w:highlight w:val="none"/>
                <w14:textFill>
                  <w14:solidFill>
                    <w14:schemeClr w14:val="tx1"/>
                  </w14:solidFill>
                </w14:textFill>
              </w:rPr>
              <w:t>相关</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会议</w:t>
            </w:r>
            <w:r>
              <w:rPr>
                <w:rFonts w:hint="eastAsia" w:ascii="宋体" w:hAnsi="宋体" w:eastAsia="宋体" w:cs="宋体"/>
                <w:b w:val="0"/>
                <w:bCs w:val="0"/>
                <w:color w:val="000000" w:themeColor="text1"/>
                <w:kern w:val="0"/>
                <w:sz w:val="21"/>
                <w:szCs w:val="21"/>
                <w:highlight w:val="none"/>
                <w14:textFill>
                  <w14:solidFill>
                    <w14:schemeClr w14:val="tx1"/>
                  </w14:solidFill>
                </w14:textFill>
              </w:rPr>
              <w:t>记录</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纪要</w:t>
            </w:r>
            <w:r>
              <w:rPr>
                <w:rFonts w:hint="eastAsia" w:ascii="宋体" w:hAnsi="宋体" w:eastAsia="宋体" w:cs="宋体"/>
                <w:b w:val="0"/>
                <w:bCs w:val="0"/>
                <w:color w:val="000000" w:themeColor="text1"/>
                <w:sz w:val="21"/>
                <w:szCs w:val="21"/>
                <w:highlight w:val="none"/>
                <w14:textFill>
                  <w14:solidFill>
                    <w14:schemeClr w14:val="tx1"/>
                  </w14:solidFill>
                </w14:textFill>
              </w:rPr>
              <w:t>。</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未查阅到相关工作记录、纪要等，不得分。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1.1.4.查阅市委、市政府制定出台本市中医药发展政策文件等。</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未查阅到近3年相关政策文件，不得分。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357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1.2建立市级中医药工作联席会议机制，定期召开会议，研究协调解决本市中医药发展的相关事宜，统筹推进本市中医药事业发展。</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（20分）</w:t>
            </w:r>
          </w:p>
        </w:tc>
        <w:tc>
          <w:tcPr>
            <w:tcW w:w="44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1.2.1</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查阅</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市</w:t>
            </w:r>
            <w:r>
              <w:rPr>
                <w:rFonts w:hint="eastAsia" w:ascii="宋体" w:hAnsi="宋体" w:eastAsia="宋体" w:cs="宋体"/>
                <w:b w:val="0"/>
                <w:bCs w:val="0"/>
                <w:color w:val="000000" w:themeColor="text1"/>
                <w:kern w:val="0"/>
                <w:sz w:val="21"/>
                <w:szCs w:val="21"/>
                <w:highlight w:val="none"/>
                <w14:textFill>
                  <w14:solidFill>
                    <w14:schemeClr w14:val="tx1"/>
                  </w14:solidFill>
                </w14:textFill>
              </w:rPr>
              <w:t>级中医药工作联席会议制度、文件。</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未查阅到相关文件，不得分。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1.2.2</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查阅</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市级中医药工作联席会议研究协调解决本市中医药发展的相关事宜等工作会议记录等。</w:t>
            </w:r>
          </w:p>
        </w:tc>
        <w:tc>
          <w:tcPr>
            <w:tcW w:w="46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jc w:val="left"/>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未查阅到</w:t>
            </w:r>
            <w:r>
              <w:rPr>
                <w:rFonts w:hint="eastAsia" w:ascii="宋体" w:hAnsi="宋体" w:eastAsia="宋体" w:cs="宋体"/>
                <w:b w:val="0"/>
                <w:bCs w:val="0"/>
                <w:color w:val="000000" w:themeColor="text1"/>
                <w:kern w:val="0"/>
                <w:sz w:val="21"/>
                <w:szCs w:val="21"/>
                <w:highlight w:val="none"/>
                <w14:textFill>
                  <w14:solidFill>
                    <w14:schemeClr w14:val="tx1"/>
                  </w14:solidFill>
                </w14:textFill>
              </w:rPr>
              <w:t>相关</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会议</w:t>
            </w:r>
            <w:r>
              <w:rPr>
                <w:rFonts w:hint="eastAsia" w:ascii="宋体" w:hAnsi="宋体" w:eastAsia="宋体" w:cs="宋体"/>
                <w:b w:val="0"/>
                <w:bCs w:val="0"/>
                <w:color w:val="000000" w:themeColor="text1"/>
                <w:kern w:val="0"/>
                <w:sz w:val="21"/>
                <w:szCs w:val="21"/>
                <w:highlight w:val="none"/>
                <w14:textFill>
                  <w14:solidFill>
                    <w14:schemeClr w14:val="tx1"/>
                  </w14:solidFill>
                </w14:textFill>
              </w:rPr>
              <w:t>记录</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等，不得分。</w:t>
            </w:r>
          </w:p>
        </w:tc>
        <w:tc>
          <w:tcPr>
            <w:tcW w:w="8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357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1.3</w:t>
            </w:r>
            <w:r>
              <w:rPr>
                <w:rFonts w:hint="eastAsia" w:ascii="宋体" w:hAnsi="宋体" w:eastAsia="宋体" w:cs="宋体"/>
                <w:b w:val="0"/>
                <w:bCs w:val="0"/>
                <w:color w:val="000000" w:themeColor="text1"/>
                <w:sz w:val="21"/>
                <w:szCs w:val="21"/>
                <w:highlight w:val="none"/>
                <w14:textFill>
                  <w14:solidFill>
                    <w14:schemeClr w14:val="tx1"/>
                  </w14:solidFill>
                </w14:textFill>
              </w:rPr>
              <w:t>完善创建全国基层中医药工作示范市工作方案，组织健全，成员单位分工明确、职责落实。基层中医药工作年度有计划、有部署、有检查、有考核、有总结。</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20分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1.3.1查阅创建全国基层中医药工作示范</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b w:val="0"/>
                <w:bCs w:val="0"/>
                <w:color w:val="000000" w:themeColor="text1"/>
                <w:sz w:val="21"/>
                <w:szCs w:val="21"/>
                <w:highlight w:val="none"/>
                <w14:textFill>
                  <w14:solidFill>
                    <w14:schemeClr w14:val="tx1"/>
                  </w14:solidFill>
                </w14:textFill>
              </w:rPr>
              <w:t>工作实施方案。</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14:textFill>
                  <w14:solidFill>
                    <w14:schemeClr w14:val="tx1"/>
                  </w14:solidFill>
                </w14:textFill>
              </w:rPr>
              <w:t>组织健全是指要成立创建工作领导小组，</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市</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政府领导任组长，相关部门为成员单</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位</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w:t>
            </w:r>
            <w:r>
              <w:rPr>
                <w:rFonts w:hint="eastAsia" w:ascii="宋体" w:hAnsi="宋体" w:eastAsia="宋体" w:cs="宋体"/>
                <w:b w:val="0"/>
                <w:bCs w:val="0"/>
                <w:color w:val="000000" w:themeColor="text1"/>
                <w:sz w:val="21"/>
                <w:szCs w:val="21"/>
                <w:highlight w:val="none"/>
                <w14:textFill>
                  <w14:solidFill>
                    <w14:schemeClr w14:val="tx1"/>
                  </w14:solidFill>
                </w14:textFill>
              </w:rPr>
              <w:t>创建工作方案</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，扣</w:t>
            </w:r>
            <w:r>
              <w:rPr>
                <w:rFonts w:hint="eastAsia" w:ascii="宋体" w:hAnsi="宋体" w:eastAsia="宋体" w:cs="宋体"/>
                <w:b w:val="0"/>
                <w:bCs w:val="0"/>
                <w:color w:val="000000" w:themeColor="text1"/>
                <w:sz w:val="21"/>
                <w:szCs w:val="21"/>
                <w:highlight w:val="none"/>
                <w14:textFill>
                  <w14:solidFill>
                    <w14:schemeClr w14:val="tx1"/>
                  </w14:solidFill>
                </w14:textFill>
              </w:rPr>
              <w:t>10分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有创建方案，</w:t>
            </w:r>
            <w:r>
              <w:rPr>
                <w:rFonts w:hint="eastAsia" w:ascii="宋体" w:hAnsi="宋体" w:eastAsia="宋体" w:cs="宋体"/>
                <w:b w:val="0"/>
                <w:bCs w:val="0"/>
                <w:color w:val="000000" w:themeColor="text1"/>
                <w:sz w:val="21"/>
                <w:szCs w:val="21"/>
                <w:highlight w:val="none"/>
                <w14:textFill>
                  <w14:solidFill>
                    <w14:schemeClr w14:val="tx1"/>
                  </w14:solidFill>
                </w14:textFill>
              </w:rPr>
              <w:t>组织</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不健全，扣2分；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有创建方案，成员单位</w:t>
            </w:r>
            <w:r>
              <w:rPr>
                <w:rFonts w:hint="eastAsia" w:ascii="宋体" w:hAnsi="宋体" w:eastAsia="宋体" w:cs="宋体"/>
                <w:b w:val="0"/>
                <w:bCs w:val="0"/>
                <w:color w:val="000000" w:themeColor="text1"/>
                <w:sz w:val="21"/>
                <w:szCs w:val="21"/>
                <w:highlight w:val="none"/>
                <w14:textFill>
                  <w14:solidFill>
                    <w14:schemeClr w14:val="tx1"/>
                  </w14:solidFill>
                </w14:textFill>
              </w:rPr>
              <w:t>分工</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、职责</w:t>
            </w:r>
            <w:r>
              <w:rPr>
                <w:rFonts w:hint="eastAsia" w:ascii="宋体" w:hAnsi="宋体" w:eastAsia="宋体" w:cs="宋体"/>
                <w:b w:val="0"/>
                <w:bCs w:val="0"/>
                <w:color w:val="000000" w:themeColor="text1"/>
                <w:sz w:val="21"/>
                <w:szCs w:val="21"/>
                <w:highlight w:val="none"/>
                <w14:textFill>
                  <w14:solidFill>
                    <w14:schemeClr w14:val="tx1"/>
                  </w14:solidFill>
                </w14:textFill>
              </w:rPr>
              <w:t>不明确</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，扣2分。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1.3.2.查阅本</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b w:val="0"/>
                <w:bCs w:val="0"/>
                <w:color w:val="000000" w:themeColor="text1"/>
                <w:sz w:val="21"/>
                <w:szCs w:val="21"/>
                <w:highlight w:val="none"/>
                <w14:textFill>
                  <w14:solidFill>
                    <w14:schemeClr w14:val="tx1"/>
                  </w14:solidFill>
                </w14:textFill>
              </w:rPr>
              <w:t>基层中医药工作年度计划、年度总结及部署、检查、考核相关记录</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查阅各部门对中医药工作的部署和落实情况。</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未查阅到本市</w:t>
            </w:r>
            <w:r>
              <w:rPr>
                <w:rFonts w:hint="eastAsia" w:ascii="宋体" w:hAnsi="宋体" w:eastAsia="宋体" w:cs="宋体"/>
                <w:b w:val="0"/>
                <w:bCs w:val="0"/>
                <w:color w:val="000000" w:themeColor="text1"/>
                <w:sz w:val="21"/>
                <w:szCs w:val="21"/>
                <w:highlight w:val="none"/>
                <w14:textFill>
                  <w14:solidFill>
                    <w14:schemeClr w14:val="tx1"/>
                  </w14:solidFill>
                </w14:textFill>
              </w:rPr>
              <w:t>基层中医药工作年度计划、年度总结</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扣</w:t>
            </w:r>
            <w:r>
              <w:rPr>
                <w:rFonts w:hint="eastAsia" w:ascii="宋体" w:hAnsi="宋体" w:eastAsia="宋体" w:cs="宋体"/>
                <w:b w:val="0"/>
                <w:bCs w:val="0"/>
                <w:color w:val="000000" w:themeColor="text1"/>
                <w:sz w:val="21"/>
                <w:szCs w:val="21"/>
                <w:highlight w:val="none"/>
                <w14:textFill>
                  <w14:solidFill>
                    <w14:schemeClr w14:val="tx1"/>
                  </w14:solidFill>
                </w14:textFill>
              </w:rPr>
              <w:t>10分；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未查阅到相关部门开展中医药工作部署和落实的，每项扣2分。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357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1.4</w:t>
            </w:r>
            <w:r>
              <w:rPr>
                <w:rFonts w:hint="eastAsia" w:ascii="宋体" w:hAnsi="宋体" w:eastAsia="宋体" w:cs="宋体"/>
                <w:b w:val="0"/>
                <w:bCs w:val="0"/>
                <w:color w:val="000000" w:themeColor="text1"/>
                <w:sz w:val="21"/>
                <w:szCs w:val="21"/>
                <w:highlight w:val="none"/>
                <w14:textFill>
                  <w14:solidFill>
                    <w14:schemeClr w14:val="tx1"/>
                  </w14:solidFill>
                </w14:textFill>
              </w:rPr>
              <w:t>畅通全国基层中医药工作示范市建议和投诉平台，认真核实和解决群众反映的问题。群众对中医药服务满意率≥90%。</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20分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1.4.1.查看</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市政府或主管部门网站</w:t>
            </w:r>
            <w:r>
              <w:rPr>
                <w:rFonts w:hint="eastAsia" w:ascii="宋体" w:hAnsi="宋体" w:eastAsia="宋体" w:cs="宋体"/>
                <w:b w:val="0"/>
                <w:bCs w:val="0"/>
                <w:color w:val="000000" w:themeColor="text1"/>
                <w:sz w:val="21"/>
                <w:szCs w:val="21"/>
                <w:highlight w:val="none"/>
                <w14:textFill>
                  <w14:solidFill>
                    <w14:schemeClr w14:val="tx1"/>
                  </w14:solidFill>
                </w14:textFill>
              </w:rPr>
              <w:t>，是否建立全国基层中医药工作示范</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b w:val="0"/>
                <w:bCs w:val="0"/>
                <w:color w:val="000000" w:themeColor="text1"/>
                <w:sz w:val="21"/>
                <w:szCs w:val="21"/>
                <w:highlight w:val="none"/>
                <w14:textFill>
                  <w14:solidFill>
                    <w14:schemeClr w14:val="tx1"/>
                  </w14:solidFill>
                </w14:textFill>
              </w:rPr>
              <w:t>建议和投诉平台</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或整合到市政府其他平台。</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是否有创建工作相关信息。</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未检查到</w:t>
            </w:r>
            <w:r>
              <w:rPr>
                <w:rFonts w:hint="eastAsia" w:ascii="宋体" w:hAnsi="宋体" w:eastAsia="宋体" w:cs="宋体"/>
                <w:b w:val="0"/>
                <w:bCs w:val="0"/>
                <w:color w:val="000000" w:themeColor="text1"/>
                <w:sz w:val="21"/>
                <w:szCs w:val="21"/>
                <w:highlight w:val="none"/>
                <w14:textFill>
                  <w14:solidFill>
                    <w14:schemeClr w14:val="tx1"/>
                  </w14:solidFill>
                </w14:textFill>
              </w:rPr>
              <w:t>全国基层中医药工作示范</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b w:val="0"/>
                <w:bCs w:val="0"/>
                <w:color w:val="000000" w:themeColor="text1"/>
                <w:sz w:val="21"/>
                <w:szCs w:val="21"/>
                <w:highlight w:val="none"/>
                <w14:textFill>
                  <w14:solidFill>
                    <w14:schemeClr w14:val="tx1"/>
                  </w14:solidFill>
                </w14:textFill>
              </w:rPr>
              <w:t>建议和投诉平台</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或其他相关平台</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扣15分；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无创建工作相关信息，扣5分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对</w:t>
            </w:r>
            <w:r>
              <w:rPr>
                <w:rFonts w:hint="eastAsia" w:ascii="宋体" w:hAnsi="宋体" w:eastAsia="宋体" w:cs="宋体"/>
                <w:b w:val="0"/>
                <w:bCs w:val="0"/>
                <w:color w:val="000000" w:themeColor="text1"/>
                <w:sz w:val="21"/>
                <w:szCs w:val="21"/>
                <w:highlight w:val="none"/>
                <w14:textFill>
                  <w14:solidFill>
                    <w14:schemeClr w14:val="tx1"/>
                  </w14:solidFill>
                </w14:textFill>
              </w:rPr>
              <w:t>群众反映问题未核实解决</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扣5分。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both"/>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15</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1.4.2.查阅平台</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群众对本市中医药服务满意率。</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群众满意率&lt;90%，扣5分。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10" w:firstLineChars="100"/>
              <w:jc w:val="both"/>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5</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4262"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kern w:val="0"/>
                <w:sz w:val="21"/>
                <w:szCs w:val="21"/>
                <w:highlight w:val="none"/>
                <w:lang w:val="en-US"/>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二、促进发展</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370分</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357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2.1建立本市中医药工作跨部门协调机制，完善部门联席会议制度，做好中医药发展规划、标准制定和质量管理等工作，将本市基层中医药服务打造成网络健全、设施设备完善、人员配备合理、管理规范和中医药防治康养融合发展的完整体系。主管领导熟悉中医药法律法规及相关政策，组织并协调各相关部门落实基层中医药工作。（3</w:t>
            </w:r>
            <w:r>
              <w:rPr>
                <w:rFonts w:hint="eastAsia" w:ascii="宋体" w:hAnsi="宋体" w:eastAsia="宋体" w:cs="宋体"/>
                <w:b w:val="0"/>
                <w:bCs w:val="0"/>
                <w:color w:val="000000" w:themeColor="text1"/>
                <w:sz w:val="21"/>
                <w:szCs w:val="21"/>
                <w:highlight w:val="none"/>
                <w14:textFill>
                  <w14:solidFill>
                    <w14:schemeClr w14:val="tx1"/>
                  </w14:solidFill>
                </w14:textFill>
              </w:rPr>
              <w:t>0分≥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27分为达标）</w:t>
            </w: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2.1.1.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查阅本市建立中医药工作跨部门协调机制相关工作文件。</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未查阅到相关文件，扣10分；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部门不全，职责分工不明确，扣5分；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无各部门联络人员名单，扣5分；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20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2.1.</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kern w:val="0"/>
                <w:sz w:val="21"/>
                <w:szCs w:val="21"/>
                <w:highlight w:val="none"/>
                <w14:textFill>
                  <w14:solidFill>
                    <w14:schemeClr w14:val="tx1"/>
                  </w14:solidFill>
                </w14:textFill>
              </w:rPr>
              <w:t>.访谈</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市</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政府</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主</w:t>
            </w:r>
            <w:r>
              <w:rPr>
                <w:rFonts w:hint="eastAsia" w:ascii="宋体" w:hAnsi="宋体" w:eastAsia="宋体" w:cs="宋体"/>
                <w:b w:val="0"/>
                <w:bCs w:val="0"/>
                <w:color w:val="000000" w:themeColor="text1"/>
                <w:kern w:val="0"/>
                <w:sz w:val="21"/>
                <w:szCs w:val="21"/>
                <w:highlight w:val="none"/>
                <w14:textFill>
                  <w14:solidFill>
                    <w14:schemeClr w14:val="tx1"/>
                  </w14:solidFill>
                </w14:textFill>
              </w:rPr>
              <w:t>管中医药工作的领导。</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市</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政府</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分</w:t>
            </w:r>
            <w:r>
              <w:rPr>
                <w:rFonts w:hint="eastAsia" w:ascii="宋体" w:hAnsi="宋体" w:eastAsia="宋体" w:cs="宋体"/>
                <w:b w:val="0"/>
                <w:bCs w:val="0"/>
                <w:color w:val="000000" w:themeColor="text1"/>
                <w:kern w:val="0"/>
                <w:sz w:val="21"/>
                <w:szCs w:val="21"/>
                <w:highlight w:val="none"/>
                <w14:textFill>
                  <w14:solidFill>
                    <w14:schemeClr w14:val="tx1"/>
                  </w14:solidFill>
                </w14:textFill>
              </w:rPr>
              <w:t>管领导</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不</w:t>
            </w:r>
            <w:r>
              <w:rPr>
                <w:rFonts w:hint="eastAsia" w:ascii="宋体" w:hAnsi="宋体" w:eastAsia="宋体" w:cs="宋体"/>
                <w:b w:val="0"/>
                <w:bCs w:val="0"/>
                <w:color w:val="000000" w:themeColor="text1"/>
                <w:kern w:val="0"/>
                <w:sz w:val="21"/>
                <w:szCs w:val="21"/>
                <w:highlight w:val="none"/>
                <w14:textFill>
                  <w14:solidFill>
                    <w14:schemeClr w14:val="tx1"/>
                  </w14:solidFill>
                </w14:textFill>
              </w:rPr>
              <w:t>熟悉中医药政策，</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扣5分；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对本</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市</w:t>
            </w:r>
            <w:r>
              <w:rPr>
                <w:rFonts w:hint="eastAsia" w:ascii="宋体" w:hAnsi="宋体" w:eastAsia="宋体" w:cs="宋体"/>
                <w:b w:val="0"/>
                <w:bCs w:val="0"/>
                <w:color w:val="000000" w:themeColor="text1"/>
                <w:kern w:val="0"/>
                <w:sz w:val="21"/>
                <w:szCs w:val="21"/>
                <w:highlight w:val="none"/>
                <w14:textFill>
                  <w14:solidFill>
                    <w14:schemeClr w14:val="tx1"/>
                  </w14:solidFill>
                </w14:textFill>
              </w:rPr>
              <w:t>中医药工作发展思路</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不</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清晰</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扣5分。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1" w:hRule="atLeast"/>
          <w:jc w:val="center"/>
        </w:trPr>
        <w:tc>
          <w:tcPr>
            <w:tcW w:w="357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2.2.</w:t>
            </w:r>
            <w:r>
              <w:rPr>
                <w:rFonts w:hint="eastAsia" w:ascii="宋体" w:hAnsi="宋体" w:eastAsia="宋体" w:cs="宋体"/>
                <w:b w:val="0"/>
                <w:bCs w:val="0"/>
                <w:color w:val="000000" w:themeColor="text1"/>
                <w:sz w:val="21"/>
                <w:szCs w:val="21"/>
                <w:highlight w:val="none"/>
                <w14:textFill>
                  <w14:solidFill>
                    <w14:schemeClr w14:val="tx1"/>
                  </w14:solidFill>
                </w14:textFill>
              </w:rPr>
              <w:t>制定支持引进和培养本市及下辖县中医药高端人才的政策。对长期服务基层的中医医师职称晋升有倾斜政策。建立本地区中医师承培养制度，与职称评审、评优评先等挂钩。完善公立中医医疗机构薪酬制度。鼓励退休中医医师到基层服务。</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30分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2.2.1.查阅</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本市制定的</w:t>
            </w:r>
            <w:r>
              <w:rPr>
                <w:rFonts w:hint="eastAsia" w:ascii="宋体" w:hAnsi="宋体" w:eastAsia="宋体" w:cs="宋体"/>
                <w:b w:val="0"/>
                <w:bCs w:val="0"/>
                <w:color w:val="000000" w:themeColor="text1"/>
                <w:sz w:val="21"/>
                <w:szCs w:val="21"/>
                <w:highlight w:val="none"/>
                <w14:textFill>
                  <w14:solidFill>
                    <w14:schemeClr w14:val="tx1"/>
                  </w14:solidFill>
                </w14:textFill>
              </w:rPr>
              <w:t>相关</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政策文件</w:t>
            </w:r>
            <w:r>
              <w:rPr>
                <w:rFonts w:hint="eastAsia" w:ascii="宋体" w:hAnsi="宋体" w:eastAsia="宋体" w:cs="宋体"/>
                <w:b w:val="0"/>
                <w:bCs w:val="0"/>
                <w:color w:val="000000" w:themeColor="text1"/>
                <w:sz w:val="21"/>
                <w:szCs w:val="21"/>
                <w:highlight w:val="none"/>
                <w14:textFill>
                  <w14:solidFill>
                    <w14:schemeClr w14:val="tx1"/>
                  </w14:solidFill>
                </w14:textFill>
              </w:rPr>
              <w:t>。</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未查阅到制定</w:t>
            </w:r>
            <w:r>
              <w:rPr>
                <w:rFonts w:hint="eastAsia" w:ascii="宋体" w:hAnsi="宋体" w:eastAsia="宋体" w:cs="宋体"/>
                <w:b w:val="0"/>
                <w:bCs w:val="0"/>
                <w:color w:val="000000" w:themeColor="text1"/>
                <w:sz w:val="21"/>
                <w:szCs w:val="21"/>
                <w:highlight w:val="none"/>
                <w14:textFill>
                  <w14:solidFill>
                    <w14:schemeClr w14:val="tx1"/>
                  </w14:solidFill>
                </w14:textFill>
              </w:rPr>
              <w:t>支持引进和培养本</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市域内</w:t>
            </w:r>
            <w:r>
              <w:rPr>
                <w:rFonts w:hint="eastAsia" w:ascii="宋体" w:hAnsi="宋体" w:eastAsia="宋体" w:cs="宋体"/>
                <w:b w:val="0"/>
                <w:bCs w:val="0"/>
                <w:color w:val="000000" w:themeColor="text1"/>
                <w:sz w:val="21"/>
                <w:szCs w:val="21"/>
                <w:highlight w:val="none"/>
                <w14:textFill>
                  <w14:solidFill>
                    <w14:schemeClr w14:val="tx1"/>
                  </w14:solidFill>
                </w14:textFill>
              </w:rPr>
              <w:t>中医药中、高端人才政策</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文件，扣2分；</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textAlignment w:val="auto"/>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未提供近3年，引进和培养中医药人才名单，扣2分；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w:t>
            </w:r>
            <w:r>
              <w:rPr>
                <w:rFonts w:hint="eastAsia" w:ascii="宋体" w:hAnsi="宋体" w:eastAsia="宋体" w:cs="宋体"/>
                <w:b w:val="0"/>
                <w:bCs w:val="0"/>
                <w:color w:val="000000" w:themeColor="text1"/>
                <w:sz w:val="21"/>
                <w:szCs w:val="21"/>
                <w:highlight w:val="none"/>
                <w14:textFill>
                  <w14:solidFill>
                    <w14:schemeClr w14:val="tx1"/>
                  </w14:solidFill>
                </w14:textFill>
              </w:rPr>
              <w:t>执行放宽长期在基层服务的中医师晋升条件政策</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文件等，扣2分；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w:t>
            </w:r>
            <w:r>
              <w:rPr>
                <w:rFonts w:hint="eastAsia" w:ascii="宋体" w:hAnsi="宋体" w:eastAsia="宋体" w:cs="宋体"/>
                <w:b w:val="0"/>
                <w:bCs w:val="0"/>
                <w:color w:val="000000" w:themeColor="text1"/>
                <w:sz w:val="21"/>
                <w:szCs w:val="21"/>
                <w:highlight w:val="none"/>
                <w14:textFill>
                  <w14:solidFill>
                    <w14:schemeClr w14:val="tx1"/>
                  </w14:solidFill>
                </w14:textFill>
              </w:rPr>
              <w:t>建立本</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市域内</w:t>
            </w:r>
            <w:r>
              <w:rPr>
                <w:rFonts w:hint="eastAsia" w:ascii="宋体" w:hAnsi="宋体" w:eastAsia="宋体" w:cs="宋体"/>
                <w:b w:val="0"/>
                <w:bCs w:val="0"/>
                <w:color w:val="000000" w:themeColor="text1"/>
                <w:sz w:val="21"/>
                <w:szCs w:val="21"/>
                <w:highlight w:val="none"/>
                <w14:textFill>
                  <w14:solidFill>
                    <w14:schemeClr w14:val="tx1"/>
                  </w14:solidFill>
                </w14:textFill>
              </w:rPr>
              <w:t>高年资中医师带徒制度，</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w:t>
            </w:r>
            <w:r>
              <w:rPr>
                <w:rFonts w:hint="eastAsia" w:ascii="宋体" w:hAnsi="宋体" w:eastAsia="宋体" w:cs="宋体"/>
                <w:b w:val="0"/>
                <w:bCs w:val="0"/>
                <w:color w:val="000000" w:themeColor="text1"/>
                <w:sz w:val="21"/>
                <w:szCs w:val="21"/>
                <w:highlight w:val="none"/>
                <w14:textFill>
                  <w14:solidFill>
                    <w14:schemeClr w14:val="tx1"/>
                  </w14:solidFill>
                </w14:textFill>
              </w:rPr>
              <w:t>与职称评审、评优评先等挂钩</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相关资料，扣2分；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w:t>
            </w:r>
            <w:r>
              <w:rPr>
                <w:rFonts w:hint="eastAsia" w:ascii="宋体" w:hAnsi="宋体" w:eastAsia="宋体" w:cs="宋体"/>
                <w:b w:val="0"/>
                <w:bCs w:val="0"/>
                <w:color w:val="000000" w:themeColor="text1"/>
                <w:sz w:val="21"/>
                <w:szCs w:val="21"/>
                <w:highlight w:val="none"/>
                <w14:textFill>
                  <w14:solidFill>
                    <w14:schemeClr w14:val="tx1"/>
                  </w14:solidFill>
                </w14:textFill>
              </w:rPr>
              <w:t>完善公立中医医疗机构和公立基层医疗卫生机构薪酬制度</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相关文件，扣2分。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.实地检查</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b w:val="0"/>
                <w:bCs w:val="0"/>
                <w:color w:val="000000" w:themeColor="text1"/>
                <w:sz w:val="21"/>
                <w:szCs w:val="21"/>
                <w:highlight w:val="none"/>
                <w14:textFill>
                  <w14:solidFill>
                    <w14:schemeClr w14:val="tx1"/>
                  </w14:solidFill>
                </w14:textFill>
              </w:rPr>
              <w:t>中医</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医</w:t>
            </w:r>
            <w:r>
              <w:rPr>
                <w:rFonts w:hint="eastAsia" w:ascii="宋体" w:hAnsi="宋体" w:eastAsia="宋体" w:cs="宋体"/>
                <w:b w:val="0"/>
                <w:bCs w:val="0"/>
                <w:color w:val="000000" w:themeColor="text1"/>
                <w:sz w:val="21"/>
                <w:szCs w:val="21"/>
                <w:highlight w:val="none"/>
                <w14:textFill>
                  <w14:solidFill>
                    <w14:schemeClr w14:val="tx1"/>
                  </w14:solidFill>
                </w14:textFill>
              </w:rPr>
              <w:t>院</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2个下辖县及其下属的2个</w:t>
            </w:r>
            <w:r>
              <w:rPr>
                <w:rFonts w:hint="eastAsia" w:ascii="宋体" w:hAnsi="宋体" w:eastAsia="宋体" w:cs="宋体"/>
                <w:b w:val="0"/>
                <w:bCs w:val="0"/>
                <w:color w:val="000000" w:themeColor="text1"/>
                <w:sz w:val="21"/>
                <w:szCs w:val="21"/>
                <w:highlight w:val="none"/>
                <w14:textFill>
                  <w14:solidFill>
                    <w14:schemeClr w14:val="tx1"/>
                  </w14:solidFill>
                </w14:textFill>
              </w:rPr>
              <w:t>基层机构</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政策落实情况（4个机构）。</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经核实，未落实以上政策的，每个机构每项扣1分，扣完为止。</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15</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.实地访谈</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1"/>
                <w:szCs w:val="21"/>
                <w:highlight w:val="none"/>
                <w14:textFill>
                  <w14:solidFill>
                    <w14:schemeClr w14:val="tx1"/>
                  </w14:solidFill>
                </w14:textFill>
              </w:rPr>
              <w:t>名医务人员。</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被访谈人员对以上政策不了解的，每人扣1分。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7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2.3.</w:t>
            </w:r>
            <w:r>
              <w:rPr>
                <w:rFonts w:hint="eastAsia" w:ascii="宋体" w:hAnsi="宋体" w:eastAsia="宋体" w:cs="宋体"/>
                <w:b w:val="0"/>
                <w:bCs w:val="0"/>
                <w:color w:val="000000" w:themeColor="text1"/>
                <w:sz w:val="21"/>
                <w:szCs w:val="21"/>
                <w:highlight w:val="none"/>
                <w14:textFill>
                  <w14:solidFill>
                    <w14:schemeClr w14:val="tx1"/>
                  </w14:solidFill>
                </w14:textFill>
              </w:rPr>
              <w:t>提高财政支持力度，设立中医药财政专项，保障本市中医药事业的发展。建立持续稳定的中医药发展多元投入机制。督促本市下辖县财政部门落实中医药发展财政投入政策。</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0分≥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27分为达标</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2.3.1.查阅</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b w:val="0"/>
                <w:bCs w:val="0"/>
                <w:color w:val="000000" w:themeColor="text1"/>
                <w:sz w:val="21"/>
                <w:szCs w:val="21"/>
                <w:highlight w:val="none"/>
                <w14:textFill>
                  <w14:solidFill>
                    <w14:schemeClr w14:val="tx1"/>
                  </w14:solidFill>
                </w14:textFill>
              </w:rPr>
              <w:t>政府及财政部门出台的支持中医药事业发展的相关文件</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未设立市级</w:t>
            </w:r>
            <w:r>
              <w:rPr>
                <w:rFonts w:hint="eastAsia" w:ascii="宋体" w:hAnsi="宋体" w:eastAsia="宋体" w:cs="宋体"/>
                <w:b w:val="0"/>
                <w:bCs w:val="0"/>
                <w:color w:val="000000" w:themeColor="text1"/>
                <w:sz w:val="21"/>
                <w:szCs w:val="21"/>
                <w:highlight w:val="none"/>
                <w14:textFill>
                  <w14:solidFill>
                    <w14:schemeClr w14:val="tx1"/>
                  </w14:solidFill>
                </w14:textFill>
              </w:rPr>
              <w:t>中医药财政专项，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扣10</w:t>
            </w:r>
            <w:r>
              <w:rPr>
                <w:rFonts w:hint="eastAsia" w:ascii="宋体" w:hAnsi="宋体" w:eastAsia="宋体" w:cs="宋体"/>
                <w:b w:val="0"/>
                <w:bCs w:val="0"/>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w:t>
            </w:r>
            <w:r>
              <w:rPr>
                <w:rFonts w:hint="eastAsia" w:ascii="宋体" w:hAnsi="宋体" w:eastAsia="宋体" w:cs="宋体"/>
                <w:b w:val="0"/>
                <w:bCs w:val="0"/>
                <w:color w:val="000000" w:themeColor="text1"/>
                <w:sz w:val="21"/>
                <w:szCs w:val="21"/>
                <w:highlight w:val="none"/>
                <w14:textFill>
                  <w14:solidFill>
                    <w14:schemeClr w14:val="tx1"/>
                  </w14:solidFill>
                </w14:textFill>
              </w:rPr>
              <w:t>将中医药事业发展经费纳入本级财政预算，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扣8</w:t>
            </w:r>
            <w:r>
              <w:rPr>
                <w:rFonts w:hint="eastAsia" w:ascii="宋体" w:hAnsi="宋体" w:eastAsia="宋体" w:cs="宋体"/>
                <w:b w:val="0"/>
                <w:bCs w:val="0"/>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2.3.2.查阅</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b w:val="0"/>
                <w:bCs w:val="0"/>
                <w:color w:val="000000" w:themeColor="text1"/>
                <w:sz w:val="21"/>
                <w:szCs w:val="21"/>
                <w:highlight w:val="none"/>
                <w14:textFill>
                  <w14:solidFill>
                    <w14:schemeClr w14:val="tx1"/>
                  </w14:solidFill>
                </w14:textFill>
              </w:rPr>
              <w:t>对中医药事业发展的财政投入机制（含政府财政和多元投入）</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未建立</w:t>
            </w:r>
            <w:r>
              <w:rPr>
                <w:rFonts w:hint="eastAsia" w:ascii="宋体" w:hAnsi="宋体" w:eastAsia="宋体" w:cs="宋体"/>
                <w:b w:val="0"/>
                <w:bCs w:val="0"/>
                <w:color w:val="000000" w:themeColor="text1"/>
                <w:sz w:val="21"/>
                <w:szCs w:val="21"/>
                <w:highlight w:val="none"/>
                <w14:textFill>
                  <w14:solidFill>
                    <w14:schemeClr w14:val="tx1"/>
                  </w14:solidFill>
                </w14:textFill>
              </w:rPr>
              <w:t>持续稳定的中医药发展多元投入机制</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不得分</w:t>
            </w:r>
            <w:r>
              <w:rPr>
                <w:rFonts w:hint="eastAsia" w:ascii="宋体" w:hAnsi="宋体" w:eastAsia="宋体" w:cs="宋体"/>
                <w:b w:val="0"/>
                <w:bCs w:val="0"/>
                <w:color w:val="000000" w:themeColor="text1"/>
                <w:sz w:val="21"/>
                <w:szCs w:val="21"/>
                <w:highlight w:val="none"/>
                <w14:textFill>
                  <w14:solidFill>
                    <w14:schemeClr w14:val="tx1"/>
                  </w14:solidFill>
                </w14:textFill>
              </w:rPr>
              <w:t>。</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2.3.3.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查阅对下辖县投入的督促落实工作记录。（包括文件、财政下拨记录、指导检查等）</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未查阅到督导下辖县相关工作记录，扣10分。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工作记录不完善，每项扣2分。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7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2.4</w:t>
            </w:r>
            <w:r>
              <w:rPr>
                <w:rFonts w:hint="eastAsia" w:ascii="宋体" w:hAnsi="宋体" w:eastAsia="宋体" w:cs="宋体"/>
                <w:b w:val="0"/>
                <w:bCs w:val="0"/>
                <w:color w:val="000000" w:themeColor="text1"/>
                <w:sz w:val="21"/>
                <w:szCs w:val="21"/>
                <w:highlight w:val="none"/>
                <w14:textFill>
                  <w14:solidFill>
                    <w14:schemeClr w14:val="tx1"/>
                  </w14:solidFill>
                </w14:textFill>
              </w:rPr>
              <w:t>依据中医药法有关规定建立健全中医药管理体系，明确承担中医药管理职能的机构，合理配置人员力量。</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20分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2.</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4.1</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.查阅设置中医药管理职能部门、完善管理体系的相关文件（政府三定方案或编办文件）</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未设置</w:t>
            </w:r>
            <w:r>
              <w:rPr>
                <w:rFonts w:hint="eastAsia" w:ascii="宋体" w:hAnsi="宋体" w:eastAsia="宋体" w:cs="宋体"/>
                <w:b w:val="0"/>
                <w:bCs w:val="0"/>
                <w:color w:val="000000" w:themeColor="text1"/>
                <w:kern w:val="0"/>
                <w:sz w:val="21"/>
                <w:szCs w:val="21"/>
                <w:highlight w:val="none"/>
                <w14:textFill>
                  <w14:solidFill>
                    <w14:schemeClr w14:val="tx1"/>
                  </w14:solidFill>
                </w14:textFill>
              </w:rPr>
              <w:t>中医药管理职能部门</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扣10分；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无专职人员管理中医药工作，扣10分；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20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7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b w:val="0"/>
                <w:bCs w:val="0"/>
                <w:color w:val="000000" w:themeColor="text1"/>
                <w:sz w:val="21"/>
                <w:szCs w:val="21"/>
                <w:highlight w:val="none"/>
                <w14:textFill>
                  <w14:solidFill>
                    <w14:schemeClr w14:val="tx1"/>
                  </w14:solidFill>
                </w14:textFill>
              </w:rPr>
              <w:t>加大中医药宣传推广力度，将《中国公民中医养生保健素养》《健康教育中医药基本内容》和中医药科普知识作为健康教育重要内容加以推广。加大本市新闻媒体对中医药宣传力度，加强和规范中医药养生保健知识传播，营造本市城乡居民知中医、信中医、用中医、爱中医的社会氛围。</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20分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1"/>
                <w:szCs w:val="21"/>
                <w:highlight w:val="none"/>
                <w14:textFill>
                  <w14:solidFill>
                    <w14:schemeClr w14:val="tx1"/>
                  </w14:solidFill>
                </w14:textFill>
              </w:rPr>
              <w:t>.1.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查阅宣传推广中医药科普知识相关措施文件，抽查2个下辖县电视台、报纸、网站等新闻媒体对中医药的宣传。查看户外公益宣传渠道对中医药的宣传。</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both"/>
              <w:textAlignment w:val="auto"/>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未查阅到相关文件，扣10分；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下辖县相关媒体中医药宣传资料，一个县扣3分；</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中医药宣传形式＜5种，每少1种，扣2分。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16</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1"/>
                <w:szCs w:val="21"/>
                <w:highlight w:val="none"/>
                <w14:textFill>
                  <w14:solidFill>
                    <w14:schemeClr w14:val="tx1"/>
                  </w14:solidFill>
                </w14:textFill>
              </w:rPr>
              <w:t>.2.访谈相关部门主管领导。</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主管领导认识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b w:val="0"/>
                <w:bCs w:val="0"/>
                <w:color w:val="000000" w:themeColor="text1"/>
                <w:sz w:val="21"/>
                <w:szCs w:val="21"/>
                <w:highlight w:val="none"/>
                <w14:textFill>
                  <w14:solidFill>
                    <w14:schemeClr w14:val="tx1"/>
                  </w14:solidFill>
                </w14:textFill>
              </w:rPr>
              <w:t>到位</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扣4分；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57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2.6.</w:t>
            </w:r>
            <w:r>
              <w:rPr>
                <w:rFonts w:hint="eastAsia" w:ascii="宋体" w:hAnsi="宋体" w:eastAsia="宋体" w:cs="宋体"/>
                <w:b w:val="0"/>
                <w:bCs w:val="0"/>
                <w:color w:val="000000" w:themeColor="text1"/>
                <w:sz w:val="21"/>
                <w:szCs w:val="21"/>
                <w:highlight w:val="none"/>
                <w14:textFill>
                  <w14:solidFill>
                    <w14:schemeClr w14:val="tx1"/>
                  </w14:solidFill>
                </w14:textFill>
              </w:rPr>
              <w:t>加大对中医药发展投资力度，保障本区域中医医疗机构的立项、建设和政府投入，改善市中医医院办院条件，扩大优质服务供给。切实保障区域公立中医类医院投入责任落实。</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20分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1"/>
                <w:szCs w:val="21"/>
                <w:highlight w:val="none"/>
                <w14:textFill>
                  <w14:solidFill>
                    <w14:schemeClr w14:val="tx1"/>
                  </w14:solidFill>
                </w14:textFill>
              </w:rPr>
              <w:t>.1.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查阅本市中医医疗机构立项建设和政府投入相关文件资料。</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未查阅到支持中医医疗机构立项建设、改善</w:t>
            </w:r>
            <w:r>
              <w:rPr>
                <w:rFonts w:hint="eastAsia" w:ascii="宋体" w:hAnsi="宋体" w:eastAsia="宋体" w:cs="宋体"/>
                <w:b w:val="0"/>
                <w:bCs w:val="0"/>
                <w:color w:val="000000" w:themeColor="text1"/>
                <w:sz w:val="21"/>
                <w:szCs w:val="21"/>
                <w:highlight w:val="none"/>
                <w14:textFill>
                  <w14:solidFill>
                    <w14:schemeClr w14:val="tx1"/>
                  </w14:solidFill>
                </w14:textFill>
              </w:rPr>
              <w:t>中医医院办院条件</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的相关资料和文件，不得分。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t>2.6.2.现场查看本市中医医院；</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抽查2个下辖县中医医院。</w:t>
            </w:r>
          </w:p>
        </w:tc>
        <w:tc>
          <w:tcPr>
            <w:tcW w:w="4612"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对本市公立中医类医院投入责任落实不到位的，每家医院扣5分，最多扣10分；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357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2.7.</w:t>
            </w:r>
            <w:r>
              <w:rPr>
                <w:rFonts w:hint="eastAsia" w:ascii="宋体" w:hAnsi="宋体" w:eastAsia="宋体" w:cs="宋体"/>
                <w:b w:val="0"/>
                <w:bCs w:val="0"/>
                <w:color w:val="000000" w:themeColor="text1"/>
                <w:sz w:val="21"/>
                <w:szCs w:val="21"/>
                <w:highlight w:val="none"/>
                <w14:textFill>
                  <w14:solidFill>
                    <w14:schemeClr w14:val="tx1"/>
                  </w14:solidFill>
                </w14:textFill>
              </w:rPr>
              <w:t>根据本市及下辖县的医疗服务规划，监督和保障本区域中医诊疗中心和公立中医医疗机构用地的规划、审批。</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20分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1"/>
                <w:szCs w:val="21"/>
                <w:highlight w:val="none"/>
                <w14:textFill>
                  <w14:solidFill>
                    <w14:schemeClr w14:val="tx1"/>
                  </w14:solidFill>
                </w14:textFill>
              </w:rPr>
              <w:t>.1查阅本</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b w:val="0"/>
                <w:bCs w:val="0"/>
                <w:color w:val="000000" w:themeColor="text1"/>
                <w:sz w:val="21"/>
                <w:szCs w:val="21"/>
                <w:highlight w:val="none"/>
                <w14:textFill>
                  <w14:solidFill>
                    <w14:schemeClr w14:val="tx1"/>
                  </w14:solidFill>
                </w14:textFill>
              </w:rPr>
              <w:t>医疗服务规划和相关审批资料。</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未查阅到市相关规划和审批，扣10分；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不能及时根据本市及下辖县的医疗规划，</w:t>
            </w:r>
            <w:r>
              <w:rPr>
                <w:rFonts w:hint="eastAsia" w:ascii="宋体" w:hAnsi="宋体" w:eastAsia="宋体" w:cs="宋体"/>
                <w:b w:val="0"/>
                <w:bCs w:val="0"/>
                <w:color w:val="000000" w:themeColor="text1"/>
                <w:sz w:val="21"/>
                <w:szCs w:val="21"/>
                <w:highlight w:val="none"/>
                <w14:textFill>
                  <w14:solidFill>
                    <w14:schemeClr w14:val="tx1"/>
                  </w14:solidFill>
                </w14:textFill>
              </w:rPr>
              <w:t>保障机构用地</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的规划和审批</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扣10</w:t>
            </w:r>
            <w:r>
              <w:rPr>
                <w:rFonts w:hint="eastAsia" w:ascii="宋体" w:hAnsi="宋体" w:eastAsia="宋体" w:cs="宋体"/>
                <w:b w:val="0"/>
                <w:bCs w:val="0"/>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357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t>2.8.将中医药科技发展纳入本区域科技发展的总体规划。制定本市及下辖县支持促进中医药科技发展的政策措施和科研规划。组织本区域内重大中医药科研项目，促进本区域中医药科技发展。建立科技主管部门与中医药主管部门协同联动的管理机制。（20分）</w:t>
            </w: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t>2.8.1.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查阅本市科技发展总体规划中中医药科技发展内容和政策措施。</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本市</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科技发展总体规划中无中医药科技发展内容和政策措施的，不得分。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78"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pPr>
          </w:p>
        </w:tc>
        <w:tc>
          <w:tcPr>
            <w:tcW w:w="440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t>2.8.2.查阅3年内中医药科研项目申报、立项等资料（含本级及以上项目）。</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t>查阅指导下辖县申报中医药科研项目工作记录。</w:t>
            </w:r>
          </w:p>
        </w:tc>
        <w:tc>
          <w:tcPr>
            <w:tcW w:w="461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未查阅到近</w:t>
            </w:r>
            <w:r>
              <w:rPr>
                <w:rFonts w:hint="eastAsia" w:ascii="宋体" w:hAnsi="宋体" w:eastAsia="宋体" w:cs="宋体"/>
                <w:b w:val="0"/>
                <w:bCs w:val="0"/>
                <w:color w:val="000000" w:themeColor="text1"/>
                <w:sz w:val="21"/>
                <w:szCs w:val="21"/>
                <w:highlight w:val="none"/>
                <w14:textFill>
                  <w14:solidFill>
                    <w14:schemeClr w14:val="tx1"/>
                  </w14:solidFill>
                </w14:textFill>
              </w:rPr>
              <w:t>3年</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市级及以上</w:t>
            </w:r>
            <w:r>
              <w:rPr>
                <w:rFonts w:hint="eastAsia" w:ascii="宋体" w:hAnsi="宋体" w:eastAsia="宋体" w:cs="宋体"/>
                <w:b w:val="0"/>
                <w:bCs w:val="0"/>
                <w:color w:val="000000" w:themeColor="text1"/>
                <w:sz w:val="21"/>
                <w:szCs w:val="21"/>
                <w:highlight w:val="none"/>
                <w14:textFill>
                  <w14:solidFill>
                    <w14:schemeClr w14:val="tx1"/>
                  </w14:solidFill>
                </w14:textFill>
              </w:rPr>
              <w:t>中医药科研项目</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扣10</w:t>
            </w:r>
            <w:r>
              <w:rPr>
                <w:rFonts w:hint="eastAsia" w:ascii="宋体" w:hAnsi="宋体" w:eastAsia="宋体" w:cs="宋体"/>
                <w:b w:val="0"/>
                <w:bCs w:val="0"/>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80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85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357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2.9.</w:t>
            </w:r>
            <w:r>
              <w:rPr>
                <w:rFonts w:hint="eastAsia" w:ascii="宋体" w:hAnsi="宋体" w:eastAsia="宋体" w:cs="宋体"/>
                <w:b w:val="0"/>
                <w:bCs w:val="0"/>
                <w:color w:val="000000" w:themeColor="text1"/>
                <w:sz w:val="21"/>
                <w:szCs w:val="21"/>
                <w:highlight w:val="none"/>
                <w14:textFill>
                  <w14:solidFill>
                    <w14:schemeClr w14:val="tx1"/>
                  </w14:solidFill>
                </w14:textFill>
              </w:rPr>
              <w:t>完善医疗保障支持中医药发展政策，建立以临床价值和技术劳务价值为主要依据的中医医疗服务技术评估体系，定期调整优化中医医疗服务项目及服务价格。组织制定适宜的中医药诊疗支付方式，推动地市级医保对中医药服务的优惠政策。定期调研，听取下辖县医保反映的基层中医医疗机构需求，将疗效和成本有优势的中医医疗服务项目、费用和价格等问题，向省级医保部门上报申请批准。审批医保单位时简化申请程序，开辟绿色通道，优先考虑中医医疗机构。</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14:textFill>
                  <w14:solidFill>
                    <w14:schemeClr w14:val="tx1"/>
                  </w14:solidFill>
                </w14:textFill>
              </w:rPr>
              <w:t>0分≥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36分为达标</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44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val="0"/>
                <w:bCs w:val="0"/>
                <w:color w:val="000000" w:themeColor="text1"/>
                <w:sz w:val="21"/>
                <w:szCs w:val="21"/>
                <w:highlight w:val="none"/>
                <w14:textFill>
                  <w14:solidFill>
                    <w14:schemeClr w14:val="tx1"/>
                  </w14:solidFill>
                </w14:textFill>
              </w:rPr>
              <w:t>.1.查阅</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本市制定的关于支持</w:t>
            </w:r>
            <w:r>
              <w:rPr>
                <w:rFonts w:hint="eastAsia" w:ascii="宋体" w:hAnsi="宋体" w:eastAsia="宋体" w:cs="宋体"/>
                <w:b w:val="0"/>
                <w:bCs w:val="0"/>
                <w:color w:val="000000" w:themeColor="text1"/>
                <w:sz w:val="21"/>
                <w:szCs w:val="21"/>
                <w:highlight w:val="none"/>
                <w14:textFill>
                  <w14:solidFill>
                    <w14:schemeClr w14:val="tx1"/>
                  </w14:solidFill>
                </w14:textFill>
              </w:rPr>
              <w:t>中医药</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发展、地市级医保</w:t>
            </w:r>
            <w:r>
              <w:rPr>
                <w:rFonts w:hint="eastAsia" w:ascii="宋体" w:hAnsi="宋体" w:eastAsia="宋体" w:cs="宋体"/>
                <w:b w:val="0"/>
                <w:bCs w:val="0"/>
                <w:color w:val="000000" w:themeColor="text1"/>
                <w:sz w:val="21"/>
                <w:szCs w:val="21"/>
                <w:highlight w:val="none"/>
                <w14:textFill>
                  <w14:solidFill>
                    <w14:schemeClr w14:val="tx1"/>
                  </w14:solidFill>
                </w14:textFill>
              </w:rPr>
              <w:t>对中医药服务的优惠相关政策</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文件</w:t>
            </w:r>
            <w:r>
              <w:rPr>
                <w:rFonts w:hint="eastAsia" w:ascii="宋体" w:hAnsi="宋体" w:eastAsia="宋体" w:cs="宋体"/>
                <w:b w:val="0"/>
                <w:bCs w:val="0"/>
                <w:color w:val="000000" w:themeColor="text1"/>
                <w:sz w:val="21"/>
                <w:szCs w:val="21"/>
                <w:highlight w:val="none"/>
                <w14:textFill>
                  <w14:solidFill>
                    <w14:schemeClr w14:val="tx1"/>
                  </w14:solidFill>
                </w14:textFill>
              </w:rPr>
              <w:t>。</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未查阅到相关政策文件</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不得分。</w:t>
            </w:r>
          </w:p>
        </w:tc>
        <w:tc>
          <w:tcPr>
            <w:tcW w:w="8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10</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2.9.2.查阅本市</w:t>
            </w:r>
            <w:r>
              <w:rPr>
                <w:rFonts w:hint="eastAsia" w:ascii="宋体" w:hAnsi="宋体" w:eastAsia="宋体" w:cs="宋体"/>
                <w:b w:val="0"/>
                <w:bCs w:val="0"/>
                <w:color w:val="000000" w:themeColor="text1"/>
                <w:sz w:val="21"/>
                <w:szCs w:val="21"/>
                <w:highlight w:val="none"/>
                <w14:textFill>
                  <w14:solidFill>
                    <w14:schemeClr w14:val="tx1"/>
                  </w14:solidFill>
                </w14:textFill>
              </w:rPr>
              <w:t>定期调整优化中医医疗服务项目及服务价格</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相关文件资料；</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未查阅到相关文件资料</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扣5</w:t>
            </w:r>
            <w:r>
              <w:rPr>
                <w:rFonts w:hint="eastAsia" w:ascii="宋体" w:hAnsi="宋体" w:eastAsia="宋体" w:cs="宋体"/>
                <w:b w:val="0"/>
                <w:bCs w:val="0"/>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p>
        </w:tc>
        <w:tc>
          <w:tcPr>
            <w:tcW w:w="8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5</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5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2.9.3.查阅本市</w:t>
            </w:r>
            <w:r>
              <w:rPr>
                <w:rFonts w:hint="eastAsia" w:ascii="宋体" w:hAnsi="宋体" w:eastAsia="宋体" w:cs="宋体"/>
                <w:b w:val="0"/>
                <w:bCs w:val="0"/>
                <w:color w:val="000000" w:themeColor="text1"/>
                <w:sz w:val="21"/>
                <w:szCs w:val="21"/>
                <w:highlight w:val="none"/>
                <w14:textFill>
                  <w14:solidFill>
                    <w14:schemeClr w14:val="tx1"/>
                  </w14:solidFill>
                </w14:textFill>
              </w:rPr>
              <w:t>组织制定适宜的中医药诊疗支付方式</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的相关文件资料；</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未查阅到相关文件资料</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扣5</w:t>
            </w:r>
            <w:r>
              <w:rPr>
                <w:rFonts w:hint="eastAsia" w:ascii="宋体" w:hAnsi="宋体" w:eastAsia="宋体" w:cs="宋体"/>
                <w:b w:val="0"/>
                <w:bCs w:val="0"/>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p>
        </w:tc>
        <w:tc>
          <w:tcPr>
            <w:tcW w:w="8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5</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5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2.9.4</w:t>
            </w:r>
            <w:r>
              <w:rPr>
                <w:rFonts w:hint="eastAsia" w:ascii="宋体" w:hAnsi="宋体" w:eastAsia="宋体" w:cs="宋体"/>
                <w:b w:val="0"/>
                <w:bCs w:val="0"/>
                <w:color w:val="000000" w:themeColor="text1"/>
                <w:sz w:val="21"/>
                <w:szCs w:val="21"/>
                <w:highlight w:val="none"/>
                <w14:textFill>
                  <w14:solidFill>
                    <w14:schemeClr w14:val="tx1"/>
                  </w14:solidFill>
                </w14:textFill>
              </w:rPr>
              <w:t>定期调研，听取下辖县医保反映的基层中医医疗机构需求，将疗效和成本有优势的中医医疗服务项目、费用和价格等问题，向省级医保部门上报申请批准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的工作资料；</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未查阅到相关调研资料，扣5分；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w:t>
            </w:r>
            <w:r>
              <w:rPr>
                <w:rFonts w:hint="eastAsia" w:ascii="宋体" w:hAnsi="宋体" w:eastAsia="宋体" w:cs="宋体"/>
                <w:b w:val="0"/>
                <w:bCs w:val="0"/>
                <w:color w:val="000000" w:themeColor="text1"/>
                <w:sz w:val="21"/>
                <w:szCs w:val="21"/>
                <w:highlight w:val="none"/>
                <w14:textFill>
                  <w14:solidFill>
                    <w14:schemeClr w14:val="tx1"/>
                  </w14:solidFill>
                </w14:textFill>
              </w:rPr>
              <w:t>向省级医保部门上报</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的，扣5分。</w:t>
            </w:r>
          </w:p>
        </w:tc>
        <w:tc>
          <w:tcPr>
            <w:tcW w:w="8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10</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5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2.9.5.查阅医保审批相关工作资料；</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w:t>
            </w:r>
            <w:r>
              <w:rPr>
                <w:rFonts w:hint="eastAsia" w:ascii="宋体" w:hAnsi="宋体" w:eastAsia="宋体" w:cs="宋体"/>
                <w:b w:val="0"/>
                <w:bCs w:val="0"/>
                <w:color w:val="000000" w:themeColor="text1"/>
                <w:sz w:val="21"/>
                <w:szCs w:val="21"/>
                <w:highlight w:val="none"/>
                <w14:textFill>
                  <w14:solidFill>
                    <w14:schemeClr w14:val="tx1"/>
                  </w14:solidFill>
                </w14:textFill>
              </w:rPr>
              <w:t>优先考虑中医医疗机构</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，扣6分。</w:t>
            </w:r>
          </w:p>
        </w:tc>
        <w:tc>
          <w:tcPr>
            <w:tcW w:w="8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6</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5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1"/>
                <w:szCs w:val="21"/>
                <w:highlight w:val="none"/>
                <w14:textFill>
                  <w14:solidFill>
                    <w14:schemeClr w14:val="tx1"/>
                  </w14:solidFill>
                </w14:textFill>
              </w:rPr>
              <w:t>.访谈部门主管领导</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46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主管领导</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不了解中医药相关政策，扣4分。</w:t>
            </w:r>
          </w:p>
        </w:tc>
        <w:tc>
          <w:tcPr>
            <w:tcW w:w="8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4</w:t>
            </w:r>
          </w:p>
        </w:tc>
        <w:tc>
          <w:tcPr>
            <w:tcW w:w="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3578"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2.10</w:t>
            </w:r>
            <w:r>
              <w:rPr>
                <w:rFonts w:hint="eastAsia" w:ascii="宋体" w:hAnsi="宋体" w:eastAsia="宋体" w:cs="宋体"/>
                <w:b w:val="0"/>
                <w:bCs w:val="0"/>
                <w:color w:val="000000" w:themeColor="text1"/>
                <w:sz w:val="21"/>
                <w:szCs w:val="21"/>
                <w:highlight w:val="none"/>
                <w14:textFill>
                  <w14:solidFill>
                    <w14:schemeClr w14:val="tx1"/>
                  </w14:solidFill>
                </w14:textFill>
              </w:rPr>
              <w:t>推进中医药科普教育，丰富中医药文化教育内容和活动形式，组织本市中医药文化进校园工作。把中医药文化纳入中华传统文化课程。促进青少年了解中医药养生保健知识，促进身心健康。</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在本市内开设中医药职业教育，为当地乡村培养用得上、留得住的中医药人员或能中会西的乡村医生。</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20分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440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val="0"/>
                <w:bCs w:val="0"/>
                <w:color w:val="000000" w:themeColor="text1"/>
                <w:sz w:val="21"/>
                <w:szCs w:val="21"/>
                <w:highlight w:val="none"/>
                <w14:textFill>
                  <w14:solidFill>
                    <w14:schemeClr w14:val="tx1"/>
                  </w14:solidFill>
                </w14:textFill>
              </w:rPr>
              <w:t>.1.查阅本</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b w:val="0"/>
                <w:bCs w:val="0"/>
                <w:color w:val="000000" w:themeColor="text1"/>
                <w:sz w:val="21"/>
                <w:szCs w:val="21"/>
                <w:highlight w:val="none"/>
                <w14:textFill>
                  <w14:solidFill>
                    <w14:schemeClr w14:val="tx1"/>
                  </w14:solidFill>
                </w14:textFill>
              </w:rPr>
              <w:t>中医药科普教育</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中医药</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文化</w:t>
            </w:r>
            <w:r>
              <w:rPr>
                <w:rFonts w:hint="eastAsia" w:ascii="宋体" w:hAnsi="宋体" w:eastAsia="宋体" w:cs="宋体"/>
                <w:b w:val="0"/>
                <w:bCs w:val="0"/>
                <w:color w:val="000000" w:themeColor="text1"/>
                <w:sz w:val="21"/>
                <w:szCs w:val="21"/>
                <w:highlight w:val="none"/>
                <w14:textFill>
                  <w14:solidFill>
                    <w14:schemeClr w14:val="tx1"/>
                  </w14:solidFill>
                </w14:textFill>
              </w:rPr>
              <w:t>进校园</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活动方案等相关资料。</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抽查2个下辖县落实情况。</w:t>
            </w:r>
          </w:p>
        </w:tc>
        <w:tc>
          <w:tcPr>
            <w:tcW w:w="4612"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lang w:val="en-US" w:eastAsia="zh-CN"/>
              </w:rPr>
            </w:pPr>
            <w:r>
              <w:rPr>
                <w:rFonts w:hint="eastAsia"/>
                <w:lang w:val="en-US" w:eastAsia="zh-CN"/>
              </w:rPr>
              <w:t>未查阅到相关资料，扣10分；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lang w:val="en-US" w:eastAsia="zh-CN"/>
              </w:rPr>
              <w:t>下辖县未开展相关工作，无相关资料，每个县扣5分。</w:t>
            </w:r>
          </w:p>
        </w:tc>
        <w:tc>
          <w:tcPr>
            <w:tcW w:w="80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default"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10</w:t>
            </w:r>
          </w:p>
        </w:tc>
        <w:tc>
          <w:tcPr>
            <w:tcW w:w="85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440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val="0"/>
                <w:bCs w:val="0"/>
                <w:color w:val="000000" w:themeColor="text1"/>
                <w:sz w:val="21"/>
                <w:szCs w:val="21"/>
                <w:highlight w:val="none"/>
                <w14:textFill>
                  <w14:solidFill>
                    <w14:schemeClr w14:val="tx1"/>
                  </w14:solidFill>
                </w14:textFill>
              </w:rPr>
              <w:t>.2.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查阅本市开设中医药职业教育的相关资料。</w:t>
            </w:r>
          </w:p>
        </w:tc>
        <w:tc>
          <w:tcPr>
            <w:tcW w:w="4612"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未查阅到相关资料，扣6分；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开设中医药职业教育，但未将乡村医生纳入培养范围，扣4分。</w:t>
            </w:r>
          </w:p>
        </w:tc>
        <w:tc>
          <w:tcPr>
            <w:tcW w:w="80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default"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6</w:t>
            </w:r>
          </w:p>
        </w:tc>
        <w:tc>
          <w:tcPr>
            <w:tcW w:w="85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440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2.10.3.</w:t>
            </w:r>
            <w:r>
              <w:rPr>
                <w:rFonts w:hint="eastAsia" w:ascii="宋体" w:hAnsi="宋体" w:eastAsia="宋体" w:cs="宋体"/>
                <w:b w:val="0"/>
                <w:bCs w:val="0"/>
                <w:color w:val="000000" w:themeColor="text1"/>
                <w:sz w:val="21"/>
                <w:szCs w:val="21"/>
                <w:highlight w:val="none"/>
                <w14:textFill>
                  <w14:solidFill>
                    <w14:schemeClr w14:val="tx1"/>
                  </w14:solidFill>
                </w14:textFill>
              </w:rPr>
              <w:t>访谈相关部门主管领导。</w:t>
            </w:r>
          </w:p>
        </w:tc>
        <w:tc>
          <w:tcPr>
            <w:tcW w:w="4612"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主管领导</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对中医药相关政策不了解</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扣4</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c>
          <w:tcPr>
            <w:tcW w:w="80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default"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4</w:t>
            </w:r>
          </w:p>
        </w:tc>
        <w:tc>
          <w:tcPr>
            <w:tcW w:w="85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3578"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2.11</w:t>
            </w:r>
            <w:r>
              <w:rPr>
                <w:rFonts w:hint="eastAsia" w:ascii="宋体" w:hAnsi="宋体" w:eastAsia="宋体" w:cs="宋体"/>
                <w:b w:val="0"/>
                <w:bCs w:val="0"/>
                <w:color w:val="000000" w:themeColor="text1"/>
                <w:sz w:val="21"/>
                <w:szCs w:val="21"/>
                <w:highlight w:val="none"/>
                <w14:textFill>
                  <w14:solidFill>
                    <w14:schemeClr w14:val="tx1"/>
                  </w14:solidFill>
                </w14:textFill>
              </w:rPr>
              <w:t>支持本市及下辖县中医药信息化建设，改善各级机构信息化基础条件。推进基层中医药信息建设，加快本市基层医疗卫生机构中医药信息规范化进程。</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20分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440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1"/>
                <w:szCs w:val="21"/>
                <w:highlight w:val="none"/>
                <w14:textFill>
                  <w14:solidFill>
                    <w14:schemeClr w14:val="tx1"/>
                  </w14:solidFill>
                </w14:textFill>
              </w:rPr>
              <w:t>.1.查阅本</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市及下辖县</w:t>
            </w:r>
            <w:r>
              <w:rPr>
                <w:rFonts w:hint="eastAsia" w:ascii="宋体" w:hAnsi="宋体" w:eastAsia="宋体" w:cs="宋体"/>
                <w:b w:val="0"/>
                <w:bCs w:val="0"/>
                <w:color w:val="000000" w:themeColor="text1"/>
                <w:sz w:val="21"/>
                <w:szCs w:val="21"/>
                <w:highlight w:val="none"/>
                <w14:textFill>
                  <w14:solidFill>
                    <w14:schemeClr w14:val="tx1"/>
                  </w14:solidFill>
                </w14:textFill>
              </w:rPr>
              <w:t>中医药信息化建设资料</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抽查2个下辖县中医药信息化建设。</w:t>
            </w:r>
          </w:p>
        </w:tc>
        <w:tc>
          <w:tcPr>
            <w:tcW w:w="4612"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未查阅到市级中医药信息化基础建设相关资料，扣5分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下辖县无</w:t>
            </w:r>
            <w:r>
              <w:rPr>
                <w:rFonts w:hint="eastAsia" w:ascii="宋体" w:hAnsi="宋体" w:eastAsia="宋体" w:cs="宋体"/>
                <w:b w:val="0"/>
                <w:bCs w:val="0"/>
                <w:color w:val="000000" w:themeColor="text1"/>
                <w:sz w:val="21"/>
                <w:szCs w:val="21"/>
                <w:highlight w:val="none"/>
                <w14:textFill>
                  <w14:solidFill>
                    <w14:schemeClr w14:val="tx1"/>
                  </w14:solidFill>
                </w14:textFill>
              </w:rPr>
              <w:t>中医药信息化基础建设</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1个县扣5分，最多扣10</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c>
          <w:tcPr>
            <w:tcW w:w="80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15</w:t>
            </w:r>
          </w:p>
        </w:tc>
        <w:tc>
          <w:tcPr>
            <w:tcW w:w="85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1"/>
                <w:szCs w:val="21"/>
                <w:highlight w:val="none"/>
                <w14:textFill>
                  <w14:solidFill>
                    <w14:schemeClr w14:val="tx1"/>
                  </w14:solidFill>
                </w14:textFill>
              </w:rPr>
              <w:t>.2.在</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b w:val="0"/>
                <w:bCs w:val="0"/>
                <w:color w:val="000000" w:themeColor="text1"/>
                <w:sz w:val="21"/>
                <w:szCs w:val="21"/>
                <w:highlight w:val="none"/>
                <w14:textFill>
                  <w14:solidFill>
                    <w14:schemeClr w14:val="tx1"/>
                  </w14:solidFill>
                </w14:textFill>
              </w:rPr>
              <w:t>中医院、</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2个下辖县各2个</w:t>
            </w:r>
            <w:r>
              <w:rPr>
                <w:rFonts w:hint="eastAsia" w:ascii="宋体" w:hAnsi="宋体" w:eastAsia="宋体" w:cs="宋体"/>
                <w:b w:val="0"/>
                <w:bCs w:val="0"/>
                <w:color w:val="000000" w:themeColor="text1"/>
                <w:sz w:val="21"/>
                <w:szCs w:val="21"/>
                <w:highlight w:val="none"/>
                <w14:textFill>
                  <w14:solidFill>
                    <w14:schemeClr w14:val="tx1"/>
                  </w14:solidFill>
                </w14:textFill>
              </w:rPr>
              <w:t>基层医疗卫生机构</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查看</w:t>
            </w:r>
            <w:r>
              <w:rPr>
                <w:rFonts w:hint="eastAsia" w:ascii="宋体" w:hAnsi="宋体" w:eastAsia="宋体" w:cs="宋体"/>
                <w:b w:val="0"/>
                <w:bCs w:val="0"/>
                <w:color w:val="000000" w:themeColor="text1"/>
                <w:sz w:val="21"/>
                <w:szCs w:val="21"/>
                <w:highlight w:val="none"/>
                <w14:textFill>
                  <w14:solidFill>
                    <w14:schemeClr w14:val="tx1"/>
                  </w14:solidFill>
                </w14:textFill>
              </w:rPr>
              <w:t>信息系统建设情况。</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b w:val="0"/>
                <w:bCs w:val="0"/>
                <w:color w:val="000000" w:themeColor="text1"/>
                <w:sz w:val="21"/>
                <w:szCs w:val="21"/>
                <w:highlight w:val="none"/>
                <w14:textFill>
                  <w14:solidFill>
                    <w14:schemeClr w14:val="tx1"/>
                  </w14:solidFill>
                </w14:textFill>
              </w:rPr>
              <w:t>中医医院及基层医疗卫生机构信息化建设</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不规范的，</w:t>
            </w:r>
            <w:r>
              <w:rPr>
                <w:rFonts w:hint="eastAsia" w:ascii="宋体" w:hAnsi="宋体" w:eastAsia="宋体" w:cs="宋体"/>
                <w:b w:val="0"/>
                <w:bCs w:val="0"/>
                <w:color w:val="000000" w:themeColor="text1"/>
                <w:sz w:val="21"/>
                <w:szCs w:val="21"/>
                <w:highlight w:val="none"/>
                <w14:textFill>
                  <w14:solidFill>
                    <w14:schemeClr w14:val="tx1"/>
                  </w14:solidFill>
                </w14:textFill>
              </w:rPr>
              <w:t>1个机构扣</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1"/>
                <w:szCs w:val="21"/>
                <w:highlight w:val="none"/>
                <w14:textFill>
                  <w14:solidFill>
                    <w14:schemeClr w14:val="tx1"/>
                  </w14:solidFill>
                </w14:textFill>
              </w:rPr>
              <w:t>分，最多扣</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5</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357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2.12</w:t>
            </w:r>
            <w:r>
              <w:rPr>
                <w:rFonts w:hint="eastAsia" w:ascii="宋体" w:hAnsi="宋体" w:eastAsia="宋体" w:cs="宋体"/>
                <w:b w:val="0"/>
                <w:bCs w:val="0"/>
                <w:color w:val="000000" w:themeColor="text1"/>
                <w:sz w:val="21"/>
                <w:szCs w:val="21"/>
                <w:highlight w:val="none"/>
                <w14:textFill>
                  <w14:solidFill>
                    <w14:schemeClr w14:val="tx1"/>
                  </w14:solidFill>
                </w14:textFill>
              </w:rPr>
              <w:t>支持本市院内中药制剂发展，制定推广使用标准，并进行质量监管。支持基层开展自采、自种、自用中药材，并制定相关标准进行规范的质量管理。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（20分）</w:t>
            </w: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.1.查阅本</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市支持</w:t>
            </w:r>
            <w:r>
              <w:rPr>
                <w:rFonts w:hint="eastAsia" w:ascii="宋体" w:hAnsi="宋体" w:eastAsia="宋体" w:cs="宋体"/>
                <w:b w:val="0"/>
                <w:bCs w:val="0"/>
                <w:color w:val="000000" w:themeColor="text1"/>
                <w:sz w:val="21"/>
                <w:szCs w:val="21"/>
                <w:highlight w:val="none"/>
                <w14:textFill>
                  <w14:solidFill>
                    <w14:schemeClr w14:val="tx1"/>
                  </w14:solidFill>
                </w14:textFill>
              </w:rPr>
              <w:t>院内中药制剂发展</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制定推广使用标准等相关文件资料。</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未查阅到相关支持政策文件</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扣10</w:t>
            </w:r>
            <w:r>
              <w:rPr>
                <w:rFonts w:hint="eastAsia" w:ascii="宋体" w:hAnsi="宋体" w:eastAsia="宋体" w:cs="宋体"/>
                <w:b w:val="0"/>
                <w:bCs w:val="0"/>
                <w:color w:val="000000" w:themeColor="text1"/>
                <w:kern w:val="0"/>
                <w:sz w:val="21"/>
                <w:szCs w:val="21"/>
                <w:highlight w:val="none"/>
                <w14:textFill>
                  <w14:solidFill>
                    <w14:schemeClr w14:val="tx1"/>
                  </w14:solidFill>
                </w14:textFill>
              </w:rPr>
              <w:t>分</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default"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未制定推广使用标准，扣5分。</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textAlignment w:val="auto"/>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未查阅到质量监管相关工作记录等，扣5分。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.2.实地查看</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2个基层</w:t>
            </w:r>
            <w:r>
              <w:rPr>
                <w:rFonts w:hint="eastAsia" w:ascii="宋体" w:hAnsi="宋体" w:eastAsia="宋体" w:cs="宋体"/>
                <w:b w:val="0"/>
                <w:bCs w:val="0"/>
                <w:color w:val="000000" w:themeColor="text1"/>
                <w:sz w:val="21"/>
                <w:szCs w:val="21"/>
                <w:highlight w:val="none"/>
                <w14:textFill>
                  <w14:solidFill>
                    <w14:schemeClr w14:val="tx1"/>
                  </w14:solidFill>
                </w14:textFill>
              </w:rPr>
              <w:t>医疗机构中药制剂</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使用情况</w:t>
            </w:r>
            <w:r>
              <w:rPr>
                <w:rFonts w:hint="eastAsia" w:ascii="宋体" w:hAnsi="宋体" w:eastAsia="宋体" w:cs="宋体"/>
                <w:b w:val="0"/>
                <w:bCs w:val="0"/>
                <w:color w:val="000000" w:themeColor="text1"/>
                <w:sz w:val="21"/>
                <w:szCs w:val="21"/>
                <w:highlight w:val="none"/>
                <w14:textFill>
                  <w14:solidFill>
                    <w14:schemeClr w14:val="tx1"/>
                  </w14:solidFill>
                </w14:textFill>
              </w:rPr>
              <w:t>。</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在机构未见到使用本市医疗机构中药制剂，每个机构扣2分。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2.12.3.查阅市级制定的关于基层开展自采、自种、自用中药材的相关文件、标准和资料管理资料。</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未查阅到</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相关文件，扣2分；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未查阅到</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相关标准，扣2分；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未查阅到</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规范管理资料，扣2分。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357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2.13.</w:t>
            </w:r>
            <w:r>
              <w:rPr>
                <w:rFonts w:hint="eastAsia" w:ascii="宋体" w:hAnsi="宋体" w:eastAsia="宋体" w:cs="宋体"/>
                <w:b w:val="0"/>
                <w:bCs w:val="0"/>
                <w:color w:val="000000" w:themeColor="text1"/>
                <w:sz w:val="21"/>
                <w:szCs w:val="21"/>
                <w:highlight w:val="none"/>
                <w14:textFill>
                  <w14:solidFill>
                    <w14:schemeClr w14:val="tx1"/>
                  </w14:solidFill>
                </w14:textFill>
              </w:rPr>
              <w:t>制定本市中医药文化旅游计划，组织和指导下辖县开展本区域中医药文化旅游项目，作为促进本区域旅游产业特色优势和组成部分，推动本市的中医药文旅产业融合发展。</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（20分）</w:t>
            </w:r>
          </w:p>
        </w:tc>
        <w:tc>
          <w:tcPr>
            <w:tcW w:w="440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t>2.13.1.查阅</w:t>
            </w:r>
            <w:r>
              <w:rPr>
                <w:rFonts w:hint="eastAsia" w:ascii="宋体" w:hAnsi="宋体" w:eastAsia="宋体" w:cs="宋体"/>
                <w:b w:val="0"/>
                <w:bCs w:val="0"/>
                <w:color w:val="000000" w:themeColor="text1"/>
                <w:sz w:val="21"/>
                <w:szCs w:val="21"/>
                <w:highlight w:val="none"/>
                <w14:textFill>
                  <w14:solidFill>
                    <w14:schemeClr w14:val="tx1"/>
                  </w14:solidFill>
                </w14:textFill>
              </w:rPr>
              <w:t>制定本市中医药文化旅游计划</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组织</w:t>
            </w:r>
            <w: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t>开展中医药文化旅游项目等相关工作资料。</w:t>
            </w:r>
          </w:p>
        </w:tc>
        <w:tc>
          <w:tcPr>
            <w:tcW w:w="461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t>未相关工作资料，不得分。</w:t>
            </w:r>
          </w:p>
        </w:tc>
        <w:tc>
          <w:tcPr>
            <w:tcW w:w="80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85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3578"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440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.2.查阅本</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b w:val="0"/>
                <w:bCs w:val="0"/>
                <w:color w:val="000000" w:themeColor="text1"/>
                <w:sz w:val="21"/>
                <w:szCs w:val="21"/>
                <w:highlight w:val="none"/>
                <w14:textFill>
                  <w14:solidFill>
                    <w14:schemeClr w14:val="tx1"/>
                  </w14:solidFill>
                </w14:textFill>
              </w:rPr>
              <w:t>中医药文化宣传基地资料</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抽查2个下辖县看相关材料。</w:t>
            </w:r>
          </w:p>
        </w:tc>
        <w:tc>
          <w:tcPr>
            <w:tcW w:w="461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未查阅到</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中医药文化宣传教育基地相关资料，扣5分；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下辖县未开展相关工作的，1个县扣3分。</w:t>
            </w:r>
          </w:p>
        </w:tc>
        <w:tc>
          <w:tcPr>
            <w:tcW w:w="80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85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357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2.14</w:t>
            </w:r>
            <w:r>
              <w:rPr>
                <w:rFonts w:hint="eastAsia" w:ascii="宋体" w:hAnsi="宋体" w:eastAsia="宋体" w:cs="宋体"/>
                <w:b w:val="0"/>
                <w:bCs w:val="0"/>
                <w:color w:val="000000" w:themeColor="text1"/>
                <w:sz w:val="21"/>
                <w:szCs w:val="21"/>
                <w:highlight w:val="none"/>
                <w14:textFill>
                  <w14:solidFill>
                    <w14:schemeClr w14:val="tx1"/>
                  </w14:solidFill>
                </w14:textFill>
              </w:rPr>
              <w:t>制定和指导下辖县把中医药产业发展作为乡村振兴的重要内容。鼓励有条件的下辖县、乡镇开展中药材基地建设，生态化、规范化种植与当地相适应的中药材。开发药材深加工等产业，深入实施中药材产业乡村振兴行动。</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20分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440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查阅本市中医药产业相关文件资料；</w:t>
            </w:r>
          </w:p>
        </w:tc>
        <w:tc>
          <w:tcPr>
            <w:tcW w:w="461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未查阅到</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中医药产业发展相关文件资料</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扣10分。</w:t>
            </w:r>
          </w:p>
        </w:tc>
        <w:tc>
          <w:tcPr>
            <w:tcW w:w="806"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859"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578"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440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查阅本市乡村振兴相关文件。</w:t>
            </w:r>
          </w:p>
        </w:tc>
        <w:tc>
          <w:tcPr>
            <w:tcW w:w="461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在乡村振兴文件中未查阅到中医药内容，扣4分。</w:t>
            </w:r>
          </w:p>
        </w:tc>
        <w:tc>
          <w:tcPr>
            <w:tcW w:w="806"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p>
        </w:tc>
        <w:tc>
          <w:tcPr>
            <w:tcW w:w="859"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3578"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440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2.14.3.抽查2个下辖县查阅市级相关部门对其开展相关工作的文件资料。</w:t>
            </w:r>
          </w:p>
        </w:tc>
        <w:tc>
          <w:tcPr>
            <w:tcW w:w="461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未查阅到</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相关文件资料，1个县扣2分；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下辖县未开展相关工作，1个县扣2分</w:t>
            </w:r>
          </w:p>
        </w:tc>
        <w:tc>
          <w:tcPr>
            <w:tcW w:w="806"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w:t>
            </w:r>
          </w:p>
        </w:tc>
        <w:tc>
          <w:tcPr>
            <w:tcW w:w="859"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357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2.15.</w:t>
            </w:r>
            <w:r>
              <w:rPr>
                <w:rFonts w:hint="eastAsia" w:ascii="宋体" w:hAnsi="宋体" w:eastAsia="宋体" w:cs="宋体"/>
                <w:b w:val="0"/>
                <w:bCs w:val="0"/>
                <w:color w:val="000000" w:themeColor="text1"/>
                <w:sz w:val="21"/>
                <w:szCs w:val="21"/>
                <w:highlight w:val="none"/>
                <w14:textFill>
                  <w14:solidFill>
                    <w14:schemeClr w14:val="tx1"/>
                  </w14:solidFill>
                </w14:textFill>
              </w:rPr>
              <w:t>制定全市开展传统健身活动计划，普及和推广太极拳、八段锦等养生保健方法。督导和推动下辖县各街道、乡镇、村、社区开展中医体育活动。</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（20分）</w:t>
            </w: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1"/>
                <w:szCs w:val="21"/>
                <w:highlight w:val="none"/>
                <w14:textFill>
                  <w14:solidFill>
                    <w14:schemeClr w14:val="tx1"/>
                  </w14:solidFill>
                </w14:textFill>
              </w:rPr>
              <w:t>.1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查阅本</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b w:val="0"/>
                <w:bCs w:val="0"/>
                <w:color w:val="000000" w:themeColor="text1"/>
                <w:sz w:val="21"/>
                <w:szCs w:val="21"/>
                <w:highlight w:val="none"/>
                <w14:textFill>
                  <w14:solidFill>
                    <w14:schemeClr w14:val="tx1"/>
                  </w14:solidFill>
                </w14:textFill>
              </w:rPr>
              <w:t>制定开展传统健身活动计划，普及和推广太极拳、八段锦等养生保健方法</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的相关文件</w:t>
            </w:r>
            <w:r>
              <w:rPr>
                <w:rFonts w:hint="eastAsia" w:ascii="宋体" w:hAnsi="宋体" w:eastAsia="宋体" w:cs="宋体"/>
                <w:b w:val="0"/>
                <w:bCs w:val="0"/>
                <w:color w:val="000000" w:themeColor="text1"/>
                <w:sz w:val="21"/>
                <w:szCs w:val="21"/>
                <w:highlight w:val="none"/>
                <w14:textFill>
                  <w14:solidFill>
                    <w14:schemeClr w14:val="tx1"/>
                  </w14:solidFill>
                </w14:textFill>
              </w:rPr>
              <w:t>资料。</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未查阅到相关文件资料</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扣10分；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未查阅到普及和推广</w:t>
            </w:r>
            <w:r>
              <w:rPr>
                <w:rFonts w:hint="eastAsia" w:ascii="宋体" w:hAnsi="宋体" w:eastAsia="宋体" w:cs="宋体"/>
                <w:b w:val="0"/>
                <w:bCs w:val="0"/>
                <w:color w:val="000000" w:themeColor="text1"/>
                <w:sz w:val="21"/>
                <w:szCs w:val="21"/>
                <w:highlight w:val="none"/>
                <w14:textFill>
                  <w14:solidFill>
                    <w14:schemeClr w14:val="tx1"/>
                  </w14:solidFill>
                </w14:textFill>
              </w:rPr>
              <w:t>太极拳、八段锦等养生保健方法</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相关活动资料</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扣</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15</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2.15.2.抽查下辖2个县开展相关工作的资料。</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未查阅到相关资料，每个县扣3分，最多扣5分。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357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2.16.</w:t>
            </w:r>
            <w:r>
              <w:rPr>
                <w:rFonts w:hint="eastAsia" w:ascii="宋体" w:hAnsi="宋体" w:eastAsia="宋体" w:cs="宋体"/>
                <w:b w:val="0"/>
                <w:bCs w:val="0"/>
                <w:color w:val="000000" w:themeColor="text1"/>
                <w:sz w:val="21"/>
                <w:szCs w:val="21"/>
                <w:highlight w:val="none"/>
                <w14:textFill>
                  <w14:solidFill>
                    <w14:schemeClr w14:val="tx1"/>
                  </w14:solidFill>
                </w14:textFill>
              </w:rPr>
              <w:t>坚持中西医并重，组织落实本市各项中医药工作。制定本市中医药中长期发展规划，落实中医药相关政策，吸纳中医药主管部门意见，逐步实现基层中医药服务机构建设、人员配备、服务能力提升等高质量发展的目标。</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（20分）</w:t>
            </w: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1"/>
                <w:szCs w:val="21"/>
                <w:highlight w:val="none"/>
                <w14:textFill>
                  <w14:solidFill>
                    <w14:schemeClr w14:val="tx1"/>
                  </w14:solidFill>
                </w14:textFill>
              </w:rPr>
              <w:t>.1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查阅本</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b w:val="0"/>
                <w:bCs w:val="0"/>
                <w:color w:val="000000" w:themeColor="text1"/>
                <w:sz w:val="21"/>
                <w:szCs w:val="21"/>
                <w:highlight w:val="none"/>
                <w14:textFill>
                  <w14:solidFill>
                    <w14:schemeClr w14:val="tx1"/>
                  </w14:solidFill>
                </w14:textFill>
              </w:rPr>
              <w:t>中医药中长期发展规划等相关资料。</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w:t>
            </w:r>
            <w:r>
              <w:rPr>
                <w:rFonts w:hint="eastAsia" w:ascii="宋体" w:hAnsi="宋体" w:eastAsia="宋体" w:cs="宋体"/>
                <w:b w:val="0"/>
                <w:bCs w:val="0"/>
                <w:color w:val="000000" w:themeColor="text1"/>
                <w:sz w:val="21"/>
                <w:szCs w:val="21"/>
                <w:highlight w:val="none"/>
                <w14:textFill>
                  <w14:solidFill>
                    <w14:schemeClr w14:val="tx1"/>
                  </w14:solidFill>
                </w14:textFill>
              </w:rPr>
              <w:t>本</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b w:val="0"/>
                <w:bCs w:val="0"/>
                <w:color w:val="000000" w:themeColor="text1"/>
                <w:sz w:val="21"/>
                <w:szCs w:val="21"/>
                <w:highlight w:val="none"/>
                <w14:textFill>
                  <w14:solidFill>
                    <w14:schemeClr w14:val="tx1"/>
                  </w14:solidFill>
                </w14:textFill>
              </w:rPr>
              <w:t>中医药中长期发展规划等相关资料</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，扣10分。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1"/>
                <w:szCs w:val="21"/>
                <w:highlight w:val="none"/>
                <w14:textFill>
                  <w14:solidFill>
                    <w14:schemeClr w14:val="tx1"/>
                  </w14:solidFill>
                </w14:textFill>
              </w:rPr>
              <w:t>.2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.查阅本市中医药</w:t>
            </w:r>
            <w:r>
              <w:rPr>
                <w:rFonts w:hint="eastAsia" w:ascii="宋体" w:hAnsi="宋体" w:eastAsia="宋体" w:cs="宋体"/>
                <w:b w:val="0"/>
                <w:bCs w:val="0"/>
                <w:color w:val="000000" w:themeColor="text1"/>
                <w:sz w:val="21"/>
                <w:szCs w:val="21"/>
                <w:highlight w:val="none"/>
                <w14:textFill>
                  <w14:solidFill>
                    <w14:schemeClr w14:val="tx1"/>
                  </w14:solidFill>
                </w14:textFill>
              </w:rPr>
              <w:t>中长期发展规划</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中是否体现</w:t>
            </w:r>
            <w:r>
              <w:rPr>
                <w:rFonts w:hint="eastAsia" w:ascii="宋体" w:hAnsi="宋体" w:eastAsia="宋体" w:cs="宋体"/>
                <w:b w:val="0"/>
                <w:bCs w:val="0"/>
                <w:color w:val="000000" w:themeColor="text1"/>
                <w:sz w:val="21"/>
                <w:szCs w:val="21"/>
                <w:highlight w:val="none"/>
                <w14:textFill>
                  <w14:solidFill>
                    <w14:schemeClr w14:val="tx1"/>
                  </w14:solidFill>
                </w14:textFill>
              </w:rPr>
              <w:t>基层中医药服务机构建设、人员配备、服务能力提升</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等相关政策落实。</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本市中医药中长期发展规划未体现基层中医药服务机构建设、人员配备、服务能力提升等相关内容的，扣10分。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62"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三、服务体系</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b/>
                <w:bCs/>
                <w:color w:val="000000" w:themeColor="text1"/>
                <w:sz w:val="24"/>
                <w:szCs w:val="24"/>
                <w:highlight w:val="none"/>
                <w14:textFill>
                  <w14:solidFill>
                    <w14:schemeClr w14:val="tx1"/>
                  </w14:solidFill>
                </w14:textFill>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357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3.1.</w:t>
            </w:r>
            <w:r>
              <w:rPr>
                <w:rFonts w:hint="eastAsia" w:ascii="宋体" w:hAnsi="宋体" w:eastAsia="宋体" w:cs="宋体"/>
                <w:b w:val="0"/>
                <w:bCs w:val="0"/>
                <w:color w:val="000000" w:themeColor="text1"/>
                <w:sz w:val="21"/>
                <w:szCs w:val="21"/>
                <w:highlight w:val="none"/>
                <w14:textFill>
                  <w14:solidFill>
                    <w14:schemeClr w14:val="tx1"/>
                  </w14:solidFill>
                </w14:textFill>
              </w:rPr>
              <w:t>将中医医疗机构建设纳入医疗机构设置规划，扶持有中医药特点和优势的医疗机构发展。市级中医医院达到三级甲等标准。政府举办的综合医院、妇幼保健机构和有条件的专科医院设置中医科室。</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0分≥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27分为达标</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3.1.1.查阅</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市政府</w:t>
            </w:r>
            <w:r>
              <w:rPr>
                <w:rFonts w:hint="eastAsia" w:ascii="宋体" w:hAnsi="宋体" w:eastAsia="宋体" w:cs="宋体"/>
                <w:b w:val="0"/>
                <w:bCs w:val="0"/>
                <w:color w:val="000000" w:themeColor="text1"/>
                <w:sz w:val="21"/>
                <w:szCs w:val="21"/>
                <w:highlight w:val="none"/>
                <w14:textFill>
                  <w14:solidFill>
                    <w14:schemeClr w14:val="tx1"/>
                  </w14:solidFill>
                </w14:textFill>
              </w:rPr>
              <w:t>医疗机构设置规划</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中的</w:t>
            </w:r>
            <w:r>
              <w:rPr>
                <w:rFonts w:hint="eastAsia" w:ascii="宋体" w:hAnsi="宋体" w:eastAsia="宋体" w:cs="宋体"/>
                <w:b w:val="0"/>
                <w:bCs w:val="0"/>
                <w:color w:val="000000" w:themeColor="text1"/>
                <w:sz w:val="21"/>
                <w:szCs w:val="21"/>
                <w:highlight w:val="none"/>
                <w14:textFill>
                  <w14:solidFill>
                    <w14:schemeClr w14:val="tx1"/>
                  </w14:solidFill>
                </w14:textFill>
              </w:rPr>
              <w:t>中医医疗机构建设</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内容及相关</w:t>
            </w:r>
            <w:r>
              <w:rPr>
                <w:rFonts w:hint="eastAsia" w:ascii="宋体" w:hAnsi="宋体" w:eastAsia="宋体" w:cs="宋体"/>
                <w:b w:val="0"/>
                <w:bCs w:val="0"/>
                <w:color w:val="000000" w:themeColor="text1"/>
                <w:sz w:val="21"/>
                <w:szCs w:val="21"/>
                <w:highlight w:val="none"/>
                <w14:textFill>
                  <w14:solidFill>
                    <w14:schemeClr w14:val="tx1"/>
                  </w14:solidFill>
                </w14:textFill>
              </w:rPr>
              <w:t>文件</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和</w:t>
            </w:r>
            <w:r>
              <w:rPr>
                <w:rFonts w:hint="eastAsia" w:ascii="宋体" w:hAnsi="宋体" w:eastAsia="宋体" w:cs="宋体"/>
                <w:b w:val="0"/>
                <w:bCs w:val="0"/>
                <w:color w:val="000000" w:themeColor="text1"/>
                <w:sz w:val="21"/>
                <w:szCs w:val="21"/>
                <w:highlight w:val="none"/>
                <w14:textFill>
                  <w14:solidFill>
                    <w14:schemeClr w14:val="tx1"/>
                  </w14:solidFill>
                </w14:textFill>
              </w:rPr>
              <w:t>资料。</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未将</w:t>
            </w:r>
            <w:r>
              <w:rPr>
                <w:rFonts w:hint="eastAsia" w:ascii="宋体" w:hAnsi="宋体" w:eastAsia="宋体" w:cs="宋体"/>
                <w:b w:val="0"/>
                <w:bCs w:val="0"/>
                <w:color w:val="000000" w:themeColor="text1"/>
                <w:sz w:val="21"/>
                <w:szCs w:val="21"/>
                <w:highlight w:val="none"/>
                <w14:textFill>
                  <w14:solidFill>
                    <w14:schemeClr w14:val="tx1"/>
                  </w14:solidFill>
                </w14:textFill>
              </w:rPr>
              <w:t>中医医疗机构建设纳入医疗机构设置规划</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，无相关文件和资料，扣6分。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3.1.2.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查阅市级中医医院等级资质证明和相关文件。</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t>未查阅到市级中医医院三级甲等资质证明材料，扣10分；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3.1.3.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现场查看市级综合医院、妇幼保健院中医科室设置情况。</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现场核实市级综合医院、妇幼保健院，未设置中医科室，每个机构扣5分；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3.1.4.</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实地检查相关设施设备及开展工作记录。</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w:t>
            </w:r>
            <w:r>
              <w:rPr>
                <w:rFonts w:hint="eastAsia" w:ascii="宋体" w:hAnsi="宋体" w:eastAsia="宋体" w:cs="宋体"/>
                <w:b w:val="0"/>
                <w:bCs w:val="0"/>
                <w:color w:val="000000" w:themeColor="text1"/>
                <w:sz w:val="21"/>
                <w:szCs w:val="21"/>
                <w:highlight w:val="none"/>
                <w14:textFill>
                  <w14:solidFill>
                    <w14:schemeClr w14:val="tx1"/>
                  </w14:solidFill>
                </w14:textFill>
              </w:rPr>
              <w:t>按照要求配备相关设施设备</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，扣2</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未开展相关工作，扣2分。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357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3.2.</w:t>
            </w:r>
            <w:r>
              <w:rPr>
                <w:rFonts w:hint="eastAsia" w:ascii="宋体" w:hAnsi="宋体" w:eastAsia="宋体" w:cs="宋体"/>
                <w:b w:val="0"/>
                <w:bCs w:val="0"/>
                <w:color w:val="000000" w:themeColor="text1"/>
                <w:sz w:val="21"/>
                <w:szCs w:val="21"/>
                <w:highlight w:val="none"/>
                <w14:textFill>
                  <w14:solidFill>
                    <w14:schemeClr w14:val="tx1"/>
                  </w14:solidFill>
                </w14:textFill>
              </w:rPr>
              <w:t>市中医医院发挥辐射带动作用，成立基层中医药指导科室，设置专人负责对下辖县中医医院和基层医疗卫生机构的中医药业务指导、人员培训等。</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（20分）</w:t>
            </w: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现场查看市</w:t>
            </w:r>
            <w:r>
              <w:rPr>
                <w:rFonts w:hint="eastAsia" w:ascii="宋体" w:hAnsi="宋体" w:eastAsia="宋体" w:cs="宋体"/>
                <w:b w:val="0"/>
                <w:bCs w:val="0"/>
                <w:color w:val="000000" w:themeColor="text1"/>
                <w:sz w:val="21"/>
                <w:szCs w:val="21"/>
                <w:highlight w:val="none"/>
                <w14:textFill>
                  <w14:solidFill>
                    <w14:schemeClr w14:val="tx1"/>
                  </w14:solidFill>
                </w14:textFill>
              </w:rPr>
              <w:t>中医医院基层指导科</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查看指导科成立文件等资料。</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未成立</w:t>
            </w:r>
            <w:r>
              <w:rPr>
                <w:rFonts w:hint="eastAsia" w:ascii="宋体" w:hAnsi="宋体" w:eastAsia="宋体" w:cs="宋体"/>
                <w:b w:val="0"/>
                <w:bCs w:val="0"/>
                <w:color w:val="000000" w:themeColor="text1"/>
                <w:sz w:val="21"/>
                <w:szCs w:val="21"/>
                <w:highlight w:val="none"/>
                <w14:textFill>
                  <w14:solidFill>
                    <w14:schemeClr w14:val="tx1"/>
                  </w14:solidFill>
                </w14:textFill>
              </w:rPr>
              <w:t>基层指导科</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未查阅到相关资料</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扣5分；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无</w:t>
            </w:r>
            <w:r>
              <w:rPr>
                <w:rFonts w:hint="eastAsia" w:ascii="宋体" w:hAnsi="宋体" w:eastAsia="宋体" w:cs="宋体"/>
                <w:b w:val="0"/>
                <w:bCs w:val="0"/>
                <w:color w:val="000000" w:themeColor="text1"/>
                <w:sz w:val="21"/>
                <w:szCs w:val="21"/>
                <w:highlight w:val="none"/>
                <w14:textFill>
                  <w14:solidFill>
                    <w14:schemeClr w14:val="tx1"/>
                  </w14:solidFill>
                </w14:textFill>
              </w:rPr>
              <w:t>专人负责</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扣5</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.2.查阅对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本市下辖县中医医院和</w:t>
            </w:r>
            <w:r>
              <w:rPr>
                <w:rFonts w:hint="eastAsia" w:ascii="宋体" w:hAnsi="宋体" w:eastAsia="宋体" w:cs="宋体"/>
                <w:b w:val="0"/>
                <w:bCs w:val="0"/>
                <w:color w:val="000000" w:themeColor="text1"/>
                <w:sz w:val="21"/>
                <w:szCs w:val="21"/>
                <w:highlight w:val="none"/>
                <w14:textFill>
                  <w14:solidFill>
                    <w14:schemeClr w14:val="tx1"/>
                  </w14:solidFill>
                </w14:textFill>
              </w:rPr>
              <w:t>基层医疗机构开展中医药业务指导、人员培训</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等</w:t>
            </w:r>
            <w:r>
              <w:rPr>
                <w:rFonts w:hint="eastAsia" w:ascii="宋体" w:hAnsi="宋体" w:eastAsia="宋体" w:cs="宋体"/>
                <w:b w:val="0"/>
                <w:bCs w:val="0"/>
                <w:color w:val="000000" w:themeColor="text1"/>
                <w:sz w:val="21"/>
                <w:szCs w:val="21"/>
                <w:highlight w:val="none"/>
                <w14:textFill>
                  <w14:solidFill>
                    <w14:schemeClr w14:val="tx1"/>
                  </w14:solidFill>
                </w14:textFill>
              </w:rPr>
              <w:t>工作记录。</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未查阅到相关工作记录</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扣5分；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各种工作记录</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不完整，扣5</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357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3.3.</w:t>
            </w:r>
            <w:r>
              <w:rPr>
                <w:rFonts w:hint="eastAsia" w:ascii="宋体" w:hAnsi="宋体" w:eastAsia="宋体" w:cs="宋体"/>
                <w:b w:val="0"/>
                <w:bCs w:val="0"/>
                <w:color w:val="000000" w:themeColor="text1"/>
                <w:sz w:val="21"/>
                <w:szCs w:val="21"/>
                <w:highlight w:val="none"/>
                <w14:textFill>
                  <w14:solidFill>
                    <w14:schemeClr w14:val="tx1"/>
                  </w14:solidFill>
                </w14:textFill>
              </w:rPr>
              <w:t>市中医医院牵头组建各种形式的医联体，医联体建设覆盖所有下辖县。在城市医疗集团和县域医联体建设中，加强对各下辖县级中医医院业务指导。将符合条件的中医诊所纳入到医联体建设。</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0分≥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27分为达标</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.1.查阅</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b w:val="0"/>
                <w:bCs w:val="0"/>
                <w:color w:val="000000" w:themeColor="text1"/>
                <w:sz w:val="21"/>
                <w:szCs w:val="21"/>
                <w:highlight w:val="none"/>
                <w14:textFill>
                  <w14:solidFill>
                    <w14:schemeClr w14:val="tx1"/>
                  </w14:solidFill>
                </w14:textFill>
              </w:rPr>
              <w:t>中医医院</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牵头</w:t>
            </w:r>
            <w:r>
              <w:rPr>
                <w:rFonts w:hint="eastAsia" w:ascii="宋体" w:hAnsi="宋体" w:eastAsia="宋体" w:cs="宋体"/>
                <w:b w:val="0"/>
                <w:bCs w:val="0"/>
                <w:color w:val="000000" w:themeColor="text1"/>
                <w:sz w:val="21"/>
                <w:szCs w:val="21"/>
                <w:highlight w:val="none"/>
                <w14:textFill>
                  <w14:solidFill>
                    <w14:schemeClr w14:val="tx1"/>
                  </w14:solidFill>
                </w14:textFill>
              </w:rPr>
              <w:t>组建医联体</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的相</w:t>
            </w:r>
            <w:r>
              <w:rPr>
                <w:rFonts w:hint="eastAsia" w:ascii="宋体" w:hAnsi="宋体" w:eastAsia="宋体" w:cs="宋体"/>
                <w:b w:val="0"/>
                <w:bCs w:val="0"/>
                <w:color w:val="000000" w:themeColor="text1"/>
                <w:sz w:val="21"/>
                <w:szCs w:val="21"/>
                <w:highlight w:val="none"/>
                <w14:textFill>
                  <w14:solidFill>
                    <w14:schemeClr w14:val="tx1"/>
                  </w14:solidFill>
                </w14:textFill>
              </w:rPr>
              <w:t>关资料如：文件、协议。</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b w:val="0"/>
                <w:bCs w:val="0"/>
                <w:color w:val="000000" w:themeColor="text1"/>
                <w:sz w:val="21"/>
                <w:szCs w:val="21"/>
                <w:highlight w:val="none"/>
                <w14:textFill>
                  <w14:solidFill>
                    <w14:schemeClr w14:val="tx1"/>
                  </w14:solidFill>
                </w14:textFill>
              </w:rPr>
              <w:t>中医医院</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w:t>
            </w:r>
            <w:r>
              <w:rPr>
                <w:rFonts w:hint="eastAsia" w:ascii="宋体" w:hAnsi="宋体" w:eastAsia="宋体" w:cs="宋体"/>
                <w:b w:val="0"/>
                <w:bCs w:val="0"/>
                <w:color w:val="000000" w:themeColor="text1"/>
                <w:sz w:val="21"/>
                <w:szCs w:val="21"/>
                <w:highlight w:val="none"/>
                <w14:textFill>
                  <w14:solidFill>
                    <w14:schemeClr w14:val="tx1"/>
                  </w14:solidFill>
                </w14:textFill>
              </w:rPr>
              <w:t>牵头组建医联体</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不得分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.2.查阅</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b w:val="0"/>
                <w:bCs w:val="0"/>
                <w:color w:val="000000" w:themeColor="text1"/>
                <w:sz w:val="21"/>
                <w:szCs w:val="21"/>
                <w:highlight w:val="none"/>
                <w14:textFill>
                  <w14:solidFill>
                    <w14:schemeClr w14:val="tx1"/>
                  </w14:solidFill>
                </w14:textFill>
              </w:rPr>
              <w:t>中医医院组建的医联体</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成员单位名单及</w:t>
            </w:r>
            <w:r>
              <w:rPr>
                <w:rFonts w:hint="eastAsia" w:ascii="宋体" w:hAnsi="宋体" w:eastAsia="宋体" w:cs="宋体"/>
                <w:b w:val="0"/>
                <w:bCs w:val="0"/>
                <w:color w:val="000000" w:themeColor="text1"/>
                <w:sz w:val="21"/>
                <w:szCs w:val="21"/>
                <w:highlight w:val="none"/>
                <w14:textFill>
                  <w14:solidFill>
                    <w14:schemeClr w14:val="tx1"/>
                  </w14:solidFill>
                </w14:textFill>
              </w:rPr>
              <w:t>覆盖</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下辖县</w:t>
            </w:r>
            <w:r>
              <w:rPr>
                <w:rFonts w:hint="eastAsia" w:ascii="宋体" w:hAnsi="宋体" w:eastAsia="宋体" w:cs="宋体"/>
                <w:b w:val="0"/>
                <w:bCs w:val="0"/>
                <w:color w:val="000000" w:themeColor="text1"/>
                <w:sz w:val="21"/>
                <w:szCs w:val="21"/>
                <w:highlight w:val="none"/>
                <w14:textFill>
                  <w14:solidFill>
                    <w14:schemeClr w14:val="tx1"/>
                  </w14:solidFill>
                </w14:textFill>
              </w:rPr>
              <w:t>数据。</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医联体</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建设未</w:t>
            </w:r>
            <w:r>
              <w:rPr>
                <w:rFonts w:hint="eastAsia" w:ascii="宋体" w:hAnsi="宋体" w:eastAsia="宋体" w:cs="宋体"/>
                <w:b w:val="0"/>
                <w:bCs w:val="0"/>
                <w:color w:val="000000" w:themeColor="text1"/>
                <w:sz w:val="21"/>
                <w:szCs w:val="21"/>
                <w:highlight w:val="none"/>
                <w14:textFill>
                  <w14:solidFill>
                    <w14:schemeClr w14:val="tx1"/>
                  </w14:solidFill>
                </w14:textFill>
              </w:rPr>
              <w:t>覆盖</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所有下辖县，每少一个县扣2分，扣完为止。</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8</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.3.查阅</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b w:val="0"/>
                <w:bCs w:val="0"/>
                <w:color w:val="000000" w:themeColor="text1"/>
                <w:sz w:val="21"/>
                <w:szCs w:val="21"/>
                <w:highlight w:val="none"/>
                <w14:textFill>
                  <w14:solidFill>
                    <w14:schemeClr w14:val="tx1"/>
                  </w14:solidFill>
                </w14:textFill>
              </w:rPr>
              <w:t>中医医院</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对下辖县级中医医院的培训、指导等相关记录。</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未查阅到开展相关培训、指导，扣8分。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8</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3.3.4.查阅市及下辖县医联体名单。</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未将符合条件的中医诊所纳入医联体，扣4分。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p>
        </w:tc>
        <w:tc>
          <w:tcPr>
            <w:tcW w:w="859"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357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3.4.</w:t>
            </w:r>
            <w:r>
              <w:rPr>
                <w:rFonts w:hint="eastAsia" w:ascii="宋体" w:hAnsi="宋体" w:eastAsia="宋体" w:cs="宋体"/>
                <w:b w:val="0"/>
                <w:bCs w:val="0"/>
                <w:color w:val="000000" w:themeColor="text1"/>
                <w:sz w:val="21"/>
                <w:szCs w:val="21"/>
                <w:highlight w:val="none"/>
                <w14:textFill>
                  <w14:solidFill>
                    <w14:schemeClr w14:val="tx1"/>
                  </w14:solidFill>
                </w14:textFill>
              </w:rPr>
              <w:t>全市所辖社区卫生服务中心、乡镇卫生院100%规范设置中医科、中药房，配备中医诊疗设备，社区卫生服务中心和乡镇卫生院100%设置中医馆。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0分≥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27分为达标</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14:textFill>
                  <w14:solidFill>
                    <w14:schemeClr w14:val="tx1"/>
                  </w14:solidFill>
                </w14:textFill>
              </w:rPr>
              <w:t>.1.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查看</w:t>
            </w:r>
            <w:r>
              <w:rPr>
                <w:rFonts w:hint="eastAsia" w:ascii="宋体" w:hAnsi="宋体" w:eastAsia="宋体" w:cs="宋体"/>
                <w:b w:val="0"/>
                <w:bCs w:val="0"/>
                <w:color w:val="000000" w:themeColor="text1"/>
                <w:sz w:val="21"/>
                <w:szCs w:val="21"/>
                <w:highlight w:val="none"/>
                <w14:textFill>
                  <w14:solidFill>
                    <w14:schemeClr w14:val="tx1"/>
                  </w14:solidFill>
                </w14:textFill>
              </w:rPr>
              <w:t>中医医院医疗质量监测中心提供的相关数据。</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社区卫生服务中心、乡镇卫生院</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未达到</w:t>
            </w:r>
            <w:r>
              <w:rPr>
                <w:rFonts w:hint="eastAsia" w:ascii="宋体" w:hAnsi="宋体" w:eastAsia="宋体" w:cs="宋体"/>
                <w:b w:val="0"/>
                <w:bCs w:val="0"/>
                <w:color w:val="000000" w:themeColor="text1"/>
                <w:sz w:val="21"/>
                <w:szCs w:val="21"/>
                <w:highlight w:val="none"/>
                <w14:textFill>
                  <w14:solidFill>
                    <w14:schemeClr w14:val="tx1"/>
                  </w14:solidFill>
                </w14:textFill>
              </w:rPr>
              <w:t>100%规范设置中医科、中药房，配备中医诊疗设备</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，扣6分；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社区卫生服务中心和乡镇卫生院</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未达到</w:t>
            </w:r>
            <w:r>
              <w:rPr>
                <w:rFonts w:hint="eastAsia" w:ascii="宋体" w:hAnsi="宋体" w:eastAsia="宋体" w:cs="宋体"/>
                <w:b w:val="0"/>
                <w:bCs w:val="0"/>
                <w:color w:val="000000" w:themeColor="text1"/>
                <w:sz w:val="21"/>
                <w:szCs w:val="21"/>
                <w:highlight w:val="none"/>
                <w14:textFill>
                  <w14:solidFill>
                    <w14:schemeClr w14:val="tx1"/>
                  </w14:solidFill>
                </w14:textFill>
              </w:rPr>
              <w:t>100%设置中医馆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，扣6分。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宋体" w:hAnsi="宋体" w:eastAsia="宋体" w:cs="宋体"/>
                <w:b w:val="0"/>
                <w:bCs w:val="0"/>
                <w:color w:val="000000" w:themeColor="text1"/>
                <w:sz w:val="21"/>
                <w:szCs w:val="21"/>
                <w:highlight w:val="none"/>
                <w:lang w:val="en-US"/>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12</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14:textFill>
                  <w14:solidFill>
                    <w14:schemeClr w14:val="tx1"/>
                  </w14:solidFill>
                </w14:textFill>
              </w:rPr>
              <w:t>.2.现场抽查</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2个下辖县及其下属的2个</w:t>
            </w:r>
            <w:r>
              <w:rPr>
                <w:rFonts w:hint="eastAsia" w:ascii="宋体" w:hAnsi="宋体" w:eastAsia="宋体" w:cs="宋体"/>
                <w:b w:val="0"/>
                <w:bCs w:val="0"/>
                <w:color w:val="000000" w:themeColor="text1"/>
                <w:sz w:val="21"/>
                <w:szCs w:val="21"/>
                <w:highlight w:val="none"/>
                <w14:textFill>
                  <w14:solidFill>
                    <w14:schemeClr w14:val="tx1"/>
                  </w14:solidFill>
                </w14:textFill>
              </w:rPr>
              <w:t>基层医疗卫生机构</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核查设置中医科、中药房，</w:t>
            </w:r>
            <w:r>
              <w:rPr>
                <w:rFonts w:hint="eastAsia" w:ascii="宋体" w:hAnsi="宋体" w:eastAsia="宋体" w:cs="宋体"/>
                <w:b w:val="0"/>
                <w:bCs w:val="0"/>
                <w:color w:val="000000" w:themeColor="text1"/>
                <w:sz w:val="21"/>
                <w:szCs w:val="21"/>
                <w:highlight w:val="none"/>
                <w14:textFill>
                  <w14:solidFill>
                    <w14:schemeClr w14:val="tx1"/>
                  </w14:solidFill>
                </w14:textFill>
              </w:rPr>
              <w:t>配备中医诊疗设备</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情况。</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抽查的机构未达到</w:t>
            </w:r>
            <w:r>
              <w:rPr>
                <w:rFonts w:hint="eastAsia" w:ascii="宋体" w:hAnsi="宋体" w:eastAsia="宋体" w:cs="宋体"/>
                <w:b w:val="0"/>
                <w:bCs w:val="0"/>
                <w:color w:val="000000" w:themeColor="text1"/>
                <w:sz w:val="21"/>
                <w:szCs w:val="21"/>
                <w:highlight w:val="none"/>
                <w14:textFill>
                  <w14:solidFill>
                    <w14:schemeClr w14:val="tx1"/>
                  </w14:solidFill>
                </w14:textFill>
              </w:rPr>
              <w:t>100%规范设置中医科、中药房，配备中医诊疗设备</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的，扣10分。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宋体" w:hAnsi="宋体" w:eastAsia="宋体" w:cs="宋体"/>
                <w:b w:val="0"/>
                <w:bCs w:val="0"/>
                <w:color w:val="000000" w:themeColor="text1"/>
                <w:sz w:val="21"/>
                <w:szCs w:val="21"/>
                <w:highlight w:val="none"/>
                <w:lang w:val="en-US"/>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现场抽查2个下辖县的4个基层医疗机构，核查其中医馆设置，以及人员配备情况。</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抽查的机构未达到100%设置中医馆的，扣8分。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未按要求配备中医药人员的，一个机构扣4分；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8</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357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3.5.</w:t>
            </w:r>
            <w:r>
              <w:rPr>
                <w:rFonts w:hint="eastAsia" w:ascii="宋体" w:hAnsi="宋体" w:eastAsia="宋体" w:cs="宋体"/>
                <w:b w:val="0"/>
                <w:bCs w:val="0"/>
                <w:color w:val="000000" w:themeColor="text1"/>
                <w:sz w:val="21"/>
                <w:szCs w:val="21"/>
                <w:highlight w:val="none"/>
                <w14:textFill>
                  <w14:solidFill>
                    <w14:schemeClr w14:val="tx1"/>
                  </w14:solidFill>
                </w14:textFill>
              </w:rPr>
              <w:t>加强市、县级中医医院及基层医疗卫生机构的信息化建设。下辖的县级中医医院电子病历达4级水平，基层医疗卫生机构中医馆全部接入中医馆健康信息平台。实现市、县级中医医院牵头的医联体内信息互通、共享。能按照国家卫生健康委和国家中医药管理局要求及时准确上报相关信息及统计数据。</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0分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5.1.现场查看2个下辖县中医医院</w:t>
            </w:r>
            <w:r>
              <w:rPr>
                <w:rFonts w:hint="eastAsia" w:ascii="宋体" w:hAnsi="宋体" w:eastAsia="宋体" w:cs="宋体"/>
                <w:b w:val="0"/>
                <w:bCs w:val="0"/>
                <w:color w:val="000000" w:themeColor="text1"/>
                <w:sz w:val="21"/>
                <w:szCs w:val="21"/>
                <w:highlight w:val="none"/>
                <w14:textFill>
                  <w14:solidFill>
                    <w14:schemeClr w14:val="tx1"/>
                  </w14:solidFill>
                </w14:textFill>
              </w:rPr>
              <w:t>的信息化建设</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情况。（查看</w:t>
            </w:r>
            <w:r>
              <w:rPr>
                <w:rFonts w:hint="eastAsia" w:ascii="宋体" w:hAnsi="宋体" w:eastAsia="宋体" w:cs="宋体"/>
                <w:b w:val="0"/>
                <w:bCs w:val="0"/>
                <w:color w:val="000000" w:themeColor="text1"/>
                <w:sz w:val="21"/>
                <w:szCs w:val="21"/>
                <w:highlight w:val="none"/>
                <w14:textFill>
                  <w14:solidFill>
                    <w14:schemeClr w14:val="tx1"/>
                  </w14:solidFill>
                </w14:textFill>
              </w:rPr>
              <w:t>中医医院医疗质量监测中心提供的相关数据</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下辖县</w:t>
            </w:r>
            <w:r>
              <w:rPr>
                <w:rFonts w:hint="eastAsia" w:ascii="宋体" w:hAnsi="宋体" w:eastAsia="宋体" w:cs="宋体"/>
                <w:b w:val="0"/>
                <w:bCs w:val="0"/>
                <w:color w:val="000000" w:themeColor="text1"/>
                <w:sz w:val="21"/>
                <w:szCs w:val="21"/>
                <w:highlight w:val="none"/>
                <w14:textFill>
                  <w14:solidFill>
                    <w14:schemeClr w14:val="tx1"/>
                  </w14:solidFill>
                </w14:textFill>
              </w:rPr>
              <w:t>中医医院电子病历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b w:val="0"/>
                <w:bCs w:val="0"/>
                <w:color w:val="000000" w:themeColor="text1"/>
                <w:sz w:val="21"/>
                <w:szCs w:val="21"/>
                <w:highlight w:val="none"/>
                <w14:textFill>
                  <w14:solidFill>
                    <w14:schemeClr w14:val="tx1"/>
                  </w14:solidFill>
                </w14:textFill>
              </w:rPr>
              <w:t>达标</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每个机构扣3分</w:t>
            </w:r>
            <w:r>
              <w:rPr>
                <w:rFonts w:hint="eastAsia" w:ascii="宋体" w:hAnsi="宋体" w:eastAsia="宋体" w:cs="宋体"/>
                <w:b w:val="0"/>
                <w:bCs w:val="0"/>
                <w:color w:val="000000" w:themeColor="text1"/>
                <w:sz w:val="21"/>
                <w:szCs w:val="21"/>
                <w:highlight w:val="none"/>
                <w14:textFill>
                  <w14:solidFill>
                    <w14:schemeClr w14:val="tx1"/>
                  </w14:solidFill>
                </w14:textFill>
              </w:rPr>
              <w:t>。</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3.5.</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.现场抽查</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2个下辖县的4</w:t>
            </w:r>
            <w:r>
              <w:rPr>
                <w:rFonts w:hint="eastAsia" w:ascii="宋体" w:hAnsi="宋体" w:eastAsia="宋体" w:cs="宋体"/>
                <w:b w:val="0"/>
                <w:bCs w:val="0"/>
                <w:color w:val="000000" w:themeColor="text1"/>
                <w:sz w:val="21"/>
                <w:szCs w:val="21"/>
                <w:highlight w:val="none"/>
                <w14:textFill>
                  <w14:solidFill>
                    <w14:schemeClr w14:val="tx1"/>
                  </w14:solidFill>
                </w14:textFill>
              </w:rPr>
              <w:t>个基层医疗机构</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查看</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其中医馆</w:t>
            </w:r>
            <w:r>
              <w:rPr>
                <w:rFonts w:hint="eastAsia" w:ascii="宋体" w:hAnsi="宋体" w:eastAsia="宋体" w:cs="宋体"/>
                <w:b w:val="0"/>
                <w:bCs w:val="0"/>
                <w:color w:val="000000" w:themeColor="text1"/>
                <w:sz w:val="21"/>
                <w:szCs w:val="21"/>
                <w:highlight w:val="none"/>
                <w14:textFill>
                  <w14:solidFill>
                    <w14:schemeClr w14:val="tx1"/>
                  </w14:solidFill>
                </w14:textFill>
              </w:rPr>
              <w:t>信息平台建设情况。</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抽查的机构未接入</w:t>
            </w:r>
            <w:r>
              <w:rPr>
                <w:rFonts w:hint="eastAsia" w:ascii="宋体" w:hAnsi="宋体" w:eastAsia="宋体" w:cs="宋体"/>
                <w:b w:val="0"/>
                <w:bCs w:val="0"/>
                <w:color w:val="000000" w:themeColor="text1"/>
                <w:sz w:val="21"/>
                <w:szCs w:val="21"/>
                <w:highlight w:val="none"/>
                <w14:textFill>
                  <w14:solidFill>
                    <w14:schemeClr w14:val="tx1"/>
                  </w14:solidFill>
                </w14:textFill>
              </w:rPr>
              <w:t>中医健康信息平台</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，每个机构，扣1分。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5.3.查阅市、县中医医院牵头的医联体信息化建设情况。</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医联体内</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未实现</w:t>
            </w:r>
            <w:r>
              <w:rPr>
                <w:rFonts w:hint="eastAsia" w:ascii="宋体" w:hAnsi="宋体" w:eastAsia="宋体" w:cs="宋体"/>
                <w:b w:val="0"/>
                <w:bCs w:val="0"/>
                <w:color w:val="000000" w:themeColor="text1"/>
                <w:sz w:val="21"/>
                <w:szCs w:val="21"/>
                <w:highlight w:val="none"/>
                <w14:textFill>
                  <w14:solidFill>
                    <w14:schemeClr w14:val="tx1"/>
                  </w14:solidFill>
                </w14:textFill>
              </w:rPr>
              <w:t>信息共享</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扣</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实现信息共享，但相关资料不完善，每缺一项扣1分（工作记录、影像、检验、其他检查等）。</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default"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5.4.查阅</w:t>
            </w:r>
            <w:r>
              <w:rPr>
                <w:rFonts w:hint="eastAsia" w:ascii="宋体" w:hAnsi="宋体" w:eastAsia="宋体" w:cs="宋体"/>
                <w:b w:val="0"/>
                <w:bCs w:val="0"/>
                <w:color w:val="000000" w:themeColor="text1"/>
                <w:sz w:val="21"/>
                <w:szCs w:val="21"/>
                <w:highlight w:val="none"/>
                <w14:textFill>
                  <w14:solidFill>
                    <w14:schemeClr w14:val="tx1"/>
                  </w14:solidFill>
                </w14:textFill>
              </w:rPr>
              <w:t>上报相关信息及统计数据</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的资料。</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不能及时上报相关信息及统计数据，扣2分；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不能准确上报相关信息，扣3分。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62"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四、人才队伍建设</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4.1.</w:t>
            </w:r>
            <w:r>
              <w:rPr>
                <w:rFonts w:hint="eastAsia" w:ascii="宋体" w:hAnsi="宋体" w:eastAsia="宋体" w:cs="宋体"/>
                <w:b w:val="0"/>
                <w:bCs w:val="0"/>
                <w:color w:val="000000" w:themeColor="text1"/>
                <w:sz w:val="21"/>
                <w:szCs w:val="21"/>
                <w:highlight w:val="none"/>
                <w14:textFill>
                  <w14:solidFill>
                    <w14:schemeClr w14:val="tx1"/>
                  </w14:solidFill>
                </w14:textFill>
              </w:rPr>
              <w:t>全市医疗卫生服务体系健全，机构设置、千人口医疗卫生机构床位数、每千常住人口执业（助理）医师数和注册护士数、每千常住人口公共卫生人员数、每万常住人口全科医生数、医护比、中医药人员占比等指标符合所在地区域卫生规划要求。达到城乡每万名居民有0.6-0.8名合格的中医类别全科医生。</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20分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4.1.1.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查阅市医疗</w:t>
            </w:r>
            <w:r>
              <w:rPr>
                <w:rFonts w:hint="eastAsia" w:ascii="宋体" w:hAnsi="宋体" w:eastAsia="宋体" w:cs="宋体"/>
                <w:b w:val="0"/>
                <w:bCs w:val="0"/>
                <w:color w:val="000000" w:themeColor="text1"/>
                <w:sz w:val="21"/>
                <w:szCs w:val="21"/>
                <w:highlight w:val="none"/>
                <w14:textFill>
                  <w14:solidFill>
                    <w14:schemeClr w14:val="tx1"/>
                  </w14:solidFill>
                </w14:textFill>
              </w:rPr>
              <w:t>卫生服务体系</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千人口医疗卫生机构床位数、每千常住人口执业（助理）医师数和注册护士数、每千常住人口公共卫生人员数、每万常住人口全科医生数、医护比、中医药人员占比等</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相关数据。</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相关指标未达到所在地区卫生规划要求，</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textAlignment w:val="auto"/>
              <w:rPr>
                <w:rFonts w:hint="default"/>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每项扣4分，扣完为止。</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城乡每万名居民中医类别全科医生</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数不足</w:t>
            </w:r>
            <w:r>
              <w:rPr>
                <w:rFonts w:hint="eastAsia" w:ascii="宋体" w:hAnsi="宋体" w:eastAsia="宋体" w:cs="宋体"/>
                <w:b w:val="0"/>
                <w:bCs w:val="0"/>
                <w:color w:val="000000" w:themeColor="text1"/>
                <w:sz w:val="21"/>
                <w:szCs w:val="21"/>
                <w:highlight w:val="none"/>
                <w14:textFill>
                  <w14:solidFill>
                    <w14:schemeClr w14:val="tx1"/>
                  </w14:solidFill>
                </w14:textFill>
              </w:rPr>
              <w:t>0.6名</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的，扣10分。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8" w:hRule="atLeast"/>
          <w:jc w:val="center"/>
        </w:trPr>
        <w:tc>
          <w:tcPr>
            <w:tcW w:w="357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4.2.</w:t>
            </w:r>
            <w:r>
              <w:rPr>
                <w:rFonts w:hint="eastAsia" w:ascii="宋体" w:hAnsi="宋体" w:eastAsia="宋体" w:cs="宋体"/>
                <w:b w:val="0"/>
                <w:bCs w:val="0"/>
                <w:color w:val="000000" w:themeColor="text1"/>
                <w:sz w:val="21"/>
                <w:szCs w:val="21"/>
                <w:highlight w:val="none"/>
                <w14:textFill>
                  <w14:solidFill>
                    <w14:schemeClr w14:val="tx1"/>
                  </w14:solidFill>
                </w14:textFill>
              </w:rPr>
              <w:t>全市下辖各县的100%中医医院、社区卫生服务中心、乡镇卫生院、社区卫生服务站以及村卫生室合理配备中医药专业技术人员（具体数据见示范县标准）。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14:textFill>
                  <w14:solidFill>
                    <w14:schemeClr w14:val="tx1"/>
                  </w14:solidFill>
                </w14:textFill>
              </w:rPr>
              <w:t>30分≥2</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kern w:val="0"/>
                <w:sz w:val="21"/>
                <w:szCs w:val="21"/>
                <w:highlight w:val="none"/>
                <w14:textFill>
                  <w14:solidFill>
                    <w14:schemeClr w14:val="tx1"/>
                  </w14:solidFill>
                </w14:textFill>
              </w:rPr>
              <w:t>分为达标</w:t>
            </w:r>
            <w:r>
              <w:rPr>
                <w:rFonts w:hint="eastAsia" w:ascii="宋体" w:hAnsi="宋体" w:eastAsia="宋体" w:cs="宋体"/>
                <w:b w:val="0"/>
                <w:bCs w:val="0"/>
                <w:color w:val="000000" w:themeColor="text1"/>
                <w:sz w:val="21"/>
                <w:szCs w:val="21"/>
                <w:highlight w:val="none"/>
                <w14:textFill>
                  <w14:solidFill>
                    <w14:schemeClr w14:val="tx1"/>
                  </w14:solidFill>
                </w14:textFill>
              </w:rPr>
              <w:t>）</w:t>
            </w: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4.2.1.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查看中医医院医疗质量监测中心提供的相关数据。</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村卫生室相关指标数据由申报市根据现有统计数据提供</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全市下辖各县的中医医院中医类别医师占本机构医师总数的比例＜60%的，每个县扣5分；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社区卫生服务中心、乡镇卫生院中医类别医师占本机构医师总数的比例＜25%的，扣5分；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至少配备1名中医类别执业医师或能够提供中医药服务的临床类别执业医师的社区卫生服务站未达到100%的，扣5分；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配备1名中医类别执业（助理）医师或能够提供中医药服务的乡村医生或乡村全科执业（助理）医师的村卫生室未达到100%的，扣5分。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4.2.2.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查阅市</w:t>
            </w:r>
            <w:r>
              <w:rPr>
                <w:rFonts w:hint="eastAsia" w:ascii="宋体" w:hAnsi="宋体" w:eastAsia="宋体" w:cs="宋体"/>
                <w:b w:val="0"/>
                <w:bCs w:val="0"/>
                <w:color w:val="000000" w:themeColor="text1"/>
                <w:sz w:val="21"/>
                <w:szCs w:val="21"/>
                <w:highlight w:val="none"/>
                <w14:textFill>
                  <w14:solidFill>
                    <w14:schemeClr w14:val="tx1"/>
                  </w14:solidFill>
                </w14:textFill>
              </w:rPr>
              <w:t>中医医院</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及抽查的2个下辖县中医医院</w:t>
            </w:r>
            <w:r>
              <w:rPr>
                <w:rFonts w:hint="eastAsia" w:ascii="宋体" w:hAnsi="宋体" w:eastAsia="宋体" w:cs="宋体"/>
                <w:b w:val="0"/>
                <w:bCs w:val="0"/>
                <w:color w:val="000000" w:themeColor="text1"/>
                <w:sz w:val="21"/>
                <w:szCs w:val="21"/>
                <w:highlight w:val="none"/>
                <w14:textFill>
                  <w14:solidFill>
                    <w14:schemeClr w14:val="tx1"/>
                  </w14:solidFill>
                </w14:textFill>
              </w:rPr>
              <w:t>人员配备情况。</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现场核实</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b w:val="0"/>
                <w:bCs w:val="0"/>
                <w:color w:val="000000" w:themeColor="text1"/>
                <w:sz w:val="21"/>
                <w:szCs w:val="21"/>
                <w:highlight w:val="none"/>
                <w14:textFill>
                  <w14:solidFill>
                    <w14:schemeClr w14:val="tx1"/>
                  </w14:solidFill>
                </w14:textFill>
              </w:rPr>
              <w:t>中医</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医</w:t>
            </w:r>
            <w:r>
              <w:rPr>
                <w:rFonts w:hint="eastAsia" w:ascii="宋体" w:hAnsi="宋体" w:eastAsia="宋体" w:cs="宋体"/>
                <w:b w:val="0"/>
                <w:bCs w:val="0"/>
                <w:color w:val="000000" w:themeColor="text1"/>
                <w:sz w:val="21"/>
                <w:szCs w:val="21"/>
                <w:highlight w:val="none"/>
                <w14:textFill>
                  <w14:solidFill>
                    <w14:schemeClr w14:val="tx1"/>
                  </w14:solidFill>
                </w14:textFill>
              </w:rPr>
              <w:t>院</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下辖县中医医院</w:t>
            </w:r>
            <w:r>
              <w:rPr>
                <w:rFonts w:hint="eastAsia" w:ascii="宋体" w:hAnsi="宋体" w:eastAsia="宋体" w:cs="宋体"/>
                <w:b w:val="0"/>
                <w:bCs w:val="0"/>
                <w:color w:val="000000" w:themeColor="text1"/>
                <w:sz w:val="21"/>
                <w:szCs w:val="21"/>
                <w:highlight w:val="none"/>
                <w14:textFill>
                  <w14:solidFill>
                    <w14:schemeClr w14:val="tx1"/>
                  </w14:solidFill>
                </w14:textFill>
              </w:rPr>
              <w:t>中医药人员</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60%</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，扣5</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4.2.3.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抽查2个下辖县的各2个</w:t>
            </w:r>
            <w:r>
              <w:rPr>
                <w:rFonts w:hint="eastAsia" w:ascii="宋体" w:hAnsi="宋体" w:eastAsia="宋体" w:cs="宋体"/>
                <w:b w:val="0"/>
                <w:bCs w:val="0"/>
                <w:color w:val="000000" w:themeColor="text1"/>
                <w:sz w:val="21"/>
                <w:szCs w:val="21"/>
                <w:highlight w:val="none"/>
                <w14:textFill>
                  <w14:solidFill>
                    <w14:schemeClr w14:val="tx1"/>
                  </w14:solidFill>
                </w14:textFill>
              </w:rPr>
              <w:t>基层医疗卫生机构</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核实人员配备情况。</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现场核实机构</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不达标准，每个机构扣2分，扣完为止；</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357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4.3.</w:t>
            </w:r>
            <w:r>
              <w:rPr>
                <w:rFonts w:hint="eastAsia" w:ascii="宋体" w:hAnsi="宋体" w:eastAsia="宋体" w:cs="宋体"/>
                <w:b w:val="0"/>
                <w:bCs w:val="0"/>
                <w:color w:val="000000" w:themeColor="text1"/>
                <w:sz w:val="21"/>
                <w:szCs w:val="21"/>
                <w:highlight w:val="none"/>
                <w14:textFill>
                  <w14:solidFill>
                    <w14:schemeClr w14:val="tx1"/>
                  </w14:solidFill>
                </w14:textFill>
              </w:rPr>
              <w:t>市中医药主管部门督导、检查各县中医药主管部门组织开展中医药继续教育和师承教育。督导各下辖县建立标准化西学中培训基地，开展西学中培训，推动基层医生及乡村医生广泛、规范开展中医药服务。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0分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4.3.1.查阅市级中医药主管部门督导、检查下辖县组织开展相关培训资料。</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未查阅到对下辖县开展相关督导、检查资料，不得分。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4.3.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.查阅</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督导下辖县</w:t>
            </w:r>
            <w:r>
              <w:rPr>
                <w:rFonts w:hint="eastAsia" w:ascii="宋体" w:hAnsi="宋体" w:eastAsia="宋体" w:cs="宋体"/>
                <w:b w:val="0"/>
                <w:bCs w:val="0"/>
                <w:color w:val="000000" w:themeColor="text1"/>
                <w:sz w:val="21"/>
                <w:szCs w:val="21"/>
                <w:highlight w:val="none"/>
                <w14:textFill>
                  <w14:solidFill>
                    <w14:schemeClr w14:val="tx1"/>
                  </w14:solidFill>
                </w14:textFill>
              </w:rPr>
              <w:t>中医药师承教育的文件、总结、简报等相关资料。</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w:t>
            </w:r>
            <w:r>
              <w:rPr>
                <w:rFonts w:hint="eastAsia" w:ascii="宋体" w:hAnsi="宋体" w:eastAsia="宋体" w:cs="宋体"/>
                <w:b w:val="0"/>
                <w:bCs w:val="0"/>
                <w:color w:val="000000" w:themeColor="text1"/>
                <w:sz w:val="21"/>
                <w:szCs w:val="21"/>
                <w:highlight w:val="none"/>
                <w14:textFill>
                  <w14:solidFill>
                    <w14:schemeClr w14:val="tx1"/>
                  </w14:solidFill>
                </w14:textFill>
              </w:rPr>
              <w:t>组织开展</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下辖县</w:t>
            </w:r>
            <w:r>
              <w:rPr>
                <w:rFonts w:hint="eastAsia" w:ascii="宋体" w:hAnsi="宋体" w:eastAsia="宋体" w:cs="宋体"/>
                <w:b w:val="0"/>
                <w:bCs w:val="0"/>
                <w:color w:val="000000" w:themeColor="text1"/>
                <w:sz w:val="21"/>
                <w:szCs w:val="21"/>
                <w:highlight w:val="none"/>
                <w14:textFill>
                  <w14:solidFill>
                    <w14:schemeClr w14:val="tx1"/>
                  </w14:solidFill>
                </w14:textFill>
              </w:rPr>
              <w:t>中医药师承教育</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工作</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不得分</w:t>
            </w:r>
            <w:r>
              <w:rPr>
                <w:rFonts w:hint="eastAsia" w:ascii="宋体" w:hAnsi="宋体" w:eastAsia="宋体" w:cs="宋体"/>
                <w:b w:val="0"/>
                <w:bCs w:val="0"/>
                <w:color w:val="000000" w:themeColor="text1"/>
                <w:sz w:val="21"/>
                <w:szCs w:val="21"/>
                <w:highlight w:val="none"/>
                <w14:textFill>
                  <w14:solidFill>
                    <w14:schemeClr w14:val="tx1"/>
                  </w14:solidFill>
                </w14:textFill>
              </w:rPr>
              <w:t>。</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8</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t>4.3.3.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抽查2个下辖县开展西学中培训基地建设情况；</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t>实地检查4个基层医疗卫生机构。</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未查阅到开展西学中培训基地建设资料，一个县扣2分；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所查</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基层</w:t>
            </w:r>
            <w:r>
              <w:rPr>
                <w:rFonts w:hint="eastAsia" w:ascii="宋体" w:hAnsi="宋体" w:eastAsia="宋体" w:cs="宋体"/>
                <w:b w:val="0"/>
                <w:bCs w:val="0"/>
                <w:color w:val="000000" w:themeColor="text1"/>
                <w:sz w:val="21"/>
                <w:szCs w:val="21"/>
                <w:highlight w:val="none"/>
                <w14:textFill>
                  <w14:solidFill>
                    <w14:schemeClr w14:val="tx1"/>
                  </w14:solidFill>
                </w14:textFill>
              </w:rPr>
              <w:t>医疗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机构未查阅到</w:t>
            </w:r>
            <w:r>
              <w:rPr>
                <w:rFonts w:hint="eastAsia" w:ascii="宋体" w:hAnsi="宋体" w:eastAsia="宋体" w:cs="宋体"/>
                <w:b w:val="0"/>
                <w:bCs w:val="0"/>
                <w:color w:val="000000" w:themeColor="text1"/>
                <w:sz w:val="21"/>
                <w:szCs w:val="21"/>
                <w:highlight w:val="none"/>
                <w14:textFill>
                  <w14:solidFill>
                    <w14:schemeClr w14:val="tx1"/>
                  </w14:solidFill>
                </w14:textFill>
              </w:rPr>
              <w:t>组织参加</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市县级</w:t>
            </w:r>
            <w:r>
              <w:rPr>
                <w:rFonts w:hint="eastAsia" w:ascii="宋体" w:hAnsi="宋体" w:eastAsia="宋体" w:cs="宋体"/>
                <w:b w:val="0"/>
                <w:bCs w:val="0"/>
                <w:color w:val="000000" w:themeColor="text1"/>
                <w:sz w:val="21"/>
                <w:szCs w:val="21"/>
                <w:highlight w:val="none"/>
                <w14:textFill>
                  <w14:solidFill>
                    <w14:schemeClr w14:val="tx1"/>
                  </w14:solidFill>
                </w14:textFill>
              </w:rPr>
              <w:t>中医药培训</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的资料</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每个机构扣2分，扣完为止。</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4.3.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14:textFill>
                  <w14:solidFill>
                    <w14:schemeClr w14:val="tx1"/>
                  </w14:solidFill>
                </w14:textFill>
              </w:rPr>
              <w:t>.实地访谈</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5名</w:t>
            </w:r>
            <w:r>
              <w:rPr>
                <w:rFonts w:hint="eastAsia" w:ascii="宋体" w:hAnsi="宋体" w:eastAsia="宋体" w:cs="宋体"/>
                <w:b w:val="0"/>
                <w:bCs w:val="0"/>
                <w:color w:val="000000" w:themeColor="text1"/>
                <w:sz w:val="21"/>
                <w:szCs w:val="21"/>
                <w:highlight w:val="none"/>
                <w14:textFill>
                  <w14:solidFill>
                    <w14:schemeClr w14:val="tx1"/>
                  </w14:solidFill>
                </w14:textFill>
              </w:rPr>
              <w:t>医务人员。</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所查医务人员</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w:t>
            </w:r>
            <w:r>
              <w:rPr>
                <w:rFonts w:hint="eastAsia" w:ascii="宋体" w:hAnsi="宋体" w:eastAsia="宋体" w:cs="宋体"/>
                <w:b w:val="0"/>
                <w:bCs w:val="0"/>
                <w:color w:val="000000" w:themeColor="text1"/>
                <w:sz w:val="21"/>
                <w:szCs w:val="21"/>
                <w:highlight w:val="none"/>
                <w14:textFill>
                  <w14:solidFill>
                    <w14:schemeClr w14:val="tx1"/>
                  </w14:solidFill>
                </w14:textFill>
              </w:rPr>
              <w:t>接受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上级</w:t>
            </w:r>
            <w:r>
              <w:rPr>
                <w:rFonts w:hint="eastAsia" w:ascii="宋体" w:hAnsi="宋体" w:eastAsia="宋体" w:cs="宋体"/>
                <w:b w:val="0"/>
                <w:bCs w:val="0"/>
                <w:color w:val="000000" w:themeColor="text1"/>
                <w:sz w:val="21"/>
                <w:szCs w:val="21"/>
                <w:highlight w:val="none"/>
                <w14:textFill>
                  <w14:solidFill>
                    <w14:schemeClr w14:val="tx1"/>
                  </w14:solidFill>
                </w14:textFill>
              </w:rPr>
              <w:t>中医药基本知识和技能培训</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每人扣</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357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4.4.</w:t>
            </w:r>
            <w:r>
              <w:rPr>
                <w:rFonts w:hint="eastAsia" w:ascii="宋体" w:hAnsi="宋体" w:eastAsia="宋体" w:cs="宋体"/>
                <w:b w:val="0"/>
                <w:bCs w:val="0"/>
                <w:color w:val="000000" w:themeColor="text1"/>
                <w:sz w:val="21"/>
                <w:szCs w:val="21"/>
                <w:highlight w:val="none"/>
                <w14:textFill>
                  <w14:solidFill>
                    <w14:schemeClr w14:val="tx1"/>
                  </w14:solidFill>
                </w14:textFill>
              </w:rPr>
              <w:t>积极开展西学中培训。市级中医医院受市中医药主管部门委托，建立西学中培训基地，对下辖县基层医疗卫生机构开展西学中培训，鼓励本市（县）域内的临床执业医师和乡村医生积极参加培训。</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20分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4.4.1.查阅本</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b w:val="0"/>
                <w:bCs w:val="0"/>
                <w:color w:val="000000" w:themeColor="text1"/>
                <w:sz w:val="21"/>
                <w:szCs w:val="21"/>
                <w:highlight w:val="none"/>
                <w14:textFill>
                  <w14:solidFill>
                    <w14:schemeClr w14:val="tx1"/>
                  </w14:solidFill>
                </w14:textFill>
              </w:rPr>
              <w:t>成立西学中培训基地的文件</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通知等资料</w:t>
            </w:r>
            <w:r>
              <w:rPr>
                <w:rFonts w:hint="eastAsia" w:ascii="宋体" w:hAnsi="宋体" w:eastAsia="宋体" w:cs="宋体"/>
                <w:b w:val="0"/>
                <w:bCs w:val="0"/>
                <w:color w:val="000000" w:themeColor="text1"/>
                <w:sz w:val="21"/>
                <w:szCs w:val="21"/>
                <w:highlight w:val="none"/>
                <w14:textFill>
                  <w14:solidFill>
                    <w14:schemeClr w14:val="tx1"/>
                  </w14:solidFill>
                </w14:textFill>
              </w:rPr>
              <w:t>。</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w:t>
            </w:r>
            <w:r>
              <w:rPr>
                <w:rFonts w:hint="eastAsia" w:ascii="宋体" w:hAnsi="宋体" w:eastAsia="宋体" w:cs="宋体"/>
                <w:b w:val="0"/>
                <w:bCs w:val="0"/>
                <w:color w:val="000000" w:themeColor="text1"/>
                <w:sz w:val="21"/>
                <w:szCs w:val="21"/>
                <w:highlight w:val="none"/>
                <w14:textFill>
                  <w14:solidFill>
                    <w14:schemeClr w14:val="tx1"/>
                  </w14:solidFill>
                </w14:textFill>
              </w:rPr>
              <w:t>成立西学中培训基地</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相关资料</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不得分</w:t>
            </w:r>
            <w:r>
              <w:rPr>
                <w:rFonts w:hint="eastAsia" w:ascii="宋体" w:hAnsi="宋体" w:eastAsia="宋体" w:cs="宋体"/>
                <w:b w:val="0"/>
                <w:bCs w:val="0"/>
                <w:color w:val="000000" w:themeColor="text1"/>
                <w:sz w:val="21"/>
                <w:szCs w:val="21"/>
                <w:highlight w:val="none"/>
                <w14:textFill>
                  <w14:solidFill>
                    <w14:schemeClr w14:val="tx1"/>
                  </w14:solidFill>
                </w14:textFill>
              </w:rPr>
              <w:t>。</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8</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4.4.2.查阅</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对下辖县</w:t>
            </w:r>
            <w:r>
              <w:rPr>
                <w:rFonts w:hint="eastAsia" w:ascii="宋体" w:hAnsi="宋体" w:eastAsia="宋体" w:cs="宋体"/>
                <w:b w:val="0"/>
                <w:bCs w:val="0"/>
                <w:color w:val="000000" w:themeColor="text1"/>
                <w:sz w:val="21"/>
                <w:szCs w:val="21"/>
                <w:highlight w:val="none"/>
                <w14:textFill>
                  <w14:solidFill>
                    <w14:schemeClr w14:val="tx1"/>
                  </w14:solidFill>
                </w14:textFill>
              </w:rPr>
              <w:t>组织开展相关培训的工作资料（通知、学员名单、签到、课件、考试成绩、结业证书等）。</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培训</w:t>
            </w:r>
            <w:r>
              <w:rPr>
                <w:rFonts w:hint="eastAsia" w:ascii="宋体" w:hAnsi="宋体" w:eastAsia="宋体" w:cs="宋体"/>
                <w:b w:val="0"/>
                <w:bCs w:val="0"/>
                <w:color w:val="000000" w:themeColor="text1"/>
                <w:sz w:val="21"/>
                <w:szCs w:val="21"/>
                <w:highlight w:val="none"/>
                <w14:textFill>
                  <w14:solidFill>
                    <w14:schemeClr w14:val="tx1"/>
                  </w14:solidFill>
                </w14:textFill>
              </w:rPr>
              <w:t>资料</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b w:val="0"/>
                <w:bCs w:val="0"/>
                <w:color w:val="000000" w:themeColor="text1"/>
                <w:sz w:val="21"/>
                <w:szCs w:val="21"/>
                <w:highlight w:val="none"/>
                <w14:textFill>
                  <w14:solidFill>
                    <w14:schemeClr w14:val="tx1"/>
                  </w14:solidFill>
                </w14:textFill>
              </w:rPr>
              <w:t>完善</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每项扣2分，最多扣8</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8</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4.4.3.查阅组织本</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b w:val="0"/>
                <w:bCs w:val="0"/>
                <w:color w:val="000000" w:themeColor="text1"/>
                <w:sz w:val="21"/>
                <w:szCs w:val="21"/>
                <w:highlight w:val="none"/>
                <w14:textFill>
                  <w14:solidFill>
                    <w14:schemeClr w14:val="tx1"/>
                  </w14:solidFill>
                </w14:textFill>
              </w:rPr>
              <w:t>域内乡村医生参加相应培训的资料（同上）。</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w:t>
            </w:r>
            <w:r>
              <w:rPr>
                <w:rFonts w:hint="eastAsia" w:ascii="宋体" w:hAnsi="宋体" w:eastAsia="宋体" w:cs="宋体"/>
                <w:b w:val="0"/>
                <w:bCs w:val="0"/>
                <w:color w:val="000000" w:themeColor="text1"/>
                <w:sz w:val="21"/>
                <w:szCs w:val="21"/>
                <w:highlight w:val="none"/>
                <w14:textFill>
                  <w14:solidFill>
                    <w14:schemeClr w14:val="tx1"/>
                  </w14:solidFill>
                </w14:textFill>
              </w:rPr>
              <w:t>组织乡村医生参加培训</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的资料</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扣2分；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培训资料不完整</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扣2分。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62"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五、中医药服务</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357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5.1</w:t>
            </w:r>
            <w:r>
              <w:rPr>
                <w:rFonts w:hint="eastAsia" w:ascii="宋体" w:hAnsi="宋体" w:eastAsia="宋体" w:cs="宋体"/>
                <w:b w:val="0"/>
                <w:bCs w:val="0"/>
                <w:color w:val="000000" w:themeColor="text1"/>
                <w:sz w:val="21"/>
                <w:szCs w:val="21"/>
                <w:highlight w:val="none"/>
                <w14:textFill>
                  <w14:solidFill>
                    <w14:schemeClr w14:val="tx1"/>
                  </w14:solidFill>
                </w14:textFill>
              </w:rPr>
              <w:t>市级中医医院主要提供中医药综合服务。完善中医特色专科和临床、医技科室的服务功能，提高中医优势病种的诊疗能力和综合服务能力。中医药诊疗人次占总诊疗人次的比例达60%以上，充分发挥中医药特色的辐射作用，提高全市中医药服务的覆盖率。</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0分≥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27分为的达标</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5.1.1.实地检查</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b w:val="0"/>
                <w:bCs w:val="0"/>
                <w:color w:val="000000" w:themeColor="text1"/>
                <w:sz w:val="21"/>
                <w:szCs w:val="21"/>
                <w:highlight w:val="none"/>
                <w14:textFill>
                  <w14:solidFill>
                    <w14:schemeClr w14:val="tx1"/>
                  </w14:solidFill>
                </w14:textFill>
              </w:rPr>
              <w:t>中医医院科室建设。</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b w:val="0"/>
                <w:bCs w:val="0"/>
                <w:color w:val="000000" w:themeColor="text1"/>
                <w:sz w:val="21"/>
                <w:szCs w:val="21"/>
                <w:highlight w:val="none"/>
                <w14:textFill>
                  <w14:solidFill>
                    <w14:schemeClr w14:val="tx1"/>
                  </w14:solidFill>
                </w14:textFill>
              </w:rPr>
              <w:t>级中医医院科室设置</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b w:val="0"/>
                <w:bCs w:val="0"/>
                <w:color w:val="000000" w:themeColor="text1"/>
                <w:sz w:val="21"/>
                <w:szCs w:val="21"/>
                <w:highlight w:val="none"/>
                <w14:textFill>
                  <w14:solidFill>
                    <w14:schemeClr w14:val="tx1"/>
                  </w14:solidFill>
                </w14:textFill>
              </w:rPr>
              <w:t>健全，</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每个科室扣2分，最多扣10分。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5.1.2.实地检查</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b w:val="0"/>
                <w:bCs w:val="0"/>
                <w:color w:val="000000" w:themeColor="text1"/>
                <w:sz w:val="21"/>
                <w:szCs w:val="21"/>
                <w:highlight w:val="none"/>
                <w14:textFill>
                  <w14:solidFill>
                    <w14:schemeClr w14:val="tx1"/>
                  </w14:solidFill>
                </w14:textFill>
              </w:rPr>
              <w:t>中医医院特色中医科室建设</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和优势病种</w:t>
            </w:r>
            <w:r>
              <w:rPr>
                <w:rFonts w:hint="eastAsia" w:ascii="宋体" w:hAnsi="宋体" w:eastAsia="宋体" w:cs="宋体"/>
                <w:b w:val="0"/>
                <w:bCs w:val="0"/>
                <w:color w:val="000000" w:themeColor="text1"/>
                <w:sz w:val="21"/>
                <w:szCs w:val="21"/>
                <w:highlight w:val="none"/>
                <w14:textFill>
                  <w14:solidFill>
                    <w14:schemeClr w14:val="tx1"/>
                  </w14:solidFill>
                </w14:textFill>
              </w:rPr>
              <w:t>情况</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eastAsia"/>
                <w:lang w:val="en-US" w:eastAsia="zh-CN"/>
              </w:rPr>
            </w:pPr>
            <w:r>
              <w:rPr>
                <w:rFonts w:hint="eastAsia"/>
                <w:lang w:val="en-US" w:eastAsia="zh-CN"/>
              </w:rPr>
              <w:t>未设置</w:t>
            </w:r>
            <w:r>
              <w:rPr>
                <w:rFonts w:hint="eastAsia"/>
              </w:rPr>
              <w:t>中医特色</w:t>
            </w:r>
            <w:r>
              <w:rPr>
                <w:rFonts w:hint="eastAsia"/>
                <w:lang w:val="en-US" w:eastAsia="zh-CN"/>
              </w:rPr>
              <w:t>科室，扣10分。</w:t>
            </w:r>
          </w:p>
          <w:p>
            <w:pPr>
              <w:pStyle w:val="2"/>
              <w:ind w:left="0" w:leftChars="0" w:firstLine="0" w:firstLineChars="0"/>
              <w:jc w:val="left"/>
              <w:rPr>
                <w:rFonts w:hint="eastAsia"/>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未提供</w:t>
            </w:r>
            <w:r>
              <w:rPr>
                <w:rFonts w:hint="eastAsia" w:ascii="宋体" w:hAnsi="宋体" w:eastAsia="宋体" w:cs="宋体"/>
                <w:b w:val="0"/>
                <w:bCs w:val="0"/>
                <w:color w:val="000000" w:themeColor="text1"/>
                <w:sz w:val="21"/>
                <w:szCs w:val="21"/>
                <w:highlight w:val="none"/>
                <w14:textFill>
                  <w14:solidFill>
                    <w14:schemeClr w14:val="tx1"/>
                  </w14:solidFill>
                </w14:textFill>
              </w:rPr>
              <w:t>优势</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病种目录</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扣</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4407"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5.1.3.查看中医医院医疗质量监测中心提供的相关数据；</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或参考申报市提供的现有统计数据</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中医药诊疗人次占总诊疗人次＜60%，每降低1个百分点，扣1分。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★5.2市级中医医院积极开展对基层医疗机构中医诊疗业务指导，不断提高基层的中医诊疗能力。拓展基层中医药服务范围，下辖社区卫生服务中心、乡镇卫生院中医诊疗人次占总诊疗人次的比例达35%以上。（3</w:t>
            </w:r>
            <w:r>
              <w:rPr>
                <w:rFonts w:hint="eastAsia" w:ascii="宋体" w:hAnsi="宋体" w:eastAsia="宋体" w:cs="宋体"/>
                <w:b w:val="0"/>
                <w:bCs w:val="0"/>
                <w:color w:val="000000" w:themeColor="text1"/>
                <w:sz w:val="21"/>
                <w:szCs w:val="21"/>
                <w:highlight w:val="none"/>
                <w14:textFill>
                  <w14:solidFill>
                    <w14:schemeClr w14:val="tx1"/>
                  </w14:solidFill>
                </w14:textFill>
              </w:rPr>
              <w:t>0分≥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27分为达标）</w:t>
            </w: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5.2.1.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查看中医医院医疗质量监测中心提供的相关数据；</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或参考申报市提供的现有统计数据</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查阅相关数据</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社区卫生服务中心、乡镇卫生院中医诊疗人次占总诊疗人次的比例＜35%，每降低1个百分点，扣2分。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5.2.2.现场</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抽查</w:t>
            </w:r>
            <w:r>
              <w:rPr>
                <w:rFonts w:hint="eastAsia" w:ascii="宋体" w:hAnsi="宋体" w:eastAsia="宋体" w:cs="宋体"/>
                <w:b w:val="0"/>
                <w:bCs w:val="0"/>
                <w:color w:val="000000" w:themeColor="text1"/>
                <w:sz w:val="21"/>
                <w:szCs w:val="21"/>
                <w:highlight w:val="none"/>
                <w14:textFill>
                  <w14:solidFill>
                    <w14:schemeClr w14:val="tx1"/>
                  </w14:solidFill>
                </w14:textFill>
              </w:rPr>
              <w:t>2个</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下辖县，每个县抽查2个</w:t>
            </w:r>
            <w:r>
              <w:rPr>
                <w:rFonts w:hint="eastAsia" w:ascii="宋体" w:hAnsi="宋体" w:eastAsia="宋体" w:cs="宋体"/>
                <w:b w:val="0"/>
                <w:bCs w:val="0"/>
                <w:color w:val="000000" w:themeColor="text1"/>
                <w:sz w:val="21"/>
                <w:szCs w:val="21"/>
                <w:highlight w:val="none"/>
                <w14:textFill>
                  <w14:solidFill>
                    <w14:schemeClr w14:val="tx1"/>
                  </w14:solidFill>
                </w14:textFill>
              </w:rPr>
              <w:t>基层医疗卫生机构</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查阅相关材料（随机抽查前6个月中</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连续</w:t>
            </w:r>
            <w:r>
              <w:rPr>
                <w:rFonts w:hint="eastAsia" w:ascii="宋体" w:hAnsi="宋体" w:eastAsia="宋体" w:cs="宋体"/>
                <w:b w:val="0"/>
                <w:bCs w:val="0"/>
                <w:color w:val="000000" w:themeColor="text1"/>
                <w:sz w:val="21"/>
                <w:szCs w:val="21"/>
                <w:highlight w:val="none"/>
                <w14:textFill>
                  <w14:solidFill>
                    <w14:schemeClr w14:val="tx1"/>
                  </w14:solidFill>
                </w14:textFill>
              </w:rPr>
              <w:t>5个工作日的处方、挂号记录、收费记录、治疗记录等</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相关</w:t>
            </w:r>
            <w:r>
              <w:rPr>
                <w:rFonts w:hint="eastAsia" w:ascii="宋体" w:hAnsi="宋体" w:eastAsia="宋体" w:cs="宋体"/>
                <w:b w:val="0"/>
                <w:bCs w:val="0"/>
                <w:color w:val="000000" w:themeColor="text1"/>
                <w:sz w:val="21"/>
                <w:szCs w:val="21"/>
                <w:highlight w:val="none"/>
                <w14:textFill>
                  <w14:solidFill>
                    <w14:schemeClr w14:val="tx1"/>
                  </w14:solidFill>
                </w14:textFill>
              </w:rPr>
              <w:t>材料）。</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现场抽查的</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14:textFill>
                  <w14:solidFill>
                    <w14:schemeClr w14:val="tx1"/>
                  </w14:solidFill>
                </w14:textFill>
              </w:rPr>
              <w:t>个社区卫生服务中心</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或</w:t>
            </w:r>
            <w:r>
              <w:rPr>
                <w:rFonts w:hint="eastAsia" w:ascii="宋体" w:hAnsi="宋体" w:eastAsia="宋体" w:cs="宋体"/>
                <w:b w:val="0"/>
                <w:bCs w:val="0"/>
                <w:color w:val="000000" w:themeColor="text1"/>
                <w:sz w:val="21"/>
                <w:szCs w:val="21"/>
                <w:highlight w:val="none"/>
                <w14:textFill>
                  <w14:solidFill>
                    <w14:schemeClr w14:val="tx1"/>
                  </w14:solidFill>
                </w14:textFill>
              </w:rPr>
              <w:t>乡镇卫生院中医诊疗人次占总诊疗人次的比例&lt;35%的，</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每一个机构不达标，扣10分。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357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5.3鼓励市级中医医院对口帮扶基层医疗卫生机构，组建医联体或紧密型医共体，助力分级诊疗。市级中医医院专家负责培训和指导基层家庭医生团队，向居民提供优质的中医药服务。鼓励有条件的并符合当地卫生健康部门要求的中医诊所，组成团队规范开展家庭医生签约服务并按规定收取费用。鼓励街道社区为提供家庭医生签约服务的中医诊所免费提供服务场所。（20</w:t>
            </w:r>
            <w:r>
              <w:rPr>
                <w:rFonts w:hint="eastAsia" w:ascii="宋体" w:hAnsi="宋体" w:eastAsia="宋体" w:cs="宋体"/>
                <w:b w:val="0"/>
                <w:bCs w:val="0"/>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18分为的达标）</w:t>
            </w: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5.3.1.查阅市级中医医院组建医联体或医共体相关资料（文件、医联体成员名单等）。</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未查阅到组建医联体或医共体文件，扣8分；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已开展工作，但无医联体成员名单、协议书、转诊记录等资料，扣4分。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5.3.2.查阅市级中医医院对医联体内开展培训和指导家庭医生团队资料（培训名单、课件、指导记录等）。（查看</w:t>
            </w:r>
            <w:r>
              <w:rPr>
                <w:rFonts w:hint="eastAsia" w:ascii="宋体" w:hAnsi="宋体" w:eastAsia="宋体" w:cs="宋体"/>
                <w:b w:val="0"/>
                <w:bCs w:val="0"/>
                <w:color w:val="000000" w:themeColor="text1"/>
                <w:sz w:val="21"/>
                <w:szCs w:val="21"/>
                <w:highlight w:val="none"/>
                <w14:textFill>
                  <w14:solidFill>
                    <w14:schemeClr w14:val="tx1"/>
                  </w14:solidFill>
                </w14:textFill>
              </w:rPr>
              <w:t>中医医院医疗质量监测中心提供的相关数据</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作为参考）</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未查阅到医联体内开展家庭医生团队培训和指导工作资料，扣6分；</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开展工作资料不完整，每项扣2分，最多扣6分。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357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5.4</w:t>
            </w:r>
            <w:r>
              <w:rPr>
                <w:rFonts w:hint="eastAsia" w:ascii="宋体" w:hAnsi="宋体" w:eastAsia="宋体" w:cs="宋体"/>
                <w:b w:val="0"/>
                <w:bCs w:val="0"/>
                <w:color w:val="000000" w:themeColor="text1"/>
                <w:sz w:val="21"/>
                <w:szCs w:val="21"/>
                <w:highlight w:val="none"/>
                <w14:textFill>
                  <w14:solidFill>
                    <w14:schemeClr w14:val="tx1"/>
                  </w14:solidFill>
                </w14:textFill>
              </w:rPr>
              <w:t>市级中医医院加强对重点人群、亚健康人群等提供预防保健、养生指导等“治未病”服务。指导和培训基层医疗卫生机构开展中医药养生保健服务、国家基本公共卫生服务中医药健康管理项目。</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0分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5.4.1.实地查看市中医医院“治未病”科工作场所、工作记录等。</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无“治未病”科室，扣5分；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未开展相关工作，扣5分。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5.4.2.查阅市中医医院对基层医疗卫生机构开展中医养生保健、国家基本公共卫生服务项目培训和指导记录（培训通知、课件、人员名单等）。</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未查阅到相关工作资料，扣5分；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资料不完善，每项扣1分，最多扣5分。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7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5.5</w:t>
            </w:r>
            <w:r>
              <w:rPr>
                <w:rFonts w:hint="eastAsia" w:ascii="宋体" w:hAnsi="宋体" w:eastAsia="宋体" w:cs="宋体"/>
                <w:b w:val="0"/>
                <w:bCs w:val="0"/>
                <w:color w:val="000000" w:themeColor="text1"/>
                <w:sz w:val="21"/>
                <w:szCs w:val="21"/>
                <w:highlight w:val="none"/>
                <w14:textFill>
                  <w14:solidFill>
                    <w14:schemeClr w14:val="tx1"/>
                  </w14:solidFill>
                </w14:textFill>
              </w:rPr>
              <w:t>大力推广中医药适宜技术。市级中医医院建立中医药适宜技术培训基地，组建培训专家队伍，对本市及下辖县的基层医疗机构医务人员（含乡村医生）进行培训，提高基层医务人员规范开展中医药适宜技术水平。</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0分≥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27分为达标</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5.5.1.查阅市级中医医院成立中医药适宜技术培训基地资料（文件、场地、设备、专家名单）。</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未查阅到建立中医适宜技术培训基地的文件资料，不得分。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5.5.2.查阅基地在市、2个下辖县开展相关培训工作资料（培训时间、参加人员名单、课件等）。</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培训资料不完整，每项扣2分，最多扣10分；</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培训未覆盖下辖县，每少1个县扣5分，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未将乡村医生纳入培训范围，扣5分。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15</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5.5.3.现场抽查5名</w:t>
            </w:r>
            <w:r>
              <w:rPr>
                <w:rFonts w:hint="eastAsia" w:ascii="宋体" w:hAnsi="宋体" w:eastAsia="宋体" w:cs="宋体"/>
                <w:b w:val="0"/>
                <w:bCs w:val="0"/>
                <w:color w:val="000000" w:themeColor="text1"/>
                <w:sz w:val="21"/>
                <w:szCs w:val="21"/>
                <w:highlight w:val="none"/>
                <w14:textFill>
                  <w14:solidFill>
                    <w14:schemeClr w14:val="tx1"/>
                  </w14:solidFill>
                </w14:textFill>
              </w:rPr>
              <w:t>基层医疗机构</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医务人员。</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不知晓相关培训或未参加相关培训，每人扣1分。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5.6.</w:t>
            </w:r>
            <w:r>
              <w:rPr>
                <w:rFonts w:hint="eastAsia" w:ascii="宋体" w:hAnsi="宋体" w:eastAsia="宋体" w:cs="宋体"/>
                <w:b w:val="0"/>
                <w:bCs w:val="0"/>
                <w:color w:val="000000" w:themeColor="text1"/>
                <w:sz w:val="21"/>
                <w:szCs w:val="21"/>
                <w:highlight w:val="none"/>
                <w14:textFill>
                  <w14:solidFill>
                    <w14:schemeClr w14:val="tx1"/>
                  </w14:solidFill>
                </w14:textFill>
              </w:rPr>
              <w:t>充分发挥中医药在传染病防治中的作用，制定本市中医药宣传、预防、诊治传染病工作方案，培训和指导基层医务人员规范开展传染病中医药宣传、预防和诊治工作。</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20分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5.6.1.查阅本市中医药主管部门制定的中医药</w:t>
            </w:r>
            <w:r>
              <w:rPr>
                <w:rFonts w:hint="eastAsia" w:ascii="宋体" w:hAnsi="宋体" w:eastAsia="宋体" w:cs="宋体"/>
                <w:b w:val="0"/>
                <w:bCs w:val="0"/>
                <w:color w:val="000000" w:themeColor="text1"/>
                <w:sz w:val="21"/>
                <w:szCs w:val="21"/>
                <w:highlight w:val="none"/>
                <w14:textFill>
                  <w14:solidFill>
                    <w14:schemeClr w14:val="tx1"/>
                  </w14:solidFill>
                </w14:textFill>
              </w:rPr>
              <w:t>宣传、预防、诊治传染病工作方案</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未查阅到中医药</w:t>
            </w:r>
            <w:r>
              <w:rPr>
                <w:rFonts w:hint="eastAsia" w:ascii="宋体" w:hAnsi="宋体" w:eastAsia="宋体" w:cs="宋体"/>
                <w:b w:val="0"/>
                <w:bCs w:val="0"/>
                <w:color w:val="000000" w:themeColor="text1"/>
                <w:sz w:val="21"/>
                <w:szCs w:val="21"/>
                <w:highlight w:val="none"/>
                <w14:textFill>
                  <w14:solidFill>
                    <w14:schemeClr w14:val="tx1"/>
                  </w14:solidFill>
                </w14:textFill>
              </w:rPr>
              <w:t>宣传、预防、诊治传染病工作方案</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等资料</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每项扣2分，最多扣10分。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5.6.2.查阅市级中医药主管部门对基层开展培训和指导的工作记录。</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未查阅到对辖区基层医疗卫生机构开展相关培训和指导记录，扣5分；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开展指导或培训记录不完整，扣5分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357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5.7.</w:t>
            </w:r>
            <w:r>
              <w:rPr>
                <w:rFonts w:hint="eastAsia" w:ascii="宋体" w:hAnsi="宋体" w:eastAsia="宋体" w:cs="宋体"/>
                <w:b w:val="0"/>
                <w:bCs w:val="0"/>
                <w:color w:val="000000" w:themeColor="text1"/>
                <w:sz w:val="21"/>
                <w:szCs w:val="21"/>
                <w:highlight w:val="none"/>
                <w14:textFill>
                  <w14:solidFill>
                    <w14:schemeClr w14:val="tx1"/>
                  </w14:solidFill>
                </w14:textFill>
              </w:rPr>
              <w:t>制定本市中医药参与医养结合、康复、长期照护、安宁疗护等工作计划，指导本市及下辖县各中医医院、基层医疗卫生机构和养老机构，采用中医药方法开展相关工作。</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20分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5.7.1.查阅在本</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b w:val="0"/>
                <w:bCs w:val="0"/>
                <w:color w:val="000000" w:themeColor="text1"/>
                <w:sz w:val="21"/>
                <w:szCs w:val="21"/>
                <w:highlight w:val="none"/>
                <w14:textFill>
                  <w14:solidFill>
                    <w14:schemeClr w14:val="tx1"/>
                  </w14:solidFill>
                </w14:textFill>
              </w:rPr>
              <w:t>域内开展相关工作的</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文件、</w:t>
            </w:r>
            <w:r>
              <w:rPr>
                <w:rFonts w:hint="eastAsia" w:ascii="宋体" w:hAnsi="宋体" w:eastAsia="宋体" w:cs="宋体"/>
                <w:b w:val="0"/>
                <w:bCs w:val="0"/>
                <w:color w:val="000000" w:themeColor="text1"/>
                <w:sz w:val="21"/>
                <w:szCs w:val="21"/>
                <w:highlight w:val="none"/>
                <w14:textFill>
                  <w14:solidFill>
                    <w14:schemeClr w14:val="tx1"/>
                  </w14:solidFill>
                </w14:textFill>
              </w:rPr>
              <w:t>通知或工作方案。</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未查阅到市政府或</w:t>
            </w:r>
            <w:r>
              <w:rPr>
                <w:rFonts w:hint="eastAsia" w:ascii="宋体" w:hAnsi="宋体" w:eastAsia="宋体" w:cs="宋体"/>
                <w:b w:val="0"/>
                <w:bCs w:val="0"/>
                <w:color w:val="000000" w:themeColor="text1"/>
                <w:sz w:val="21"/>
                <w:szCs w:val="21"/>
                <w:highlight w:val="none"/>
                <w14:textFill>
                  <w14:solidFill>
                    <w14:schemeClr w14:val="tx1"/>
                  </w14:solidFill>
                </w14:textFill>
              </w:rPr>
              <w:t>民政、</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老龄、</w:t>
            </w:r>
            <w:r>
              <w:rPr>
                <w:rFonts w:hint="eastAsia" w:ascii="宋体" w:hAnsi="宋体" w:eastAsia="宋体" w:cs="宋体"/>
                <w:b w:val="0"/>
                <w:bCs w:val="0"/>
                <w:color w:val="000000" w:themeColor="text1"/>
                <w:sz w:val="21"/>
                <w:szCs w:val="21"/>
                <w:highlight w:val="none"/>
                <w14:textFill>
                  <w14:solidFill>
                    <w14:schemeClr w14:val="tx1"/>
                  </w14:solidFill>
                </w14:textFill>
              </w:rPr>
              <w:t>卫生健康等部门开展相关工作的</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文件、</w:t>
            </w:r>
            <w:r>
              <w:rPr>
                <w:rFonts w:hint="eastAsia" w:ascii="宋体" w:hAnsi="宋体" w:eastAsia="宋体" w:cs="宋体"/>
                <w:b w:val="0"/>
                <w:bCs w:val="0"/>
                <w:color w:val="000000" w:themeColor="text1"/>
                <w:sz w:val="21"/>
                <w:szCs w:val="21"/>
                <w:highlight w:val="none"/>
                <w14:textFill>
                  <w14:solidFill>
                    <w14:schemeClr w14:val="tx1"/>
                  </w14:solidFill>
                </w14:textFill>
              </w:rPr>
              <w:t>通知或工作方案</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等记录</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不得分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5.7.2.</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查阅对本市下辖县开展相关工作的培训、指导资料</w:t>
            </w:r>
            <w:r>
              <w:rPr>
                <w:rFonts w:hint="eastAsia" w:ascii="宋体" w:hAnsi="宋体" w:eastAsia="宋体" w:cs="宋体"/>
                <w:b w:val="0"/>
                <w:bCs w:val="0"/>
                <w:color w:val="000000" w:themeColor="text1"/>
                <w:sz w:val="21"/>
                <w:szCs w:val="21"/>
                <w:highlight w:val="none"/>
                <w14:textFill>
                  <w14:solidFill>
                    <w14:schemeClr w14:val="tx1"/>
                  </w14:solidFill>
                </w14:textFill>
              </w:rPr>
              <w:t>。</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未查阅到对下辖县</w:t>
            </w:r>
            <w:r>
              <w:rPr>
                <w:rFonts w:hint="eastAsia" w:ascii="宋体" w:hAnsi="宋体" w:eastAsia="宋体" w:cs="宋体"/>
                <w:b w:val="0"/>
                <w:bCs w:val="0"/>
                <w:color w:val="000000" w:themeColor="text1"/>
                <w:sz w:val="21"/>
                <w:szCs w:val="21"/>
                <w:highlight w:val="none"/>
                <w14:textFill>
                  <w14:solidFill>
                    <w14:schemeClr w14:val="tx1"/>
                  </w14:solidFill>
                </w14:textFill>
              </w:rPr>
              <w:t>相关工作</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进行培训、指导等工作资料，扣5</w:t>
            </w:r>
            <w:r>
              <w:rPr>
                <w:rFonts w:hint="eastAsia" w:ascii="宋体" w:hAnsi="宋体" w:eastAsia="宋体" w:cs="宋体"/>
                <w:b w:val="0"/>
                <w:bCs w:val="0"/>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工作资料不完善</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扣5</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357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5.8</w:t>
            </w:r>
            <w:r>
              <w:rPr>
                <w:rFonts w:hint="eastAsia" w:ascii="宋体" w:hAnsi="宋体" w:eastAsia="宋体" w:cs="宋体"/>
                <w:b w:val="0"/>
                <w:bCs w:val="0"/>
                <w:color w:val="000000" w:themeColor="text1"/>
                <w:sz w:val="21"/>
                <w:szCs w:val="21"/>
                <w:highlight w:val="none"/>
                <w14:textFill>
                  <w14:solidFill>
                    <w14:schemeClr w14:val="tx1"/>
                  </w14:solidFill>
                </w14:textFill>
              </w:rPr>
              <w:t>加强中医药文化宣传，普及中医药健康知识。市健康教育所、市级中医医院派专家培训和指导基层医疗卫生机构规范开展中医药健康教育。市级中医医院应有中医药健康文化知识角或展览室。</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（30分）</w:t>
            </w: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5.8.1.查阅市健康教育所、市中医医院对基层开展中医药健康教育的培训指导资料（培训时间、人员、内容、课件等）。</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未查阅到相关指导培训资料，扣10分；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培训或指导记录不完整，每项扣4分，扣完为止。</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5.8.2.现场查看市中医医院中医药健康文化知识场地。</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无相关场地，不得分。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62"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六、监督考核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jc w:val="center"/>
        </w:trPr>
        <w:tc>
          <w:tcPr>
            <w:tcW w:w="357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★6.1</w:t>
            </w:r>
            <w:r>
              <w:rPr>
                <w:rFonts w:hint="eastAsia" w:ascii="宋体" w:hAnsi="宋体" w:eastAsia="宋体" w:cs="宋体"/>
                <w:b w:val="0"/>
                <w:bCs w:val="0"/>
                <w:color w:val="000000" w:themeColor="text1"/>
                <w:sz w:val="21"/>
                <w:szCs w:val="21"/>
                <w:highlight w:val="none"/>
                <w14:textFill>
                  <w14:solidFill>
                    <w14:schemeClr w14:val="tx1"/>
                  </w14:solidFill>
                </w14:textFill>
              </w:rPr>
              <w:t>市级中医药主管部门加强对全市中医药服务督导检查。卫生健康部门、中医药主管部门、卫生监督部门、疾病预防控制部门建立市级中医医院以及基层医疗卫生机构中医药服务工作考核机制，并将中医药内容纳入其年度工作考核目标；下辖县的基层医疗卫生机构绩效考核中中医药内容分值占比不低于15%。</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0分≥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18分为合格</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6.1.1.查阅</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b w:val="0"/>
                <w:bCs w:val="0"/>
                <w:color w:val="000000" w:themeColor="text1"/>
                <w:sz w:val="21"/>
                <w:szCs w:val="21"/>
                <w:highlight w:val="none"/>
                <w14:textFill>
                  <w14:solidFill>
                    <w14:schemeClr w14:val="tx1"/>
                  </w14:solidFill>
                </w14:textFill>
              </w:rPr>
              <w:t>卫生健康部门、中医药</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主管</w:t>
            </w:r>
            <w:r>
              <w:rPr>
                <w:rFonts w:hint="eastAsia" w:ascii="宋体" w:hAnsi="宋体" w:eastAsia="宋体" w:cs="宋体"/>
                <w:b w:val="0"/>
                <w:bCs w:val="0"/>
                <w:color w:val="000000" w:themeColor="text1"/>
                <w:sz w:val="21"/>
                <w:szCs w:val="21"/>
                <w:highlight w:val="none"/>
                <w14:textFill>
                  <w14:solidFill>
                    <w14:schemeClr w14:val="tx1"/>
                  </w14:solidFill>
                </w14:textFill>
              </w:rPr>
              <w:t>部门</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卫生监督部门、</w:t>
            </w:r>
            <w:r>
              <w:rPr>
                <w:rFonts w:hint="eastAsia" w:ascii="宋体" w:hAnsi="宋体" w:eastAsia="宋体" w:cs="宋体"/>
                <w:b w:val="0"/>
                <w:bCs w:val="0"/>
                <w:color w:val="000000" w:themeColor="text1"/>
                <w:sz w:val="21"/>
                <w:szCs w:val="21"/>
                <w:highlight w:val="none"/>
                <w14:textFill>
                  <w14:solidFill>
                    <w14:schemeClr w14:val="tx1"/>
                  </w14:solidFill>
                </w14:textFill>
              </w:rPr>
              <w:t>疾病预防控制部门对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b w:val="0"/>
                <w:bCs w:val="0"/>
                <w:color w:val="000000" w:themeColor="text1"/>
                <w:sz w:val="21"/>
                <w:szCs w:val="21"/>
                <w:highlight w:val="none"/>
                <w14:textFill>
                  <w14:solidFill>
                    <w14:schemeClr w14:val="tx1"/>
                  </w14:solidFill>
                </w14:textFill>
              </w:rPr>
              <w:t>级中医医院和基层医疗卫生机构的考核制度、考核组织管理、考核内容等资料</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未查阅到对市</w:t>
            </w:r>
            <w:r>
              <w:rPr>
                <w:rFonts w:hint="eastAsia" w:ascii="宋体" w:hAnsi="宋体" w:eastAsia="宋体" w:cs="宋体"/>
                <w:b w:val="0"/>
                <w:bCs w:val="0"/>
                <w:color w:val="000000" w:themeColor="text1"/>
                <w:sz w:val="21"/>
                <w:szCs w:val="21"/>
                <w:highlight w:val="none"/>
                <w14:textFill>
                  <w14:solidFill>
                    <w14:schemeClr w14:val="tx1"/>
                  </w14:solidFill>
                </w14:textFill>
              </w:rPr>
              <w:t>级</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中</w:t>
            </w:r>
            <w:r>
              <w:rPr>
                <w:rFonts w:hint="eastAsia" w:ascii="宋体" w:hAnsi="宋体" w:eastAsia="宋体" w:cs="宋体"/>
                <w:b w:val="0"/>
                <w:bCs w:val="0"/>
                <w:color w:val="000000" w:themeColor="text1"/>
                <w:sz w:val="21"/>
                <w:szCs w:val="21"/>
                <w:highlight w:val="none"/>
                <w14:textFill>
                  <w14:solidFill>
                    <w14:schemeClr w14:val="tx1"/>
                  </w14:solidFill>
                </w14:textFill>
              </w:rPr>
              <w:t>医</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医</w:t>
            </w:r>
            <w:r>
              <w:rPr>
                <w:rFonts w:hint="eastAsia" w:ascii="宋体" w:hAnsi="宋体" w:eastAsia="宋体" w:cs="宋体"/>
                <w:b w:val="0"/>
                <w:bCs w:val="0"/>
                <w:color w:val="000000" w:themeColor="text1"/>
                <w:sz w:val="21"/>
                <w:szCs w:val="21"/>
                <w:highlight w:val="none"/>
                <w14:textFill>
                  <w14:solidFill>
                    <w14:schemeClr w14:val="tx1"/>
                  </w14:solidFill>
                </w14:textFill>
              </w:rPr>
              <w:t>院以及基层医疗卫生机构中医药服务工作</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相关</w:t>
            </w:r>
            <w:r>
              <w:rPr>
                <w:rFonts w:hint="eastAsia" w:ascii="宋体" w:hAnsi="宋体" w:eastAsia="宋体" w:cs="宋体"/>
                <w:b w:val="0"/>
                <w:bCs w:val="0"/>
                <w:color w:val="000000" w:themeColor="text1"/>
                <w:sz w:val="21"/>
                <w:szCs w:val="21"/>
                <w:highlight w:val="none"/>
                <w14:textFill>
                  <w14:solidFill>
                    <w14:schemeClr w14:val="tx1"/>
                  </w14:solidFill>
                </w14:textFill>
              </w:rPr>
              <w:t>考核</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资料</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扣10</w:t>
            </w:r>
            <w:r>
              <w:rPr>
                <w:rFonts w:hint="eastAsia" w:ascii="宋体" w:hAnsi="宋体" w:eastAsia="宋体" w:cs="宋体"/>
                <w:b w:val="0"/>
                <w:bCs w:val="0"/>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6.1.2.实地检查</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b w:val="0"/>
                <w:bCs w:val="0"/>
                <w:color w:val="000000" w:themeColor="text1"/>
                <w:sz w:val="21"/>
                <w:szCs w:val="21"/>
                <w:highlight w:val="none"/>
                <w14:textFill>
                  <w14:solidFill>
                    <w14:schemeClr w14:val="tx1"/>
                  </w14:solidFill>
                </w14:textFill>
              </w:rPr>
              <w:t>级</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中医</w:t>
            </w:r>
            <w:r>
              <w:rPr>
                <w:rFonts w:hint="eastAsia" w:ascii="宋体" w:hAnsi="宋体" w:eastAsia="宋体" w:cs="宋体"/>
                <w:b w:val="0"/>
                <w:bCs w:val="0"/>
                <w:color w:val="000000" w:themeColor="text1"/>
                <w:sz w:val="21"/>
                <w:szCs w:val="21"/>
                <w:highlight w:val="none"/>
                <w14:textFill>
                  <w14:solidFill>
                    <w14:schemeClr w14:val="tx1"/>
                  </w14:solidFill>
                </w14:textFill>
              </w:rPr>
              <w:t>医院和</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2个下辖县的</w:t>
            </w:r>
            <w:r>
              <w:rPr>
                <w:rFonts w:hint="eastAsia" w:ascii="宋体" w:hAnsi="宋体" w:eastAsia="宋体" w:cs="宋体"/>
                <w:b w:val="0"/>
                <w:bCs w:val="0"/>
                <w:color w:val="000000" w:themeColor="text1"/>
                <w:sz w:val="21"/>
                <w:szCs w:val="21"/>
                <w:highlight w:val="none"/>
                <w14:textFill>
                  <w14:solidFill>
                    <w14:schemeClr w14:val="tx1"/>
                  </w14:solidFill>
                </w14:textFill>
              </w:rPr>
              <w:t>4个基层医疗卫生机构。</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在</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市级中医医院、</w:t>
            </w:r>
            <w:r>
              <w:rPr>
                <w:rFonts w:hint="eastAsia" w:ascii="宋体" w:hAnsi="宋体" w:eastAsia="宋体" w:cs="宋体"/>
                <w:b w:val="0"/>
                <w:bCs w:val="0"/>
                <w:color w:val="000000" w:themeColor="text1"/>
                <w:sz w:val="21"/>
                <w:szCs w:val="21"/>
                <w:highlight w:val="none"/>
                <w14:textFill>
                  <w14:solidFill>
                    <w14:schemeClr w14:val="tx1"/>
                  </w14:solidFill>
                </w14:textFill>
              </w:rPr>
              <w:t>4个基层医疗机构绩效考核中，中医药服务等考核内容分值占比&lt;15%</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，每个机构扣2分。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jc w:val="center"/>
        </w:trPr>
        <w:tc>
          <w:tcPr>
            <w:tcW w:w="357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6.2</w:t>
            </w:r>
            <w:r>
              <w:rPr>
                <w:rFonts w:hint="eastAsia" w:ascii="宋体" w:hAnsi="宋体" w:eastAsia="宋体" w:cs="宋体"/>
                <w:b w:val="0"/>
                <w:bCs w:val="0"/>
                <w:color w:val="000000" w:themeColor="text1"/>
                <w:sz w:val="21"/>
                <w:szCs w:val="21"/>
                <w:highlight w:val="none"/>
                <w14:textFill>
                  <w14:solidFill>
                    <w14:schemeClr w14:val="tx1"/>
                  </w14:solidFill>
                </w14:textFill>
              </w:rPr>
              <w:t>市卫生监督部门建立中医药监督管理科室，或有专人负责全市医疗卫生机构中医药监督管理工作，监督内容包括上年度本市内中医医疗秩序、中医医疗案件查办、发布虚假违反中医医疗广告的医疗机构监管情况，落实中医药主管部门相关监督检查要求。</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市疾病预防控制部门有专人负责中医药疾病预防工作，将中医药内容纳入到县域内疾病预防、慢病管理、健康教育相关工作中。</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15分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6.2.1.查阅中医药主管</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、卫生监督等</w:t>
            </w:r>
            <w:r>
              <w:rPr>
                <w:rFonts w:hint="eastAsia" w:ascii="宋体" w:hAnsi="宋体" w:eastAsia="宋体" w:cs="宋体"/>
                <w:b w:val="0"/>
                <w:bCs w:val="0"/>
                <w:color w:val="000000" w:themeColor="text1"/>
                <w:sz w:val="21"/>
                <w:szCs w:val="21"/>
                <w:highlight w:val="none"/>
                <w14:textFill>
                  <w14:solidFill>
                    <w14:schemeClr w14:val="tx1"/>
                  </w14:solidFill>
                </w14:textFill>
              </w:rPr>
              <w:t>部门关于监督检查的文件、监督内容、监督记录、监督意见书、处罚决定书等相关材料</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卫生监督部门每年至少开展1次对于机构内中医药服务的监督检查</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w:t>
            </w:r>
            <w:r>
              <w:rPr>
                <w:rFonts w:hint="eastAsia" w:ascii="宋体" w:hAnsi="宋体" w:eastAsia="宋体" w:cs="宋体"/>
                <w:b w:val="0"/>
                <w:bCs w:val="0"/>
                <w:color w:val="000000" w:themeColor="text1"/>
                <w:sz w:val="21"/>
                <w:szCs w:val="21"/>
                <w:highlight w:val="none"/>
                <w14:textFill>
                  <w14:solidFill>
                    <w14:schemeClr w14:val="tx1"/>
                  </w14:solidFill>
                </w14:textFill>
              </w:rPr>
              <w:t>近3年开展中医药服务监督检查的</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资料</w:t>
            </w:r>
            <w:r>
              <w:rPr>
                <w:rFonts w:hint="eastAsia" w:ascii="宋体" w:hAnsi="宋体" w:eastAsia="宋体" w:cs="宋体"/>
                <w:b w:val="0"/>
                <w:bCs w:val="0"/>
                <w:color w:val="000000" w:themeColor="text1"/>
                <w:sz w:val="21"/>
                <w:szCs w:val="21"/>
                <w:highlight w:val="none"/>
                <w14:textFill>
                  <w14:solidFill>
                    <w14:schemeClr w14:val="tx1"/>
                  </w14:solidFill>
                </w14:textFill>
              </w:rPr>
              <w:t>，不得分。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6.2.2.在抽查</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b w:val="0"/>
                <w:bCs w:val="0"/>
                <w:color w:val="000000" w:themeColor="text1"/>
                <w:sz w:val="21"/>
                <w:szCs w:val="21"/>
                <w:highlight w:val="none"/>
                <w14:textFill>
                  <w14:solidFill>
                    <w14:schemeClr w14:val="tx1"/>
                  </w14:solidFill>
                </w14:textFill>
              </w:rPr>
              <w:t>2个</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下辖县4个</w:t>
            </w:r>
            <w:r>
              <w:rPr>
                <w:rFonts w:hint="eastAsia" w:ascii="宋体" w:hAnsi="宋体" w:eastAsia="宋体" w:cs="宋体"/>
                <w:b w:val="0"/>
                <w:bCs w:val="0"/>
                <w:color w:val="000000" w:themeColor="text1"/>
                <w:sz w:val="21"/>
                <w:szCs w:val="21"/>
                <w:highlight w:val="none"/>
                <w14:textFill>
                  <w14:solidFill>
                    <w14:schemeClr w14:val="tx1"/>
                  </w14:solidFill>
                </w14:textFill>
              </w:rPr>
              <w:t>基层医疗卫生机构</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核实</w:t>
            </w:r>
            <w:r>
              <w:rPr>
                <w:rFonts w:hint="eastAsia" w:ascii="宋体" w:hAnsi="宋体" w:eastAsia="宋体" w:cs="宋体"/>
                <w:b w:val="0"/>
                <w:bCs w:val="0"/>
                <w:color w:val="000000" w:themeColor="text1"/>
                <w:sz w:val="21"/>
                <w:szCs w:val="21"/>
                <w:highlight w:val="none"/>
                <w14:textFill>
                  <w14:solidFill>
                    <w14:schemeClr w14:val="tx1"/>
                  </w14:solidFill>
                </w14:textFill>
              </w:rPr>
              <w:t>监督笔录等相关资料并有监督意见、记录等相关资料。</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在机构中未查阅到</w:t>
            </w:r>
            <w:r>
              <w:rPr>
                <w:rFonts w:hint="eastAsia" w:ascii="宋体" w:hAnsi="宋体" w:eastAsia="宋体" w:cs="宋体"/>
                <w:b w:val="0"/>
                <w:bCs w:val="0"/>
                <w:color w:val="000000" w:themeColor="text1"/>
                <w:sz w:val="21"/>
                <w:szCs w:val="21"/>
                <w:highlight w:val="none"/>
                <w14:textFill>
                  <w14:solidFill>
                    <w14:schemeClr w14:val="tx1"/>
                  </w14:solidFill>
                </w14:textFill>
              </w:rPr>
              <w:t>监督部门实地检查</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发现相关问题</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依法处理、监督笔录等资料</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扣</w:t>
            </w:r>
            <w:r>
              <w:rPr>
                <w:rFonts w:hint="eastAsia" w:ascii="宋体" w:hAnsi="宋体" w:eastAsia="宋体" w:cs="宋体"/>
                <w:b w:val="0"/>
                <w:bCs w:val="0"/>
                <w:color w:val="000000" w:themeColor="text1"/>
                <w:sz w:val="21"/>
                <w:szCs w:val="21"/>
                <w:highlight w:val="none"/>
                <w14:textFill>
                  <w14:solidFill>
                    <w14:schemeClr w14:val="tx1"/>
                  </w14:solidFill>
                </w14:textFill>
              </w:rPr>
              <w:t>5分。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6.2.3.查阅</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b w:val="0"/>
                <w:bCs w:val="0"/>
                <w:color w:val="000000" w:themeColor="text1"/>
                <w:sz w:val="21"/>
                <w:szCs w:val="21"/>
                <w:highlight w:val="none"/>
                <w14:textFill>
                  <w14:solidFill>
                    <w14:schemeClr w14:val="tx1"/>
                  </w14:solidFill>
                </w14:textFill>
              </w:rPr>
              <w:t>疾控部门、健康教育</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所</w:t>
            </w:r>
            <w:r>
              <w:rPr>
                <w:rFonts w:hint="eastAsia" w:ascii="宋体" w:hAnsi="宋体" w:eastAsia="宋体" w:cs="宋体"/>
                <w:b w:val="0"/>
                <w:bCs w:val="0"/>
                <w:color w:val="000000" w:themeColor="text1"/>
                <w:sz w:val="21"/>
                <w:szCs w:val="21"/>
                <w:highlight w:val="none"/>
                <w14:textFill>
                  <w14:solidFill>
                    <w14:schemeClr w14:val="tx1"/>
                  </w14:solidFill>
                </w14:textFill>
              </w:rPr>
              <w:t>等部门对基层开展中医药健康管理、健康教育等工作的指导、管理等工作记录。</w:t>
            </w:r>
          </w:p>
        </w:tc>
        <w:tc>
          <w:tcPr>
            <w:tcW w:w="4612" w:type="dxa"/>
            <w:vAlign w:val="center"/>
          </w:tcPr>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textAlignment w:val="auto"/>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未查阅到市</w:t>
            </w:r>
            <w:r>
              <w:rPr>
                <w:rFonts w:hint="eastAsia" w:ascii="宋体" w:hAnsi="宋体" w:eastAsia="宋体" w:cs="宋体"/>
                <w:b w:val="0"/>
                <w:bCs w:val="0"/>
                <w:color w:val="000000" w:themeColor="text1"/>
                <w:sz w:val="21"/>
                <w:szCs w:val="21"/>
                <w:highlight w:val="none"/>
                <w14:textFill>
                  <w14:solidFill>
                    <w14:schemeClr w14:val="tx1"/>
                  </w14:solidFill>
                </w14:textFill>
              </w:rPr>
              <w:t>疾控部门、健康教育</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所等</w:t>
            </w:r>
            <w:r>
              <w:rPr>
                <w:rFonts w:hint="eastAsia" w:ascii="宋体" w:hAnsi="宋体" w:eastAsia="宋体" w:cs="宋体"/>
                <w:b w:val="0"/>
                <w:bCs w:val="0"/>
                <w:color w:val="000000" w:themeColor="text1"/>
                <w:sz w:val="21"/>
                <w:szCs w:val="21"/>
                <w:highlight w:val="none"/>
                <w14:textFill>
                  <w14:solidFill>
                    <w14:schemeClr w14:val="tx1"/>
                  </w14:solidFill>
                </w14:textFill>
              </w:rPr>
              <w:t>部门对基层开展中医药健康管理、健康教育等工作</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的资料</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不得分。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jc w:val="center"/>
        </w:trPr>
        <w:tc>
          <w:tcPr>
            <w:tcW w:w="357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6.3.</w:t>
            </w:r>
            <w:r>
              <w:rPr>
                <w:rFonts w:hint="eastAsia" w:ascii="宋体" w:hAnsi="宋体" w:eastAsia="宋体" w:cs="宋体"/>
                <w:b w:val="0"/>
                <w:bCs w:val="0"/>
                <w:color w:val="000000" w:themeColor="text1"/>
                <w:sz w:val="21"/>
                <w:szCs w:val="21"/>
                <w:highlight w:val="none"/>
                <w14:textFill>
                  <w14:solidFill>
                    <w14:schemeClr w14:val="tx1"/>
                  </w14:solidFill>
                </w14:textFill>
              </w:rPr>
              <w:t>各级中医药主管部门加强对下辖区域内中医药服务质量的评估和监管，对执行中医药行业标准和技术规范、合理用药、落实核心制度等进行监督检查，督促基层医疗机构规范服务行为，提高服务质量，保证医疗安全。按照国家规范和标准加强并推进中药合理使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指导本市下辖县乡村中医药技术人员自采、自种、自用、民间习用中草药的管理，规范其服务行为。</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（15分）</w:t>
            </w: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6.3.1.查阅</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b w:val="0"/>
                <w:bCs w:val="0"/>
                <w:color w:val="000000" w:themeColor="text1"/>
                <w:sz w:val="21"/>
                <w:szCs w:val="21"/>
                <w:highlight w:val="none"/>
                <w14:textFill>
                  <w14:solidFill>
                    <w14:schemeClr w14:val="tx1"/>
                  </w14:solidFill>
                </w14:textFill>
              </w:rPr>
              <w:t>卫生健康部门、中医药</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主管</w:t>
            </w:r>
            <w:r>
              <w:rPr>
                <w:rFonts w:hint="eastAsia" w:ascii="宋体" w:hAnsi="宋体" w:eastAsia="宋体" w:cs="宋体"/>
                <w:b w:val="0"/>
                <w:bCs w:val="0"/>
                <w:color w:val="000000" w:themeColor="text1"/>
                <w:sz w:val="21"/>
                <w:szCs w:val="21"/>
                <w:highlight w:val="none"/>
                <w14:textFill>
                  <w14:solidFill>
                    <w14:schemeClr w14:val="tx1"/>
                  </w14:solidFill>
                </w14:textFill>
              </w:rPr>
              <w:t>部门、卫生监督等部门对</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市域内基层医疗机构</w:t>
            </w:r>
            <w:r>
              <w:rPr>
                <w:rFonts w:hint="eastAsia" w:ascii="宋体" w:hAnsi="宋体" w:eastAsia="宋体" w:cs="宋体"/>
                <w:b w:val="0"/>
                <w:bCs w:val="0"/>
                <w:color w:val="000000" w:themeColor="text1"/>
                <w:sz w:val="21"/>
                <w:szCs w:val="21"/>
                <w:highlight w:val="none"/>
                <w14:textFill>
                  <w14:solidFill>
                    <w14:schemeClr w14:val="tx1"/>
                  </w14:solidFill>
                </w14:textFill>
              </w:rPr>
              <w:t>中医药服务质量、规范执行中医药行业标准等工作的相关文件、会议纪要、监督、考核、考核结果通报等相关材料</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未查阅到对本市域基层医疗卫生机构</w:t>
            </w:r>
            <w:r>
              <w:rPr>
                <w:rFonts w:hint="eastAsia" w:ascii="宋体" w:hAnsi="宋体" w:eastAsia="宋体" w:cs="宋体"/>
                <w:b w:val="0"/>
                <w:bCs w:val="0"/>
                <w:color w:val="000000" w:themeColor="text1"/>
                <w:sz w:val="21"/>
                <w:szCs w:val="21"/>
                <w:highlight w:val="none"/>
                <w14:textFill>
                  <w14:solidFill>
                    <w14:schemeClr w14:val="tx1"/>
                  </w14:solidFill>
                </w14:textFill>
              </w:rPr>
              <w:t>中医药服务质量</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开展</w:t>
            </w:r>
            <w:r>
              <w:rPr>
                <w:rFonts w:hint="eastAsia" w:ascii="宋体" w:hAnsi="宋体" w:eastAsia="宋体" w:cs="宋体"/>
                <w:b w:val="0"/>
                <w:bCs w:val="0"/>
                <w:color w:val="000000" w:themeColor="text1"/>
                <w:sz w:val="21"/>
                <w:szCs w:val="21"/>
                <w:highlight w:val="none"/>
                <w14:textFill>
                  <w14:solidFill>
                    <w14:schemeClr w14:val="tx1"/>
                  </w14:solidFill>
                </w14:textFill>
              </w:rPr>
              <w:t>评估和监管相关工作</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资料</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扣10分；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开展相关工作的文件、记录、考核等资料</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b w:val="0"/>
                <w:bCs w:val="0"/>
                <w:color w:val="000000" w:themeColor="text1"/>
                <w:sz w:val="21"/>
                <w:szCs w:val="21"/>
                <w:highlight w:val="none"/>
                <w14:textFill>
                  <w14:solidFill>
                    <w14:schemeClr w14:val="tx1"/>
                  </w14:solidFill>
                </w14:textFill>
              </w:rPr>
              <w:t>完</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整</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每项扣1分，最多扣5分。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6.3.2.查阅</w:t>
            </w:r>
            <w:r>
              <w:rPr>
                <w:rFonts w:hint="eastAsia" w:ascii="宋体" w:hAnsi="宋体" w:eastAsia="宋体" w:cs="宋体"/>
                <w:b w:val="0"/>
                <w:bCs w:val="0"/>
                <w:color w:val="000000" w:themeColor="text1"/>
                <w:sz w:val="21"/>
                <w:szCs w:val="21"/>
                <w:highlight w:val="none"/>
                <w14:textFill>
                  <w14:solidFill>
                    <w14:schemeClr w14:val="tx1"/>
                  </w14:solidFill>
                </w14:textFill>
              </w:rPr>
              <w:t>指导本市下辖县乡村中医药技术人员自采、自种、自用、民间习用中草药</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工作记录</w:t>
            </w:r>
            <w:r>
              <w:rPr>
                <w:rFonts w:hint="eastAsia" w:ascii="宋体" w:hAnsi="宋体" w:eastAsia="宋体" w:cs="宋体"/>
                <w:b w:val="0"/>
                <w:bCs w:val="0"/>
                <w:color w:val="000000" w:themeColor="text1"/>
                <w:sz w:val="21"/>
                <w:szCs w:val="21"/>
                <w:highlight w:val="none"/>
                <w14:textFill>
                  <w14:solidFill>
                    <w14:schemeClr w14:val="tx1"/>
                  </w14:solidFill>
                </w14:textFill>
              </w:rPr>
              <w:t>。</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未查阅到相关指导工作记录，扣5分；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工作记录不完整每项扣1分，最多扣5分。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262"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七、满意率和知晓率50分</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可委托第三方</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357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7.1</w:t>
            </w:r>
            <w:r>
              <w:rPr>
                <w:rFonts w:hint="eastAsia" w:ascii="宋体" w:hAnsi="宋体" w:eastAsia="宋体" w:cs="宋体"/>
                <w:b w:val="0"/>
                <w:bCs w:val="0"/>
                <w:color w:val="000000" w:themeColor="text1"/>
                <w:sz w:val="21"/>
                <w:szCs w:val="21"/>
                <w:highlight w:val="none"/>
                <w14:textFill>
                  <w14:solidFill>
                    <w14:schemeClr w14:val="tx1"/>
                  </w14:solidFill>
                </w14:textFill>
              </w:rPr>
              <w:t>城乡居民对市级中医医院和基层医疗卫生机构中医药服务满意率不低于90%；城乡居民中医药知识知晓率不低于90%，对市级中医医院和基层医疗卫生机构中医药服务内容知晓率不低于85%，市级中医医院和基层医疗卫生机构中医药人员相关政策知晓率不低于85%。（50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45</w:t>
            </w:r>
            <w:r>
              <w:rPr>
                <w:rFonts w:hint="eastAsia" w:ascii="宋体" w:hAnsi="宋体" w:eastAsia="宋体" w:cs="宋体"/>
                <w:b w:val="0"/>
                <w:bCs w:val="0"/>
                <w:color w:val="000000" w:themeColor="text1"/>
                <w:sz w:val="21"/>
                <w:szCs w:val="21"/>
                <w:highlight w:val="none"/>
                <w14:textFill>
                  <w14:solidFill>
                    <w14:schemeClr w14:val="tx1"/>
                  </w14:solidFill>
                </w14:textFill>
              </w:rPr>
              <w:t>为达标</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7.1.1.拦截调查、访谈或电话调查20名城乡常住居民或患者了解满意度</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居民对中医药有关知识的知晓和服务的满意率同时进行。可问同一居民，也可分类问</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中医药服务满意率</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＜90%的，每降低1个百分点，扣2分；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满意率＜85%的，扣20分；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20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7.1.2.拦截调查、访谈或电话调查20名城乡常住居民或患者了解对中医药知识的知晓</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情况。</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城乡居民中医药知识知晓率</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＜90%的，每降低1个百分点，扣1分；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知晓率＜85%的，扣10分；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7.1.3.拦截调查、访谈或电话调查20名城乡常住居民或患者了解机构提供的中医药服务内容</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服务内容知晓率</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＜85%的，每降低1个百分点，扣1分；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57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7.1.4.访谈6名中医药人员。</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中医药人员相关政策知晓率</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＜85%的，每降低1个百分点，扣1分；</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10</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4262"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八、加分项20分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357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鼓励退休中医医师到基层服务</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查阅二、三级医院退休中医师到基层服务相关资料（执业资格、执业地点、多点执业备案、出诊或对基层的查房、讲课记录、出勤表等）。</w:t>
            </w:r>
          </w:p>
        </w:tc>
        <w:tc>
          <w:tcPr>
            <w:tcW w:w="461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有相关文件及支撑资料</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vertAlign w:val="baseline"/>
                <w:lang w:val="en-US" w:eastAsia="zh-CN"/>
                <w14:textFill>
                  <w14:solidFill>
                    <w14:schemeClr w14:val="tx1"/>
                  </w14:solidFill>
                </w14:textFill>
              </w:rPr>
              <w:t>5</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鼓励有条件的下辖县、乡镇开展中药材基地建设，生态化、规范化种植与当地相适应的中药材。开发药材深加工等产业，深入实施中药材产业乡村振兴行动。</w:t>
            </w:r>
          </w:p>
        </w:tc>
        <w:tc>
          <w:tcPr>
            <w:tcW w:w="440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查阅鼓励下辖县、乡镇开展相关工作的文件、通知、指导记录等。</w:t>
            </w:r>
          </w:p>
        </w:tc>
        <w:tc>
          <w:tcPr>
            <w:tcW w:w="4612" w:type="dxa"/>
            <w:vAlign w:val="center"/>
          </w:tcPr>
          <w:p>
            <w:pPr>
              <w:spacing w:line="300" w:lineRule="exact"/>
              <w:ind w:firstLine="0" w:firstLineChars="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有相关文件及支撑资料</w:t>
            </w:r>
          </w:p>
        </w:tc>
        <w:tc>
          <w:tcPr>
            <w:tcW w:w="8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vertAlign w:val="baseline"/>
                <w:lang w:val="en-US" w:eastAsia="zh-CN"/>
                <w14:textFill>
                  <w14:solidFill>
                    <w14:schemeClr w14:val="tx1"/>
                  </w14:solidFill>
                </w14:textFill>
              </w:rPr>
              <w:t>5</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8" w:type="dxa"/>
            <w:vAlign w:val="center"/>
          </w:tcPr>
          <w:p>
            <w:pPr>
              <w:ind w:firstLine="0" w:firstLineChars="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鼓励本市（县）域内的临床执业医师和乡村医生</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到西学中培训基地</w:t>
            </w:r>
            <w:r>
              <w:rPr>
                <w:rFonts w:hint="eastAsia" w:ascii="宋体" w:hAnsi="宋体" w:eastAsia="宋体" w:cs="宋体"/>
                <w:b w:val="0"/>
                <w:bCs w:val="0"/>
                <w:color w:val="000000" w:themeColor="text1"/>
                <w:sz w:val="21"/>
                <w:szCs w:val="21"/>
                <w:highlight w:val="none"/>
                <w14:textFill>
                  <w14:solidFill>
                    <w14:schemeClr w14:val="tx1"/>
                  </w14:solidFill>
                </w14:textFill>
              </w:rPr>
              <w:t>参加培训。</w:t>
            </w:r>
          </w:p>
        </w:tc>
        <w:tc>
          <w:tcPr>
            <w:tcW w:w="4407" w:type="dxa"/>
            <w:vAlign w:val="center"/>
          </w:tcPr>
          <w:p>
            <w:pPr>
              <w:spacing w:line="300" w:lineRule="exact"/>
              <w:ind w:firstLine="0" w:firstLineChars="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查阅本市西学中培训基地参加培训人员名单、培训通知、课件、结业证书等。</w:t>
            </w:r>
          </w:p>
        </w:tc>
        <w:tc>
          <w:tcPr>
            <w:tcW w:w="4612" w:type="dxa"/>
            <w:vAlign w:val="center"/>
          </w:tcPr>
          <w:p>
            <w:pPr>
              <w:spacing w:line="300" w:lineRule="exact"/>
              <w:ind w:firstLine="0" w:firstLineChars="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有相关文件及支撑资料</w:t>
            </w:r>
          </w:p>
        </w:tc>
        <w:tc>
          <w:tcPr>
            <w:tcW w:w="806" w:type="dxa"/>
            <w:vAlign w:val="center"/>
          </w:tcPr>
          <w:p>
            <w:pPr>
              <w:ind w:firstLine="0" w:firstLineChars="0"/>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vertAlign w:val="baseline"/>
                <w:lang w:val="en-US" w:eastAsia="zh-CN"/>
                <w14:textFill>
                  <w14:solidFill>
                    <w14:schemeClr w14:val="tx1"/>
                  </w14:solidFill>
                </w14:textFill>
              </w:rPr>
              <w:t>3</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3578" w:type="dxa"/>
            <w:vAlign w:val="center"/>
          </w:tcPr>
          <w:p>
            <w:pPr>
              <w:ind w:firstLine="0" w:firstLineChars="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鼓励街道社区为提供家庭医生签约服务的中医诊所免费提供服务场所。</w:t>
            </w:r>
          </w:p>
        </w:tc>
        <w:tc>
          <w:tcPr>
            <w:tcW w:w="4407" w:type="dxa"/>
            <w:vAlign w:val="center"/>
          </w:tcPr>
          <w:p>
            <w:pPr>
              <w:spacing w:line="300" w:lineRule="exact"/>
              <w:ind w:firstLine="0" w:firstLineChars="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查阅提供相关场所的房屋使用证明，现场查看相关场地及服务记录。</w:t>
            </w:r>
          </w:p>
        </w:tc>
        <w:tc>
          <w:tcPr>
            <w:tcW w:w="4612" w:type="dxa"/>
            <w:vAlign w:val="center"/>
          </w:tcPr>
          <w:p>
            <w:pPr>
              <w:spacing w:line="300" w:lineRule="exact"/>
              <w:ind w:firstLine="0" w:firstLineChars="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有相关文件及支撑资料</w:t>
            </w:r>
          </w:p>
        </w:tc>
        <w:tc>
          <w:tcPr>
            <w:tcW w:w="806" w:type="dxa"/>
            <w:vAlign w:val="center"/>
          </w:tcPr>
          <w:p>
            <w:pPr>
              <w:ind w:firstLine="0" w:firstLineChars="0"/>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vertAlign w:val="baseline"/>
                <w:lang w:val="en-US" w:eastAsia="zh-CN"/>
                <w14:textFill>
                  <w14:solidFill>
                    <w14:schemeClr w14:val="tx1"/>
                  </w14:solidFill>
                </w14:textFill>
              </w:rPr>
              <w:t>3</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3578" w:type="dxa"/>
            <w:vAlign w:val="center"/>
          </w:tcPr>
          <w:p>
            <w:pPr>
              <w:ind w:firstLine="0" w:firstLineChars="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鼓励市级中医医院对口帮扶基层医疗卫生机构，组建医联体或紧密型医共体，助力分级诊疗。</w:t>
            </w:r>
          </w:p>
        </w:tc>
        <w:tc>
          <w:tcPr>
            <w:tcW w:w="4407" w:type="dxa"/>
            <w:vAlign w:val="center"/>
          </w:tcPr>
          <w:p>
            <w:pPr>
              <w:spacing w:line="300" w:lineRule="exact"/>
              <w:ind w:firstLine="0" w:firstLineChars="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查阅市中医医院对口帮扶相关文件通知、机构名单、协议、工作记录等。</w:t>
            </w:r>
          </w:p>
        </w:tc>
        <w:tc>
          <w:tcPr>
            <w:tcW w:w="4612" w:type="dxa"/>
            <w:vAlign w:val="center"/>
          </w:tcPr>
          <w:p>
            <w:pPr>
              <w:spacing w:line="300" w:lineRule="exact"/>
              <w:ind w:firstLine="0" w:firstLineChars="0"/>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有相关文件及支撑资料</w:t>
            </w:r>
          </w:p>
        </w:tc>
        <w:tc>
          <w:tcPr>
            <w:tcW w:w="806" w:type="dxa"/>
            <w:vAlign w:val="center"/>
          </w:tcPr>
          <w:p>
            <w:pPr>
              <w:ind w:firstLine="0" w:firstLineChars="0"/>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none"/>
                <w:vertAlign w:val="baseline"/>
                <w:lang w:val="en-US" w:eastAsia="zh-CN"/>
                <w14:textFill>
                  <w14:solidFill>
                    <w14:schemeClr w14:val="tx1"/>
                  </w14:solidFill>
                </w14:textFill>
              </w:rPr>
              <w:t>4</w:t>
            </w:r>
          </w:p>
        </w:tc>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tc>
      </w:tr>
    </w:tbl>
    <w:p>
      <w:pPr>
        <w:spacing w:line="500" w:lineRule="exact"/>
        <w:ind w:firstLine="0"/>
        <w:jc w:val="center"/>
        <w:rPr>
          <w:rFonts w:hint="eastAsia" w:ascii="方正小标宋简体" w:hAnsi="楷体" w:eastAsia="方正小标宋简体"/>
          <w:b/>
          <w:bCs/>
          <w:color w:val="000000" w:themeColor="text1"/>
          <w:sz w:val="36"/>
          <w:szCs w:val="36"/>
          <w:highlight w:val="none"/>
          <w:lang w:val="zh-CN"/>
          <w14:textFill>
            <w14:solidFill>
              <w14:schemeClr w14:val="tx1"/>
            </w14:solidFill>
          </w14:textFill>
        </w:rPr>
      </w:pPr>
    </w:p>
    <w:p>
      <w:pPr>
        <w:spacing w:line="300" w:lineRule="exact"/>
        <w:ind w:firstLine="0"/>
        <w:jc w:val="left"/>
        <w:rPr>
          <w:rFonts w:hint="eastAsia" w:ascii="楷体_GB2312" w:hAnsi="楷体_GB2312" w:eastAsia="楷体_GB2312" w:cs="楷体_GB2312"/>
          <w:b w:val="0"/>
          <w:bCs w:val="0"/>
          <w:color w:val="000000" w:themeColor="text1"/>
          <w:sz w:val="24"/>
          <w:szCs w:val="24"/>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24"/>
          <w:szCs w:val="24"/>
          <w:highlight w:val="none"/>
          <w:u w:val="none"/>
          <w14:textFill>
            <w14:solidFill>
              <w14:schemeClr w14:val="tx1"/>
            </w14:solidFill>
          </w14:textFill>
        </w:rPr>
        <w:t>注：</w:t>
      </w:r>
      <w:r>
        <w:rPr>
          <w:rFonts w:hint="eastAsia" w:ascii="楷体_GB2312" w:hAnsi="楷体_GB2312" w:eastAsia="楷体_GB2312" w:cs="楷体_GB2312"/>
          <w:b w:val="0"/>
          <w:bCs w:val="0"/>
          <w:color w:val="000000" w:themeColor="text1"/>
          <w:sz w:val="24"/>
          <w:szCs w:val="24"/>
          <w:highlight w:val="none"/>
          <w14:textFill>
            <w14:solidFill>
              <w14:schemeClr w14:val="tx1"/>
            </w14:solidFill>
          </w14:textFill>
        </w:rPr>
        <w:t>1.标注★的指标为重点指标，</w:t>
      </w:r>
      <w:r>
        <w:rPr>
          <w:rFonts w:hint="eastAsia" w:ascii="楷体_GB2312" w:hAnsi="楷体_GB2312" w:eastAsia="楷体_GB2312" w:cs="楷体_GB2312"/>
          <w:b w:val="0"/>
          <w:bCs w:val="0"/>
          <w:color w:val="000000" w:themeColor="text1"/>
          <w:sz w:val="24"/>
          <w:szCs w:val="24"/>
          <w:highlight w:val="none"/>
          <w:lang w:val="en-US" w:eastAsia="zh-CN"/>
          <w14:textFill>
            <w14:solidFill>
              <w14:schemeClr w14:val="tx1"/>
            </w14:solidFill>
          </w14:textFill>
        </w:rPr>
        <w:t>该指标</w:t>
      </w:r>
      <w:r>
        <w:rPr>
          <w:rFonts w:hint="eastAsia" w:ascii="楷体_GB2312" w:hAnsi="楷体_GB2312" w:eastAsia="楷体_GB2312" w:cs="楷体_GB2312"/>
          <w:b w:val="0"/>
          <w:bCs w:val="0"/>
          <w:color w:val="000000" w:themeColor="text1"/>
          <w:sz w:val="24"/>
          <w:szCs w:val="24"/>
          <w:highlight w:val="none"/>
          <w14:textFill>
            <w14:solidFill>
              <w14:schemeClr w14:val="tx1"/>
            </w14:solidFill>
          </w14:textFill>
        </w:rPr>
        <w:t>必须达到</w:t>
      </w:r>
      <w:r>
        <w:rPr>
          <w:rFonts w:hint="eastAsia" w:ascii="楷体_GB2312" w:hAnsi="楷体_GB2312" w:eastAsia="楷体_GB2312" w:cs="楷体_GB2312"/>
          <w:b w:val="0"/>
          <w:bCs w:val="0"/>
          <w:color w:val="000000" w:themeColor="text1"/>
          <w:sz w:val="24"/>
          <w:szCs w:val="24"/>
          <w:highlight w:val="none"/>
          <w:lang w:val="en-US" w:eastAsia="zh-CN"/>
          <w14:textFill>
            <w14:solidFill>
              <w14:schemeClr w14:val="tx1"/>
            </w14:solidFill>
          </w14:textFill>
        </w:rPr>
        <w:t>90</w:t>
      </w:r>
      <w:r>
        <w:rPr>
          <w:rFonts w:hint="eastAsia" w:ascii="楷体_GB2312" w:hAnsi="楷体_GB2312" w:eastAsia="楷体_GB2312" w:cs="楷体_GB2312"/>
          <w:b w:val="0"/>
          <w:bCs w:val="0"/>
          <w:color w:val="000000" w:themeColor="text1"/>
          <w:sz w:val="24"/>
          <w:szCs w:val="24"/>
          <w:highlight w:val="none"/>
          <w14:textFill>
            <w14:solidFill>
              <w14:schemeClr w14:val="tx1"/>
            </w14:solidFill>
          </w14:textFill>
        </w:rPr>
        <w:t>%及以上为合格。</w:t>
      </w:r>
    </w:p>
    <w:p>
      <w:pPr>
        <w:spacing w:line="300" w:lineRule="exact"/>
        <w:ind w:firstLine="480" w:firstLineChars="200"/>
        <w:jc w:val="left"/>
        <w:outlineLvl w:val="1"/>
        <w:rPr>
          <w:rFonts w:hint="eastAsia" w:ascii="楷体_GB2312" w:hAnsi="楷体_GB2312" w:eastAsia="楷体_GB2312" w:cs="楷体_GB2312"/>
          <w:b w:val="0"/>
          <w:bCs w:val="0"/>
          <w:color w:val="000000" w:themeColor="text1"/>
          <w:sz w:val="24"/>
          <w:szCs w:val="24"/>
          <w:highlight w:val="none"/>
          <w14:textFill>
            <w14:solidFill>
              <w14:schemeClr w14:val="tx1"/>
            </w14:solidFill>
          </w14:textFill>
        </w:rPr>
      </w:pPr>
      <w:r>
        <w:rPr>
          <w:rFonts w:hint="eastAsia" w:ascii="楷体_GB2312" w:hAnsi="楷体_GB2312" w:eastAsia="楷体_GB2312" w:cs="楷体_GB2312"/>
          <w:b w:val="0"/>
          <w:bCs w:val="0"/>
          <w:color w:val="000000" w:themeColor="text1"/>
          <w:sz w:val="24"/>
          <w:szCs w:val="24"/>
          <w:highlight w:val="none"/>
          <w14:textFill>
            <w14:solidFill>
              <w14:schemeClr w14:val="tx1"/>
            </w14:solidFill>
          </w14:textFill>
        </w:rPr>
        <w:t>2.判定标准：</w:t>
      </w:r>
    </w:p>
    <w:p>
      <w:pPr>
        <w:spacing w:line="300" w:lineRule="exact"/>
        <w:ind w:firstLine="720" w:firstLineChars="300"/>
        <w:jc w:val="left"/>
        <w:rPr>
          <w:rFonts w:hint="eastAsia" w:ascii="楷体_GB2312" w:hAnsi="楷体_GB2312" w:eastAsia="楷体_GB2312" w:cs="楷体_GB2312"/>
          <w:b w:val="0"/>
          <w:bCs w:val="0"/>
          <w:color w:val="000000" w:themeColor="text1"/>
          <w:sz w:val="24"/>
          <w:szCs w:val="24"/>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24"/>
          <w:szCs w:val="24"/>
          <w:highlight w:val="none"/>
          <w14:textFill>
            <w14:solidFill>
              <w14:schemeClr w14:val="tx1"/>
            </w14:solidFill>
          </w14:textFill>
        </w:rPr>
        <w:t>总分为1000分</w:t>
      </w:r>
      <w:r>
        <w:rPr>
          <w:rFonts w:hint="eastAsia" w:ascii="楷体_GB2312" w:hAnsi="楷体_GB2312" w:eastAsia="楷体_GB2312" w:cs="楷体_GB2312"/>
          <w:b w:val="0"/>
          <w:bCs w:val="0"/>
          <w:color w:val="000000" w:themeColor="text1"/>
          <w:sz w:val="24"/>
          <w:szCs w:val="24"/>
          <w:highlight w:val="none"/>
          <w:lang w:val="en-US" w:eastAsia="zh-CN"/>
          <w14:textFill>
            <w14:solidFill>
              <w14:schemeClr w14:val="tx1"/>
            </w14:solidFill>
          </w14:textFill>
        </w:rPr>
        <w:t>+20分，其中重点</w:t>
      </w:r>
      <w:r>
        <w:rPr>
          <w:rFonts w:hint="eastAsia" w:ascii="楷体_GB2312" w:hAnsi="楷体_GB2312" w:eastAsia="楷体_GB2312" w:cs="楷体_GB2312"/>
          <w:b w:val="0"/>
          <w:bCs w:val="0"/>
          <w:color w:val="000000" w:themeColor="text1"/>
          <w:sz w:val="24"/>
          <w:szCs w:val="24"/>
          <w:highlight w:val="none"/>
          <w14:textFill>
            <w14:solidFill>
              <w14:schemeClr w14:val="tx1"/>
            </w14:solidFill>
          </w14:textFill>
        </w:rPr>
        <w:t>指标</w:t>
      </w:r>
      <w:r>
        <w:rPr>
          <w:rFonts w:hint="eastAsia" w:ascii="楷体_GB2312" w:hAnsi="楷体_GB2312" w:eastAsia="楷体_GB2312" w:cs="楷体_GB2312"/>
          <w:b w:val="0"/>
          <w:bCs w:val="0"/>
          <w:color w:val="000000" w:themeColor="text1"/>
          <w:sz w:val="24"/>
          <w:szCs w:val="24"/>
          <w:highlight w:val="none"/>
          <w:lang w:val="en-US" w:eastAsia="zh-CN"/>
          <w14:textFill>
            <w14:solidFill>
              <w14:schemeClr w14:val="tx1"/>
            </w14:solidFill>
          </w14:textFill>
        </w:rPr>
        <w:t>440分，</w:t>
      </w:r>
      <w:r>
        <w:rPr>
          <w:rFonts w:hint="eastAsia" w:ascii="楷体_GB2312" w:hAnsi="楷体_GB2312" w:eastAsia="楷体_GB2312" w:cs="楷体_GB2312"/>
          <w:b w:val="0"/>
          <w:bCs w:val="0"/>
          <w:color w:val="000000" w:themeColor="text1"/>
          <w:sz w:val="24"/>
          <w:szCs w:val="24"/>
          <w:highlight w:val="none"/>
          <w14:textFill>
            <w14:solidFill>
              <w14:schemeClr w14:val="tx1"/>
            </w14:solidFill>
          </w14:textFill>
        </w:rPr>
        <w:t>其他指标</w:t>
      </w:r>
      <w:r>
        <w:rPr>
          <w:rFonts w:hint="eastAsia" w:ascii="楷体_GB2312" w:hAnsi="楷体_GB2312" w:eastAsia="楷体_GB2312" w:cs="楷体_GB2312"/>
          <w:b w:val="0"/>
          <w:bCs w:val="0"/>
          <w:color w:val="000000" w:themeColor="text1"/>
          <w:sz w:val="24"/>
          <w:szCs w:val="24"/>
          <w:highlight w:val="none"/>
          <w:lang w:val="en-US" w:eastAsia="zh-CN"/>
          <w14:textFill>
            <w14:solidFill>
              <w14:schemeClr w14:val="tx1"/>
            </w14:solidFill>
          </w14:textFill>
        </w:rPr>
        <w:t>560</w:t>
      </w:r>
      <w:r>
        <w:rPr>
          <w:rFonts w:hint="eastAsia" w:ascii="楷体_GB2312" w:hAnsi="楷体_GB2312" w:eastAsia="楷体_GB2312" w:cs="楷体_GB2312"/>
          <w:b w:val="0"/>
          <w:bCs w:val="0"/>
          <w:color w:val="000000" w:themeColor="text1"/>
          <w:sz w:val="24"/>
          <w:szCs w:val="24"/>
          <w:highlight w:val="none"/>
          <w14:textFill>
            <w14:solidFill>
              <w14:schemeClr w14:val="tx1"/>
            </w14:solidFill>
          </w14:textFill>
        </w:rPr>
        <w:t>分</w:t>
      </w:r>
      <w:r>
        <w:rPr>
          <w:rFonts w:hint="eastAsia" w:ascii="楷体_GB2312" w:hAnsi="楷体_GB2312" w:eastAsia="楷体_GB2312" w:cs="楷体_GB2312"/>
          <w:b w:val="0"/>
          <w:bCs w:val="0"/>
          <w:color w:val="000000" w:themeColor="text1"/>
          <w:sz w:val="24"/>
          <w:szCs w:val="24"/>
          <w:highlight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24"/>
          <w:szCs w:val="24"/>
          <w:highlight w:val="none"/>
          <w:lang w:val="en-US" w:eastAsia="zh-CN"/>
          <w14:textFill>
            <w14:solidFill>
              <w14:schemeClr w14:val="tx1"/>
            </w14:solidFill>
          </w14:textFill>
        </w:rPr>
        <w:t>加分项20分。</w:t>
      </w:r>
    </w:p>
    <w:p>
      <w:pPr>
        <w:spacing w:line="300" w:lineRule="exact"/>
        <w:ind w:firstLine="720" w:firstLineChars="300"/>
        <w:jc w:val="left"/>
        <w:rPr>
          <w:rFonts w:hint="eastAsia" w:ascii="楷体_GB2312" w:hAnsi="楷体_GB2312" w:eastAsia="楷体_GB2312" w:cs="楷体_GB2312"/>
          <w:b w:val="0"/>
          <w:bCs w:val="0"/>
          <w:color w:val="000000" w:themeColor="text1"/>
          <w:sz w:val="24"/>
          <w:szCs w:val="24"/>
          <w:highlight w:val="none"/>
          <w14:textFill>
            <w14:solidFill>
              <w14:schemeClr w14:val="tx1"/>
            </w14:solidFill>
          </w14:textFill>
        </w:rPr>
      </w:pPr>
      <w:r>
        <w:rPr>
          <w:rFonts w:hint="eastAsia" w:ascii="楷体_GB2312" w:hAnsi="楷体_GB2312" w:eastAsia="楷体_GB2312" w:cs="楷体_GB2312"/>
          <w:b w:val="0"/>
          <w:bCs w:val="0"/>
          <w:color w:val="000000" w:themeColor="text1"/>
          <w:sz w:val="24"/>
          <w:szCs w:val="24"/>
          <w:highlight w:val="none"/>
          <w14:textFill>
            <w14:solidFill>
              <w14:schemeClr w14:val="tx1"/>
            </w14:solidFill>
          </w14:textFill>
        </w:rPr>
        <w:t>得分≥8</w:t>
      </w:r>
      <w:r>
        <w:rPr>
          <w:rFonts w:hint="eastAsia" w:ascii="楷体_GB2312" w:hAnsi="楷体_GB2312" w:eastAsia="楷体_GB2312" w:cs="楷体_GB2312"/>
          <w:b w:val="0"/>
          <w:bCs w:val="0"/>
          <w:color w:val="000000" w:themeColor="text1"/>
          <w:sz w:val="24"/>
          <w:szCs w:val="24"/>
          <w:highlight w:val="none"/>
          <w:lang w:val="en-US" w:eastAsia="zh-CN"/>
          <w14:textFill>
            <w14:solidFill>
              <w14:schemeClr w14:val="tx1"/>
            </w14:solidFill>
          </w14:textFill>
        </w:rPr>
        <w:t>7</w:t>
      </w:r>
      <w:r>
        <w:rPr>
          <w:rFonts w:hint="eastAsia" w:ascii="楷体_GB2312" w:hAnsi="楷体_GB2312" w:eastAsia="楷体_GB2312" w:cs="楷体_GB2312"/>
          <w:b w:val="0"/>
          <w:bCs w:val="0"/>
          <w:color w:val="000000" w:themeColor="text1"/>
          <w:sz w:val="24"/>
          <w:szCs w:val="24"/>
          <w:highlight w:val="none"/>
          <w14:textFill>
            <w14:solidFill>
              <w14:schemeClr w14:val="tx1"/>
            </w14:solidFill>
          </w14:textFill>
        </w:rPr>
        <w:t>0分，且重点指标全部达标的，为合格；</w:t>
      </w:r>
    </w:p>
    <w:p>
      <w:pPr>
        <w:spacing w:line="300" w:lineRule="exact"/>
        <w:ind w:firstLine="732" w:firstLineChars="305"/>
        <w:jc w:val="left"/>
        <w:rPr>
          <w:rFonts w:hint="eastAsia" w:ascii="楷体_GB2312" w:hAnsi="楷体_GB2312" w:eastAsia="楷体_GB2312" w:cs="楷体_GB2312"/>
          <w:b w:val="0"/>
          <w:bCs w:val="0"/>
          <w:color w:val="000000" w:themeColor="text1"/>
          <w:sz w:val="24"/>
          <w:szCs w:val="24"/>
          <w:highlight w:val="none"/>
          <w14:textFill>
            <w14:solidFill>
              <w14:schemeClr w14:val="tx1"/>
            </w14:solidFill>
          </w14:textFill>
        </w:rPr>
      </w:pPr>
      <w:r>
        <w:rPr>
          <w:rFonts w:hint="eastAsia" w:ascii="楷体_GB2312" w:hAnsi="楷体_GB2312" w:eastAsia="楷体_GB2312" w:cs="楷体_GB2312"/>
          <w:b w:val="0"/>
          <w:bCs w:val="0"/>
          <w:color w:val="000000" w:themeColor="text1"/>
          <w:sz w:val="24"/>
          <w:szCs w:val="24"/>
          <w:highlight w:val="none"/>
          <w:lang w:val="en-US" w:eastAsia="zh-CN"/>
          <w14:textFill>
            <w14:solidFill>
              <w14:schemeClr w14:val="tx1"/>
            </w14:solidFill>
          </w14:textFill>
        </w:rPr>
        <w:t>820分≦得分＜870分</w:t>
      </w:r>
      <w:r>
        <w:rPr>
          <w:rFonts w:hint="eastAsia" w:ascii="楷体_GB2312" w:hAnsi="楷体_GB2312" w:eastAsia="楷体_GB2312" w:cs="楷体_GB2312"/>
          <w:b w:val="0"/>
          <w:bCs w:val="0"/>
          <w:color w:val="000000" w:themeColor="text1"/>
          <w:sz w:val="24"/>
          <w:szCs w:val="24"/>
          <w:highlight w:val="none"/>
          <w14:textFill>
            <w14:solidFill>
              <w14:schemeClr w14:val="tx1"/>
            </w14:solidFill>
          </w14:textFill>
        </w:rPr>
        <w:t>，且重点指标全部达标的，为整改后复查；</w:t>
      </w:r>
    </w:p>
    <w:p>
      <w:pPr>
        <w:tabs>
          <w:tab w:val="center" w:pos="7001"/>
        </w:tabs>
        <w:spacing w:line="300" w:lineRule="exact"/>
        <w:ind w:firstLine="720" w:firstLineChars="300"/>
        <w:jc w:val="left"/>
        <w:rPr>
          <w:rFonts w:hint="eastAsia" w:ascii="楷体_GB2312" w:hAnsi="楷体_GB2312" w:eastAsia="楷体_GB2312" w:cs="楷体_GB2312"/>
          <w:b w:val="0"/>
          <w:bCs w:val="0"/>
          <w:color w:val="000000" w:themeColor="text1"/>
          <w:sz w:val="24"/>
          <w:szCs w:val="24"/>
          <w:highlight w:val="none"/>
          <w14:textFill>
            <w14:solidFill>
              <w14:schemeClr w14:val="tx1"/>
            </w14:solidFill>
          </w14:textFill>
        </w:rPr>
      </w:pPr>
      <w:r>
        <w:rPr>
          <w:rFonts w:hint="eastAsia" w:ascii="楷体_GB2312" w:hAnsi="楷体_GB2312" w:eastAsia="楷体_GB2312" w:cs="楷体_GB2312"/>
          <w:b w:val="0"/>
          <w:bCs w:val="0"/>
          <w:color w:val="000000" w:themeColor="text1"/>
          <w:sz w:val="24"/>
          <w:szCs w:val="24"/>
          <w:highlight w:val="none"/>
          <w14:textFill>
            <w14:solidFill>
              <w14:schemeClr w14:val="tx1"/>
            </w14:solidFill>
          </w14:textFill>
        </w:rPr>
        <w:t>得分＜8</w:t>
      </w:r>
      <w:r>
        <w:rPr>
          <w:rFonts w:hint="eastAsia" w:ascii="楷体_GB2312" w:hAnsi="楷体_GB2312" w:eastAsia="楷体_GB2312" w:cs="楷体_GB2312"/>
          <w:b w:val="0"/>
          <w:bCs w:val="0"/>
          <w:color w:val="000000" w:themeColor="text1"/>
          <w:sz w:val="24"/>
          <w:szCs w:val="24"/>
          <w:highlight w:val="none"/>
          <w:lang w:val="en-US" w:eastAsia="zh-CN"/>
          <w14:textFill>
            <w14:solidFill>
              <w14:schemeClr w14:val="tx1"/>
            </w14:solidFill>
          </w14:textFill>
        </w:rPr>
        <w:t>2</w:t>
      </w:r>
      <w:r>
        <w:rPr>
          <w:rFonts w:hint="eastAsia" w:ascii="楷体_GB2312" w:hAnsi="楷体_GB2312" w:eastAsia="楷体_GB2312" w:cs="楷体_GB2312"/>
          <w:b w:val="0"/>
          <w:bCs w:val="0"/>
          <w:color w:val="000000" w:themeColor="text1"/>
          <w:sz w:val="24"/>
          <w:szCs w:val="24"/>
          <w:highlight w:val="none"/>
          <w14:textFill>
            <w14:solidFill>
              <w14:schemeClr w14:val="tx1"/>
            </w14:solidFill>
          </w14:textFill>
        </w:rPr>
        <w:t>0分，或1项及以上重点指标未达标的</w:t>
      </w:r>
      <w:r>
        <w:rPr>
          <w:rFonts w:hint="eastAsia" w:ascii="楷体_GB2312" w:hAnsi="楷体_GB2312" w:eastAsia="楷体_GB2312" w:cs="楷体_GB2312"/>
          <w:b w:val="0"/>
          <w:bCs w:val="0"/>
          <w:color w:val="000000" w:themeColor="text1"/>
          <w:sz w:val="24"/>
          <w:szCs w:val="24"/>
          <w:highlight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24"/>
          <w:szCs w:val="24"/>
          <w:highlight w:val="none"/>
          <w14:textFill>
            <w14:solidFill>
              <w14:schemeClr w14:val="tx1"/>
            </w14:solidFill>
          </w14:textFill>
        </w:rPr>
        <w:t>为不合格。</w:t>
      </w:r>
    </w:p>
    <w:p>
      <w:pPr>
        <w:pStyle w:val="3"/>
        <w:ind w:firstLine="720" w:firstLineChars="300"/>
        <w:rPr>
          <w:rFonts w:hint="eastAsia" w:ascii="楷体_GB2312" w:hAnsi="楷体_GB2312" w:eastAsia="楷体_GB2312" w:cs="楷体_GB2312"/>
          <w:b w:val="0"/>
          <w:bCs w:val="0"/>
          <w:color w:val="000000" w:themeColor="text1"/>
          <w:sz w:val="24"/>
          <w:szCs w:val="24"/>
          <w:highlight w:val="none"/>
          <w14:textFill>
            <w14:solidFill>
              <w14:schemeClr w14:val="tx1"/>
            </w14:solidFill>
          </w14:textFill>
        </w:rPr>
      </w:pPr>
      <w:r>
        <w:rPr>
          <w:rFonts w:hint="eastAsia" w:ascii="楷体_GB2312" w:hAnsi="楷体_GB2312" w:eastAsia="楷体_GB2312" w:cs="楷体_GB2312"/>
          <w:b w:val="0"/>
          <w:bCs w:val="0"/>
          <w:color w:val="000000" w:themeColor="text1"/>
          <w:sz w:val="24"/>
          <w:szCs w:val="24"/>
          <w:highlight w:val="none"/>
          <w14:textFill>
            <w14:solidFill>
              <w14:schemeClr w14:val="tx1"/>
            </w14:solidFill>
          </w14:textFill>
        </w:rPr>
        <w:t>加分项，由专家根据实际情况酌情加分。加分累计到总分，</w:t>
      </w:r>
      <w:r>
        <w:rPr>
          <w:rFonts w:hint="eastAsia" w:ascii="楷体_GB2312" w:hAnsi="楷体_GB2312" w:eastAsia="楷体_GB2312" w:cs="楷体_GB2312"/>
          <w:b w:val="0"/>
          <w:bCs w:val="0"/>
          <w:color w:val="000000" w:themeColor="text1"/>
          <w:sz w:val="24"/>
          <w:szCs w:val="24"/>
          <w:highlight w:val="none"/>
          <w:lang w:val="en-US" w:eastAsia="zh-CN"/>
          <w14:textFill>
            <w14:solidFill>
              <w14:schemeClr w14:val="tx1"/>
            </w14:solidFill>
          </w14:textFill>
        </w:rPr>
        <w:t>但是重点指标不达标仍为不合格。</w:t>
      </w:r>
    </w:p>
    <w:p>
      <w:pPr>
        <w:numPr>
          <w:ilvl w:val="0"/>
          <w:numId w:val="0"/>
        </w:numPr>
        <w:spacing w:line="300" w:lineRule="exact"/>
        <w:ind w:firstLine="480" w:firstLineChars="200"/>
        <w:jc w:val="left"/>
        <w:outlineLvl w:val="1"/>
        <w:rPr>
          <w:rFonts w:hint="eastAsia" w:ascii="楷体_GB2312" w:hAnsi="楷体_GB2312" w:eastAsia="楷体_GB2312" w:cs="楷体_GB2312"/>
          <w:b w:val="0"/>
          <w:bCs w:val="0"/>
          <w:color w:val="000000" w:themeColor="text1"/>
          <w:sz w:val="24"/>
          <w:szCs w:val="24"/>
          <w:highlight w:val="none"/>
          <w14:textFill>
            <w14:solidFill>
              <w14:schemeClr w14:val="tx1"/>
            </w14:solidFill>
          </w14:textFill>
        </w:rPr>
      </w:pPr>
      <w:r>
        <w:rPr>
          <w:rFonts w:hint="eastAsia" w:ascii="楷体_GB2312" w:hAnsi="楷体_GB2312" w:eastAsia="楷体_GB2312" w:cs="楷体_GB2312"/>
          <w:b w:val="0"/>
          <w:bCs w:val="0"/>
          <w:color w:val="000000" w:themeColor="text1"/>
          <w:sz w:val="24"/>
          <w:szCs w:val="24"/>
          <w:highlight w:val="none"/>
          <w:lang w:val="en-US" w:eastAsia="zh-CN"/>
          <w14:textFill>
            <w14:solidFill>
              <w14:schemeClr w14:val="tx1"/>
            </w14:solidFill>
          </w14:textFill>
        </w:rPr>
        <w:t>3.</w:t>
      </w:r>
      <w:r>
        <w:rPr>
          <w:rFonts w:hint="eastAsia" w:ascii="楷体_GB2312" w:hAnsi="楷体_GB2312" w:eastAsia="楷体_GB2312" w:cs="楷体_GB2312"/>
          <w:b w:val="0"/>
          <w:bCs w:val="0"/>
          <w:color w:val="000000" w:themeColor="text1"/>
          <w:sz w:val="24"/>
          <w:szCs w:val="24"/>
          <w:highlight w:val="none"/>
          <w14:textFill>
            <w14:solidFill>
              <w14:schemeClr w14:val="tx1"/>
            </w14:solidFill>
          </w14:textFill>
        </w:rPr>
        <w:t>除特别说明外，所用数据均为上一年度数据。</w:t>
      </w:r>
    </w:p>
    <w:p>
      <w:pPr>
        <w:tabs>
          <w:tab w:val="center" w:pos="7001"/>
        </w:tabs>
        <w:spacing w:line="300" w:lineRule="exact"/>
        <w:ind w:firstLine="723" w:firstLineChars="300"/>
        <w:jc w:val="left"/>
        <w:rPr>
          <w:rFonts w:hint="eastAsia" w:ascii="楷体_GB2312" w:hAnsi="楷体_GB2312" w:eastAsia="楷体_GB2312" w:cs="楷体_GB2312"/>
          <w:b/>
          <w:bCs/>
          <w:color w:val="000000" w:themeColor="text1"/>
          <w:sz w:val="24"/>
          <w:szCs w:val="24"/>
          <w:highlight w:val="none"/>
          <w:lang w:eastAsia="zh-CN"/>
          <w14:textFill>
            <w14:solidFill>
              <w14:schemeClr w14:val="tx1"/>
            </w14:solidFill>
          </w14:textFill>
        </w:rPr>
      </w:pPr>
    </w:p>
    <w:p>
      <w:pPr>
        <w:spacing w:line="300" w:lineRule="exact"/>
        <w:ind w:firstLine="723" w:firstLineChars="300"/>
        <w:jc w:val="left"/>
        <w:rPr>
          <w:rFonts w:hint="eastAsia" w:ascii="仿宋_GB2312" w:hAnsi="仿宋"/>
          <w:b/>
          <w:bCs/>
          <w:color w:val="000000" w:themeColor="text1"/>
          <w:sz w:val="24"/>
          <w:szCs w:val="24"/>
          <w:highlight w:val="none"/>
          <w14:textFill>
            <w14:solidFill>
              <w14:schemeClr w14:val="tx1"/>
            </w14:solidFill>
          </w14:textFill>
        </w:rPr>
      </w:pPr>
    </w:p>
    <w:p>
      <w:pPr>
        <w:spacing w:line="460" w:lineRule="exact"/>
        <w:ind w:firstLine="0"/>
        <w:rPr>
          <w:rFonts w:hint="eastAsia" w:ascii="宋体" w:hAnsi="宋体" w:eastAsia="宋体"/>
          <w:b/>
          <w:bCs/>
          <w:color w:val="000000" w:themeColor="text1"/>
          <w:sz w:val="24"/>
          <w:szCs w:val="24"/>
          <w:highlight w:val="none"/>
          <w14:textFill>
            <w14:solidFill>
              <w14:schemeClr w14:val="tx1"/>
            </w14:solidFill>
          </w14:textFill>
        </w:rPr>
        <w:sectPr>
          <w:headerReference r:id="rId3" w:type="default"/>
          <w:footerReference r:id="rId4" w:type="default"/>
          <w:pgSz w:w="16838" w:h="11906" w:orient="landscape"/>
          <w:pgMar w:top="1418" w:right="1418" w:bottom="1418" w:left="1418" w:header="851" w:footer="1134" w:gutter="0"/>
          <w:cols w:space="720" w:num="1"/>
          <w:docGrid w:linePitch="312" w:charSpace="0"/>
        </w:sectPr>
      </w:pPr>
    </w:p>
    <w:bookmarkEnd w:id="1"/>
    <w:bookmarkEnd w:id="2"/>
    <w:bookmarkEnd w:id="3"/>
    <w:bookmarkEnd w:id="4"/>
    <w:p>
      <w:pPr>
        <w:pStyle w:val="2"/>
        <w:keepNext w:val="0"/>
        <w:keepLines w:val="0"/>
        <w:pageBreakBefore w:val="0"/>
        <w:widowControl w:val="0"/>
        <w:kinsoku/>
        <w:wordWrap/>
        <w:overflowPunct/>
        <w:topLinePunct/>
        <w:autoSpaceDE/>
        <w:autoSpaceDN/>
        <w:bidi w:val="0"/>
        <w:adjustRightInd/>
        <w:snapToGrid/>
        <w:spacing w:after="0" w:line="600" w:lineRule="exact"/>
        <w:ind w:firstLine="0" w:firstLineChars="0"/>
        <w:jc w:val="center"/>
        <w:textAlignment w:val="auto"/>
        <w:rPr>
          <w:rFonts w:hint="eastAsia" w:ascii="方正小标宋_GBK" w:hAnsi="方正小标宋_GBK" w:eastAsia="方正小标宋_GBK" w:cs="方正小标宋_GBK"/>
          <w:b w:val="0"/>
          <w:bCs w:val="0"/>
          <w:color w:val="000000" w:themeColor="text1"/>
          <w:sz w:val="44"/>
          <w:szCs w:val="44"/>
          <w:highlight w:val="none"/>
          <w:lang w:val="zh-CN"/>
          <w14:textFill>
            <w14:solidFill>
              <w14:schemeClr w14:val="tx1"/>
            </w14:solidFill>
          </w14:textFill>
        </w:rPr>
      </w:pPr>
      <w:bookmarkStart w:id="5" w:name="_Toc30186"/>
      <w:bookmarkStart w:id="6" w:name="_Toc15878"/>
      <w:bookmarkStart w:id="7" w:name="_Toc11594"/>
      <w:bookmarkStart w:id="8" w:name="_Toc336419898"/>
      <w:bookmarkStart w:id="9" w:name="_Toc292457198"/>
      <w:bookmarkStart w:id="10" w:name="_Toc291000746"/>
      <w:r>
        <w:rPr>
          <w:rFonts w:hint="eastAsia" w:ascii="方正小标宋_GBK" w:hAnsi="方正小标宋_GBK" w:eastAsia="方正小标宋_GBK" w:cs="方正小标宋_GBK"/>
          <w:b w:val="0"/>
          <w:bCs w:val="0"/>
          <w:color w:val="000000" w:themeColor="text1"/>
          <w:sz w:val="44"/>
          <w:szCs w:val="44"/>
          <w:highlight w:val="none"/>
          <w:lang w:val="zh-CN"/>
          <w14:textFill>
            <w14:solidFill>
              <w14:schemeClr w14:val="tx1"/>
            </w14:solidFill>
          </w14:textFill>
        </w:rPr>
        <w:t>评审得分汇总表</w:t>
      </w:r>
      <w:bookmarkEnd w:id="5"/>
      <w:bookmarkEnd w:id="6"/>
      <w:bookmarkEnd w:id="7"/>
      <w:bookmarkEnd w:id="8"/>
    </w:p>
    <w:bookmarkEnd w:id="9"/>
    <w:bookmarkEnd w:id="10"/>
    <w:p>
      <w:pPr>
        <w:autoSpaceDE w:val="0"/>
        <w:autoSpaceDN w:val="0"/>
        <w:adjustRightInd/>
        <w:snapToGrid/>
        <w:spacing w:line="560" w:lineRule="exact"/>
        <w:ind w:right="-154" w:firstLine="0"/>
        <w:outlineLvl w:val="1"/>
        <w:rPr>
          <w:rFonts w:hint="eastAsia" w:ascii="宋体" w:hAnsi="宋体" w:eastAsia="宋体" w:cs="宋体"/>
          <w:b w:val="0"/>
          <w:bCs w:val="0"/>
          <w:color w:val="000000" w:themeColor="text1"/>
          <w:sz w:val="28"/>
          <w:szCs w:val="28"/>
          <w:highlight w:val="none"/>
          <w:u w:val="single"/>
          <w:lang w:val="zh-CN"/>
          <w14:textFill>
            <w14:solidFill>
              <w14:schemeClr w14:val="tx1"/>
            </w14:solidFill>
          </w14:textFill>
        </w:rPr>
      </w:pPr>
      <w:r>
        <w:rPr>
          <w:rFonts w:hint="eastAsia" w:ascii="宋体" w:hAnsi="宋体" w:eastAsia="宋体" w:cs="宋体"/>
          <w:b w:val="0"/>
          <w:bCs w:val="0"/>
          <w:color w:val="000000" w:themeColor="text1"/>
          <w:sz w:val="28"/>
          <w:szCs w:val="28"/>
          <w:highlight w:val="none"/>
          <w:u w:val="single"/>
          <w:lang w:val="zh-CN"/>
          <w14:textFill>
            <w14:solidFill>
              <w14:schemeClr w14:val="tx1"/>
            </w14:solidFill>
          </w14:textFill>
        </w:rPr>
        <w:t xml:space="preserve">         </w:t>
      </w:r>
      <w:r>
        <w:rPr>
          <w:rFonts w:hint="eastAsia" w:ascii="宋体" w:hAnsi="宋体" w:eastAsia="宋体" w:cs="宋体"/>
          <w:b w:val="0"/>
          <w:bCs w:val="0"/>
          <w:color w:val="000000" w:themeColor="text1"/>
          <w:sz w:val="28"/>
          <w:szCs w:val="28"/>
          <w:highlight w:val="none"/>
          <w:u w:val="single"/>
          <w:lang w:val="en-US" w:eastAsia="zh-CN"/>
          <w14:textFill>
            <w14:solidFill>
              <w14:schemeClr w14:val="tx1"/>
            </w14:solidFill>
          </w14:textFill>
        </w:rPr>
        <w:t>市</w:t>
      </w:r>
      <w:r>
        <w:rPr>
          <w:rFonts w:hint="eastAsia" w:ascii="宋体" w:hAnsi="宋体" w:eastAsia="宋体" w:cs="宋体"/>
          <w:b w:val="0"/>
          <w:bCs w:val="0"/>
          <w:color w:val="000000" w:themeColor="text1"/>
          <w:sz w:val="28"/>
          <w:szCs w:val="28"/>
          <w:highlight w:val="none"/>
          <w:u w:val="single"/>
          <w:lang w:val="zh-CN"/>
          <w14:textFill>
            <w14:solidFill>
              <w14:schemeClr w14:val="tx1"/>
            </w14:solidFill>
          </w14:textFill>
        </w:rPr>
        <w:t>（</w:t>
      </w:r>
      <w:r>
        <w:rPr>
          <w:rFonts w:hint="eastAsia" w:ascii="宋体" w:hAnsi="宋体" w:eastAsia="宋体" w:cs="宋体"/>
          <w:b w:val="0"/>
          <w:bCs w:val="0"/>
          <w:color w:val="000000" w:themeColor="text1"/>
          <w:sz w:val="28"/>
          <w:szCs w:val="28"/>
          <w:highlight w:val="none"/>
          <w:u w:val="single"/>
          <w:lang w:val="en-US" w:eastAsia="zh-CN"/>
          <w14:textFill>
            <w14:solidFill>
              <w14:schemeClr w14:val="tx1"/>
            </w14:solidFill>
          </w14:textFill>
        </w:rPr>
        <w:t>地区、自治州、盟</w:t>
      </w:r>
      <w:r>
        <w:rPr>
          <w:rFonts w:hint="eastAsia" w:ascii="宋体" w:hAnsi="宋体" w:eastAsia="宋体" w:cs="宋体"/>
          <w:b w:val="0"/>
          <w:bCs w:val="0"/>
          <w:color w:val="000000" w:themeColor="text1"/>
          <w:sz w:val="28"/>
          <w:szCs w:val="28"/>
          <w:highlight w:val="none"/>
          <w:u w:val="single"/>
          <w:lang w:val="zh-CN"/>
          <w14:textFill>
            <w14:solidFill>
              <w14:schemeClr w14:val="tx1"/>
            </w14:solidFill>
          </w14:textFill>
        </w:rPr>
        <w:t>）</w:t>
      </w:r>
    </w:p>
    <w:p>
      <w:pPr>
        <w:autoSpaceDE w:val="0"/>
        <w:autoSpaceDN w:val="0"/>
        <w:adjustRightInd/>
        <w:snapToGrid/>
        <w:spacing w:line="240" w:lineRule="atLeast"/>
        <w:ind w:firstLine="562" w:firstLineChars="200"/>
        <w:rPr>
          <w:rFonts w:hint="eastAsia" w:ascii="仿宋" w:hAnsi="仿宋" w:eastAsia="仿宋" w:cs="仿宋"/>
          <w:b/>
          <w:bCs/>
          <w:color w:val="000000" w:themeColor="text1"/>
          <w:sz w:val="28"/>
          <w:szCs w:val="28"/>
          <w:highlight w:val="none"/>
          <w14:textFill>
            <w14:solidFill>
              <w14:schemeClr w14:val="tx1"/>
            </w14:solidFill>
          </w14:textFill>
        </w:rPr>
      </w:pPr>
    </w:p>
    <w:tbl>
      <w:tblPr>
        <w:tblStyle w:val="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108" w:type="dxa"/>
          <w:bottom w:w="45" w:type="dxa"/>
          <w:right w:w="108" w:type="dxa"/>
        </w:tblCellMar>
      </w:tblPr>
      <w:tblGrid>
        <w:gridCol w:w="1206"/>
        <w:gridCol w:w="2145"/>
        <w:gridCol w:w="1444"/>
        <w:gridCol w:w="4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450" w:hRule="atLeast"/>
          <w:tblHeader/>
          <w:jc w:val="center"/>
        </w:trPr>
        <w:tc>
          <w:tcPr>
            <w:tcW w:w="1206" w:type="dxa"/>
            <w:vAlign w:val="center"/>
          </w:tcPr>
          <w:p>
            <w:pPr>
              <w:autoSpaceDE w:val="0"/>
              <w:autoSpaceDN w:val="0"/>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指标</w:t>
            </w:r>
          </w:p>
        </w:tc>
        <w:tc>
          <w:tcPr>
            <w:tcW w:w="2145" w:type="dxa"/>
            <w:vAlign w:val="center"/>
          </w:tcPr>
          <w:p>
            <w:pPr>
              <w:autoSpaceDE w:val="0"/>
              <w:autoSpaceDN w:val="0"/>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分值</w:t>
            </w:r>
          </w:p>
        </w:tc>
        <w:tc>
          <w:tcPr>
            <w:tcW w:w="1444" w:type="dxa"/>
            <w:vAlign w:val="center"/>
          </w:tcPr>
          <w:p>
            <w:pPr>
              <w:autoSpaceDE w:val="0"/>
              <w:autoSpaceDN w:val="0"/>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评审得分</w:t>
            </w:r>
          </w:p>
        </w:tc>
        <w:tc>
          <w:tcPr>
            <w:tcW w:w="4491" w:type="dxa"/>
            <w:vAlign w:val="center"/>
          </w:tcPr>
          <w:p>
            <w:pPr>
              <w:autoSpaceDE w:val="0"/>
              <w:autoSpaceDN w:val="0"/>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扣（加）分原因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40" w:hRule="atLeast"/>
          <w:jc w:val="center"/>
        </w:trPr>
        <w:tc>
          <w:tcPr>
            <w:tcW w:w="1206" w:type="dxa"/>
            <w:vAlign w:val="center"/>
          </w:tcPr>
          <w:p>
            <w:pPr>
              <w:autoSpaceDE w:val="0"/>
              <w:autoSpaceDN w:val="0"/>
              <w:spacing w:line="240" w:lineRule="atLeast"/>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1.1</w:t>
            </w:r>
          </w:p>
        </w:tc>
        <w:tc>
          <w:tcPr>
            <w:tcW w:w="2145" w:type="dxa"/>
            <w:vAlign w:val="center"/>
          </w:tcPr>
          <w:p>
            <w:pPr>
              <w:autoSpaceDE w:val="0"/>
              <w:autoSpaceDN w:val="0"/>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highlight w:val="none"/>
                <w14:textFill>
                  <w14:solidFill>
                    <w14:schemeClr w14:val="tx1"/>
                  </w14:solidFill>
                </w14:textFill>
              </w:rPr>
              <w:t>0（≥</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6为达标）</w:t>
            </w:r>
          </w:p>
        </w:tc>
        <w:tc>
          <w:tcPr>
            <w:tcW w:w="1444"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91" w:type="dxa"/>
            <w:vAlign w:val="center"/>
          </w:tcPr>
          <w:p>
            <w:pPr>
              <w:autoSpaceDE w:val="0"/>
              <w:autoSpaceDN w:val="0"/>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40" w:hRule="atLeast"/>
          <w:jc w:val="center"/>
        </w:trPr>
        <w:tc>
          <w:tcPr>
            <w:tcW w:w="1206" w:type="dxa"/>
            <w:vAlign w:val="center"/>
          </w:tcPr>
          <w:p>
            <w:pPr>
              <w:autoSpaceDE w:val="0"/>
              <w:autoSpaceDN w:val="0"/>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14:textFill>
                  <w14:solidFill>
                    <w14:schemeClr w14:val="tx1"/>
                  </w14:solidFill>
                </w14:textFill>
              </w:rPr>
              <w:t>2</w:t>
            </w:r>
          </w:p>
        </w:tc>
        <w:tc>
          <w:tcPr>
            <w:tcW w:w="2145" w:type="dxa"/>
            <w:vAlign w:val="center"/>
          </w:tcPr>
          <w:p>
            <w:pPr>
              <w:autoSpaceDE w:val="0"/>
              <w:autoSpaceDN w:val="0"/>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14:textFill>
                  <w14:solidFill>
                    <w14:schemeClr w14:val="tx1"/>
                  </w14:solidFill>
                </w14:textFill>
              </w:rPr>
              <w:t>0</w:t>
            </w:r>
          </w:p>
        </w:tc>
        <w:tc>
          <w:tcPr>
            <w:tcW w:w="1444"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91" w:type="dxa"/>
            <w:vAlign w:val="center"/>
          </w:tcPr>
          <w:p>
            <w:pPr>
              <w:autoSpaceDE w:val="0"/>
              <w:autoSpaceDN w:val="0"/>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40" w:hRule="atLeast"/>
          <w:jc w:val="center"/>
        </w:trPr>
        <w:tc>
          <w:tcPr>
            <w:tcW w:w="1206" w:type="dxa"/>
            <w:vAlign w:val="center"/>
          </w:tcPr>
          <w:p>
            <w:pPr>
              <w:autoSpaceDE w:val="0"/>
              <w:autoSpaceDN w:val="0"/>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14:textFill>
                  <w14:solidFill>
                    <w14:schemeClr w14:val="tx1"/>
                  </w14:solidFill>
                </w14:textFill>
              </w:rPr>
              <w:t>3</w:t>
            </w:r>
          </w:p>
        </w:tc>
        <w:tc>
          <w:tcPr>
            <w:tcW w:w="2145" w:type="dxa"/>
            <w:vAlign w:val="center"/>
          </w:tcPr>
          <w:p>
            <w:pPr>
              <w:autoSpaceDE w:val="0"/>
              <w:autoSpaceDN w:val="0"/>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20</w:t>
            </w:r>
          </w:p>
        </w:tc>
        <w:tc>
          <w:tcPr>
            <w:tcW w:w="1444"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91" w:type="dxa"/>
            <w:vAlign w:val="center"/>
          </w:tcPr>
          <w:p>
            <w:pPr>
              <w:autoSpaceDE w:val="0"/>
              <w:autoSpaceDN w:val="0"/>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40" w:hRule="atLeast"/>
          <w:jc w:val="center"/>
        </w:trPr>
        <w:tc>
          <w:tcPr>
            <w:tcW w:w="1206"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4"/>
                <w:szCs w:val="24"/>
                <w:highlight w:val="none"/>
                <w14:textFill>
                  <w14:solidFill>
                    <w14:schemeClr w14:val="tx1"/>
                  </w14:solidFill>
                </w14:textFill>
              </w:rPr>
              <w:t>4</w:t>
            </w:r>
          </w:p>
        </w:tc>
        <w:tc>
          <w:tcPr>
            <w:tcW w:w="2145"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20</w:t>
            </w:r>
          </w:p>
        </w:tc>
        <w:tc>
          <w:tcPr>
            <w:tcW w:w="1444"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4491" w:type="dxa"/>
            <w:vAlign w:val="center"/>
          </w:tcPr>
          <w:p>
            <w:pPr>
              <w:autoSpaceDE w:val="0"/>
              <w:autoSpaceDN w:val="0"/>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40" w:hRule="atLeast"/>
          <w:jc w:val="center"/>
        </w:trPr>
        <w:tc>
          <w:tcPr>
            <w:tcW w:w="1206"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2.1</w:t>
            </w:r>
          </w:p>
        </w:tc>
        <w:tc>
          <w:tcPr>
            <w:tcW w:w="2145"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0（≥</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27</w:t>
            </w:r>
            <w:r>
              <w:rPr>
                <w:rFonts w:hint="eastAsia" w:ascii="宋体" w:hAnsi="宋体" w:eastAsia="宋体" w:cs="宋体"/>
                <w:b w:val="0"/>
                <w:bCs w:val="0"/>
                <w:color w:val="000000" w:themeColor="text1"/>
                <w:sz w:val="24"/>
                <w:szCs w:val="24"/>
                <w:highlight w:val="none"/>
                <w14:textFill>
                  <w14:solidFill>
                    <w14:schemeClr w14:val="tx1"/>
                  </w14:solidFill>
                </w14:textFill>
              </w:rPr>
              <w:t>为达标）</w:t>
            </w:r>
          </w:p>
        </w:tc>
        <w:tc>
          <w:tcPr>
            <w:tcW w:w="1444"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91" w:type="dxa"/>
            <w:vAlign w:val="center"/>
          </w:tcPr>
          <w:p>
            <w:pPr>
              <w:autoSpaceDE w:val="0"/>
              <w:autoSpaceDN w:val="0"/>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40" w:hRule="atLeast"/>
          <w:jc w:val="center"/>
        </w:trPr>
        <w:tc>
          <w:tcPr>
            <w:tcW w:w="1206"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2.2</w:t>
            </w:r>
          </w:p>
        </w:tc>
        <w:tc>
          <w:tcPr>
            <w:tcW w:w="2145"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0</w:t>
            </w:r>
          </w:p>
        </w:tc>
        <w:tc>
          <w:tcPr>
            <w:tcW w:w="1444"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91"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40" w:hRule="atLeast"/>
          <w:jc w:val="center"/>
        </w:trPr>
        <w:tc>
          <w:tcPr>
            <w:tcW w:w="1206"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2.3</w:t>
            </w:r>
          </w:p>
        </w:tc>
        <w:tc>
          <w:tcPr>
            <w:tcW w:w="2145"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30（≥2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4"/>
                <w:szCs w:val="24"/>
                <w:highlight w:val="none"/>
                <w14:textFill>
                  <w14:solidFill>
                    <w14:schemeClr w14:val="tx1"/>
                  </w14:solidFill>
                </w14:textFill>
              </w:rPr>
              <w:t>为达标）</w:t>
            </w:r>
          </w:p>
        </w:tc>
        <w:tc>
          <w:tcPr>
            <w:tcW w:w="1444"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91" w:type="dxa"/>
            <w:vAlign w:val="center"/>
          </w:tcPr>
          <w:p>
            <w:pPr>
              <w:autoSpaceDE w:val="0"/>
              <w:autoSpaceDN w:val="0"/>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40" w:hRule="atLeast"/>
          <w:jc w:val="center"/>
        </w:trPr>
        <w:tc>
          <w:tcPr>
            <w:tcW w:w="1206"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2.4</w:t>
            </w:r>
          </w:p>
        </w:tc>
        <w:tc>
          <w:tcPr>
            <w:tcW w:w="2145"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20</w:t>
            </w:r>
          </w:p>
        </w:tc>
        <w:tc>
          <w:tcPr>
            <w:tcW w:w="1444"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91"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40" w:hRule="atLeast"/>
          <w:jc w:val="center"/>
        </w:trPr>
        <w:tc>
          <w:tcPr>
            <w:tcW w:w="1206"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2.5</w:t>
            </w:r>
          </w:p>
        </w:tc>
        <w:tc>
          <w:tcPr>
            <w:tcW w:w="2145"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20</w:t>
            </w:r>
          </w:p>
        </w:tc>
        <w:tc>
          <w:tcPr>
            <w:tcW w:w="1444"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91"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40" w:hRule="atLeast"/>
          <w:jc w:val="center"/>
        </w:trPr>
        <w:tc>
          <w:tcPr>
            <w:tcW w:w="1206"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2.6</w:t>
            </w:r>
          </w:p>
        </w:tc>
        <w:tc>
          <w:tcPr>
            <w:tcW w:w="2145"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20</w:t>
            </w:r>
          </w:p>
        </w:tc>
        <w:tc>
          <w:tcPr>
            <w:tcW w:w="1444"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91"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40" w:hRule="atLeast"/>
          <w:jc w:val="center"/>
        </w:trPr>
        <w:tc>
          <w:tcPr>
            <w:tcW w:w="1206"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2.7</w:t>
            </w:r>
          </w:p>
        </w:tc>
        <w:tc>
          <w:tcPr>
            <w:tcW w:w="2145"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14:textFill>
                  <w14:solidFill>
                    <w14:schemeClr w14:val="tx1"/>
                  </w14:solidFill>
                </w14:textFill>
              </w:rPr>
              <w:t>0</w:t>
            </w:r>
          </w:p>
        </w:tc>
        <w:tc>
          <w:tcPr>
            <w:tcW w:w="1444"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91"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40" w:hRule="atLeast"/>
          <w:jc w:val="center"/>
        </w:trPr>
        <w:tc>
          <w:tcPr>
            <w:tcW w:w="1206"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2.8</w:t>
            </w:r>
          </w:p>
        </w:tc>
        <w:tc>
          <w:tcPr>
            <w:tcW w:w="2145"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14:textFill>
                  <w14:solidFill>
                    <w14:schemeClr w14:val="tx1"/>
                  </w14:solidFill>
                </w14:textFill>
              </w:rPr>
              <w:t>0</w:t>
            </w:r>
          </w:p>
        </w:tc>
        <w:tc>
          <w:tcPr>
            <w:tcW w:w="1444"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91"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40" w:hRule="atLeast"/>
          <w:jc w:val="center"/>
        </w:trPr>
        <w:tc>
          <w:tcPr>
            <w:tcW w:w="1206"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2.9</w:t>
            </w:r>
          </w:p>
        </w:tc>
        <w:tc>
          <w:tcPr>
            <w:tcW w:w="2145"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highlight w:val="none"/>
                <w14:textFill>
                  <w14:solidFill>
                    <w14:schemeClr w14:val="tx1"/>
                  </w14:solidFill>
                </w14:textFill>
              </w:rPr>
              <w:t>0（≥</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6为达标）</w:t>
            </w:r>
          </w:p>
        </w:tc>
        <w:tc>
          <w:tcPr>
            <w:tcW w:w="1444"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91"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40" w:hRule="atLeast"/>
          <w:jc w:val="center"/>
        </w:trPr>
        <w:tc>
          <w:tcPr>
            <w:tcW w:w="1206"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2.10</w:t>
            </w:r>
          </w:p>
        </w:tc>
        <w:tc>
          <w:tcPr>
            <w:tcW w:w="2145"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20</w:t>
            </w:r>
          </w:p>
        </w:tc>
        <w:tc>
          <w:tcPr>
            <w:tcW w:w="1444"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91"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40" w:hRule="atLeast"/>
          <w:jc w:val="center"/>
        </w:trPr>
        <w:tc>
          <w:tcPr>
            <w:tcW w:w="1206"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2.11</w:t>
            </w:r>
          </w:p>
        </w:tc>
        <w:tc>
          <w:tcPr>
            <w:tcW w:w="2145"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20</w:t>
            </w:r>
          </w:p>
        </w:tc>
        <w:tc>
          <w:tcPr>
            <w:tcW w:w="1444"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91"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40" w:hRule="atLeast"/>
          <w:jc w:val="center"/>
        </w:trPr>
        <w:tc>
          <w:tcPr>
            <w:tcW w:w="1206"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2.12</w:t>
            </w:r>
          </w:p>
        </w:tc>
        <w:tc>
          <w:tcPr>
            <w:tcW w:w="2145"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20</w:t>
            </w:r>
          </w:p>
        </w:tc>
        <w:tc>
          <w:tcPr>
            <w:tcW w:w="1444"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91"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40" w:hRule="atLeast"/>
          <w:jc w:val="center"/>
        </w:trPr>
        <w:tc>
          <w:tcPr>
            <w:tcW w:w="1206"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2.13</w:t>
            </w:r>
          </w:p>
        </w:tc>
        <w:tc>
          <w:tcPr>
            <w:tcW w:w="2145"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20</w:t>
            </w:r>
          </w:p>
        </w:tc>
        <w:tc>
          <w:tcPr>
            <w:tcW w:w="1444"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91"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40" w:hRule="atLeast"/>
          <w:jc w:val="center"/>
        </w:trPr>
        <w:tc>
          <w:tcPr>
            <w:tcW w:w="1206"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2.14</w:t>
            </w:r>
          </w:p>
        </w:tc>
        <w:tc>
          <w:tcPr>
            <w:tcW w:w="2145"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20</w:t>
            </w:r>
          </w:p>
        </w:tc>
        <w:tc>
          <w:tcPr>
            <w:tcW w:w="1444"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91"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40" w:hRule="atLeast"/>
          <w:jc w:val="center"/>
        </w:trPr>
        <w:tc>
          <w:tcPr>
            <w:tcW w:w="1206"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2.15</w:t>
            </w:r>
          </w:p>
        </w:tc>
        <w:tc>
          <w:tcPr>
            <w:tcW w:w="2145"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20</w:t>
            </w:r>
          </w:p>
        </w:tc>
        <w:tc>
          <w:tcPr>
            <w:tcW w:w="1444"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91"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40" w:hRule="atLeast"/>
          <w:jc w:val="center"/>
        </w:trPr>
        <w:tc>
          <w:tcPr>
            <w:tcW w:w="1206"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2.16</w:t>
            </w:r>
          </w:p>
        </w:tc>
        <w:tc>
          <w:tcPr>
            <w:tcW w:w="2145"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20</w:t>
            </w:r>
          </w:p>
        </w:tc>
        <w:tc>
          <w:tcPr>
            <w:tcW w:w="1444"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4491"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40" w:hRule="atLeast"/>
          <w:jc w:val="center"/>
        </w:trPr>
        <w:tc>
          <w:tcPr>
            <w:tcW w:w="1206"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3.1</w:t>
            </w:r>
          </w:p>
        </w:tc>
        <w:tc>
          <w:tcPr>
            <w:tcW w:w="2145"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30（≥2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4"/>
                <w:szCs w:val="24"/>
                <w:highlight w:val="none"/>
                <w14:textFill>
                  <w14:solidFill>
                    <w14:schemeClr w14:val="tx1"/>
                  </w14:solidFill>
                </w14:textFill>
              </w:rPr>
              <w:t>为达标）</w:t>
            </w:r>
          </w:p>
        </w:tc>
        <w:tc>
          <w:tcPr>
            <w:tcW w:w="1444"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91"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40" w:hRule="atLeast"/>
          <w:jc w:val="center"/>
        </w:trPr>
        <w:tc>
          <w:tcPr>
            <w:tcW w:w="1206"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3.2</w:t>
            </w:r>
          </w:p>
        </w:tc>
        <w:tc>
          <w:tcPr>
            <w:tcW w:w="2145"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20</w:t>
            </w:r>
          </w:p>
        </w:tc>
        <w:tc>
          <w:tcPr>
            <w:tcW w:w="1444"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91"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40" w:hRule="atLeast"/>
          <w:jc w:val="center"/>
        </w:trPr>
        <w:tc>
          <w:tcPr>
            <w:tcW w:w="1206"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3.3</w:t>
            </w:r>
          </w:p>
        </w:tc>
        <w:tc>
          <w:tcPr>
            <w:tcW w:w="2145" w:type="dxa"/>
            <w:vAlign w:val="center"/>
          </w:tcPr>
          <w:p>
            <w:pPr>
              <w:adjustRightInd/>
              <w:snapToGrid/>
              <w:spacing w:line="240" w:lineRule="auto"/>
              <w:ind w:firstLine="0" w:firstLineChars="0"/>
              <w:jc w:val="cente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30（≥2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4"/>
                <w:szCs w:val="24"/>
                <w:highlight w:val="none"/>
                <w14:textFill>
                  <w14:solidFill>
                    <w14:schemeClr w14:val="tx1"/>
                  </w14:solidFill>
                </w14:textFill>
              </w:rPr>
              <w:t>为达标）</w:t>
            </w:r>
          </w:p>
        </w:tc>
        <w:tc>
          <w:tcPr>
            <w:tcW w:w="1444"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91"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40" w:hRule="atLeast"/>
          <w:jc w:val="center"/>
        </w:trPr>
        <w:tc>
          <w:tcPr>
            <w:tcW w:w="1206"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3.4</w:t>
            </w:r>
          </w:p>
        </w:tc>
        <w:tc>
          <w:tcPr>
            <w:tcW w:w="2145"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30（≥2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4"/>
                <w:szCs w:val="24"/>
                <w:highlight w:val="none"/>
                <w14:textFill>
                  <w14:solidFill>
                    <w14:schemeClr w14:val="tx1"/>
                  </w14:solidFill>
                </w14:textFill>
              </w:rPr>
              <w:t>为达标）</w:t>
            </w:r>
          </w:p>
        </w:tc>
        <w:tc>
          <w:tcPr>
            <w:tcW w:w="1444"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4491"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40" w:hRule="atLeast"/>
          <w:jc w:val="center"/>
        </w:trPr>
        <w:tc>
          <w:tcPr>
            <w:tcW w:w="1206"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3.5</w:t>
            </w:r>
          </w:p>
        </w:tc>
        <w:tc>
          <w:tcPr>
            <w:tcW w:w="2145"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20</w:t>
            </w:r>
          </w:p>
        </w:tc>
        <w:tc>
          <w:tcPr>
            <w:tcW w:w="1444"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91"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40" w:hRule="atLeast"/>
          <w:jc w:val="center"/>
        </w:trPr>
        <w:tc>
          <w:tcPr>
            <w:tcW w:w="1206"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4.1</w:t>
            </w:r>
          </w:p>
        </w:tc>
        <w:tc>
          <w:tcPr>
            <w:tcW w:w="2145"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20</w:t>
            </w:r>
          </w:p>
        </w:tc>
        <w:tc>
          <w:tcPr>
            <w:tcW w:w="1444"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91"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40" w:hRule="atLeast"/>
          <w:jc w:val="center"/>
        </w:trPr>
        <w:tc>
          <w:tcPr>
            <w:tcW w:w="1206"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4.2</w:t>
            </w:r>
          </w:p>
        </w:tc>
        <w:tc>
          <w:tcPr>
            <w:tcW w:w="2145"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30（≥</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27</w:t>
            </w:r>
            <w:r>
              <w:rPr>
                <w:rFonts w:hint="eastAsia" w:ascii="宋体" w:hAnsi="宋体" w:eastAsia="宋体" w:cs="宋体"/>
                <w:b w:val="0"/>
                <w:bCs w:val="0"/>
                <w:color w:val="000000" w:themeColor="text1"/>
                <w:sz w:val="24"/>
                <w:szCs w:val="24"/>
                <w:highlight w:val="none"/>
                <w14:textFill>
                  <w14:solidFill>
                    <w14:schemeClr w14:val="tx1"/>
                  </w14:solidFill>
                </w14:textFill>
              </w:rPr>
              <w:t>为达标）</w:t>
            </w:r>
          </w:p>
        </w:tc>
        <w:tc>
          <w:tcPr>
            <w:tcW w:w="1444"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91"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40" w:hRule="atLeast"/>
          <w:jc w:val="center"/>
        </w:trPr>
        <w:tc>
          <w:tcPr>
            <w:tcW w:w="1206"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4.3</w:t>
            </w:r>
          </w:p>
        </w:tc>
        <w:tc>
          <w:tcPr>
            <w:tcW w:w="2145"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0</w:t>
            </w:r>
          </w:p>
        </w:tc>
        <w:tc>
          <w:tcPr>
            <w:tcW w:w="1444"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91"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40" w:hRule="atLeast"/>
          <w:jc w:val="center"/>
        </w:trPr>
        <w:tc>
          <w:tcPr>
            <w:tcW w:w="1206"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4.4</w:t>
            </w:r>
          </w:p>
        </w:tc>
        <w:tc>
          <w:tcPr>
            <w:tcW w:w="2145"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14:textFill>
                  <w14:solidFill>
                    <w14:schemeClr w14:val="tx1"/>
                  </w14:solidFill>
                </w14:textFill>
              </w:rPr>
              <w:t>0</w:t>
            </w:r>
          </w:p>
        </w:tc>
        <w:tc>
          <w:tcPr>
            <w:tcW w:w="1444"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4491"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40" w:hRule="atLeast"/>
          <w:jc w:val="center"/>
        </w:trPr>
        <w:tc>
          <w:tcPr>
            <w:tcW w:w="1206"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5.1</w:t>
            </w:r>
          </w:p>
        </w:tc>
        <w:tc>
          <w:tcPr>
            <w:tcW w:w="2145"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0（≥</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27</w:t>
            </w:r>
            <w:r>
              <w:rPr>
                <w:rFonts w:hint="eastAsia" w:ascii="宋体" w:hAnsi="宋体" w:eastAsia="宋体" w:cs="宋体"/>
                <w:b w:val="0"/>
                <w:bCs w:val="0"/>
                <w:color w:val="000000" w:themeColor="text1"/>
                <w:sz w:val="24"/>
                <w:szCs w:val="24"/>
                <w:highlight w:val="none"/>
                <w14:textFill>
                  <w14:solidFill>
                    <w14:schemeClr w14:val="tx1"/>
                  </w14:solidFill>
                </w14:textFill>
              </w:rPr>
              <w:t>为达标）</w:t>
            </w:r>
          </w:p>
        </w:tc>
        <w:tc>
          <w:tcPr>
            <w:tcW w:w="1444"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91"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40" w:hRule="atLeast"/>
          <w:jc w:val="center"/>
        </w:trPr>
        <w:tc>
          <w:tcPr>
            <w:tcW w:w="1206"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5.2</w:t>
            </w:r>
          </w:p>
        </w:tc>
        <w:tc>
          <w:tcPr>
            <w:tcW w:w="2145"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0（≥</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27</w:t>
            </w:r>
            <w:r>
              <w:rPr>
                <w:rFonts w:hint="eastAsia" w:ascii="宋体" w:hAnsi="宋体" w:eastAsia="宋体" w:cs="宋体"/>
                <w:b w:val="0"/>
                <w:bCs w:val="0"/>
                <w:color w:val="000000" w:themeColor="text1"/>
                <w:sz w:val="24"/>
                <w:szCs w:val="24"/>
                <w:highlight w:val="none"/>
                <w14:textFill>
                  <w14:solidFill>
                    <w14:schemeClr w14:val="tx1"/>
                  </w14:solidFill>
                </w14:textFill>
              </w:rPr>
              <w:t>为达标）</w:t>
            </w:r>
          </w:p>
        </w:tc>
        <w:tc>
          <w:tcPr>
            <w:tcW w:w="1444"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91"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40" w:hRule="atLeast"/>
          <w:jc w:val="center"/>
        </w:trPr>
        <w:tc>
          <w:tcPr>
            <w:tcW w:w="1206"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5.3</w:t>
            </w:r>
          </w:p>
        </w:tc>
        <w:tc>
          <w:tcPr>
            <w:tcW w:w="2145"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20</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b w:val="0"/>
                <w:bCs w:val="0"/>
                <w:color w:val="000000" w:themeColor="text1"/>
                <w:sz w:val="24"/>
                <w:szCs w:val="24"/>
                <w:highlight w:val="none"/>
                <w14:textFill>
                  <w14:solidFill>
                    <w14:schemeClr w14:val="tx1"/>
                  </w14:solidFill>
                </w14:textFill>
              </w:rPr>
              <w:t>为达标）</w:t>
            </w:r>
          </w:p>
        </w:tc>
        <w:tc>
          <w:tcPr>
            <w:tcW w:w="1444"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91"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40" w:hRule="atLeast"/>
          <w:jc w:val="center"/>
        </w:trPr>
        <w:tc>
          <w:tcPr>
            <w:tcW w:w="1206"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5.4</w:t>
            </w:r>
          </w:p>
        </w:tc>
        <w:tc>
          <w:tcPr>
            <w:tcW w:w="2145"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14:textFill>
                  <w14:solidFill>
                    <w14:schemeClr w14:val="tx1"/>
                  </w14:solidFill>
                </w14:textFill>
              </w:rPr>
              <w:t>0</w:t>
            </w:r>
          </w:p>
        </w:tc>
        <w:tc>
          <w:tcPr>
            <w:tcW w:w="1444"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91"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40" w:hRule="atLeast"/>
          <w:jc w:val="center"/>
        </w:trPr>
        <w:tc>
          <w:tcPr>
            <w:tcW w:w="1206"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5.5</w:t>
            </w:r>
          </w:p>
        </w:tc>
        <w:tc>
          <w:tcPr>
            <w:tcW w:w="2145"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0（≥</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27</w:t>
            </w:r>
            <w:r>
              <w:rPr>
                <w:rFonts w:hint="eastAsia" w:ascii="宋体" w:hAnsi="宋体" w:eastAsia="宋体" w:cs="宋体"/>
                <w:b w:val="0"/>
                <w:bCs w:val="0"/>
                <w:color w:val="000000" w:themeColor="text1"/>
                <w:sz w:val="24"/>
                <w:szCs w:val="24"/>
                <w:highlight w:val="none"/>
                <w14:textFill>
                  <w14:solidFill>
                    <w14:schemeClr w14:val="tx1"/>
                  </w14:solidFill>
                </w14:textFill>
              </w:rPr>
              <w:t>为达标）</w:t>
            </w:r>
          </w:p>
        </w:tc>
        <w:tc>
          <w:tcPr>
            <w:tcW w:w="1444"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91"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40" w:hRule="atLeast"/>
          <w:jc w:val="center"/>
        </w:trPr>
        <w:tc>
          <w:tcPr>
            <w:tcW w:w="1206"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5.6</w:t>
            </w:r>
          </w:p>
        </w:tc>
        <w:tc>
          <w:tcPr>
            <w:tcW w:w="2145"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14:textFill>
                  <w14:solidFill>
                    <w14:schemeClr w14:val="tx1"/>
                  </w14:solidFill>
                </w14:textFill>
              </w:rPr>
              <w:t>0</w:t>
            </w:r>
          </w:p>
        </w:tc>
        <w:tc>
          <w:tcPr>
            <w:tcW w:w="1444"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91"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40" w:hRule="atLeast"/>
          <w:jc w:val="center"/>
        </w:trPr>
        <w:tc>
          <w:tcPr>
            <w:tcW w:w="1206"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5.7</w:t>
            </w:r>
          </w:p>
        </w:tc>
        <w:tc>
          <w:tcPr>
            <w:tcW w:w="2145"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14:textFill>
                  <w14:solidFill>
                    <w14:schemeClr w14:val="tx1"/>
                  </w14:solidFill>
                </w14:textFill>
              </w:rPr>
              <w:t>0</w:t>
            </w:r>
          </w:p>
        </w:tc>
        <w:tc>
          <w:tcPr>
            <w:tcW w:w="1444"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91"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40" w:hRule="atLeast"/>
          <w:jc w:val="center"/>
        </w:trPr>
        <w:tc>
          <w:tcPr>
            <w:tcW w:w="1206"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5.8</w:t>
            </w:r>
          </w:p>
        </w:tc>
        <w:tc>
          <w:tcPr>
            <w:tcW w:w="2145"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0</w:t>
            </w:r>
          </w:p>
        </w:tc>
        <w:tc>
          <w:tcPr>
            <w:tcW w:w="1444"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4491"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40" w:hRule="atLeast"/>
          <w:jc w:val="center"/>
        </w:trPr>
        <w:tc>
          <w:tcPr>
            <w:tcW w:w="1206"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6.1</w:t>
            </w:r>
          </w:p>
        </w:tc>
        <w:tc>
          <w:tcPr>
            <w:tcW w:w="2145"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20（≥</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b w:val="0"/>
                <w:bCs w:val="0"/>
                <w:color w:val="000000" w:themeColor="text1"/>
                <w:sz w:val="24"/>
                <w:szCs w:val="24"/>
                <w:highlight w:val="none"/>
                <w14:textFill>
                  <w14:solidFill>
                    <w14:schemeClr w14:val="tx1"/>
                  </w14:solidFill>
                </w14:textFill>
              </w:rPr>
              <w:t>为达标）</w:t>
            </w:r>
          </w:p>
        </w:tc>
        <w:tc>
          <w:tcPr>
            <w:tcW w:w="1444"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91"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40" w:hRule="atLeast"/>
          <w:jc w:val="center"/>
        </w:trPr>
        <w:tc>
          <w:tcPr>
            <w:tcW w:w="1206"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6.2</w:t>
            </w:r>
          </w:p>
        </w:tc>
        <w:tc>
          <w:tcPr>
            <w:tcW w:w="2145"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15</w:t>
            </w:r>
          </w:p>
        </w:tc>
        <w:tc>
          <w:tcPr>
            <w:tcW w:w="1444"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91"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40" w:hRule="atLeast"/>
          <w:jc w:val="center"/>
        </w:trPr>
        <w:tc>
          <w:tcPr>
            <w:tcW w:w="1206"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6.3</w:t>
            </w:r>
          </w:p>
        </w:tc>
        <w:tc>
          <w:tcPr>
            <w:tcW w:w="2145"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15</w:t>
            </w:r>
          </w:p>
        </w:tc>
        <w:tc>
          <w:tcPr>
            <w:tcW w:w="1444"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4491"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40" w:hRule="atLeast"/>
          <w:jc w:val="center"/>
        </w:trPr>
        <w:tc>
          <w:tcPr>
            <w:tcW w:w="1206"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7.1</w:t>
            </w:r>
          </w:p>
        </w:tc>
        <w:tc>
          <w:tcPr>
            <w:tcW w:w="2145"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50（≥45为达标）</w:t>
            </w:r>
          </w:p>
        </w:tc>
        <w:tc>
          <w:tcPr>
            <w:tcW w:w="1444"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4491"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40" w:hRule="atLeast"/>
          <w:jc w:val="center"/>
        </w:trPr>
        <w:tc>
          <w:tcPr>
            <w:tcW w:w="1206"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合计</w:t>
            </w:r>
          </w:p>
        </w:tc>
        <w:tc>
          <w:tcPr>
            <w:tcW w:w="2145"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1000</w:t>
            </w:r>
          </w:p>
        </w:tc>
        <w:tc>
          <w:tcPr>
            <w:tcW w:w="1444"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91"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108" w:type="dxa"/>
            <w:bottom w:w="45" w:type="dxa"/>
            <w:right w:w="108" w:type="dxa"/>
          </w:tblCellMar>
        </w:tblPrEx>
        <w:trPr>
          <w:trHeight w:val="340" w:hRule="atLeast"/>
          <w:jc w:val="center"/>
        </w:trPr>
        <w:tc>
          <w:tcPr>
            <w:tcW w:w="1206"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加分</w:t>
            </w:r>
          </w:p>
        </w:tc>
        <w:tc>
          <w:tcPr>
            <w:tcW w:w="2145"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20</w:t>
            </w:r>
          </w:p>
        </w:tc>
        <w:tc>
          <w:tcPr>
            <w:tcW w:w="1444" w:type="dxa"/>
            <w:vAlign w:val="center"/>
          </w:tcPr>
          <w:p>
            <w:pPr>
              <w:adjustRightInd/>
              <w:snapToGrid/>
              <w:spacing w:line="240" w:lineRule="auto"/>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491" w:type="dxa"/>
            <w:vAlign w:val="center"/>
          </w:tcPr>
          <w:p>
            <w:pPr>
              <w:autoSpaceDE w:val="0"/>
              <w:autoSpaceDN w:val="0"/>
              <w:adjustRightInd/>
              <w:snapToGrid/>
              <w:spacing w:line="240" w:lineRule="atLeast"/>
              <w:ind w:firstLine="0"/>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r>
    </w:tbl>
    <w:p>
      <w:pPr>
        <w:spacing w:line="300" w:lineRule="exact"/>
        <w:ind w:firstLine="0"/>
        <w:jc w:val="left"/>
        <w:rPr>
          <w:rFonts w:hint="eastAsia" w:ascii="仿宋" w:hAnsi="仿宋" w:eastAsia="仿宋" w:cs="仿宋"/>
          <w:b w:val="0"/>
          <w:bCs w:val="0"/>
          <w:color w:val="000000" w:themeColor="text1"/>
          <w:sz w:val="21"/>
          <w:szCs w:val="21"/>
          <w:highlight w:val="none"/>
          <w:u w:val="none"/>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00" w:lineRule="exact"/>
        <w:ind w:firstLine="0"/>
        <w:jc w:val="left"/>
        <w:textAlignment w:val="auto"/>
        <w:rPr>
          <w:rFonts w:hint="eastAsia" w:ascii="楷体_GB2312" w:hAnsi="楷体_GB2312" w:eastAsia="楷体_GB2312" w:cs="楷体_GB2312"/>
          <w:b w:val="0"/>
          <w:bCs w:val="0"/>
          <w:color w:val="000000" w:themeColor="text1"/>
          <w:sz w:val="24"/>
          <w:szCs w:val="24"/>
          <w:highlight w:val="none"/>
          <w:u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24"/>
          <w:szCs w:val="24"/>
          <w:highlight w:val="none"/>
          <w:u w:val="none"/>
          <w14:textFill>
            <w14:solidFill>
              <w14:schemeClr w14:val="tx1"/>
            </w14:solidFill>
          </w14:textFill>
        </w:rPr>
        <w:t>注：1.标注★的指标为重点指标，</w:t>
      </w:r>
      <w:r>
        <w:rPr>
          <w:rFonts w:hint="eastAsia" w:ascii="楷体_GB2312" w:hAnsi="楷体_GB2312" w:eastAsia="楷体_GB2312" w:cs="楷体_GB2312"/>
          <w:b w:val="0"/>
          <w:bCs w:val="0"/>
          <w:color w:val="000000" w:themeColor="text1"/>
          <w:sz w:val="24"/>
          <w:szCs w:val="24"/>
          <w:highlight w:val="none"/>
          <w:u w:val="none"/>
          <w:lang w:val="en-US" w:eastAsia="zh-CN"/>
          <w14:textFill>
            <w14:solidFill>
              <w14:schemeClr w14:val="tx1"/>
            </w14:solidFill>
          </w14:textFill>
        </w:rPr>
        <w:t>该指标</w:t>
      </w:r>
      <w:r>
        <w:rPr>
          <w:rFonts w:hint="eastAsia" w:ascii="楷体_GB2312" w:hAnsi="楷体_GB2312" w:eastAsia="楷体_GB2312" w:cs="楷体_GB2312"/>
          <w:b w:val="0"/>
          <w:bCs w:val="0"/>
          <w:color w:val="000000" w:themeColor="text1"/>
          <w:sz w:val="24"/>
          <w:szCs w:val="24"/>
          <w:highlight w:val="none"/>
          <w:u w:val="none"/>
          <w14:textFill>
            <w14:solidFill>
              <w14:schemeClr w14:val="tx1"/>
            </w14:solidFill>
          </w14:textFill>
        </w:rPr>
        <w:t>必须达到</w:t>
      </w:r>
      <w:r>
        <w:rPr>
          <w:rFonts w:hint="eastAsia" w:ascii="楷体_GB2312" w:hAnsi="楷体_GB2312" w:eastAsia="楷体_GB2312" w:cs="楷体_GB2312"/>
          <w:b w:val="0"/>
          <w:bCs w:val="0"/>
          <w:color w:val="000000" w:themeColor="text1"/>
          <w:sz w:val="24"/>
          <w:szCs w:val="24"/>
          <w:highlight w:val="none"/>
          <w:u w:val="none"/>
          <w:lang w:val="en-US" w:eastAsia="zh-CN"/>
          <w14:textFill>
            <w14:solidFill>
              <w14:schemeClr w14:val="tx1"/>
            </w14:solidFill>
          </w14:textFill>
        </w:rPr>
        <w:t>90</w:t>
      </w:r>
      <w:r>
        <w:rPr>
          <w:rFonts w:hint="eastAsia" w:ascii="楷体_GB2312" w:hAnsi="楷体_GB2312" w:eastAsia="楷体_GB2312" w:cs="楷体_GB2312"/>
          <w:b w:val="0"/>
          <w:bCs w:val="0"/>
          <w:color w:val="000000" w:themeColor="text1"/>
          <w:sz w:val="24"/>
          <w:szCs w:val="24"/>
          <w:highlight w:val="none"/>
          <w:u w:val="none"/>
          <w14:textFill>
            <w14:solidFill>
              <w14:schemeClr w14:val="tx1"/>
            </w14:solidFill>
          </w14:textFill>
        </w:rPr>
        <w:t>%及以上为合格。</w:t>
      </w:r>
    </w:p>
    <w:p>
      <w:pPr>
        <w:keepNext w:val="0"/>
        <w:keepLines w:val="0"/>
        <w:pageBreakBefore w:val="0"/>
        <w:widowControl w:val="0"/>
        <w:kinsoku/>
        <w:wordWrap/>
        <w:overflowPunct/>
        <w:topLinePunct w:val="0"/>
        <w:autoSpaceDE/>
        <w:autoSpaceDN/>
        <w:bidi w:val="0"/>
        <w:adjustRightInd w:val="0"/>
        <w:snapToGrid w:val="0"/>
        <w:spacing w:line="400" w:lineRule="exact"/>
        <w:ind w:firstLine="0"/>
        <w:jc w:val="left"/>
        <w:textAlignment w:val="auto"/>
        <w:outlineLvl w:val="0"/>
        <w:rPr>
          <w:rFonts w:hint="eastAsia" w:ascii="楷体_GB2312" w:hAnsi="楷体_GB2312" w:eastAsia="楷体_GB2312" w:cs="楷体_GB2312"/>
          <w:b w:val="0"/>
          <w:bCs w:val="0"/>
          <w:color w:val="000000" w:themeColor="text1"/>
          <w:sz w:val="24"/>
          <w:szCs w:val="24"/>
          <w:highlight w:val="none"/>
          <w:u w:val="none"/>
          <w14:textFill>
            <w14:solidFill>
              <w14:schemeClr w14:val="tx1"/>
            </w14:solidFill>
          </w14:textFill>
        </w:rPr>
      </w:pPr>
      <w:r>
        <w:rPr>
          <w:rFonts w:hint="eastAsia" w:ascii="楷体_GB2312" w:hAnsi="楷体_GB2312" w:eastAsia="楷体_GB2312" w:cs="楷体_GB2312"/>
          <w:b w:val="0"/>
          <w:bCs w:val="0"/>
          <w:color w:val="000000" w:themeColor="text1"/>
          <w:sz w:val="24"/>
          <w:szCs w:val="24"/>
          <w:highlight w:val="none"/>
          <w:u w:val="none"/>
          <w14:textFill>
            <w14:solidFill>
              <w14:schemeClr w14:val="tx1"/>
            </w14:solidFill>
          </w14:textFill>
        </w:rPr>
        <w:t>2.判定标准：</w:t>
      </w:r>
    </w:p>
    <w:p>
      <w:pPr>
        <w:keepNext w:val="0"/>
        <w:keepLines w:val="0"/>
        <w:pageBreakBefore w:val="0"/>
        <w:widowControl w:val="0"/>
        <w:kinsoku/>
        <w:wordWrap/>
        <w:overflowPunct/>
        <w:topLinePunct w:val="0"/>
        <w:autoSpaceDE/>
        <w:autoSpaceDN/>
        <w:bidi w:val="0"/>
        <w:adjustRightInd w:val="0"/>
        <w:snapToGrid w:val="0"/>
        <w:spacing w:line="400" w:lineRule="exact"/>
        <w:ind w:firstLine="0"/>
        <w:jc w:val="left"/>
        <w:textAlignment w:val="auto"/>
        <w:rPr>
          <w:rFonts w:hint="eastAsia" w:ascii="楷体_GB2312" w:hAnsi="楷体_GB2312" w:eastAsia="楷体_GB2312" w:cs="楷体_GB2312"/>
          <w:b w:val="0"/>
          <w:bCs w:val="0"/>
          <w:color w:val="000000" w:themeColor="text1"/>
          <w:sz w:val="24"/>
          <w:szCs w:val="24"/>
          <w:highlight w:val="none"/>
          <w:u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24"/>
          <w:szCs w:val="24"/>
          <w:highlight w:val="none"/>
          <w:u w:val="none"/>
          <w14:textFill>
            <w14:solidFill>
              <w14:schemeClr w14:val="tx1"/>
            </w14:solidFill>
          </w14:textFill>
        </w:rPr>
        <w:t>总分为1000分</w:t>
      </w:r>
      <w:r>
        <w:rPr>
          <w:rFonts w:hint="eastAsia" w:ascii="楷体_GB2312" w:hAnsi="楷体_GB2312" w:eastAsia="楷体_GB2312" w:cs="楷体_GB2312"/>
          <w:b w:val="0"/>
          <w:bCs w:val="0"/>
          <w:color w:val="000000" w:themeColor="text1"/>
          <w:sz w:val="24"/>
          <w:szCs w:val="24"/>
          <w:highlight w:val="none"/>
          <w:u w:val="none"/>
          <w:lang w:val="en-US" w:eastAsia="zh-CN"/>
          <w14:textFill>
            <w14:solidFill>
              <w14:schemeClr w14:val="tx1"/>
            </w14:solidFill>
          </w14:textFill>
        </w:rPr>
        <w:t>+20分，其中重点</w:t>
      </w:r>
      <w:r>
        <w:rPr>
          <w:rFonts w:hint="eastAsia" w:ascii="楷体_GB2312" w:hAnsi="楷体_GB2312" w:eastAsia="楷体_GB2312" w:cs="楷体_GB2312"/>
          <w:b w:val="0"/>
          <w:bCs w:val="0"/>
          <w:color w:val="000000" w:themeColor="text1"/>
          <w:sz w:val="24"/>
          <w:szCs w:val="24"/>
          <w:highlight w:val="none"/>
          <w:u w:val="none"/>
          <w14:textFill>
            <w14:solidFill>
              <w14:schemeClr w14:val="tx1"/>
            </w14:solidFill>
          </w14:textFill>
        </w:rPr>
        <w:t>指标</w:t>
      </w:r>
      <w:r>
        <w:rPr>
          <w:rFonts w:hint="eastAsia" w:ascii="楷体_GB2312" w:hAnsi="楷体_GB2312" w:eastAsia="楷体_GB2312" w:cs="楷体_GB2312"/>
          <w:b w:val="0"/>
          <w:bCs w:val="0"/>
          <w:color w:val="000000" w:themeColor="text1"/>
          <w:sz w:val="24"/>
          <w:szCs w:val="24"/>
          <w:highlight w:val="none"/>
          <w:u w:val="none"/>
          <w:lang w:val="en-US" w:eastAsia="zh-CN"/>
          <w14:textFill>
            <w14:solidFill>
              <w14:schemeClr w14:val="tx1"/>
            </w14:solidFill>
          </w14:textFill>
        </w:rPr>
        <w:t>440分，</w:t>
      </w:r>
      <w:r>
        <w:rPr>
          <w:rFonts w:hint="eastAsia" w:ascii="楷体_GB2312" w:hAnsi="楷体_GB2312" w:eastAsia="楷体_GB2312" w:cs="楷体_GB2312"/>
          <w:b w:val="0"/>
          <w:bCs w:val="0"/>
          <w:color w:val="000000" w:themeColor="text1"/>
          <w:sz w:val="24"/>
          <w:szCs w:val="24"/>
          <w:highlight w:val="none"/>
          <w:u w:val="none"/>
          <w14:textFill>
            <w14:solidFill>
              <w14:schemeClr w14:val="tx1"/>
            </w14:solidFill>
          </w14:textFill>
        </w:rPr>
        <w:t>其他指标</w:t>
      </w:r>
      <w:r>
        <w:rPr>
          <w:rFonts w:hint="eastAsia" w:ascii="楷体_GB2312" w:hAnsi="楷体_GB2312" w:eastAsia="楷体_GB2312" w:cs="楷体_GB2312"/>
          <w:b w:val="0"/>
          <w:bCs w:val="0"/>
          <w:color w:val="000000" w:themeColor="text1"/>
          <w:sz w:val="24"/>
          <w:szCs w:val="24"/>
          <w:highlight w:val="none"/>
          <w:u w:val="none"/>
          <w:lang w:val="en-US" w:eastAsia="zh-CN"/>
          <w14:textFill>
            <w14:solidFill>
              <w14:schemeClr w14:val="tx1"/>
            </w14:solidFill>
          </w14:textFill>
        </w:rPr>
        <w:t>560</w:t>
      </w:r>
      <w:r>
        <w:rPr>
          <w:rFonts w:hint="eastAsia" w:ascii="楷体_GB2312" w:hAnsi="楷体_GB2312" w:eastAsia="楷体_GB2312" w:cs="楷体_GB2312"/>
          <w:b w:val="0"/>
          <w:bCs w:val="0"/>
          <w:color w:val="000000" w:themeColor="text1"/>
          <w:sz w:val="24"/>
          <w:szCs w:val="24"/>
          <w:highlight w:val="none"/>
          <w:u w:val="none"/>
          <w14:textFill>
            <w14:solidFill>
              <w14:schemeClr w14:val="tx1"/>
            </w14:solidFill>
          </w14:textFill>
        </w:rPr>
        <w:t>分</w:t>
      </w:r>
      <w:r>
        <w:rPr>
          <w:rFonts w:hint="eastAsia" w:ascii="楷体_GB2312" w:hAnsi="楷体_GB2312" w:eastAsia="楷体_GB2312" w:cs="楷体_GB2312"/>
          <w:b w:val="0"/>
          <w:bCs w:val="0"/>
          <w:color w:val="000000" w:themeColor="text1"/>
          <w:sz w:val="24"/>
          <w:szCs w:val="24"/>
          <w:highlight w:val="none"/>
          <w:u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24"/>
          <w:szCs w:val="24"/>
          <w:highlight w:val="none"/>
          <w:u w:val="none"/>
          <w:lang w:val="en-US" w:eastAsia="zh-CN"/>
          <w14:textFill>
            <w14:solidFill>
              <w14:schemeClr w14:val="tx1"/>
            </w14:solidFill>
          </w14:textFill>
        </w:rPr>
        <w:t>加分项20分。</w:t>
      </w:r>
    </w:p>
    <w:p>
      <w:pPr>
        <w:keepNext w:val="0"/>
        <w:keepLines w:val="0"/>
        <w:pageBreakBefore w:val="0"/>
        <w:widowControl w:val="0"/>
        <w:kinsoku/>
        <w:wordWrap/>
        <w:overflowPunct/>
        <w:topLinePunct w:val="0"/>
        <w:autoSpaceDE/>
        <w:autoSpaceDN/>
        <w:bidi w:val="0"/>
        <w:adjustRightInd w:val="0"/>
        <w:snapToGrid w:val="0"/>
        <w:spacing w:line="400" w:lineRule="exact"/>
        <w:ind w:firstLine="0"/>
        <w:jc w:val="left"/>
        <w:textAlignment w:val="auto"/>
        <w:rPr>
          <w:rFonts w:hint="eastAsia" w:ascii="楷体_GB2312" w:hAnsi="楷体_GB2312" w:eastAsia="楷体_GB2312" w:cs="楷体_GB2312"/>
          <w:b w:val="0"/>
          <w:bCs w:val="0"/>
          <w:color w:val="000000" w:themeColor="text1"/>
          <w:sz w:val="24"/>
          <w:szCs w:val="24"/>
          <w:highlight w:val="none"/>
          <w:u w:val="none"/>
          <w14:textFill>
            <w14:solidFill>
              <w14:schemeClr w14:val="tx1"/>
            </w14:solidFill>
          </w14:textFill>
        </w:rPr>
      </w:pPr>
      <w:r>
        <w:rPr>
          <w:rFonts w:hint="eastAsia" w:ascii="楷体_GB2312" w:hAnsi="楷体_GB2312" w:eastAsia="楷体_GB2312" w:cs="楷体_GB2312"/>
          <w:b w:val="0"/>
          <w:bCs w:val="0"/>
          <w:color w:val="000000" w:themeColor="text1"/>
          <w:sz w:val="24"/>
          <w:szCs w:val="24"/>
          <w:highlight w:val="none"/>
          <w:u w:val="none"/>
          <w14:textFill>
            <w14:solidFill>
              <w14:schemeClr w14:val="tx1"/>
            </w14:solidFill>
          </w14:textFill>
        </w:rPr>
        <w:t>得分≥8</w:t>
      </w:r>
      <w:r>
        <w:rPr>
          <w:rFonts w:hint="eastAsia" w:ascii="楷体_GB2312" w:hAnsi="楷体_GB2312" w:eastAsia="楷体_GB2312" w:cs="楷体_GB2312"/>
          <w:b w:val="0"/>
          <w:bCs w:val="0"/>
          <w:color w:val="000000" w:themeColor="text1"/>
          <w:sz w:val="24"/>
          <w:szCs w:val="24"/>
          <w:highlight w:val="none"/>
          <w:u w:val="none"/>
          <w:lang w:val="en-US" w:eastAsia="zh-CN"/>
          <w14:textFill>
            <w14:solidFill>
              <w14:schemeClr w14:val="tx1"/>
            </w14:solidFill>
          </w14:textFill>
        </w:rPr>
        <w:t>7</w:t>
      </w:r>
      <w:r>
        <w:rPr>
          <w:rFonts w:hint="eastAsia" w:ascii="楷体_GB2312" w:hAnsi="楷体_GB2312" w:eastAsia="楷体_GB2312" w:cs="楷体_GB2312"/>
          <w:b w:val="0"/>
          <w:bCs w:val="0"/>
          <w:color w:val="000000" w:themeColor="text1"/>
          <w:sz w:val="24"/>
          <w:szCs w:val="24"/>
          <w:highlight w:val="none"/>
          <w:u w:val="none"/>
          <w14:textFill>
            <w14:solidFill>
              <w14:schemeClr w14:val="tx1"/>
            </w14:solidFill>
          </w14:textFill>
        </w:rPr>
        <w:t>0分，且重点指标全部达标的，为合格；</w:t>
      </w:r>
    </w:p>
    <w:p>
      <w:pPr>
        <w:keepNext w:val="0"/>
        <w:keepLines w:val="0"/>
        <w:pageBreakBefore w:val="0"/>
        <w:widowControl w:val="0"/>
        <w:kinsoku/>
        <w:wordWrap/>
        <w:overflowPunct/>
        <w:topLinePunct w:val="0"/>
        <w:autoSpaceDE/>
        <w:autoSpaceDN/>
        <w:bidi w:val="0"/>
        <w:adjustRightInd w:val="0"/>
        <w:snapToGrid w:val="0"/>
        <w:spacing w:line="400" w:lineRule="exact"/>
        <w:ind w:firstLine="0"/>
        <w:jc w:val="left"/>
        <w:textAlignment w:val="auto"/>
        <w:rPr>
          <w:rFonts w:hint="eastAsia" w:ascii="楷体_GB2312" w:hAnsi="楷体_GB2312" w:eastAsia="楷体_GB2312" w:cs="楷体_GB2312"/>
          <w:b w:val="0"/>
          <w:bCs w:val="0"/>
          <w:color w:val="000000" w:themeColor="text1"/>
          <w:sz w:val="24"/>
          <w:szCs w:val="24"/>
          <w:highlight w:val="none"/>
          <w:u w:val="none"/>
          <w14:textFill>
            <w14:solidFill>
              <w14:schemeClr w14:val="tx1"/>
            </w14:solidFill>
          </w14:textFill>
        </w:rPr>
      </w:pPr>
      <w:r>
        <w:rPr>
          <w:rFonts w:hint="eastAsia" w:ascii="楷体_GB2312" w:hAnsi="楷体_GB2312" w:eastAsia="楷体_GB2312" w:cs="楷体_GB2312"/>
          <w:b w:val="0"/>
          <w:bCs w:val="0"/>
          <w:color w:val="000000" w:themeColor="text1"/>
          <w:sz w:val="24"/>
          <w:szCs w:val="24"/>
          <w:highlight w:val="none"/>
          <w:u w:val="none"/>
          <w:lang w:val="en-US" w:eastAsia="zh-CN"/>
          <w14:textFill>
            <w14:solidFill>
              <w14:schemeClr w14:val="tx1"/>
            </w14:solidFill>
          </w14:textFill>
        </w:rPr>
        <w:t>820分≦得分＜870分</w:t>
      </w:r>
      <w:r>
        <w:rPr>
          <w:rFonts w:hint="eastAsia" w:ascii="楷体_GB2312" w:hAnsi="楷体_GB2312" w:eastAsia="楷体_GB2312" w:cs="楷体_GB2312"/>
          <w:b w:val="0"/>
          <w:bCs w:val="0"/>
          <w:color w:val="000000" w:themeColor="text1"/>
          <w:sz w:val="24"/>
          <w:szCs w:val="24"/>
          <w:highlight w:val="none"/>
          <w:u w:val="none"/>
          <w14:textFill>
            <w14:solidFill>
              <w14:schemeClr w14:val="tx1"/>
            </w14:solidFill>
          </w14:textFill>
        </w:rPr>
        <w:t>，且重点指标全部达标的，为整改后复查；</w:t>
      </w:r>
    </w:p>
    <w:p>
      <w:pPr>
        <w:keepNext w:val="0"/>
        <w:keepLines w:val="0"/>
        <w:pageBreakBefore w:val="0"/>
        <w:widowControl w:val="0"/>
        <w:kinsoku/>
        <w:wordWrap/>
        <w:overflowPunct/>
        <w:topLinePunct w:val="0"/>
        <w:autoSpaceDE/>
        <w:autoSpaceDN/>
        <w:bidi w:val="0"/>
        <w:adjustRightInd w:val="0"/>
        <w:snapToGrid w:val="0"/>
        <w:spacing w:line="400" w:lineRule="exact"/>
        <w:ind w:firstLine="0"/>
        <w:jc w:val="left"/>
        <w:textAlignment w:val="auto"/>
        <w:rPr>
          <w:rFonts w:hint="eastAsia" w:ascii="楷体_GB2312" w:hAnsi="楷体_GB2312" w:eastAsia="楷体_GB2312" w:cs="楷体_GB2312"/>
          <w:b w:val="0"/>
          <w:bCs w:val="0"/>
          <w:color w:val="000000" w:themeColor="text1"/>
          <w:sz w:val="24"/>
          <w:szCs w:val="24"/>
          <w:highlight w:val="none"/>
          <w:u w:val="none"/>
          <w14:textFill>
            <w14:solidFill>
              <w14:schemeClr w14:val="tx1"/>
            </w14:solidFill>
          </w14:textFill>
        </w:rPr>
      </w:pPr>
      <w:r>
        <w:rPr>
          <w:rFonts w:hint="eastAsia" w:ascii="楷体_GB2312" w:hAnsi="楷体_GB2312" w:eastAsia="楷体_GB2312" w:cs="楷体_GB2312"/>
          <w:b w:val="0"/>
          <w:bCs w:val="0"/>
          <w:color w:val="000000" w:themeColor="text1"/>
          <w:sz w:val="24"/>
          <w:szCs w:val="24"/>
          <w:highlight w:val="none"/>
          <w:u w:val="none"/>
          <w14:textFill>
            <w14:solidFill>
              <w14:schemeClr w14:val="tx1"/>
            </w14:solidFill>
          </w14:textFill>
        </w:rPr>
        <w:t>得分＜8</w:t>
      </w:r>
      <w:r>
        <w:rPr>
          <w:rFonts w:hint="eastAsia" w:ascii="楷体_GB2312" w:hAnsi="楷体_GB2312" w:eastAsia="楷体_GB2312" w:cs="楷体_GB2312"/>
          <w:b w:val="0"/>
          <w:bCs w:val="0"/>
          <w:color w:val="000000" w:themeColor="text1"/>
          <w:sz w:val="24"/>
          <w:szCs w:val="24"/>
          <w:highlight w:val="none"/>
          <w:u w:val="none"/>
          <w:lang w:val="en-US" w:eastAsia="zh-CN"/>
          <w14:textFill>
            <w14:solidFill>
              <w14:schemeClr w14:val="tx1"/>
            </w14:solidFill>
          </w14:textFill>
        </w:rPr>
        <w:t>2</w:t>
      </w:r>
      <w:r>
        <w:rPr>
          <w:rFonts w:hint="eastAsia" w:ascii="楷体_GB2312" w:hAnsi="楷体_GB2312" w:eastAsia="楷体_GB2312" w:cs="楷体_GB2312"/>
          <w:b w:val="0"/>
          <w:bCs w:val="0"/>
          <w:color w:val="000000" w:themeColor="text1"/>
          <w:sz w:val="24"/>
          <w:szCs w:val="24"/>
          <w:highlight w:val="none"/>
          <w:u w:val="none"/>
          <w14:textFill>
            <w14:solidFill>
              <w14:schemeClr w14:val="tx1"/>
            </w14:solidFill>
          </w14:textFill>
        </w:rPr>
        <w:t>0分，或1项及以上重点指标未达标的</w:t>
      </w:r>
      <w:r>
        <w:rPr>
          <w:rFonts w:hint="eastAsia" w:ascii="楷体_GB2312" w:hAnsi="楷体_GB2312" w:eastAsia="楷体_GB2312" w:cs="楷体_GB2312"/>
          <w:b w:val="0"/>
          <w:bCs w:val="0"/>
          <w:color w:val="000000" w:themeColor="text1"/>
          <w:sz w:val="24"/>
          <w:szCs w:val="24"/>
          <w:highlight w:val="none"/>
          <w:u w:val="none"/>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24"/>
          <w:szCs w:val="24"/>
          <w:highlight w:val="none"/>
          <w:u w:val="none"/>
          <w14:textFill>
            <w14:solidFill>
              <w14:schemeClr w14:val="tx1"/>
            </w14:solidFill>
          </w14:textFill>
        </w:rPr>
        <w:t>为不合格。</w:t>
      </w:r>
    </w:p>
    <w:p>
      <w:pPr>
        <w:keepNext w:val="0"/>
        <w:keepLines w:val="0"/>
        <w:pageBreakBefore w:val="0"/>
        <w:widowControl w:val="0"/>
        <w:kinsoku/>
        <w:wordWrap/>
        <w:overflowPunct/>
        <w:topLinePunct w:val="0"/>
        <w:autoSpaceDE/>
        <w:autoSpaceDN/>
        <w:bidi w:val="0"/>
        <w:adjustRightInd w:val="0"/>
        <w:snapToGrid w:val="0"/>
        <w:spacing w:line="400" w:lineRule="exact"/>
        <w:ind w:firstLine="0"/>
        <w:jc w:val="left"/>
        <w:textAlignment w:val="auto"/>
        <w:rPr>
          <w:rFonts w:hint="eastAsia" w:ascii="楷体_GB2312" w:hAnsi="楷体_GB2312" w:eastAsia="楷体_GB2312" w:cs="楷体_GB2312"/>
          <w:b w:val="0"/>
          <w:bCs w:val="0"/>
          <w:color w:val="000000" w:themeColor="text1"/>
          <w:sz w:val="24"/>
          <w:szCs w:val="24"/>
          <w:highlight w:val="none"/>
          <w:u w:val="none"/>
          <w14:textFill>
            <w14:solidFill>
              <w14:schemeClr w14:val="tx1"/>
            </w14:solidFill>
          </w14:textFill>
        </w:rPr>
      </w:pPr>
      <w:r>
        <w:rPr>
          <w:rFonts w:hint="eastAsia" w:ascii="楷体_GB2312" w:hAnsi="楷体_GB2312" w:eastAsia="楷体_GB2312" w:cs="楷体_GB2312"/>
          <w:b w:val="0"/>
          <w:bCs w:val="0"/>
          <w:color w:val="000000" w:themeColor="text1"/>
          <w:sz w:val="24"/>
          <w:szCs w:val="24"/>
          <w:highlight w:val="none"/>
          <w:u w:val="none"/>
          <w14:textFill>
            <w14:solidFill>
              <w14:schemeClr w14:val="tx1"/>
            </w14:solidFill>
          </w14:textFill>
        </w:rPr>
        <w:t>加分项，由专家根据实际情况酌情加分。加分累计到总分，</w:t>
      </w:r>
      <w:r>
        <w:rPr>
          <w:rFonts w:hint="eastAsia" w:ascii="楷体_GB2312" w:hAnsi="楷体_GB2312" w:eastAsia="楷体_GB2312" w:cs="楷体_GB2312"/>
          <w:b w:val="0"/>
          <w:bCs w:val="0"/>
          <w:color w:val="000000" w:themeColor="text1"/>
          <w:sz w:val="24"/>
          <w:szCs w:val="24"/>
          <w:highlight w:val="none"/>
          <w:u w:val="none"/>
          <w:lang w:val="en-US" w:eastAsia="zh-CN"/>
          <w14:textFill>
            <w14:solidFill>
              <w14:schemeClr w14:val="tx1"/>
            </w14:solidFill>
          </w14:textFill>
        </w:rPr>
        <w:t>但是重点指标不达标仍为不合格。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left"/>
        <w:textAlignment w:val="auto"/>
        <w:outlineLvl w:val="0"/>
        <w:rPr>
          <w:rFonts w:hint="eastAsia" w:ascii="楷体_GB2312" w:hAnsi="楷体_GB2312" w:eastAsia="楷体_GB2312" w:cs="楷体_GB2312"/>
          <w:color w:val="000000" w:themeColor="text1"/>
          <w:sz w:val="24"/>
          <w:szCs w:val="24"/>
          <w:highlight w:val="none"/>
          <w14:textFill>
            <w14:solidFill>
              <w14:schemeClr w14:val="tx1"/>
            </w14:solidFill>
          </w14:textFill>
        </w:rPr>
      </w:pPr>
      <w:r>
        <w:rPr>
          <w:rFonts w:hint="eastAsia" w:ascii="楷体_GB2312" w:hAnsi="楷体_GB2312" w:eastAsia="楷体_GB2312" w:cs="楷体_GB2312"/>
          <w:b w:val="0"/>
          <w:bCs w:val="0"/>
          <w:color w:val="000000" w:themeColor="text1"/>
          <w:sz w:val="24"/>
          <w:szCs w:val="24"/>
          <w:highlight w:val="none"/>
          <w:u w:val="none"/>
          <w:lang w:val="en-US" w:eastAsia="zh-CN"/>
          <w14:textFill>
            <w14:solidFill>
              <w14:schemeClr w14:val="tx1"/>
            </w14:solidFill>
          </w14:textFill>
        </w:rPr>
        <w:t>3.</w:t>
      </w:r>
      <w:r>
        <w:rPr>
          <w:rFonts w:hint="eastAsia" w:ascii="楷体_GB2312" w:hAnsi="楷体_GB2312" w:eastAsia="楷体_GB2312" w:cs="楷体_GB2312"/>
          <w:b w:val="0"/>
          <w:bCs w:val="0"/>
          <w:color w:val="000000" w:themeColor="text1"/>
          <w:sz w:val="24"/>
          <w:szCs w:val="24"/>
          <w:highlight w:val="none"/>
          <w:u w:val="none"/>
          <w14:textFill>
            <w14:solidFill>
              <w14:schemeClr w14:val="tx1"/>
            </w14:solidFill>
          </w14:textFill>
        </w:rPr>
        <w:t>除特别说明外，所用数据均为上一年度数据。</w:t>
      </w:r>
    </w:p>
    <w:p>
      <w:pPr>
        <w:keepNext w:val="0"/>
        <w:keepLines w:val="0"/>
        <w:pageBreakBefore w:val="0"/>
        <w:widowControl w:val="0"/>
        <w:kinsoku/>
        <w:wordWrap/>
        <w:overflowPunct/>
        <w:topLinePunct w:val="0"/>
        <w:autoSpaceDE/>
        <w:autoSpaceDN/>
        <w:bidi w:val="0"/>
        <w:adjustRightInd w:val="0"/>
        <w:snapToGrid w:val="0"/>
        <w:spacing w:line="400" w:lineRule="exact"/>
        <w:ind w:firstLine="0"/>
        <w:jc w:val="left"/>
        <w:textAlignment w:val="auto"/>
        <w:rPr>
          <w:rFonts w:hint="eastAsia" w:ascii="楷体_GB2312" w:hAnsi="楷体_GB2312" w:eastAsia="楷体_GB2312" w:cs="楷体_GB2312"/>
          <w:b w:val="0"/>
          <w:bCs w:val="0"/>
          <w:color w:val="000000" w:themeColor="text1"/>
          <w:sz w:val="24"/>
          <w:szCs w:val="24"/>
          <w:highlight w:val="none"/>
          <w:u w:val="none"/>
          <w14:textFill>
            <w14:solidFill>
              <w14:schemeClr w14:val="tx1"/>
            </w14:solidFill>
          </w14:textFill>
        </w:rPr>
      </w:pPr>
      <w:r>
        <w:rPr>
          <w:rFonts w:hint="eastAsia" w:ascii="楷体_GB2312" w:hAnsi="楷体_GB2312" w:eastAsia="楷体_GB2312" w:cs="楷体_GB2312"/>
          <w:b w:val="0"/>
          <w:bCs w:val="0"/>
          <w:color w:val="000000" w:themeColor="text1"/>
          <w:sz w:val="24"/>
          <w:szCs w:val="24"/>
          <w:highlight w:val="none"/>
          <w:u w:val="none"/>
          <w:lang w:val="zh-CN"/>
          <w14:textFill>
            <w14:solidFill>
              <w14:schemeClr w14:val="tx1"/>
            </w14:solidFill>
          </w14:textFill>
        </w:rPr>
        <w:t xml:space="preserve">专家组组长签名：            </w:t>
      </w:r>
      <w:r>
        <w:rPr>
          <w:rFonts w:hint="eastAsia" w:ascii="楷体_GB2312" w:hAnsi="楷体_GB2312" w:eastAsia="楷体_GB2312" w:cs="楷体_GB2312"/>
          <w:b w:val="0"/>
          <w:bCs w:val="0"/>
          <w:color w:val="000000" w:themeColor="text1"/>
          <w:sz w:val="24"/>
          <w:szCs w:val="24"/>
          <w:highlight w:val="none"/>
          <w:u w:val="none"/>
          <w:lang w:val="en-US" w:eastAsia="zh-CN"/>
          <w14:textFill>
            <w14:solidFill>
              <w14:schemeClr w14:val="tx1"/>
            </w14:solidFill>
          </w14:textFill>
        </w:rPr>
        <w:t xml:space="preserve">     </w:t>
      </w:r>
      <w:r>
        <w:rPr>
          <w:rFonts w:hint="eastAsia" w:ascii="楷体_GB2312" w:hAnsi="楷体_GB2312" w:eastAsia="楷体_GB2312" w:cs="楷体_GB2312"/>
          <w:b w:val="0"/>
          <w:bCs w:val="0"/>
          <w:color w:val="000000" w:themeColor="text1"/>
          <w:sz w:val="24"/>
          <w:szCs w:val="24"/>
          <w:highlight w:val="none"/>
          <w:u w:val="none"/>
          <w14:textFill>
            <w14:solidFill>
              <w14:schemeClr w14:val="tx1"/>
            </w14:solidFill>
          </w14:textFill>
        </w:rPr>
        <w:t>检查时间：   年   月   日—   月   日</w:t>
      </w:r>
    </w:p>
    <w:p>
      <w:pPr>
        <w:pStyle w:val="3"/>
        <w:rPr>
          <w:rFonts w:hint="eastAsia" w:ascii="楷体_GB2312" w:hAnsi="楷体_GB2312" w:eastAsia="楷体_GB2312" w:cs="楷体_GB2312"/>
          <w:color w:val="000000" w:themeColor="text1"/>
          <w:sz w:val="24"/>
          <w:szCs w:val="24"/>
          <w:highlight w:val="none"/>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00" w:lineRule="exact"/>
        <w:ind w:firstLine="0"/>
        <w:jc w:val="left"/>
        <w:textAlignment w:val="auto"/>
        <w:rPr>
          <w:rFonts w:hint="eastAsia" w:ascii="楷体_GB2312" w:hAnsi="楷体_GB2312" w:eastAsia="楷体_GB2312" w:cs="楷体_GB2312"/>
          <w:color w:val="000000" w:themeColor="text1"/>
          <w:sz w:val="24"/>
          <w:szCs w:val="24"/>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24"/>
          <w:szCs w:val="24"/>
          <w:highlight w:val="none"/>
          <w:u w:val="none"/>
          <w:lang w:val="zh-CN"/>
          <w14:textFill>
            <w14:solidFill>
              <w14:schemeClr w14:val="tx1"/>
            </w14:solidFill>
          </w14:textFill>
        </w:rPr>
        <w:t xml:space="preserve">专家组成员签名：            </w:t>
      </w:r>
      <w:r>
        <w:rPr>
          <w:rFonts w:hint="eastAsia" w:ascii="楷体_GB2312" w:hAnsi="楷体_GB2312" w:eastAsia="楷体_GB2312" w:cs="楷体_GB2312"/>
          <w:b w:val="0"/>
          <w:bCs w:val="0"/>
          <w:color w:val="000000" w:themeColor="text1"/>
          <w:sz w:val="24"/>
          <w:szCs w:val="24"/>
          <w:highlight w:val="none"/>
          <w:u w:val="none"/>
          <w14:textFill>
            <w14:solidFill>
              <w14:schemeClr w14:val="tx1"/>
            </w14:solidFill>
          </w14:textFill>
        </w:rPr>
        <w:t xml:space="preserve">             </w:t>
      </w:r>
      <w:r>
        <w:rPr>
          <w:rFonts w:hint="eastAsia" w:ascii="楷体_GB2312" w:hAnsi="楷体_GB2312" w:eastAsia="楷体_GB2312" w:cs="楷体_GB2312"/>
          <w:b w:val="0"/>
          <w:bCs w:val="0"/>
          <w:color w:val="000000" w:themeColor="text1"/>
          <w:sz w:val="24"/>
          <w:szCs w:val="24"/>
          <w:highlight w:val="none"/>
          <w:u w:val="none"/>
          <w:lang w:val="en-US" w:eastAsia="zh-CN"/>
          <w14:textFill>
            <w14:solidFill>
              <w14:schemeClr w14:val="tx1"/>
            </w14:solidFill>
          </w14:textFill>
        </w:rPr>
        <w:t xml:space="preserve">    </w:t>
      </w:r>
      <w:r>
        <w:rPr>
          <w:rFonts w:hint="eastAsia" w:ascii="楷体_GB2312" w:hAnsi="楷体_GB2312" w:eastAsia="楷体_GB2312" w:cs="楷体_GB2312"/>
          <w:b w:val="0"/>
          <w:bCs w:val="0"/>
          <w:color w:val="000000" w:themeColor="text1"/>
          <w:sz w:val="24"/>
          <w:szCs w:val="24"/>
          <w:highlight w:val="none"/>
          <w:u w:val="none"/>
          <w14:textFill>
            <w14:solidFill>
              <w14:schemeClr w14:val="tx1"/>
            </w14:solidFill>
          </w14:textFill>
        </w:rPr>
        <w:t xml:space="preserve">填写时间：   年   月   日 </w:t>
      </w:r>
    </w:p>
    <w:sectPr>
      <w:pgSz w:w="11906" w:h="16838"/>
      <w:pgMar w:top="1757" w:right="1474" w:bottom="1304" w:left="1587"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30101010101"/>
    <w:charset w:val="86"/>
    <w:family w:val="roma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1" w:fontKey="{4A08C896-F357-4FD1-86FA-CB26105218E0}"/>
  </w:font>
  <w:font w:name="方正小标宋_GBK">
    <w:altName w:val="微软雅黑"/>
    <w:panose1 w:val="02000000000000000000"/>
    <w:charset w:val="86"/>
    <w:family w:val="script"/>
    <w:pitch w:val="default"/>
    <w:sig w:usb0="00000000" w:usb1="00000000" w:usb2="00000000" w:usb3="00000000" w:csb0="00040000" w:csb1="00000000"/>
    <w:embedRegular r:id="rId2" w:fontKey="{F015C29F-9916-4794-83FD-616A4D4F3E8A}"/>
  </w:font>
  <w:font w:name="仿宋_GB2312">
    <w:panose1 w:val="02010609030101010101"/>
    <w:charset w:val="86"/>
    <w:family w:val="auto"/>
    <w:pitch w:val="default"/>
    <w:sig w:usb0="00000001" w:usb1="080E0000" w:usb2="00000000" w:usb3="00000000" w:csb0="00040000" w:csb1="00000000"/>
    <w:embedRegular r:id="rId3" w:fontKey="{DACC96F3-F582-4870-8F66-5332F5B22562}"/>
  </w:font>
  <w:font w:name="楷体">
    <w:panose1 w:val="02010609060101010101"/>
    <w:charset w:val="86"/>
    <w:family w:val="auto"/>
    <w:pitch w:val="default"/>
    <w:sig w:usb0="800002BF" w:usb1="38CF7CFA" w:usb2="00000016" w:usb3="00000000" w:csb0="00040001" w:csb1="00000000"/>
    <w:embedRegular r:id="rId4" w:fontKey="{1FA6C4CF-2191-4FF9-B719-A84772BD8DD4}"/>
  </w:font>
  <w:font w:name="楷体_GB2312">
    <w:altName w:val="楷体"/>
    <w:panose1 w:val="02010609030101010101"/>
    <w:charset w:val="86"/>
    <w:family w:val="auto"/>
    <w:pitch w:val="default"/>
    <w:sig w:usb0="00000000" w:usb1="00000000" w:usb2="00000000" w:usb3="00000000" w:csb0="00040000" w:csb1="00000000"/>
    <w:embedRegular r:id="rId5" w:fontKey="{398F7E39-32FD-4D6F-9132-DC620B39DD2C}"/>
  </w:font>
  <w:font w:name="仿宋">
    <w:panose1 w:val="02010609060101010101"/>
    <w:charset w:val="86"/>
    <w:family w:val="auto"/>
    <w:pitch w:val="default"/>
    <w:sig w:usb0="800002BF" w:usb1="38CF7CFA" w:usb2="00000016" w:usb3="00000000" w:csb0="00040001" w:csb1="00000000"/>
    <w:embedRegular r:id="rId6" w:fontKey="{7726F71D-6729-47A3-B7E8-E3A7FCB4B6B5}"/>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0"/>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0ZDcxNjA4ZGQ3YTA5NzJiYTlmNjEzZTdjOTZhNjEifQ=="/>
  </w:docVars>
  <w:rsids>
    <w:rsidRoot w:val="786A0968"/>
    <w:rsid w:val="0725656E"/>
    <w:rsid w:val="0B415214"/>
    <w:rsid w:val="0F1D60BD"/>
    <w:rsid w:val="1169292A"/>
    <w:rsid w:val="13983E78"/>
    <w:rsid w:val="18D97066"/>
    <w:rsid w:val="1DA765E4"/>
    <w:rsid w:val="1E9C40AC"/>
    <w:rsid w:val="1EDBA3C2"/>
    <w:rsid w:val="21351B1D"/>
    <w:rsid w:val="23515122"/>
    <w:rsid w:val="2367223F"/>
    <w:rsid w:val="251308D5"/>
    <w:rsid w:val="277559DB"/>
    <w:rsid w:val="27AFAAC9"/>
    <w:rsid w:val="28BB6501"/>
    <w:rsid w:val="2AEF54A6"/>
    <w:rsid w:val="2F7F0A62"/>
    <w:rsid w:val="30FEE346"/>
    <w:rsid w:val="31C9302C"/>
    <w:rsid w:val="32F46F50"/>
    <w:rsid w:val="337FD60B"/>
    <w:rsid w:val="33FBA673"/>
    <w:rsid w:val="34C06223"/>
    <w:rsid w:val="367518ED"/>
    <w:rsid w:val="36D7B29F"/>
    <w:rsid w:val="378E583A"/>
    <w:rsid w:val="37EDFE00"/>
    <w:rsid w:val="3AFC114A"/>
    <w:rsid w:val="3B381919"/>
    <w:rsid w:val="3CFFC1B1"/>
    <w:rsid w:val="3D6BA00F"/>
    <w:rsid w:val="3DA92866"/>
    <w:rsid w:val="3E7ECD0B"/>
    <w:rsid w:val="3EEC6376"/>
    <w:rsid w:val="3F3F3E4E"/>
    <w:rsid w:val="3FFCB0D8"/>
    <w:rsid w:val="41FC1DEC"/>
    <w:rsid w:val="483902B1"/>
    <w:rsid w:val="4BE7149A"/>
    <w:rsid w:val="50E60F4D"/>
    <w:rsid w:val="55AC89DE"/>
    <w:rsid w:val="58640044"/>
    <w:rsid w:val="58816255"/>
    <w:rsid w:val="5966A204"/>
    <w:rsid w:val="59E62F53"/>
    <w:rsid w:val="5A673CB9"/>
    <w:rsid w:val="5A68510E"/>
    <w:rsid w:val="5D194A9D"/>
    <w:rsid w:val="5D923BF2"/>
    <w:rsid w:val="5DD904FD"/>
    <w:rsid w:val="5E7B4EFB"/>
    <w:rsid w:val="5EDBF23E"/>
    <w:rsid w:val="5F6F88AE"/>
    <w:rsid w:val="5FCD0671"/>
    <w:rsid w:val="5FEEEB8C"/>
    <w:rsid w:val="617033AA"/>
    <w:rsid w:val="63473BF7"/>
    <w:rsid w:val="65FF5D73"/>
    <w:rsid w:val="67804EC7"/>
    <w:rsid w:val="68B36055"/>
    <w:rsid w:val="6A9C2D58"/>
    <w:rsid w:val="6BDFCE86"/>
    <w:rsid w:val="6CFAD7B2"/>
    <w:rsid w:val="6D9B18F2"/>
    <w:rsid w:val="6DA30394"/>
    <w:rsid w:val="6DD59165"/>
    <w:rsid w:val="6DDFBFD8"/>
    <w:rsid w:val="6DF77D6A"/>
    <w:rsid w:val="72F37ACB"/>
    <w:rsid w:val="743DF59A"/>
    <w:rsid w:val="744B6B12"/>
    <w:rsid w:val="75BD382C"/>
    <w:rsid w:val="77BB023A"/>
    <w:rsid w:val="786A0968"/>
    <w:rsid w:val="7BFD4528"/>
    <w:rsid w:val="7DDB9917"/>
    <w:rsid w:val="7E590C44"/>
    <w:rsid w:val="7EBB6847"/>
    <w:rsid w:val="7EDFEC70"/>
    <w:rsid w:val="7FBFF015"/>
    <w:rsid w:val="7FF71FD2"/>
    <w:rsid w:val="7FFBD499"/>
    <w:rsid w:val="7FFE59BD"/>
    <w:rsid w:val="9FFD9F93"/>
    <w:rsid w:val="B3E754E6"/>
    <w:rsid w:val="B7BF0650"/>
    <w:rsid w:val="B9FBBADD"/>
    <w:rsid w:val="BF9D1EA1"/>
    <w:rsid w:val="C677CD50"/>
    <w:rsid w:val="DA643567"/>
    <w:rsid w:val="DDEE5D3F"/>
    <w:rsid w:val="DEE0D629"/>
    <w:rsid w:val="EB7D51DD"/>
    <w:rsid w:val="EDFB2D8B"/>
    <w:rsid w:val="EEF92BDC"/>
    <w:rsid w:val="EFDE4670"/>
    <w:rsid w:val="EFFB58B4"/>
    <w:rsid w:val="F529E663"/>
    <w:rsid w:val="F7D7AF18"/>
    <w:rsid w:val="FBFFD3B9"/>
    <w:rsid w:val="FD5FD886"/>
    <w:rsid w:val="FE9387D5"/>
    <w:rsid w:val="FFFD3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adjustRightInd/>
      <w:snapToGrid/>
      <w:spacing w:before="340" w:after="330" w:line="578" w:lineRule="auto"/>
      <w:ind w:firstLine="0"/>
      <w:outlineLvl w:val="0"/>
    </w:pPr>
    <w:rPr>
      <w:rFonts w:eastAsia="宋体"/>
      <w:b/>
      <w:bCs/>
      <w:kern w:val="44"/>
      <w:sz w:val="44"/>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line="240" w:lineRule="auto"/>
      <w:ind w:firstLine="420" w:firstLineChars="100"/>
    </w:pPr>
    <w:rPr>
      <w:rFonts w:eastAsia="FangSong_GB2312"/>
      <w:sz w:val="21"/>
    </w:rPr>
  </w:style>
  <w:style w:type="paragraph" w:styleId="3">
    <w:name w:val="Body Text"/>
    <w:basedOn w:val="1"/>
    <w:next w:val="1"/>
    <w:qFormat/>
    <w:uiPriority w:val="0"/>
    <w:pPr>
      <w:spacing w:after="120"/>
    </w:pPr>
    <w:rPr>
      <w:rFonts w:ascii="Times New Roman" w:hAnsi="Times New Roman" w:eastAsia="宋体" w:cs="Times New Roman"/>
    </w:rPr>
  </w:style>
  <w:style w:type="paragraph" w:styleId="5">
    <w:name w:val="Body Text Indent"/>
    <w:basedOn w:val="1"/>
    <w:qFormat/>
    <w:uiPriority w:val="0"/>
    <w:pPr>
      <w:spacing w:after="120"/>
      <w:ind w:left="420" w:leftChars="200"/>
    </w:pPr>
    <w:rPr>
      <w:rFonts w:ascii="Calibri" w:hAnsi="Calibri"/>
      <w:kern w:val="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character" w:styleId="13">
    <w:name w:val="Emphasis"/>
    <w:basedOn w:val="10"/>
    <w:qFormat/>
    <w:uiPriority w:val="0"/>
    <w:rPr>
      <w:i/>
    </w:rPr>
  </w:style>
  <w:style w:type="character" w:styleId="14">
    <w:name w:val="Hyperlink"/>
    <w:basedOn w:val="10"/>
    <w:qFormat/>
    <w:uiPriority w:val="0"/>
    <w:rPr>
      <w:color w:val="0000FF"/>
      <w:u w:val="single"/>
    </w:rPr>
  </w:style>
  <w:style w:type="paragraph" w:customStyle="1" w:styleId="15">
    <w:name w:val="Normal Indent"/>
    <w:basedOn w:val="1"/>
    <w:qFormat/>
    <w:uiPriority w:val="0"/>
    <w:pPr>
      <w:ind w:firstLine="420" w:firstLineChars="200"/>
    </w:pPr>
  </w:style>
  <w:style w:type="paragraph" w:customStyle="1" w:styleId="16">
    <w:name w:val="p0"/>
    <w:basedOn w:val="1"/>
    <w:qFormat/>
    <w:uiPriority w:val="0"/>
    <w:pPr>
      <w:widowControl/>
    </w:pPr>
    <w:rPr>
      <w:kern w:val="0"/>
      <w:szCs w:val="21"/>
    </w:rPr>
  </w:style>
  <w:style w:type="paragraph" w:customStyle="1" w:styleId="17">
    <w:name w:val="Normal Indent_a150929f-5e0c-4a23-8eec-0727c89fb301"/>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13405</Words>
  <Characters>14508</Characters>
  <Lines>0</Lines>
  <Paragraphs>0</Paragraphs>
  <TotalTime>0</TotalTime>
  <ScaleCrop>false</ScaleCrop>
  <LinksUpToDate>false</LinksUpToDate>
  <CharactersWithSpaces>14591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2023-02-10T15:42:00Z</dcterms:created>
  <dc:creator>摇啊摇</dc:creator>
  <cp:lastModifiedBy>马皮皮</cp:lastModifiedBy>
  <cp:lastPrinted>2023-03-27T01:38:00Z</cp:lastPrinted>
  <dcterms:modified xsi:type="dcterms:W3CDTF">2023-07-14T03:20:14Z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AFBAC1E332D74742BEB73402E9FAD431_13</vt:lpwstr>
  </property>
</Properties>
</file>