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南阳市在乡镇（街道）行使消防救援</w:t>
      </w:r>
    </w:p>
    <w:p>
      <w:pPr>
        <w:snapToGrid w:val="0"/>
        <w:spacing w:line="5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行政处罚权的适用范围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一、居民住宅小区、商业服务网点。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二、建筑面积在300平方米以下（不含300平方米）的七类场所：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（一）“多合一”场所；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（二）出租屋、群租房；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（三）商店、集贸市场、旅馆、饭店（含农家乐）、沿街门店；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（四）洗浴、足浴、茶社、美容美发、采耳、健身、汗蒸等营业性休闲场所；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（五）邮政、电商、物流（含快递收发点）、金融网点、医疗卫生机构；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（六）公共书屋、展示陈列等基层文化服务场所；</w:t>
      </w:r>
    </w:p>
    <w:p>
      <w:pPr>
        <w:spacing w:line="560" w:lineRule="exact"/>
        <w:ind w:firstLine="640" w:firstLineChars="200"/>
      </w:pPr>
      <w:r>
        <w:rPr>
          <w:rFonts w:ascii="Times New Roman" w:hAnsi="Times New Roman" w:eastAsia="仿宋_GB2312"/>
          <w:color w:val="000000"/>
          <w:sz w:val="32"/>
          <w:szCs w:val="32"/>
        </w:rPr>
        <w:t>（七）生产、加工、储存非易燃易爆品的工厂、作坊、仓库、堆场等场所。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TQxNzczN2ZlN2I0ZTBjOTRiMjAzYTQzNDJlZjMifQ=="/>
  </w:docVars>
  <w:rsids>
    <w:rsidRoot w:val="1B1E3F51"/>
    <w:rsid w:val="1B1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color w:val="FF0000"/>
      <w:sz w:val="144"/>
      <w:szCs w:val="144"/>
    </w:rPr>
  </w:style>
  <w:style w:type="paragraph" w:styleId="3">
    <w:name w:val="Body Text 2"/>
    <w:basedOn w:val="1"/>
    <w:qFormat/>
    <w:uiPriority w:val="0"/>
    <w:pPr>
      <w:spacing w:before="100" w:beforeAutospacing="1" w:after="120" w:line="480" w:lineRule="auto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2023-07-11T01:00:00Z</dcterms:created>
  <dc:creator>马皮皮</dc:creator>
  <cp:lastModifiedBy>马皮皮</cp:lastModifiedBy>
  <dcterms:modified xsi:type="dcterms:W3CDTF">2023-07-11T01:00:29Z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B7AA1199946B43B383BCCAE950A96759_11</vt:lpwstr>
  </property>
</Properties>
</file>