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z w:val="40"/>
          <w:szCs w:val="40"/>
          <w:shd w:val="clear" w:color="auto" w:fill="FFFFFF"/>
        </w:rPr>
      </w:pPr>
      <w:bookmarkStart w:id="0" w:name="_Toc12397"/>
      <w:bookmarkStart w:id="1" w:name="_Toc12541"/>
      <w:bookmarkStart w:id="2" w:name="_Toc13439"/>
      <w:bookmarkStart w:id="3" w:name="_Toc11715"/>
      <w:bookmarkStart w:id="4" w:name="_Toc572"/>
      <w:bookmarkStart w:id="5" w:name="_Toc25429"/>
      <w:bookmarkStart w:id="6" w:name="_Toc3782"/>
      <w:r>
        <w:rPr>
          <w:rFonts w:hint="eastAsia" w:ascii="方正小标宋简体" w:hAnsi="方正小标宋简体" w:eastAsia="方正小标宋简体" w:cs="方正小标宋简体"/>
          <w:color w:val="auto"/>
          <w:sz w:val="40"/>
          <w:szCs w:val="40"/>
          <w:shd w:val="clear" w:color="auto" w:fill="FFFFFF"/>
        </w:rPr>
        <w:t>南阳市</w:t>
      </w:r>
      <w:r>
        <w:rPr>
          <w:rFonts w:hint="eastAsia" w:ascii="方正小标宋简体" w:hAnsi="方正小标宋简体" w:eastAsia="方正小标宋简体" w:cs="方正小标宋简体"/>
          <w:color w:val="auto"/>
          <w:sz w:val="40"/>
          <w:szCs w:val="40"/>
          <w:shd w:val="clear" w:color="auto" w:fill="FFFFFF"/>
          <w:lang w:val="zh-CN"/>
        </w:rPr>
        <w:t>“十</w:t>
      </w:r>
      <w:r>
        <w:rPr>
          <w:rFonts w:hint="eastAsia" w:ascii="方正小标宋简体" w:hAnsi="方正小标宋简体" w:eastAsia="方正小标宋简体" w:cs="方正小标宋简体"/>
          <w:color w:val="auto"/>
          <w:sz w:val="40"/>
          <w:szCs w:val="40"/>
          <w:shd w:val="clear" w:color="auto" w:fill="FFFFFF"/>
        </w:rPr>
        <w:t>四五”林业发展规划</w:t>
      </w:r>
      <w:bookmarkEnd w:id="0"/>
      <w:bookmarkEnd w:id="1"/>
      <w:bookmarkEnd w:id="2"/>
      <w:bookmarkEnd w:id="3"/>
      <w:bookmarkEnd w:id="4"/>
      <w:bookmarkEnd w:id="5"/>
      <w:bookmarkEnd w:id="6"/>
    </w:p>
    <w:p>
      <w:pPr>
        <w:jc w:val="left"/>
        <w:rPr>
          <w:rFonts w:ascii="方正小标宋简体" w:hAnsi="方正小标宋简体" w:eastAsia="方正小标宋简体" w:cs="方正小标宋简体"/>
          <w:color w:val="auto"/>
          <w:kern w:val="28"/>
          <w:sz w:val="40"/>
          <w:szCs w:val="40"/>
        </w:rPr>
      </w:pPr>
    </w:p>
    <w:p>
      <w:pPr>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“十四五”时期是我市开启全面建成社会主义现代化新征程的第一个林业五年规划，也是我市打造新兴区域经济中心、高质量建设</w:t>
      </w:r>
      <w:r>
        <w:rPr>
          <w:rFonts w:hint="eastAsia" w:ascii="仿宋" w:hAnsi="仿宋" w:eastAsia="仿宋" w:cs="仿宋"/>
          <w:bCs/>
          <w:color w:val="auto"/>
          <w:sz w:val="32"/>
          <w:szCs w:val="32"/>
          <w:lang w:val="en-US" w:eastAsia="zh-CN"/>
        </w:rPr>
        <w:t>副中心</w:t>
      </w:r>
      <w:r>
        <w:rPr>
          <w:rFonts w:hint="eastAsia" w:ascii="仿宋" w:hAnsi="仿宋" w:eastAsia="仿宋" w:cs="仿宋"/>
          <w:bCs/>
          <w:color w:val="auto"/>
          <w:sz w:val="32"/>
          <w:szCs w:val="32"/>
        </w:rPr>
        <w:t>城市、着力</w:t>
      </w:r>
      <w:r>
        <w:rPr>
          <w:rFonts w:hint="eastAsia" w:ascii="仿宋" w:hAnsi="仿宋" w:eastAsia="仿宋" w:cs="仿宋"/>
          <w:bCs/>
          <w:color w:val="auto"/>
          <w:sz w:val="32"/>
          <w:szCs w:val="32"/>
          <w:lang w:val="en-US" w:eastAsia="zh-CN"/>
        </w:rPr>
        <w:t>推进</w:t>
      </w:r>
      <w:r>
        <w:rPr>
          <w:rFonts w:hint="eastAsia" w:ascii="仿宋" w:hAnsi="仿宋" w:eastAsia="仿宋" w:cs="仿宋"/>
          <w:bCs/>
          <w:color w:val="auto"/>
          <w:sz w:val="32"/>
          <w:szCs w:val="32"/>
        </w:rPr>
        <w:t>《森林南阳》</w:t>
      </w:r>
      <w:r>
        <w:rPr>
          <w:rFonts w:hint="eastAsia" w:ascii="仿宋" w:hAnsi="仿宋" w:eastAsia="仿宋" w:cs="仿宋"/>
          <w:bCs/>
          <w:color w:val="auto"/>
          <w:sz w:val="32"/>
          <w:szCs w:val="32"/>
          <w:lang w:val="en-US" w:eastAsia="zh-CN"/>
        </w:rPr>
        <w:t>南阳</w:t>
      </w:r>
      <w:r>
        <w:rPr>
          <w:rFonts w:hint="eastAsia" w:ascii="仿宋" w:hAnsi="仿宋" w:eastAsia="仿宋" w:cs="仿宋"/>
          <w:bCs/>
          <w:color w:val="auto"/>
          <w:sz w:val="32"/>
          <w:szCs w:val="32"/>
        </w:rPr>
        <w:t>承上启下的五年规划。为深入贯彻落实习近平生态文明思想</w:t>
      </w:r>
      <w:r>
        <w:rPr>
          <w:rFonts w:hint="eastAsia" w:ascii="仿宋" w:hAnsi="仿宋" w:eastAsia="仿宋" w:cs="仿宋"/>
          <w:bCs/>
          <w:color w:val="auto"/>
          <w:sz w:val="32"/>
          <w:szCs w:val="32"/>
          <w:lang w:val="en-US" w:eastAsia="zh-CN"/>
        </w:rPr>
        <w:t>和习近平总书记视察南阳重要讲话指示精神</w:t>
      </w:r>
      <w:r>
        <w:rPr>
          <w:rFonts w:hint="eastAsia" w:ascii="仿宋" w:hAnsi="仿宋" w:eastAsia="仿宋" w:cs="仿宋"/>
          <w:bCs/>
          <w:color w:val="auto"/>
          <w:sz w:val="32"/>
          <w:szCs w:val="32"/>
        </w:rPr>
        <w:t>，认真践行“两山”理论，助力乡村振兴，进一步提升生态建设水平，促进林业高质量发展，</w:t>
      </w:r>
      <w:r>
        <w:rPr>
          <w:rFonts w:hint="eastAsia" w:ascii="仿宋" w:hAnsi="仿宋" w:eastAsia="仿宋" w:cs="仿宋"/>
          <w:bCs/>
          <w:color w:val="auto"/>
          <w:sz w:val="32"/>
          <w:szCs w:val="32"/>
          <w:lang w:val="en-US" w:eastAsia="zh-CN"/>
        </w:rPr>
        <w:t>擘画</w:t>
      </w:r>
      <w:r>
        <w:rPr>
          <w:rFonts w:hint="eastAsia" w:ascii="仿宋" w:hAnsi="仿宋" w:eastAsia="仿宋" w:cs="仿宋"/>
          <w:bCs/>
          <w:color w:val="auto"/>
          <w:sz w:val="32"/>
          <w:szCs w:val="32"/>
        </w:rPr>
        <w:t>南阳绿水青山锦绣蓝图，夯实南阳新兴区域经济中心、高质量建设</w:t>
      </w:r>
      <w:r>
        <w:rPr>
          <w:rFonts w:hint="eastAsia" w:ascii="仿宋" w:hAnsi="仿宋" w:eastAsia="仿宋" w:cs="仿宋"/>
          <w:bCs/>
          <w:color w:val="auto"/>
          <w:sz w:val="32"/>
          <w:szCs w:val="32"/>
          <w:lang w:val="en-US" w:eastAsia="zh-CN"/>
        </w:rPr>
        <w:t>副中心</w:t>
      </w:r>
      <w:r>
        <w:rPr>
          <w:rFonts w:hint="eastAsia" w:ascii="仿宋" w:hAnsi="仿宋" w:eastAsia="仿宋" w:cs="仿宋"/>
          <w:bCs/>
          <w:color w:val="auto"/>
          <w:sz w:val="32"/>
          <w:szCs w:val="32"/>
        </w:rPr>
        <w:t>城市</w:t>
      </w:r>
      <w:r>
        <w:rPr>
          <w:rFonts w:hint="eastAsia" w:ascii="仿宋" w:hAnsi="仿宋" w:eastAsia="仿宋" w:cs="仿宋"/>
          <w:bCs/>
          <w:color w:val="auto"/>
          <w:sz w:val="32"/>
          <w:szCs w:val="32"/>
          <w:lang w:val="en-US" w:eastAsia="zh-CN"/>
        </w:rPr>
        <w:t>建设</w:t>
      </w:r>
      <w:r>
        <w:rPr>
          <w:rFonts w:hint="eastAsia" w:ascii="仿宋" w:hAnsi="仿宋" w:eastAsia="仿宋" w:cs="仿宋"/>
          <w:bCs/>
          <w:color w:val="auto"/>
          <w:sz w:val="32"/>
          <w:szCs w:val="32"/>
        </w:rPr>
        <w:t>生态基础，根据《南阳市“十四五”规划纲要》和《河南省“十四五”林业</w:t>
      </w:r>
      <w:r>
        <w:rPr>
          <w:rFonts w:hint="eastAsia" w:ascii="仿宋" w:hAnsi="仿宋" w:eastAsia="仿宋" w:cs="仿宋"/>
          <w:bCs/>
          <w:color w:val="auto"/>
          <w:sz w:val="32"/>
          <w:szCs w:val="32"/>
          <w:lang w:val="en-US" w:eastAsia="zh-CN"/>
        </w:rPr>
        <w:t>保护</w:t>
      </w:r>
      <w:r>
        <w:rPr>
          <w:rFonts w:hint="eastAsia" w:ascii="仿宋" w:hAnsi="仿宋" w:eastAsia="仿宋" w:cs="仿宋"/>
          <w:bCs/>
          <w:color w:val="auto"/>
          <w:sz w:val="32"/>
          <w:szCs w:val="32"/>
        </w:rPr>
        <w:t>发展规划》，制定本规划。</w:t>
      </w:r>
      <w:bookmarkStart w:id="7" w:name="_Toc2578"/>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p>
      <w:pPr>
        <w:pStyle w:val="3"/>
        <w:jc w:val="both"/>
        <w:rPr>
          <w:color w:val="auto"/>
        </w:rPr>
      </w:pPr>
      <w:bookmarkStart w:id="8" w:name="_Toc11185"/>
      <w:bookmarkStart w:id="9" w:name="_Toc13646"/>
      <w:bookmarkStart w:id="10" w:name="_Toc15373"/>
      <w:bookmarkStart w:id="11" w:name="_Toc1132"/>
      <w:bookmarkStart w:id="12" w:name="_Toc25124"/>
      <w:bookmarkStart w:id="13" w:name="_Toc30266"/>
      <w:bookmarkStart w:id="14" w:name="_Toc1438"/>
      <w:bookmarkStart w:id="15" w:name="_Toc20413"/>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jc w:val="center"/>
        <w:rPr>
          <w:color w:val="auto"/>
        </w:rPr>
      </w:pPr>
      <w:r>
        <w:rPr>
          <w:color w:val="auto"/>
        </w:rPr>
        <w:t>第</w:t>
      </w:r>
      <w:r>
        <w:rPr>
          <w:rFonts w:hint="eastAsia"/>
          <w:color w:val="auto"/>
          <w:lang w:val="en-US" w:eastAsia="zh-CN"/>
        </w:rPr>
        <w:t>一</w:t>
      </w:r>
      <w:r>
        <w:rPr>
          <w:color w:val="auto"/>
        </w:rPr>
        <w:t xml:space="preserve">章 </w:t>
      </w:r>
      <w:r>
        <w:rPr>
          <w:rFonts w:hint="eastAsia"/>
          <w:color w:val="auto"/>
        </w:rPr>
        <w:t xml:space="preserve"> </w:t>
      </w:r>
      <w:r>
        <w:rPr>
          <w:color w:val="auto"/>
        </w:rPr>
        <w:t>总体思路</w:t>
      </w:r>
      <w:bookmarkEnd w:id="7"/>
      <w:bookmarkEnd w:id="8"/>
      <w:bookmarkEnd w:id="9"/>
      <w:bookmarkEnd w:id="10"/>
      <w:bookmarkEnd w:id="11"/>
      <w:bookmarkEnd w:id="12"/>
      <w:bookmarkEnd w:id="13"/>
      <w:bookmarkEnd w:id="14"/>
      <w:bookmarkEnd w:id="15"/>
      <w:bookmarkStart w:id="16" w:name="_Toc24417"/>
    </w:p>
    <w:p>
      <w:pPr>
        <w:rPr>
          <w:color w:val="auto"/>
        </w:rPr>
      </w:pPr>
    </w:p>
    <w:p>
      <w:pPr>
        <w:pStyle w:val="4"/>
        <w:rPr>
          <w:color w:val="auto"/>
        </w:rPr>
      </w:pPr>
      <w:bookmarkStart w:id="17" w:name="_Toc2294"/>
      <w:bookmarkStart w:id="18" w:name="_Toc22161"/>
      <w:bookmarkStart w:id="19" w:name="_Toc32124"/>
      <w:bookmarkStart w:id="20" w:name="_Toc24228"/>
      <w:bookmarkStart w:id="21" w:name="_Toc8455"/>
      <w:bookmarkStart w:id="22" w:name="_Toc27077"/>
      <w:bookmarkStart w:id="23" w:name="_Toc8417"/>
      <w:bookmarkStart w:id="24" w:name="_Toc24387"/>
      <w:r>
        <w:rPr>
          <w:rFonts w:hint="eastAsia"/>
          <w:color w:val="auto"/>
        </w:rPr>
        <w:t>第一节  指导思想</w:t>
      </w:r>
      <w:bookmarkEnd w:id="16"/>
      <w:bookmarkEnd w:id="17"/>
      <w:bookmarkEnd w:id="18"/>
      <w:bookmarkEnd w:id="19"/>
      <w:bookmarkEnd w:id="20"/>
      <w:bookmarkEnd w:id="21"/>
      <w:bookmarkEnd w:id="22"/>
      <w:bookmarkEnd w:id="23"/>
      <w:bookmarkEnd w:id="24"/>
    </w:p>
    <w:p>
      <w:pPr>
        <w:rPr>
          <w:color w:val="auto"/>
        </w:rPr>
      </w:pPr>
    </w:p>
    <w:p>
      <w:pPr>
        <w:spacing w:line="600" w:lineRule="exact"/>
        <w:ind w:firstLine="640" w:firstLineChars="200"/>
        <w:rPr>
          <w:rFonts w:ascii="仿宋" w:hAnsi="仿宋" w:eastAsia="仿宋" w:cs="仿宋"/>
          <w:color w:val="auto"/>
          <w:sz w:val="32"/>
          <w:szCs w:val="32"/>
        </w:rPr>
      </w:pPr>
      <w:bookmarkStart w:id="25" w:name="_Hlk71620045"/>
      <w:r>
        <w:rPr>
          <w:rFonts w:hint="eastAsia" w:ascii="仿宋" w:hAnsi="仿宋" w:eastAsia="仿宋" w:cs="仿宋"/>
          <w:color w:val="auto"/>
          <w:sz w:val="32"/>
          <w:szCs w:val="32"/>
        </w:rPr>
        <w:t>以习近平新时代中国特色社会主义思想为指导，全面贯彻党的十九大精神和十九届二中、三中、四中、五中全会精神，深入贯彻习近平生态文明思想和</w:t>
      </w:r>
      <w:r>
        <w:rPr>
          <w:rFonts w:hint="eastAsia" w:ascii="仿宋" w:hAnsi="仿宋" w:eastAsia="仿宋" w:cs="仿宋"/>
          <w:color w:val="auto"/>
          <w:sz w:val="32"/>
          <w:szCs w:val="32"/>
          <w:lang w:val="en-US" w:eastAsia="zh-CN"/>
        </w:rPr>
        <w:t>习近平视察南阳重要讲话指示精神</w:t>
      </w:r>
      <w:r>
        <w:rPr>
          <w:rFonts w:hint="eastAsia" w:ascii="仿宋" w:hAnsi="仿宋" w:eastAsia="仿宋" w:cs="仿宋"/>
          <w:color w:val="auto"/>
          <w:sz w:val="32"/>
          <w:szCs w:val="32"/>
        </w:rPr>
        <w:t>，紧紧围绕统筹推进“五位一体”总体布局和协调推进“四个全面”战略布局，牢固树立新发展理念，以满足人民良好生态需求为总目标，以林业生态建设为主战场，以维护森林生态安全和扩面提质增效为主攻方向，以</w:t>
      </w:r>
      <w:r>
        <w:rPr>
          <w:rFonts w:hint="eastAsia" w:ascii="仿宋" w:hAnsi="仿宋" w:eastAsia="仿宋" w:cs="仿宋"/>
          <w:color w:val="auto"/>
          <w:sz w:val="32"/>
          <w:szCs w:val="32"/>
          <w:lang w:val="en-US" w:eastAsia="zh-CN"/>
        </w:rPr>
        <w:t>森林南阳建设</w:t>
      </w:r>
      <w:r>
        <w:rPr>
          <w:rFonts w:hint="eastAsia" w:ascii="仿宋" w:hAnsi="仿宋" w:eastAsia="仿宋" w:cs="仿宋"/>
          <w:color w:val="auto"/>
          <w:sz w:val="32"/>
          <w:szCs w:val="32"/>
          <w:lang w:eastAsia="zh-CN"/>
        </w:rPr>
        <w:t>为目标</w:t>
      </w:r>
      <w:r>
        <w:rPr>
          <w:rFonts w:hint="eastAsia" w:ascii="仿宋" w:hAnsi="仿宋" w:eastAsia="仿宋" w:cs="仿宋"/>
          <w:color w:val="auto"/>
          <w:sz w:val="32"/>
          <w:szCs w:val="32"/>
        </w:rPr>
        <w:t>，坚持把乡村振兴作为林业工作的重中之重，按照“产业兴旺、生态宜居、乡风文明、治理有效、生态富裕”的总要求，严格落实国务院办公厅关于耕地“非农化”精神，</w:t>
      </w:r>
      <w:r>
        <w:rPr>
          <w:rFonts w:hint="eastAsia" w:ascii="仿宋" w:hAnsi="仿宋" w:eastAsia="仿宋" w:cs="仿宋"/>
          <w:color w:val="auto"/>
          <w:sz w:val="32"/>
          <w:szCs w:val="32"/>
          <w:lang w:eastAsia="zh-CN"/>
        </w:rPr>
        <w:t>科学</w:t>
      </w:r>
      <w:r>
        <w:rPr>
          <w:rFonts w:hint="eastAsia" w:ascii="仿宋" w:hAnsi="仿宋" w:eastAsia="仿宋" w:cs="仿宋"/>
          <w:color w:val="auto"/>
          <w:sz w:val="32"/>
          <w:szCs w:val="32"/>
        </w:rPr>
        <w:t>绿化，</w:t>
      </w:r>
      <w:r>
        <w:rPr>
          <w:rFonts w:hint="eastAsia" w:ascii="仿宋" w:hAnsi="仿宋" w:eastAsia="仿宋" w:cs="仿宋"/>
          <w:color w:val="auto"/>
          <w:sz w:val="32"/>
          <w:szCs w:val="32"/>
          <w:lang w:eastAsia="zh-CN"/>
        </w:rPr>
        <w:t>精准造林，</w:t>
      </w:r>
      <w:r>
        <w:rPr>
          <w:rFonts w:hint="eastAsia" w:ascii="仿宋" w:hAnsi="仿宋" w:eastAsia="仿宋" w:cs="仿宋"/>
          <w:color w:val="auto"/>
          <w:sz w:val="32"/>
          <w:szCs w:val="32"/>
        </w:rPr>
        <w:t>提升森林质量，加强资源保护，全面推行林长制，增进绿色惠民，强化基础保障，打造生态高地，加快林业高质量发展，全面推进乡村振兴，为打造新兴区域经济中心、南阳建设</w:t>
      </w:r>
      <w:r>
        <w:rPr>
          <w:rFonts w:hint="eastAsia" w:ascii="仿宋" w:hAnsi="仿宋" w:eastAsia="仿宋" w:cs="仿宋"/>
          <w:color w:val="auto"/>
          <w:sz w:val="32"/>
          <w:szCs w:val="32"/>
          <w:lang w:val="en-US" w:eastAsia="zh-CN"/>
        </w:rPr>
        <w:t>副中心</w:t>
      </w:r>
      <w:r>
        <w:rPr>
          <w:rFonts w:hint="eastAsia" w:ascii="仿宋" w:hAnsi="仿宋" w:eastAsia="仿宋" w:cs="仿宋"/>
          <w:color w:val="auto"/>
          <w:sz w:val="32"/>
          <w:szCs w:val="32"/>
        </w:rPr>
        <w:t>城市作出新贡献。</w:t>
      </w:r>
      <w:bookmarkEnd w:id="25"/>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“十四五”林业发展的基本原则：</w:t>
      </w:r>
    </w:p>
    <w:p>
      <w:pPr>
        <w:spacing w:line="600" w:lineRule="exact"/>
        <w:ind w:firstLine="640" w:firstLineChars="200"/>
        <w:rPr>
          <w:rFonts w:ascii="仿宋" w:hAnsi="仿宋" w:eastAsia="仿宋" w:cs="仿宋"/>
          <w:color w:val="auto"/>
          <w:sz w:val="32"/>
          <w:szCs w:val="32"/>
        </w:rPr>
      </w:pPr>
      <w:r>
        <w:rPr>
          <w:rFonts w:hint="eastAsia" w:ascii="楷体" w:hAnsi="楷体" w:eastAsia="楷体" w:cs="楷体"/>
          <w:color w:val="auto"/>
          <w:sz w:val="32"/>
          <w:szCs w:val="32"/>
        </w:rPr>
        <w:t>（一）坚持生态优先，统筹谋划推进。</w:t>
      </w:r>
      <w:r>
        <w:rPr>
          <w:rFonts w:hint="eastAsia" w:ascii="仿宋" w:hAnsi="仿宋" w:eastAsia="仿宋" w:cs="仿宋"/>
          <w:color w:val="auto"/>
          <w:sz w:val="32"/>
          <w:szCs w:val="32"/>
        </w:rPr>
        <w:t>保护生态环境就是保护生产力，改善生态环境就是发展生产力。坚持人与自然和谐共生，树立和践行绿水青山就是金山银山发展理念，贯彻落实耕地“非农化”</w:t>
      </w:r>
      <w:r>
        <w:rPr>
          <w:rFonts w:hint="eastAsia" w:ascii="仿宋" w:hAnsi="仿宋" w:eastAsia="仿宋" w:cs="仿宋"/>
          <w:color w:val="auto"/>
          <w:sz w:val="32"/>
          <w:szCs w:val="32"/>
          <w:lang w:eastAsia="zh-CN"/>
        </w:rPr>
        <w:t>和科学绿化的</w:t>
      </w:r>
      <w:r>
        <w:rPr>
          <w:rFonts w:hint="eastAsia" w:ascii="仿宋" w:hAnsi="仿宋" w:eastAsia="仿宋" w:cs="仿宋"/>
          <w:color w:val="auto"/>
          <w:sz w:val="32"/>
          <w:szCs w:val="32"/>
        </w:rPr>
        <w:t>通知要求，坚持以生态保护修复为主，加快国土绿化进程，实施山水林田湖</w:t>
      </w:r>
      <w:r>
        <w:rPr>
          <w:rFonts w:hint="eastAsia" w:ascii="仿宋" w:hAnsi="仿宋" w:eastAsia="仿宋" w:cs="仿宋"/>
          <w:color w:val="auto"/>
          <w:sz w:val="32"/>
          <w:szCs w:val="32"/>
          <w:lang w:val="en-US" w:eastAsia="zh-CN"/>
        </w:rPr>
        <w:t>草沙</w:t>
      </w:r>
      <w:r>
        <w:rPr>
          <w:rFonts w:hint="eastAsia" w:ascii="仿宋" w:hAnsi="仿宋" w:eastAsia="仿宋" w:cs="仿宋"/>
          <w:color w:val="auto"/>
          <w:sz w:val="32"/>
          <w:szCs w:val="32"/>
        </w:rPr>
        <w:t>生态治理，加强森林资源经营，持续提升森林覆盖率，建设结构合理、功能齐全、持续高效的林业生态防护体系，乡村生态环境得到明显改善。</w:t>
      </w:r>
    </w:p>
    <w:p>
      <w:pPr>
        <w:spacing w:line="600" w:lineRule="exact"/>
        <w:ind w:firstLine="640" w:firstLineChars="200"/>
        <w:rPr>
          <w:rFonts w:ascii="仿宋" w:hAnsi="仿宋" w:eastAsia="仿宋" w:cs="仿宋"/>
          <w:color w:val="auto"/>
          <w:sz w:val="32"/>
          <w:szCs w:val="32"/>
        </w:rPr>
      </w:pPr>
      <w:r>
        <w:rPr>
          <w:rFonts w:hint="eastAsia" w:ascii="楷体" w:hAnsi="楷体" w:eastAsia="楷体" w:cs="楷体"/>
          <w:color w:val="auto"/>
          <w:sz w:val="32"/>
          <w:szCs w:val="32"/>
        </w:rPr>
        <w:t>（二）坚持产业发展，提高综合效益。</w:t>
      </w:r>
      <w:r>
        <w:rPr>
          <w:rFonts w:hint="eastAsia" w:ascii="仿宋" w:hAnsi="仿宋" w:eastAsia="仿宋" w:cs="仿宋"/>
          <w:color w:val="auto"/>
          <w:sz w:val="32"/>
          <w:szCs w:val="32"/>
        </w:rPr>
        <w:t>发挥森林是水库、钱库和粮库的重要功能，深刻认识生态和产业、公益和经济、绿水青山和金山银山的辩证关系，充分发挥林业在乡村振兴战略中的优势作用，大力发展以森林旅游、养生为主的康养业，以特色经济林果、花卉</w:t>
      </w:r>
      <w:r>
        <w:rPr>
          <w:rFonts w:hint="eastAsia" w:ascii="仿宋" w:hAnsi="仿宋" w:eastAsia="仿宋" w:cs="仿宋"/>
          <w:color w:val="auto"/>
          <w:sz w:val="32"/>
          <w:szCs w:val="32"/>
          <w:lang w:eastAsia="zh-CN"/>
        </w:rPr>
        <w:t>苗</w:t>
      </w:r>
      <w:r>
        <w:rPr>
          <w:rFonts w:hint="eastAsia" w:ascii="仿宋" w:hAnsi="仿宋" w:eastAsia="仿宋" w:cs="仿宋"/>
          <w:color w:val="auto"/>
          <w:sz w:val="32"/>
          <w:szCs w:val="32"/>
        </w:rPr>
        <w:t>木为主的种植业，以林下套种、林下养殖为主的种养业，加大一二产业向二三产业转化力度，培育壮大林业特色产业和新兴产业，改造提升传统产业，增强林业发展活力。在国土空间上，创造和积累生态资本和绿色财富，促进生态惠民、绿色富民，以绿色发展引领乡村振兴。</w:t>
      </w:r>
    </w:p>
    <w:p>
      <w:pPr>
        <w:spacing w:line="600" w:lineRule="exact"/>
        <w:ind w:firstLine="640" w:firstLineChars="200"/>
        <w:rPr>
          <w:rFonts w:ascii="仿宋" w:hAnsi="仿宋" w:eastAsia="仿宋" w:cs="仿宋"/>
          <w:color w:val="auto"/>
          <w:sz w:val="32"/>
          <w:szCs w:val="32"/>
        </w:rPr>
      </w:pPr>
      <w:r>
        <w:rPr>
          <w:rFonts w:hint="eastAsia" w:ascii="楷体" w:hAnsi="楷体" w:eastAsia="楷体" w:cs="楷体"/>
          <w:color w:val="auto"/>
          <w:sz w:val="32"/>
          <w:szCs w:val="32"/>
        </w:rPr>
        <w:t>（三）坚持改革创新，增强发展活力。</w:t>
      </w:r>
      <w:r>
        <w:rPr>
          <w:rFonts w:hint="eastAsia" w:ascii="仿宋" w:hAnsi="仿宋" w:eastAsia="仿宋" w:cs="仿宋"/>
          <w:color w:val="auto"/>
          <w:sz w:val="32"/>
          <w:szCs w:val="32"/>
        </w:rPr>
        <w:t>全面推行林长制，深化集体林权制度改革、国有林场改革，健全国有林和集体林管理体制，广泛调动全社会发展林业的主动性和创造性，发挥科技创新的引领作用，实现由要素驱动向创新驱动转变，全面提升林业的生态效益、经济效益和社会效益。坚持创新发展，探索森林资源转化。探索实施以碳汇林、林业债券、林业基金等金融政策的生态补偿机制，更好地将森林资源转化为经济效益。</w:t>
      </w:r>
    </w:p>
    <w:p>
      <w:pPr>
        <w:spacing w:line="600" w:lineRule="exact"/>
        <w:ind w:firstLine="640" w:firstLineChars="200"/>
        <w:rPr>
          <w:rFonts w:ascii="仿宋" w:hAnsi="仿宋" w:eastAsia="仿宋" w:cs="仿宋"/>
          <w:color w:val="auto"/>
          <w:sz w:val="32"/>
          <w:szCs w:val="32"/>
        </w:rPr>
      </w:pPr>
      <w:r>
        <w:rPr>
          <w:rFonts w:hint="eastAsia" w:ascii="楷体" w:hAnsi="楷体" w:eastAsia="楷体" w:cs="楷体"/>
          <w:color w:val="auto"/>
          <w:sz w:val="32"/>
          <w:szCs w:val="32"/>
        </w:rPr>
        <w:t>（四）坚持依法治林，保护森林资源。</w:t>
      </w:r>
      <w:r>
        <w:rPr>
          <w:rFonts w:hint="eastAsia" w:ascii="仿宋" w:hAnsi="仿宋" w:eastAsia="仿宋" w:cs="仿宋"/>
          <w:color w:val="auto"/>
          <w:sz w:val="32"/>
          <w:szCs w:val="32"/>
        </w:rPr>
        <w:t>加大执法力度，建立健全林木检查、森林植物检疫、林木种苗行政许可和“双打”等林业执法体系，不断完善林业治理能力，提高治理水平，为乡村振兴提供林业法制保障；做好普法宣传教育，全面增强依法治林观念。坚持资源保护，全面保护天然林、湿地植被以及典型生态系统、生物物种及遗传基因的多样性，严禁违法违规侵占林地、湿地，加快珍稀濒危野生动植物抢救性保护。培养公民生态价值观，维护生物多样性，促进人与自然和谐共生。</w:t>
      </w:r>
      <w:bookmarkStart w:id="26" w:name="_Toc16523"/>
    </w:p>
    <w:p>
      <w:pPr>
        <w:spacing w:line="600" w:lineRule="exact"/>
        <w:ind w:firstLine="640" w:firstLineChars="200"/>
        <w:rPr>
          <w:rFonts w:ascii="仿宋" w:hAnsi="仿宋" w:eastAsia="仿宋" w:cs="仿宋"/>
          <w:color w:val="auto"/>
          <w:sz w:val="32"/>
          <w:szCs w:val="32"/>
        </w:rPr>
      </w:pPr>
    </w:p>
    <w:p>
      <w:pPr>
        <w:pStyle w:val="4"/>
        <w:rPr>
          <w:color w:val="auto"/>
        </w:rPr>
      </w:pPr>
      <w:bookmarkStart w:id="27" w:name="_Toc23834"/>
      <w:bookmarkStart w:id="28" w:name="_Toc16407"/>
      <w:bookmarkStart w:id="29" w:name="_Toc984"/>
      <w:bookmarkStart w:id="30" w:name="_Toc29033"/>
      <w:bookmarkStart w:id="31" w:name="_Toc24140"/>
      <w:bookmarkStart w:id="32" w:name="_Toc32267"/>
      <w:bookmarkStart w:id="33" w:name="_Toc16210"/>
      <w:bookmarkStart w:id="34" w:name="_Toc11605"/>
      <w:r>
        <w:rPr>
          <w:rFonts w:hint="eastAsia"/>
          <w:color w:val="auto"/>
        </w:rPr>
        <w:t>第二节  规划目标</w:t>
      </w:r>
      <w:bookmarkEnd w:id="26"/>
      <w:bookmarkEnd w:id="27"/>
      <w:bookmarkEnd w:id="28"/>
      <w:bookmarkEnd w:id="29"/>
      <w:bookmarkEnd w:id="30"/>
      <w:bookmarkEnd w:id="31"/>
      <w:bookmarkEnd w:id="32"/>
      <w:bookmarkEnd w:id="33"/>
      <w:bookmarkEnd w:id="34"/>
    </w:p>
    <w:p>
      <w:pPr>
        <w:rPr>
          <w:color w:val="auto"/>
        </w:rPr>
      </w:pP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“十四五”时期，按照全面建成社会主义现代化的要求，综合考虑现实情况和未来发展趋势，我市林业要加快推进功能多样化、经营科学化、管理信息化、效益多元化。主要目标是：</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——国土生态安全屏障更加巩固。优化林业生产力布局，提升生态承载力，进一步改善乡村人居生态环境。全市天然林、湿地、重点生物物种资源得到全面保护，其中完成人工造林</w:t>
      </w:r>
      <w:r>
        <w:rPr>
          <w:rFonts w:hint="eastAsia" w:ascii="仿宋" w:hAnsi="仿宋" w:eastAsia="仿宋" w:cs="仿宋"/>
          <w:color w:val="auto"/>
          <w:sz w:val="32"/>
          <w:szCs w:val="32"/>
          <w:lang w:val="en-US" w:eastAsia="zh-CN"/>
        </w:rPr>
        <w:t>92.12</w:t>
      </w:r>
      <w:r>
        <w:rPr>
          <w:rFonts w:hint="eastAsia" w:ascii="仿宋" w:hAnsi="仿宋" w:eastAsia="仿宋" w:cs="仿宋"/>
          <w:color w:val="auto"/>
          <w:sz w:val="32"/>
          <w:szCs w:val="32"/>
        </w:rPr>
        <w:t>万亩，封山育林30万亩，飞播造林20万亩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退化林修复35万亩</w:t>
      </w:r>
      <w:r>
        <w:rPr>
          <w:rFonts w:hint="eastAsia" w:ascii="仿宋" w:hAnsi="仿宋" w:eastAsia="仿宋" w:cs="仿宋"/>
          <w:color w:val="auto"/>
          <w:sz w:val="32"/>
          <w:szCs w:val="32"/>
        </w:rPr>
        <w:t>；完成森林抚育</w:t>
      </w:r>
      <w:r>
        <w:rPr>
          <w:rFonts w:hint="eastAsia" w:ascii="仿宋" w:hAnsi="仿宋" w:eastAsia="仿宋" w:cs="仿宋"/>
          <w:color w:val="auto"/>
          <w:sz w:val="32"/>
          <w:szCs w:val="32"/>
          <w:lang w:val="en-US" w:eastAsia="zh-CN"/>
        </w:rPr>
        <w:t>265.43</w:t>
      </w:r>
      <w:r>
        <w:rPr>
          <w:rFonts w:hint="eastAsia" w:ascii="仿宋" w:hAnsi="仿宋" w:eastAsia="仿宋" w:cs="仿宋"/>
          <w:color w:val="auto"/>
          <w:sz w:val="32"/>
          <w:szCs w:val="32"/>
        </w:rPr>
        <w:t>万亩；森林覆盖率提高0.71个百分点，达到41.22%；森林蓄积量增加425万立方米，达到4508万立方米。湿地保有量稳定在163.35万亩，自然保护地占国土面积稳定在12.56％。详见附表1。</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生态公共服务效能更加有力。绿色惠民、公平共享、服务水平不断增强，优质生态项目和林产品更加丰富，林农收入不断增加；国家森林城市建设水平不断提升，人居生态环境显著改善，生态文化更加繁荣，生态价值深入人心。全市2个县达到国家森林城市建设标准，3个县达到省级森林城市建设标准；15个小镇达到森林特色小镇建设标准；300个村达到森林乡村建设标准。</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——民生保障能力更加有效。举办绿色中国行—走进大美南阳暨首届世界月季博览会，持续举办南阳月季节会，打造国内外知名展会平台，成为南阳扩大开放的重要窗口；</w:t>
      </w:r>
      <w:r>
        <w:rPr>
          <w:rFonts w:hint="eastAsia" w:ascii="仿宋" w:hAnsi="仿宋" w:eastAsia="仿宋" w:cs="仿宋"/>
          <w:color w:val="auto"/>
          <w:sz w:val="32"/>
          <w:szCs w:val="32"/>
          <w:lang w:val="en-US" w:eastAsia="zh-CN"/>
        </w:rPr>
        <w:t>组织实施《南阳市关于扶持“月季倍增计划”的二十条措施》，</w:t>
      </w:r>
      <w:r>
        <w:rPr>
          <w:rFonts w:hint="eastAsia" w:ascii="仿宋" w:hAnsi="仿宋" w:eastAsia="仿宋" w:cs="仿宋"/>
          <w:color w:val="auto"/>
          <w:sz w:val="32"/>
          <w:szCs w:val="32"/>
        </w:rPr>
        <w:t>加快月季产业发展，发掘培养一批月季拳头产品，弘扬月季文化；优化产业结构，培育龙头企业，壮大产业集群；推进林业产业转型升级，吸纳就业能力不断增强；完成国储林项目造林38.13万亩，木材储备能力显著提高；全面推行林长制，初步建立森林生态补偿机制。</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治理体系建设更加完善。积极配合推进伏牛山国家公园建设，系统推进自然保护区、森林公园、湿地公园、地质公园等自然保护地建设，自然保护地制度更加完善；集体林权制度改革持续深化，国有林场改革成果不断巩固；科技创新和依法治林能力进一步增强，基础设施和装备条件明显改善，人才队伍进一步优化，林业制度体系更加健全，生态文明水平显著提升。</w:t>
      </w:r>
    </w:p>
    <w:p>
      <w:pPr>
        <w:pStyle w:val="4"/>
        <w:rPr>
          <w:color w:val="auto"/>
        </w:rPr>
      </w:pPr>
      <w:bookmarkStart w:id="35" w:name="_Toc2685"/>
      <w:bookmarkStart w:id="36" w:name="_Toc11751"/>
      <w:bookmarkStart w:id="37" w:name="_Toc3090"/>
      <w:bookmarkStart w:id="38" w:name="_Toc7078"/>
      <w:bookmarkStart w:id="39" w:name="_Toc27167"/>
      <w:bookmarkStart w:id="40" w:name="_Toc22332"/>
      <w:bookmarkStart w:id="41" w:name="_Toc18528"/>
      <w:bookmarkStart w:id="42" w:name="_Toc29327"/>
      <w:bookmarkStart w:id="43" w:name="_Toc16952"/>
      <w:bookmarkStart w:id="44" w:name="_Toc275097236"/>
      <w:bookmarkStart w:id="45" w:name="_Toc297814671"/>
      <w:r>
        <w:rPr>
          <w:rFonts w:hint="eastAsia"/>
          <w:color w:val="auto"/>
        </w:rPr>
        <w:t>第三节  总体布局</w:t>
      </w:r>
      <w:bookmarkEnd w:id="35"/>
      <w:bookmarkEnd w:id="36"/>
      <w:bookmarkEnd w:id="37"/>
      <w:bookmarkEnd w:id="38"/>
      <w:bookmarkEnd w:id="39"/>
      <w:bookmarkEnd w:id="40"/>
      <w:bookmarkEnd w:id="41"/>
      <w:bookmarkEnd w:id="42"/>
      <w:bookmarkEnd w:id="43"/>
    </w:p>
    <w:p>
      <w:pPr>
        <w:spacing w:line="560" w:lineRule="exact"/>
        <w:rPr>
          <w:color w:val="auto"/>
        </w:rPr>
      </w:pP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在全省主体功能区和国土安全战略框架下，综合考虑林业发展条件、发展需求等因素，结合南阳自然区域特征及决定区域分异的主导因素、林业建设现状及其主导功能差异,按照山水林田湖</w:t>
      </w:r>
      <w:r>
        <w:rPr>
          <w:rFonts w:hint="eastAsia" w:ascii="仿宋" w:hAnsi="仿宋" w:eastAsia="仿宋" w:cs="仿宋"/>
          <w:color w:val="auto"/>
          <w:sz w:val="32"/>
          <w:szCs w:val="32"/>
          <w:lang w:val="en-US" w:eastAsia="zh-CN"/>
        </w:rPr>
        <w:t>草沙</w:t>
      </w:r>
      <w:r>
        <w:rPr>
          <w:rFonts w:hint="eastAsia" w:ascii="仿宋" w:hAnsi="仿宋" w:eastAsia="仿宋" w:cs="仿宋"/>
          <w:color w:val="auto"/>
          <w:sz w:val="32"/>
          <w:szCs w:val="32"/>
        </w:rPr>
        <w:t>生命共同体的要求，优化林业生产力布局，以森林为主体，系统配置森林、湿地、野生动植物栖息地等生态空间，统筹推进森林、湿地、流域、农田、城市五大生态体系建设，构建“一核三区三带多廊多</w:t>
      </w:r>
      <w:r>
        <w:rPr>
          <w:rFonts w:hint="eastAsia" w:ascii="仿宋" w:hAnsi="仿宋" w:eastAsia="仿宋" w:cs="仿宋"/>
          <w:color w:val="auto"/>
          <w:sz w:val="32"/>
          <w:szCs w:val="32"/>
          <w:lang w:eastAsia="zh-CN"/>
        </w:rPr>
        <w:t>支</w:t>
      </w:r>
      <w:r>
        <w:rPr>
          <w:rFonts w:hint="eastAsia" w:ascii="仿宋" w:hAnsi="仿宋" w:eastAsia="仿宋" w:cs="仿宋"/>
          <w:color w:val="auto"/>
          <w:sz w:val="32"/>
          <w:szCs w:val="32"/>
        </w:rPr>
        <w:t>点”的生态空间格局。“一核”为中心城区生态核，是城市核心区，也是我市生态建设、人居环境改善的重要区域，关系城市形象与居民生活质量。</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“三区”为伏牛山地生态区、桐柏山地生态区、平原生态涵养区，作为我市国土生态安全的主体，是全面保护天然林、湿地资源和重要物种的重要区域，也是保障重点地区生态安全和木材安全的战略基地。</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三带”为南水北调中线水源地及干渠沿线生态保育带、沿白河生态涵养带和沿淮河生态保育带，作为我市国土生态安全的重要骨架，是改善河流、渠道等自然环境的生态走廊，也是扩大生态空间、提高区域生态承载力的绿色长城。</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“多廊”为铁路、高铁、公路、河流干渠等线性走廊组成的廊道，是动物迁徙、阻隔噪音，连接各节点组团的重要脉络。</w:t>
      </w:r>
    </w:p>
    <w:p>
      <w:pPr>
        <w:pStyle w:val="5"/>
        <w:ind w:firstLine="640"/>
        <w:rPr>
          <w:color w:val="auto"/>
        </w:rPr>
      </w:pPr>
      <w:r>
        <w:rPr>
          <w:rFonts w:hint="eastAsia"/>
          <w:color w:val="auto"/>
        </w:rPr>
        <w:t>一、中心城区生态核</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范围与林业现状：南阳市中心城区辖卧龙区部分区域、宛城区部分区域、高新区、城乡一体化示范区，总面积283.05万亩。独山省级森林公园、兰湖省级森林公园，面积3.07万亩。</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功能定位：拓展生态空间，提升生态服务功能，改善人居环境。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发展重点与举措：按照“大生态、大环保、大格局、大统筹”的要求，加强城郊森林、森林公园、湿地公园建设，打造绿树成林、河流城区水系互联互通的生态景观，加快形成与南阳大城市地位相匹配、与区域城市空间结构相衔接、与现代产业结构相融合、与人民群众对高品质生活期盼相适应的生态保障体系，大幅度增加蓝绿空间，优化林种树种结构，提升森林质量，打造“城在林中、林在城中”的城市森林美景，实现“满城绿色半城水”的目标，为打造新兴区域经济中心、南阳建设</w:t>
      </w:r>
      <w:r>
        <w:rPr>
          <w:rFonts w:hint="eastAsia" w:ascii="仿宋" w:hAnsi="仿宋" w:eastAsia="仿宋" w:cs="仿宋"/>
          <w:color w:val="auto"/>
          <w:sz w:val="32"/>
          <w:szCs w:val="32"/>
          <w:lang w:val="en-US" w:eastAsia="zh-CN"/>
        </w:rPr>
        <w:t>副中心</w:t>
      </w:r>
      <w:r>
        <w:rPr>
          <w:rFonts w:hint="eastAsia" w:ascii="仿宋" w:hAnsi="仿宋" w:eastAsia="仿宋" w:cs="仿宋"/>
          <w:color w:val="auto"/>
          <w:sz w:val="32"/>
          <w:szCs w:val="32"/>
        </w:rPr>
        <w:t>城市筑牢生态根基。</w:t>
      </w:r>
    </w:p>
    <w:p>
      <w:pPr>
        <w:pStyle w:val="5"/>
        <w:ind w:firstLine="640"/>
        <w:rPr>
          <w:rFonts w:ascii="Arial" w:hAnsi="Arial"/>
          <w:color w:val="auto"/>
        </w:rPr>
      </w:pPr>
      <w:r>
        <w:rPr>
          <w:rFonts w:hint="eastAsia" w:ascii="Arial" w:hAnsi="Arial"/>
          <w:color w:val="auto"/>
        </w:rPr>
        <w:t>二、伏牛山地生态区</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范围与林业现状：位于南阳盆地西北部，南接湖北，西依陕西，北靠洛阳，东联平顶山。包括淅川县、西峡县、内乡县、南召县、方城县、镇平县、鸭河工区、卧龙区部分区域等8个县区72个乡镇办，总面积1858.2万亩，是我市森林资源主要分布区，是重要的生态屏障。区域内林业用地面积1114万亩，森林覆盖率53.1%。省级以上自然保护区6个，面积332.42万亩；省级以上森林公园、湿地公园、地质公园11个，面积33.55万亩。</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功能定位：提升森林质量，保护生物多样性，涵养水源。</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发展重点与举措：全面保护森林、湿地资源，继续加强天然林保护。大力营造水源涵养林和水土保持林，开展石漠化治理，实施新一轮退耕还林，强化森林经营，调整和优化森林结构；建设国家储备林，加强自然保护区、森林公园、湿地公园、地质公园建设；利用良好的森林资源，大力发展林下经济、特色林果、森林旅游等产业；努力把伏牛山建设成为中原“绿核”、生态基石、生物绿色宝库和珍稀濒危植物天堂。</w:t>
      </w:r>
    </w:p>
    <w:p>
      <w:pPr>
        <w:pStyle w:val="5"/>
        <w:ind w:firstLine="640"/>
        <w:rPr>
          <w:rFonts w:ascii="Arial" w:hAnsi="Arial"/>
          <w:color w:val="auto"/>
        </w:rPr>
      </w:pPr>
      <w:r>
        <w:rPr>
          <w:rFonts w:hint="eastAsia" w:ascii="Arial" w:hAnsi="Arial"/>
          <w:color w:val="auto"/>
        </w:rPr>
        <w:t>三、桐柏山地生态区</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范围与林业现状：涉及淮河源头，东部、北部与信阳、驻马店、平顶山接壤，南连湖北。包括桐柏县、唐河县部分区域、社旗县部分区域、方城县部分区域等4县22个乡镇办，总面积387.7万亩。区域内林业用地面积227.1万亩，森林覆盖率39.8%。省级以上自然保护区2个，面积23.24万亩；省级以上森林公园、湿地公园、地质公园5个，面积19.47万亩。</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功能定位：提升森林质量，保护生物多样性，保持水土、涵养水源。</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发展重点与举措：加强森林、湿地保护，全面保护天然林。加快退化林修复，大力培育混交林，积极开展森林经营，治理水土流失。加强退化湿地恢复，强化自然保护区、森林公园、湿地公园建设。集约经营用材林，建设国家储备林。大力发展森林旅游业，建设茶叶、板栗、栀子等特色经济林，因地制宜发展林下经济。通过加快林业生态建设，把桐柏山建成山清水秀、林木繁茂的千里淮河生态明珠、绿色宝库。</w:t>
      </w:r>
    </w:p>
    <w:p>
      <w:pPr>
        <w:pStyle w:val="5"/>
        <w:ind w:firstLine="640"/>
        <w:rPr>
          <w:rFonts w:ascii="Arial" w:hAnsi="Arial"/>
          <w:color w:val="auto"/>
        </w:rPr>
      </w:pPr>
      <w:r>
        <w:rPr>
          <w:rFonts w:hint="eastAsia" w:ascii="Arial" w:hAnsi="Arial"/>
          <w:color w:val="auto"/>
        </w:rPr>
        <w:t>四、平原生态涵养区</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范围与林业现状：位于南阳盆地中南部，向南与湖北江汉平原相连。包括新野县、唐河县、社旗县、宛城区、卧龙区、镇平县、官庄工区等7个县区57个乡镇办，总面积623万亩。区域内林业用地面积78.3万亩。省级以上自然保护区1个，面积10.17万亩；省级以上森林公园、湿地公园5个，面积7.05万亩。该区域是南阳市粮食主产区，也是河南省粮食生产的重要区域。</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功能定位：改善生态环境，保障粮食生产安全，提高生态服务功能，增强林产品供给能力。</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发展重点与举措：与南阳市高标准粮田工程建设相结合，加强水田林路综合治理，加强退化林带修复，完善和提升农田防护林建设水平，形成功能稳定的农田防护林体系，构建平原生态绿网。营造速生丰产用材林、工业原料林和国家储备林基地，发展以月季、玉兰、绿化苗木为主的花卉苗木产业。把平原区建成林网如织、片林棋布、繁花似海的生态宜居家园，倾力打造林丰粮茂的绿色新盆地。</w:t>
      </w:r>
    </w:p>
    <w:p>
      <w:pPr>
        <w:pStyle w:val="5"/>
        <w:ind w:firstLine="640"/>
        <w:rPr>
          <w:rFonts w:ascii="Arial" w:hAnsi="Arial"/>
          <w:color w:val="auto"/>
        </w:rPr>
      </w:pPr>
      <w:r>
        <w:rPr>
          <w:rFonts w:hint="eastAsia" w:ascii="Arial" w:hAnsi="Arial"/>
          <w:color w:val="auto"/>
        </w:rPr>
        <w:t>五、南水北调中线水源地及干渠沿线生态保育带</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范围：涉及淅川县、镇平县、卧龙区、高新区、城乡一体化示范区、宛城区、方城县</w:t>
      </w:r>
      <w:r>
        <w:rPr>
          <w:rFonts w:hint="eastAsia" w:ascii="仿宋" w:hAnsi="仿宋" w:eastAsia="仿宋" w:cs="仿宋"/>
          <w:color w:val="auto"/>
          <w:sz w:val="32"/>
          <w:szCs w:val="32"/>
          <w:lang w:eastAsia="zh-CN"/>
        </w:rPr>
        <w:t>、邓州市</w:t>
      </w:r>
      <w:r>
        <w:rPr>
          <w:rFonts w:hint="eastAsia" w:ascii="仿宋" w:hAnsi="仿宋" w:eastAsia="仿宋" w:cs="仿宋"/>
          <w:color w:val="auto"/>
          <w:sz w:val="32"/>
          <w:szCs w:val="32"/>
        </w:rPr>
        <w:t>等8个县区2</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个乡镇办，总面积305.7万亩。</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发展重点与举措：以保护水质安全为核心，巩固完善南水北调中线水源地及干渠沿线生态保育带</w:t>
      </w:r>
      <w:r>
        <w:rPr>
          <w:rFonts w:hint="eastAsia" w:ascii="仿宋" w:hAnsi="仿宋" w:eastAsia="仿宋" w:cs="仿宋"/>
          <w:color w:val="auto"/>
          <w:sz w:val="32"/>
          <w:szCs w:val="32"/>
          <w:lang w:val="en-US" w:eastAsia="zh-CN"/>
        </w:rPr>
        <w:t>建设成效</w:t>
      </w:r>
      <w:r>
        <w:rPr>
          <w:rFonts w:hint="eastAsia" w:ascii="仿宋" w:hAnsi="仿宋" w:eastAsia="仿宋" w:cs="仿宋"/>
          <w:color w:val="auto"/>
          <w:sz w:val="32"/>
          <w:szCs w:val="32"/>
        </w:rPr>
        <w:t>，确保一渠清水永续北送。</w:t>
      </w:r>
    </w:p>
    <w:p>
      <w:pPr>
        <w:pStyle w:val="5"/>
        <w:ind w:firstLine="640"/>
        <w:rPr>
          <w:rFonts w:ascii="Arial" w:hAnsi="Arial"/>
          <w:color w:val="auto"/>
        </w:rPr>
      </w:pPr>
      <w:r>
        <w:rPr>
          <w:rFonts w:hint="eastAsia" w:ascii="Arial" w:hAnsi="Arial"/>
          <w:color w:val="auto"/>
        </w:rPr>
        <w:t>六、沿白河生态涵养带</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范围：涉及白河沿线的南召县、方城县、鸭河工区、城乡一体化示范区、卧龙区、宛城区、新野县等7个县区23个乡镇办，总面积352.3万亩。</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发展重点与举措：强化水源涵养和水土保持功能，全面保护森林植被和湿地资源，加强湿地公园建设。加强鸭河口水库库区绿化、白河两岸生态防护林带建设</w:t>
      </w:r>
      <w:r>
        <w:rPr>
          <w:rFonts w:hint="eastAsia" w:ascii="仿宋" w:hAnsi="仿宋" w:eastAsia="仿宋" w:cs="仿宋"/>
          <w:color w:val="auto"/>
          <w:sz w:val="32"/>
          <w:szCs w:val="32"/>
          <w:lang w:eastAsia="zh-CN"/>
        </w:rPr>
        <w:t>、白河湿地采沙迹地植被修复</w:t>
      </w:r>
      <w:r>
        <w:rPr>
          <w:rFonts w:hint="eastAsia" w:ascii="仿宋" w:hAnsi="仿宋" w:eastAsia="仿宋" w:cs="仿宋"/>
          <w:color w:val="auto"/>
          <w:sz w:val="32"/>
          <w:szCs w:val="32"/>
        </w:rPr>
        <w:t>。通过造林绿化和湿地公园建设，全面保护和改善白河生态环境，保障饮用水安全，促进经济社会全面协调可持续发展。</w:t>
      </w:r>
    </w:p>
    <w:p>
      <w:pPr>
        <w:pStyle w:val="5"/>
        <w:ind w:firstLine="640"/>
        <w:rPr>
          <w:rFonts w:ascii="Arial" w:hAnsi="Arial"/>
          <w:color w:val="auto"/>
        </w:rPr>
      </w:pPr>
      <w:r>
        <w:rPr>
          <w:rFonts w:hint="eastAsia" w:ascii="Arial" w:hAnsi="Arial"/>
          <w:color w:val="auto"/>
        </w:rPr>
        <w:t>七、沿淮河生态保育带</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范围：涉及桐柏县的5个乡镇,总面积92.6万亩。区域林业用地面积54.2万亩,森林覆盖率42.4%。</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发展重点与举措：强化森林水源涵养和水土保持功能，全面保护和恢复湿地资源，加强自然保护区、森林公园建设，加快沿淮生态廊道建设，强化流域综合治理，建成千里淮河源头绿色走廊。</w:t>
      </w:r>
    </w:p>
    <w:p>
      <w:pPr>
        <w:pStyle w:val="5"/>
        <w:ind w:firstLine="640"/>
        <w:rPr>
          <w:rFonts w:ascii="Arial" w:hAnsi="Arial"/>
          <w:color w:val="auto"/>
        </w:rPr>
      </w:pPr>
      <w:r>
        <w:rPr>
          <w:rFonts w:hint="eastAsia" w:ascii="Arial" w:hAnsi="Arial"/>
          <w:color w:val="auto"/>
        </w:rPr>
        <w:t>八、多廊</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范围：包括铁路、高铁、公路、河流干渠等线性廊道组成的绿色网络。</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发展重点与举措：以铁路、高铁、公路、河渠等为骨架，与路河沟渠林相结合，在其两侧营造防护林带，打造形成全市水相连、路相通、林相接的生态廊道网络。</w:t>
      </w:r>
    </w:p>
    <w:p>
      <w:pPr>
        <w:pStyle w:val="5"/>
        <w:ind w:firstLine="640"/>
        <w:rPr>
          <w:color w:val="auto"/>
        </w:rPr>
      </w:pPr>
      <w:r>
        <w:rPr>
          <w:rFonts w:hint="eastAsia"/>
          <w:color w:val="auto"/>
        </w:rPr>
        <w:t>九、多</w:t>
      </w:r>
      <w:r>
        <w:rPr>
          <w:rFonts w:hint="eastAsia"/>
          <w:color w:val="auto"/>
          <w:lang w:eastAsia="zh-CN"/>
        </w:rPr>
        <w:t>节</w:t>
      </w:r>
      <w:r>
        <w:rPr>
          <w:rFonts w:hint="eastAsia"/>
          <w:color w:val="auto"/>
        </w:rPr>
        <w:t>点</w:t>
      </w:r>
    </w:p>
    <w:p>
      <w:pPr>
        <w:spacing w:line="560" w:lineRule="exact"/>
        <w:ind w:firstLine="600"/>
        <w:rPr>
          <w:rFonts w:hint="eastAsia"/>
          <w:color w:val="auto"/>
          <w:lang w:eastAsia="zh-CN"/>
        </w:rPr>
      </w:pPr>
      <w:r>
        <w:rPr>
          <w:rFonts w:hint="eastAsia" w:ascii="仿宋" w:hAnsi="仿宋" w:eastAsia="仿宋" w:cs="仿宋"/>
          <w:color w:val="auto"/>
          <w:sz w:val="32"/>
          <w:szCs w:val="32"/>
        </w:rPr>
        <w:t>范围：</w:t>
      </w:r>
      <w:r>
        <w:rPr>
          <w:rFonts w:hint="eastAsia" w:ascii="仿宋" w:hAnsi="仿宋" w:eastAsia="仿宋" w:cs="仿宋"/>
          <w:color w:val="auto"/>
          <w:sz w:val="32"/>
          <w:szCs w:val="32"/>
          <w:lang w:eastAsia="zh-CN"/>
        </w:rPr>
        <w:t>南阳市下辖县区的建成区、乡镇建成区、乡村以及自然保护区、森林公园、湿地公园、地质公园等自然保护地。</w:t>
      </w:r>
    </w:p>
    <w:p>
      <w:pPr>
        <w:spacing w:line="560" w:lineRule="exact"/>
        <w:ind w:firstLine="600"/>
        <w:rPr>
          <w:rFonts w:hint="default" w:eastAsia="仿宋"/>
          <w:color w:val="auto"/>
          <w:lang w:val="en-US" w:eastAsia="zh-CN"/>
        </w:rPr>
      </w:pPr>
      <w:r>
        <w:rPr>
          <w:rFonts w:hint="eastAsia" w:ascii="仿宋" w:hAnsi="仿宋" w:eastAsia="仿宋" w:cs="仿宋"/>
          <w:color w:val="auto"/>
          <w:sz w:val="32"/>
          <w:szCs w:val="32"/>
        </w:rPr>
        <w:t>发展重点与举措：</w:t>
      </w:r>
      <w:bookmarkStart w:id="46" w:name="_Toc13411"/>
      <w:r>
        <w:rPr>
          <w:rFonts w:hint="eastAsia" w:ascii="仿宋" w:hAnsi="仿宋" w:eastAsia="仿宋" w:cs="仿宋"/>
          <w:color w:val="auto"/>
          <w:sz w:val="32"/>
          <w:szCs w:val="32"/>
          <w:lang w:eastAsia="zh-CN"/>
        </w:rPr>
        <w:t>以国家和省级森林城市、森林特色小镇、森林乡村为载体，统筹推进城郊森林、森林公园、湿地公园、地质公园建设，提升森林和湿地生态系统功能质量，打造绿树成林、山青水秀、宜居宜业的优美生态环境。</w:t>
      </w:r>
    </w:p>
    <w:p>
      <w:pPr>
        <w:rPr>
          <w:color w:val="auto"/>
          <w:sz w:val="32"/>
        </w:rPr>
        <w:sectPr>
          <w:headerReference r:id="rId3" w:type="default"/>
          <w:footerReference r:id="rId4" w:type="default"/>
          <w:pgSz w:w="11906" w:h="16838"/>
          <w:pgMar w:top="1440" w:right="1701" w:bottom="1440" w:left="1701" w:header="851" w:footer="992" w:gutter="0"/>
          <w:pgNumType w:fmt="decimal" w:start="1"/>
          <w:cols w:space="0" w:num="1"/>
          <w:docGrid w:type="lines" w:linePitch="312" w:charSpace="0"/>
        </w:sectPr>
      </w:pPr>
      <w:r>
        <w:rPr>
          <w:rFonts w:hint="eastAsia"/>
          <w:color w:val="auto"/>
          <w:sz w:val="32"/>
        </w:rPr>
        <w:br w:type="page"/>
      </w:r>
    </w:p>
    <w:p>
      <w:pPr>
        <w:pStyle w:val="3"/>
        <w:rPr>
          <w:color w:val="auto"/>
        </w:rPr>
      </w:pPr>
      <w:bookmarkStart w:id="47" w:name="_Toc14863"/>
      <w:bookmarkStart w:id="48" w:name="_Toc10812"/>
      <w:bookmarkStart w:id="49" w:name="_Toc12698"/>
      <w:bookmarkStart w:id="50" w:name="_Toc23511"/>
      <w:bookmarkStart w:id="51" w:name="_Toc21997"/>
      <w:bookmarkStart w:id="52" w:name="_Toc1410"/>
      <w:bookmarkStart w:id="53" w:name="_Toc4684"/>
      <w:bookmarkStart w:id="54" w:name="_Toc3403"/>
      <w:r>
        <w:rPr>
          <w:rFonts w:hint="eastAsia"/>
          <w:color w:val="auto"/>
        </w:rPr>
        <w:t>第</w:t>
      </w:r>
      <w:r>
        <w:rPr>
          <w:rFonts w:hint="eastAsia"/>
          <w:color w:val="auto"/>
          <w:lang w:val="en-US" w:eastAsia="zh-CN"/>
        </w:rPr>
        <w:t>二</w:t>
      </w:r>
      <w:r>
        <w:rPr>
          <w:rFonts w:hint="eastAsia"/>
          <w:color w:val="auto"/>
        </w:rPr>
        <w:t>章  重点任务</w:t>
      </w:r>
      <w:bookmarkEnd w:id="46"/>
      <w:bookmarkEnd w:id="47"/>
      <w:bookmarkEnd w:id="48"/>
      <w:bookmarkEnd w:id="49"/>
      <w:bookmarkEnd w:id="50"/>
      <w:bookmarkEnd w:id="51"/>
      <w:bookmarkEnd w:id="52"/>
      <w:bookmarkEnd w:id="53"/>
      <w:bookmarkEnd w:id="54"/>
    </w:p>
    <w:p>
      <w:pPr>
        <w:rPr>
          <w:color w:val="auto"/>
        </w:rPr>
      </w:pPr>
    </w:p>
    <w:p>
      <w:pPr>
        <w:pStyle w:val="4"/>
        <w:rPr>
          <w:color w:val="auto"/>
        </w:rPr>
      </w:pPr>
      <w:bookmarkStart w:id="55" w:name="_Toc1085"/>
      <w:bookmarkStart w:id="56" w:name="_Toc22689"/>
      <w:bookmarkStart w:id="57" w:name="_Toc798"/>
      <w:bookmarkStart w:id="58" w:name="_Toc28376"/>
      <w:bookmarkStart w:id="59" w:name="_Toc30672"/>
      <w:bookmarkStart w:id="60" w:name="_Toc1874"/>
      <w:bookmarkStart w:id="61" w:name="_Toc10267"/>
      <w:bookmarkStart w:id="62" w:name="_Toc6188"/>
      <w:bookmarkStart w:id="63" w:name="_Toc30675"/>
      <w:r>
        <w:rPr>
          <w:color w:val="auto"/>
        </w:rPr>
        <w:t>第一节</w:t>
      </w:r>
      <w:r>
        <w:rPr>
          <w:rFonts w:hint="eastAsia"/>
          <w:color w:val="auto"/>
        </w:rPr>
        <w:t xml:space="preserve">  着力加快</w:t>
      </w:r>
      <w:r>
        <w:rPr>
          <w:color w:val="auto"/>
        </w:rPr>
        <w:t>国土绿化</w:t>
      </w:r>
      <w:bookmarkEnd w:id="55"/>
      <w:r>
        <w:rPr>
          <w:rFonts w:hint="eastAsia"/>
          <w:color w:val="auto"/>
        </w:rPr>
        <w:t>进程</w:t>
      </w:r>
      <w:bookmarkEnd w:id="56"/>
      <w:bookmarkEnd w:id="57"/>
      <w:bookmarkEnd w:id="58"/>
      <w:bookmarkEnd w:id="59"/>
      <w:bookmarkEnd w:id="60"/>
      <w:bookmarkEnd w:id="61"/>
      <w:bookmarkEnd w:id="62"/>
      <w:bookmarkEnd w:id="63"/>
    </w:p>
    <w:p>
      <w:pPr>
        <w:rPr>
          <w:color w:val="auto"/>
        </w:rPr>
      </w:pPr>
    </w:p>
    <w:p>
      <w:pPr>
        <w:pStyle w:val="20"/>
        <w:spacing w:beforeAutospacing="0" w:afterAutospacing="0"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认真贯彻落实国务院办公厅《关于坚决制止耕地“非农化”行为》，科学开展国土绿化行动，加强林业重点工程建设，主攻山区造林、完善平原林网、巩固生态廊道绿化，增加森林、湿地面积和森林蓄积量，巩固和扩大生态空间，增强自然生态功能，构筑绿色生态安全屏障。</w:t>
      </w:r>
    </w:p>
    <w:p>
      <w:pPr>
        <w:pStyle w:val="20"/>
        <w:spacing w:beforeAutospacing="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加快造林绿化。深入开展冬春两次全民义务植树活动，发动全社会力量大规模植树增绿，大力发展乡土树种，积极营造混交林，绿化美化国土空间。坚持人工造林、封山育林和飞播造林并举，加强国家储备林、长江淮河防护林、新一轮退耕还林等林业重点工程建设。继续把山区作为造林绿化主战场，加大困难宜林地造林力度，提高工程建设质量，确保造一片成一片。主攻农田林网薄弱环节，完善和提升平原绿化水平，确保粮食稳产高产。持续推进生态廊道网络建设，补齐断档，完善林带，提高廊道绿化水平。推进城乡绿化美化，改善人居生态环境。</w:t>
      </w:r>
    </w:p>
    <w:p>
      <w:pPr>
        <w:pStyle w:val="20"/>
        <w:spacing w:beforeAutospacing="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推进重点区域生态系统修复。加快水土保持、绿色矿山建设步伐，推进丹江、唐白河、淮河等重要河流水源涵养林建设；加强退化森林和残次林修复，加快工矿废弃地、破损山体和灾毁林地生态治理和植被恢复，开展石漠化治理。扎实推进重点生态功能区、生态脆弱区的生态系统修复。</w:t>
      </w:r>
    </w:p>
    <w:p>
      <w:pPr>
        <w:pStyle w:val="20"/>
        <w:spacing w:beforeAutospacing="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加快国家储备林项目建设。推进实施“3+3+N”国储林项目建设模式，不断总结经验，优化模式，完善机制，推进新造林，建设智慧林业系统，加强基础设施建设，实现一期项目“八年任务、五年完成”的目标。</w:t>
      </w:r>
    </w:p>
    <w:p>
      <w:pPr>
        <w:pStyle w:val="20"/>
        <w:spacing w:beforeAutospacing="0" w:afterAutospacing="0" w:line="560" w:lineRule="exact"/>
        <w:ind w:firstLine="640" w:firstLineChars="200"/>
        <w:jc w:val="both"/>
        <w:rPr>
          <w:rFonts w:ascii="Times New Roman" w:hAnsi="Times New Roman" w:eastAsia="仿宋_GB2312" w:cs="Times New Roman"/>
          <w:color w:val="auto"/>
          <w:kern w:val="2"/>
          <w:sz w:val="32"/>
          <w:szCs w:val="32"/>
        </w:rPr>
      </w:pPr>
    </w:p>
    <w:p>
      <w:pPr>
        <w:pStyle w:val="4"/>
        <w:rPr>
          <w:color w:val="auto"/>
        </w:rPr>
      </w:pPr>
      <w:bookmarkStart w:id="64" w:name="_Toc28960"/>
      <w:bookmarkStart w:id="65" w:name="_Toc20802"/>
      <w:bookmarkStart w:id="66" w:name="_Toc1519"/>
      <w:bookmarkStart w:id="67" w:name="_Toc12971"/>
      <w:bookmarkStart w:id="68" w:name="_Toc7479"/>
      <w:bookmarkStart w:id="69" w:name="_Toc3146"/>
      <w:bookmarkStart w:id="70" w:name="_Toc12133"/>
      <w:bookmarkStart w:id="71" w:name="_Toc10452"/>
      <w:bookmarkStart w:id="72" w:name="_Toc1555"/>
      <w:bookmarkStart w:id="73" w:name="_Toc15826"/>
      <w:r>
        <w:rPr>
          <w:rFonts w:hint="eastAsia"/>
          <w:color w:val="auto"/>
        </w:rPr>
        <w:t xml:space="preserve">第二节 </w:t>
      </w:r>
      <w:bookmarkEnd w:id="64"/>
      <w:bookmarkStart w:id="74" w:name="_Toc28394"/>
      <w:r>
        <w:rPr>
          <w:rFonts w:hint="eastAsia"/>
          <w:color w:val="auto"/>
        </w:rPr>
        <w:t xml:space="preserve"> </w:t>
      </w:r>
      <w:bookmarkEnd w:id="74"/>
      <w:r>
        <w:rPr>
          <w:rFonts w:hint="eastAsia"/>
          <w:color w:val="auto"/>
        </w:rPr>
        <w:t>着力推进森林城市建设</w:t>
      </w:r>
      <w:bookmarkEnd w:id="65"/>
      <w:bookmarkEnd w:id="66"/>
      <w:bookmarkEnd w:id="67"/>
      <w:bookmarkEnd w:id="68"/>
      <w:bookmarkEnd w:id="69"/>
      <w:bookmarkEnd w:id="70"/>
      <w:bookmarkEnd w:id="71"/>
      <w:bookmarkEnd w:id="72"/>
    </w:p>
    <w:p>
      <w:pPr>
        <w:rPr>
          <w:color w:val="auto"/>
        </w:rPr>
      </w:pPr>
    </w:p>
    <w:p>
      <w:pPr>
        <w:pStyle w:val="20"/>
        <w:spacing w:beforeAutospacing="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提升国家森林城市建设水平，让森林走进城市，让城市拥抱森林，充分发挥森林在改善城市宜居环境和城市现代风貌方面的独特作用，增加城市绿色元素，使城市森林、绿地、水系、河湖、道路形成完整的生态网络。搞好城市内绿化，使城市适宜绿化的地方都绿起来；搞好城市周边绿化，充分利用不适宜耕作的土地开展绿化造林；搞好城市群绿化，扩大城市之间的生态空间。建设林水相依、林路相依、林居相依的城市森林复合生态系统，为城市营造绿色安全的生产空间、健康宜居的生活空间、优美完备的生态空间。开展国家森林县城、省级森林县城创建，开展森林特色小镇、森林乡村建设，推进创建工作向基层延伸。</w:t>
      </w:r>
    </w:p>
    <w:p>
      <w:pPr>
        <w:pStyle w:val="20"/>
        <w:spacing w:beforeAutospacing="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加强美丽乡村建设。积极稳妥推进新农村生态建设，加快改善农村人居环境。按照乡村林果化、道路林荫化、庭院花园化的要求，建设一条进村景观路，保留一处公共休憩绿地，保护一片民俗风水林，配置一块排污净水湿地，房前屋后见缝插绿，田间地头造林增绿，实现村庄绿化靓化，形成沿河风景林、房前屋后花果林、村中空地休憩林、村庄周围护村林的美丽乡村绿化格局。探索美丽乡村建设新模式，以苗圃、国储林项目基地、月季基地等林业产业为抓手，结合科普基地，打造宜居宜业优美的农村人居环境。</w:t>
      </w:r>
    </w:p>
    <w:p>
      <w:pPr>
        <w:pStyle w:val="27"/>
        <w:spacing w:line="560" w:lineRule="exac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加快构建生态公共服务网络。加大自然保护地、生态体验地公共服务设施建设力度，开发和提供优质的生态教育、游憩休闲、健康养生养老、生态监测等生态服务产品，让广大人民群众亲近森林、感知森林、享受森林。</w:t>
      </w:r>
    </w:p>
    <w:p>
      <w:pPr>
        <w:pStyle w:val="27"/>
        <w:spacing w:line="560" w:lineRule="exac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大力繁荣生态文化。丰富和完善生态博物馆、科技馆、野外生态教育站点、科普长廊、标本馆和植物园、树木园、野生动物园等生态文化载体，加强生态文化传播体系平台建设。加强生态价值观教育，以植树节、森林日、湿地日、地球日、荒漠化日、爱鸟周等重要节日为契机，集中开展主题宣传教育活动，培养爱护森林、保护自然的生态文明理念。</w:t>
      </w:r>
    </w:p>
    <w:p>
      <w:pPr>
        <w:pStyle w:val="27"/>
        <w:spacing w:line="560" w:lineRule="exact"/>
        <w:ind w:firstLine="707" w:firstLineChars="221"/>
        <w:rPr>
          <w:rFonts w:ascii="仿宋_GB2312" w:hAnsi="仿宋_GB2312" w:eastAsia="仿宋_GB2312"/>
          <w:color w:val="auto"/>
          <w:sz w:val="32"/>
          <w:szCs w:val="32"/>
          <w:shd w:val="clear" w:color="auto" w:fill="FFFFFF"/>
        </w:rPr>
      </w:pPr>
    </w:p>
    <w:p>
      <w:pPr>
        <w:pStyle w:val="4"/>
        <w:rPr>
          <w:color w:val="auto"/>
        </w:rPr>
      </w:pPr>
      <w:bookmarkStart w:id="75" w:name="_Toc24708"/>
      <w:bookmarkStart w:id="76" w:name="_Toc29857"/>
      <w:bookmarkStart w:id="77" w:name="_Toc14253"/>
      <w:bookmarkStart w:id="78" w:name="_Toc13279"/>
      <w:bookmarkStart w:id="79" w:name="_Toc13263"/>
      <w:bookmarkStart w:id="80" w:name="_Toc25837"/>
      <w:bookmarkStart w:id="81" w:name="_Toc29912"/>
      <w:bookmarkStart w:id="82" w:name="_Toc13648"/>
      <w:bookmarkStart w:id="83" w:name="_Toc2859"/>
      <w:r>
        <w:rPr>
          <w:rFonts w:hint="eastAsia"/>
          <w:color w:val="auto"/>
        </w:rPr>
        <w:t>第三节  着力提高森林质量</w:t>
      </w:r>
      <w:bookmarkEnd w:id="75"/>
      <w:bookmarkEnd w:id="76"/>
      <w:bookmarkEnd w:id="77"/>
      <w:bookmarkEnd w:id="78"/>
      <w:bookmarkEnd w:id="79"/>
      <w:bookmarkEnd w:id="80"/>
      <w:bookmarkEnd w:id="81"/>
      <w:bookmarkEnd w:id="82"/>
      <w:bookmarkEnd w:id="83"/>
    </w:p>
    <w:p>
      <w:pPr>
        <w:rPr>
          <w:color w:val="auto"/>
        </w:rPr>
      </w:pPr>
    </w:p>
    <w:p>
      <w:pPr>
        <w:pStyle w:val="20"/>
        <w:spacing w:beforeAutospacing="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按照因地制宜、分类施策、造管并举、量质并重的森林可持续经营原则，强化系统管理，实施科学经营，加快培育多目标多功能的健康森林。</w:t>
      </w:r>
    </w:p>
    <w:p>
      <w:pPr>
        <w:pStyle w:val="20"/>
        <w:spacing w:beforeAutospacing="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分类促进科学经营。科学开展天然林经营，保育结合，人工促进天然更新和森林演替，调整林分层次结构，优化树种组成，大力培育天然异龄林。大力推进人工商品林集约经营，提高森林经营强度，积极改造低效退化林分，提高森林质量和林地产出；推进人工公益林近自然经营，大力培育混交林，科学实施抚育经营，适时调整林分密度，促进林木生长。适度开展灌木林经营，有条件的地区适度培育乔木林，形成乔灌混交，提高防护等综合效能。大力开展林地立体复合经营，积极推进立体种植，综合开展森林培育和林下种植养殖。</w:t>
      </w:r>
    </w:p>
    <w:p>
      <w:pPr>
        <w:pStyle w:val="20"/>
        <w:spacing w:beforeAutospacing="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加强森林经营管理。构建森林经营规划体系，在做好二类调查及各项专业调查的基础上，集体林以县（市、区）为单元、国有林场以林场为单元，编制和实施森林经营方案。鼓励集体林以经营主体为单元，编制和实施简明森林经营方案。建立森林经营成效监测评价体系，加强对森林经营活动的管理监督。</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加强林木良种化建设。开展林木良种选育与引进，抓好优良乡土树种种质资源开发利用和品质创新，推广利用林木种子资源。加强林木良种生产基地和保障性苗圃建设，继续实施国家林木良种生产和省级优质苗木培育补贴政策，提高良种生产供应能力。大力推进林木良种使用和推广，实行新造林优先使用良种制度，不断提高良种使用率。</w:t>
      </w:r>
    </w:p>
    <w:p>
      <w:pPr>
        <w:pStyle w:val="20"/>
        <w:spacing w:beforeAutospacing="0" w:afterAutospacing="0" w:line="560" w:lineRule="exact"/>
        <w:ind w:firstLine="640" w:firstLineChars="200"/>
        <w:rPr>
          <w:rFonts w:ascii="仿宋" w:hAnsi="仿宋" w:eastAsia="仿宋" w:cs="仿宋"/>
          <w:color w:val="auto"/>
          <w:kern w:val="2"/>
          <w:sz w:val="32"/>
          <w:szCs w:val="32"/>
        </w:rPr>
      </w:pPr>
      <w:r>
        <w:rPr>
          <w:rFonts w:hint="eastAsia" w:ascii="仿宋" w:hAnsi="仿宋" w:eastAsia="仿宋" w:cs="仿宋"/>
          <w:color w:val="auto"/>
          <w:kern w:val="2"/>
          <w:sz w:val="32"/>
          <w:szCs w:val="32"/>
        </w:rPr>
        <w:t>不断推进混交林培育。新规划造林地应优先营造混交林，现有人工纯林逐渐采取森林抚育措施调整树种结构，退化林、残次林修复采取补植改造、树种替换等方式修复为混交结构，大力栽植乡土树种，积极推行针阔混交、乔灌混交，提高森林质量和生态系统稳定性，提高生态、经济与社会效益。</w:t>
      </w:r>
    </w:p>
    <w:p>
      <w:pPr>
        <w:pStyle w:val="20"/>
        <w:spacing w:beforeAutospacing="0" w:afterAutospacing="0" w:line="560" w:lineRule="exact"/>
        <w:ind w:firstLine="640" w:firstLineChars="200"/>
        <w:rPr>
          <w:rFonts w:eastAsia="仿宋_GB2312"/>
          <w:color w:val="auto"/>
          <w:sz w:val="32"/>
        </w:rPr>
      </w:pPr>
    </w:p>
    <w:p>
      <w:pPr>
        <w:pStyle w:val="4"/>
        <w:rPr>
          <w:color w:val="auto"/>
        </w:rPr>
      </w:pPr>
      <w:bookmarkStart w:id="84" w:name="_Toc15112"/>
      <w:bookmarkStart w:id="85" w:name="_Toc1839"/>
      <w:bookmarkStart w:id="86" w:name="_Toc5509"/>
      <w:bookmarkStart w:id="87" w:name="_Toc10755"/>
      <w:bookmarkStart w:id="88" w:name="_Toc28764"/>
      <w:bookmarkStart w:id="89" w:name="_Toc24362"/>
      <w:bookmarkStart w:id="90" w:name="_Toc10777"/>
      <w:bookmarkStart w:id="91" w:name="_Toc279"/>
      <w:bookmarkStart w:id="92" w:name="_Toc28841"/>
      <w:r>
        <w:rPr>
          <w:rFonts w:hint="eastAsia"/>
          <w:color w:val="auto"/>
        </w:rPr>
        <w:t>第四节  着力发展绿色富民产业</w:t>
      </w:r>
      <w:bookmarkEnd w:id="84"/>
      <w:bookmarkEnd w:id="85"/>
      <w:bookmarkEnd w:id="86"/>
      <w:bookmarkEnd w:id="87"/>
      <w:bookmarkEnd w:id="88"/>
      <w:bookmarkEnd w:id="89"/>
      <w:bookmarkEnd w:id="90"/>
      <w:bookmarkEnd w:id="91"/>
      <w:bookmarkEnd w:id="92"/>
    </w:p>
    <w:p>
      <w:pPr>
        <w:rPr>
          <w:color w:val="auto"/>
        </w:rPr>
      </w:pPr>
    </w:p>
    <w:p>
      <w:pPr>
        <w:pStyle w:val="20"/>
        <w:spacing w:beforeAutospacing="0" w:afterAutospacing="0" w:line="560" w:lineRule="exact"/>
        <w:ind w:firstLine="480" w:firstLineChars="15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围绕实施乡村振兴战略，充分挖掘林业产业在绿色发展中的优势和潜力，以政策引导、示范引领、龙头带动为抓手，发展特色产业，扶持新兴产业，提升传统产业，打造产业品牌，优化产业结构，壮大产业集群，推进林业一二三产业融合发展，加快林业产业绿色化、优质化、特色化、品牌化建设。</w:t>
      </w:r>
    </w:p>
    <w:p>
      <w:pPr>
        <w:pStyle w:val="20"/>
        <w:spacing w:beforeAutospacing="0" w:afterAutospacing="0" w:line="560" w:lineRule="exact"/>
        <w:ind w:firstLine="707" w:firstLineChars="221"/>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加强特色林果基地建设。大力发展以猕猴桃、山茱萸、辛夷、软籽石榴、薄壳核桃、南阳有机大白桃为重点的名优经济林，发展以玉兰、月季为主的特色花卉苗木产业，扩大面积，提高质量，增加效益，建成一批在全省乃至全国有影响力的特色产业基地，努力推进布局区域化、经营规模化、生产标准化、发展产业化。大力发展林下经济，增加生态资源和林地产出。</w:t>
      </w:r>
    </w:p>
    <w:p>
      <w:pPr>
        <w:pStyle w:val="20"/>
        <w:spacing w:beforeAutospacing="0" w:afterAutospacing="0" w:line="560" w:lineRule="exact"/>
        <w:ind w:firstLine="707" w:firstLineChars="221"/>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加快林产加工业发展。推进木材加工、林果加工、林药加工、林产化工等产业加工步伐，培育林业产业化龙头企业，优化产业布局，打造一批精深加工产业化集群，建设特色林业产业园区，形成规模效益。</w:t>
      </w:r>
    </w:p>
    <w:p>
      <w:pPr>
        <w:pStyle w:val="20"/>
        <w:spacing w:beforeAutospacing="0" w:afterAutospacing="0" w:line="560" w:lineRule="exact"/>
        <w:ind w:firstLine="707" w:firstLineChars="221"/>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大力发展森林生态旅游业。以自然保护区、森林公园、湿地公园、地质公园为依托，加快建设一批高标准森林休闲养生基地，发展集旅游、医疗、康养、教育、文化、扶贫于一体的林业综合服务业，向社会提供更多优质生态产品和森林休闲服务，不断满足人们日益增长的优美生态环境需求。</w:t>
      </w:r>
    </w:p>
    <w:p>
      <w:pPr>
        <w:pStyle w:val="20"/>
        <w:spacing w:beforeAutospacing="0" w:afterAutospacing="0" w:line="560" w:lineRule="exact"/>
        <w:ind w:firstLine="707" w:firstLineChars="221"/>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持续举办南阳月季花</w:t>
      </w:r>
      <w:r>
        <w:rPr>
          <w:rFonts w:hint="eastAsia" w:ascii="仿宋" w:hAnsi="仿宋" w:eastAsia="仿宋" w:cs="仿宋"/>
          <w:color w:val="auto"/>
          <w:kern w:val="2"/>
          <w:sz w:val="32"/>
          <w:szCs w:val="32"/>
          <w:lang w:eastAsia="zh-CN"/>
        </w:rPr>
        <w:t>事活动</w:t>
      </w:r>
      <w:r>
        <w:rPr>
          <w:rFonts w:hint="eastAsia" w:ascii="仿宋" w:hAnsi="仿宋" w:eastAsia="仿宋" w:cs="仿宋"/>
          <w:color w:val="auto"/>
          <w:kern w:val="2"/>
          <w:sz w:val="32"/>
          <w:szCs w:val="32"/>
        </w:rPr>
        <w:t>，积极筹</w:t>
      </w:r>
      <w:r>
        <w:rPr>
          <w:rFonts w:hint="eastAsia" w:ascii="仿宋" w:hAnsi="仿宋" w:eastAsia="仿宋" w:cs="仿宋"/>
          <w:color w:val="auto"/>
          <w:kern w:val="2"/>
          <w:sz w:val="32"/>
          <w:szCs w:val="32"/>
          <w:lang w:val="en-US" w:eastAsia="zh-CN"/>
        </w:rPr>
        <w:t>办</w:t>
      </w:r>
      <w:r>
        <w:rPr>
          <w:rFonts w:hint="eastAsia" w:ascii="仿宋" w:hAnsi="仿宋" w:eastAsia="仿宋" w:cs="仿宋"/>
          <w:color w:val="auto"/>
          <w:kern w:val="2"/>
          <w:sz w:val="32"/>
          <w:szCs w:val="32"/>
        </w:rPr>
        <w:t>绿色中国行——走进大美南阳暨首届世界月季博览会，扩大花事活动的影响力和综合效应，进一步宣传南阳、推介南阳月季，不断提升南阳和南阳月季的知名度、美誉度、发展力，使南阳月季名扬国内外。</w:t>
      </w:r>
    </w:p>
    <w:p>
      <w:pPr>
        <w:pStyle w:val="20"/>
        <w:spacing w:beforeAutospacing="0" w:afterAutospacing="0" w:line="560" w:lineRule="exact"/>
        <w:ind w:firstLine="707" w:firstLineChars="221"/>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完善产业服务体系。加快健全林业产业和林产品标准体系，逐步建立林产品产前、产中、产后的全系列标准规范，把无公害、“绿色”标准的推广与优质林产品基地、现代林业标准化科技示范园建设紧密结合起来，建立健全林产品质量检测认证体系和林业产业信用体系，制定林业产业和市场准入负面清单，积极推进产销监管链和生态产品服务认证机制。加强林业产业和林产品市场监测预警工作。加快实施林业品牌发展战略，建设森林标志性产品体系。建设林产品电子商务交易平台，鼓励发展森林产品连锁超市、新型电商企业和仓储物流业。</w:t>
      </w:r>
    </w:p>
    <w:p>
      <w:pPr>
        <w:pStyle w:val="20"/>
        <w:spacing w:beforeAutospacing="0" w:afterAutospacing="0" w:line="560" w:lineRule="exact"/>
        <w:ind w:firstLine="707" w:firstLineChars="221"/>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巩固生态脱贫致富成果。充分发挥林业在脱贫增收上的重要作用，对生态特别重要和脆弱区的已脱贫人口，持续通过公益林管护、育苗、造林、抚育等方式，让有劳动能力的部分已脱贫人口继续参与林业生态建设，实现脱贫增收、长期致富。退耕还林、水土保持、天然林保护、防护林体系建设等重点生态修复工程项目的安排，继续向已脱贫县、已脱贫村倾斜。支持以政府购买服务或设立生态公益岗位的方式，新增生态护林员岗位，优先聘用已脱贫户劳动力，巩固脱贫成果。</w:t>
      </w:r>
    </w:p>
    <w:p>
      <w:pPr>
        <w:pStyle w:val="20"/>
        <w:spacing w:beforeAutospacing="0" w:afterAutospacing="0" w:line="560" w:lineRule="exact"/>
        <w:ind w:firstLine="707" w:firstLineChars="221"/>
        <w:jc w:val="both"/>
        <w:rPr>
          <w:rFonts w:ascii="仿宋_GB2312" w:hAnsi="仿宋_GB2312" w:eastAsia="仿宋_GB2312" w:cs="Times New Roman"/>
          <w:color w:val="auto"/>
          <w:kern w:val="2"/>
          <w:sz w:val="32"/>
          <w:szCs w:val="32"/>
          <w:shd w:val="clear" w:color="auto" w:fill="FFFFFF"/>
        </w:rPr>
      </w:pPr>
    </w:p>
    <w:bookmarkEnd w:id="73"/>
    <w:p>
      <w:pPr>
        <w:pStyle w:val="4"/>
        <w:rPr>
          <w:color w:val="auto"/>
        </w:rPr>
      </w:pPr>
      <w:bookmarkStart w:id="93" w:name="_Toc30571"/>
      <w:bookmarkStart w:id="94" w:name="_Toc11560"/>
      <w:bookmarkStart w:id="95" w:name="_Toc14779"/>
      <w:bookmarkStart w:id="96" w:name="_Toc8766"/>
      <w:bookmarkStart w:id="97" w:name="_Toc17663"/>
      <w:bookmarkStart w:id="98" w:name="_Toc10499"/>
      <w:bookmarkStart w:id="99" w:name="_Toc27499"/>
      <w:bookmarkStart w:id="100" w:name="_Toc4100"/>
      <w:bookmarkStart w:id="101" w:name="_Toc28022"/>
      <w:r>
        <w:rPr>
          <w:rFonts w:hint="eastAsia"/>
          <w:color w:val="auto"/>
        </w:rPr>
        <w:t>第五节  着力深化林业改革</w:t>
      </w:r>
      <w:bookmarkEnd w:id="93"/>
      <w:r>
        <w:rPr>
          <w:rFonts w:hint="eastAsia"/>
          <w:color w:val="auto"/>
        </w:rPr>
        <w:t>创新</w:t>
      </w:r>
      <w:bookmarkEnd w:id="94"/>
      <w:bookmarkEnd w:id="95"/>
      <w:bookmarkEnd w:id="96"/>
      <w:bookmarkEnd w:id="97"/>
      <w:bookmarkEnd w:id="98"/>
      <w:bookmarkEnd w:id="99"/>
      <w:bookmarkEnd w:id="100"/>
      <w:bookmarkEnd w:id="101"/>
    </w:p>
    <w:p>
      <w:pPr>
        <w:rPr>
          <w:color w:val="auto"/>
        </w:rPr>
      </w:pPr>
    </w:p>
    <w:p>
      <w:pPr>
        <w:ind w:firstLine="640" w:firstLineChars="200"/>
        <w:rPr>
          <w:rFonts w:ascii="仿宋" w:hAnsi="仿宋" w:eastAsia="仿宋" w:cs="仿宋"/>
          <w:color w:val="auto"/>
          <w:sz w:val="32"/>
          <w:szCs w:val="40"/>
        </w:rPr>
      </w:pPr>
      <w:r>
        <w:rPr>
          <w:rFonts w:hint="eastAsia" w:ascii="仿宋" w:hAnsi="仿宋" w:eastAsia="仿宋" w:cs="仿宋"/>
          <w:color w:val="auto"/>
          <w:sz w:val="32"/>
          <w:szCs w:val="40"/>
        </w:rPr>
        <w:t>全面推行林长制。建立健全森林资源保护和发展长效机制，全面提升林业治理体系和治理能力现代化水平，着力健全组织体系，加强森林资源管理，提升森林资源质量，借助林长制制度平台和管理机制，压实各级党委政府保护发展森林资源的目标责任，以“林长制”实现“林长治”，不断加强生态文明建设，让绿水青山变成金山银山，努力推动南阳林业高质量发展。</w:t>
      </w:r>
    </w:p>
    <w:p>
      <w:pPr>
        <w:ind w:firstLine="640" w:firstLineChars="200"/>
        <w:rPr>
          <w:rFonts w:ascii="仿宋" w:hAnsi="仿宋" w:eastAsia="仿宋" w:cs="仿宋"/>
          <w:color w:val="auto"/>
          <w:sz w:val="32"/>
          <w:szCs w:val="40"/>
        </w:rPr>
      </w:pPr>
      <w:r>
        <w:rPr>
          <w:rFonts w:hint="eastAsia" w:ascii="仿宋" w:hAnsi="仿宋" w:eastAsia="仿宋" w:cs="仿宋"/>
          <w:color w:val="auto"/>
          <w:sz w:val="32"/>
          <w:szCs w:val="40"/>
        </w:rPr>
        <w:t>继续深化集体林权制度改革。健全集体林三权分置运行机制，赋予经营主体更大生产经营自主权，实行集体和个人所有的天然林商品林全面保护，落实国家停伐管护补助政策。引导集体林适度规模经营，鼓励和引导农户采取转包、出租、入股等方式流转林地经营权和林木所有权，培育壮大规模经营主体，采取多种方式兴办家庭林场、股份合作林场等，积极引导工商资本投资林业。健全多种形式利益联合机制，建立完善龙头企业联林带户机制，为农户提供林地林木代管、统一经营合作、订单林业等专业化服务，鼓励工商资本与农户开展股份合作经营，提高农户从涉林经营中获得更多收益。完善林业管理服务，搭建互联互通的林权流转市场监管服务平台，健全经营纠纷调处机制，探索通过政府购买服务方式，支持社会服务组织开展森林防火、林业有害生物统防统治、森林统一管护等生产性服务。</w:t>
      </w:r>
    </w:p>
    <w:p>
      <w:pPr>
        <w:ind w:firstLine="640" w:firstLineChars="200"/>
        <w:rPr>
          <w:rFonts w:ascii="仿宋" w:hAnsi="仿宋" w:eastAsia="仿宋" w:cs="仿宋"/>
          <w:color w:val="auto"/>
          <w:sz w:val="32"/>
          <w:szCs w:val="40"/>
        </w:rPr>
      </w:pPr>
      <w:r>
        <w:rPr>
          <w:rFonts w:hint="eastAsia" w:ascii="仿宋" w:hAnsi="仿宋" w:eastAsia="仿宋" w:cs="仿宋"/>
          <w:color w:val="auto"/>
          <w:sz w:val="32"/>
          <w:szCs w:val="40"/>
        </w:rPr>
        <w:t>巩固国有林场改革成果。国有林场是生态修复和建设的重要力量，是维护生态安全最重要的基础设施，在造林绿化和森林资源经营管理上取得很大成绩，为保护南阳生态安全、提升人民生态福祉、促进绿色发展发挥了重要作用。在国有林场主体改革任务完成后，要按照《河南省国有林场改革实施方案》要求，明确国有林场公益属性，加强国有林场森林资源保护，加大资金投入和基础设施建设，提高林场保护、监测、科研能力，建立健全森林保护制度、森林经营制度，探索建立森林资源有偿使用制度。加强对国有林场森林资源保护管理情况的常态化考核，将考核结果作为综合考核评价当地政府和有关部门主要领导政绩的重要依据。加强国有林场森林资源监测体系建设，建立健全国有林场森林资源管理档案，定期向社会公布国有林场森林资源状况，接受社会监督，对国有林场场长实行森林资源离任审计。</w:t>
      </w:r>
    </w:p>
    <w:p>
      <w:pPr>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推进实施林业生态产品价值实现机制。建立生态产品调查监测体系。推进森林、草地和湿地确权登记，健全林业资源确权登记制度规范，有序推进统一确权登记，清晰界定林业资源资产产权主体，划清所有权和使用权边界。丰富林业资源资产使用权类型，合理界定出让、转让、出租、抵押、入股等权责归属，依托自然资源统一确权登记明确生态产品权责归属。开展林业生态产品信息普查，摸清各类生态产品数量、质量等底数，形成生态产品目录清单，建立开放共享的生态产品信息云平台。建立生态产品价值评价核算体系，探索构建行政区域单元生态产品总值和特定地域单元生态产品价值评价体系，建立覆盖各级行政区域的生态产品总值统计制度。探索将生态产品价值核算基础数据纳入国民经济核算体系，建立反映生态产品保护和开发成本的价值核算方法。探索建立</w:t>
      </w:r>
      <w:r>
        <w:rPr>
          <w:rFonts w:hint="eastAsia" w:ascii="Times New Roman" w:hAnsi="Times New Roman" w:eastAsia="仿宋_GB2312"/>
          <w:color w:val="auto"/>
          <w:sz w:val="32"/>
          <w:szCs w:val="32"/>
          <w:lang w:val="en-US" w:eastAsia="zh-CN"/>
        </w:rPr>
        <w:t>体</w:t>
      </w:r>
      <w:r>
        <w:rPr>
          <w:rFonts w:hint="eastAsia" w:ascii="Times New Roman" w:hAnsi="Times New Roman" w:eastAsia="仿宋_GB2312"/>
          <w:color w:val="auto"/>
          <w:sz w:val="32"/>
          <w:szCs w:val="32"/>
          <w:lang w:eastAsia="zh-CN"/>
        </w:rPr>
        <w:t>现市场供</w:t>
      </w:r>
      <w:r>
        <w:rPr>
          <w:rFonts w:hint="eastAsia" w:ascii="Times New Roman" w:hAnsi="Times New Roman" w:eastAsia="仿宋_GB2312"/>
          <w:color w:val="auto"/>
          <w:sz w:val="32"/>
          <w:szCs w:val="32"/>
          <w:lang w:val="en-US" w:eastAsia="zh-CN"/>
        </w:rPr>
        <w:t>需</w:t>
      </w:r>
      <w:r>
        <w:rPr>
          <w:rFonts w:hint="eastAsia" w:ascii="Times New Roman" w:hAnsi="Times New Roman" w:eastAsia="仿宋_GB2312"/>
          <w:color w:val="auto"/>
          <w:sz w:val="32"/>
          <w:szCs w:val="32"/>
          <w:lang w:eastAsia="zh-CN"/>
        </w:rPr>
        <w:t>关系的生态产品价格形成机制，推进生态产品价值核算标准化。探索多元化生态产品价值实现路径，通过森林草地湿地占用</w:t>
      </w:r>
      <w:r>
        <w:rPr>
          <w:rFonts w:hint="eastAsia" w:ascii="Times New Roman" w:hAnsi="Times New Roman" w:eastAsia="仿宋_GB2312"/>
          <w:color w:val="auto"/>
          <w:sz w:val="32"/>
          <w:szCs w:val="32"/>
          <w:lang w:val="en-US" w:eastAsia="zh-CN"/>
        </w:rPr>
        <w:t>补</w:t>
      </w:r>
      <w:r>
        <w:rPr>
          <w:rFonts w:hint="eastAsia" w:ascii="Times New Roman" w:hAnsi="Times New Roman" w:eastAsia="仿宋_GB2312"/>
          <w:color w:val="auto"/>
          <w:sz w:val="32"/>
          <w:szCs w:val="32"/>
          <w:lang w:eastAsia="zh-CN"/>
        </w:rPr>
        <w:t>偿、附带生态修复条件的资源配置、林业资源碳汇项目开发及交易、重要生态区域生态保护补偿、自然保护地特许经营权交易等途径，激发社会资本参与生态保护修复及后续产业开发，促进生态产品价值实现。积极培育生态产品区域品牌。探索生态产品资产证券化路径和模式。推动</w:t>
      </w:r>
      <w:r>
        <w:rPr>
          <w:rFonts w:hint="eastAsia" w:ascii="Times New Roman" w:hAnsi="Times New Roman" w:eastAsia="仿宋_GB2312"/>
          <w:color w:val="auto"/>
          <w:sz w:val="32"/>
          <w:szCs w:val="32"/>
          <w:lang w:val="en-US" w:eastAsia="zh-CN"/>
        </w:rPr>
        <w:t>森</w:t>
      </w:r>
      <w:r>
        <w:rPr>
          <w:rFonts w:hint="eastAsia" w:ascii="Times New Roman" w:hAnsi="Times New Roman" w:eastAsia="仿宋_GB2312"/>
          <w:color w:val="auto"/>
          <w:sz w:val="32"/>
          <w:szCs w:val="32"/>
          <w:lang w:eastAsia="zh-CN"/>
        </w:rPr>
        <w:t>林湿地生态产品价值核算成</w:t>
      </w:r>
      <w:r>
        <w:rPr>
          <w:rFonts w:hint="eastAsia" w:ascii="Times New Roman" w:hAnsi="Times New Roman" w:eastAsia="仿宋_GB2312"/>
          <w:color w:val="auto"/>
          <w:sz w:val="32"/>
          <w:szCs w:val="32"/>
          <w:lang w:val="en-US" w:eastAsia="zh-CN"/>
        </w:rPr>
        <w:t>果</w:t>
      </w:r>
      <w:r>
        <w:rPr>
          <w:rFonts w:hint="eastAsia" w:ascii="Times New Roman" w:hAnsi="Times New Roman" w:eastAsia="仿宋_GB2312"/>
          <w:color w:val="auto"/>
          <w:sz w:val="32"/>
          <w:szCs w:val="32"/>
          <w:lang w:eastAsia="zh-CN"/>
        </w:rPr>
        <w:t>应用到相关政策奖补、资源要素配置中，进一步提高决策</w:t>
      </w:r>
      <w:r>
        <w:rPr>
          <w:rFonts w:hint="eastAsia" w:ascii="Times New Roman" w:hAnsi="Times New Roman" w:eastAsia="仿宋_GB2312"/>
          <w:color w:val="auto"/>
          <w:sz w:val="32"/>
          <w:szCs w:val="32"/>
          <w:lang w:val="en-US" w:eastAsia="zh-CN"/>
        </w:rPr>
        <w:t>效</w:t>
      </w:r>
      <w:r>
        <w:rPr>
          <w:rFonts w:hint="eastAsia" w:ascii="Times New Roman" w:hAnsi="Times New Roman" w:eastAsia="仿宋_GB2312"/>
          <w:color w:val="auto"/>
          <w:sz w:val="32"/>
          <w:szCs w:val="32"/>
          <w:lang w:eastAsia="zh-CN"/>
        </w:rPr>
        <w:t>能。</w:t>
      </w:r>
    </w:p>
    <w:p>
      <w:pPr>
        <w:rPr>
          <w:color w:val="auto"/>
        </w:rPr>
      </w:pPr>
    </w:p>
    <w:p>
      <w:pPr>
        <w:pStyle w:val="4"/>
        <w:rPr>
          <w:color w:val="auto"/>
        </w:rPr>
      </w:pPr>
      <w:bookmarkStart w:id="102" w:name="_Toc21166"/>
      <w:bookmarkStart w:id="103" w:name="_Toc22394"/>
      <w:bookmarkStart w:id="104" w:name="_Toc6270"/>
      <w:bookmarkStart w:id="105" w:name="_Toc11112"/>
      <w:bookmarkStart w:id="106" w:name="_Toc21213"/>
      <w:bookmarkStart w:id="107" w:name="_Toc30975"/>
      <w:bookmarkStart w:id="108" w:name="_Toc10151"/>
      <w:bookmarkStart w:id="109" w:name="_Toc25192"/>
      <w:r>
        <w:rPr>
          <w:rFonts w:hint="eastAsia"/>
          <w:color w:val="auto"/>
        </w:rPr>
        <w:t>第六节  着力强化森林资源管护</w:t>
      </w:r>
      <w:bookmarkEnd w:id="102"/>
      <w:bookmarkEnd w:id="103"/>
      <w:bookmarkEnd w:id="104"/>
      <w:bookmarkEnd w:id="105"/>
      <w:bookmarkEnd w:id="106"/>
      <w:bookmarkEnd w:id="107"/>
      <w:bookmarkEnd w:id="108"/>
      <w:bookmarkEnd w:id="109"/>
    </w:p>
    <w:p>
      <w:pPr>
        <w:rPr>
          <w:color w:val="auto"/>
        </w:rPr>
      </w:pPr>
    </w:p>
    <w:p>
      <w:pPr>
        <w:pStyle w:val="27"/>
        <w:spacing w:line="560" w:lineRule="exac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全面保护天然林资源。完善天然林保护制度，严格保护天然乔木林，全面停止国有林场等国有单位天然林商业性采伐，协议停止集体和个人天然林商业性采伐。加强天然灌木林、未成林封育地、疏林地管护。实行各级政府负总责，市、县区政府认真落实目标、任务、资金和责任，健全和落实天然林管护体系。</w:t>
      </w:r>
    </w:p>
    <w:p>
      <w:pPr>
        <w:pStyle w:val="27"/>
        <w:spacing w:line="560" w:lineRule="exac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严格保护森林资源。加强林地资源管理，做好森林资源二类调查，强化林地“一张图”建设、应用和维护更新，分级分类进行林地用途管制，严格控制林地转化为其他用途土地，积极开展年度林地变更调查。加强森林资源监测，积极探索森林资源调查监测成果发布机制。建立以森林经营方案为基础、总量与强度双控的森林采伐管理新机制，健全公益林管理和政策体系。严格实施森林资源监督和林政稽查。加强古树名木保护和复壮，严禁移植天然大树进城。</w:t>
      </w:r>
    </w:p>
    <w:p>
      <w:pPr>
        <w:pStyle w:val="27"/>
        <w:spacing w:line="560" w:lineRule="exac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加强自然保护地管理。严格湿地管理，实行湿地资源总量控制，按照国家、省制定的自然保护地、湿地修复制度，构建适应全面保护要求的自然保护体系，开展退耕还湿、退养还滩、生态补水，保障自然保护地、重要河流湿地及河口生态水位，稳定和扩大自然保护地、湿地面积，开展污染和有害生物防控，保护生物多样性，改善自然保护地、湿地生态质量，维护自然保护地、湿地生态系统的完整性和稳定性，构建统一的自然保护地、湿地监测、评估和预警平台，探索开展自然保护地、湿地生态效益补偿。完善自然保护地制度，开展自然保护地整合优化，理顺风景名胜区、地质公园关系，加强管理，有效保护、合理利用。整合各类交叉重叠的自然保护地，归并优化相邻自然保护地。分区分类开展受损自然生态系统修复，复原连通生态廊道，开展栖息地恢复和废弃地修复。分类解决历史遗留问题，稳步推进核心区内居民、耕地、矿权退出。加强自然保护区、风景名胜区、地质公园、森林公园、湿地公园能力建设，创新保护修复、差别化管控机制，建立分类科学、布局合理、保护有力、管理有效的自然保护地体系，提高生态系统保护成效。配合省林业局做好伏牛山国家公园申报建设工作，建立以国家公园为主体的自然保护地体系，把该保护的地方都保护起来，推动自然保护地率先实现生态根本好转，提升自然生态空间承载力。</w:t>
      </w:r>
    </w:p>
    <w:p>
      <w:pPr>
        <w:pStyle w:val="27"/>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强化野生动植物资源保护与管理。保护、修复和扩大珍稀野生动植物栖息地，开展濒危野生动植物抢救性保护，实施极度濒危野生动物和极小种群野生植物保护工程，加强珍稀濒危野生动植物救护繁育和野化放归。加强野生动植物基因保护保存体系，建设野生动植物基因设施库；加强林木种质资源管理，收集、保护、引进一批珍贵种质资源，建设林木种质资源原地、异地保存库。完善野生动物疫源疫病防控体系，提高疫情防控能力。构建以自然保护区为主体、其他保护地和保护小区为补充的自然保护体系，完善生物多样性保护网络。在各类自然保护地及生态重要区域设立一批野生动植物观测站点，逐步形成设施先进、管理高效的野生动植物监管体系。认真贯彻落实全国人大常委会《关于全面禁止非法野生动物交易、革除滥食野生动物陋习、切实保障人民群众生命健康安全的决定》，强化野生动物繁育利用和管理。</w:t>
      </w:r>
    </w:p>
    <w:p>
      <w:pPr>
        <w:pStyle w:val="27"/>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持续抓好森林防火预防工作。切实加强森林防火工作，坚持“预防为主、积极消灭”的方针，按照“科学分区、分类施策”的治理原则，推进传统防火和科学防火相结合、风力灭火和以水灭火相结合、人力灭火和机械灭火相结合，指导开展防火巡护、火源管理、日常检查、宣传教育、防火设施建设等，</w:t>
      </w:r>
      <w:r>
        <w:rPr>
          <w:rFonts w:hint="eastAsia" w:ascii="仿宋" w:hAnsi="仿宋" w:eastAsia="仿宋" w:cs="仿宋"/>
          <w:color w:val="auto"/>
          <w:sz w:val="32"/>
          <w:szCs w:val="32"/>
          <w:lang w:val="en-US" w:eastAsia="zh-CN"/>
        </w:rPr>
        <w:t>建立健全森林防火机构和队伍，</w:t>
      </w:r>
      <w:r>
        <w:rPr>
          <w:rFonts w:hint="eastAsia" w:ascii="仿宋" w:hAnsi="仿宋" w:eastAsia="仿宋" w:cs="仿宋"/>
          <w:color w:val="auto"/>
          <w:sz w:val="32"/>
          <w:szCs w:val="32"/>
        </w:rPr>
        <w:t>加大依法治火力度，建立健全长效机制，提高森林火灾综合预防能力。全面加强林业有害生物预测预报、防治体系，按照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预防为主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综合防控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原则，健全完善林业有害生物检疫制度，坚持“预防为主、科学治理、依法监管、强化责任”的方针，采取“突出重点、分级管理、分类施策、分区治理”的防治策略，在林业有害生物发生区域内建立绿色防控区，大力推行森林健康、工程治理、无公害防治等治理措施，积极应对突发林业生物灾害，减少主要林业有害生物发生范围和危害程度，控制危险性有害生物扩散蔓延。</w:t>
      </w:r>
    </w:p>
    <w:p>
      <w:pPr>
        <w:pStyle w:val="27"/>
        <w:spacing w:line="560" w:lineRule="exac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加强生态红线管控。划定林地、森林、湿地、物种等生态红线并落实到山头地块，制定最严格的管理办法，实行生态红线总量管控。加强林地、湿地用途管制，实行规划管理、定额管理和用途管制。强化森林资源监督机制。</w:t>
      </w:r>
      <w:bookmarkStart w:id="110" w:name="_Toc31102"/>
    </w:p>
    <w:p>
      <w:pPr>
        <w:pStyle w:val="27"/>
        <w:spacing w:line="560" w:lineRule="exact"/>
        <w:ind w:firstLine="707" w:firstLineChars="221"/>
        <w:rPr>
          <w:rFonts w:ascii="Times New Roman" w:hAnsi="Times New Roman" w:eastAsia="仿宋_GB2312"/>
          <w:color w:val="auto"/>
          <w:sz w:val="32"/>
          <w:szCs w:val="32"/>
        </w:rPr>
      </w:pPr>
    </w:p>
    <w:p>
      <w:pPr>
        <w:pStyle w:val="4"/>
        <w:rPr>
          <w:color w:val="auto"/>
        </w:rPr>
      </w:pPr>
      <w:bookmarkStart w:id="111" w:name="_Toc5362"/>
      <w:bookmarkStart w:id="112" w:name="_Toc8858"/>
      <w:bookmarkStart w:id="113" w:name="_Toc10447"/>
      <w:bookmarkStart w:id="114" w:name="_Toc22369"/>
      <w:bookmarkStart w:id="115" w:name="_Toc29275"/>
      <w:bookmarkStart w:id="116" w:name="_Toc32700"/>
      <w:bookmarkStart w:id="117" w:name="_Toc28263"/>
      <w:bookmarkStart w:id="118" w:name="_Toc28879"/>
      <w:r>
        <w:rPr>
          <w:rFonts w:hint="eastAsia"/>
          <w:color w:val="auto"/>
        </w:rPr>
        <w:t>第七节  着力加强京宛对口协作</w:t>
      </w:r>
      <w:bookmarkEnd w:id="111"/>
    </w:p>
    <w:p>
      <w:pPr>
        <w:spacing w:line="560" w:lineRule="exact"/>
        <w:rPr>
          <w:rFonts w:ascii="仿宋" w:hAnsi="仿宋" w:eastAsia="仿宋" w:cs="仿宋"/>
          <w:color w:val="auto"/>
          <w:sz w:val="32"/>
          <w:szCs w:val="32"/>
        </w:rPr>
      </w:pPr>
    </w:p>
    <w:p>
      <w:pPr>
        <w:pStyle w:val="20"/>
        <w:spacing w:beforeAutospacing="0" w:afterAutospacing="0" w:line="560" w:lineRule="exact"/>
        <w:ind w:firstLine="646" w:firstLineChars="202"/>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加强生态合作，保障水质安全。南阳作为南水北调中线工程渠首所在地和核心水源区，与北京因水结缘开展对口协作，打造绿水青山，保水质护运行，确保清水永续北送是重要的政治责任。多年来，南阳在涵养水源、保护水源地生态环境等方面做了大量卓有成效的工作，但加强生态建设、改善生态环境的压力仍然很大。按照“互利互惠、共建共管”的原则，加强与北京市政府、机关、团体、企业合作，参与水源区生态建设，保障水质安全。积极鼓励引导京宛两地社会各方力量，参与水源区及干渠沿线等重点区域、流域生态建设，实施库区生态隔离带、天然林保护、水源涵养林、封山育林、长防林、退耕还林、农田防护林、石漠化治理等工程，加强自然保护区、森林公园、湿地公园、地质公园建设，筑牢绿色生态屏障，提高森林覆盖率，增强其涵养水源、保持水土能力。</w:t>
      </w:r>
    </w:p>
    <w:p>
      <w:pPr>
        <w:pStyle w:val="20"/>
        <w:spacing w:beforeAutospacing="0" w:afterAutospacing="0" w:line="560" w:lineRule="exact"/>
        <w:ind w:firstLine="646" w:firstLineChars="202"/>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加强项目合作，促进产业发展。坚持走“产业生态化、生态产业化”之路，依托特色优势资源，加快推进特色林产品基地和特色林业示范园区建设，培植龙头企业，延长产业链条，大力发展标准化、规模化、产业化有机绿色林产品，发挥林业经济效益。大力发展高效规模种养业。加强特色林果基地建设，突出发展名优经济林，扩大面积，提高质量，增加效益，建成一批在全省乃至全国有影响力的特色产业基地，努力推进布局区域化、经营规模化、生产标准化、发展产业化。加快发展林下经济，增加生态资源和林地产出。利用北京地区涉林企业和科研院校先进技术和实践经验，积极引进北京先进的林业人才、科技、成果、设施和生产方式，引导鼓励北京龙头企业，在南阳共同建立集约型特色农林养殖示范基地，快速提升南阳种养业发展水平。加快提升林产品精深加工业。加大与北京地区以及国内外知名林产品加工企业合作对接，促进林产加工业发展，推进木材加工、林果加工、林药加工、林产化工等产业发展步伐，培育林业产业化龙头企业，优化产业布局，打造一批精深加工产业化集群，建设特色林业产业园区，形成规模效益。鼓励本地龙头企业与北京企业联产、联营，本地特色林产经初加工、半成品加工后，输送到北京企业进行深加工或就地深加工，实现南阳特色林产品北京本土化，推进林产品加工业向精、尖、深方向发展，进一步迎合北京人消费习惯和消费需求。利用北京金融优势，扶持南阳林业龙头企业上市融资，提高企业竞争力，实现林产品多元化、品牌化。巩固扩大林产品产销合作。巩固加强与北京的产销对接关系，继续加大水源地特色林产品市场准入、绿色通道、市场营销等方面支持，畅通进京“绿色通道”。进一步推进京宛农超对接，完善农超对接机制，大力开展特色、优质水果、优势畜禽、水产、食用菌、茶叶等林产品贸易合作，提高设计包装水平，加大推介营销力度，增加在京销售网点，拓宽当地林特产品进京销售主渠道，发展网上交易和电子商务，打响“中线渠首”林产品牌，扩大进京市场规模。加强订单对接，建立企业＋基地＋农户、专业合作社＋基地＋农户、流通组织＋基地＋农户、市民＋基地＋农户的经营模式，积极引导北京企业、专业合作社和市民发展订单农业，促进市民与农民购销协作。积极发展林养游一体化项目合作。加快建设一批高标准森林休闲养生基地，发展集旅游、医疗、康养、教育、文化、扶贫于一体的林业综合服务业，积极与北京市相关开发公司开展种植技术、经营管理、市场营销等方面的交流合作，挖掘水源区林业文化内涵，以优质特色林农产品基地为载体，精心打造一批集采摘、观赏、餐饮、休闲等地方特色项目，加快发展集休闲观光、劳动实践、趣味活动等为一体的生态旅游休闲观光林业。</w:t>
      </w:r>
    </w:p>
    <w:p>
      <w:pPr>
        <w:pStyle w:val="20"/>
        <w:spacing w:beforeAutospacing="0" w:afterAutospacing="0" w:line="560" w:lineRule="exact"/>
        <w:ind w:firstLine="646" w:firstLineChars="202"/>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加强科技合作，增强创新能力。“十四五”期间，持续加强与北京科研院所开展深度合作，共建共享科研平台，拓展我市特色种苗花卉占领北京市场份额，推动产业快速发展。强化科研机构对接。加强与北京在科技创新领域的对接交流，重点做好与中国农大、中国林科院、中国园林科学院等高校、科研院所、高科技企业的战略合作。共建科技创新平台。以南阳市林科院为重点，通过技术引进、科研攻关、学术交流、人才引进等方面合作，争取建成一批国家、省级重点实验室、工程技术研究中心、院士工作站，提升南阳林业科技创新能力。促进科技成果转化。提升京宛科技综合服务平台运营管理水平，密切关注北京科技成果信息发布，根据我市林业科技诉求，加强双方线上、线下沟通对接，认真筛选北京优秀科技成果和先进生产工艺，积极引入南阳，加快推广应用。积极引进高端紧缺人才。利用京宛合作平台，邀请院士专家开展项目论证、技术攻关、科技成果帮扶，为南阳林业发展提供智力支持。以南阳产业发展紧缺人才需求为靶向，按照“不求所有、但求所用”的柔性原则，积极联系北京高校、科研院所等人才集聚单位，引进林业科技人才、学科带头人，服务南阳林业建设。</w:t>
      </w:r>
    </w:p>
    <w:p>
      <w:pPr>
        <w:pStyle w:val="20"/>
        <w:spacing w:beforeAutospacing="0" w:afterAutospacing="0" w:line="560" w:lineRule="exact"/>
        <w:ind w:firstLine="646" w:firstLineChars="202"/>
        <w:jc w:val="both"/>
        <w:rPr>
          <w:rFonts w:hint="eastAsia" w:ascii="仿宋" w:hAnsi="仿宋" w:eastAsia="仿宋" w:cs="仿宋"/>
          <w:color w:val="auto"/>
          <w:kern w:val="2"/>
          <w:sz w:val="32"/>
          <w:szCs w:val="32"/>
        </w:rPr>
      </w:pPr>
    </w:p>
    <w:p>
      <w:pPr>
        <w:pStyle w:val="4"/>
        <w:numPr>
          <w:ilvl w:val="0"/>
          <w:numId w:val="1"/>
        </w:numPr>
        <w:jc w:val="center"/>
        <w:rPr>
          <w:rFonts w:hint="eastAsia"/>
          <w:color w:val="auto"/>
        </w:rPr>
      </w:pPr>
      <w:r>
        <w:rPr>
          <w:rFonts w:hint="eastAsia"/>
          <w:color w:val="auto"/>
        </w:rPr>
        <w:t xml:space="preserve"> </w:t>
      </w:r>
      <w:bookmarkStart w:id="119" w:name="_Toc8179"/>
      <w:r>
        <w:rPr>
          <w:rFonts w:hint="eastAsia"/>
          <w:color w:val="auto"/>
        </w:rPr>
        <w:t>着力</w:t>
      </w:r>
      <w:r>
        <w:rPr>
          <w:rFonts w:hint="eastAsia"/>
          <w:color w:val="auto"/>
          <w:lang w:eastAsia="zh-CN"/>
        </w:rPr>
        <w:t>提升林业草地湿地碳汇</w:t>
      </w:r>
      <w:r>
        <w:rPr>
          <w:rFonts w:hint="eastAsia"/>
          <w:color w:val="auto"/>
        </w:rPr>
        <w:t>能力</w:t>
      </w:r>
      <w:bookmarkEnd w:id="119"/>
    </w:p>
    <w:p>
      <w:pPr>
        <w:numPr>
          <w:ilvl w:val="0"/>
          <w:numId w:val="0"/>
        </w:numPr>
        <w:rPr>
          <w:rFonts w:hint="eastAsia"/>
          <w:color w:val="auto"/>
          <w:lang w:val="en-US" w:eastAsia="zh-CN"/>
        </w:rPr>
      </w:pPr>
      <w:r>
        <w:rPr>
          <w:rFonts w:hint="eastAsia"/>
          <w:color w:val="auto"/>
          <w:lang w:val="en-US" w:eastAsia="zh-CN"/>
        </w:rPr>
        <w:t xml:space="preserve">      </w:t>
      </w:r>
    </w:p>
    <w:p>
      <w:pPr>
        <w:pStyle w:val="2"/>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积极响应国家应对气候变化承诺的目标，提升林草湿</w:t>
      </w:r>
      <w:r>
        <w:rPr>
          <w:rFonts w:hint="eastAsia" w:ascii="仿宋" w:hAnsi="仿宋" w:eastAsia="仿宋" w:cs="仿宋"/>
          <w:color w:val="auto"/>
          <w:kern w:val="2"/>
          <w:sz w:val="32"/>
          <w:szCs w:val="32"/>
          <w:lang w:val="en-US" w:eastAsia="zh-CN" w:bidi="ar-SA"/>
        </w:rPr>
        <w:t>地</w:t>
      </w:r>
      <w:r>
        <w:rPr>
          <w:rFonts w:hint="default" w:ascii="仿宋" w:hAnsi="仿宋" w:eastAsia="仿宋" w:cs="仿宋"/>
          <w:color w:val="auto"/>
          <w:kern w:val="2"/>
          <w:sz w:val="32"/>
          <w:szCs w:val="32"/>
          <w:lang w:val="en-US" w:eastAsia="zh-CN" w:bidi="ar-SA"/>
        </w:rPr>
        <w:t>碳汇能力，加强应对气候变化。</w:t>
      </w:r>
    </w:p>
    <w:p>
      <w:pPr>
        <w:pStyle w:val="2"/>
        <w:numPr>
          <w:ilvl w:val="0"/>
          <w:numId w:val="0"/>
        </w:numPr>
        <w:ind w:firstLine="640" w:firstLineChars="200"/>
        <w:jc w:val="both"/>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全面发挥碳中和林业效能</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科学评估林草湿</w:t>
      </w:r>
      <w:r>
        <w:rPr>
          <w:rFonts w:hint="eastAsia" w:ascii="仿宋" w:hAnsi="仿宋" w:eastAsia="仿宋" w:cs="仿宋"/>
          <w:color w:val="auto"/>
          <w:kern w:val="2"/>
          <w:sz w:val="32"/>
          <w:szCs w:val="32"/>
          <w:lang w:val="en-US" w:eastAsia="zh-CN" w:bidi="ar-SA"/>
        </w:rPr>
        <w:t>地</w:t>
      </w:r>
      <w:r>
        <w:rPr>
          <w:rFonts w:hint="default" w:ascii="仿宋" w:hAnsi="仿宋" w:eastAsia="仿宋" w:cs="仿宋"/>
          <w:color w:val="auto"/>
          <w:kern w:val="2"/>
          <w:sz w:val="32"/>
          <w:szCs w:val="32"/>
          <w:lang w:val="en-US" w:eastAsia="zh-CN" w:bidi="ar-SA"/>
        </w:rPr>
        <w:t>碳汇能力，围绕实现碳达峰、碳中和</w:t>
      </w:r>
      <w:r>
        <w:rPr>
          <w:rFonts w:hint="eastAsia" w:ascii="仿宋" w:hAnsi="仿宋" w:eastAsia="仿宋" w:cs="仿宋"/>
          <w:color w:val="auto"/>
          <w:kern w:val="2"/>
          <w:sz w:val="32"/>
          <w:szCs w:val="32"/>
          <w:lang w:val="en-US" w:eastAsia="zh-CN" w:bidi="ar-SA"/>
        </w:rPr>
        <w:t>目标</w:t>
      </w:r>
      <w:r>
        <w:rPr>
          <w:rFonts w:hint="default" w:ascii="仿宋" w:hAnsi="仿宋" w:eastAsia="仿宋" w:cs="仿宋"/>
          <w:color w:val="auto"/>
          <w:kern w:val="2"/>
          <w:sz w:val="32"/>
          <w:szCs w:val="32"/>
          <w:lang w:val="en-US" w:eastAsia="zh-CN" w:bidi="ar-SA"/>
        </w:rPr>
        <w:t>，制定林草实施方案</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持续增强林草湿地碳汇能力。积极推进以增量扩容、提质增效为主要目标的可持续经营，精准提升森林质量，增加森林蓄积，提高乔木林单位面积蓄积量，增强森林固碳能力，到2025年，</w:t>
      </w:r>
      <w:r>
        <w:rPr>
          <w:rFonts w:hint="default" w:ascii="仿宋" w:hAnsi="仿宋" w:eastAsia="仿宋" w:cs="仿宋"/>
          <w:b w:val="0"/>
          <w:bCs w:val="0"/>
          <w:color w:val="auto"/>
          <w:kern w:val="2"/>
          <w:sz w:val="32"/>
          <w:szCs w:val="32"/>
          <w:lang w:val="en-US" w:eastAsia="zh-CN" w:bidi="ar-SA"/>
        </w:rPr>
        <w:t>森林面积</w:t>
      </w:r>
      <w:r>
        <w:rPr>
          <w:rFonts w:hint="default" w:ascii="仿宋" w:hAnsi="仿宋" w:eastAsia="仿宋" w:cs="仿宋"/>
          <w:b/>
          <w:bCs/>
          <w:color w:val="auto"/>
          <w:kern w:val="2"/>
          <w:sz w:val="32"/>
          <w:szCs w:val="32"/>
          <w:lang w:val="en-US" w:eastAsia="zh-CN" w:bidi="ar-SA"/>
        </w:rPr>
        <w:t>净增</w:t>
      </w:r>
      <w:r>
        <w:rPr>
          <w:rFonts w:hint="eastAsia" w:ascii="仿宋" w:hAnsi="仿宋" w:eastAsia="仿宋" w:cs="仿宋"/>
          <w:b/>
          <w:bCs/>
          <w:color w:val="auto"/>
          <w:kern w:val="2"/>
          <w:sz w:val="32"/>
          <w:szCs w:val="32"/>
          <w:lang w:val="en-US" w:eastAsia="zh-CN" w:bidi="ar-SA"/>
        </w:rPr>
        <w:t>25.8</w:t>
      </w:r>
      <w:r>
        <w:rPr>
          <w:rFonts w:hint="default" w:ascii="仿宋" w:hAnsi="仿宋" w:eastAsia="仿宋" w:cs="仿宋"/>
          <w:b/>
          <w:bCs/>
          <w:color w:val="auto"/>
          <w:kern w:val="2"/>
          <w:sz w:val="32"/>
          <w:szCs w:val="32"/>
          <w:lang w:val="en-US" w:eastAsia="zh-CN" w:bidi="ar-SA"/>
        </w:rPr>
        <w:t>万</w:t>
      </w:r>
      <w:r>
        <w:rPr>
          <w:rFonts w:hint="eastAsia" w:ascii="仿宋" w:hAnsi="仿宋" w:eastAsia="仿宋" w:cs="仿宋"/>
          <w:b/>
          <w:bCs/>
          <w:color w:val="auto"/>
          <w:kern w:val="2"/>
          <w:sz w:val="32"/>
          <w:szCs w:val="32"/>
          <w:lang w:val="en-US" w:eastAsia="zh-CN" w:bidi="ar-SA"/>
        </w:rPr>
        <w:t>亩</w:t>
      </w:r>
      <w:r>
        <w:rPr>
          <w:rFonts w:hint="default" w:ascii="仿宋" w:hAnsi="仿宋" w:eastAsia="仿宋" w:cs="仿宋"/>
          <w:b/>
          <w:bCs/>
          <w:color w:val="auto"/>
          <w:kern w:val="2"/>
          <w:sz w:val="32"/>
          <w:szCs w:val="32"/>
          <w:lang w:val="en-US" w:eastAsia="zh-CN" w:bidi="ar-SA"/>
        </w:rPr>
        <w:t>以上，</w:t>
      </w:r>
      <w:r>
        <w:rPr>
          <w:rFonts w:hint="default" w:ascii="仿宋" w:hAnsi="仿宋" w:eastAsia="仿宋" w:cs="仿宋"/>
          <w:color w:val="auto"/>
          <w:kern w:val="2"/>
          <w:sz w:val="32"/>
          <w:szCs w:val="32"/>
          <w:lang w:val="en-US" w:eastAsia="zh-CN" w:bidi="ar-SA"/>
        </w:rPr>
        <w:t>森林蓄积量</w:t>
      </w:r>
      <w:r>
        <w:rPr>
          <w:rFonts w:hint="default" w:ascii="仿宋" w:hAnsi="仿宋" w:eastAsia="仿宋" w:cs="仿宋"/>
          <w:b/>
          <w:bCs/>
          <w:color w:val="auto"/>
          <w:kern w:val="2"/>
          <w:sz w:val="32"/>
          <w:szCs w:val="32"/>
          <w:lang w:val="en-US" w:eastAsia="zh-CN" w:bidi="ar-SA"/>
        </w:rPr>
        <w:t>净增</w:t>
      </w:r>
      <w:r>
        <w:rPr>
          <w:rFonts w:hint="eastAsia" w:ascii="仿宋" w:hAnsi="仿宋" w:eastAsia="仿宋" w:cs="仿宋"/>
          <w:b/>
          <w:bCs/>
          <w:color w:val="auto"/>
          <w:kern w:val="2"/>
          <w:sz w:val="32"/>
          <w:szCs w:val="32"/>
          <w:lang w:val="en-US" w:eastAsia="zh-CN" w:bidi="ar-SA"/>
        </w:rPr>
        <w:t>425</w:t>
      </w:r>
      <w:r>
        <w:rPr>
          <w:rFonts w:hint="default" w:ascii="仿宋" w:hAnsi="仿宋" w:eastAsia="仿宋" w:cs="仿宋"/>
          <w:b/>
          <w:bCs/>
          <w:color w:val="auto"/>
          <w:kern w:val="2"/>
          <w:sz w:val="32"/>
          <w:szCs w:val="32"/>
          <w:lang w:val="en-US" w:eastAsia="zh-CN" w:bidi="ar-SA"/>
        </w:rPr>
        <w:t>万立方米以上</w:t>
      </w:r>
      <w:r>
        <w:rPr>
          <w:rFonts w:hint="default" w:ascii="仿宋" w:hAnsi="仿宋" w:eastAsia="仿宋" w:cs="仿宋"/>
          <w:color w:val="auto"/>
          <w:kern w:val="2"/>
          <w:sz w:val="32"/>
          <w:szCs w:val="32"/>
          <w:lang w:val="en-US" w:eastAsia="zh-CN" w:bidi="ar-SA"/>
        </w:rPr>
        <w:t>，森林植被碳储量由</w:t>
      </w:r>
      <w:r>
        <w:rPr>
          <w:rFonts w:hint="default" w:ascii="仿宋" w:hAnsi="仿宋" w:eastAsia="仿宋" w:cs="仿宋"/>
          <w:b/>
          <w:bCs/>
          <w:color w:val="auto"/>
          <w:kern w:val="2"/>
          <w:sz w:val="32"/>
          <w:szCs w:val="32"/>
          <w:lang w:val="en-US" w:eastAsia="zh-CN" w:bidi="ar-SA"/>
        </w:rPr>
        <w:t>2020年的</w:t>
      </w:r>
      <w:r>
        <w:rPr>
          <w:rFonts w:hint="eastAsia" w:ascii="仿宋" w:hAnsi="仿宋" w:eastAsia="仿宋" w:cs="仿宋"/>
          <w:b/>
          <w:bCs/>
          <w:color w:val="auto"/>
          <w:kern w:val="2"/>
          <w:sz w:val="32"/>
          <w:szCs w:val="32"/>
          <w:lang w:val="en-US" w:eastAsia="zh-CN" w:bidi="ar-SA"/>
        </w:rPr>
        <w:t>0.26</w:t>
      </w:r>
      <w:r>
        <w:rPr>
          <w:rFonts w:hint="default" w:ascii="仿宋" w:hAnsi="仿宋" w:eastAsia="仿宋" w:cs="仿宋"/>
          <w:b/>
          <w:bCs/>
          <w:color w:val="auto"/>
          <w:kern w:val="2"/>
          <w:sz w:val="32"/>
          <w:szCs w:val="32"/>
          <w:lang w:val="en-US" w:eastAsia="zh-CN" w:bidi="ar-SA"/>
        </w:rPr>
        <w:t>亿吨</w:t>
      </w:r>
      <w:r>
        <w:rPr>
          <w:rFonts w:hint="default" w:ascii="仿宋" w:hAnsi="仿宋" w:eastAsia="仿宋" w:cs="仿宋"/>
          <w:color w:val="auto"/>
          <w:kern w:val="2"/>
          <w:sz w:val="32"/>
          <w:szCs w:val="32"/>
          <w:lang w:val="en-US" w:eastAsia="zh-CN" w:bidi="ar-SA"/>
        </w:rPr>
        <w:t>增长到2</w:t>
      </w:r>
      <w:r>
        <w:rPr>
          <w:rFonts w:hint="default" w:ascii="仿宋" w:hAnsi="仿宋" w:eastAsia="仿宋" w:cs="仿宋"/>
          <w:b/>
          <w:bCs/>
          <w:color w:val="auto"/>
          <w:kern w:val="2"/>
          <w:sz w:val="32"/>
          <w:szCs w:val="32"/>
          <w:lang w:val="en-US" w:eastAsia="zh-CN" w:bidi="ar-SA"/>
        </w:rPr>
        <w:t>025年的</w:t>
      </w:r>
      <w:r>
        <w:rPr>
          <w:rFonts w:hint="eastAsia" w:ascii="仿宋" w:hAnsi="仿宋" w:eastAsia="仿宋" w:cs="仿宋"/>
          <w:b/>
          <w:bCs/>
          <w:color w:val="auto"/>
          <w:kern w:val="2"/>
          <w:sz w:val="32"/>
          <w:szCs w:val="32"/>
          <w:lang w:val="en-US" w:eastAsia="zh-CN" w:bidi="ar-SA"/>
        </w:rPr>
        <w:t>0.29</w:t>
      </w:r>
      <w:r>
        <w:rPr>
          <w:rFonts w:hint="default" w:ascii="仿宋" w:hAnsi="仿宋" w:eastAsia="仿宋" w:cs="仿宋"/>
          <w:b/>
          <w:bCs/>
          <w:color w:val="auto"/>
          <w:kern w:val="2"/>
          <w:sz w:val="32"/>
          <w:szCs w:val="32"/>
          <w:lang w:val="en-US" w:eastAsia="zh-CN" w:bidi="ar-SA"/>
        </w:rPr>
        <w:t>亿吨</w:t>
      </w:r>
      <w:r>
        <w:rPr>
          <w:rFonts w:hint="default" w:ascii="仿宋" w:hAnsi="仿宋" w:eastAsia="仿宋" w:cs="仿宋"/>
          <w:color w:val="auto"/>
          <w:kern w:val="2"/>
          <w:sz w:val="32"/>
          <w:szCs w:val="32"/>
          <w:lang w:val="en-US" w:eastAsia="zh-CN" w:bidi="ar-SA"/>
        </w:rPr>
        <w:t>。推进人工商品林集约经营、人工公益林近自然经营。加强湿地保护与恢复，通过自然修复和人工促进等方式不断增强湿地生态系统的碳汇能力。加强林草生物质能源研发与能源替代，增强林草抵御自然灾害的能力，着力降低资源破坏、森林灾害造成的森林碳排放。</w:t>
      </w:r>
    </w:p>
    <w:p>
      <w:pPr>
        <w:pStyle w:val="2"/>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完善林草碳汇计量监测体系。参照国家相关标准，推进森林碳汇计量监测体系建设，全面掌握全</w:t>
      </w:r>
      <w:r>
        <w:rPr>
          <w:rFonts w:hint="eastAsia" w:ascii="仿宋" w:hAnsi="仿宋" w:eastAsia="仿宋" w:cs="仿宋"/>
          <w:color w:val="auto"/>
          <w:kern w:val="2"/>
          <w:sz w:val="32"/>
          <w:szCs w:val="32"/>
          <w:lang w:val="en-US" w:eastAsia="zh-CN" w:bidi="ar-SA"/>
        </w:rPr>
        <w:t>市</w:t>
      </w:r>
      <w:r>
        <w:rPr>
          <w:rFonts w:hint="default" w:ascii="仿宋" w:hAnsi="仿宋" w:eastAsia="仿宋" w:cs="仿宋"/>
          <w:color w:val="auto"/>
          <w:kern w:val="2"/>
          <w:sz w:val="32"/>
          <w:szCs w:val="32"/>
          <w:lang w:val="en-US" w:eastAsia="zh-CN" w:bidi="ar-SA"/>
        </w:rPr>
        <w:t>森林碳汇现状、变化、 分布和潜力，开展湿地碳汇计量监测研究试点。探索构建全</w:t>
      </w:r>
      <w:r>
        <w:rPr>
          <w:rFonts w:hint="eastAsia" w:ascii="仿宋" w:hAnsi="仿宋" w:eastAsia="仿宋" w:cs="仿宋"/>
          <w:color w:val="auto"/>
          <w:kern w:val="2"/>
          <w:sz w:val="32"/>
          <w:szCs w:val="32"/>
          <w:lang w:val="en-US" w:eastAsia="zh-CN" w:bidi="ar-SA"/>
        </w:rPr>
        <w:t>市</w:t>
      </w:r>
      <w:r>
        <w:rPr>
          <w:rFonts w:hint="default" w:ascii="仿宋" w:hAnsi="仿宋" w:eastAsia="仿宋" w:cs="仿宋"/>
          <w:color w:val="auto"/>
          <w:kern w:val="2"/>
          <w:sz w:val="32"/>
          <w:szCs w:val="32"/>
          <w:lang w:val="en-US" w:eastAsia="zh-CN" w:bidi="ar-SA"/>
        </w:rPr>
        <w:t>林业碳汇评估体系平台，开展县级森林碳汇潜力评价和试点建设，建立统一的林业碳汇计量标准和监测评估系统。加强林业碳汇计量监测技术研究，设立并实施碳增汇科技计划，深化理论研究、加大应用研究、推进转化研究。</w:t>
      </w:r>
    </w:p>
    <w:p>
      <w:pPr>
        <w:pStyle w:val="2"/>
        <w:ind w:left="0" w:leftChars="0" w:firstLine="640" w:firstLineChars="200"/>
        <w:jc w:val="both"/>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积极发展林业碳汇产业</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探索林业碳汇交易机制。利用全国建立统一碳市场和碳排放权交易试点，加快推进全</w:t>
      </w:r>
      <w:r>
        <w:rPr>
          <w:rFonts w:hint="eastAsia" w:ascii="仿宋" w:hAnsi="仿宋" w:eastAsia="仿宋" w:cs="仿宋"/>
          <w:color w:val="auto"/>
          <w:kern w:val="2"/>
          <w:sz w:val="32"/>
          <w:szCs w:val="32"/>
          <w:lang w:val="en-US" w:eastAsia="zh-CN" w:bidi="ar-SA"/>
        </w:rPr>
        <w:t>市</w:t>
      </w:r>
      <w:r>
        <w:rPr>
          <w:rFonts w:hint="default" w:ascii="仿宋" w:hAnsi="仿宋" w:eastAsia="仿宋" w:cs="仿宋"/>
          <w:color w:val="auto"/>
          <w:kern w:val="2"/>
          <w:sz w:val="32"/>
          <w:szCs w:val="32"/>
          <w:lang w:val="en-US" w:eastAsia="zh-CN" w:bidi="ar-SA"/>
        </w:rPr>
        <w:t>林业碳汇有偿使用和交易制度创新，探索建立林业碳汇项目培育、开发机制及监测监管体系，完善相关配套政策。鼓励社会资本参与碳汇林建设，开展林业碳汇项目申报，推进碳汇交易。统筹林业碳汇交易与公益性碳汇林建设，积极推进各类林业增汇减排项目试点，开展“碳中和</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实践，探索建立统一的林业碳汇建设和管理平台。</w:t>
      </w:r>
    </w:p>
    <w:p>
      <w:pPr>
        <w:pStyle w:val="2"/>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开展碳汇交易试点。在</w:t>
      </w:r>
      <w:r>
        <w:rPr>
          <w:rFonts w:hint="eastAsia" w:ascii="仿宋" w:hAnsi="仿宋" w:eastAsia="仿宋" w:cs="仿宋"/>
          <w:color w:val="auto"/>
          <w:kern w:val="2"/>
          <w:sz w:val="32"/>
          <w:szCs w:val="32"/>
          <w:lang w:val="en-US" w:eastAsia="zh-CN" w:bidi="ar-SA"/>
        </w:rPr>
        <w:t>条件较好的山区县探索</w:t>
      </w:r>
      <w:r>
        <w:rPr>
          <w:rFonts w:hint="default" w:ascii="仿宋" w:hAnsi="仿宋" w:eastAsia="仿宋" w:cs="仿宋"/>
          <w:color w:val="auto"/>
          <w:kern w:val="2"/>
          <w:sz w:val="32"/>
          <w:szCs w:val="32"/>
          <w:lang w:val="en-US" w:eastAsia="zh-CN" w:bidi="ar-SA"/>
        </w:rPr>
        <w:t>开展碳汇</w:t>
      </w:r>
      <w:r>
        <w:rPr>
          <w:rFonts w:hint="eastAsia" w:ascii="仿宋" w:hAnsi="仿宋" w:eastAsia="仿宋" w:cs="仿宋"/>
          <w:color w:val="auto"/>
          <w:kern w:val="2"/>
          <w:sz w:val="32"/>
          <w:szCs w:val="32"/>
          <w:lang w:val="en-US" w:eastAsia="zh-CN" w:bidi="ar-SA"/>
        </w:rPr>
        <w:t>交易试点，开展森林碳汇、湿地碳汇等资源调查、计量和动态监测工作，完善碳汇资源确权、登记、颁证、评估、流转、抵押等服务体系，开发碳汇林、湿地碳汇交易项目。发展碳汇经济，在现有碳排放权交易和碳普惠体系基础上通过制度创新，健全碳排放权交易机制，开发林业碳汇产品;建立碳中和、林业大数据研究中心等平台。</w:t>
      </w:r>
    </w:p>
    <w:p>
      <w:pPr>
        <w:pStyle w:val="20"/>
        <w:spacing w:beforeAutospacing="0" w:afterAutospacing="0" w:line="560" w:lineRule="exact"/>
        <w:ind w:firstLine="646" w:firstLineChars="202"/>
        <w:jc w:val="both"/>
        <w:rPr>
          <w:rFonts w:hint="eastAsia" w:ascii="仿宋" w:hAnsi="仿宋" w:eastAsia="仿宋" w:cs="仿宋"/>
          <w:color w:val="auto"/>
          <w:kern w:val="2"/>
          <w:sz w:val="32"/>
          <w:szCs w:val="32"/>
        </w:rPr>
      </w:pPr>
    </w:p>
    <w:p>
      <w:pPr>
        <w:pStyle w:val="4"/>
        <w:rPr>
          <w:color w:val="auto"/>
        </w:rPr>
      </w:pPr>
      <w:bookmarkStart w:id="120" w:name="_Toc3666"/>
      <w:r>
        <w:rPr>
          <w:rFonts w:hint="eastAsia"/>
          <w:color w:val="auto"/>
        </w:rPr>
        <w:t>第</w:t>
      </w:r>
      <w:r>
        <w:rPr>
          <w:rFonts w:hint="eastAsia"/>
          <w:color w:val="auto"/>
          <w:lang w:eastAsia="zh-CN"/>
        </w:rPr>
        <w:t>九</w:t>
      </w:r>
      <w:r>
        <w:rPr>
          <w:rFonts w:hint="eastAsia"/>
          <w:color w:val="auto"/>
        </w:rPr>
        <w:t>节  着力增强基础保障</w:t>
      </w:r>
      <w:bookmarkEnd w:id="110"/>
      <w:r>
        <w:rPr>
          <w:rFonts w:hint="eastAsia"/>
          <w:color w:val="auto"/>
        </w:rPr>
        <w:t>能力</w:t>
      </w:r>
      <w:bookmarkEnd w:id="112"/>
      <w:bookmarkEnd w:id="113"/>
      <w:bookmarkEnd w:id="114"/>
      <w:bookmarkEnd w:id="115"/>
      <w:bookmarkEnd w:id="116"/>
      <w:bookmarkEnd w:id="117"/>
      <w:bookmarkEnd w:id="118"/>
      <w:bookmarkEnd w:id="120"/>
    </w:p>
    <w:p>
      <w:pPr>
        <w:rPr>
          <w:color w:val="auto"/>
        </w:rPr>
      </w:pPr>
    </w:p>
    <w:p>
      <w:pPr>
        <w:pStyle w:val="20"/>
        <w:spacing w:beforeAutospacing="0" w:afterAutospacing="0" w:line="560" w:lineRule="exact"/>
        <w:ind w:firstLine="646" w:firstLineChars="202"/>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加强林业基层站所、管护用房建设，强化对生态护林员等管护人员的培训和日常管理。调整优化林业基层站所、管护用房的布局，整合功能，强化设施设备配置，推进多功能综合型站所建设，促进机构队伍稳定化、管理体制顺畅化、站务管理制度化、基础设施现代化、履行职责规范化、服务手段信息化，进一步探索林业基层站所管理服务模式和运行机制。加快国有林场装备现代化建设，提高森林资源管理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加强生态监测评价体系建设。深化遥感、定位、通信技术全面应用，建立天空地一体化监测预警评估体系，实时掌握森林资源状况及其动态变化，及时发现和评估重大生态灾害、重大生态环境损害情况。实施林业航天航空应用工程，综合运用大系统、大样地、定位观测、视频监控、北斗定位、自动传感、人工智能、无人机等先进技术，推进森林、湿地、荒漠化土地与野生动植物栖息地调查监测业务与空间技术的深度融合。加强部门间合作，实现数据信息共享。</w:t>
      </w:r>
    </w:p>
    <w:p>
      <w:pPr>
        <w:pStyle w:val="2"/>
        <w:ind w:firstLine="640"/>
        <w:rPr>
          <w:rFonts w:ascii="仿宋" w:hAnsi="仿宋" w:eastAsia="仿宋" w:cs="仿宋"/>
          <w:color w:val="auto"/>
          <w:sz w:val="32"/>
          <w:szCs w:val="32"/>
        </w:rPr>
      </w:pPr>
      <w:r>
        <w:rPr>
          <w:rFonts w:hint="eastAsia" w:ascii="仿宋" w:hAnsi="仿宋" w:eastAsia="仿宋" w:cs="仿宋"/>
          <w:color w:val="auto"/>
          <w:sz w:val="32"/>
          <w:szCs w:val="32"/>
        </w:rPr>
        <w:t>加强机构队伍建设。建立健全林业执法队伍建设，增强森林公安转隶后沟通协调能力，配强执法</w:t>
      </w:r>
      <w:r>
        <w:rPr>
          <w:rFonts w:hint="eastAsia" w:ascii="仿宋" w:hAnsi="仿宋" w:eastAsia="仿宋" w:cs="仿宋"/>
          <w:color w:val="auto"/>
          <w:sz w:val="32"/>
          <w:szCs w:val="32"/>
          <w:lang w:val="en-US" w:eastAsia="zh-CN"/>
        </w:rPr>
        <w:t>力量和</w:t>
      </w:r>
      <w:r>
        <w:rPr>
          <w:rFonts w:hint="eastAsia" w:ascii="仿宋" w:hAnsi="仿宋" w:eastAsia="仿宋" w:cs="仿宋"/>
          <w:color w:val="auto"/>
          <w:sz w:val="32"/>
          <w:szCs w:val="32"/>
        </w:rPr>
        <w:t>设备，提高林业执法能力，有效保护我市森林资源。成立县级国家储备林机构，优化专业技术人员比例，为项目顺利实施提供有力保障。</w:t>
      </w:r>
      <w:bookmarkStart w:id="121" w:name="_Toc9406"/>
      <w:r>
        <w:rPr>
          <w:rFonts w:ascii="仿宋" w:hAnsi="仿宋" w:eastAsia="仿宋" w:cs="仿宋"/>
          <w:color w:val="auto"/>
          <w:sz w:val="32"/>
          <w:szCs w:val="32"/>
        </w:rPr>
        <w:br w:type="page"/>
      </w:r>
    </w:p>
    <w:p>
      <w:pPr>
        <w:pStyle w:val="3"/>
        <w:rPr>
          <w:color w:val="auto"/>
        </w:rPr>
      </w:pPr>
      <w:bookmarkStart w:id="122" w:name="_Toc15547"/>
      <w:bookmarkStart w:id="123" w:name="_Toc11072"/>
      <w:bookmarkStart w:id="124" w:name="_Toc467"/>
      <w:bookmarkStart w:id="125" w:name="_Toc24148"/>
      <w:bookmarkStart w:id="126" w:name="_Toc27068"/>
      <w:bookmarkStart w:id="127" w:name="_Toc12626"/>
      <w:bookmarkStart w:id="128" w:name="_Toc13086"/>
      <w:bookmarkStart w:id="129" w:name="_Toc26283"/>
      <w:r>
        <w:rPr>
          <w:color w:val="auto"/>
        </w:rPr>
        <w:t>第</w:t>
      </w:r>
      <w:r>
        <w:rPr>
          <w:rFonts w:hint="eastAsia"/>
          <w:color w:val="auto"/>
          <w:lang w:val="en-US" w:eastAsia="zh-CN"/>
        </w:rPr>
        <w:t>三</w:t>
      </w:r>
      <w:r>
        <w:rPr>
          <w:color w:val="auto"/>
        </w:rPr>
        <w:t xml:space="preserve">章 </w:t>
      </w:r>
      <w:r>
        <w:rPr>
          <w:rFonts w:hint="eastAsia"/>
          <w:color w:val="auto"/>
        </w:rPr>
        <w:t xml:space="preserve"> </w:t>
      </w:r>
      <w:r>
        <w:rPr>
          <w:color w:val="auto"/>
        </w:rPr>
        <w:t>重点工程项目</w:t>
      </w:r>
      <w:bookmarkEnd w:id="121"/>
      <w:bookmarkEnd w:id="122"/>
      <w:bookmarkEnd w:id="123"/>
      <w:bookmarkEnd w:id="124"/>
      <w:bookmarkEnd w:id="125"/>
      <w:bookmarkEnd w:id="126"/>
      <w:bookmarkEnd w:id="127"/>
      <w:bookmarkEnd w:id="128"/>
      <w:bookmarkEnd w:id="129"/>
    </w:p>
    <w:p>
      <w:pPr>
        <w:spacing w:line="560" w:lineRule="exact"/>
        <w:rPr>
          <w:color w:val="auto"/>
        </w:rPr>
      </w:pP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林业重点工程项目是推进山水林田湖生态保护和修复、维护生物多样性的基础，是实现绿色发展、推进林业现代化的战略途径。“十四五”时期，要组织实施好在建林业项目，努力争取国家重大林业工程项目，积极推进省级林业重点工程，谋划储备一批地方林业重点建设项目。</w:t>
      </w:r>
    </w:p>
    <w:p>
      <w:pPr>
        <w:spacing w:line="560" w:lineRule="exact"/>
        <w:ind w:firstLine="600"/>
        <w:rPr>
          <w:rFonts w:ascii="仿宋" w:hAnsi="仿宋" w:eastAsia="仿宋" w:cs="仿宋"/>
          <w:color w:val="auto"/>
          <w:sz w:val="32"/>
          <w:szCs w:val="32"/>
        </w:rPr>
      </w:pPr>
      <w:bookmarkStart w:id="130" w:name="_Toc5338"/>
      <w:r>
        <w:rPr>
          <w:rFonts w:hint="eastAsia" w:ascii="仿宋" w:hAnsi="仿宋" w:eastAsia="仿宋" w:cs="仿宋"/>
          <w:color w:val="auto"/>
          <w:sz w:val="32"/>
          <w:szCs w:val="32"/>
        </w:rPr>
        <w:t>为确保规划目标实现，围绕五大生态系统建设，规划实施十大重点工程。</w:t>
      </w:r>
    </w:p>
    <w:p>
      <w:pPr>
        <w:spacing w:line="560" w:lineRule="exact"/>
        <w:ind w:firstLine="600"/>
        <w:rPr>
          <w:rFonts w:ascii="仿宋" w:hAnsi="仿宋" w:eastAsia="仿宋" w:cs="仿宋"/>
          <w:color w:val="auto"/>
          <w:sz w:val="32"/>
          <w:szCs w:val="32"/>
        </w:rPr>
      </w:pPr>
    </w:p>
    <w:p>
      <w:pPr>
        <w:pStyle w:val="4"/>
        <w:rPr>
          <w:color w:val="auto"/>
        </w:rPr>
      </w:pPr>
      <w:bookmarkStart w:id="131" w:name="_Toc14379"/>
      <w:bookmarkStart w:id="132" w:name="_Toc38284778"/>
      <w:bookmarkStart w:id="133" w:name="_Toc6684"/>
      <w:bookmarkStart w:id="134" w:name="_Toc30859"/>
      <w:bookmarkStart w:id="135" w:name="_Toc30025"/>
      <w:bookmarkStart w:id="136" w:name="_Toc19861"/>
      <w:bookmarkStart w:id="137" w:name="_Toc741"/>
      <w:bookmarkStart w:id="138" w:name="_Toc1878"/>
      <w:bookmarkStart w:id="139" w:name="_Toc25289"/>
      <w:r>
        <w:rPr>
          <w:color w:val="auto"/>
        </w:rPr>
        <w:t>第一节</w:t>
      </w:r>
      <w:r>
        <w:rPr>
          <w:rFonts w:hint="eastAsia"/>
          <w:color w:val="auto"/>
        </w:rPr>
        <w:t xml:space="preserve">  </w:t>
      </w:r>
      <w:r>
        <w:rPr>
          <w:color w:val="auto"/>
        </w:rPr>
        <w:t>国土绿化工程</w:t>
      </w:r>
      <w:bookmarkEnd w:id="131"/>
      <w:bookmarkEnd w:id="132"/>
      <w:bookmarkEnd w:id="133"/>
      <w:bookmarkEnd w:id="134"/>
      <w:bookmarkEnd w:id="135"/>
      <w:bookmarkEnd w:id="136"/>
      <w:bookmarkEnd w:id="137"/>
      <w:bookmarkEnd w:id="138"/>
      <w:bookmarkEnd w:id="139"/>
    </w:p>
    <w:p>
      <w:pPr>
        <w:spacing w:line="560" w:lineRule="exact"/>
        <w:rPr>
          <w:color w:val="auto"/>
        </w:rPr>
      </w:pP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lang w:eastAsia="zh-CN"/>
        </w:rPr>
        <w:t>认真落实《国务院办公厅关于科学绿化的指导意见》，精准开展国土绿化试点示范市建设，组织实施南水北调水源区国土绿化试点示范项目、</w:t>
      </w:r>
      <w:r>
        <w:rPr>
          <w:rFonts w:hint="eastAsia" w:ascii="仿宋" w:hAnsi="仿宋" w:eastAsia="仿宋" w:cs="仿宋"/>
          <w:color w:val="auto"/>
          <w:sz w:val="32"/>
          <w:szCs w:val="32"/>
        </w:rPr>
        <w:t>黄河</w:t>
      </w:r>
      <w:r>
        <w:rPr>
          <w:rFonts w:hint="eastAsia" w:ascii="仿宋" w:hAnsi="仿宋" w:eastAsia="仿宋" w:cs="仿宋"/>
          <w:color w:val="auto"/>
          <w:sz w:val="32"/>
          <w:szCs w:val="32"/>
          <w:lang w:eastAsia="zh-CN"/>
        </w:rPr>
        <w:t>重点</w:t>
      </w:r>
      <w:r>
        <w:rPr>
          <w:rFonts w:hint="eastAsia" w:ascii="仿宋" w:hAnsi="仿宋" w:eastAsia="仿宋" w:cs="仿宋"/>
          <w:color w:val="auto"/>
          <w:sz w:val="32"/>
          <w:szCs w:val="32"/>
        </w:rPr>
        <w:t>生态区保护和修复工程（秦岭生态保护和修复、黄河重点生态矿区生态修复）、长江流域防护林体系建设工程（秦巴山地水土保持水源涵养区、大别山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桐柏</w:t>
      </w:r>
      <w:r>
        <w:rPr>
          <w:rFonts w:hint="eastAsia" w:ascii="仿宋" w:hAnsi="仿宋" w:eastAsia="仿宋" w:cs="仿宋"/>
          <w:color w:val="auto"/>
          <w:sz w:val="32"/>
          <w:szCs w:val="32"/>
          <w:lang w:eastAsia="zh-CN"/>
        </w:rPr>
        <w:t>山</w:t>
      </w:r>
      <w:r>
        <w:rPr>
          <w:rFonts w:hint="eastAsia" w:ascii="仿宋" w:hAnsi="仿宋" w:eastAsia="仿宋" w:cs="仿宋"/>
          <w:color w:val="auto"/>
          <w:sz w:val="32"/>
          <w:szCs w:val="32"/>
        </w:rPr>
        <w:t>、江淮丘陵水土保持区）</w:t>
      </w:r>
      <w:r>
        <w:rPr>
          <w:rFonts w:hint="eastAsia" w:ascii="仿宋" w:hAnsi="仿宋" w:eastAsia="仿宋" w:cs="仿宋"/>
          <w:color w:val="auto"/>
          <w:sz w:val="32"/>
          <w:szCs w:val="32"/>
          <w:lang w:eastAsia="zh-CN"/>
        </w:rPr>
        <w:t>，开展石漠化治理</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推进我市国土绿化由规模速度型向质量功能型转变，走科学、生态、节俭的绿化发展之路。全市</w:t>
      </w:r>
      <w:r>
        <w:rPr>
          <w:rFonts w:hint="eastAsia" w:ascii="仿宋" w:hAnsi="仿宋" w:eastAsia="仿宋" w:cs="仿宋"/>
          <w:color w:val="auto"/>
          <w:sz w:val="32"/>
          <w:szCs w:val="32"/>
        </w:rPr>
        <w:t>规划建设任务</w:t>
      </w:r>
      <w:r>
        <w:rPr>
          <w:rFonts w:hint="eastAsia" w:ascii="仿宋" w:hAnsi="仿宋" w:eastAsia="仿宋" w:cs="仿宋"/>
          <w:color w:val="auto"/>
          <w:sz w:val="32"/>
          <w:szCs w:val="32"/>
          <w:lang w:val="en-US" w:eastAsia="zh-CN"/>
        </w:rPr>
        <w:t>177.12</w:t>
      </w:r>
      <w:r>
        <w:rPr>
          <w:rFonts w:hint="eastAsia" w:ascii="仿宋" w:hAnsi="仿宋" w:eastAsia="仿宋" w:cs="仿宋"/>
          <w:color w:val="auto"/>
          <w:sz w:val="32"/>
          <w:szCs w:val="32"/>
        </w:rPr>
        <w:t>万亩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其中，人工造林</w:t>
      </w:r>
      <w:r>
        <w:rPr>
          <w:rFonts w:hint="eastAsia" w:ascii="仿宋" w:hAnsi="仿宋" w:eastAsia="仿宋" w:cs="仿宋"/>
          <w:color w:val="auto"/>
          <w:sz w:val="32"/>
          <w:szCs w:val="32"/>
          <w:lang w:val="en-US" w:eastAsia="zh-CN"/>
        </w:rPr>
        <w:t>92.12</w:t>
      </w:r>
      <w:r>
        <w:rPr>
          <w:rFonts w:hint="eastAsia" w:ascii="仿宋" w:hAnsi="仿宋" w:eastAsia="仿宋" w:cs="仿宋"/>
          <w:color w:val="auto"/>
          <w:sz w:val="32"/>
          <w:szCs w:val="32"/>
        </w:rPr>
        <w:t>万亩，封山育林30万亩，飞播造林20万亩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退化林修复35万亩</w:t>
      </w:r>
      <w:r>
        <w:rPr>
          <w:rFonts w:hint="eastAsia" w:ascii="仿宋" w:hAnsi="仿宋" w:eastAsia="仿宋" w:cs="仿宋"/>
          <w:color w:val="auto"/>
          <w:sz w:val="32"/>
          <w:szCs w:val="32"/>
        </w:rPr>
        <w:t>。</w:t>
      </w:r>
    </w:p>
    <w:p>
      <w:pPr>
        <w:pStyle w:val="5"/>
        <w:ind w:firstLine="640"/>
        <w:rPr>
          <w:color w:val="auto"/>
        </w:rPr>
      </w:pPr>
      <w:bookmarkStart w:id="140" w:name="_Toc13240"/>
      <w:r>
        <w:rPr>
          <w:rFonts w:hint="eastAsia"/>
          <w:color w:val="auto"/>
        </w:rPr>
        <w:t>一、山区生态林</w:t>
      </w:r>
      <w:bookmarkEnd w:id="140"/>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（一）建设范围</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主要涉及我市伏牛山、桐柏山山区、半山区地带，包括西峡、淅川、内乡、南召、镇平、方城、社旗、卧龙、唐河、</w:t>
      </w:r>
      <w:r>
        <w:rPr>
          <w:rFonts w:hint="eastAsia" w:ascii="仿宋" w:hAnsi="仿宋" w:eastAsia="仿宋" w:cs="仿宋"/>
          <w:color w:val="auto"/>
          <w:sz w:val="32"/>
          <w:szCs w:val="32"/>
          <w:lang w:eastAsia="zh-CN"/>
        </w:rPr>
        <w:t>邓州、</w:t>
      </w:r>
      <w:r>
        <w:rPr>
          <w:rFonts w:hint="eastAsia" w:ascii="仿宋" w:hAnsi="仿宋" w:eastAsia="仿宋" w:cs="仿宋"/>
          <w:color w:val="auto"/>
          <w:sz w:val="32"/>
          <w:szCs w:val="32"/>
        </w:rPr>
        <w:t>桐柏等</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个县区。</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（二）建设内容</w:t>
      </w:r>
    </w:p>
    <w:p>
      <w:pPr>
        <w:spacing w:line="560" w:lineRule="exact"/>
        <w:ind w:firstLine="600"/>
        <w:rPr>
          <w:color w:val="auto"/>
        </w:rPr>
      </w:pPr>
      <w:r>
        <w:rPr>
          <w:rFonts w:hint="eastAsia" w:ascii="仿宋" w:hAnsi="仿宋" w:eastAsia="仿宋" w:cs="仿宋"/>
          <w:color w:val="auto"/>
          <w:sz w:val="32"/>
          <w:szCs w:val="32"/>
        </w:rPr>
        <w:t>加强困难宜林地造林、立地条件较好的灌木林地改造和未达标造林地的补植补造，采用人工造林、封山育林和飞播造林方式，增加森林面积，提高林地利用率；选用良种壮苗，注重珍贵树种、乡土树种造林应用，做到多树种、多林种、乔灌搭配，营造针叶与阔叶、常绿与落叶混交林，努力提高造林质量。大力开展封山育林，依据适宜封育地现有植被群落特征，合理选择封育类型和方式，强化封禁、育林、管护等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退化林采用更替改造、择伐补造、抚育改造、渐进改造等方式进行修复，调整林分结构，优化树种组成，采用珍贵树种营造混交林，提升森林质量，提高森林涵养水源、保持水土能力。加快恢复形成森林植被，提高森林覆盖率，实现山区森林化。</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（三）建设任务</w:t>
      </w:r>
    </w:p>
    <w:p>
      <w:pPr>
        <w:snapToGrid w:val="0"/>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规划任务</w:t>
      </w:r>
      <w:r>
        <w:rPr>
          <w:rFonts w:hint="eastAsia" w:ascii="仿宋" w:hAnsi="仿宋" w:eastAsia="仿宋" w:cs="仿宋"/>
          <w:color w:val="auto"/>
          <w:sz w:val="32"/>
          <w:szCs w:val="32"/>
          <w:lang w:val="en-US" w:eastAsia="zh-CN"/>
        </w:rPr>
        <w:t>88.83</w:t>
      </w:r>
      <w:r>
        <w:rPr>
          <w:rFonts w:hint="eastAsia" w:ascii="仿宋" w:hAnsi="仿宋" w:eastAsia="仿宋" w:cs="仿宋"/>
          <w:color w:val="auto"/>
          <w:sz w:val="32"/>
          <w:szCs w:val="32"/>
        </w:rPr>
        <w:t>万亩。其中，人工新造林</w:t>
      </w:r>
      <w:r>
        <w:rPr>
          <w:rFonts w:hint="eastAsia" w:ascii="仿宋" w:hAnsi="仿宋" w:eastAsia="仿宋" w:cs="仿宋"/>
          <w:color w:val="auto"/>
          <w:sz w:val="32"/>
          <w:szCs w:val="32"/>
          <w:lang w:val="en-US" w:eastAsia="zh-CN"/>
        </w:rPr>
        <w:t>38.83</w:t>
      </w:r>
      <w:r>
        <w:rPr>
          <w:rFonts w:hint="eastAsia" w:ascii="仿宋" w:hAnsi="仿宋" w:eastAsia="仿宋" w:cs="仿宋"/>
          <w:color w:val="auto"/>
          <w:sz w:val="32"/>
          <w:szCs w:val="32"/>
        </w:rPr>
        <w:t>万亩，封山育林30万亩，飞播造林20万亩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退化林修复35万亩</w:t>
      </w:r>
      <w:r>
        <w:rPr>
          <w:rFonts w:hint="eastAsia" w:ascii="仿宋" w:hAnsi="仿宋" w:eastAsia="仿宋" w:cs="仿宋"/>
          <w:color w:val="auto"/>
          <w:sz w:val="32"/>
          <w:szCs w:val="32"/>
        </w:rPr>
        <w:t>。</w:t>
      </w:r>
    </w:p>
    <w:p>
      <w:pPr>
        <w:pStyle w:val="5"/>
        <w:ind w:firstLine="640"/>
        <w:rPr>
          <w:color w:val="auto"/>
        </w:rPr>
      </w:pPr>
      <w:bookmarkStart w:id="141" w:name="_Toc20755"/>
      <w:r>
        <w:rPr>
          <w:rFonts w:hint="eastAsia"/>
          <w:color w:val="auto"/>
        </w:rPr>
        <w:t>二、农田防护林</w:t>
      </w:r>
      <w:bookmarkEnd w:id="141"/>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主要涉及我市平原地区，包括镇平、方城、社旗、唐河、新野、宛城、卧龙、</w:t>
      </w:r>
      <w:r>
        <w:rPr>
          <w:rFonts w:hint="eastAsia" w:ascii="仿宋" w:hAnsi="仿宋" w:eastAsia="仿宋" w:cs="仿宋"/>
          <w:color w:val="auto"/>
          <w:sz w:val="32"/>
          <w:szCs w:val="32"/>
          <w:lang w:eastAsia="zh-CN"/>
        </w:rPr>
        <w:t>邓州、</w:t>
      </w:r>
      <w:r>
        <w:rPr>
          <w:rFonts w:hint="eastAsia" w:ascii="仿宋" w:hAnsi="仿宋" w:eastAsia="仿宋" w:cs="仿宋"/>
          <w:color w:val="auto"/>
          <w:sz w:val="32"/>
          <w:szCs w:val="32"/>
        </w:rPr>
        <w:t>高新区、城乡一体化示范区、官庄工区等1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个县</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区。</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结合高标准粮田建设，以乡道、村道和河流沟渠林带作为骨干，优化树种结构，发展优良乡土树种，增加乔灌结合比例，完善和提升农田防护林体系，提高农田粮食生产能力，构筑平原农区生态安全屏障，实现平原林网化。</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（三）建设任务</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规划任务</w:t>
      </w:r>
      <w:r>
        <w:rPr>
          <w:rFonts w:hint="eastAsia" w:ascii="仿宋" w:hAnsi="仿宋" w:eastAsia="仿宋" w:cs="仿宋"/>
          <w:color w:val="auto"/>
          <w:sz w:val="32"/>
          <w:szCs w:val="32"/>
          <w:lang w:val="en-US" w:eastAsia="zh-CN"/>
        </w:rPr>
        <w:t>3.49</w:t>
      </w:r>
      <w:r>
        <w:rPr>
          <w:rFonts w:hint="eastAsia" w:ascii="仿宋" w:hAnsi="仿宋" w:eastAsia="仿宋" w:cs="仿宋"/>
          <w:color w:val="auto"/>
          <w:sz w:val="32"/>
          <w:szCs w:val="32"/>
        </w:rPr>
        <w:t>万亩。</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按年度分，2021年新造1.1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万亩，占规划任务的</w:t>
      </w:r>
      <w:r>
        <w:rPr>
          <w:rFonts w:hint="eastAsia" w:ascii="仿宋" w:hAnsi="仿宋" w:eastAsia="仿宋" w:cs="仿宋"/>
          <w:color w:val="auto"/>
          <w:sz w:val="32"/>
          <w:szCs w:val="32"/>
          <w:lang w:val="en-US" w:eastAsia="zh-CN"/>
        </w:rPr>
        <w:t>32.38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2022年新造0.728万亩，占规划任务的20.86%；</w:t>
      </w:r>
      <w:r>
        <w:rPr>
          <w:rFonts w:hint="eastAsia" w:ascii="仿宋" w:hAnsi="仿宋" w:eastAsia="仿宋" w:cs="仿宋"/>
          <w:color w:val="auto"/>
          <w:sz w:val="32"/>
          <w:szCs w:val="32"/>
        </w:rPr>
        <w:t>以后每年新造</w:t>
      </w:r>
      <w:r>
        <w:rPr>
          <w:rFonts w:hint="eastAsia" w:ascii="仿宋" w:hAnsi="仿宋" w:eastAsia="仿宋" w:cs="仿宋"/>
          <w:color w:val="auto"/>
          <w:sz w:val="32"/>
          <w:szCs w:val="32"/>
          <w:lang w:val="en-US" w:eastAsia="zh-CN"/>
        </w:rPr>
        <w:t>0.544</w:t>
      </w:r>
      <w:r>
        <w:rPr>
          <w:rFonts w:hint="eastAsia" w:ascii="仿宋" w:hAnsi="仿宋" w:eastAsia="仿宋" w:cs="仿宋"/>
          <w:color w:val="auto"/>
          <w:sz w:val="32"/>
          <w:szCs w:val="32"/>
        </w:rPr>
        <w:t>万亩，占比1</w:t>
      </w:r>
      <w:r>
        <w:rPr>
          <w:rFonts w:hint="eastAsia" w:ascii="仿宋" w:hAnsi="仿宋" w:eastAsia="仿宋" w:cs="仿宋"/>
          <w:color w:val="auto"/>
          <w:sz w:val="32"/>
          <w:szCs w:val="32"/>
          <w:lang w:val="en-US" w:eastAsia="zh-CN"/>
        </w:rPr>
        <w:t>5.59</w:t>
      </w:r>
      <w:r>
        <w:rPr>
          <w:rFonts w:hint="eastAsia" w:ascii="仿宋" w:hAnsi="仿宋" w:eastAsia="仿宋" w:cs="仿宋"/>
          <w:color w:val="auto"/>
          <w:sz w:val="32"/>
          <w:szCs w:val="32"/>
        </w:rPr>
        <w:t>%。</w:t>
      </w:r>
    </w:p>
    <w:p>
      <w:pPr>
        <w:pStyle w:val="5"/>
        <w:ind w:firstLine="640"/>
        <w:rPr>
          <w:color w:val="auto"/>
        </w:rPr>
      </w:pPr>
      <w:bookmarkStart w:id="142" w:name="_Toc3833"/>
      <w:r>
        <w:rPr>
          <w:rFonts w:hint="eastAsia"/>
          <w:color w:val="auto"/>
        </w:rPr>
        <w:t>三、廊道绿化</w:t>
      </w:r>
      <w:bookmarkEnd w:id="142"/>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主要涉及南水北调中线生态带、沿白河生态涵养带、沿淮河生态保育带以及各级河流、高速公路、铁路和国道、省道、县道等。</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加强现有生态廊道管理，进一步扩大造林面积，调整树种结构，提高绿化水平，实现廊道林荫化。</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南水北调干渠生态林带是南阳廊道绿化的重点工程。目前，干渠两侧绿化已基本完成，下一阶段主要任务是更新造林和提升廊道质量，建立全线多层级生态景观廊道，使南水北调干渠生态林带建成南阳大地上融生态、产业、经济、旅游、健身于一体的靓丽风景线。</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白河是南阳的母亲河，沿线绿化可借鉴南水北调干渠廊道建设经验，两岸进行绿化美化。</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廊道造林可利用国储林项目，需要占用耕地时，按照相关规定执行。</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（三）建设任务</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规划任务5.2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万亩。</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按年度分，2021年新造</w:t>
      </w:r>
      <w:r>
        <w:rPr>
          <w:rFonts w:hint="eastAsia" w:ascii="仿宋" w:hAnsi="仿宋" w:eastAsia="仿宋" w:cs="仿宋"/>
          <w:color w:val="auto"/>
          <w:sz w:val="32"/>
          <w:szCs w:val="32"/>
          <w:lang w:val="en-US" w:eastAsia="zh-CN"/>
        </w:rPr>
        <w:t>1.23</w:t>
      </w:r>
      <w:r>
        <w:rPr>
          <w:rFonts w:hint="eastAsia" w:ascii="仿宋" w:hAnsi="仿宋" w:eastAsia="仿宋" w:cs="仿宋"/>
          <w:color w:val="auto"/>
          <w:sz w:val="32"/>
          <w:szCs w:val="32"/>
        </w:rPr>
        <w:t>万亩，占规划任务的</w:t>
      </w:r>
      <w:r>
        <w:rPr>
          <w:rFonts w:hint="eastAsia" w:ascii="仿宋" w:hAnsi="仿宋" w:eastAsia="仿宋" w:cs="仿宋"/>
          <w:color w:val="auto"/>
          <w:sz w:val="32"/>
          <w:szCs w:val="32"/>
          <w:lang w:val="en-US" w:eastAsia="zh-CN"/>
        </w:rPr>
        <w:t>23.47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2022年新造1.13万亩，占规划任务的21.56%；</w:t>
      </w:r>
      <w:r>
        <w:rPr>
          <w:rFonts w:hint="eastAsia" w:ascii="仿宋" w:hAnsi="仿宋" w:eastAsia="仿宋" w:cs="仿宋"/>
          <w:color w:val="auto"/>
          <w:sz w:val="32"/>
          <w:szCs w:val="32"/>
        </w:rPr>
        <w:t>以后每年新造</w:t>
      </w:r>
      <w:r>
        <w:rPr>
          <w:rFonts w:hint="eastAsia" w:ascii="仿宋" w:hAnsi="仿宋" w:eastAsia="仿宋" w:cs="仿宋"/>
          <w:color w:val="auto"/>
          <w:sz w:val="32"/>
          <w:szCs w:val="32"/>
          <w:lang w:val="en-US" w:eastAsia="zh-CN"/>
        </w:rPr>
        <w:t>0.96</w:t>
      </w:r>
      <w:r>
        <w:rPr>
          <w:rFonts w:hint="eastAsia" w:ascii="仿宋" w:hAnsi="仿宋" w:eastAsia="仿宋" w:cs="仿宋"/>
          <w:color w:val="auto"/>
          <w:sz w:val="32"/>
          <w:szCs w:val="32"/>
        </w:rPr>
        <w:t>万亩，占比</w:t>
      </w:r>
      <w:r>
        <w:rPr>
          <w:rFonts w:hint="eastAsia" w:ascii="仿宋" w:hAnsi="仿宋" w:eastAsia="仿宋" w:cs="仿宋"/>
          <w:color w:val="auto"/>
          <w:sz w:val="32"/>
          <w:szCs w:val="32"/>
          <w:lang w:val="en-US" w:eastAsia="zh-CN"/>
        </w:rPr>
        <w:t>18.32</w:t>
      </w:r>
      <w:r>
        <w:rPr>
          <w:rFonts w:hint="eastAsia" w:ascii="仿宋" w:hAnsi="仿宋" w:eastAsia="仿宋" w:cs="仿宋"/>
          <w:color w:val="auto"/>
          <w:sz w:val="32"/>
          <w:szCs w:val="32"/>
        </w:rPr>
        <w:t>%。</w:t>
      </w:r>
    </w:p>
    <w:p>
      <w:pPr>
        <w:pStyle w:val="5"/>
        <w:ind w:firstLine="640"/>
        <w:rPr>
          <w:rFonts w:hint="eastAsia" w:eastAsia="黑体"/>
          <w:color w:val="auto"/>
          <w:lang w:eastAsia="zh-CN"/>
        </w:rPr>
      </w:pPr>
      <w:bookmarkStart w:id="143" w:name="_Toc2392"/>
      <w:r>
        <w:rPr>
          <w:rFonts w:hint="eastAsia"/>
          <w:color w:val="auto"/>
          <w:lang w:eastAsia="zh-CN"/>
        </w:rPr>
        <w:t>四</w:t>
      </w:r>
      <w:r>
        <w:rPr>
          <w:rFonts w:hint="eastAsia"/>
          <w:color w:val="auto"/>
        </w:rPr>
        <w:t>、</w:t>
      </w:r>
      <w:bookmarkEnd w:id="143"/>
      <w:r>
        <w:rPr>
          <w:rFonts w:hint="eastAsia"/>
          <w:color w:val="auto"/>
          <w:lang w:eastAsia="zh-CN"/>
        </w:rPr>
        <w:t>石漠化治理</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（一）建设范围</w:t>
      </w:r>
    </w:p>
    <w:p>
      <w:pPr>
        <w:spacing w:line="560" w:lineRule="exact"/>
        <w:ind w:firstLine="600"/>
        <w:rPr>
          <w:rFonts w:hint="eastAsia" w:ascii="仿宋" w:hAnsi="仿宋" w:eastAsia="仿宋" w:cs="仿宋"/>
          <w:color w:val="auto"/>
          <w:sz w:val="32"/>
          <w:szCs w:val="32"/>
        </w:rPr>
      </w:pPr>
      <w:r>
        <w:rPr>
          <w:rFonts w:hint="eastAsia" w:ascii="仿宋" w:hAnsi="仿宋" w:eastAsia="仿宋" w:cs="仿宋"/>
          <w:color w:val="auto"/>
          <w:sz w:val="32"/>
          <w:szCs w:val="32"/>
        </w:rPr>
        <w:t>南阳境内伏牛山、桐柏山岩基80%以上为石灰岩，立地条件差，加之常年受雨水冲刷，基岩裸露，砾石堆积，土壤瘠薄，植被稀少，石漠化现象较为严重。主要分布在淅川丹江口库区周围和丹江河、鹳河、淇河、滔河等河流沿线。</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（二）建设内容</w:t>
      </w:r>
    </w:p>
    <w:p>
      <w:pPr>
        <w:spacing w:line="560" w:lineRule="exact"/>
        <w:ind w:firstLine="600"/>
        <w:rPr>
          <w:color w:val="auto"/>
        </w:rPr>
      </w:pPr>
      <w:r>
        <w:rPr>
          <w:rFonts w:hint="eastAsia" w:ascii="仿宋" w:hAnsi="仿宋" w:eastAsia="仿宋" w:cs="仿宋"/>
          <w:color w:val="auto"/>
          <w:sz w:val="32"/>
          <w:szCs w:val="32"/>
        </w:rPr>
        <w:t>开展石漠化治理，在保护现有植被的基础上，以营造水源涵养林、水土保持林为重点，坚持人工造林、封山育林并举，宜造则造、宜封则封，宜林则林、宜灌则灌、宜草则草。在立地条件较好的地方，发展特色经济林，引导龙头企业、种植大户和林农发展高效生态林果，种植软籽石榴、金银花、杏李、桃、核桃等。加强基本农田和配套小型水利建设，做到工程措施和生物措施相结合，落实积极发展农村能源、改善农村人畜饮水条件以及实施生态移民等综合治理措施，最大限度减少水土流失。加强石漠化监测体系建设，定期监测，掌握石漠化状况和动态变化趋势，为科学防治提供依据。此项目以淅川为重点，启动治理工程，同时争取纳入国家石漠化治理项目区范围。</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（三）建设任务</w:t>
      </w:r>
    </w:p>
    <w:p>
      <w:pPr>
        <w:spacing w:line="560" w:lineRule="exact"/>
        <w:ind w:firstLine="600"/>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人工造林30</w:t>
      </w:r>
      <w:r>
        <w:rPr>
          <w:rFonts w:hint="eastAsia" w:ascii="仿宋" w:hAnsi="仿宋" w:eastAsia="仿宋" w:cs="仿宋"/>
          <w:color w:val="auto"/>
          <w:sz w:val="32"/>
          <w:szCs w:val="32"/>
        </w:rPr>
        <w:t>万亩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分3年完成，每年完成10万亩。</w:t>
      </w:r>
    </w:p>
    <w:p>
      <w:pPr>
        <w:pStyle w:val="5"/>
        <w:ind w:firstLine="640"/>
        <w:rPr>
          <w:color w:val="auto"/>
        </w:rPr>
      </w:pPr>
      <w:r>
        <w:rPr>
          <w:rFonts w:hint="eastAsia"/>
          <w:color w:val="auto"/>
          <w:lang w:eastAsia="zh-CN"/>
        </w:rPr>
        <w:t>五</w:t>
      </w:r>
      <w:r>
        <w:rPr>
          <w:rFonts w:hint="eastAsia"/>
          <w:color w:val="auto"/>
        </w:rPr>
        <w:t>、新一轮退耕还林</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巩固退耕还林成果，在我市25度以上非基本农田坡耕地和丹江口、其他重要水源地15-25度非基本农田坡耕地以及严重污染耕地等地块，实施新一轮退耕还林工程。</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坚持“农民自愿、政府引导”的原则，采取“自上而下、上下结合”的方式，按照“生态优先、因地制宜、分类施策、分类指导”的要求，在符合政策要求的地块稳步推进退耕还林，宜乔则乔，宜灌则灌，增加退耕地块植被覆盖度。</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（三）建设任务</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1.2021-2023年，搞好全市2.26万亩新一轮退耕还林地块管护，完善档案资料，及时兑付补助资金。补助期满后，按照后续政策要求实施管护。</w:t>
      </w:r>
    </w:p>
    <w:p>
      <w:pPr>
        <w:tabs>
          <w:tab w:val="left" w:pos="735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2.根据严重污染耕地等需要，在“十四五”期间纳入工程实施范围的，做好前期准备工作，落实确定地块，待上级任务下达后启动造林。</w:t>
      </w:r>
    </w:p>
    <w:p>
      <w:pPr>
        <w:pStyle w:val="2"/>
        <w:spacing w:line="560" w:lineRule="exact"/>
        <w:rPr>
          <w:rFonts w:hint="eastAsia" w:ascii="仿宋" w:hAnsi="仿宋" w:eastAsia="仿宋" w:cs="仿宋"/>
          <w:color w:val="auto"/>
          <w:kern w:val="2"/>
          <w:sz w:val="32"/>
          <w:szCs w:val="32"/>
          <w:lang w:val="en-US" w:eastAsia="zh-CN" w:bidi="ar-SA"/>
        </w:rPr>
      </w:pPr>
    </w:p>
    <w:p>
      <w:pPr>
        <w:pStyle w:val="2"/>
        <w:spacing w:line="560" w:lineRule="exact"/>
        <w:rPr>
          <w:rFonts w:hint="default" w:ascii="仿宋" w:hAnsi="仿宋" w:eastAsia="仿宋" w:cs="仿宋"/>
          <w:color w:val="auto"/>
          <w:kern w:val="2"/>
          <w:sz w:val="32"/>
          <w:szCs w:val="32"/>
          <w:lang w:val="en-US" w:eastAsia="zh-CN" w:bidi="ar-SA"/>
        </w:rPr>
      </w:pPr>
    </w:p>
    <w:bookmarkEnd w:id="130"/>
    <w:p>
      <w:pPr>
        <w:pStyle w:val="4"/>
        <w:rPr>
          <w:rFonts w:ascii="黑体" w:hAnsi="黑体" w:cs="黑体"/>
          <w:color w:val="auto"/>
        </w:rPr>
      </w:pPr>
      <w:bookmarkStart w:id="144" w:name="_Toc8290"/>
      <w:bookmarkStart w:id="145" w:name="_Toc22206"/>
      <w:bookmarkStart w:id="146" w:name="_Toc645"/>
      <w:bookmarkStart w:id="147" w:name="_Toc17839"/>
      <w:bookmarkStart w:id="148" w:name="_Toc9180"/>
      <w:bookmarkStart w:id="149" w:name="_Toc8914"/>
      <w:bookmarkStart w:id="150" w:name="_Toc19060"/>
      <w:bookmarkStart w:id="151" w:name="_Toc38284779"/>
      <w:bookmarkStart w:id="152" w:name="_Toc11696"/>
      <w:bookmarkStart w:id="153" w:name="_Toc7430"/>
      <w:r>
        <w:rPr>
          <w:rFonts w:ascii="黑体" w:hAnsi="黑体" w:cs="黑体"/>
          <w:color w:val="auto"/>
        </w:rPr>
        <w:t>第二节</w:t>
      </w:r>
      <w:r>
        <w:rPr>
          <w:rFonts w:hint="eastAsia" w:ascii="黑体" w:hAnsi="黑体" w:cs="黑体"/>
          <w:color w:val="auto"/>
        </w:rPr>
        <w:t xml:space="preserve">  </w:t>
      </w:r>
      <w:r>
        <w:rPr>
          <w:rFonts w:ascii="黑体" w:hAnsi="黑体" w:cs="黑体"/>
          <w:color w:val="auto"/>
        </w:rPr>
        <w:t>森林城市建设工程</w:t>
      </w:r>
      <w:bookmarkEnd w:id="144"/>
      <w:bookmarkEnd w:id="145"/>
      <w:bookmarkEnd w:id="146"/>
      <w:bookmarkEnd w:id="147"/>
      <w:bookmarkEnd w:id="148"/>
      <w:bookmarkEnd w:id="149"/>
      <w:bookmarkEnd w:id="150"/>
      <w:bookmarkEnd w:id="151"/>
      <w:bookmarkEnd w:id="152"/>
      <w:bookmarkEnd w:id="153"/>
    </w:p>
    <w:p>
      <w:pPr>
        <w:rPr>
          <w:color w:val="auto"/>
        </w:rPr>
      </w:pPr>
    </w:p>
    <w:p>
      <w:pPr>
        <w:pStyle w:val="5"/>
        <w:ind w:firstLine="640"/>
        <w:rPr>
          <w:color w:val="auto"/>
        </w:rPr>
      </w:pPr>
      <w:bookmarkStart w:id="154" w:name="_Toc31359"/>
      <w:r>
        <w:rPr>
          <w:rFonts w:hint="eastAsia"/>
          <w:color w:val="auto"/>
        </w:rPr>
        <w:t>一、国家森林城市</w:t>
      </w:r>
      <w:bookmarkEnd w:id="154"/>
      <w:r>
        <w:rPr>
          <w:rFonts w:hint="eastAsia"/>
          <w:color w:val="auto"/>
        </w:rPr>
        <w:t>提升</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按照《南阳森林城市建设总体规划（2016-2027年）》提出的“一轴二区、一核十级、三网、百园、千村”为骨架的生态建设布局，进一步加强森林城市生态体系建设、森林产业体系建设、森林文化体系建设和森林资源安全管护等工作，巩固国家森林城市建设成效。</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（一）森林城市生态体系建设</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抓好城区绿化，进一步挖掘城区绿色福利空间，加强城市公园、街头绿地、林荫景观街道、森林单位、林荫停车场、绿道建设，发展有机地表覆盖物，进一步完善绿色基础设施建设，改善主城区休闲绿地分布不均的状况，不断扩大城市绿地面积、增加城市绿量，持续提高园林绿化总体水平和景观层次，提升园林景观服务大众的能力，满足居民日常游憩需求，构建完备的城市森林景观游憩体系。加快大造林大绿化步伐，抓好山区生态林建设、生态廊道建设、农田防护林建设、乡村绿化美化，增加绿量，提高森林覆盖率。到2025年，城区绿化覆盖率达41.5%、人均公园绿地面积达15.3平方米、街道树冠覆盖率达33%。</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（二）森林城市产业体系建设</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按照绿色引领、生态高效的发展目标，紧紧围绕“菌、花、果、药”，重点培育发展月季花、玉兰花、茶花“三花”产业，猕猴桃、软籽石榴、薄壳核桃“三果</w:t>
      </w:r>
      <w:r>
        <w:rPr>
          <w:rFonts w:ascii="仿宋" w:hAnsi="仿宋" w:eastAsia="仿宋" w:cs="仿宋"/>
          <w:color w:val="auto"/>
          <w:sz w:val="32"/>
          <w:szCs w:val="32"/>
        </w:rPr>
        <w:t>”</w:t>
      </w:r>
      <w:r>
        <w:rPr>
          <w:rFonts w:hint="eastAsia" w:ascii="仿宋" w:hAnsi="仿宋" w:eastAsia="仿宋" w:cs="仿宋"/>
          <w:color w:val="auto"/>
          <w:sz w:val="32"/>
          <w:szCs w:val="32"/>
        </w:rPr>
        <w:t>产业，山茱萸、辛夷、艾草“三药”产业，打造百万亩花卉苗木种植大市、百万亩优质果品种植大市、百万亩地道中药材种植大市”，培育壮大龙头企业，做大做强优质林果和花卉苗木产业，把南阳打造成花果山，实现生态、经济效益双丰收。</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（三）森林文化体系建设</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搞好生态文化科普宣传活动。在森林公园、湿地公园、城市公园游园、植物园、动物园等公众游憩地，设置科普小标识、科普宣传栏、科普馆等生态知识教育设施和场所；利用“爱鸟周”“湿地日”“世界水日”等国际、国内与生态环境、自然保护相关的节日、纪念日、主题日，开展一系列科普宣传活动，使环境保护意识深入人心；通过电视、报刊、网络、户外媒体等渠道，采取参观学习、现场观摩、专题讲座、节目互动等形式，举办形式多样的科普活动，提高公众对森林城市建设的认识，形成全民参与、共建共享的植绿护绿爱绿浓厚氛围，促进人与自然和谐发展。各县区每年开展各类科普活动5次以上。同时，按照省委省政府统一部署，开展冬季和春季两次义务植树活动，引导社会各界积极参与植树造林，提高义务植树尽责率。</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（四）森林城市管理体系建设</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建立健全市、县林政、林业稽查、森防等执法体系，完善装备，增强力量，提高林业执法能力和水平。开展林业严打专项整治行动，加大毁林案件查处力度。加强古树名木管护，禁止从农村和山上移植古树、大树进城。抓好森林防火、林业有害生物防治，加强自然保护区、森林（湿地）公园建设，加强生态公益林、天然林保护管理，提高森林质量，巩固生态建设成效。</w:t>
      </w:r>
    </w:p>
    <w:p>
      <w:pPr>
        <w:pStyle w:val="5"/>
        <w:ind w:firstLine="640"/>
        <w:rPr>
          <w:color w:val="auto"/>
        </w:rPr>
      </w:pPr>
      <w:bookmarkStart w:id="155" w:name="_Toc24035"/>
      <w:r>
        <w:rPr>
          <w:rFonts w:hint="eastAsia"/>
          <w:color w:val="auto"/>
        </w:rPr>
        <w:t>二、县级森林城市创建</w:t>
      </w:r>
    </w:p>
    <w:bookmarkEnd w:id="155"/>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ind w:firstLine="640" w:firstLineChars="200"/>
        <w:rPr>
          <w:rFonts w:ascii="仿宋" w:hAnsi="仿宋" w:eastAsia="仿宋" w:cs="仿宋"/>
          <w:color w:val="auto"/>
          <w:sz w:val="32"/>
          <w:szCs w:val="40"/>
        </w:rPr>
      </w:pPr>
      <w:r>
        <w:rPr>
          <w:rFonts w:hint="eastAsia" w:ascii="仿宋" w:hAnsi="仿宋" w:eastAsia="仿宋" w:cs="仿宋"/>
          <w:color w:val="auto"/>
          <w:sz w:val="32"/>
          <w:szCs w:val="40"/>
        </w:rPr>
        <w:t>西峡、淅川、桐柏、内乡、南召、方城、镇平、唐河、新野、社旗等10县。</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在巩固提升国家森林城市建设水平的同时，大力推进县级森林城市创建，不断改善城乡生态面貌，提高人居环境质量，传播生态文明理念，让绿色发展成果人人共享。</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按照国家、省级森林县城创建标准，加强森林网络、森林健康、生态福利、生态文化和组织管理建设，西峡县、淅川县2个县达到国家级森林城市建设标准；内乡县、南召县、唐河县3个县达到省级森林城市建设标准。</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2021—2023年，西峡县建成国家森林城市，内乡县建成省级森林城市；2024—2025年，淅川县建成国家森林城市，南召县、唐河县建成省级森林城市。</w:t>
      </w:r>
    </w:p>
    <w:p>
      <w:pPr>
        <w:pStyle w:val="5"/>
        <w:ind w:firstLine="640"/>
        <w:rPr>
          <w:color w:val="auto"/>
        </w:rPr>
      </w:pPr>
      <w:bookmarkStart w:id="156" w:name="_Toc24122"/>
      <w:r>
        <w:rPr>
          <w:rFonts w:hint="eastAsia"/>
          <w:color w:val="auto"/>
        </w:rPr>
        <w:t>三、森林特色小镇建设</w:t>
      </w:r>
      <w:bookmarkEnd w:id="156"/>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ind w:firstLine="640" w:firstLineChars="200"/>
        <w:rPr>
          <w:rFonts w:ascii="仿宋" w:hAnsi="仿宋" w:eastAsia="仿宋" w:cs="仿宋"/>
          <w:color w:val="auto"/>
          <w:sz w:val="32"/>
          <w:szCs w:val="40"/>
        </w:rPr>
      </w:pPr>
      <w:r>
        <w:rPr>
          <w:rFonts w:hint="eastAsia" w:ascii="仿宋" w:hAnsi="仿宋" w:eastAsia="仿宋" w:cs="仿宋"/>
          <w:color w:val="auto"/>
          <w:sz w:val="32"/>
          <w:szCs w:val="40"/>
        </w:rPr>
        <w:t>西峡、淅川、桐柏、内乡、南召、方城、镇平、唐河、新野、社旗等10县。</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按照产业、文化、旅游“三位一体”建设要求，依托森林资源、自然风光资源、历史人文资源和生态优势，以林业特色产业为基础，弘扬乡土生态文化，重点发展森林康养和生态观光，丰富发展历史经典产业，促进林业一二三产业融合发展；突出主导产业特色，形成集聚复合优势度高的特色村镇，使之成为休闲、度假、体验、运动、养生、疗养和观光的森林生态佳境。在国有林场场部、护林点等适宜地点，利用老旧场址、场房民居，建设以森林景观利用为主要目的的森林特色小镇。</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规划建设森林特色小镇15个，其中，西峡县4个，淅川县1个，桐柏县、内乡县、南召县各建设2个，方城县、社旗县、唐河县、卧龙区各建设1个。</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按年度分，2021—2023年，建设森林特色小镇9个，占规划任务的60%；2024—2025年建设森林特色小镇6个，占40%。</w:t>
      </w:r>
    </w:p>
    <w:p>
      <w:pPr>
        <w:pStyle w:val="5"/>
        <w:ind w:firstLine="640"/>
        <w:rPr>
          <w:color w:val="auto"/>
        </w:rPr>
      </w:pPr>
      <w:r>
        <w:rPr>
          <w:rFonts w:hint="eastAsia"/>
          <w:color w:val="auto"/>
        </w:rPr>
        <w:t>四、森林乡村建设</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ind w:firstLine="640" w:firstLineChars="200"/>
        <w:rPr>
          <w:rFonts w:ascii="仿宋" w:hAnsi="仿宋" w:eastAsia="仿宋" w:cs="仿宋"/>
          <w:color w:val="auto"/>
          <w:sz w:val="32"/>
          <w:szCs w:val="40"/>
        </w:rPr>
      </w:pPr>
      <w:r>
        <w:rPr>
          <w:rFonts w:hint="eastAsia" w:ascii="仿宋" w:hAnsi="仿宋" w:eastAsia="仿宋" w:cs="仿宋"/>
          <w:color w:val="auto"/>
          <w:sz w:val="32"/>
          <w:szCs w:val="40"/>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围绕乡村振兴战略，按照国家、省、市级森林乡村建设标准，实施房前屋后见缝插绿，田间地头造林增绿，建设风景林、休憩林、围村林，因地制宜发展特色经济林果，实现村容整洁、生态宜居、环境优美。</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在各县区规划建设300个市级以上森林乡村，其中西峡县60个，淅川县、桐柏县、内乡县、南召县各建设50个，方城县、镇平县各建设10个，宛城区、卧龙区、社旗县、新野县、唐河县各建设4个。</w:t>
      </w:r>
    </w:p>
    <w:p>
      <w:pPr>
        <w:spacing w:line="560" w:lineRule="exact"/>
        <w:ind w:firstLine="600"/>
        <w:rPr>
          <w:rFonts w:hint="eastAsia" w:ascii="仿宋" w:hAnsi="仿宋" w:eastAsia="仿宋" w:cs="仿宋"/>
          <w:color w:val="auto"/>
          <w:sz w:val="32"/>
          <w:szCs w:val="32"/>
        </w:rPr>
      </w:pPr>
      <w:r>
        <w:rPr>
          <w:rFonts w:hint="eastAsia" w:ascii="仿宋" w:hAnsi="仿宋" w:eastAsia="仿宋" w:cs="仿宋"/>
          <w:color w:val="auto"/>
          <w:sz w:val="32"/>
          <w:szCs w:val="32"/>
        </w:rPr>
        <w:t>按年度分，2021-2023年，建设森林乡村180个，占规划任务的60%；2024-2025年建设森林乡村120个，占40%。</w:t>
      </w:r>
    </w:p>
    <w:p>
      <w:pPr>
        <w:pStyle w:val="2"/>
        <w:rPr>
          <w:rFonts w:hint="default" w:ascii="仿宋" w:hAnsi="仿宋" w:eastAsia="仿宋" w:cs="仿宋"/>
          <w:color w:val="auto"/>
          <w:sz w:val="32"/>
          <w:szCs w:val="32"/>
          <w:lang w:val="en-US" w:eastAsia="zh-CN"/>
        </w:rPr>
      </w:pPr>
    </w:p>
    <w:p>
      <w:pPr>
        <w:pStyle w:val="4"/>
        <w:rPr>
          <w:rFonts w:ascii="黑体" w:hAnsi="黑体" w:cs="黑体"/>
          <w:color w:val="auto"/>
        </w:rPr>
      </w:pPr>
      <w:bookmarkStart w:id="157" w:name="_Toc21294"/>
      <w:bookmarkStart w:id="158" w:name="_Toc15307"/>
      <w:bookmarkStart w:id="159" w:name="_Toc27772"/>
      <w:bookmarkStart w:id="160" w:name="_Toc26590"/>
      <w:bookmarkStart w:id="161" w:name="_Toc10722"/>
      <w:bookmarkStart w:id="162" w:name="_Toc14744"/>
      <w:bookmarkStart w:id="163" w:name="_Toc29495"/>
      <w:bookmarkStart w:id="164" w:name="_Toc17323"/>
      <w:bookmarkStart w:id="165" w:name="_Toc38284780"/>
      <w:bookmarkStart w:id="166" w:name="_Toc21229"/>
      <w:r>
        <w:rPr>
          <w:rFonts w:ascii="黑体" w:hAnsi="黑体" w:cs="黑体"/>
          <w:color w:val="auto"/>
        </w:rPr>
        <w:t>第三节</w:t>
      </w:r>
      <w:r>
        <w:rPr>
          <w:rFonts w:hint="eastAsia" w:ascii="黑体" w:hAnsi="黑体" w:cs="黑体"/>
          <w:color w:val="auto"/>
        </w:rPr>
        <w:t xml:space="preserve">  </w:t>
      </w:r>
      <w:r>
        <w:rPr>
          <w:rFonts w:ascii="黑体" w:hAnsi="黑体" w:cs="黑体"/>
          <w:color w:val="auto"/>
        </w:rPr>
        <w:t>乡村</w:t>
      </w:r>
      <w:r>
        <w:rPr>
          <w:rFonts w:hint="eastAsia" w:ascii="黑体" w:hAnsi="黑体" w:cs="黑体"/>
          <w:color w:val="auto"/>
        </w:rPr>
        <w:t>振兴绿化美化</w:t>
      </w:r>
      <w:r>
        <w:rPr>
          <w:rFonts w:ascii="黑体" w:hAnsi="黑体" w:cs="黑体"/>
          <w:color w:val="auto"/>
        </w:rPr>
        <w:t>工程</w:t>
      </w:r>
      <w:bookmarkEnd w:id="157"/>
      <w:bookmarkEnd w:id="158"/>
      <w:bookmarkEnd w:id="159"/>
      <w:bookmarkEnd w:id="160"/>
      <w:bookmarkEnd w:id="161"/>
      <w:bookmarkEnd w:id="162"/>
      <w:bookmarkEnd w:id="163"/>
      <w:bookmarkEnd w:id="164"/>
      <w:bookmarkEnd w:id="165"/>
      <w:bookmarkEnd w:id="166"/>
    </w:p>
    <w:p>
      <w:pPr>
        <w:rPr>
          <w:color w:val="auto"/>
        </w:rPr>
      </w:pPr>
    </w:p>
    <w:p>
      <w:pPr>
        <w:pStyle w:val="5"/>
        <w:ind w:firstLine="640"/>
        <w:rPr>
          <w:color w:val="auto"/>
        </w:rPr>
      </w:pPr>
      <w:bookmarkStart w:id="167" w:name="_Toc32193"/>
      <w:r>
        <w:rPr>
          <w:rFonts w:hint="eastAsia"/>
          <w:color w:val="auto"/>
        </w:rPr>
        <w:t>一、建设范围</w:t>
      </w:r>
      <w:bookmarkEnd w:id="167"/>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pStyle w:val="5"/>
        <w:ind w:firstLine="640"/>
        <w:rPr>
          <w:color w:val="auto"/>
        </w:rPr>
      </w:pPr>
      <w:bookmarkStart w:id="168" w:name="_Toc8549"/>
      <w:r>
        <w:rPr>
          <w:rFonts w:hint="eastAsia"/>
          <w:color w:val="auto"/>
        </w:rPr>
        <w:t>二、建设内容</w:t>
      </w:r>
      <w:bookmarkEnd w:id="168"/>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振兴乡村，最大的优势在生态，最大的潜力在林业。要紧紧围绕乡村振兴战略，结合“特色村镇、美丽乡村和森林村庄”建设，按照“一村一景、一村一品、一村一业、一村一韵”的原则，对入村道路、村庄内部道路和房前屋后等进行造林绿化，开展庭院绿化和围村林建设，因地制宜栽植乔、灌、花、果、藤等植物，构建“房前屋后果树成林、村庄周围森林环抱”的乡村绿化格局，努力建成“四季有景、处处是景”的美丽乡村,</w:t>
      </w:r>
      <w:r>
        <w:rPr>
          <w:rFonts w:hint="eastAsia" w:ascii="仿宋" w:hAnsi="仿宋" w:eastAsia="仿宋" w:cs="仿宋"/>
          <w:color w:val="auto"/>
          <w:sz w:val="32"/>
          <w:szCs w:val="32"/>
          <w:lang w:eastAsia="zh-CN"/>
        </w:rPr>
        <w:t>加快美丽乡村建设步伐，打造新时代美丽乡村升级版</w:t>
      </w:r>
      <w:r>
        <w:rPr>
          <w:rFonts w:hint="eastAsia" w:ascii="仿宋" w:hAnsi="仿宋" w:eastAsia="仿宋" w:cs="仿宋"/>
          <w:color w:val="auto"/>
          <w:sz w:val="32"/>
          <w:szCs w:val="32"/>
        </w:rPr>
        <w:t>。</w:t>
      </w:r>
    </w:p>
    <w:p>
      <w:pPr>
        <w:pStyle w:val="5"/>
        <w:ind w:firstLine="640"/>
        <w:rPr>
          <w:color w:val="auto"/>
        </w:rPr>
      </w:pPr>
      <w:bookmarkStart w:id="169" w:name="_Toc1359"/>
      <w:r>
        <w:rPr>
          <w:rFonts w:hint="eastAsia"/>
          <w:color w:val="auto"/>
        </w:rPr>
        <w:t>三、建设任务</w:t>
      </w:r>
      <w:bookmarkEnd w:id="169"/>
    </w:p>
    <w:p>
      <w:pPr>
        <w:spacing w:line="560" w:lineRule="exact"/>
        <w:ind w:firstLine="600"/>
        <w:rPr>
          <w:rFonts w:ascii="仿宋" w:hAnsi="仿宋" w:eastAsia="仿宋" w:cs="仿宋"/>
          <w:color w:val="auto"/>
          <w:sz w:val="32"/>
          <w:szCs w:val="32"/>
        </w:rPr>
      </w:pPr>
      <w:bookmarkStart w:id="170" w:name="_Toc11648"/>
      <w:r>
        <w:rPr>
          <w:rFonts w:hint="eastAsia" w:ascii="仿宋" w:hAnsi="仿宋" w:eastAsia="仿宋" w:cs="仿宋"/>
          <w:color w:val="auto"/>
          <w:sz w:val="32"/>
          <w:szCs w:val="32"/>
        </w:rPr>
        <w:t>规划造林</w:t>
      </w:r>
      <w:bookmarkStart w:id="171" w:name="_Hlk71620609"/>
      <w:r>
        <w:rPr>
          <w:rFonts w:hint="eastAsia" w:ascii="仿宋" w:hAnsi="仿宋" w:eastAsia="仿宋" w:cs="仿宋"/>
          <w:color w:val="auto"/>
          <w:sz w:val="32"/>
          <w:szCs w:val="32"/>
        </w:rPr>
        <w:t>6.2</w:t>
      </w:r>
      <w:bookmarkEnd w:id="171"/>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万亩。</w:t>
      </w:r>
    </w:p>
    <w:p>
      <w:pPr>
        <w:spacing w:line="560" w:lineRule="exact"/>
        <w:ind w:firstLine="600"/>
        <w:rPr>
          <w:rFonts w:hint="eastAsia" w:ascii="仿宋" w:hAnsi="仿宋" w:eastAsia="仿宋" w:cs="仿宋"/>
          <w:color w:val="auto"/>
          <w:sz w:val="32"/>
          <w:szCs w:val="32"/>
        </w:rPr>
      </w:pPr>
      <w:r>
        <w:rPr>
          <w:rFonts w:hint="eastAsia" w:ascii="仿宋" w:hAnsi="仿宋" w:eastAsia="仿宋" w:cs="仿宋"/>
          <w:color w:val="auto"/>
          <w:sz w:val="32"/>
          <w:szCs w:val="32"/>
        </w:rPr>
        <w:t>按年度分，2021年造林</w:t>
      </w:r>
      <w:r>
        <w:rPr>
          <w:rFonts w:hint="eastAsia" w:ascii="仿宋" w:hAnsi="仿宋" w:eastAsia="仿宋" w:cs="仿宋"/>
          <w:color w:val="auto"/>
          <w:sz w:val="32"/>
          <w:szCs w:val="32"/>
          <w:lang w:val="en-US" w:eastAsia="zh-CN"/>
        </w:rPr>
        <w:t>2.06</w:t>
      </w:r>
      <w:r>
        <w:rPr>
          <w:rFonts w:hint="eastAsia" w:ascii="仿宋" w:hAnsi="仿宋" w:eastAsia="仿宋" w:cs="仿宋"/>
          <w:color w:val="auto"/>
          <w:sz w:val="32"/>
          <w:szCs w:val="32"/>
        </w:rPr>
        <w:t>万亩，占规划任务的</w:t>
      </w:r>
      <w:r>
        <w:rPr>
          <w:rFonts w:hint="eastAsia" w:ascii="仿宋" w:hAnsi="仿宋" w:eastAsia="仿宋" w:cs="仿宋"/>
          <w:color w:val="auto"/>
          <w:sz w:val="32"/>
          <w:szCs w:val="32"/>
          <w:lang w:val="en-US" w:eastAsia="zh-CN"/>
        </w:rPr>
        <w:t>32.75</w:t>
      </w:r>
      <w:r>
        <w:rPr>
          <w:rFonts w:hint="eastAsia" w:ascii="仿宋" w:hAnsi="仿宋" w:eastAsia="仿宋" w:cs="仿宋"/>
          <w:color w:val="auto"/>
          <w:sz w:val="32"/>
          <w:szCs w:val="32"/>
        </w:rPr>
        <w:t>%，以后每年新造</w:t>
      </w:r>
      <w:r>
        <w:rPr>
          <w:rFonts w:hint="eastAsia" w:ascii="仿宋" w:hAnsi="仿宋" w:eastAsia="仿宋" w:cs="仿宋"/>
          <w:color w:val="auto"/>
          <w:sz w:val="32"/>
          <w:szCs w:val="32"/>
          <w:lang w:val="en-US" w:eastAsia="zh-CN"/>
        </w:rPr>
        <w:t>1.05</w:t>
      </w:r>
      <w:r>
        <w:rPr>
          <w:rFonts w:hint="eastAsia" w:ascii="仿宋" w:hAnsi="仿宋" w:eastAsia="仿宋" w:cs="仿宋"/>
          <w:color w:val="auto"/>
          <w:sz w:val="32"/>
          <w:szCs w:val="32"/>
        </w:rPr>
        <w:t>万亩，占比</w:t>
      </w:r>
      <w:r>
        <w:rPr>
          <w:rFonts w:hint="eastAsia" w:ascii="仿宋" w:hAnsi="仿宋" w:eastAsia="仿宋" w:cs="仿宋"/>
          <w:color w:val="auto"/>
          <w:sz w:val="32"/>
          <w:szCs w:val="32"/>
          <w:lang w:val="en-US" w:eastAsia="zh-CN"/>
        </w:rPr>
        <w:t>16.81</w:t>
      </w:r>
      <w:r>
        <w:rPr>
          <w:rFonts w:hint="eastAsia" w:ascii="仿宋" w:hAnsi="仿宋" w:eastAsia="仿宋" w:cs="仿宋"/>
          <w:color w:val="auto"/>
          <w:sz w:val="32"/>
          <w:szCs w:val="32"/>
        </w:rPr>
        <w:t>%。</w:t>
      </w:r>
    </w:p>
    <w:p>
      <w:pPr>
        <w:pStyle w:val="2"/>
        <w:rPr>
          <w:color w:val="auto"/>
        </w:rPr>
      </w:pPr>
    </w:p>
    <w:bookmarkEnd w:id="170"/>
    <w:p>
      <w:pPr>
        <w:pStyle w:val="4"/>
        <w:rPr>
          <w:rFonts w:ascii="黑体" w:hAnsi="黑体" w:cs="黑体"/>
          <w:color w:val="auto"/>
        </w:rPr>
      </w:pPr>
      <w:bookmarkStart w:id="172" w:name="_Toc7308"/>
      <w:bookmarkStart w:id="173" w:name="_Toc31366"/>
      <w:bookmarkStart w:id="174" w:name="_Toc12217"/>
      <w:bookmarkStart w:id="175" w:name="_Toc29051"/>
      <w:bookmarkStart w:id="176" w:name="_Toc22534"/>
      <w:bookmarkStart w:id="177" w:name="_Toc12227"/>
      <w:bookmarkStart w:id="178" w:name="_Toc26417"/>
      <w:bookmarkStart w:id="179" w:name="_Toc1851"/>
      <w:bookmarkStart w:id="180" w:name="_Toc5795"/>
      <w:bookmarkStart w:id="181" w:name="_Toc38284781"/>
      <w:r>
        <w:rPr>
          <w:rFonts w:ascii="黑体" w:hAnsi="黑体" w:cs="黑体"/>
          <w:color w:val="auto"/>
        </w:rPr>
        <w:t>第</w:t>
      </w:r>
      <w:r>
        <w:rPr>
          <w:rFonts w:hint="eastAsia" w:ascii="黑体" w:hAnsi="黑体" w:cs="黑体"/>
          <w:color w:val="auto"/>
        </w:rPr>
        <w:t>四</w:t>
      </w:r>
      <w:r>
        <w:rPr>
          <w:rFonts w:ascii="黑体" w:hAnsi="黑体" w:cs="黑体"/>
          <w:color w:val="auto"/>
        </w:rPr>
        <w:t>节</w:t>
      </w:r>
      <w:r>
        <w:rPr>
          <w:rFonts w:hint="eastAsia" w:ascii="黑体" w:hAnsi="黑体" w:cs="黑体"/>
          <w:color w:val="auto"/>
        </w:rPr>
        <w:t xml:space="preserve">  </w:t>
      </w:r>
      <w:r>
        <w:rPr>
          <w:rFonts w:ascii="黑体" w:hAnsi="黑体" w:cs="黑体"/>
          <w:color w:val="auto"/>
        </w:rPr>
        <w:t>森林质量提升工程</w:t>
      </w:r>
      <w:bookmarkEnd w:id="172"/>
      <w:bookmarkEnd w:id="173"/>
      <w:bookmarkEnd w:id="174"/>
      <w:bookmarkEnd w:id="175"/>
      <w:bookmarkEnd w:id="176"/>
      <w:bookmarkEnd w:id="177"/>
      <w:bookmarkEnd w:id="178"/>
      <w:bookmarkEnd w:id="179"/>
      <w:bookmarkEnd w:id="180"/>
      <w:bookmarkEnd w:id="181"/>
    </w:p>
    <w:p>
      <w:pPr>
        <w:rPr>
          <w:color w:val="auto"/>
        </w:rPr>
      </w:pPr>
    </w:p>
    <w:p>
      <w:pPr>
        <w:pStyle w:val="5"/>
        <w:ind w:firstLine="640"/>
        <w:rPr>
          <w:color w:val="auto"/>
        </w:rPr>
      </w:pPr>
      <w:bookmarkStart w:id="182" w:name="_Toc22100"/>
      <w:r>
        <w:rPr>
          <w:rFonts w:hint="eastAsia"/>
          <w:color w:val="auto"/>
        </w:rPr>
        <w:t>一、提高新造林质量</w:t>
      </w:r>
      <w:bookmarkEnd w:id="182"/>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坚持质量第一、效益优先，大力推进造林绿化，调整优化森林结构。一是科学把握时间。根据山区、平原、漏风口、迎风口、挡风口等地方的不同特点，以及土壤酸碱度和暖冬、冷冻季节气候变化等不同情况，结合树种特性，选择最适宜成活的时机进行种植，提高造林成效。二是调整林种结构。认真研究南阳区位特点、植物群落，在造林过程中，注重针叶林、阔叶林与常绿树、落叶树等林种、树种的补植搭配，形成乔、灌、花、草、藤“五形”合理配置，实现绿化、美化、花化、彩化、果化“五化”协调统一。三是完善功能结构。深入研究各类树种的特点优势，因地制宜开展植树造林，不断满足生态林、经济林、景观林、防护林、固沙林等多种功能需求。四是提高造林成效。全市范围内新造林成林率提高到80%以上，混交林比例达到70%以上，乡土树种比例达到60%以上，常绿树种比例达到35%以上，珍贵树种比例达到3%以上，优良苗木比例达到90%以上。</w:t>
      </w:r>
    </w:p>
    <w:p>
      <w:pPr>
        <w:pStyle w:val="5"/>
        <w:ind w:firstLine="640"/>
        <w:rPr>
          <w:color w:val="auto"/>
        </w:rPr>
      </w:pPr>
      <w:bookmarkStart w:id="183" w:name="_Toc22296"/>
      <w:r>
        <w:rPr>
          <w:rFonts w:hint="eastAsia"/>
          <w:color w:val="auto"/>
        </w:rPr>
        <w:t>二、森林抚育</w:t>
      </w:r>
      <w:bookmarkEnd w:id="183"/>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对郁闭度过大的中幼龄林，采取透光伐、疏伐、生长伐等方式进行抚育，调整林分结构；对遭受森林火灾、林业有害生物等自然灾害危害的林分，采用卫生伐方式进行抚育；对近年来新成林的有林地，采用割灌、修枝、定株、松土除草等措施进行抚育。</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32"/>
        </w:rPr>
      </w:pPr>
      <w:bookmarkStart w:id="184" w:name="_Toc22647"/>
      <w:r>
        <w:rPr>
          <w:rFonts w:hint="eastAsia" w:ascii="仿宋" w:hAnsi="仿宋" w:eastAsia="仿宋" w:cs="仿宋"/>
          <w:color w:val="auto"/>
          <w:sz w:val="32"/>
          <w:szCs w:val="32"/>
        </w:rPr>
        <w:t>规划任务</w:t>
      </w:r>
      <w:r>
        <w:rPr>
          <w:rFonts w:hint="eastAsia" w:ascii="仿宋" w:hAnsi="仿宋" w:eastAsia="仿宋" w:cs="仿宋"/>
          <w:color w:val="auto"/>
          <w:sz w:val="32"/>
          <w:szCs w:val="32"/>
          <w:lang w:val="en-US" w:eastAsia="zh-CN"/>
        </w:rPr>
        <w:t>265.43</w:t>
      </w:r>
      <w:r>
        <w:rPr>
          <w:rFonts w:hint="eastAsia" w:ascii="仿宋" w:hAnsi="仿宋" w:eastAsia="仿宋" w:cs="仿宋"/>
          <w:color w:val="auto"/>
          <w:sz w:val="32"/>
          <w:szCs w:val="32"/>
        </w:rPr>
        <w:t>万亩。按年度分，2021年抚育面积</w:t>
      </w:r>
      <w:r>
        <w:rPr>
          <w:rFonts w:hint="eastAsia" w:ascii="仿宋" w:hAnsi="仿宋" w:eastAsia="仿宋" w:cs="仿宋"/>
          <w:color w:val="auto"/>
          <w:sz w:val="32"/>
          <w:szCs w:val="32"/>
          <w:lang w:val="en-US" w:eastAsia="zh-CN"/>
        </w:rPr>
        <w:t>75.8</w:t>
      </w:r>
      <w:r>
        <w:rPr>
          <w:rFonts w:hint="eastAsia" w:ascii="仿宋" w:hAnsi="仿宋" w:eastAsia="仿宋" w:cs="仿宋"/>
          <w:color w:val="auto"/>
          <w:sz w:val="32"/>
          <w:szCs w:val="32"/>
        </w:rPr>
        <w:t>万亩，占规划任务的</w:t>
      </w:r>
      <w:r>
        <w:rPr>
          <w:rFonts w:hint="eastAsia" w:ascii="仿宋" w:hAnsi="仿宋" w:eastAsia="仿宋" w:cs="仿宋"/>
          <w:color w:val="auto"/>
          <w:sz w:val="32"/>
          <w:szCs w:val="32"/>
          <w:lang w:val="en-US" w:eastAsia="zh-CN"/>
        </w:rPr>
        <w:t>28.56</w:t>
      </w:r>
      <w:r>
        <w:rPr>
          <w:rFonts w:hint="eastAsia" w:ascii="仿宋" w:hAnsi="仿宋" w:eastAsia="仿宋" w:cs="仿宋"/>
          <w:color w:val="auto"/>
          <w:sz w:val="32"/>
          <w:szCs w:val="32"/>
        </w:rPr>
        <w:t>%，以后每年抚育面积</w:t>
      </w:r>
      <w:r>
        <w:rPr>
          <w:rFonts w:hint="eastAsia" w:ascii="仿宋" w:hAnsi="仿宋" w:eastAsia="仿宋" w:cs="仿宋"/>
          <w:color w:val="auto"/>
          <w:sz w:val="32"/>
          <w:szCs w:val="32"/>
          <w:lang w:val="en-US" w:eastAsia="zh-CN"/>
        </w:rPr>
        <w:t>47.4</w:t>
      </w:r>
      <w:r>
        <w:rPr>
          <w:rFonts w:hint="eastAsia" w:ascii="仿宋" w:hAnsi="仿宋" w:eastAsia="仿宋" w:cs="仿宋"/>
          <w:color w:val="auto"/>
          <w:sz w:val="32"/>
          <w:szCs w:val="32"/>
        </w:rPr>
        <w:t>万亩，占比</w:t>
      </w:r>
      <w:r>
        <w:rPr>
          <w:rFonts w:hint="eastAsia" w:ascii="仿宋" w:hAnsi="仿宋" w:eastAsia="仿宋" w:cs="仿宋"/>
          <w:color w:val="auto"/>
          <w:sz w:val="32"/>
          <w:szCs w:val="32"/>
          <w:lang w:val="en-US" w:eastAsia="zh-CN"/>
        </w:rPr>
        <w:t>17.86</w:t>
      </w:r>
      <w:r>
        <w:rPr>
          <w:rFonts w:hint="eastAsia" w:ascii="仿宋" w:hAnsi="仿宋" w:eastAsia="仿宋" w:cs="仿宋"/>
          <w:color w:val="auto"/>
          <w:sz w:val="32"/>
          <w:szCs w:val="32"/>
        </w:rPr>
        <w:t>%。</w:t>
      </w:r>
    </w:p>
    <w:bookmarkEnd w:id="184"/>
    <w:p>
      <w:pPr>
        <w:pStyle w:val="5"/>
        <w:ind w:firstLine="640"/>
        <w:rPr>
          <w:color w:val="auto"/>
        </w:rPr>
      </w:pPr>
      <w:bookmarkStart w:id="185" w:name="_Toc16328"/>
      <w:r>
        <w:rPr>
          <w:rFonts w:hint="eastAsia"/>
          <w:color w:val="auto"/>
          <w:lang w:val="en-US" w:eastAsia="zh-CN"/>
        </w:rPr>
        <w:t>三</w:t>
      </w:r>
      <w:r>
        <w:rPr>
          <w:rFonts w:hint="eastAsia"/>
          <w:color w:val="auto"/>
        </w:rPr>
        <w:t>、林木良种培育</w:t>
      </w:r>
      <w:bookmarkEnd w:id="185"/>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加强林木良种繁育，建设林木良种基地；提高林木种子储备和苗圃生产能力，建设林木种子储备库和保障性苗圃；对培育林木良种苗木生产单位进行补贴。围绕解决平原绿化和村镇绿化树种单一、欧美杨比重过大、杨絮污染严重的问题，进一步加强七叶树、楸树、椿树、白蜡、楝树、榆树、国槐、银杏</w:t>
      </w:r>
      <w:r>
        <w:rPr>
          <w:rFonts w:hint="eastAsia" w:ascii="仿宋" w:hAnsi="仿宋" w:eastAsia="仿宋" w:cs="仿宋"/>
          <w:color w:val="auto"/>
          <w:sz w:val="32"/>
          <w:szCs w:val="32"/>
          <w:lang w:eastAsia="zh-CN"/>
        </w:rPr>
        <w:t>、枫香</w:t>
      </w:r>
      <w:r>
        <w:rPr>
          <w:rFonts w:hint="eastAsia" w:ascii="仿宋" w:hAnsi="仿宋" w:eastAsia="仿宋" w:cs="仿宋"/>
          <w:color w:val="auto"/>
          <w:sz w:val="32"/>
          <w:szCs w:val="32"/>
        </w:rPr>
        <w:t>等乡土树种的良种选育，抓好野生优质种质资源开发利用，为造林绿化、树种结构调整提供更多可供选择的林木良种。</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hint="eastAsia" w:ascii="仿宋" w:hAnsi="仿宋" w:eastAsia="仿宋" w:cs="仿宋"/>
          <w:color w:val="auto"/>
          <w:sz w:val="32"/>
          <w:szCs w:val="32"/>
        </w:rPr>
      </w:pPr>
      <w:r>
        <w:rPr>
          <w:rFonts w:hint="eastAsia" w:ascii="仿宋" w:hAnsi="仿宋" w:eastAsia="仿宋" w:cs="仿宋"/>
          <w:color w:val="auto"/>
          <w:sz w:val="32"/>
          <w:szCs w:val="32"/>
        </w:rPr>
        <w:t>加强现有8个国家认定的国有苗圃及4个县级苗圃建设，改善基础设施和生产条件，提高育苗水平</w:t>
      </w:r>
      <w:bookmarkStart w:id="186" w:name="_Hlk71620686"/>
      <w:r>
        <w:rPr>
          <w:rFonts w:hint="eastAsia" w:ascii="仿宋" w:hAnsi="仿宋" w:eastAsia="仿宋" w:cs="仿宋"/>
          <w:color w:val="auto"/>
          <w:sz w:val="32"/>
          <w:szCs w:val="32"/>
        </w:rPr>
        <w:t>；完善现有3处国家重点林木良种基地、</w:t>
      </w:r>
      <w:bookmarkStart w:id="187" w:name="_Hlk71620667"/>
      <w:r>
        <w:rPr>
          <w:rFonts w:hint="eastAsia" w:ascii="仿宋" w:hAnsi="仿宋" w:eastAsia="仿宋" w:cs="仿宋"/>
          <w:color w:val="auto"/>
          <w:sz w:val="32"/>
          <w:szCs w:val="32"/>
        </w:rPr>
        <w:t>3处省级种质资源库</w:t>
      </w:r>
      <w:bookmarkEnd w:id="187"/>
      <w:r>
        <w:rPr>
          <w:rFonts w:hint="eastAsia" w:ascii="仿宋" w:hAnsi="仿宋" w:eastAsia="仿宋" w:cs="仿宋"/>
          <w:color w:val="auto"/>
          <w:sz w:val="32"/>
          <w:szCs w:val="32"/>
        </w:rPr>
        <w:t>（南阳月季、南召玉兰、西峡猕猴桃）和6处省级林木良种基地，新建国家良种资源库2处（南召玉兰、西峡猕猴桃）、省级林木种子储备库2处（淅川三叶木通、内乡青檀）；</w:t>
      </w:r>
      <w:bookmarkEnd w:id="186"/>
      <w:r>
        <w:rPr>
          <w:rFonts w:hint="eastAsia" w:ascii="仿宋" w:hAnsi="仿宋" w:eastAsia="仿宋" w:cs="仿宋"/>
          <w:color w:val="auto"/>
          <w:sz w:val="32"/>
          <w:szCs w:val="32"/>
        </w:rPr>
        <w:t>对于承担良种苗木生产任务的单位，按株数给予财政补贴。实行国储林定向育苗，精准培育苗木，提高工程质量。</w:t>
      </w:r>
    </w:p>
    <w:p>
      <w:pPr>
        <w:spacing w:line="560" w:lineRule="exact"/>
        <w:ind w:firstLine="600"/>
        <w:rPr>
          <w:rFonts w:ascii="仿宋" w:hAnsi="仿宋" w:eastAsia="仿宋" w:cs="仿宋"/>
          <w:color w:val="auto"/>
          <w:sz w:val="32"/>
          <w:szCs w:val="32"/>
        </w:rPr>
      </w:pPr>
    </w:p>
    <w:p>
      <w:pPr>
        <w:pStyle w:val="4"/>
        <w:rPr>
          <w:rFonts w:ascii="黑体" w:hAnsi="黑体" w:cs="黑体"/>
          <w:color w:val="auto"/>
        </w:rPr>
      </w:pPr>
      <w:bookmarkStart w:id="188" w:name="_Toc5459"/>
      <w:bookmarkStart w:id="189" w:name="_Toc2469"/>
      <w:bookmarkStart w:id="190" w:name="_Toc7681"/>
      <w:bookmarkStart w:id="191" w:name="_Toc5176"/>
      <w:bookmarkStart w:id="192" w:name="_Toc27412"/>
      <w:bookmarkStart w:id="193" w:name="_Toc12983"/>
      <w:bookmarkStart w:id="194" w:name="_Toc24360"/>
      <w:bookmarkStart w:id="195" w:name="_Toc6555"/>
      <w:bookmarkStart w:id="196" w:name="_Toc9270"/>
      <w:bookmarkStart w:id="197" w:name="_Toc38284782"/>
      <w:r>
        <w:rPr>
          <w:rFonts w:ascii="黑体" w:hAnsi="黑体" w:cs="黑体"/>
          <w:color w:val="auto"/>
        </w:rPr>
        <w:t>第</w:t>
      </w:r>
      <w:r>
        <w:rPr>
          <w:rFonts w:hint="eastAsia" w:ascii="黑体" w:hAnsi="黑体" w:cs="黑体"/>
          <w:color w:val="auto"/>
        </w:rPr>
        <w:t>五</w:t>
      </w:r>
      <w:r>
        <w:rPr>
          <w:rFonts w:ascii="黑体" w:hAnsi="黑体" w:cs="黑体"/>
          <w:color w:val="auto"/>
        </w:rPr>
        <w:t>节</w:t>
      </w:r>
      <w:r>
        <w:rPr>
          <w:rFonts w:hint="eastAsia" w:ascii="黑体" w:hAnsi="黑体" w:cs="黑体"/>
          <w:color w:val="auto"/>
        </w:rPr>
        <w:t xml:space="preserve">  自然保护地生态</w:t>
      </w:r>
      <w:r>
        <w:rPr>
          <w:rFonts w:ascii="黑体" w:hAnsi="黑体" w:cs="黑体"/>
          <w:color w:val="auto"/>
        </w:rPr>
        <w:t>保护</w:t>
      </w:r>
      <w:r>
        <w:rPr>
          <w:rFonts w:hint="eastAsia" w:ascii="黑体" w:hAnsi="黑体" w:cs="黑体"/>
          <w:color w:val="auto"/>
        </w:rPr>
        <w:t>修复</w:t>
      </w:r>
      <w:r>
        <w:rPr>
          <w:rFonts w:ascii="黑体" w:hAnsi="黑体" w:cs="黑体"/>
          <w:color w:val="auto"/>
        </w:rPr>
        <w:t>工程</w:t>
      </w:r>
      <w:bookmarkEnd w:id="188"/>
      <w:bookmarkEnd w:id="189"/>
      <w:bookmarkEnd w:id="190"/>
      <w:bookmarkEnd w:id="191"/>
      <w:bookmarkEnd w:id="192"/>
      <w:bookmarkEnd w:id="193"/>
      <w:bookmarkEnd w:id="194"/>
      <w:bookmarkEnd w:id="195"/>
    </w:p>
    <w:p>
      <w:pPr>
        <w:rPr>
          <w:color w:val="auto"/>
        </w:rPr>
      </w:pPr>
    </w:p>
    <w:p>
      <w:pPr>
        <w:pStyle w:val="5"/>
        <w:ind w:firstLine="640"/>
        <w:rPr>
          <w:color w:val="auto"/>
        </w:rPr>
      </w:pPr>
      <w:r>
        <w:rPr>
          <w:rFonts w:hint="eastAsia"/>
          <w:color w:val="auto"/>
        </w:rPr>
        <w:t>一、湿地生态保护修复</w:t>
      </w:r>
    </w:p>
    <w:bookmarkEnd w:id="196"/>
    <w:bookmarkEnd w:id="197"/>
    <w:p>
      <w:pPr>
        <w:spacing w:line="560" w:lineRule="exact"/>
        <w:ind w:firstLine="600"/>
        <w:rPr>
          <w:rFonts w:ascii="楷体" w:hAnsi="楷体" w:eastAsia="楷体" w:cs="楷体"/>
          <w:color w:val="auto"/>
          <w:sz w:val="32"/>
          <w:szCs w:val="32"/>
        </w:rPr>
      </w:pPr>
      <w:bookmarkStart w:id="198" w:name="_Toc20920"/>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bookmarkEnd w:id="198"/>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加强全市湿地生态效益补偿、湿地保护管理，加强湿地公园管护和基础设施建设等工作。对重点区域的自然湿地和具有重要生态价值的人工湿地，建立较为完善的湿地保护管理体系和科普宣教体系，实行优先保护和修复，恢复原有湿地，扩大湿地面积。在重点湿地区域，开展湿地补水、水生植被恢复、水位调控、外来入侵物种防控、保护管理、基础设施建设等工作。</w:t>
      </w:r>
    </w:p>
    <w:p>
      <w:pPr>
        <w:spacing w:line="560" w:lineRule="exact"/>
        <w:ind w:firstLine="600"/>
        <w:rPr>
          <w:rFonts w:ascii="楷体" w:hAnsi="楷体" w:eastAsia="楷体" w:cs="楷体"/>
          <w:color w:val="auto"/>
          <w:sz w:val="32"/>
          <w:szCs w:val="32"/>
        </w:rPr>
      </w:pPr>
      <w:bookmarkStart w:id="199" w:name="_Toc31491"/>
      <w:r>
        <w:rPr>
          <w:rFonts w:hint="eastAsia" w:ascii="楷体" w:hAnsi="楷体" w:eastAsia="楷体" w:cs="楷体"/>
          <w:color w:val="auto"/>
          <w:sz w:val="32"/>
          <w:szCs w:val="32"/>
        </w:rPr>
        <w:t>（三）建设任务</w:t>
      </w:r>
      <w:bookmarkEnd w:id="199"/>
    </w:p>
    <w:p>
      <w:pPr>
        <w:numPr>
          <w:ilvl w:val="255"/>
          <w:numId w:val="0"/>
        </w:num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全面提升南水北调中线干渠、淮河源头及干流、长江汉江上游唐白河流域的湿地生态系统质量。重点实施丹江国家级湿地自然保护区基础设施建设、淮河流域湿地生态保护与修复工程、白河国家湿地公园湿地保护与恢复工程、南水北调中线干渠生态保护与修复工程等。</w:t>
      </w:r>
    </w:p>
    <w:p>
      <w:pPr>
        <w:numPr>
          <w:ilvl w:val="255"/>
          <w:numId w:val="0"/>
        </w:num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在丹江国家级湿地、内乡湍河省级湿地等重要湿地、湿地自然保护区和国家湿地公园为主的重点湿地分布区内，开展湿地补水、水生植被恢复、水位调控、富营养化治理、外来入侵物种防控等生态修复</w:t>
      </w:r>
      <w:r>
        <w:rPr>
          <w:rFonts w:hint="eastAsia" w:ascii="仿宋" w:hAnsi="仿宋" w:eastAsia="仿宋" w:cs="仿宋"/>
          <w:color w:val="auto"/>
          <w:sz w:val="32"/>
          <w:szCs w:val="32"/>
          <w:lang w:val="en-US" w:eastAsia="zh-CN"/>
        </w:rPr>
        <w:t>与</w:t>
      </w:r>
      <w:r>
        <w:rPr>
          <w:rFonts w:hint="eastAsia" w:ascii="仿宋" w:hAnsi="仿宋" w:eastAsia="仿宋" w:cs="仿宋"/>
          <w:color w:val="auto"/>
          <w:sz w:val="32"/>
          <w:szCs w:val="32"/>
        </w:rPr>
        <w:t>保护。对重要湿地及其周边范围内可退耕地实施退耕还湿、退养还滩，采取地形改造、栖息地营造、引水蓄水、清淤疏浚等措施，增加湿地面积。</w:t>
      </w:r>
    </w:p>
    <w:p>
      <w:pPr>
        <w:numPr>
          <w:ilvl w:val="255"/>
          <w:numId w:val="0"/>
        </w:num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加强湿地监测中心基础设施建设，建设一批湿地科普宣教中心、湿地博物馆、宣教基地和湿地野外研究基地，构建统一的湿地资源监测、评估和监管平台。开展新建湿地公园基础设施建设，如管护站点、巡护道路等，配套购置相关设备仪器。结合基础设施建设，在已建成的湿地公园开展退化湿地修复，恢复水生生物多样性。2021—2025年，新建1个省级湿地公园，开展湿地生态效益补偿182.59万亩，聘用湿地管护人员480名；全市保持湿地保护率不低于5</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%，湿地生态功能明显增强。</w:t>
      </w:r>
    </w:p>
    <w:p>
      <w:pPr>
        <w:pStyle w:val="5"/>
        <w:numPr>
          <w:ilvl w:val="0"/>
          <w:numId w:val="2"/>
        </w:numPr>
        <w:ind w:firstLine="640"/>
        <w:rPr>
          <w:rFonts w:hint="eastAsia"/>
          <w:color w:val="auto"/>
          <w:lang w:eastAsia="zh-CN"/>
        </w:rPr>
      </w:pPr>
      <w:r>
        <w:rPr>
          <w:rFonts w:hint="eastAsia"/>
          <w:color w:val="auto"/>
          <w:lang w:eastAsia="zh-CN"/>
        </w:rPr>
        <w:t>自然保护区建设</w:t>
      </w:r>
    </w:p>
    <w:p>
      <w:pPr>
        <w:numPr>
          <w:ilvl w:val="0"/>
          <w:numId w:val="3"/>
        </w:numPr>
        <w:spacing w:line="560" w:lineRule="exact"/>
        <w:ind w:firstLine="600"/>
        <w:rPr>
          <w:rFonts w:hint="eastAsia" w:ascii="楷体" w:hAnsi="楷体" w:eastAsia="楷体" w:cs="楷体"/>
          <w:color w:val="auto"/>
          <w:sz w:val="32"/>
          <w:szCs w:val="32"/>
        </w:rPr>
      </w:pPr>
      <w:r>
        <w:rPr>
          <w:rFonts w:hint="eastAsia" w:ascii="楷体" w:hAnsi="楷体" w:eastAsia="楷体" w:cs="楷体"/>
          <w:color w:val="auto"/>
          <w:sz w:val="32"/>
          <w:szCs w:val="32"/>
        </w:rPr>
        <w:t>建设范围</w:t>
      </w:r>
    </w:p>
    <w:p>
      <w:pPr>
        <w:pStyle w:val="2"/>
        <w:numPr>
          <w:ilvl w:val="0"/>
          <w:numId w:val="0"/>
        </w:numPr>
        <w:rPr>
          <w:rFonts w:hint="eastAsia" w:ascii="仿宋" w:hAnsi="仿宋" w:eastAsia="仿宋" w:cs="仿宋"/>
          <w:color w:val="auto"/>
          <w:kern w:val="2"/>
          <w:sz w:val="32"/>
          <w:szCs w:val="32"/>
          <w:lang w:val="en-US" w:eastAsia="zh-CN" w:bidi="ar-SA"/>
        </w:rPr>
      </w:pPr>
      <w:r>
        <w:rPr>
          <w:rFonts w:hint="eastAsia"/>
          <w:color w:val="auto"/>
          <w:lang w:val="en-US" w:eastAsia="zh-CN"/>
        </w:rPr>
        <w:t xml:space="preserve">      </w:t>
      </w:r>
      <w:r>
        <w:rPr>
          <w:rFonts w:hint="eastAsia" w:ascii="仿宋" w:hAnsi="仿宋" w:eastAsia="仿宋" w:cs="仿宋"/>
          <w:color w:val="auto"/>
          <w:kern w:val="2"/>
          <w:sz w:val="32"/>
          <w:szCs w:val="32"/>
          <w:lang w:val="en-US" w:eastAsia="zh-CN" w:bidi="ar-SA"/>
        </w:rPr>
        <w:t>各有关县区。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numPr>
          <w:ilvl w:val="255"/>
          <w:numId w:val="0"/>
        </w:num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在保护区域开展巡防巡控、加强保护区巡查工作，建立完善监控体系；加强保护区基础设施建设，新建管护站点、科研宣教点等，修缮已有的设施，保护恐龙蛋产地；加大管理人员培训，建立科普宣教体系。</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pStyle w:val="2"/>
        <w:numPr>
          <w:ilvl w:val="0"/>
          <w:numId w:val="0"/>
        </w:numPr>
        <w:rPr>
          <w:rFonts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 xml:space="preserve">     对旗舰种、伞护种分布区，建设近自然扩散廊道。对受损严重、自然恢复困难的工矿、村庄废弃地等开展系统综合修复。加强野外管护巡护、天空地一体化监测监管、应急防灾救灾、疫源疫病防控和有害生物防治等保护管理设施设备建设。落实自然资源调查和自然资源资产确权登记。建立特许经营管理制度。加快建设高素质专业化队伍。</w:t>
      </w:r>
    </w:p>
    <w:p>
      <w:pPr>
        <w:pStyle w:val="5"/>
        <w:ind w:firstLine="640"/>
        <w:rPr>
          <w:rFonts w:hint="eastAsia" w:eastAsia="黑体"/>
          <w:color w:val="auto"/>
          <w:lang w:eastAsia="zh-CN"/>
        </w:rPr>
      </w:pPr>
      <w:r>
        <w:rPr>
          <w:rFonts w:hint="eastAsia"/>
          <w:color w:val="auto"/>
        </w:rPr>
        <w:t>三、</w:t>
      </w:r>
      <w:r>
        <w:rPr>
          <w:rFonts w:hint="eastAsia"/>
          <w:color w:val="auto"/>
          <w:lang w:eastAsia="zh-CN"/>
        </w:rPr>
        <w:t>自然公园建设</w:t>
      </w:r>
    </w:p>
    <w:p>
      <w:pPr>
        <w:spacing w:line="560" w:lineRule="exact"/>
        <w:ind w:firstLine="600"/>
        <w:rPr>
          <w:rFonts w:ascii="楷体" w:hAnsi="楷体" w:eastAsia="楷体" w:cs="楷体"/>
          <w:color w:val="auto"/>
          <w:sz w:val="32"/>
          <w:szCs w:val="32"/>
        </w:rPr>
      </w:pPr>
      <w:r>
        <w:rPr>
          <w:rFonts w:ascii="楷体" w:hAnsi="楷体" w:eastAsia="楷体" w:cs="楷体"/>
          <w:color w:val="auto"/>
          <w:sz w:val="32"/>
          <w:szCs w:val="32"/>
        </w:rPr>
        <w:t>（一）建设范围</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各县市区</w:t>
      </w:r>
      <w:r>
        <w:rPr>
          <w:rFonts w:ascii="Times New Roman" w:hAnsi="Times New Roman" w:eastAsia="仿宋" w:cs="Times New Roman"/>
          <w:color w:val="auto"/>
          <w:sz w:val="32"/>
          <w:szCs w:val="32"/>
        </w:rPr>
        <w:t>。</w:t>
      </w:r>
    </w:p>
    <w:p>
      <w:pPr>
        <w:spacing w:line="560" w:lineRule="exact"/>
        <w:ind w:firstLine="600"/>
        <w:rPr>
          <w:rFonts w:ascii="楷体" w:hAnsi="楷体" w:eastAsia="楷体" w:cs="楷体"/>
          <w:color w:val="auto"/>
          <w:sz w:val="32"/>
          <w:szCs w:val="32"/>
        </w:rPr>
      </w:pPr>
      <w:r>
        <w:rPr>
          <w:rFonts w:ascii="楷体" w:hAnsi="楷体" w:eastAsia="楷体" w:cs="楷体"/>
          <w:color w:val="auto"/>
          <w:sz w:val="32"/>
          <w:szCs w:val="32"/>
        </w:rPr>
        <w:t>（二）建设内容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加强</w:t>
      </w:r>
      <w:r>
        <w:rPr>
          <w:rFonts w:hint="eastAsia" w:ascii="Times New Roman" w:hAnsi="Times New Roman" w:eastAsia="仿宋" w:cs="Times New Roman"/>
          <w:color w:val="auto"/>
          <w:sz w:val="32"/>
          <w:szCs w:val="32"/>
          <w:lang w:eastAsia="zh-CN"/>
        </w:rPr>
        <w:t>自然</w:t>
      </w:r>
      <w:r>
        <w:rPr>
          <w:rFonts w:hint="eastAsia" w:ascii="Times New Roman" w:hAnsi="Times New Roman" w:eastAsia="仿宋" w:cs="Times New Roman"/>
          <w:color w:val="auto"/>
          <w:sz w:val="32"/>
          <w:szCs w:val="32"/>
        </w:rPr>
        <w:t>公园资源保护管理，在重点区域建立完善保护管理体系，开展</w:t>
      </w:r>
      <w:r>
        <w:rPr>
          <w:rFonts w:hint="eastAsia" w:ascii="Times New Roman" w:hAnsi="Times New Roman" w:eastAsia="仿宋" w:cs="Times New Roman"/>
          <w:color w:val="auto"/>
          <w:sz w:val="32"/>
          <w:szCs w:val="32"/>
          <w:lang w:eastAsia="zh-CN"/>
        </w:rPr>
        <w:t>自然公园</w:t>
      </w:r>
      <w:r>
        <w:rPr>
          <w:rFonts w:hint="eastAsia" w:ascii="Times New Roman" w:hAnsi="Times New Roman" w:eastAsia="仿宋" w:cs="Times New Roman"/>
          <w:color w:val="auto"/>
          <w:sz w:val="32"/>
          <w:szCs w:val="32"/>
        </w:rPr>
        <w:t>保护与修复工程建设；建立完善的科普宣教体系和科研监测体系，开展形式多样的科普宣教活动，对</w:t>
      </w:r>
      <w:r>
        <w:rPr>
          <w:rFonts w:hint="eastAsia" w:ascii="Times New Roman" w:hAnsi="Times New Roman" w:eastAsia="仿宋" w:cs="Times New Roman"/>
          <w:color w:val="auto"/>
          <w:sz w:val="32"/>
          <w:szCs w:val="32"/>
          <w:lang w:eastAsia="zh-CN"/>
        </w:rPr>
        <w:t>自然公园</w:t>
      </w:r>
      <w:r>
        <w:rPr>
          <w:rFonts w:hint="eastAsia" w:ascii="Times New Roman" w:hAnsi="Times New Roman" w:eastAsia="仿宋" w:cs="Times New Roman"/>
          <w:color w:val="auto"/>
          <w:sz w:val="32"/>
          <w:szCs w:val="32"/>
        </w:rPr>
        <w:t>资源进行动态监测；加强基础设施建设，建设、完善、提升管理站、科普宣教馆、科普基地、宣教长廊，建立界碑、界桩等，新建、维护</w:t>
      </w:r>
      <w:r>
        <w:rPr>
          <w:rFonts w:hint="eastAsia" w:ascii="Times New Roman" w:hAnsi="Times New Roman" w:eastAsia="仿宋" w:cs="Times New Roman"/>
          <w:color w:val="auto"/>
          <w:sz w:val="32"/>
          <w:szCs w:val="32"/>
          <w:lang w:eastAsia="zh-CN"/>
        </w:rPr>
        <w:t>自然公园</w:t>
      </w:r>
      <w:r>
        <w:rPr>
          <w:rFonts w:hint="eastAsia" w:ascii="Times New Roman" w:hAnsi="Times New Roman" w:eastAsia="仿宋" w:cs="Times New Roman"/>
          <w:color w:val="auto"/>
          <w:sz w:val="32"/>
          <w:szCs w:val="32"/>
        </w:rPr>
        <w:t>道路等</w:t>
      </w:r>
      <w:r>
        <w:rPr>
          <w:rFonts w:ascii="Times New Roman" w:hAnsi="Times New Roman" w:eastAsia="仿宋" w:cs="Times New Roman"/>
          <w:color w:val="auto"/>
          <w:sz w:val="32"/>
          <w:szCs w:val="32"/>
        </w:rPr>
        <w:t>。</w:t>
      </w:r>
    </w:p>
    <w:p>
      <w:pPr>
        <w:spacing w:line="560" w:lineRule="exact"/>
        <w:ind w:firstLine="600"/>
        <w:rPr>
          <w:rFonts w:ascii="楷体" w:hAnsi="楷体" w:eastAsia="楷体" w:cs="楷体"/>
          <w:color w:val="auto"/>
          <w:sz w:val="32"/>
          <w:szCs w:val="32"/>
        </w:rPr>
      </w:pPr>
      <w:r>
        <w:rPr>
          <w:rFonts w:ascii="楷体" w:hAnsi="楷体" w:eastAsia="楷体" w:cs="楷体"/>
          <w:color w:val="auto"/>
          <w:sz w:val="32"/>
          <w:szCs w:val="32"/>
        </w:rPr>
        <w:t>（三）建设任务</w:t>
      </w:r>
    </w:p>
    <w:p>
      <w:pPr>
        <w:pStyle w:val="2"/>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推进自然公园整合优化，合理划定各类自然公园范围及管控分区，妥善解决历史遗留问题与矛盾冲突，健全管理机构和人员队伍。加强资源本底调查，完善自然公园规划体系，科学编制各类自然公园规划。强化自然公园保护修复，提升优化自然公园主要保护对象的自然属性和景观特征，开展自然公园保护建设。加大自然教育与生态体验投入，加强自然教育与生态体验服务设施建设，丰富各类生态服务产品，提升自然公园生态服务供给能力。加强风景名胜区等各类自然公园监督管理，优化自然公园整体布局，形成具有南阳特色的自然公园体系。</w:t>
      </w:r>
    </w:p>
    <w:p>
      <w:pPr>
        <w:pStyle w:val="2"/>
        <w:rPr>
          <w:rFonts w:hint="default"/>
          <w:color w:val="auto"/>
          <w:lang w:val="en-US" w:eastAsia="zh-CN"/>
        </w:rPr>
      </w:pPr>
    </w:p>
    <w:p>
      <w:pPr>
        <w:pStyle w:val="4"/>
        <w:rPr>
          <w:rFonts w:ascii="黑体" w:hAnsi="黑体" w:cs="黑体"/>
          <w:color w:val="auto"/>
        </w:rPr>
      </w:pPr>
      <w:bookmarkStart w:id="200" w:name="_Toc27999"/>
      <w:bookmarkStart w:id="201" w:name="_Toc30209"/>
      <w:bookmarkStart w:id="202" w:name="_Toc38284783"/>
      <w:bookmarkStart w:id="203" w:name="_Toc1491"/>
      <w:bookmarkStart w:id="204" w:name="_Toc5319"/>
      <w:bookmarkStart w:id="205" w:name="_Toc14678"/>
      <w:bookmarkStart w:id="206" w:name="_Toc26812"/>
      <w:bookmarkStart w:id="207" w:name="_Toc25379"/>
      <w:bookmarkStart w:id="208" w:name="_Toc20907"/>
      <w:bookmarkStart w:id="209" w:name="_Toc5366"/>
      <w:r>
        <w:rPr>
          <w:rFonts w:ascii="黑体" w:hAnsi="黑体" w:cs="黑体"/>
          <w:color w:val="auto"/>
        </w:rPr>
        <w:t>第</w:t>
      </w:r>
      <w:r>
        <w:rPr>
          <w:rFonts w:hint="eastAsia" w:ascii="黑体" w:hAnsi="黑体" w:cs="黑体"/>
          <w:color w:val="auto"/>
        </w:rPr>
        <w:t>六</w:t>
      </w:r>
      <w:r>
        <w:rPr>
          <w:rFonts w:ascii="黑体" w:hAnsi="黑体" w:cs="黑体"/>
          <w:color w:val="auto"/>
        </w:rPr>
        <w:t>节</w:t>
      </w:r>
      <w:r>
        <w:rPr>
          <w:rFonts w:hint="eastAsia" w:ascii="黑体" w:hAnsi="黑体" w:cs="黑体"/>
          <w:color w:val="auto"/>
        </w:rPr>
        <w:t xml:space="preserve">  森林</w:t>
      </w:r>
      <w:r>
        <w:rPr>
          <w:rFonts w:ascii="黑体" w:hAnsi="黑体" w:cs="黑体"/>
          <w:color w:val="auto"/>
        </w:rPr>
        <w:t>资源保护工程</w:t>
      </w:r>
      <w:bookmarkEnd w:id="200"/>
      <w:bookmarkEnd w:id="201"/>
      <w:bookmarkEnd w:id="202"/>
      <w:bookmarkEnd w:id="203"/>
      <w:bookmarkEnd w:id="204"/>
      <w:bookmarkEnd w:id="205"/>
      <w:bookmarkEnd w:id="206"/>
      <w:bookmarkEnd w:id="207"/>
      <w:bookmarkEnd w:id="208"/>
      <w:bookmarkEnd w:id="209"/>
    </w:p>
    <w:p>
      <w:pPr>
        <w:rPr>
          <w:color w:val="auto"/>
        </w:rPr>
      </w:pPr>
    </w:p>
    <w:p>
      <w:pPr>
        <w:pStyle w:val="5"/>
        <w:ind w:firstLine="640"/>
        <w:rPr>
          <w:color w:val="auto"/>
        </w:rPr>
      </w:pPr>
      <w:bookmarkStart w:id="210" w:name="_Toc21102"/>
      <w:r>
        <w:rPr>
          <w:rFonts w:hint="eastAsia"/>
          <w:color w:val="auto"/>
        </w:rPr>
        <w:t>一、野生动植物保护</w:t>
      </w:r>
      <w:bookmarkEnd w:id="210"/>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严格生物多样性生态红线管控，对市域范围内生物物种资源进行普查，编制生物多样性保护规划和实施措施，持续对生物多样性进行监测，强化保护措施落实，确保生态环境平衡。实施濒危野生动物和极小种群野生植物抢救保护、野生动物救护繁育，改善和扩大栖息地，开展就地、迁地、种源保护和野化放归自然。加强国家级、省级自然保护区基础设施建设，强化西峡大鲵自然保护区、恐龙蛋自然保护区保护管理。</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加强现有5个国家级自然保护区保护管理能力和基础设施建设。对红豆杉、大果青扦2种极小野生植物种群实施抢救性保护，开展种源原地、异地保护；加强中国云杉等珍稀树种保护工作。加强市野生动物保护管理站建设。在卧龙区建立南阳市野生动物疫源疫病监测和救护中心，</w:t>
      </w:r>
      <w:r>
        <w:rPr>
          <w:rFonts w:hint="eastAsia" w:ascii="仿宋" w:hAnsi="仿宋" w:eastAsia="仿宋" w:cs="仿宋"/>
          <w:color w:val="auto"/>
          <w:sz w:val="32"/>
          <w:szCs w:val="32"/>
          <w:lang w:eastAsia="zh-CN"/>
        </w:rPr>
        <w:t>在新野县实施野生动物疫源疫病监测防控项目，</w:t>
      </w:r>
      <w:r>
        <w:rPr>
          <w:rFonts w:hint="eastAsia" w:ascii="仿宋" w:hAnsi="仿宋" w:eastAsia="仿宋" w:cs="仿宋"/>
          <w:color w:val="auto"/>
          <w:sz w:val="32"/>
          <w:szCs w:val="32"/>
        </w:rPr>
        <w:t>在全市范围内建立南阳市野生动植物观测站点5个</w:t>
      </w:r>
      <w:r>
        <w:rPr>
          <w:rFonts w:hint="eastAsia" w:ascii="仿宋" w:hAnsi="仿宋" w:eastAsia="仿宋" w:cs="仿宋"/>
          <w:color w:val="auto"/>
          <w:sz w:val="32"/>
          <w:szCs w:val="32"/>
          <w:lang w:eastAsia="zh-CN"/>
        </w:rPr>
        <w:t>，分别是南阳白河国家湿地公园、河南桐柏高乐山国家级自然保护区、河南宝天曼国家级自然保护区、西峡老界岭、河南丹江湿地国家级自然保护区；建立兰湖森林公园</w:t>
      </w:r>
      <w:r>
        <w:rPr>
          <w:rFonts w:hint="eastAsia" w:ascii="仿宋" w:hAnsi="仿宋" w:eastAsia="仿宋" w:cs="仿宋"/>
          <w:color w:val="auto"/>
          <w:sz w:val="32"/>
          <w:szCs w:val="32"/>
        </w:rPr>
        <w:t>野生动物救助站1个</w:t>
      </w:r>
      <w:r>
        <w:rPr>
          <w:rFonts w:hint="eastAsia" w:ascii="仿宋" w:hAnsi="仿宋" w:eastAsia="仿宋" w:cs="仿宋"/>
          <w:color w:val="auto"/>
          <w:sz w:val="32"/>
          <w:szCs w:val="32"/>
          <w:lang w:eastAsia="zh-CN"/>
        </w:rPr>
        <w:t>，建立健全防控体系</w:t>
      </w:r>
      <w:r>
        <w:rPr>
          <w:rFonts w:hint="eastAsia" w:ascii="仿宋" w:hAnsi="仿宋" w:eastAsia="仿宋" w:cs="仿宋"/>
          <w:color w:val="auto"/>
          <w:sz w:val="32"/>
          <w:szCs w:val="32"/>
        </w:rPr>
        <w:t>。</w:t>
      </w:r>
    </w:p>
    <w:p>
      <w:pPr>
        <w:pStyle w:val="5"/>
        <w:ind w:firstLine="640"/>
        <w:rPr>
          <w:color w:val="auto"/>
        </w:rPr>
      </w:pPr>
      <w:bookmarkStart w:id="211" w:name="_Toc21113"/>
      <w:r>
        <w:rPr>
          <w:rFonts w:hint="eastAsia"/>
          <w:color w:val="auto"/>
        </w:rPr>
        <w:t>二、林业有害生物防治</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color w:val="auto"/>
        </w:rPr>
      </w:pPr>
      <w:bookmarkStart w:id="212" w:name="_Hlk71620777"/>
      <w:r>
        <w:rPr>
          <w:rFonts w:hint="eastAsia" w:ascii="仿宋" w:hAnsi="仿宋" w:eastAsia="仿宋" w:cs="仿宋"/>
          <w:color w:val="auto"/>
          <w:sz w:val="32"/>
          <w:szCs w:val="32"/>
        </w:rPr>
        <w:t>建立林业有害生物</w:t>
      </w:r>
      <w:r>
        <w:rPr>
          <w:rFonts w:hint="eastAsia" w:ascii="仿宋" w:hAnsi="仿宋" w:eastAsia="仿宋" w:cs="仿宋"/>
          <w:color w:val="auto"/>
          <w:sz w:val="32"/>
          <w:szCs w:val="32"/>
          <w:lang w:eastAsia="zh-CN"/>
        </w:rPr>
        <w:t>监</w:t>
      </w:r>
      <w:r>
        <w:rPr>
          <w:rFonts w:hint="eastAsia" w:ascii="仿宋" w:hAnsi="仿宋" w:eastAsia="仿宋" w:cs="仿宋"/>
          <w:color w:val="auto"/>
          <w:sz w:val="32"/>
          <w:szCs w:val="32"/>
        </w:rPr>
        <w:t>测预警体系、林业有害生物</w:t>
      </w:r>
      <w:r>
        <w:rPr>
          <w:rFonts w:hint="eastAsia" w:ascii="仿宋" w:hAnsi="仿宋" w:eastAsia="仿宋" w:cs="仿宋"/>
          <w:color w:val="auto"/>
          <w:sz w:val="32"/>
          <w:szCs w:val="32"/>
          <w:lang w:eastAsia="zh-CN"/>
        </w:rPr>
        <w:t>检</w:t>
      </w:r>
      <w:r>
        <w:rPr>
          <w:rFonts w:hint="eastAsia" w:ascii="仿宋" w:hAnsi="仿宋" w:eastAsia="仿宋" w:cs="仿宋"/>
          <w:color w:val="auto"/>
          <w:sz w:val="32"/>
          <w:szCs w:val="32"/>
        </w:rPr>
        <w:t>疫御灾体系、林业有害生物防治减灾体系、林业有害生物防控服务保障体系，有效降低林业有害生物发生率，实现有害不成灾。</w:t>
      </w:r>
    </w:p>
    <w:bookmarkEnd w:id="212"/>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1.林业有害生物监测预警体系建设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以松材线虫病、美国白蛾、杨树、栎类食叶及蛀干害虫、经济林和绿化树木病虫害为重点，开展专项普查、监测预报，随时掌握发生动态，发布病虫情报、森防信息</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。每年林业有害生物普查监测覆盖率达到95%以上，全市发布病虫情报、森防信息500期以上。</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实施秦巴山区危险性林业有害生物防控体系基础设施建设项目，搞好危险性林业有害生物防控物资储备库、防控应急专业队、信息传输处理平台、监测预警示范区等项目建设。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2.林业有害生物检疫御灾体系建设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在抓好苗木产地检疫的基础上，通过多种渠道搞好林木、林副产品调运检疫和复检工作，产地检疫率达到100%，主要林产品检疫复检率接近100%。</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重点抓好松材线虫病疫情排查、扑灭和清理工作，</w:t>
      </w:r>
      <w:r>
        <w:rPr>
          <w:rFonts w:hint="eastAsia" w:ascii="仿宋" w:hAnsi="仿宋" w:eastAsia="仿宋" w:cs="仿宋"/>
          <w:color w:val="auto"/>
          <w:sz w:val="32"/>
          <w:szCs w:val="32"/>
          <w:lang w:eastAsia="zh-CN"/>
        </w:rPr>
        <w:t>做好美国白蛾监测排查工作，</w:t>
      </w:r>
      <w:r>
        <w:rPr>
          <w:rFonts w:hint="eastAsia" w:ascii="仿宋" w:hAnsi="仿宋" w:eastAsia="仿宋" w:cs="仿宋"/>
          <w:color w:val="auto"/>
          <w:sz w:val="32"/>
          <w:szCs w:val="32"/>
        </w:rPr>
        <w:t>防治率达到100%；同时，做好杨树、栎类食叶及蛀干害虫等林业有害生物防治工作，扩大防治区域，提高防治效果，确保有虫不成灾。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3.林业有害生物防治减灾体系建设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多方筹集资金，购置森防仪器设施，改善试验办公条件，全市建成3个国家级示范站、1个市级和1个县级远程诊断中心、1个市级和2个县级除害处理中心、1个市级和</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个县级物资贮备库。</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4.林业有害生物防控服务保障体系建设</w:t>
      </w:r>
    </w:p>
    <w:p>
      <w:pPr>
        <w:spacing w:line="560" w:lineRule="exact"/>
        <w:ind w:firstLine="600"/>
        <w:rPr>
          <w:rFonts w:hint="eastAsia" w:ascii="仿宋" w:hAnsi="仿宋" w:eastAsia="仿宋" w:cs="仿宋"/>
          <w:color w:val="auto"/>
          <w:sz w:val="32"/>
          <w:szCs w:val="32"/>
        </w:rPr>
      </w:pPr>
      <w:r>
        <w:rPr>
          <w:rFonts w:hint="eastAsia" w:ascii="仿宋" w:hAnsi="仿宋" w:eastAsia="仿宋" w:cs="仿宋"/>
          <w:color w:val="auto"/>
          <w:sz w:val="32"/>
          <w:szCs w:val="32"/>
        </w:rPr>
        <w:t>根据林业有害生物发生变化情况，每年集中</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次对专业人员进行培训，提高森防人员技术水平。组织开展主要林业有害生物监测预报和防治技术课题研究，每年研究1—2个课题，提高林业有害生物预测预报及防控能力。</w:t>
      </w:r>
    </w:p>
    <w:p>
      <w:pPr>
        <w:pStyle w:val="2"/>
        <w:numPr>
          <w:ilvl w:val="0"/>
          <w:numId w:val="2"/>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天然林保护</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（一）建设范围</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西峡县、淅川县、内乡县、邓州市</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（二）建设内容</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全面停止天然林商业性采伐，完成天保二期规划建设任务，全面落实国家和省关于天然林保护的政策措施、任务。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（三）建设任务</w:t>
      </w:r>
    </w:p>
    <w:p>
      <w:pPr>
        <w:rPr>
          <w:rFonts w:hint="eastAsia" w:ascii="黑体" w:hAnsi="黑体" w:eastAsia="黑体" w:cs="黑体"/>
          <w:color w:val="auto"/>
          <w:sz w:val="32"/>
          <w:szCs w:val="32"/>
          <w:lang w:eastAsia="zh-CN"/>
        </w:rPr>
      </w:pPr>
      <w:r>
        <w:rPr>
          <w:rFonts w:hint="eastAsia" w:ascii="仿宋" w:hAnsi="仿宋" w:eastAsia="仿宋" w:cs="仿宋"/>
          <w:color w:val="auto"/>
          <w:sz w:val="32"/>
          <w:szCs w:val="32"/>
          <w:lang w:val="en-US" w:eastAsia="zh-CN"/>
        </w:rPr>
        <w:t xml:space="preserve">    强化全市401.73万亩天然林管护能力建设，全面落实天然林保护责任，建立天然林休养生息制度。全面落实集体和个人所有的天然商品林管护补助任务，实现天然林资源保护全覆盖。继续抓好天保工程新造林任务。完善国有林业职工社会保障。</w:t>
      </w:r>
    </w:p>
    <w:p>
      <w:pPr>
        <w:pStyle w:val="5"/>
        <w:ind w:firstLine="640"/>
        <w:rPr>
          <w:color w:val="auto"/>
        </w:rPr>
      </w:pPr>
      <w:r>
        <w:rPr>
          <w:rFonts w:hint="eastAsia"/>
          <w:color w:val="auto"/>
          <w:lang w:eastAsia="zh-CN"/>
        </w:rPr>
        <w:t>四</w:t>
      </w:r>
      <w:r>
        <w:rPr>
          <w:rFonts w:hint="eastAsia"/>
          <w:color w:val="auto"/>
        </w:rPr>
        <w:t>、生态公益林管护</w:t>
      </w:r>
      <w:bookmarkEnd w:id="211"/>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建立完善森林生态效益补偿制度，加大管护围栏、宣传标牌、界桩等公益林管护设施建设投入。</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在现有655.64万亩（国家级公益林551.1万亩，省级公益林104.54万亩）已纳入国家、省级森林生态补偿面积的基础上，积极争取公益林建设项目，新建一批管护围栏、宣传标牌、界桩和护林用房；在条件允许的林区引进公益林巡护系统，健全管护队伍，提高管护能力和水平。</w:t>
      </w:r>
    </w:p>
    <w:p>
      <w:pPr>
        <w:pStyle w:val="5"/>
        <w:ind w:firstLine="640"/>
        <w:rPr>
          <w:color w:val="auto"/>
        </w:rPr>
      </w:pPr>
      <w:bookmarkStart w:id="213" w:name="_Toc22984"/>
      <w:r>
        <w:rPr>
          <w:rFonts w:hint="eastAsia"/>
          <w:color w:val="auto"/>
          <w:lang w:eastAsia="zh-CN"/>
        </w:rPr>
        <w:t>五</w:t>
      </w:r>
      <w:r>
        <w:rPr>
          <w:rFonts w:hint="eastAsia"/>
          <w:color w:val="auto"/>
        </w:rPr>
        <w:t>、古树名木保护</w:t>
      </w:r>
      <w:bookmarkEnd w:id="213"/>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color w:val="auto"/>
        </w:rPr>
      </w:pPr>
      <w:r>
        <w:rPr>
          <w:rFonts w:hint="eastAsia" w:ascii="仿宋" w:hAnsi="仿宋" w:eastAsia="仿宋" w:cs="仿宋"/>
          <w:color w:val="auto"/>
          <w:sz w:val="32"/>
          <w:szCs w:val="32"/>
        </w:rPr>
        <w:t>一是全面掌握全市古树名木资源，及时了解生长情况，搞好古树名木认定、登记、建档、公布和挂牌保护。二是科学制定日常养护方案，建立健全古树名木动态监测体系，定期监测评估。三是开展古树名木抢救复壮，对濒危的古树名木，及时组织专业技术力量，采取地上环境综合治理、地下土壤改良、树洞防腐修补、树体支撑加固等措施，逐步恢复其长势。四是设置永久性标牌和保护围栏，制作古树名木二维码“电子身份证”，科学保护古树资源。通过古树名木保护，树立文明乡风，真正留住乡情、记住乡愁。</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32"/>
        </w:rPr>
      </w:pPr>
      <w:bookmarkStart w:id="214" w:name="_Toc6649"/>
      <w:r>
        <w:rPr>
          <w:rFonts w:hint="eastAsia" w:ascii="仿宋" w:hAnsi="仿宋" w:eastAsia="仿宋" w:cs="仿宋"/>
          <w:color w:val="auto"/>
          <w:sz w:val="32"/>
          <w:szCs w:val="32"/>
        </w:rPr>
        <w:t>规划保护10687株</w:t>
      </w:r>
      <w:r>
        <w:rPr>
          <w:rFonts w:hint="eastAsia" w:ascii="仿宋" w:hAnsi="仿宋" w:eastAsia="仿宋" w:cs="仿宋"/>
          <w:color w:val="auto"/>
          <w:sz w:val="32"/>
          <w:szCs w:val="32"/>
          <w:lang w:eastAsia="zh-CN"/>
        </w:rPr>
        <w:t>，其中西峡县</w:t>
      </w:r>
      <w:r>
        <w:rPr>
          <w:rFonts w:hint="eastAsia" w:ascii="仿宋" w:hAnsi="仿宋" w:eastAsia="仿宋" w:cs="仿宋"/>
          <w:color w:val="auto"/>
          <w:sz w:val="32"/>
          <w:szCs w:val="32"/>
          <w:lang w:val="en-US" w:eastAsia="zh-CN"/>
        </w:rPr>
        <w:t>1467株，淅川县1320株，内乡县116株，南召县4579株，桐柏县2657株，方城县191株，镇平县28株，唐河县76株，新野县21株，社旗县16株，宛城区6株，卧龙区210株</w:t>
      </w:r>
      <w:r>
        <w:rPr>
          <w:rFonts w:hint="eastAsia" w:ascii="仿宋" w:hAnsi="仿宋" w:eastAsia="仿宋" w:cs="仿宋"/>
          <w:color w:val="auto"/>
          <w:sz w:val="32"/>
          <w:szCs w:val="32"/>
        </w:rPr>
        <w:t>。</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按年度分，每年保护抢救古树名木2138株，占比20%。</w:t>
      </w:r>
    </w:p>
    <w:p>
      <w:pPr>
        <w:pStyle w:val="5"/>
        <w:ind w:firstLine="640"/>
        <w:rPr>
          <w:color w:val="auto"/>
        </w:rPr>
      </w:pPr>
      <w:r>
        <w:rPr>
          <w:rFonts w:hint="eastAsia"/>
          <w:color w:val="auto"/>
          <w:lang w:eastAsia="zh-CN"/>
        </w:rPr>
        <w:t>六</w:t>
      </w:r>
      <w:r>
        <w:rPr>
          <w:rFonts w:hint="eastAsia"/>
          <w:color w:val="auto"/>
        </w:rPr>
        <w:t>、林木种质资源保护</w:t>
      </w:r>
      <w:bookmarkEnd w:id="214"/>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西峡、桐柏、方城、淅川、内乡、南召6县。</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搞好林木种质资源保护，在特有、珍稀、濒危和其他重要树种自然分布区，特别是自然保护区、森林公园等区域内的优良乡土树种，加强林木种质资</w:t>
      </w:r>
      <w:r>
        <w:rPr>
          <w:rFonts w:hint="eastAsia" w:ascii="仿宋" w:hAnsi="仿宋" w:eastAsia="仿宋" w:cs="仿宋"/>
          <w:color w:val="auto"/>
          <w:sz w:val="32"/>
          <w:szCs w:val="32"/>
          <w:lang w:eastAsia="zh-CN"/>
        </w:rPr>
        <w:t>源</w:t>
      </w:r>
      <w:r>
        <w:rPr>
          <w:rFonts w:hint="eastAsia" w:ascii="仿宋" w:hAnsi="仿宋" w:eastAsia="仿宋" w:cs="仿宋"/>
          <w:color w:val="auto"/>
          <w:sz w:val="32"/>
          <w:szCs w:val="32"/>
        </w:rPr>
        <w:t>原地</w:t>
      </w:r>
      <w:r>
        <w:rPr>
          <w:rFonts w:hint="eastAsia" w:ascii="仿宋" w:hAnsi="仿宋" w:eastAsia="仿宋" w:cs="仿宋"/>
          <w:color w:val="auto"/>
          <w:sz w:val="32"/>
          <w:szCs w:val="32"/>
          <w:lang w:eastAsia="zh-CN"/>
        </w:rPr>
        <w:t>保护、</w:t>
      </w:r>
      <w:r>
        <w:rPr>
          <w:rFonts w:hint="eastAsia" w:ascii="仿宋" w:hAnsi="仿宋" w:eastAsia="仿宋" w:cs="仿宋"/>
          <w:color w:val="auto"/>
          <w:sz w:val="32"/>
          <w:szCs w:val="32"/>
        </w:rPr>
        <w:t>异地保护和研究、开发利用。</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color w:val="auto"/>
        </w:rPr>
      </w:pPr>
      <w:bookmarkStart w:id="215" w:name="_Toc20921"/>
      <w:r>
        <w:rPr>
          <w:rFonts w:hint="eastAsia" w:ascii="仿宋" w:hAnsi="仿宋" w:eastAsia="仿宋" w:cs="仿宋"/>
          <w:color w:val="auto"/>
          <w:sz w:val="32"/>
          <w:szCs w:val="32"/>
        </w:rPr>
        <w:t>开展林木种质资源收集保存，抓好良种选育，保证良种苗木</w:t>
      </w:r>
      <w:r>
        <w:rPr>
          <w:rFonts w:hint="eastAsia" w:ascii="仿宋" w:hAnsi="仿宋" w:eastAsia="仿宋" w:cs="仿宋"/>
          <w:color w:val="auto"/>
          <w:sz w:val="32"/>
          <w:szCs w:val="32"/>
          <w:lang w:eastAsia="zh-CN"/>
        </w:rPr>
        <w:t>、良种穗条</w:t>
      </w:r>
      <w:r>
        <w:rPr>
          <w:rFonts w:hint="eastAsia" w:ascii="仿宋" w:hAnsi="仿宋" w:eastAsia="仿宋" w:cs="仿宋"/>
          <w:color w:val="auto"/>
          <w:sz w:val="32"/>
          <w:szCs w:val="32"/>
        </w:rPr>
        <w:t>生产供应，加强种苗行政执法和社会化服务体系建设。加强基础设施建设，搞好资源收集与维护，开展良种繁育、良种选育、新品种培育、评价利用与日常管护等工作。2021—2025年，在西峡、桐柏、方城3县建设国家级林木种质资源原地保存库3处，在内乡、淅川、南召3县建设省级异地保存库3处。启动兰湖公园楸树、香椿国家林木种质资源库申报工作。</w:t>
      </w:r>
    </w:p>
    <w:p>
      <w:pPr>
        <w:pStyle w:val="2"/>
        <w:rPr>
          <w:rFonts w:hint="default"/>
          <w:color w:val="auto"/>
          <w:lang w:val="en-US" w:eastAsia="zh-CN"/>
        </w:rPr>
      </w:pPr>
    </w:p>
    <w:p>
      <w:pPr>
        <w:pStyle w:val="4"/>
        <w:rPr>
          <w:rFonts w:ascii="黑体" w:hAnsi="黑体" w:cs="黑体"/>
          <w:color w:val="auto"/>
        </w:rPr>
      </w:pPr>
      <w:bookmarkStart w:id="216" w:name="_Toc6292"/>
      <w:bookmarkStart w:id="217" w:name="_Toc38284784"/>
      <w:bookmarkStart w:id="218" w:name="_Toc11149"/>
      <w:bookmarkStart w:id="219" w:name="_Toc16610"/>
      <w:bookmarkStart w:id="220" w:name="_Toc11830"/>
      <w:bookmarkStart w:id="221" w:name="_Toc30779"/>
      <w:bookmarkStart w:id="222" w:name="_Toc19197"/>
      <w:bookmarkStart w:id="223" w:name="_Toc28132"/>
      <w:bookmarkStart w:id="224" w:name="_Toc31663"/>
      <w:r>
        <w:rPr>
          <w:rFonts w:ascii="黑体" w:hAnsi="黑体" w:cs="黑体"/>
          <w:color w:val="auto"/>
        </w:rPr>
        <w:t>第</w:t>
      </w:r>
      <w:r>
        <w:rPr>
          <w:rFonts w:hint="eastAsia" w:ascii="黑体" w:hAnsi="黑体" w:cs="黑体"/>
          <w:color w:val="auto"/>
        </w:rPr>
        <w:t>七</w:t>
      </w:r>
      <w:r>
        <w:rPr>
          <w:rFonts w:ascii="黑体" w:hAnsi="黑体" w:cs="黑体"/>
          <w:color w:val="auto"/>
        </w:rPr>
        <w:t>节</w:t>
      </w:r>
      <w:r>
        <w:rPr>
          <w:rFonts w:hint="eastAsia" w:ascii="黑体" w:hAnsi="黑体" w:cs="黑体"/>
          <w:color w:val="auto"/>
        </w:rPr>
        <w:t xml:space="preserve"> </w:t>
      </w:r>
      <w:r>
        <w:rPr>
          <w:rFonts w:ascii="黑体" w:hAnsi="黑体" w:cs="黑体"/>
          <w:color w:val="auto"/>
        </w:rPr>
        <w:t xml:space="preserve"> </w:t>
      </w:r>
      <w:r>
        <w:rPr>
          <w:rFonts w:hint="eastAsia" w:ascii="黑体" w:hAnsi="黑体" w:cs="黑体"/>
          <w:color w:val="auto"/>
        </w:rPr>
        <w:t>乡村振兴</w:t>
      </w:r>
      <w:r>
        <w:rPr>
          <w:rFonts w:hint="eastAsia" w:ascii="黑体" w:hAnsi="黑体" w:cs="黑体"/>
          <w:color w:val="auto"/>
          <w:lang w:eastAsia="zh-CN"/>
        </w:rPr>
        <w:t>林业</w:t>
      </w:r>
      <w:r>
        <w:rPr>
          <w:rFonts w:ascii="黑体" w:hAnsi="黑体" w:cs="黑体"/>
          <w:color w:val="auto"/>
        </w:rPr>
        <w:t>产业</w:t>
      </w:r>
      <w:r>
        <w:rPr>
          <w:rFonts w:hint="eastAsia" w:ascii="黑体" w:hAnsi="黑体" w:cs="黑体"/>
          <w:color w:val="auto"/>
        </w:rPr>
        <w:t>建设</w:t>
      </w:r>
      <w:r>
        <w:rPr>
          <w:rFonts w:ascii="黑体" w:hAnsi="黑体" w:cs="黑体"/>
          <w:color w:val="auto"/>
        </w:rPr>
        <w:t>工程</w:t>
      </w:r>
      <w:bookmarkEnd w:id="215"/>
      <w:bookmarkEnd w:id="216"/>
      <w:bookmarkEnd w:id="217"/>
      <w:bookmarkEnd w:id="218"/>
      <w:bookmarkEnd w:id="219"/>
      <w:bookmarkEnd w:id="220"/>
      <w:bookmarkEnd w:id="221"/>
      <w:bookmarkEnd w:id="222"/>
      <w:bookmarkEnd w:id="223"/>
      <w:bookmarkEnd w:id="224"/>
    </w:p>
    <w:p>
      <w:pPr>
        <w:rPr>
          <w:color w:val="auto"/>
        </w:rPr>
      </w:pPr>
    </w:p>
    <w:p>
      <w:pPr>
        <w:pStyle w:val="5"/>
        <w:ind w:firstLine="640"/>
        <w:rPr>
          <w:color w:val="auto"/>
        </w:rPr>
      </w:pPr>
      <w:r>
        <w:rPr>
          <w:rFonts w:hint="eastAsia"/>
          <w:color w:val="auto"/>
        </w:rPr>
        <w:t>一、林果产业</w:t>
      </w:r>
    </w:p>
    <w:p>
      <w:pPr>
        <w:spacing w:line="560" w:lineRule="exact"/>
        <w:ind w:firstLine="600"/>
        <w:rPr>
          <w:rFonts w:ascii="楷体" w:hAnsi="楷体" w:eastAsia="楷体" w:cs="楷体"/>
          <w:color w:val="auto"/>
          <w:sz w:val="32"/>
          <w:szCs w:val="32"/>
        </w:rPr>
      </w:pPr>
      <w:bookmarkStart w:id="225" w:name="_Toc4464"/>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优化林果产业发展布局，因地制宜，扩大优质林果种植面积，加强生产基地建设。推进产业规模经营，建设猕猴桃、山茱萸、软籽石榴、核桃、辛夷、南阳有机大白桃、优质梨等生产基地，</w:t>
      </w:r>
      <w:bookmarkStart w:id="226" w:name="_Hlk71620841"/>
      <w:r>
        <w:rPr>
          <w:rFonts w:hint="eastAsia" w:ascii="仿宋" w:hAnsi="仿宋" w:eastAsia="仿宋" w:cs="仿宋"/>
          <w:color w:val="auto"/>
          <w:sz w:val="32"/>
          <w:szCs w:val="32"/>
        </w:rPr>
        <w:t>内乡木本油料产业基地</w:t>
      </w:r>
      <w:bookmarkEnd w:id="226"/>
      <w:r>
        <w:rPr>
          <w:rFonts w:hint="eastAsia" w:ascii="仿宋" w:hAnsi="仿宋" w:eastAsia="仿宋" w:cs="仿宋"/>
          <w:color w:val="auto"/>
          <w:sz w:val="32"/>
          <w:szCs w:val="32"/>
        </w:rPr>
        <w:t>。开展无公害产品、绿色有机产品认证，加强质量监督检验，确保果品安全。</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pStyle w:val="2"/>
        <w:spacing w:line="560" w:lineRule="exact"/>
        <w:ind w:firstLine="640"/>
        <w:rPr>
          <w:rFonts w:ascii="仿宋" w:hAnsi="仿宋" w:eastAsia="仿宋"/>
          <w:color w:val="auto"/>
          <w:sz w:val="32"/>
        </w:rPr>
      </w:pPr>
      <w:r>
        <w:rPr>
          <w:rFonts w:hint="eastAsia" w:ascii="仿宋" w:hAnsi="仿宋" w:eastAsia="仿宋"/>
          <w:color w:val="auto"/>
          <w:sz w:val="32"/>
        </w:rPr>
        <w:t>规划任务</w:t>
      </w:r>
      <w:r>
        <w:rPr>
          <w:rFonts w:hint="eastAsia" w:ascii="Times New Roman" w:hAnsi="Times New Roman" w:eastAsia="仿宋"/>
          <w:color w:val="auto"/>
          <w:sz w:val="32"/>
          <w:lang w:val="en-US" w:eastAsia="zh-CN"/>
        </w:rPr>
        <w:t>8.28</w:t>
      </w:r>
      <w:r>
        <w:rPr>
          <w:rFonts w:hint="eastAsia" w:ascii="仿宋" w:hAnsi="仿宋" w:eastAsia="仿宋"/>
          <w:color w:val="auto"/>
          <w:sz w:val="32"/>
        </w:rPr>
        <w:t>万亩。</w:t>
      </w:r>
    </w:p>
    <w:p>
      <w:pPr>
        <w:pStyle w:val="2"/>
        <w:spacing w:line="560" w:lineRule="exact"/>
        <w:ind w:firstLine="640"/>
        <w:rPr>
          <w:rFonts w:ascii="仿宋" w:hAnsi="仿宋" w:eastAsia="仿宋" w:cs="仿宋"/>
          <w:color w:val="auto"/>
          <w:sz w:val="32"/>
          <w:szCs w:val="32"/>
        </w:rPr>
      </w:pPr>
      <w:r>
        <w:rPr>
          <w:rFonts w:hint="eastAsia" w:ascii="仿宋" w:hAnsi="仿宋" w:eastAsia="仿宋"/>
          <w:color w:val="auto"/>
          <w:sz w:val="32"/>
        </w:rPr>
        <w:t>按年度分，</w:t>
      </w:r>
      <w:r>
        <w:rPr>
          <w:rFonts w:hint="eastAsia" w:ascii="仿宋" w:hAnsi="仿宋" w:eastAsia="仿宋" w:cs="仿宋"/>
          <w:color w:val="auto"/>
          <w:sz w:val="32"/>
          <w:szCs w:val="32"/>
        </w:rPr>
        <w:t>2021年新造面积</w:t>
      </w:r>
      <w:r>
        <w:rPr>
          <w:rFonts w:hint="eastAsia" w:ascii="仿宋" w:hAnsi="仿宋" w:eastAsia="仿宋" w:cs="仿宋"/>
          <w:color w:val="auto"/>
          <w:sz w:val="32"/>
          <w:szCs w:val="32"/>
          <w:lang w:val="en-US" w:eastAsia="zh-CN"/>
        </w:rPr>
        <w:t>2.64</w:t>
      </w:r>
      <w:r>
        <w:rPr>
          <w:rFonts w:hint="eastAsia" w:ascii="仿宋" w:hAnsi="仿宋" w:eastAsia="仿宋" w:cs="仿宋"/>
          <w:color w:val="auto"/>
          <w:sz w:val="32"/>
          <w:szCs w:val="32"/>
        </w:rPr>
        <w:t>万亩，占规划任务的</w:t>
      </w:r>
      <w:r>
        <w:rPr>
          <w:rFonts w:hint="eastAsia" w:ascii="仿宋" w:hAnsi="仿宋" w:eastAsia="仿宋" w:cs="仿宋"/>
          <w:color w:val="auto"/>
          <w:sz w:val="32"/>
          <w:szCs w:val="32"/>
          <w:lang w:val="en-US" w:eastAsia="zh-CN"/>
        </w:rPr>
        <w:t>31.88</w:t>
      </w:r>
      <w:r>
        <w:rPr>
          <w:rFonts w:hint="eastAsia" w:ascii="仿宋" w:hAnsi="仿宋" w:eastAsia="仿宋" w:cs="仿宋"/>
          <w:color w:val="auto"/>
          <w:sz w:val="32"/>
          <w:szCs w:val="32"/>
        </w:rPr>
        <w:t>%，以后每年新造面积</w:t>
      </w:r>
      <w:r>
        <w:rPr>
          <w:rFonts w:hint="eastAsia" w:ascii="仿宋" w:hAnsi="仿宋" w:eastAsia="仿宋" w:cs="仿宋"/>
          <w:color w:val="auto"/>
          <w:sz w:val="32"/>
          <w:szCs w:val="32"/>
          <w:lang w:val="en-US" w:eastAsia="zh-CN"/>
        </w:rPr>
        <w:t>1.41</w:t>
      </w:r>
      <w:r>
        <w:rPr>
          <w:rFonts w:hint="eastAsia" w:ascii="仿宋" w:hAnsi="仿宋" w:eastAsia="仿宋" w:cs="仿宋"/>
          <w:color w:val="auto"/>
          <w:sz w:val="32"/>
          <w:szCs w:val="32"/>
        </w:rPr>
        <w:t>万亩，占比</w:t>
      </w:r>
      <w:r>
        <w:rPr>
          <w:rFonts w:hint="eastAsia" w:ascii="仿宋" w:hAnsi="仿宋" w:eastAsia="仿宋" w:cs="仿宋"/>
          <w:color w:val="auto"/>
          <w:sz w:val="32"/>
          <w:szCs w:val="32"/>
          <w:lang w:val="en-US" w:eastAsia="zh-CN"/>
        </w:rPr>
        <w:t>17.03</w:t>
      </w:r>
      <w:r>
        <w:rPr>
          <w:rFonts w:hint="eastAsia" w:ascii="仿宋" w:hAnsi="仿宋" w:eastAsia="仿宋" w:cs="仿宋"/>
          <w:color w:val="auto"/>
          <w:sz w:val="32"/>
          <w:szCs w:val="32"/>
        </w:rPr>
        <w:t>%。</w:t>
      </w:r>
    </w:p>
    <w:p>
      <w:pPr>
        <w:pStyle w:val="5"/>
        <w:ind w:firstLine="640"/>
        <w:rPr>
          <w:color w:val="auto"/>
        </w:rPr>
      </w:pPr>
      <w:r>
        <w:rPr>
          <w:rFonts w:hint="eastAsia"/>
          <w:color w:val="auto"/>
        </w:rPr>
        <w:t>二、花卉苗木产业</w:t>
      </w:r>
      <w:bookmarkEnd w:id="225"/>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壮大卧龙、宛城、城乡一体化示范区、方城为主的月季，南召、镇平的玉兰，西峡的七叶树，唐河的栀子，内乡的菊花，桐柏的“两松”，卧龙的梅花，南阳市区的盆景，</w:t>
      </w:r>
      <w:bookmarkStart w:id="227" w:name="_Hlk71620978"/>
      <w:r>
        <w:rPr>
          <w:rFonts w:hint="eastAsia" w:ascii="仿宋" w:hAnsi="仿宋" w:eastAsia="仿宋" w:cs="仿宋"/>
          <w:color w:val="auto"/>
          <w:sz w:val="32"/>
          <w:szCs w:val="32"/>
        </w:rPr>
        <w:t>其他县区的绿化苗木</w:t>
      </w:r>
      <w:bookmarkEnd w:id="227"/>
      <w:r>
        <w:rPr>
          <w:rFonts w:hint="eastAsia" w:ascii="仿宋" w:hAnsi="仿宋" w:eastAsia="仿宋" w:cs="仿宋"/>
          <w:color w:val="auto"/>
          <w:sz w:val="32"/>
          <w:szCs w:val="32"/>
        </w:rPr>
        <w:t>等花卉苗木产业基地。</w:t>
      </w:r>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加强月季、玉兰、菊花、荷花、桂花以及鲜切花、盆花、药用食用工业用花卉、盆栽植物等特色花卉品种推广及基地建设，注重野生花卉植物的开发和利用，打造内乡宝天曼花卉苗木基地，提高花卉品质和效益，打造南阳月季、南召玉兰花卉品牌。</w:t>
      </w:r>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加强乡土树种和珍贵树种苗木基地建设，重点发展玉兰、七叶树、</w:t>
      </w:r>
      <w:r>
        <w:rPr>
          <w:rFonts w:hint="eastAsia" w:ascii="仿宋" w:hAnsi="仿宋" w:eastAsia="仿宋" w:cs="仿宋"/>
          <w:color w:val="auto"/>
          <w:sz w:val="32"/>
          <w:szCs w:val="40"/>
          <w:lang w:eastAsia="zh-CN"/>
        </w:rPr>
        <w:t>三角枫、五角枫</w:t>
      </w:r>
      <w:r>
        <w:rPr>
          <w:rFonts w:hint="eastAsia" w:ascii="仿宋" w:hAnsi="仿宋" w:eastAsia="仿宋" w:cs="仿宋"/>
          <w:color w:val="auto"/>
          <w:sz w:val="32"/>
          <w:szCs w:val="40"/>
        </w:rPr>
        <w:t>、栎类、榆树、香椿、臭椿、楸树、香樟、楝树、银杏、刺槐、国槐、核桃等苗木，采用组培育苗、容器育苗、全光雾扦插育苗、轻基质育苗等苗木繁育先进技术，提高苗木质量，增强优质种苗供给能力。</w:t>
      </w:r>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加快月季产业发展。在现有发展基础上，立足资源禀赋，以卧龙区、宛城区、城乡一体化示范区、方城县、内乡县、镇平县、鸭河工区为重点，按照规模化、区域化、优质化的发展思路，扩展生产面积，推广名优品种，着力构建月季特色产业带，打造国内最大的月季（玫瑰）种苗生产（繁育）基地。重点发展集中连片千亩以上月季基地，适度扩大</w:t>
      </w:r>
      <w:r>
        <w:rPr>
          <w:rFonts w:hint="eastAsia" w:ascii="仿宋" w:hAnsi="仿宋" w:eastAsia="仿宋" w:cs="仿宋"/>
          <w:color w:val="auto"/>
          <w:sz w:val="32"/>
          <w:szCs w:val="40"/>
          <w:lang w:val="en-US" w:eastAsia="zh-CN"/>
        </w:rPr>
        <w:t>2</w:t>
      </w:r>
      <w:r>
        <w:rPr>
          <w:rFonts w:hint="eastAsia" w:ascii="仿宋" w:hAnsi="仿宋" w:eastAsia="仿宋" w:cs="仿宋"/>
          <w:color w:val="auto"/>
          <w:sz w:val="32"/>
          <w:szCs w:val="40"/>
        </w:rPr>
        <w:t>年生工程用苗面积，进一步丰富藤本、微型、地被、盆景月季等产品类型，推广种植‘红双喜’‘彩云’‘梅朗口红’‘绯扇’‘粉扇’‘金凤凰’‘黄和平’‘粉和平’‘金奖章’等传统优良品种和“南阳红”“北京红”等名优新品种。</w:t>
      </w:r>
      <w:r>
        <w:rPr>
          <w:rFonts w:hint="eastAsia" w:ascii="仿宋" w:hAnsi="仿宋" w:eastAsia="仿宋" w:cs="仿宋"/>
          <w:color w:val="auto"/>
          <w:sz w:val="32"/>
          <w:szCs w:val="40"/>
          <w:lang w:eastAsia="zh-CN"/>
        </w:rPr>
        <w:t>借助中国南阳</w:t>
      </w:r>
      <w:r>
        <w:rPr>
          <w:rFonts w:hint="eastAsia" w:ascii="仿宋" w:hAnsi="仿宋" w:eastAsia="仿宋" w:cs="仿宋"/>
          <w:color w:val="auto"/>
          <w:sz w:val="32"/>
          <w:szCs w:val="40"/>
        </w:rPr>
        <w:t>月季产业</w:t>
      </w:r>
      <w:r>
        <w:rPr>
          <w:rFonts w:hint="eastAsia" w:ascii="仿宋" w:hAnsi="仿宋" w:eastAsia="仿宋" w:cs="仿宋"/>
          <w:color w:val="auto"/>
          <w:sz w:val="32"/>
          <w:szCs w:val="40"/>
          <w:lang w:eastAsia="zh-CN"/>
        </w:rPr>
        <w:t>示范区建设</w:t>
      </w:r>
      <w:r>
        <w:rPr>
          <w:rFonts w:hint="eastAsia" w:ascii="仿宋" w:hAnsi="仿宋" w:eastAsia="仿宋" w:cs="仿宋"/>
          <w:color w:val="auto"/>
          <w:sz w:val="32"/>
          <w:szCs w:val="40"/>
        </w:rPr>
        <w:t>项目</w:t>
      </w:r>
      <w:r>
        <w:rPr>
          <w:rFonts w:hint="eastAsia" w:ascii="仿宋" w:hAnsi="仿宋" w:eastAsia="仿宋" w:cs="仿宋"/>
          <w:color w:val="auto"/>
          <w:sz w:val="32"/>
          <w:szCs w:val="40"/>
          <w:lang w:eastAsia="zh-CN"/>
        </w:rPr>
        <w:t>、南阳市月季国家林木种质资源库</w:t>
      </w:r>
      <w:r>
        <w:rPr>
          <w:rFonts w:hint="eastAsia" w:ascii="仿宋" w:hAnsi="仿宋" w:eastAsia="仿宋" w:cs="仿宋"/>
          <w:color w:val="auto"/>
          <w:sz w:val="32"/>
          <w:szCs w:val="40"/>
        </w:rPr>
        <w:t>建设</w:t>
      </w:r>
      <w:r>
        <w:rPr>
          <w:rFonts w:hint="eastAsia" w:ascii="仿宋" w:hAnsi="仿宋" w:eastAsia="仿宋" w:cs="仿宋"/>
          <w:color w:val="auto"/>
          <w:sz w:val="32"/>
          <w:szCs w:val="40"/>
          <w:lang w:eastAsia="zh-CN"/>
        </w:rPr>
        <w:t>项目</w:t>
      </w:r>
      <w:r>
        <w:rPr>
          <w:rFonts w:hint="eastAsia" w:ascii="仿宋" w:hAnsi="仿宋" w:eastAsia="仿宋" w:cs="仿宋"/>
          <w:color w:val="auto"/>
          <w:sz w:val="32"/>
          <w:szCs w:val="40"/>
        </w:rPr>
        <w:t>，通过产品创新、技术创新、市场创新等模式，打造种植、加工、销售、研发等为一体的产业化体系，加强电商平台建设，</w:t>
      </w:r>
      <w:r>
        <w:rPr>
          <w:rFonts w:hint="eastAsia" w:ascii="仿宋" w:hAnsi="仿宋" w:eastAsia="仿宋" w:cs="仿宋"/>
          <w:color w:val="auto"/>
          <w:sz w:val="32"/>
          <w:szCs w:val="40"/>
          <w:lang w:val="en-US" w:eastAsia="zh-CN"/>
        </w:rPr>
        <w:t>建立月季苗木交易市场，</w:t>
      </w:r>
      <w:r>
        <w:rPr>
          <w:rFonts w:hint="eastAsia" w:ascii="仿宋" w:hAnsi="仿宋" w:eastAsia="仿宋" w:cs="仿宋"/>
          <w:color w:val="auto"/>
          <w:sz w:val="32"/>
          <w:szCs w:val="40"/>
        </w:rPr>
        <w:t>拉长月季产业链条，发展生态旅游</w:t>
      </w:r>
      <w:r>
        <w:rPr>
          <w:rFonts w:hint="eastAsia" w:ascii="仿宋" w:hAnsi="仿宋" w:eastAsia="仿宋" w:cs="仿宋"/>
          <w:color w:val="auto"/>
          <w:sz w:val="32"/>
          <w:szCs w:val="40"/>
          <w:lang w:eastAsia="zh-CN"/>
        </w:rPr>
        <w:t>，做强做优月季产业</w:t>
      </w:r>
      <w:r>
        <w:rPr>
          <w:rFonts w:hint="eastAsia" w:ascii="仿宋" w:hAnsi="仿宋" w:eastAsia="仿宋" w:cs="仿宋"/>
          <w:color w:val="auto"/>
          <w:sz w:val="32"/>
          <w:szCs w:val="40"/>
        </w:rPr>
        <w:t>。</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32"/>
        </w:rPr>
      </w:pPr>
      <w:bookmarkStart w:id="228" w:name="_Toc28056"/>
      <w:r>
        <w:rPr>
          <w:rFonts w:hint="eastAsia" w:ascii="仿宋" w:hAnsi="仿宋" w:eastAsia="仿宋" w:cs="仿宋"/>
          <w:color w:val="auto"/>
          <w:sz w:val="32"/>
          <w:szCs w:val="32"/>
        </w:rPr>
        <w:t>规划任务7万亩。</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按年度分，2021年新发展</w:t>
      </w:r>
      <w:r>
        <w:rPr>
          <w:rFonts w:hint="eastAsia" w:ascii="仿宋" w:hAnsi="仿宋" w:eastAsia="仿宋" w:cs="仿宋"/>
          <w:color w:val="auto"/>
          <w:sz w:val="32"/>
          <w:szCs w:val="32"/>
          <w:lang w:val="en-US" w:eastAsia="zh-CN"/>
        </w:rPr>
        <w:t>3.28</w:t>
      </w:r>
      <w:r>
        <w:rPr>
          <w:rFonts w:hint="eastAsia" w:ascii="仿宋" w:hAnsi="仿宋" w:eastAsia="仿宋" w:cs="仿宋"/>
          <w:color w:val="auto"/>
          <w:sz w:val="32"/>
          <w:szCs w:val="32"/>
        </w:rPr>
        <w:t>万亩，占42.9%，2022―2025年每年新发展1</w:t>
      </w:r>
      <w:r>
        <w:rPr>
          <w:rFonts w:hint="eastAsia" w:ascii="仿宋" w:hAnsi="仿宋" w:eastAsia="仿宋" w:cs="仿宋"/>
          <w:color w:val="auto"/>
          <w:sz w:val="32"/>
          <w:szCs w:val="32"/>
          <w:lang w:eastAsia="zh-CN"/>
        </w:rPr>
        <w:t>万</w:t>
      </w:r>
      <w:r>
        <w:rPr>
          <w:rFonts w:hint="eastAsia" w:ascii="仿宋" w:hAnsi="仿宋" w:eastAsia="仿宋" w:cs="仿宋"/>
          <w:color w:val="auto"/>
          <w:sz w:val="32"/>
          <w:szCs w:val="32"/>
        </w:rPr>
        <w:t>亩，占比14.3%。</w:t>
      </w:r>
    </w:p>
    <w:p>
      <w:pPr>
        <w:pStyle w:val="5"/>
        <w:ind w:firstLine="640"/>
        <w:rPr>
          <w:color w:val="auto"/>
        </w:rPr>
      </w:pPr>
      <w:r>
        <w:rPr>
          <w:rFonts w:hint="eastAsia"/>
          <w:color w:val="auto"/>
        </w:rPr>
        <w:t>三、森林旅游产业</w:t>
      </w:r>
      <w:bookmarkEnd w:id="228"/>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以自然保护区、森林公园、湿地公园、地质公园为依托，构建以自然保护地为主体的森林旅游体系，开发旅游景点，建设和完善接待、餐饮、消防、环卫等设施，提高服务保障能力，加快森林旅游产业发展。</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2021—2025年，新建湿地公园1个，全市省级以上森林公园数量达到14个、湿地公园11个，达到每县至少有1处省级以上森林（湿地）公园。通过续建和扩建等途径，建设一系列内容丰富、特色突出、功能完备的森林生态旅游项目。</w:t>
      </w:r>
    </w:p>
    <w:p>
      <w:pPr>
        <w:pStyle w:val="5"/>
        <w:ind w:firstLine="640"/>
        <w:rPr>
          <w:color w:val="auto"/>
        </w:rPr>
      </w:pPr>
      <w:bookmarkStart w:id="229" w:name="_Toc22183"/>
      <w:r>
        <w:rPr>
          <w:rFonts w:hint="eastAsia"/>
          <w:color w:val="auto"/>
        </w:rPr>
        <w:t>四、森林康养产业</w:t>
      </w:r>
      <w:bookmarkEnd w:id="229"/>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以“修身养性、调试机能、延缓衰老”为目的，依托国有林场、森林公园、湿地公园、自然保护区等森林资源丰富的区域，规划建设一批森林康养基地，发展森林浴、森林休闲、森林度假、森林体验、森林运动、森林教育、森林保健、森林养生、森林养老、森林疗养和森林食疗（补）等森林康养产业，让人们回归自然，享受良好森林生态环境带来的福祉。</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2021—2025年，巩固建设现有11处森林康养基地，新建10处森林康养基地。</w:t>
      </w:r>
    </w:p>
    <w:p>
      <w:pPr>
        <w:pStyle w:val="5"/>
        <w:ind w:firstLine="640"/>
        <w:rPr>
          <w:color w:val="auto"/>
        </w:rPr>
      </w:pPr>
      <w:bookmarkStart w:id="230" w:name="_Toc23171"/>
      <w:r>
        <w:rPr>
          <w:rFonts w:hint="eastAsia"/>
          <w:color w:val="auto"/>
        </w:rPr>
        <w:t>五、林下经济</w:t>
      </w:r>
      <w:bookmarkEnd w:id="230"/>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按照“生态优先、因地制宜”的要求，整合资源优势，以基地建设为载体，围绕“绿色、有机”特色，科学合理，适度有序发展农产品、中药材、食用菌、禽类养殖等林下经济，促进特色生态产业发展，实现以短养长、长短协调的良性循环。</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1.农产品。根据林内环境特点和作物生长特性，选择适宜的搭配方式，利用林区疏林地、幼林地或冬春季树木落叶后的林间光照种植大白菜、菠菜、南瓜、洋葱、大蒜、葱等蔬菜；在新造林地林带内套种南瓜、大豆、花生等农作物，大力发展林下种植业，优化经济结构，增加林农收入，培育林业新的经济增长点，形成“生态+经济”的双赢发展模式。</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2.中药材。依托各县区林业和中药材资源优势，发展林下药材种植，提高经济效益。在林间空地间，种植较为耐荫的药材，如金银花、白芍、山茱萸及板蓝根等。以大型药业为龙头，采取“公司+农户”经营模式，扩大中药材种植面积，带动全市中药材产业发展。</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3.食用菌。利用林下空气湿度大、氧气充足、光照强度低、昼夜温差小的特点，在郁闭较大的林下种植双孢菇、鸡腿菇、香菇、平菇、木耳等食用菌。</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4.禽类养殖。充分利用林下昆虫、小动物及杂草多的特点，在林下放养或圈养鸡、鸭、鹅等家禽。利用南阳国储林面积大的优势，在全市范围内扩大林禽养殖规模，建立“绿色食品”生产基地，打入高端消费市场。</w:t>
      </w:r>
    </w:p>
    <w:p>
      <w:pPr>
        <w:pStyle w:val="5"/>
        <w:ind w:firstLine="640"/>
        <w:rPr>
          <w:color w:val="auto"/>
        </w:rPr>
      </w:pPr>
      <w:bookmarkStart w:id="231" w:name="_Toc18641"/>
      <w:r>
        <w:rPr>
          <w:rFonts w:hint="eastAsia"/>
          <w:color w:val="auto"/>
        </w:rPr>
        <w:t>六、林业产业化集群</w:t>
      </w:r>
      <w:bookmarkEnd w:id="231"/>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卧龙、南召、淅川、桐柏、西峡等5个县区。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培育大中型林业龙头企业，推动产品加工增值链、资源循环利用链、质量全程控制链有机融合，打造一批“全链条、全循环、高质量、高效益”的现代林业产业集群。</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hint="eastAsia" w:ascii="仿宋" w:hAnsi="仿宋" w:eastAsia="仿宋" w:cs="仿宋"/>
          <w:color w:val="auto"/>
          <w:sz w:val="32"/>
          <w:szCs w:val="32"/>
        </w:rPr>
      </w:pPr>
      <w:r>
        <w:rPr>
          <w:rFonts w:hint="eastAsia" w:ascii="仿宋" w:hAnsi="仿宋" w:eastAsia="仿宋" w:cs="仿宋"/>
          <w:color w:val="auto"/>
          <w:sz w:val="32"/>
          <w:szCs w:val="32"/>
        </w:rPr>
        <w:t>规划全市形成规模以上林业产业化集群5个。分别是：卧龙区月季产业集群、南召县以玉兰为主的观赏苗木产业集群、淅川县软籽石榴产业集群、西峡县猕猴桃产业集群、桐柏县茶产业集群。</w:t>
      </w:r>
    </w:p>
    <w:p>
      <w:pPr>
        <w:pStyle w:val="2"/>
        <w:rPr>
          <w:rFonts w:hint="default" w:ascii="仿宋" w:hAnsi="仿宋" w:eastAsia="仿宋" w:cs="仿宋"/>
          <w:color w:val="auto"/>
          <w:sz w:val="32"/>
          <w:szCs w:val="32"/>
          <w:lang w:val="en-US" w:eastAsia="zh-CN"/>
        </w:rPr>
      </w:pPr>
    </w:p>
    <w:p>
      <w:pPr>
        <w:pStyle w:val="4"/>
        <w:rPr>
          <w:rFonts w:ascii="黑体" w:hAnsi="黑体" w:cs="黑体"/>
          <w:color w:val="auto"/>
        </w:rPr>
      </w:pPr>
      <w:bookmarkStart w:id="232" w:name="_Toc14042"/>
      <w:bookmarkStart w:id="233" w:name="_Toc8715"/>
      <w:bookmarkStart w:id="234" w:name="_Toc38284785"/>
      <w:bookmarkStart w:id="235" w:name="_Toc31542"/>
      <w:bookmarkStart w:id="236" w:name="_Toc14126"/>
      <w:bookmarkStart w:id="237" w:name="_Toc19973"/>
      <w:bookmarkStart w:id="238" w:name="_Toc8476"/>
      <w:bookmarkStart w:id="239" w:name="_Toc16358"/>
      <w:bookmarkStart w:id="240" w:name="_Toc24689"/>
      <w:bookmarkStart w:id="241" w:name="_Toc19306"/>
      <w:r>
        <w:rPr>
          <w:rFonts w:ascii="黑体" w:hAnsi="黑体" w:cs="黑体"/>
          <w:color w:val="auto"/>
        </w:rPr>
        <w:t>第</w:t>
      </w:r>
      <w:r>
        <w:rPr>
          <w:rFonts w:hint="eastAsia" w:ascii="黑体" w:hAnsi="黑体" w:cs="黑体"/>
          <w:color w:val="auto"/>
        </w:rPr>
        <w:t>八</w:t>
      </w:r>
      <w:r>
        <w:rPr>
          <w:rFonts w:ascii="黑体" w:hAnsi="黑体" w:cs="黑体"/>
          <w:color w:val="auto"/>
        </w:rPr>
        <w:t>节</w:t>
      </w:r>
      <w:r>
        <w:rPr>
          <w:rFonts w:hint="eastAsia" w:ascii="黑体" w:hAnsi="黑体" w:cs="黑体"/>
          <w:color w:val="auto"/>
        </w:rPr>
        <w:t xml:space="preserve"> </w:t>
      </w:r>
      <w:r>
        <w:rPr>
          <w:rFonts w:ascii="黑体" w:hAnsi="黑体" w:cs="黑体"/>
          <w:color w:val="auto"/>
        </w:rPr>
        <w:t xml:space="preserve"> </w:t>
      </w:r>
      <w:r>
        <w:rPr>
          <w:rFonts w:hint="eastAsia" w:ascii="黑体" w:hAnsi="黑体" w:cs="黑体"/>
          <w:color w:val="auto"/>
        </w:rPr>
        <w:t>乡村振兴林业科技</w:t>
      </w:r>
      <w:r>
        <w:rPr>
          <w:rFonts w:ascii="黑体" w:hAnsi="黑体" w:cs="黑体"/>
          <w:color w:val="auto"/>
        </w:rPr>
        <w:t>工程</w:t>
      </w:r>
      <w:bookmarkEnd w:id="232"/>
      <w:bookmarkEnd w:id="233"/>
      <w:bookmarkEnd w:id="234"/>
      <w:bookmarkEnd w:id="235"/>
      <w:bookmarkEnd w:id="236"/>
      <w:bookmarkEnd w:id="237"/>
      <w:bookmarkEnd w:id="238"/>
      <w:bookmarkEnd w:id="239"/>
      <w:bookmarkEnd w:id="240"/>
      <w:bookmarkEnd w:id="241"/>
    </w:p>
    <w:p>
      <w:pPr>
        <w:rPr>
          <w:color w:val="auto"/>
        </w:rPr>
      </w:pPr>
    </w:p>
    <w:p>
      <w:pPr>
        <w:pStyle w:val="5"/>
        <w:ind w:firstLine="640"/>
        <w:rPr>
          <w:color w:val="auto"/>
        </w:rPr>
      </w:pPr>
      <w:bookmarkStart w:id="242" w:name="_Toc27995"/>
      <w:r>
        <w:rPr>
          <w:rFonts w:hint="eastAsia"/>
          <w:color w:val="auto"/>
        </w:rPr>
        <w:t>一、林业科技</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bookmarkEnd w:id="242"/>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以突破制约南阳林业发展的关键技术为重点，发挥高新林业科技创新在培育森林资源、提高森林质量、转变林业生产方式、引领林业产业发展中的作用，强化林业关键技术攻关、应用与示范，加快林业科技成果转化，加大林业技术推广力度，促进林业科学技术普及，建立满足林业生态建设需求的技术推广体系，建设林产品质量与安全检查体系，建设布局合理、功能完备、运行高效、支撑有力的林业科技支撑创新体系，提高林业科技进步贡献率和科技成果转化率。</w:t>
      </w:r>
    </w:p>
    <w:p>
      <w:pPr>
        <w:spacing w:line="560" w:lineRule="exact"/>
        <w:ind w:firstLine="600"/>
        <w:rPr>
          <w:rFonts w:ascii="楷体" w:hAnsi="楷体" w:eastAsia="楷体" w:cs="楷体"/>
          <w:color w:val="auto"/>
          <w:sz w:val="32"/>
          <w:szCs w:val="32"/>
        </w:rPr>
      </w:pPr>
      <w:bookmarkStart w:id="243" w:name="_Toc25294"/>
      <w:r>
        <w:rPr>
          <w:rFonts w:hint="eastAsia" w:ascii="楷体" w:hAnsi="楷体" w:eastAsia="楷体" w:cs="楷体"/>
          <w:color w:val="auto"/>
          <w:sz w:val="32"/>
          <w:szCs w:val="32"/>
        </w:rPr>
        <w:t>（三）建设任务</w:t>
      </w:r>
      <w:bookmarkEnd w:id="243"/>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1.林业关键技术攻关、推广与应用。开展基础研究、关键技术研发，加强林业项目推广工作，组织实施科技推广项目50项。新装备研发与应用方面，加强森林、湿地、石漠化土地及生物多样性监测预警评估体系建设，加快无人机、北斗定位、自动传感、无线传输、人工智能等设施设备应用于林业建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2.园区建设、种质资源库建设和标准化示范。新建省级以上科技示范基地（园区）5个，建设南阳月季国家林木种质资源库，制（修）订林业标准20项。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3.科研平台建设。在丹江口和淮河源头等生态重要区域，新建淅川渠首、桐柏淮河源森林生态定位站、伏牛山野外生态定位观测站等3个省级生态定位观测站，内容包括观测设施、综合实验楼、辅助设施、仪器设备等，开展森林生态系统定位、长期和动态观测研究。依托科研院所、大专院校和龙头企业，加大科技创新平台建设力度，完善重点实验室、工程技术中心科研设施。建设市级林产品安全检测中心1处，面积500平方米，配备相关检测设备。</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4.科技推广培训。加强科技培训，培训林业技术骨干及林农1万人次，年均2000人次以上。</w:t>
      </w:r>
    </w:p>
    <w:p>
      <w:pPr>
        <w:pStyle w:val="5"/>
        <w:ind w:firstLine="640"/>
        <w:rPr>
          <w:color w:val="auto"/>
        </w:rPr>
      </w:pPr>
      <w:bookmarkStart w:id="244" w:name="_Hlk71621270"/>
      <w:r>
        <w:rPr>
          <w:rFonts w:hint="eastAsia"/>
          <w:color w:val="auto"/>
          <w:lang w:val="en-US" w:eastAsia="zh-CN"/>
        </w:rPr>
        <w:t>二、南阳市林业</w:t>
      </w:r>
      <w:r>
        <w:rPr>
          <w:rFonts w:hint="eastAsia"/>
          <w:color w:val="auto"/>
        </w:rPr>
        <w:t>土壤环境质量监测中心</w:t>
      </w:r>
      <w:bookmarkEnd w:id="244"/>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（一）建设地点</w:t>
      </w:r>
    </w:p>
    <w:p>
      <w:pPr>
        <w:ind w:firstLine="420"/>
        <w:rPr>
          <w:rFonts w:ascii="仿宋" w:hAnsi="仿宋" w:eastAsia="仿宋" w:cs="仿宋"/>
          <w:color w:val="auto"/>
          <w:sz w:val="30"/>
          <w:szCs w:val="30"/>
        </w:rPr>
      </w:pPr>
      <w:r>
        <w:rPr>
          <w:rFonts w:hint="eastAsia" w:ascii="仿宋" w:hAnsi="仿宋" w:eastAsia="仿宋" w:cs="仿宋"/>
          <w:color w:val="auto"/>
          <w:sz w:val="30"/>
          <w:szCs w:val="30"/>
        </w:rPr>
        <w:t>南阳市林科院科研基地实验中心</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（二）建设内容</w:t>
      </w:r>
    </w:p>
    <w:p>
      <w:pPr>
        <w:ind w:firstLine="602" w:firstLineChars="200"/>
        <w:rPr>
          <w:rFonts w:ascii="仿宋" w:hAnsi="仿宋" w:eastAsia="仿宋" w:cs="仿宋"/>
          <w:b/>
          <w:bCs/>
          <w:color w:val="auto"/>
          <w:sz w:val="30"/>
          <w:szCs w:val="30"/>
        </w:rPr>
      </w:pPr>
      <w:r>
        <w:rPr>
          <w:rFonts w:hint="eastAsia" w:ascii="仿宋" w:hAnsi="仿宋" w:eastAsia="仿宋" w:cs="仿宋"/>
          <w:b/>
          <w:bCs/>
          <w:color w:val="auto"/>
          <w:sz w:val="30"/>
          <w:szCs w:val="30"/>
        </w:rPr>
        <w:t>1.建立300平方实验室</w:t>
      </w:r>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①建立基础操作实验室：建立3个40平方的基础操作实验室，用于开展土壤理化分析、土壤（林果产品）重金属含量和土壤（林果产品）农药残留检测前处理工作。</w:t>
      </w:r>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②购买高精端检测仪器设备：购置可检测土壤理化性质（土壤多参数检测仪、定氮仪、紫外可见分光光度计、土壤养分速测仪）、土壤（林果产品）重金属含量（原子吸收分光光度计、原子荧光光度计）和土壤（林果产品）的农药残留（气相色谱仪）的仪器设备，确保实验室具备土壤（林果产品）安全检测能力。</w:t>
      </w:r>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③对实验室人员开展技能培训：积极与河南省林业科学研究院等机构沟通和联系，由其负责实验室人员组织开展实验操作培训、各种指标测定前处理培训、仪器检测培训，保障实验室人员具有完成各项指标测定能力，同时具备实验室日常管理和仪器设备维护能力。</w:t>
      </w:r>
    </w:p>
    <w:p>
      <w:pPr>
        <w:ind w:firstLine="602" w:firstLineChars="200"/>
        <w:rPr>
          <w:rFonts w:ascii="仿宋" w:hAnsi="仿宋" w:eastAsia="仿宋" w:cs="仿宋"/>
          <w:b/>
          <w:bCs/>
          <w:color w:val="auto"/>
          <w:sz w:val="30"/>
          <w:szCs w:val="30"/>
        </w:rPr>
      </w:pPr>
      <w:r>
        <w:rPr>
          <w:rFonts w:hint="eastAsia" w:ascii="仿宋" w:hAnsi="仿宋" w:eastAsia="仿宋" w:cs="仿宋"/>
          <w:b/>
          <w:bCs/>
          <w:color w:val="auto"/>
          <w:sz w:val="30"/>
          <w:szCs w:val="30"/>
        </w:rPr>
        <w:t>2.布置200个监测样地</w:t>
      </w:r>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在全市范围内开展林地调查活动，选取具有代表性的林地和区域作为土壤环境质量监测样地。计划共布置监测样地200个，用于全面评估南阳区域林地土壤肥力、土壤污染状况，为林地土壤健康发展，农（林）产品质量安全提供保障。</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（三）建设任务</w:t>
      </w:r>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2021年1月—2023年12月：</w:t>
      </w:r>
      <w:bookmarkStart w:id="245" w:name="_Hlk71621295"/>
      <w:r>
        <w:rPr>
          <w:rFonts w:hint="eastAsia" w:ascii="仿宋" w:hAnsi="仿宋" w:eastAsia="仿宋" w:cs="仿宋"/>
          <w:color w:val="auto"/>
          <w:sz w:val="32"/>
          <w:szCs w:val="40"/>
        </w:rPr>
        <w:t>建立土壤监测实验室，完成土壤监测实验室基础设施的建设工作，保障其具有土壤前处理和分析能力；陆续配置实验室相关检测仪器，同时对实验室人员进行技术培训，使其具备实验仪器使用和相关指标测定能力；同时，在全市范围内开展林地环境样地调查，建立林地环境监测样地200个。</w:t>
      </w:r>
    </w:p>
    <w:bookmarkEnd w:id="245"/>
    <w:p>
      <w:pPr>
        <w:spacing w:line="560" w:lineRule="exact"/>
        <w:ind w:firstLine="600"/>
        <w:rPr>
          <w:rFonts w:hint="eastAsia" w:ascii="仿宋" w:hAnsi="仿宋" w:eastAsia="仿宋" w:cs="仿宋"/>
          <w:color w:val="auto"/>
          <w:sz w:val="32"/>
          <w:szCs w:val="40"/>
        </w:rPr>
      </w:pPr>
      <w:r>
        <w:rPr>
          <w:rFonts w:hint="eastAsia" w:ascii="仿宋" w:hAnsi="仿宋" w:eastAsia="仿宋" w:cs="仿宋"/>
          <w:color w:val="auto"/>
          <w:sz w:val="32"/>
          <w:szCs w:val="40"/>
        </w:rPr>
        <w:t>2023年1月—2025年12月：</w:t>
      </w:r>
      <w:bookmarkStart w:id="246" w:name="_Hlk71621303"/>
      <w:r>
        <w:rPr>
          <w:rFonts w:hint="eastAsia" w:ascii="仿宋" w:hAnsi="仿宋" w:eastAsia="仿宋" w:cs="仿宋"/>
          <w:color w:val="auto"/>
          <w:sz w:val="32"/>
          <w:szCs w:val="40"/>
        </w:rPr>
        <w:t>对监测样地全面开展土壤质量监测工作，并对南阳林地质量进行系统的评估。</w:t>
      </w:r>
      <w:bookmarkEnd w:id="246"/>
    </w:p>
    <w:p>
      <w:pPr>
        <w:pStyle w:val="2"/>
        <w:rPr>
          <w:rFonts w:hint="default" w:ascii="仿宋" w:hAnsi="仿宋" w:eastAsia="仿宋" w:cs="仿宋"/>
          <w:color w:val="auto"/>
          <w:sz w:val="32"/>
          <w:szCs w:val="40"/>
          <w:lang w:val="en-US" w:eastAsia="zh-CN"/>
        </w:rPr>
      </w:pPr>
    </w:p>
    <w:p>
      <w:pPr>
        <w:pStyle w:val="4"/>
        <w:rPr>
          <w:rFonts w:ascii="黑体" w:hAnsi="黑体" w:cs="黑体"/>
          <w:color w:val="auto"/>
        </w:rPr>
      </w:pPr>
      <w:bookmarkStart w:id="247" w:name="_Toc30395"/>
      <w:bookmarkStart w:id="248" w:name="_Toc7459"/>
      <w:bookmarkStart w:id="249" w:name="_Toc20707"/>
      <w:bookmarkStart w:id="250" w:name="_Toc11215"/>
      <w:bookmarkStart w:id="251" w:name="_Toc38284788"/>
      <w:bookmarkStart w:id="252" w:name="_Toc29256"/>
      <w:bookmarkStart w:id="253" w:name="_Toc8207"/>
      <w:bookmarkStart w:id="254" w:name="_Toc2059"/>
      <w:bookmarkStart w:id="255" w:name="_Toc22542"/>
      <w:r>
        <w:rPr>
          <w:rFonts w:ascii="黑体" w:hAnsi="黑体" w:cs="黑体"/>
          <w:color w:val="auto"/>
        </w:rPr>
        <w:t>第</w:t>
      </w:r>
      <w:r>
        <w:rPr>
          <w:rFonts w:hint="eastAsia" w:ascii="黑体" w:hAnsi="黑体" w:cs="黑体"/>
          <w:color w:val="auto"/>
        </w:rPr>
        <w:t>九</w:t>
      </w:r>
      <w:r>
        <w:rPr>
          <w:rFonts w:ascii="黑体" w:hAnsi="黑体" w:cs="黑体"/>
          <w:color w:val="auto"/>
        </w:rPr>
        <w:t>节</w:t>
      </w:r>
      <w:r>
        <w:rPr>
          <w:rFonts w:hint="eastAsia" w:ascii="黑体" w:hAnsi="黑体" w:cs="黑体"/>
          <w:color w:val="auto"/>
        </w:rPr>
        <w:t xml:space="preserve">  国储林建设工程</w:t>
      </w:r>
      <w:bookmarkEnd w:id="247"/>
      <w:bookmarkEnd w:id="248"/>
      <w:bookmarkEnd w:id="249"/>
      <w:bookmarkEnd w:id="250"/>
      <w:bookmarkEnd w:id="251"/>
      <w:bookmarkEnd w:id="252"/>
      <w:bookmarkEnd w:id="253"/>
      <w:bookmarkEnd w:id="254"/>
      <w:bookmarkEnd w:id="255"/>
    </w:p>
    <w:p>
      <w:pPr>
        <w:rPr>
          <w:color w:val="auto"/>
        </w:rPr>
      </w:pPr>
    </w:p>
    <w:p>
      <w:pPr>
        <w:pStyle w:val="5"/>
        <w:ind w:firstLine="640"/>
        <w:rPr>
          <w:color w:val="auto"/>
        </w:rPr>
      </w:pPr>
      <w:r>
        <w:rPr>
          <w:rFonts w:hint="eastAsia"/>
          <w:color w:val="auto"/>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40"/>
        </w:rPr>
        <w:t>西峡、淅川、桐柏、内乡、南召、方城、镇平、唐河、新野、社旗、宛城、卧龙、</w:t>
      </w:r>
      <w:r>
        <w:rPr>
          <w:rFonts w:hint="eastAsia" w:ascii="仿宋" w:hAnsi="仿宋" w:eastAsia="仿宋" w:cs="仿宋"/>
          <w:color w:val="auto"/>
          <w:sz w:val="32"/>
          <w:szCs w:val="32"/>
        </w:rPr>
        <w:t>鸭河工区等13个县区。</w:t>
      </w:r>
    </w:p>
    <w:p>
      <w:pPr>
        <w:pStyle w:val="5"/>
        <w:ind w:firstLine="640"/>
        <w:rPr>
          <w:color w:val="auto"/>
        </w:rPr>
      </w:pPr>
      <w:r>
        <w:rPr>
          <w:rFonts w:hint="eastAsia"/>
          <w:color w:val="auto"/>
        </w:rPr>
        <w:t>二、建设内容</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根据国家、省批复，南阳市国家储备林基地规划建设面积390万亩，其中新造林110万亩，现有林改培60万亩，中幼林抚育220万亩，总投资366.67亿元，规划期限30年，分三期进行。2018年，启动实施一期国储林项目，规划建设面积159.67万亩（新造林78.99万亩，中幼林抚育64.22万亩</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现有林改培16.46万亩），总投资135.35亿元，国开行授信贷款108亿元。</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按照《南阳市国家储备林基地建设规划》，利用开发性、政策性金融贷款，采取政府和社会资本合作、企业自主运营等模式，通过现有林改培、抚育等措施，加强森林经营，调整和优化森林结构，扎实推进项目建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坚持“立木储备、突出重点，生态优先、统筹兼顾，政府主导、市场运作，集中连片、因地制宜，绿色富民、突出特色”的原则，突出宜林荒山荒地、非基本农田、水源涵养区等区域，抓重点带全局，树精品提质量，形成特色品牌，确保项目发挥最大效益。</w:t>
      </w:r>
    </w:p>
    <w:p>
      <w:pPr>
        <w:tabs>
          <w:tab w:val="left" w:pos="735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截止2020年，全市完成国储林新造林</w:t>
      </w:r>
      <w:r>
        <w:rPr>
          <w:rFonts w:hint="eastAsia" w:ascii="仿宋" w:hAnsi="仿宋" w:eastAsia="仿宋" w:cs="仿宋"/>
          <w:color w:val="auto"/>
          <w:sz w:val="32"/>
          <w:szCs w:val="32"/>
          <w:lang w:val="en-US" w:eastAsia="zh-CN"/>
        </w:rPr>
        <w:t>39.13</w:t>
      </w:r>
      <w:r>
        <w:rPr>
          <w:rFonts w:hint="eastAsia" w:ascii="仿宋" w:hAnsi="仿宋" w:eastAsia="仿宋" w:cs="仿宋"/>
          <w:color w:val="auto"/>
          <w:sz w:val="32"/>
          <w:szCs w:val="32"/>
        </w:rPr>
        <w:t>万亩，</w:t>
      </w:r>
      <w:r>
        <w:rPr>
          <w:rFonts w:hint="eastAsia" w:ascii="仿宋" w:hAnsi="仿宋" w:eastAsia="仿宋" w:cs="仿宋"/>
          <w:color w:val="auto"/>
          <w:sz w:val="32"/>
          <w:szCs w:val="32"/>
          <w:lang w:val="en-US" w:eastAsia="zh-CN"/>
        </w:rPr>
        <w:t>其中中幼林抚育11.99万亩，现有林改培2.54万亩</w:t>
      </w:r>
      <w:r>
        <w:rPr>
          <w:rFonts w:hint="eastAsia" w:ascii="仿宋" w:hAnsi="仿宋" w:eastAsia="仿宋" w:cs="仿宋"/>
          <w:color w:val="auto"/>
          <w:sz w:val="32"/>
          <w:szCs w:val="32"/>
        </w:rPr>
        <w:t>。</w:t>
      </w:r>
    </w:p>
    <w:p>
      <w:pPr>
        <w:pStyle w:val="5"/>
        <w:ind w:firstLine="640"/>
        <w:rPr>
          <w:color w:val="auto"/>
        </w:rPr>
      </w:pPr>
      <w:r>
        <w:rPr>
          <w:rFonts w:hint="eastAsia"/>
          <w:color w:val="auto"/>
        </w:rPr>
        <w:t>三、建设任务</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（一）新造林</w:t>
      </w:r>
    </w:p>
    <w:p>
      <w:pPr>
        <w:spacing w:line="560" w:lineRule="exact"/>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规划新造林</w:t>
      </w:r>
      <w:r>
        <w:rPr>
          <w:rFonts w:hint="eastAsia" w:ascii="仿宋" w:hAnsi="仿宋" w:eastAsia="仿宋" w:cs="仿宋"/>
          <w:color w:val="auto"/>
          <w:sz w:val="32"/>
          <w:szCs w:val="40"/>
          <w:lang w:val="en-US" w:eastAsia="zh-CN"/>
        </w:rPr>
        <w:t>39.86</w:t>
      </w:r>
      <w:r>
        <w:rPr>
          <w:rFonts w:hint="eastAsia" w:ascii="仿宋" w:hAnsi="仿宋" w:eastAsia="仿宋" w:cs="仿宋"/>
          <w:color w:val="auto"/>
          <w:sz w:val="32"/>
          <w:szCs w:val="40"/>
        </w:rPr>
        <w:t>万亩。</w:t>
      </w:r>
    </w:p>
    <w:p>
      <w:pPr>
        <w:spacing w:line="560" w:lineRule="exact"/>
        <w:ind w:firstLine="640" w:firstLineChars="200"/>
        <w:rPr>
          <w:rFonts w:ascii="楷体" w:hAnsi="楷体" w:eastAsia="楷体" w:cs="楷体"/>
          <w:color w:val="auto"/>
          <w:sz w:val="32"/>
          <w:szCs w:val="40"/>
        </w:rPr>
      </w:pPr>
      <w:r>
        <w:rPr>
          <w:rFonts w:hint="eastAsia" w:ascii="楷体" w:hAnsi="楷体" w:eastAsia="楷体" w:cs="楷体"/>
          <w:color w:val="auto"/>
          <w:sz w:val="32"/>
          <w:szCs w:val="40"/>
        </w:rPr>
        <w:t>（二）中幼林抚育及</w:t>
      </w:r>
      <w:r>
        <w:rPr>
          <w:rFonts w:hint="eastAsia" w:ascii="楷体" w:hAnsi="楷体" w:eastAsia="楷体" w:cs="楷体"/>
          <w:color w:val="auto"/>
          <w:sz w:val="32"/>
          <w:szCs w:val="40"/>
          <w:lang w:val="en-US" w:eastAsia="zh-CN"/>
        </w:rPr>
        <w:t>现有林</w:t>
      </w:r>
      <w:r>
        <w:rPr>
          <w:rFonts w:hint="eastAsia" w:ascii="楷体" w:hAnsi="楷体" w:eastAsia="楷体" w:cs="楷体"/>
          <w:color w:val="auto"/>
          <w:sz w:val="32"/>
          <w:szCs w:val="40"/>
        </w:rPr>
        <w:t>改培</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40"/>
        </w:rPr>
        <w:t>规划中幼林抚育</w:t>
      </w:r>
      <w:r>
        <w:rPr>
          <w:rFonts w:hint="eastAsia" w:ascii="仿宋" w:hAnsi="仿宋" w:eastAsia="仿宋" w:cs="仿宋"/>
          <w:color w:val="auto"/>
          <w:sz w:val="32"/>
          <w:szCs w:val="40"/>
          <w:lang w:val="en-US" w:eastAsia="zh-CN"/>
        </w:rPr>
        <w:t>52.23</w:t>
      </w:r>
      <w:r>
        <w:rPr>
          <w:rFonts w:hint="eastAsia" w:ascii="仿宋" w:hAnsi="仿宋" w:eastAsia="仿宋" w:cs="仿宋"/>
          <w:color w:val="auto"/>
          <w:sz w:val="32"/>
          <w:szCs w:val="40"/>
        </w:rPr>
        <w:t>万亩</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rPr>
        <w:t>现有林改培</w:t>
      </w:r>
      <w:r>
        <w:rPr>
          <w:rFonts w:hint="eastAsia" w:ascii="仿宋" w:hAnsi="仿宋" w:eastAsia="仿宋" w:cs="仿宋"/>
          <w:color w:val="auto"/>
          <w:sz w:val="32"/>
          <w:szCs w:val="40"/>
          <w:lang w:val="en-US" w:eastAsia="zh-CN"/>
        </w:rPr>
        <w:t>13.92</w:t>
      </w:r>
      <w:r>
        <w:rPr>
          <w:rFonts w:hint="eastAsia" w:ascii="仿宋" w:hAnsi="仿宋" w:eastAsia="仿宋" w:cs="仿宋"/>
          <w:color w:val="auto"/>
          <w:sz w:val="32"/>
          <w:szCs w:val="40"/>
        </w:rPr>
        <w:t>万亩。</w:t>
      </w:r>
    </w:p>
    <w:p>
      <w:pPr>
        <w:rPr>
          <w:color w:val="auto"/>
        </w:rPr>
      </w:pPr>
    </w:p>
    <w:p>
      <w:pPr>
        <w:pStyle w:val="4"/>
        <w:rPr>
          <w:rFonts w:ascii="黑体" w:hAnsi="黑体" w:cs="黑体"/>
          <w:color w:val="auto"/>
        </w:rPr>
      </w:pPr>
      <w:bookmarkStart w:id="256" w:name="_Toc5185"/>
      <w:bookmarkStart w:id="257" w:name="_Toc17341"/>
      <w:bookmarkStart w:id="258" w:name="_Toc18521"/>
      <w:bookmarkStart w:id="259" w:name="_Toc4957"/>
      <w:bookmarkStart w:id="260" w:name="_Toc38284786"/>
      <w:bookmarkStart w:id="261" w:name="_Toc28088"/>
      <w:bookmarkStart w:id="262" w:name="_Toc19433"/>
      <w:bookmarkStart w:id="263" w:name="_Toc11597"/>
      <w:bookmarkStart w:id="264" w:name="_Toc10031"/>
      <w:bookmarkStart w:id="265" w:name="_Toc19039"/>
      <w:r>
        <w:rPr>
          <w:rFonts w:ascii="黑体" w:hAnsi="黑体" w:cs="黑体"/>
          <w:color w:val="auto"/>
        </w:rPr>
        <w:t>第</w:t>
      </w:r>
      <w:r>
        <w:rPr>
          <w:rFonts w:hint="eastAsia" w:ascii="黑体" w:hAnsi="黑体" w:cs="黑体"/>
          <w:color w:val="auto"/>
        </w:rPr>
        <w:t>十</w:t>
      </w:r>
      <w:r>
        <w:rPr>
          <w:rFonts w:ascii="黑体" w:hAnsi="黑体" w:cs="黑体"/>
          <w:color w:val="auto"/>
        </w:rPr>
        <w:t>节</w:t>
      </w:r>
      <w:r>
        <w:rPr>
          <w:rFonts w:hint="eastAsia" w:ascii="黑体" w:hAnsi="黑体" w:cs="黑体"/>
          <w:color w:val="auto"/>
        </w:rPr>
        <w:t xml:space="preserve">  乡村振兴</w:t>
      </w:r>
      <w:r>
        <w:rPr>
          <w:rFonts w:ascii="黑体" w:hAnsi="黑体" w:cs="黑体"/>
          <w:color w:val="auto"/>
        </w:rPr>
        <w:t>保障能力提升工程</w:t>
      </w:r>
      <w:bookmarkEnd w:id="256"/>
      <w:bookmarkEnd w:id="257"/>
      <w:bookmarkEnd w:id="258"/>
      <w:bookmarkEnd w:id="259"/>
      <w:bookmarkEnd w:id="260"/>
      <w:bookmarkEnd w:id="261"/>
      <w:bookmarkEnd w:id="262"/>
      <w:bookmarkEnd w:id="263"/>
      <w:bookmarkEnd w:id="264"/>
      <w:bookmarkEnd w:id="265"/>
    </w:p>
    <w:p>
      <w:pPr>
        <w:rPr>
          <w:color w:val="auto"/>
        </w:rPr>
      </w:pPr>
    </w:p>
    <w:p>
      <w:pPr>
        <w:pStyle w:val="5"/>
        <w:ind w:firstLine="640"/>
        <w:rPr>
          <w:color w:val="auto"/>
        </w:rPr>
      </w:pPr>
      <w:bookmarkStart w:id="266" w:name="_Toc20813"/>
      <w:r>
        <w:rPr>
          <w:rFonts w:hint="eastAsia"/>
          <w:color w:val="auto"/>
        </w:rPr>
        <w:t>一、建设范围</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各县区。</w:t>
      </w:r>
    </w:p>
    <w:p>
      <w:pPr>
        <w:pStyle w:val="5"/>
        <w:ind w:firstLine="640"/>
        <w:rPr>
          <w:color w:val="auto"/>
        </w:rPr>
      </w:pPr>
      <w:r>
        <w:rPr>
          <w:rFonts w:hint="eastAsia"/>
          <w:color w:val="auto"/>
        </w:rPr>
        <w:t>二、建设内容</w:t>
      </w:r>
      <w:bookmarkEnd w:id="266"/>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加强森林防火，推进智慧林业系统、国有林场基础设施、林业基层站所、森林公安、林业综合调查监测与评估体系、人才队伍建设等，强化森林资源安全。</w:t>
      </w:r>
    </w:p>
    <w:p>
      <w:pPr>
        <w:pStyle w:val="5"/>
        <w:ind w:firstLine="640"/>
        <w:rPr>
          <w:color w:val="auto"/>
        </w:rPr>
      </w:pPr>
      <w:bookmarkStart w:id="267" w:name="_Toc31970"/>
      <w:r>
        <w:rPr>
          <w:rFonts w:hint="eastAsia"/>
          <w:color w:val="auto"/>
        </w:rPr>
        <w:t>三、建设任务</w:t>
      </w:r>
      <w:bookmarkEnd w:id="267"/>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（一）森林防火工程</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1.机构队伍建设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加强与县区编办对接，建立防火机构，落实人员编制，健全基层扑火专业队伍，形成高效顺畅的防火机制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发现火情及时处置，确保火有人防、事有人干、责有人担。</w:t>
      </w:r>
    </w:p>
    <w:p>
      <w:pPr>
        <w:spacing w:line="560" w:lineRule="exact"/>
        <w:ind w:firstLine="600"/>
        <w:rPr>
          <w:rFonts w:ascii="仿宋" w:hAnsi="仿宋" w:eastAsia="仿宋"/>
          <w:color w:val="auto"/>
          <w:sz w:val="32"/>
          <w:szCs w:val="32"/>
        </w:rPr>
      </w:pPr>
      <w:r>
        <w:rPr>
          <w:rFonts w:hint="eastAsia" w:ascii="仿宋" w:hAnsi="仿宋" w:eastAsia="仿宋"/>
          <w:color w:val="auto"/>
          <w:sz w:val="32"/>
          <w:szCs w:val="32"/>
        </w:rPr>
        <w:t>2.预警监测系统建设</w:t>
      </w:r>
    </w:p>
    <w:p>
      <w:pPr>
        <w:spacing w:line="560" w:lineRule="exact"/>
        <w:ind w:firstLine="600"/>
        <w:rPr>
          <w:rFonts w:ascii="仿宋" w:hAnsi="仿宋" w:eastAsia="仿宋"/>
          <w:color w:val="auto"/>
          <w:sz w:val="32"/>
          <w:szCs w:val="32"/>
        </w:rPr>
      </w:pPr>
      <w:r>
        <w:rPr>
          <w:rFonts w:hint="eastAsia" w:ascii="仿宋" w:hAnsi="仿宋" w:eastAsia="仿宋"/>
          <w:color w:val="auto"/>
          <w:sz w:val="32"/>
          <w:szCs w:val="32"/>
        </w:rPr>
        <w:t>①森林火险预警系统。在全市现有森林火险预警系统建设的基础上，统一开发基于多源信息融合的森林火险预警模型及配套系统软件，建设全市森林火险预警平台，完善预警响应机制。a.综合监测站预警：新建新型森林火险综合监测站14个，同时为方便监测，配置手持气象监测仪14台；b.护林员巡护预警：规划配备移动手持终端和望远镜各650台（架）；c.无人机巡护预警：规划配备无人机7台。</w:t>
      </w:r>
    </w:p>
    <w:p>
      <w:pPr>
        <w:spacing w:line="560" w:lineRule="exact"/>
        <w:ind w:firstLine="600"/>
        <w:rPr>
          <w:rFonts w:ascii="仿宋" w:hAnsi="仿宋" w:eastAsia="仿宋"/>
          <w:color w:val="auto"/>
          <w:sz w:val="32"/>
          <w:szCs w:val="32"/>
        </w:rPr>
      </w:pPr>
      <w:r>
        <w:rPr>
          <w:rFonts w:hint="eastAsia" w:ascii="仿宋" w:hAnsi="仿宋" w:eastAsia="仿宋"/>
          <w:color w:val="auto"/>
          <w:sz w:val="32"/>
          <w:szCs w:val="32"/>
        </w:rPr>
        <w:t>②林火视频监控系统。规划新建视频监控系统35套，利用互联网平台，初步构建全市森林防火视频监控网络系统。结合现有条件合理布局，新建瞭望塔及配套设施28座、改造1座，并配备高倍望远镜、红外探测仪等28架（套）。</w:t>
      </w:r>
    </w:p>
    <w:p>
      <w:pPr>
        <w:spacing w:line="560" w:lineRule="exact"/>
        <w:ind w:firstLine="600"/>
        <w:rPr>
          <w:rFonts w:ascii="仿宋" w:hAnsi="仿宋" w:eastAsia="仿宋"/>
          <w:color w:val="auto"/>
          <w:sz w:val="32"/>
          <w:szCs w:val="32"/>
        </w:rPr>
      </w:pPr>
      <w:r>
        <w:rPr>
          <w:rFonts w:hint="eastAsia" w:ascii="仿宋" w:hAnsi="仿宋" w:eastAsia="仿宋"/>
          <w:color w:val="auto"/>
          <w:sz w:val="32"/>
          <w:szCs w:val="32"/>
        </w:rPr>
        <w:t>3.森林防火通信与信息指挥系统建设</w:t>
      </w:r>
    </w:p>
    <w:p>
      <w:pPr>
        <w:spacing w:line="560" w:lineRule="exact"/>
        <w:ind w:firstLine="600"/>
        <w:rPr>
          <w:rFonts w:ascii="仿宋" w:hAnsi="仿宋" w:eastAsia="仿宋"/>
          <w:color w:val="auto"/>
          <w:sz w:val="32"/>
          <w:szCs w:val="32"/>
        </w:rPr>
      </w:pPr>
      <w:r>
        <w:rPr>
          <w:rFonts w:hint="eastAsia" w:ascii="仿宋" w:hAnsi="仿宋" w:eastAsia="仿宋"/>
          <w:color w:val="auto"/>
          <w:sz w:val="32"/>
          <w:szCs w:val="32"/>
        </w:rPr>
        <w:t>①综合通信系统。规划市一级和7个森林火灾较高风险县各新建1套综合管控系统。在省级森林防火指挥中心建立北斗指挥系统的基础上，南阳市建设卫星固定小站，同时配备7套BGAN系统、海事卫星电话7部、配备北斗手持机790台。规划新增有线综合网络交换机和路由器各8套。规划配置机动通信系统中型通信车1辆、小型火场应急通信车7辆（含车载设备、野外供电设备和图像采集系统）。</w:t>
      </w:r>
    </w:p>
    <w:p>
      <w:pPr>
        <w:spacing w:line="560" w:lineRule="exact"/>
        <w:ind w:firstLine="600"/>
        <w:rPr>
          <w:rFonts w:ascii="仿宋" w:hAnsi="仿宋" w:eastAsia="仿宋"/>
          <w:color w:val="auto"/>
          <w:sz w:val="32"/>
          <w:szCs w:val="32"/>
        </w:rPr>
      </w:pPr>
      <w:r>
        <w:rPr>
          <w:rFonts w:hint="eastAsia" w:ascii="仿宋" w:hAnsi="仿宋" w:eastAsia="仿宋"/>
          <w:color w:val="auto"/>
          <w:sz w:val="32"/>
          <w:szCs w:val="32"/>
        </w:rPr>
        <w:t>②森林防火信息指挥系统。完善提升市、县指挥中心设施设备8套，包括视频会议系统、综合显示系统、中央控制系统、信息支撑系统、综合调度系统等。</w:t>
      </w:r>
    </w:p>
    <w:p>
      <w:pPr>
        <w:spacing w:line="560" w:lineRule="exact"/>
        <w:ind w:firstLine="600"/>
        <w:rPr>
          <w:rFonts w:ascii="仿宋" w:hAnsi="仿宋" w:eastAsia="仿宋"/>
          <w:color w:val="auto"/>
          <w:sz w:val="32"/>
          <w:szCs w:val="32"/>
        </w:rPr>
      </w:pPr>
      <w:r>
        <w:rPr>
          <w:rFonts w:hint="eastAsia" w:ascii="仿宋" w:hAnsi="仿宋" w:eastAsia="仿宋"/>
          <w:color w:val="auto"/>
          <w:sz w:val="32"/>
          <w:szCs w:val="32"/>
        </w:rPr>
        <w:t>4.森林消防队伍及设施设备建设。①森林消防队伍建设：建立Ⅱ类专业森林消防队伍1支、50人，Ⅲ类专业森林消防队伍6支、600人；在国有林场、国家级自然保护区、森林公园等重点林区，建立Ⅳ类专业森林消防队伍19支、380人；②专业森林消防队伍设备设施建设。对现有13支专业消防队伍按标准填平补齐，新建的26支专业森林消防队伍按标准配备设施设备，实现森林消防专业队伍装备标准化；</w:t>
      </w:r>
      <w:r>
        <w:rPr>
          <w:rFonts w:ascii="仿宋" w:hAnsi="仿宋" w:eastAsia="仿宋"/>
          <w:color w:val="auto"/>
          <w:sz w:val="32"/>
          <w:szCs w:val="32"/>
        </w:rPr>
        <w:t>③</w:t>
      </w:r>
      <w:r>
        <w:rPr>
          <w:rFonts w:hint="eastAsia" w:ascii="仿宋" w:hAnsi="仿宋" w:eastAsia="仿宋"/>
          <w:color w:val="auto"/>
          <w:sz w:val="32"/>
          <w:szCs w:val="32"/>
        </w:rPr>
        <w:t>物资储备库、灭火机具、防火车辆等装备建设：建立市级森林防火物资储备库，储备不低于300万元的森林防火物资，每年更新物资不低于100万元；每个县与防火专业队伍营房建设合并规划，建设26处县级三级物资储备库。配备森林消防水车12辆、运兵车25辆、高压水泵系统70套、高压细水雾265台、脉冲水枪133支，设置蓄水池16个、储水罐41个；</w:t>
      </w:r>
      <w:r>
        <w:rPr>
          <w:rFonts w:hint="eastAsia" w:ascii="仿宋" w:hAnsi="仿宋" w:eastAsia="仿宋"/>
          <w:color w:val="auto"/>
          <w:sz w:val="32"/>
          <w:szCs w:val="32"/>
        </w:rPr>
        <w:fldChar w:fldCharType="begin"/>
      </w:r>
      <w:r>
        <w:rPr>
          <w:rFonts w:hint="eastAsia" w:ascii="仿宋" w:hAnsi="仿宋" w:eastAsia="仿宋"/>
          <w:color w:val="auto"/>
          <w:sz w:val="32"/>
          <w:szCs w:val="32"/>
        </w:rPr>
        <w:instrText xml:space="preserve"> = 4 \* GB3 \* MERGEFORMAT </w:instrText>
      </w:r>
      <w:r>
        <w:rPr>
          <w:rFonts w:hint="eastAsia" w:ascii="仿宋" w:hAnsi="仿宋" w:eastAsia="仿宋"/>
          <w:color w:val="auto"/>
          <w:sz w:val="32"/>
          <w:szCs w:val="32"/>
        </w:rPr>
        <w:fldChar w:fldCharType="separate"/>
      </w:r>
      <w:r>
        <w:rPr>
          <w:rFonts w:ascii="仿宋" w:hAnsi="仿宋" w:eastAsia="仿宋"/>
          <w:color w:val="auto"/>
          <w:sz w:val="32"/>
          <w:szCs w:val="32"/>
        </w:rPr>
        <w:t>④</w:t>
      </w:r>
      <w:r>
        <w:rPr>
          <w:rFonts w:hint="eastAsia" w:ascii="仿宋" w:hAnsi="仿宋" w:eastAsia="仿宋"/>
          <w:color w:val="auto"/>
          <w:sz w:val="32"/>
          <w:szCs w:val="32"/>
        </w:rPr>
        <w:fldChar w:fldCharType="end"/>
      </w:r>
      <w:r>
        <w:rPr>
          <w:rFonts w:hint="eastAsia" w:ascii="仿宋" w:hAnsi="仿宋" w:eastAsia="仿宋"/>
          <w:color w:val="auto"/>
          <w:sz w:val="32"/>
          <w:szCs w:val="32"/>
        </w:rPr>
        <w:t>森林防火野外实训基地和防火检查站建设：建立森林防火野外实训基地1处，加强14个卡口防火检查站建设。</w:t>
      </w:r>
    </w:p>
    <w:p>
      <w:pPr>
        <w:spacing w:line="560" w:lineRule="exact"/>
        <w:ind w:firstLine="600"/>
        <w:rPr>
          <w:rFonts w:ascii="仿宋" w:hAnsi="仿宋" w:eastAsia="仿宋"/>
          <w:color w:val="auto"/>
          <w:sz w:val="32"/>
          <w:szCs w:val="32"/>
        </w:rPr>
      </w:pPr>
      <w:r>
        <w:rPr>
          <w:rFonts w:hint="eastAsia" w:ascii="仿宋" w:hAnsi="仿宋" w:eastAsia="仿宋"/>
          <w:color w:val="auto"/>
          <w:sz w:val="32"/>
          <w:szCs w:val="32"/>
        </w:rPr>
        <w:t>5.森林航空消防能力建设。规划建设飞行驻勤基地1个，修建野外停机坪6处，保护好13个取水点；野外停机坪分别位于西峡县、淅川县、内乡县、南召县、桐柏县和方城县。</w:t>
      </w:r>
    </w:p>
    <w:p>
      <w:pPr>
        <w:spacing w:line="560" w:lineRule="exact"/>
        <w:ind w:firstLine="600"/>
        <w:rPr>
          <w:rFonts w:ascii="仿宋" w:hAnsi="仿宋" w:eastAsia="仿宋"/>
          <w:color w:val="auto"/>
          <w:sz w:val="32"/>
          <w:szCs w:val="32"/>
        </w:rPr>
      </w:pPr>
      <w:r>
        <w:rPr>
          <w:rFonts w:hint="eastAsia" w:ascii="仿宋" w:hAnsi="仿宋" w:eastAsia="仿宋"/>
          <w:color w:val="auto"/>
          <w:sz w:val="32"/>
          <w:szCs w:val="32"/>
        </w:rPr>
        <w:t>6.森林防火应急道路和林火阻隔系统建设。①森林防火应急道路规划，建设林区Ⅲ级公路140千米，林区Ⅳ公路180千米；②建设林火阻隔系统145千米，其中防火线65千米，生物防火林带80千米，与森林防火应急道路有效结合，构筑完备的林火阻隔体系。</w:t>
      </w:r>
    </w:p>
    <w:p>
      <w:pPr>
        <w:pStyle w:val="2"/>
        <w:ind w:firstLine="640"/>
        <w:rPr>
          <w:rFonts w:ascii="仿宋" w:hAnsi="仿宋" w:eastAsia="仿宋"/>
          <w:color w:val="auto"/>
          <w:sz w:val="32"/>
          <w:szCs w:val="32"/>
        </w:rPr>
      </w:pPr>
      <w:r>
        <w:rPr>
          <w:rFonts w:hint="eastAsia" w:ascii="仿宋" w:hAnsi="仿宋" w:eastAsia="仿宋"/>
          <w:color w:val="auto"/>
          <w:sz w:val="32"/>
          <w:szCs w:val="32"/>
        </w:rPr>
        <w:t>7.森林防火宣传教育建设。①协调宣传、新闻、教育、文化、旅游、公安等部门及乡、镇和村民委员会,建立全方位、社会化的森林防火宣传教育网络体系；②开展多种形式的森防火传教育活动；</w:t>
      </w:r>
      <w:r>
        <w:rPr>
          <w:rFonts w:ascii="仿宋" w:hAnsi="仿宋" w:eastAsia="仿宋"/>
          <w:color w:val="auto"/>
          <w:sz w:val="32"/>
          <w:szCs w:val="32"/>
        </w:rPr>
        <w:t>③</w:t>
      </w:r>
      <w:r>
        <w:rPr>
          <w:rFonts w:hint="eastAsia" w:ascii="仿宋" w:hAnsi="仿宋" w:eastAsia="仿宋"/>
          <w:color w:val="auto"/>
          <w:sz w:val="32"/>
          <w:szCs w:val="32"/>
        </w:rPr>
        <w:t>编写、制作宣传资料；</w:t>
      </w:r>
      <w:r>
        <w:rPr>
          <w:rFonts w:hint="eastAsia" w:ascii="仿宋" w:hAnsi="仿宋" w:eastAsia="仿宋"/>
          <w:color w:val="auto"/>
          <w:sz w:val="32"/>
          <w:szCs w:val="32"/>
        </w:rPr>
        <w:fldChar w:fldCharType="begin"/>
      </w:r>
      <w:r>
        <w:rPr>
          <w:rFonts w:hint="eastAsia" w:ascii="仿宋" w:hAnsi="仿宋" w:eastAsia="仿宋"/>
          <w:color w:val="auto"/>
          <w:sz w:val="32"/>
          <w:szCs w:val="32"/>
        </w:rPr>
        <w:instrText xml:space="preserve"> = 4 \* GB3 \* MERGEFORMAT </w:instrText>
      </w:r>
      <w:r>
        <w:rPr>
          <w:rFonts w:hint="eastAsia" w:ascii="仿宋" w:hAnsi="仿宋" w:eastAsia="仿宋"/>
          <w:color w:val="auto"/>
          <w:sz w:val="32"/>
          <w:szCs w:val="32"/>
        </w:rPr>
        <w:fldChar w:fldCharType="separate"/>
      </w:r>
      <w:r>
        <w:rPr>
          <w:rFonts w:ascii="仿宋" w:hAnsi="仿宋" w:eastAsia="仿宋"/>
          <w:color w:val="auto"/>
          <w:sz w:val="32"/>
          <w:szCs w:val="32"/>
        </w:rPr>
        <w:t>④</w:t>
      </w:r>
      <w:r>
        <w:rPr>
          <w:rFonts w:hint="eastAsia" w:ascii="仿宋" w:hAnsi="仿宋" w:eastAsia="仿宋"/>
          <w:color w:val="auto"/>
          <w:sz w:val="32"/>
          <w:szCs w:val="32"/>
        </w:rPr>
        <w:fldChar w:fldCharType="end"/>
      </w:r>
      <w:r>
        <w:rPr>
          <w:rFonts w:hint="eastAsia" w:ascii="仿宋" w:hAnsi="仿宋" w:eastAsia="仿宋"/>
          <w:color w:val="auto"/>
          <w:sz w:val="32"/>
          <w:szCs w:val="32"/>
        </w:rPr>
        <w:t>改善宣传教育设施条件。</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（二）智慧林业系统建设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借助国储林项目，全市统一规划设计、统一标准、统一建设，分近期、中期、远期三个阶段，市、县区分别建设；项目建成后，实现视频监控、森林防火、视频会议、信息管理等多种功能与一体的智慧林业系统，实现“实时可查、即时可判、全程可溯、全域可控”。</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开展林业资源可视化监管，包括林业资源动态监管、林业资源变化预测、生态红线监测预警、林业生态安全评价等；开展林业生态工程可视化监管，包括林业工程综合监管、林业工程辅助决策、林业生态效益评估等；开展灾害预防可视化监管，包括森林火灾预防监管、有害生物监测防治等；林业产业服务可视化监管，包括生态旅游信息服务、林产品产销信息服务等；开展林业大数据可视化管理等。</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（三）国有林场建设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一是公益性基础设施建设。包括改扩建管护站点用房和修建道路。二是装备现代化建设。包括配备航空护林、无人机、视频监控等现代化装备，推进生态保护、营林生产、巡护监测等装备设施现代化。三是开展科研等相关工作。利用自身特点，充分发挥南阳地处南北过渡带的区位及物候条件优势，各林场加强沟通协调、密切配合，形成发展合力，开展科技研发等相关工作。</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（四）林业基层站所建设</w:t>
      </w:r>
    </w:p>
    <w:p>
      <w:pPr>
        <w:spacing w:line="560" w:lineRule="exact"/>
        <w:ind w:firstLine="600"/>
        <w:rPr>
          <w:rFonts w:ascii="仿宋" w:hAnsi="仿宋" w:eastAsia="仿宋" w:cs="仿宋"/>
          <w:color w:val="auto"/>
          <w:sz w:val="32"/>
          <w:szCs w:val="32"/>
        </w:rPr>
      </w:pPr>
      <w:r>
        <w:rPr>
          <w:rFonts w:hint="eastAsia" w:ascii="仿宋" w:hAnsi="仿宋" w:eastAsia="仿宋" w:cs="仿宋"/>
          <w:color w:val="auto"/>
          <w:sz w:val="32"/>
          <w:szCs w:val="32"/>
        </w:rPr>
        <w:t>按照国家建设标准，加强13个林业工作站标准化、规范化建设。</w:t>
      </w:r>
    </w:p>
    <w:p>
      <w:pPr>
        <w:spacing w:line="560" w:lineRule="exact"/>
        <w:ind w:firstLine="600"/>
        <w:rPr>
          <w:rFonts w:ascii="楷体" w:hAnsi="楷体" w:eastAsia="楷体" w:cs="楷体"/>
          <w:color w:val="auto"/>
          <w:sz w:val="32"/>
          <w:szCs w:val="32"/>
        </w:rPr>
      </w:pPr>
      <w:r>
        <w:rPr>
          <w:rFonts w:hint="eastAsia" w:ascii="楷体" w:hAnsi="楷体" w:eastAsia="楷体" w:cs="楷体"/>
          <w:color w:val="auto"/>
          <w:sz w:val="32"/>
          <w:szCs w:val="32"/>
        </w:rPr>
        <w:t>（五）人才队伍建设</w:t>
      </w:r>
    </w:p>
    <w:p>
      <w:pPr>
        <w:spacing w:line="560" w:lineRule="exact"/>
        <w:ind w:firstLine="600"/>
        <w:rPr>
          <w:rFonts w:hint="eastAsia" w:ascii="仿宋" w:hAnsi="仿宋" w:eastAsia="仿宋" w:cs="仿宋"/>
          <w:color w:val="auto"/>
          <w:sz w:val="32"/>
          <w:szCs w:val="32"/>
        </w:rPr>
      </w:pPr>
      <w:r>
        <w:rPr>
          <w:rFonts w:hint="eastAsia" w:ascii="仿宋" w:hAnsi="仿宋" w:eastAsia="仿宋" w:cs="仿宋"/>
          <w:color w:val="auto"/>
          <w:sz w:val="32"/>
          <w:szCs w:val="32"/>
        </w:rPr>
        <w:t>在全市林业系统培训技术与管理人员5万人次，培养高端人才10人，引进高级人才20人。</w:t>
      </w:r>
    </w:p>
    <w:bookmarkEnd w:id="44"/>
    <w:bookmarkEnd w:id="45"/>
    <w:p>
      <w:pPr>
        <w:jc w:val="center"/>
        <w:rPr>
          <w:rFonts w:ascii="黑体" w:hAnsi="黑体" w:eastAsia="黑体" w:cs="黑体"/>
          <w:color w:val="auto"/>
          <w:sz w:val="32"/>
          <w:szCs w:val="32"/>
        </w:rPr>
      </w:pPr>
      <w:bookmarkStart w:id="268" w:name="_Toc10877"/>
      <w:bookmarkStart w:id="269" w:name="_Toc363659006"/>
      <w:r>
        <w:rPr>
          <w:rFonts w:hint="eastAsia" w:ascii="黑体" w:hAnsi="黑体" w:eastAsia="黑体" w:cs="黑体"/>
          <w:color w:val="auto"/>
          <w:sz w:val="32"/>
          <w:szCs w:val="32"/>
        </w:rPr>
        <w:br w:type="page"/>
      </w:r>
    </w:p>
    <w:p>
      <w:pPr>
        <w:pStyle w:val="3"/>
        <w:rPr>
          <w:color w:val="auto"/>
        </w:rPr>
      </w:pPr>
      <w:bookmarkStart w:id="270" w:name="_Toc20706"/>
      <w:bookmarkStart w:id="271" w:name="_Toc30612"/>
      <w:bookmarkStart w:id="272" w:name="_Toc9134"/>
      <w:bookmarkStart w:id="273" w:name="_Toc16281"/>
      <w:bookmarkStart w:id="274" w:name="_Toc28551"/>
      <w:bookmarkStart w:id="275" w:name="_Toc15514"/>
      <w:bookmarkStart w:id="276" w:name="_Toc22709"/>
      <w:bookmarkStart w:id="277" w:name="_Toc15403"/>
      <w:r>
        <w:rPr>
          <w:rFonts w:hint="eastAsia"/>
          <w:color w:val="auto"/>
        </w:rPr>
        <w:t>第</w:t>
      </w:r>
      <w:r>
        <w:rPr>
          <w:rFonts w:hint="eastAsia"/>
          <w:color w:val="auto"/>
          <w:lang w:val="en-US" w:eastAsia="zh-CN"/>
        </w:rPr>
        <w:t>四</w:t>
      </w:r>
      <w:r>
        <w:rPr>
          <w:rFonts w:hint="eastAsia"/>
          <w:color w:val="auto"/>
        </w:rPr>
        <w:t>章  保障措施</w:t>
      </w:r>
      <w:bookmarkEnd w:id="268"/>
      <w:bookmarkEnd w:id="269"/>
      <w:bookmarkEnd w:id="270"/>
      <w:bookmarkEnd w:id="271"/>
      <w:bookmarkEnd w:id="272"/>
      <w:bookmarkEnd w:id="273"/>
      <w:bookmarkEnd w:id="274"/>
      <w:bookmarkEnd w:id="275"/>
      <w:bookmarkEnd w:id="276"/>
      <w:bookmarkEnd w:id="277"/>
    </w:p>
    <w:p>
      <w:pPr>
        <w:rPr>
          <w:color w:val="auto"/>
        </w:rPr>
      </w:pPr>
    </w:p>
    <w:p>
      <w:pPr>
        <w:spacing w:line="600" w:lineRule="exact"/>
        <w:ind w:firstLine="640" w:firstLineChars="200"/>
        <w:rPr>
          <w:rFonts w:ascii="仿宋" w:hAnsi="仿宋" w:eastAsia="仿宋" w:cs="Arial"/>
          <w:color w:val="auto"/>
          <w:sz w:val="32"/>
          <w:szCs w:val="32"/>
          <w:shd w:val="clear" w:color="auto" w:fill="FFFFFF"/>
        </w:rPr>
      </w:pPr>
      <w:r>
        <w:rPr>
          <w:rFonts w:hint="eastAsia" w:ascii="仿宋" w:hAnsi="仿宋" w:eastAsia="仿宋" w:cs="Arial"/>
          <w:color w:val="auto"/>
          <w:sz w:val="32"/>
          <w:szCs w:val="32"/>
          <w:shd w:val="clear" w:color="auto" w:fill="FFFFFF"/>
        </w:rPr>
        <w:t>坚持党的全面领导，上下一心、协同推进，形成林业融合发展的强大合力，确保规划落</w:t>
      </w:r>
      <w:r>
        <w:rPr>
          <w:rFonts w:hint="eastAsia" w:ascii="仿宋" w:hAnsi="仿宋" w:eastAsia="仿宋" w:cs="Arial"/>
          <w:color w:val="auto"/>
          <w:sz w:val="32"/>
          <w:szCs w:val="32"/>
          <w:shd w:val="clear" w:color="auto" w:fill="FFFFFF"/>
          <w:lang w:eastAsia="zh-CN"/>
        </w:rPr>
        <w:t>实落</w:t>
      </w:r>
      <w:r>
        <w:rPr>
          <w:rFonts w:hint="eastAsia" w:ascii="仿宋" w:hAnsi="仿宋" w:eastAsia="仿宋" w:cs="Arial"/>
          <w:color w:val="auto"/>
          <w:sz w:val="32"/>
          <w:szCs w:val="32"/>
          <w:shd w:val="clear" w:color="auto" w:fill="FFFFFF"/>
        </w:rPr>
        <w:t>地、顺利实施。</w:t>
      </w:r>
    </w:p>
    <w:p>
      <w:pPr>
        <w:pStyle w:val="2"/>
        <w:rPr>
          <w:color w:val="auto"/>
        </w:rPr>
      </w:pPr>
    </w:p>
    <w:p>
      <w:pPr>
        <w:pStyle w:val="4"/>
        <w:numPr>
          <w:ilvl w:val="0"/>
          <w:numId w:val="4"/>
        </w:numPr>
        <w:rPr>
          <w:color w:val="auto"/>
        </w:rPr>
      </w:pPr>
      <w:bookmarkStart w:id="278" w:name="_Toc30770"/>
      <w:bookmarkStart w:id="279" w:name="_Toc12710"/>
      <w:bookmarkStart w:id="280" w:name="_Toc18285"/>
      <w:bookmarkStart w:id="281" w:name="_Toc11227"/>
      <w:bookmarkStart w:id="282" w:name="_Toc16499"/>
      <w:bookmarkStart w:id="283" w:name="_Toc27483"/>
      <w:bookmarkStart w:id="284" w:name="_Toc31609"/>
      <w:bookmarkStart w:id="285" w:name="_Toc30259"/>
      <w:bookmarkStart w:id="286" w:name="_Toc7833"/>
      <w:r>
        <w:rPr>
          <w:color w:val="auto"/>
        </w:rPr>
        <w:t>加强党的领导</w:t>
      </w:r>
      <w:bookmarkEnd w:id="278"/>
    </w:p>
    <w:p>
      <w:pPr>
        <w:numPr>
          <w:ilvl w:val="0"/>
          <w:numId w:val="0"/>
        </w:numPr>
        <w:rPr>
          <w:color w:val="auto"/>
        </w:rPr>
      </w:pPr>
    </w:p>
    <w:p>
      <w:pPr>
        <w:spacing w:line="600" w:lineRule="exact"/>
        <w:ind w:firstLine="640" w:firstLineChars="200"/>
        <w:rPr>
          <w:color w:val="auto"/>
        </w:rPr>
      </w:pPr>
      <w:r>
        <w:rPr>
          <w:rFonts w:hint="eastAsia" w:ascii="仿宋" w:hAnsi="仿宋" w:eastAsia="仿宋" w:cs="Arial"/>
          <w:color w:val="auto"/>
          <w:sz w:val="32"/>
          <w:szCs w:val="32"/>
          <w:shd w:val="clear" w:color="auto" w:fill="FFFFFF"/>
        </w:rPr>
        <w:t>推动全市林业系统深入学习贯彻习近平新时代中国特色社会主义思想，增强“四个意识”、坚定“四个自信”、做到“两个维护”。把深入贯彻落实习近平总书记</w:t>
      </w:r>
      <w:r>
        <w:rPr>
          <w:rFonts w:hint="eastAsia" w:ascii="仿宋" w:hAnsi="仿宋" w:eastAsia="仿宋" w:cs="Arial"/>
          <w:color w:val="auto"/>
          <w:sz w:val="32"/>
          <w:szCs w:val="32"/>
          <w:shd w:val="clear" w:color="auto" w:fill="FFFFFF"/>
          <w:lang w:eastAsia="zh-CN"/>
        </w:rPr>
        <w:t>视察南阳</w:t>
      </w:r>
      <w:r>
        <w:rPr>
          <w:rFonts w:hint="eastAsia" w:ascii="仿宋" w:hAnsi="仿宋" w:eastAsia="仿宋" w:cs="Arial"/>
          <w:color w:val="auto"/>
          <w:sz w:val="32"/>
          <w:szCs w:val="32"/>
          <w:shd w:val="clear" w:color="auto" w:fill="FFFFFF"/>
        </w:rPr>
        <w:t>重要讲话指示精神，</w:t>
      </w:r>
      <w:r>
        <w:rPr>
          <w:rFonts w:ascii="仿宋" w:hAnsi="仿宋" w:eastAsia="仿宋" w:cs="Arial"/>
          <w:color w:val="auto"/>
          <w:sz w:val="32"/>
          <w:szCs w:val="32"/>
          <w:shd w:val="clear" w:color="auto" w:fill="FFFFFF"/>
        </w:rPr>
        <w:t>作为规划实施的方向引领和政治保障，强化政治意识，站稳</w:t>
      </w:r>
      <w:r>
        <w:rPr>
          <w:rFonts w:hint="eastAsia" w:ascii="仿宋" w:hAnsi="仿宋" w:eastAsia="仿宋" w:cs="Arial"/>
          <w:color w:val="auto"/>
          <w:sz w:val="32"/>
          <w:szCs w:val="32"/>
          <w:shd w:val="clear" w:color="auto" w:fill="FFFFFF"/>
        </w:rPr>
        <w:t>政治</w:t>
      </w:r>
      <w:r>
        <w:rPr>
          <w:rFonts w:ascii="仿宋" w:hAnsi="仿宋" w:eastAsia="仿宋" w:cs="Arial"/>
          <w:color w:val="auto"/>
          <w:sz w:val="32"/>
          <w:szCs w:val="32"/>
          <w:shd w:val="clear" w:color="auto" w:fill="FFFFFF"/>
        </w:rPr>
        <w:t>立场，完善上下贯通、执行有力的组织体系，</w:t>
      </w:r>
      <w:r>
        <w:rPr>
          <w:rFonts w:hint="eastAsia" w:ascii="仿宋" w:hAnsi="仿宋" w:eastAsia="仿宋" w:cs="Arial"/>
          <w:color w:val="auto"/>
          <w:sz w:val="32"/>
          <w:szCs w:val="32"/>
          <w:shd w:val="clear" w:color="auto" w:fill="FFFFFF"/>
        </w:rPr>
        <w:t>着力</w:t>
      </w:r>
      <w:r>
        <w:rPr>
          <w:rFonts w:ascii="仿宋" w:hAnsi="仿宋" w:eastAsia="仿宋" w:cs="Arial"/>
          <w:color w:val="auto"/>
          <w:sz w:val="32"/>
          <w:szCs w:val="32"/>
          <w:shd w:val="clear" w:color="auto" w:fill="FFFFFF"/>
        </w:rPr>
        <w:t>解决林业发展中跨部门、跨行业的重大问题。</w:t>
      </w:r>
      <w:bookmarkEnd w:id="279"/>
      <w:bookmarkEnd w:id="280"/>
      <w:bookmarkEnd w:id="281"/>
      <w:bookmarkEnd w:id="282"/>
      <w:bookmarkEnd w:id="283"/>
      <w:bookmarkEnd w:id="284"/>
      <w:bookmarkEnd w:id="285"/>
      <w:bookmarkEnd w:id="286"/>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按照“党政同责”“一岗双责”的要求，实行党政领导林业生态建设目标责任制，通过层层签订责任状，逐级明确各级政府实施规划的主体责任。严格落实《党政领导干部生态环境损害责任追究办法(试行)》，实行领导干部生态环境损害责任终身追究制度，编制林业资源资产负债表，实行领导干部林业资源资产审计。</w:t>
      </w:r>
      <w:r>
        <w:rPr>
          <w:rFonts w:ascii="仿宋" w:hAnsi="仿宋" w:eastAsia="仿宋" w:cs="Arial"/>
          <w:color w:val="auto"/>
          <w:sz w:val="32"/>
          <w:szCs w:val="32"/>
          <w:shd w:val="clear" w:color="auto" w:fill="FFFFFF"/>
        </w:rPr>
        <w:t>按照“分级负责”原则，构建市县乡村</w:t>
      </w:r>
      <w:r>
        <w:rPr>
          <w:rFonts w:hint="eastAsia" w:ascii="仿宋" w:hAnsi="仿宋" w:eastAsia="仿宋" w:cs="Arial"/>
          <w:color w:val="auto"/>
          <w:sz w:val="32"/>
          <w:szCs w:val="32"/>
          <w:shd w:val="clear" w:color="auto" w:fill="FFFFFF"/>
        </w:rPr>
        <w:t>四</w:t>
      </w:r>
      <w:r>
        <w:rPr>
          <w:rFonts w:ascii="仿宋" w:hAnsi="仿宋" w:eastAsia="仿宋" w:cs="Arial"/>
          <w:color w:val="auto"/>
          <w:sz w:val="32"/>
          <w:szCs w:val="32"/>
          <w:shd w:val="clear" w:color="auto" w:fill="FFFFFF"/>
        </w:rPr>
        <w:t>级林长制体系，各级</w:t>
      </w:r>
      <w:r>
        <w:rPr>
          <w:color w:val="auto"/>
        </w:rPr>
        <w:fldChar w:fldCharType="begin"/>
      </w:r>
      <w:r>
        <w:rPr>
          <w:color w:val="auto"/>
        </w:rPr>
        <w:instrText xml:space="preserve"> HYPERLINK "https://baike.baidu.com/item/%E6%9E%97%E9%95%BF/4535183" \t "_blank" </w:instrText>
      </w:r>
      <w:r>
        <w:rPr>
          <w:color w:val="auto"/>
        </w:rPr>
        <w:fldChar w:fldCharType="separate"/>
      </w:r>
      <w:r>
        <w:rPr>
          <w:rFonts w:ascii="仿宋" w:hAnsi="仿宋" w:eastAsia="仿宋" w:cs="Arial"/>
          <w:color w:val="auto"/>
          <w:sz w:val="32"/>
          <w:szCs w:val="32"/>
          <w:shd w:val="clear" w:color="auto" w:fill="FFFFFF"/>
        </w:rPr>
        <w:t>林长</w:t>
      </w:r>
      <w:r>
        <w:rPr>
          <w:rFonts w:ascii="仿宋" w:hAnsi="仿宋" w:eastAsia="仿宋" w:cs="Arial"/>
          <w:color w:val="auto"/>
          <w:sz w:val="32"/>
          <w:szCs w:val="32"/>
          <w:shd w:val="clear" w:color="auto" w:fill="FFFFFF"/>
        </w:rPr>
        <w:fldChar w:fldCharType="end"/>
      </w:r>
      <w:r>
        <w:rPr>
          <w:rFonts w:ascii="仿宋" w:hAnsi="仿宋" w:eastAsia="仿宋" w:cs="Arial"/>
          <w:color w:val="auto"/>
          <w:sz w:val="32"/>
          <w:szCs w:val="32"/>
          <w:shd w:val="clear" w:color="auto" w:fill="FFFFFF"/>
        </w:rPr>
        <w:t>负责督促指导本责任区内森林资源保护发展工作，协调解决森林资源保护发展重大问题，依法查处各类破坏</w:t>
      </w:r>
      <w:r>
        <w:rPr>
          <w:color w:val="auto"/>
        </w:rPr>
        <w:fldChar w:fldCharType="begin"/>
      </w:r>
      <w:r>
        <w:rPr>
          <w:color w:val="auto"/>
        </w:rPr>
        <w:instrText xml:space="preserve"> HYPERLINK "https://baike.baidu.com/item/%E6%A3%AE%E6%9E%97%E8%B5%84%E6%BA%90/1665108" \t "_blank" </w:instrText>
      </w:r>
      <w:r>
        <w:rPr>
          <w:color w:val="auto"/>
        </w:rPr>
        <w:fldChar w:fldCharType="separate"/>
      </w:r>
      <w:r>
        <w:rPr>
          <w:rFonts w:ascii="仿宋" w:hAnsi="仿宋" w:eastAsia="仿宋" w:cs="Arial"/>
          <w:color w:val="auto"/>
          <w:sz w:val="32"/>
          <w:szCs w:val="32"/>
          <w:shd w:val="clear" w:color="auto" w:fill="FFFFFF"/>
        </w:rPr>
        <w:t>森林资源</w:t>
      </w:r>
      <w:r>
        <w:rPr>
          <w:rFonts w:ascii="仿宋" w:hAnsi="仿宋" w:eastAsia="仿宋" w:cs="Arial"/>
          <w:color w:val="auto"/>
          <w:sz w:val="32"/>
          <w:szCs w:val="32"/>
          <w:shd w:val="clear" w:color="auto" w:fill="FFFFFF"/>
        </w:rPr>
        <w:fldChar w:fldCharType="end"/>
      </w:r>
      <w:r>
        <w:rPr>
          <w:rFonts w:ascii="仿宋" w:hAnsi="仿宋" w:eastAsia="仿宋" w:cs="Arial"/>
          <w:color w:val="auto"/>
          <w:sz w:val="32"/>
          <w:szCs w:val="32"/>
          <w:shd w:val="clear" w:color="auto" w:fill="FFFFFF"/>
        </w:rPr>
        <w:t>的违法犯罪行为</w:t>
      </w:r>
      <w:r>
        <w:rPr>
          <w:rFonts w:ascii="Calibri" w:hAnsi="Calibri" w:eastAsia="仿宋" w:cs="Calibri"/>
          <w:color w:val="auto"/>
          <w:sz w:val="32"/>
          <w:szCs w:val="32"/>
          <w:shd w:val="clear" w:color="auto" w:fill="FFFFFF"/>
        </w:rPr>
        <w:t>  </w:t>
      </w:r>
      <w:r>
        <w:rPr>
          <w:rFonts w:ascii="仿宋" w:hAnsi="仿宋" w:eastAsia="仿宋" w:cs="Arial"/>
          <w:color w:val="auto"/>
          <w:sz w:val="32"/>
          <w:szCs w:val="32"/>
          <w:shd w:val="clear" w:color="auto" w:fill="FFFFFF"/>
        </w:rPr>
        <w:t>。</w:t>
      </w:r>
      <w:r>
        <w:rPr>
          <w:rFonts w:hint="eastAsia" w:ascii="仿宋" w:hAnsi="仿宋" w:eastAsia="仿宋" w:cs="仿宋"/>
          <w:color w:val="auto"/>
          <w:sz w:val="32"/>
          <w:szCs w:val="40"/>
        </w:rPr>
        <w:t>加强目标责任考核，各级党委政府要把林业生态建设目标责任落实情况作为对地方党政领导干部综合考核的重要依据，确保规划落实到位、任务落地、责任到人。</w:t>
      </w:r>
    </w:p>
    <w:p>
      <w:pPr>
        <w:ind w:firstLine="640" w:firstLineChars="200"/>
        <w:rPr>
          <w:rFonts w:ascii="仿宋_GB2312" w:hAnsi="仿宋_GB2312" w:eastAsia="仿宋_GB2312" w:cs="仿宋_GB2312"/>
          <w:color w:val="auto"/>
          <w:sz w:val="32"/>
          <w:szCs w:val="32"/>
        </w:rPr>
      </w:pPr>
    </w:p>
    <w:p>
      <w:pPr>
        <w:pStyle w:val="4"/>
        <w:rPr>
          <w:color w:val="auto"/>
        </w:rPr>
      </w:pPr>
      <w:bookmarkStart w:id="287" w:name="_Toc5747"/>
      <w:bookmarkStart w:id="288" w:name="_Toc6977"/>
      <w:bookmarkStart w:id="289" w:name="_Toc31569"/>
      <w:bookmarkStart w:id="290" w:name="_Toc23344"/>
      <w:bookmarkStart w:id="291" w:name="_Toc3306"/>
      <w:bookmarkStart w:id="292" w:name="_Toc12006"/>
      <w:bookmarkStart w:id="293" w:name="_Toc209"/>
      <w:bookmarkStart w:id="294" w:name="_Toc16773"/>
      <w:bookmarkStart w:id="295" w:name="_Toc25665"/>
      <w:r>
        <w:rPr>
          <w:rFonts w:hint="eastAsia"/>
          <w:color w:val="auto"/>
        </w:rPr>
        <w:t>第</w:t>
      </w:r>
      <w:r>
        <w:rPr>
          <w:rFonts w:hint="eastAsia"/>
          <w:color w:val="auto"/>
          <w:lang w:val="en-US" w:eastAsia="zh-CN"/>
        </w:rPr>
        <w:t>二</w:t>
      </w:r>
      <w:r>
        <w:rPr>
          <w:rFonts w:hint="eastAsia"/>
          <w:color w:val="auto"/>
        </w:rPr>
        <w:t>节  加大资金投入</w:t>
      </w:r>
      <w:bookmarkEnd w:id="287"/>
      <w:bookmarkEnd w:id="288"/>
      <w:bookmarkEnd w:id="289"/>
      <w:bookmarkEnd w:id="290"/>
      <w:bookmarkEnd w:id="291"/>
      <w:bookmarkEnd w:id="292"/>
      <w:bookmarkEnd w:id="293"/>
      <w:bookmarkEnd w:id="294"/>
      <w:bookmarkEnd w:id="295"/>
    </w:p>
    <w:p>
      <w:pPr>
        <w:rPr>
          <w:color w:val="auto"/>
        </w:rPr>
      </w:pPr>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积极争取国家、省级项目财政资金，加大市、县财政投入力度，建立与社会经济发展相适应的林业生态和基础设施建设投入保障制度。增加营造林投资规模，逐步提高补助标准。将新造林抚育纳入林业补助范围，并按照抚育措施实行差别化的补贴政策。加大对林业基础设施及林业灾害监测防控投资力度。探索建立林下经济补助扶持机制。健全生态保护补偿机制，根据生态区位、资源状况、保护难度等，实行森林、湿地等差别化补偿机制，探索建立与财力增长、工资物价水平、生态服务价值等相挂钩的动态补偿机制，探索农田防护林生态效益补偿方式。严格落实自然保护区、森林公园等国家禁止开发区转移支付资金，加大转移支付资金支持生态保护与修复的力度。加大金融扶持力度，积极引导金融机构开发贷款期和宽限期长、利率优惠、手续简便、服务完善等适应林业特点的金融产品。鼓励建立合作社信用联盟、探索开展林区微型金融和农户互助金融。完善林权抵押贷款管理，建立健全林权抵押物的担保收储平台。完善森林资源资产抵押与交易平台。积极引导社会资金和</w:t>
      </w:r>
      <w:r>
        <w:rPr>
          <w:rFonts w:hint="eastAsia" w:ascii="仿宋" w:hAnsi="仿宋" w:eastAsia="仿宋" w:cs="仿宋"/>
          <w:color w:val="auto"/>
          <w:sz w:val="32"/>
          <w:szCs w:val="40"/>
          <w:lang w:eastAsia="zh-CN"/>
        </w:rPr>
        <w:t>德国促进贷款河南省碳汇林业发展项目、</w:t>
      </w:r>
      <w:r>
        <w:rPr>
          <w:rFonts w:hint="eastAsia" w:ascii="仿宋" w:hAnsi="仿宋" w:eastAsia="仿宋" w:cs="仿宋"/>
          <w:color w:val="auto"/>
          <w:sz w:val="32"/>
          <w:szCs w:val="40"/>
        </w:rPr>
        <w:t>欧投项目贷款等外资投入林业建设，组织实施好国储林项目，大力推进政府与社会资本合作（PPP）模式。</w:t>
      </w:r>
    </w:p>
    <w:p>
      <w:pPr>
        <w:rPr>
          <w:rFonts w:ascii="仿宋_GB2312" w:hAnsi="仿宋_GB2312" w:eastAsia="仿宋_GB2312" w:cs="仿宋_GB2312"/>
          <w:color w:val="auto"/>
          <w:sz w:val="32"/>
          <w:szCs w:val="32"/>
        </w:rPr>
      </w:pPr>
    </w:p>
    <w:p>
      <w:pPr>
        <w:pStyle w:val="4"/>
        <w:rPr>
          <w:color w:val="auto"/>
        </w:rPr>
      </w:pPr>
      <w:bookmarkStart w:id="296" w:name="_Toc12240"/>
      <w:bookmarkStart w:id="297" w:name="_Toc5581"/>
      <w:bookmarkStart w:id="298" w:name="_Toc1797"/>
      <w:bookmarkStart w:id="299" w:name="_Toc17257"/>
      <w:bookmarkStart w:id="300" w:name="_Toc23320"/>
      <w:bookmarkStart w:id="301" w:name="_Toc24774"/>
      <w:bookmarkStart w:id="302" w:name="_Toc334"/>
      <w:bookmarkStart w:id="303" w:name="_Toc11338"/>
      <w:bookmarkStart w:id="304" w:name="_Toc6352"/>
      <w:r>
        <w:rPr>
          <w:rFonts w:hint="eastAsia"/>
          <w:color w:val="auto"/>
        </w:rPr>
        <w:t>第</w:t>
      </w:r>
      <w:r>
        <w:rPr>
          <w:rFonts w:hint="eastAsia"/>
          <w:color w:val="auto"/>
          <w:lang w:val="en-US" w:eastAsia="zh-CN"/>
        </w:rPr>
        <w:t>三</w:t>
      </w:r>
      <w:r>
        <w:rPr>
          <w:rFonts w:hint="eastAsia"/>
          <w:color w:val="auto"/>
        </w:rPr>
        <w:t>节  注重政策扶持</w:t>
      </w:r>
      <w:bookmarkEnd w:id="296"/>
      <w:bookmarkEnd w:id="297"/>
      <w:bookmarkEnd w:id="298"/>
      <w:bookmarkEnd w:id="299"/>
      <w:bookmarkEnd w:id="300"/>
      <w:bookmarkEnd w:id="301"/>
      <w:bookmarkEnd w:id="302"/>
      <w:bookmarkEnd w:id="303"/>
    </w:p>
    <w:p>
      <w:pPr>
        <w:rPr>
          <w:color w:val="auto"/>
        </w:rPr>
      </w:pPr>
    </w:p>
    <w:p>
      <w:pPr>
        <w:ind w:firstLine="640" w:firstLineChars="200"/>
        <w:rPr>
          <w:rFonts w:ascii="仿宋" w:hAnsi="仿宋" w:eastAsia="仿宋" w:cs="仿宋"/>
          <w:color w:val="auto"/>
          <w:sz w:val="32"/>
          <w:szCs w:val="40"/>
        </w:rPr>
      </w:pPr>
      <w:r>
        <w:rPr>
          <w:rFonts w:hint="eastAsia" w:ascii="仿宋" w:hAnsi="仿宋" w:eastAsia="仿宋" w:cs="仿宋"/>
          <w:color w:val="auto"/>
          <w:sz w:val="32"/>
          <w:szCs w:val="40"/>
        </w:rPr>
        <w:t>一是进一步建立健全以奖代补机制。对高标准完成年度林业工作目标且综合考核排名前列，森林城市、湿地公园、森林公园、国家级森林乡村、林业产业化集群、优质林果建设和造林质量等成绩突出的地方，给予一定的奖励和补助资金；对未完成目标任务且综合性考核排名倒数的进行处罚，做到奖优罚劣、奖惩分明，树立明确的工作导向，切实调动各地推进林业生态建设工作的积极性和主动性。二是深化林业产权改革。积极探索“政府出地、市场运作、企业投资、农民受益”的造林机制，以机制创新从源头上解决集体林地“三权分置”问题。坚持资源有价、交易有市、管理有法、经营有偿的原则，深入探索全面盘活资源、充分发挥集体林地综合效益的有效途径。探索通过置换、赎买、租赁、入股等形式收储重点区位商品林。三是落实优惠和扶持政策。</w:t>
      </w:r>
      <w:r>
        <w:rPr>
          <w:rFonts w:ascii="仿宋" w:hAnsi="仿宋" w:eastAsia="仿宋" w:cs="仿宋"/>
          <w:color w:val="auto"/>
          <w:sz w:val="32"/>
          <w:szCs w:val="40"/>
        </w:rPr>
        <w:t>建立市场化、多元化资金投入机制，完善森林草原资源生态保护修复财政扶持政策</w:t>
      </w:r>
      <w:r>
        <w:rPr>
          <w:rFonts w:hint="eastAsia" w:ascii="仿宋" w:hAnsi="仿宋" w:eastAsia="仿宋" w:cs="仿宋"/>
          <w:color w:val="auto"/>
          <w:sz w:val="32"/>
          <w:szCs w:val="40"/>
        </w:rPr>
        <w:t>，对社会投资主体制定扶持政策，解决前期投入无效益、土地流转等问题。用足、用活、用好目前收策性贷款和贴息贷款政策，对符合条件的社会投资团体，保证其享受有关税收优惠和国家相关扶持政策。进一步深入研究土地、税收、融资等方面的扶持政策，释放政策红利，激发全社会参与、支持林业生态建设的积极性和主动性。四是制定和完善相关社会化服务政策。完善林业贷款贴息政策，加大贴息投入力度。完善森林保险制度，扩大森林保险范围。</w:t>
      </w:r>
    </w:p>
    <w:p>
      <w:pPr>
        <w:pStyle w:val="2"/>
        <w:rPr>
          <w:color w:val="auto"/>
        </w:rPr>
      </w:pPr>
    </w:p>
    <w:p>
      <w:pPr>
        <w:pStyle w:val="4"/>
        <w:rPr>
          <w:color w:val="auto"/>
        </w:rPr>
      </w:pPr>
      <w:bookmarkStart w:id="305" w:name="_Toc20190"/>
      <w:bookmarkStart w:id="306" w:name="_Toc16365"/>
      <w:bookmarkStart w:id="307" w:name="_Toc13595"/>
      <w:bookmarkStart w:id="308" w:name="_Toc21964"/>
      <w:bookmarkStart w:id="309" w:name="_Toc13228"/>
      <w:bookmarkStart w:id="310" w:name="_Toc12386"/>
      <w:bookmarkStart w:id="311" w:name="_Toc19906"/>
      <w:bookmarkStart w:id="312" w:name="_Toc16004"/>
      <w:r>
        <w:rPr>
          <w:rFonts w:hint="eastAsia"/>
          <w:color w:val="auto"/>
        </w:rPr>
        <w:t>第</w:t>
      </w:r>
      <w:r>
        <w:rPr>
          <w:rFonts w:hint="eastAsia"/>
          <w:color w:val="auto"/>
          <w:lang w:val="en-US" w:eastAsia="zh-CN"/>
        </w:rPr>
        <w:t>四</w:t>
      </w:r>
      <w:r>
        <w:rPr>
          <w:rFonts w:hint="eastAsia"/>
          <w:color w:val="auto"/>
        </w:rPr>
        <w:t>节  健全机构队伍</w:t>
      </w:r>
      <w:bookmarkEnd w:id="304"/>
      <w:bookmarkEnd w:id="305"/>
      <w:bookmarkEnd w:id="306"/>
      <w:bookmarkEnd w:id="307"/>
      <w:bookmarkEnd w:id="308"/>
      <w:bookmarkEnd w:id="309"/>
      <w:bookmarkEnd w:id="310"/>
      <w:bookmarkEnd w:id="311"/>
      <w:bookmarkEnd w:id="312"/>
    </w:p>
    <w:p>
      <w:pPr>
        <w:rPr>
          <w:color w:val="auto"/>
        </w:rPr>
      </w:pPr>
    </w:p>
    <w:p>
      <w:pPr>
        <w:spacing w:line="560" w:lineRule="exact"/>
        <w:ind w:firstLine="600"/>
        <w:rPr>
          <w:rFonts w:ascii="仿宋" w:hAnsi="仿宋" w:eastAsia="仿宋" w:cs="仿宋"/>
          <w:color w:val="auto"/>
          <w:sz w:val="32"/>
          <w:szCs w:val="40"/>
        </w:rPr>
      </w:pPr>
      <w:r>
        <w:rPr>
          <w:rFonts w:hint="eastAsia" w:ascii="仿宋" w:hAnsi="仿宋" w:eastAsia="仿宋" w:cs="仿宋"/>
          <w:color w:val="auto"/>
          <w:sz w:val="32"/>
          <w:szCs w:val="40"/>
        </w:rPr>
        <w:t>强化各级林业行政管理机构职能，改善基层工作和生态条件，稳定健全林业基层生产、技术、管理队伍。统筹各类队伍建设，提升林业队伍整体素质。以坚定理想信念为根本，以队伍能力提升为重点，大幅度提升公务员队伍整体素质；以能力建设为核心，以高层次创新型林业专业技术人才为重点，有计划、分类别、分层次开展大规模的继续教育活动，加快实施专业技术人才知识更新工程，不断提高林业专业技术人才队伍的创新能力和整体素质；加强技师、高级技师培养，造就一批高技能林业人才。加强林业职业教育工作，对基层林业职工进行培训、轮训，进一步提升林业职工技能水平；以新成长劳动力和农村转移劳动力为重点，建立健全以职业林农为主体的基层实用人才培养机制，提升基层实用人才致富创业能力。建立林业人才绿色通道，打造能够引进来、留得住的高层次林业人才引进机制，建立高层次人才库。</w:t>
      </w:r>
    </w:p>
    <w:p>
      <w:pPr>
        <w:ind w:firstLine="640" w:firstLineChars="200"/>
        <w:rPr>
          <w:rFonts w:ascii="仿宋_GB2312" w:hAnsi="仿宋_GB2312" w:eastAsia="仿宋_GB2312" w:cs="仿宋_GB2312"/>
          <w:color w:val="auto"/>
          <w:sz w:val="32"/>
          <w:szCs w:val="32"/>
        </w:rPr>
      </w:pPr>
    </w:p>
    <w:p>
      <w:pPr>
        <w:pStyle w:val="4"/>
        <w:rPr>
          <w:color w:val="auto"/>
        </w:rPr>
      </w:pPr>
      <w:bookmarkStart w:id="313" w:name="_Toc11922"/>
      <w:bookmarkStart w:id="314" w:name="_Toc16543"/>
      <w:bookmarkStart w:id="315" w:name="_Toc1234"/>
      <w:bookmarkStart w:id="316" w:name="_Toc22822"/>
      <w:bookmarkStart w:id="317" w:name="_Toc11157"/>
      <w:bookmarkStart w:id="318" w:name="_Toc29072"/>
      <w:bookmarkStart w:id="319" w:name="_Toc22837"/>
      <w:bookmarkStart w:id="320" w:name="_Toc18690"/>
      <w:bookmarkStart w:id="321" w:name="_Toc25090"/>
      <w:r>
        <w:rPr>
          <w:rFonts w:hint="eastAsia"/>
          <w:color w:val="auto"/>
        </w:rPr>
        <w:t>第</w:t>
      </w:r>
      <w:r>
        <w:rPr>
          <w:rFonts w:hint="eastAsia"/>
          <w:color w:val="auto"/>
          <w:lang w:val="en-US" w:eastAsia="zh-CN"/>
        </w:rPr>
        <w:t>五</w:t>
      </w:r>
      <w:r>
        <w:rPr>
          <w:rFonts w:hint="eastAsia"/>
          <w:color w:val="auto"/>
        </w:rPr>
        <w:t>节  强化依法治林</w:t>
      </w:r>
      <w:bookmarkEnd w:id="313"/>
      <w:bookmarkEnd w:id="314"/>
      <w:bookmarkEnd w:id="315"/>
      <w:bookmarkEnd w:id="316"/>
      <w:bookmarkEnd w:id="317"/>
      <w:bookmarkEnd w:id="318"/>
      <w:bookmarkEnd w:id="319"/>
      <w:bookmarkEnd w:id="320"/>
      <w:bookmarkEnd w:id="321"/>
    </w:p>
    <w:p>
      <w:pPr>
        <w:rPr>
          <w:color w:val="auto"/>
        </w:rPr>
      </w:pPr>
    </w:p>
    <w:p>
      <w:pPr>
        <w:spacing w:line="560" w:lineRule="exact"/>
        <w:ind w:firstLine="600"/>
        <w:rPr>
          <w:rFonts w:hint="eastAsia" w:ascii="仿宋" w:hAnsi="仿宋" w:eastAsia="仿宋" w:cs="仿宋"/>
          <w:color w:val="auto"/>
          <w:sz w:val="32"/>
          <w:szCs w:val="40"/>
          <w:lang w:eastAsia="zh-CN"/>
        </w:rPr>
        <w:sectPr>
          <w:headerReference r:id="rId5" w:type="default"/>
          <w:footerReference r:id="rId6" w:type="default"/>
          <w:pgSz w:w="11906" w:h="16838"/>
          <w:pgMar w:top="1440" w:right="1701" w:bottom="1440" w:left="1701" w:header="851" w:footer="992" w:gutter="0"/>
          <w:pgNumType w:fmt="decimal"/>
          <w:cols w:space="0" w:num="1"/>
          <w:docGrid w:type="lines" w:linePitch="312" w:charSpace="0"/>
        </w:sectPr>
      </w:pPr>
      <w:r>
        <w:rPr>
          <w:rFonts w:hint="eastAsia" w:ascii="仿宋" w:hAnsi="仿宋" w:eastAsia="仿宋" w:cs="仿宋"/>
          <w:color w:val="auto"/>
          <w:sz w:val="32"/>
          <w:szCs w:val="40"/>
        </w:rPr>
        <w:t>认真贯彻实施新颁布的《森林法》及林业法律法规，继续加强宣传学习、培训指导,完善林业法治体系，提高林业执法水平，用最严格的制度、最严密的法治为推进林业现代化提供可靠保障。完善林业地方性法规体系，建立和完善林业法律顾问制度。认真履行林长制职责，依法全面保护森林资源，推动生态修复、保护</w:t>
      </w:r>
      <w:r>
        <w:rPr>
          <w:rFonts w:hint="eastAsia" w:ascii="仿宋" w:hAnsi="仿宋" w:eastAsia="仿宋" w:cs="仿宋"/>
          <w:color w:val="auto"/>
          <w:sz w:val="32"/>
          <w:szCs w:val="40"/>
          <w:lang w:eastAsia="zh-CN"/>
        </w:rPr>
        <w:t>恢</w:t>
      </w:r>
      <w:r>
        <w:rPr>
          <w:rFonts w:hint="eastAsia" w:ascii="仿宋" w:hAnsi="仿宋" w:eastAsia="仿宋" w:cs="仿宋"/>
          <w:color w:val="auto"/>
          <w:sz w:val="32"/>
          <w:szCs w:val="40"/>
        </w:rPr>
        <w:t>复，组织落实森林防灭火、重大有害生物防治责任和措施，强化林业行政执法。健全林业执法体系，加强林业行政执法队伍建设，严格执法主体资格管理和执法人员持证上岗管理，稳步推进林业综合行政执法改革，建立健全林业行政执法监督机制，加强森林资源监督、检疫机构队伍和能力建设。结合森林公安转隶情况，全面整合木材检查、森林植物检疫、林木种苗管理等执法力量，加强对森林公安业务指导，形成</w:t>
      </w:r>
      <w:r>
        <w:rPr>
          <w:rFonts w:hint="eastAsia" w:ascii="仿宋" w:hAnsi="仿宋" w:eastAsia="仿宋" w:cs="仿宋"/>
          <w:color w:val="auto"/>
          <w:sz w:val="32"/>
          <w:szCs w:val="40"/>
          <w:lang w:eastAsia="zh-CN"/>
        </w:rPr>
        <w:t>工作</w:t>
      </w:r>
      <w:r>
        <w:rPr>
          <w:rFonts w:hint="eastAsia" w:ascii="仿宋" w:hAnsi="仿宋" w:eastAsia="仿宋" w:cs="仿宋"/>
          <w:color w:val="auto"/>
          <w:sz w:val="32"/>
          <w:szCs w:val="40"/>
        </w:rPr>
        <w:t>合力</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推进</w:t>
      </w:r>
      <w:r>
        <w:rPr>
          <w:rFonts w:hint="eastAsia" w:ascii="仿宋" w:hAnsi="仿宋" w:eastAsia="仿宋" w:cs="仿宋"/>
          <w:color w:val="auto"/>
          <w:sz w:val="32"/>
          <w:szCs w:val="40"/>
        </w:rPr>
        <w:t>成立林业综合执法大队，加大林业执法力度，严厉打击破坏森林资源、野生动植物资源、湿地资源，侵犯植物新品种权及制售假冒伪劣商品，危害林产品食品安全的违法犯罪行为，依法保护林业资源和食品安全。健全林业普法体系，加强林业法制宣传教育，普及林业法律知识，营造良好的依法治林氛围，用法治意识构筑全社会保护生态的无形红线。</w:t>
      </w:r>
      <w:bookmarkStart w:id="322" w:name="_GoBack"/>
      <w:bookmarkEnd w:id="322"/>
    </w:p>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color w:val="auto"/>
        </w:rPr>
      </w:pPr>
    </w:p>
    <w:sectPr>
      <w:headerReference r:id="rId7" w:type="default"/>
      <w:footerReference r:id="rId8"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0758076"/>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sdt>
                    <w:sdtPr>
                      <w:id w:val="1780758076"/>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1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1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89</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XcYXXSAAAAAwEAAA8AAAAAAAAAAQAg&#10;AAAAIgAAAGRycy9kb3ducmV2LnhtbFBLAQIUABQAAAAIAIdO4kCQ7/nEFAIAAAYEAAAOAAAAAAAA&#10;AAEAIAAAACEBAABkcnMvZTJvRG9jLnhtbFBLBQYAAAAABgAGAFkBAACnBQAAAAA=&#10;">
              <v:fill on="f" focussize="0,0"/>
              <v:stroke on="f" weight="0.5pt"/>
              <v:imagedata o:title=""/>
              <o:lock v:ext="edit" aspectratio="f"/>
              <v:textbox inset="0mm,0mm,0mm,0mm" style="mso-fit-shape-to-text:t;">
                <w:txbxContent>
                  <w:p>
                    <w:pPr>
                      <w:pStyle w:val="1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89</w:t>
                    </w:r>
                    <w:r>
                      <w:rPr>
                        <w:rFonts w:ascii="Times New Roman" w:hAnsi="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ascii="Times New Roman" w:hAnsi="Times New Roma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06895"/>
    <w:multiLevelType w:val="singleLevel"/>
    <w:tmpl w:val="89306895"/>
    <w:lvl w:ilvl="0" w:tentative="0">
      <w:start w:val="1"/>
      <w:numFmt w:val="chineseCounting"/>
      <w:lvlText w:val="第%1节"/>
      <w:lvlJc w:val="left"/>
      <w:rPr>
        <w:rFonts w:hint="eastAsia"/>
      </w:rPr>
    </w:lvl>
  </w:abstractNum>
  <w:abstractNum w:abstractNumId="1">
    <w:nsid w:val="9BFF8068"/>
    <w:multiLevelType w:val="singleLevel"/>
    <w:tmpl w:val="9BFF8068"/>
    <w:lvl w:ilvl="0" w:tentative="0">
      <w:start w:val="8"/>
      <w:numFmt w:val="chineseCounting"/>
      <w:suff w:val="space"/>
      <w:lvlText w:val="第%1节"/>
      <w:lvlJc w:val="left"/>
      <w:rPr>
        <w:rFonts w:hint="eastAsia"/>
      </w:rPr>
    </w:lvl>
  </w:abstractNum>
  <w:abstractNum w:abstractNumId="2">
    <w:nsid w:val="B51C8A6F"/>
    <w:multiLevelType w:val="singleLevel"/>
    <w:tmpl w:val="B51C8A6F"/>
    <w:lvl w:ilvl="0" w:tentative="0">
      <w:start w:val="1"/>
      <w:numFmt w:val="chineseCounting"/>
      <w:suff w:val="nothing"/>
      <w:lvlText w:val="（%1）"/>
      <w:lvlJc w:val="left"/>
      <w:rPr>
        <w:rFonts w:hint="eastAsia"/>
      </w:rPr>
    </w:lvl>
  </w:abstractNum>
  <w:abstractNum w:abstractNumId="3">
    <w:nsid w:val="D877E305"/>
    <w:multiLevelType w:val="singleLevel"/>
    <w:tmpl w:val="D877E305"/>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3C4"/>
    <w:rsid w:val="000339D3"/>
    <w:rsid w:val="00054BAC"/>
    <w:rsid w:val="00063EC2"/>
    <w:rsid w:val="00066E56"/>
    <w:rsid w:val="00076271"/>
    <w:rsid w:val="00077416"/>
    <w:rsid w:val="000814DD"/>
    <w:rsid w:val="00097040"/>
    <w:rsid w:val="000A5FF0"/>
    <w:rsid w:val="000E0723"/>
    <w:rsid w:val="00121A60"/>
    <w:rsid w:val="001454A2"/>
    <w:rsid w:val="00156271"/>
    <w:rsid w:val="00172A27"/>
    <w:rsid w:val="00174DA1"/>
    <w:rsid w:val="001A2515"/>
    <w:rsid w:val="001A7705"/>
    <w:rsid w:val="001C5CAC"/>
    <w:rsid w:val="001F15BB"/>
    <w:rsid w:val="00201B39"/>
    <w:rsid w:val="00212551"/>
    <w:rsid w:val="0023398A"/>
    <w:rsid w:val="00235635"/>
    <w:rsid w:val="00280E33"/>
    <w:rsid w:val="002A1083"/>
    <w:rsid w:val="002B3819"/>
    <w:rsid w:val="002F6EDB"/>
    <w:rsid w:val="003152E0"/>
    <w:rsid w:val="00337930"/>
    <w:rsid w:val="003621EA"/>
    <w:rsid w:val="00366B9C"/>
    <w:rsid w:val="00367A65"/>
    <w:rsid w:val="00385A1F"/>
    <w:rsid w:val="003A5B8B"/>
    <w:rsid w:val="003D4EAA"/>
    <w:rsid w:val="0048427B"/>
    <w:rsid w:val="0049393D"/>
    <w:rsid w:val="004B04AF"/>
    <w:rsid w:val="004B6DBA"/>
    <w:rsid w:val="004D7DF8"/>
    <w:rsid w:val="004E43CD"/>
    <w:rsid w:val="00503BEF"/>
    <w:rsid w:val="00513407"/>
    <w:rsid w:val="00513DD0"/>
    <w:rsid w:val="005248EB"/>
    <w:rsid w:val="0054495F"/>
    <w:rsid w:val="00556E7F"/>
    <w:rsid w:val="0057257D"/>
    <w:rsid w:val="00576ED6"/>
    <w:rsid w:val="00591A34"/>
    <w:rsid w:val="005A20B5"/>
    <w:rsid w:val="005B12C4"/>
    <w:rsid w:val="005C2C92"/>
    <w:rsid w:val="005D056C"/>
    <w:rsid w:val="005D744E"/>
    <w:rsid w:val="005E461F"/>
    <w:rsid w:val="005F7CB0"/>
    <w:rsid w:val="0062335E"/>
    <w:rsid w:val="006270D5"/>
    <w:rsid w:val="006659B5"/>
    <w:rsid w:val="00670201"/>
    <w:rsid w:val="006966C5"/>
    <w:rsid w:val="006A14E4"/>
    <w:rsid w:val="006A1E3E"/>
    <w:rsid w:val="006E0CDA"/>
    <w:rsid w:val="006E28CB"/>
    <w:rsid w:val="006E3617"/>
    <w:rsid w:val="006F43E2"/>
    <w:rsid w:val="007345C9"/>
    <w:rsid w:val="00742B28"/>
    <w:rsid w:val="00747558"/>
    <w:rsid w:val="00751D2F"/>
    <w:rsid w:val="00775967"/>
    <w:rsid w:val="00781248"/>
    <w:rsid w:val="007814C0"/>
    <w:rsid w:val="00794880"/>
    <w:rsid w:val="00797C3F"/>
    <w:rsid w:val="007A50AD"/>
    <w:rsid w:val="007A6171"/>
    <w:rsid w:val="007C0A61"/>
    <w:rsid w:val="007C2418"/>
    <w:rsid w:val="007E7925"/>
    <w:rsid w:val="007F7974"/>
    <w:rsid w:val="00804BE8"/>
    <w:rsid w:val="00816A49"/>
    <w:rsid w:val="008319A4"/>
    <w:rsid w:val="00847822"/>
    <w:rsid w:val="008509BD"/>
    <w:rsid w:val="008671C2"/>
    <w:rsid w:val="008C2BFB"/>
    <w:rsid w:val="008D3380"/>
    <w:rsid w:val="008D4ABF"/>
    <w:rsid w:val="008E2B32"/>
    <w:rsid w:val="009231B8"/>
    <w:rsid w:val="00934A52"/>
    <w:rsid w:val="009555B2"/>
    <w:rsid w:val="00955F50"/>
    <w:rsid w:val="00980196"/>
    <w:rsid w:val="00A07B4D"/>
    <w:rsid w:val="00A232F1"/>
    <w:rsid w:val="00A24D95"/>
    <w:rsid w:val="00A36447"/>
    <w:rsid w:val="00A40EDD"/>
    <w:rsid w:val="00AA4F0F"/>
    <w:rsid w:val="00AD41E4"/>
    <w:rsid w:val="00B26503"/>
    <w:rsid w:val="00B50275"/>
    <w:rsid w:val="00B52B04"/>
    <w:rsid w:val="00B6386A"/>
    <w:rsid w:val="00B857F5"/>
    <w:rsid w:val="00B97B4F"/>
    <w:rsid w:val="00BB385D"/>
    <w:rsid w:val="00BB72E7"/>
    <w:rsid w:val="00BF7073"/>
    <w:rsid w:val="00C13A59"/>
    <w:rsid w:val="00C15F4E"/>
    <w:rsid w:val="00C27BFB"/>
    <w:rsid w:val="00C4025B"/>
    <w:rsid w:val="00C50F22"/>
    <w:rsid w:val="00C64D7C"/>
    <w:rsid w:val="00C6652F"/>
    <w:rsid w:val="00C73310"/>
    <w:rsid w:val="00CB7435"/>
    <w:rsid w:val="00CE4A50"/>
    <w:rsid w:val="00CE59AE"/>
    <w:rsid w:val="00CF5B9F"/>
    <w:rsid w:val="00D47744"/>
    <w:rsid w:val="00D76B88"/>
    <w:rsid w:val="00D8168E"/>
    <w:rsid w:val="00D91B12"/>
    <w:rsid w:val="00DA7B69"/>
    <w:rsid w:val="00E209C6"/>
    <w:rsid w:val="00E33FF1"/>
    <w:rsid w:val="00E439AF"/>
    <w:rsid w:val="00E601A6"/>
    <w:rsid w:val="00E62AAF"/>
    <w:rsid w:val="00E71512"/>
    <w:rsid w:val="00E77EB0"/>
    <w:rsid w:val="00E80250"/>
    <w:rsid w:val="00EE2B86"/>
    <w:rsid w:val="00EF5A16"/>
    <w:rsid w:val="00F001BA"/>
    <w:rsid w:val="00F0063C"/>
    <w:rsid w:val="00F21D5F"/>
    <w:rsid w:val="00F36F97"/>
    <w:rsid w:val="00F47DAC"/>
    <w:rsid w:val="00F55C6B"/>
    <w:rsid w:val="00F61FBE"/>
    <w:rsid w:val="00F662A9"/>
    <w:rsid w:val="00F7578A"/>
    <w:rsid w:val="00F75BDF"/>
    <w:rsid w:val="00F9129B"/>
    <w:rsid w:val="00F95FF6"/>
    <w:rsid w:val="00FA2EB6"/>
    <w:rsid w:val="013765C2"/>
    <w:rsid w:val="031B5F69"/>
    <w:rsid w:val="032562D1"/>
    <w:rsid w:val="03D861BB"/>
    <w:rsid w:val="04350FDE"/>
    <w:rsid w:val="046E67E8"/>
    <w:rsid w:val="055B6087"/>
    <w:rsid w:val="05BA63FB"/>
    <w:rsid w:val="067212A3"/>
    <w:rsid w:val="067606A5"/>
    <w:rsid w:val="07031B6C"/>
    <w:rsid w:val="074D16D7"/>
    <w:rsid w:val="07514A96"/>
    <w:rsid w:val="07647958"/>
    <w:rsid w:val="07B24D3C"/>
    <w:rsid w:val="07E560FA"/>
    <w:rsid w:val="09987B69"/>
    <w:rsid w:val="0A7E0B4A"/>
    <w:rsid w:val="0AB91C44"/>
    <w:rsid w:val="0AF760F5"/>
    <w:rsid w:val="0BE94EA6"/>
    <w:rsid w:val="0CF54AD4"/>
    <w:rsid w:val="0D4D3831"/>
    <w:rsid w:val="0D8F2587"/>
    <w:rsid w:val="0E5159F6"/>
    <w:rsid w:val="0FE609A5"/>
    <w:rsid w:val="10510D18"/>
    <w:rsid w:val="10FC48A9"/>
    <w:rsid w:val="11043373"/>
    <w:rsid w:val="11716B75"/>
    <w:rsid w:val="13AB2A82"/>
    <w:rsid w:val="1499449E"/>
    <w:rsid w:val="156A13AE"/>
    <w:rsid w:val="15781112"/>
    <w:rsid w:val="15A91930"/>
    <w:rsid w:val="17FB6C9D"/>
    <w:rsid w:val="18583BD5"/>
    <w:rsid w:val="189F58A9"/>
    <w:rsid w:val="18E8375A"/>
    <w:rsid w:val="190723BA"/>
    <w:rsid w:val="196B7203"/>
    <w:rsid w:val="1A4255EB"/>
    <w:rsid w:val="1A500B89"/>
    <w:rsid w:val="1AB370FF"/>
    <w:rsid w:val="1B6F49DA"/>
    <w:rsid w:val="1B884A0B"/>
    <w:rsid w:val="1BD62B87"/>
    <w:rsid w:val="1BE32D65"/>
    <w:rsid w:val="1BEA4F9A"/>
    <w:rsid w:val="1C2A3ADB"/>
    <w:rsid w:val="1CE873C1"/>
    <w:rsid w:val="1D3E1A17"/>
    <w:rsid w:val="1D40457B"/>
    <w:rsid w:val="1E240669"/>
    <w:rsid w:val="1FE748AC"/>
    <w:rsid w:val="20B35CCB"/>
    <w:rsid w:val="20BA01D0"/>
    <w:rsid w:val="21FB5C98"/>
    <w:rsid w:val="222418B9"/>
    <w:rsid w:val="227156BE"/>
    <w:rsid w:val="230A663F"/>
    <w:rsid w:val="238963D3"/>
    <w:rsid w:val="23F64B3A"/>
    <w:rsid w:val="24765E6E"/>
    <w:rsid w:val="247E6B00"/>
    <w:rsid w:val="24AC6C25"/>
    <w:rsid w:val="24E44B16"/>
    <w:rsid w:val="260A3141"/>
    <w:rsid w:val="26620D73"/>
    <w:rsid w:val="267B681E"/>
    <w:rsid w:val="28246667"/>
    <w:rsid w:val="282A3C4F"/>
    <w:rsid w:val="28916EFB"/>
    <w:rsid w:val="2A2324D7"/>
    <w:rsid w:val="2A464CA6"/>
    <w:rsid w:val="2A7015A9"/>
    <w:rsid w:val="2BF82D24"/>
    <w:rsid w:val="2CF9659E"/>
    <w:rsid w:val="2DB47EB0"/>
    <w:rsid w:val="2DC53EEE"/>
    <w:rsid w:val="2F1D5C92"/>
    <w:rsid w:val="30A5660A"/>
    <w:rsid w:val="30AD7997"/>
    <w:rsid w:val="315B4FAD"/>
    <w:rsid w:val="328904B5"/>
    <w:rsid w:val="32BF2445"/>
    <w:rsid w:val="33E173F0"/>
    <w:rsid w:val="33E81013"/>
    <w:rsid w:val="34590149"/>
    <w:rsid w:val="34966C43"/>
    <w:rsid w:val="352C67E8"/>
    <w:rsid w:val="35DB1728"/>
    <w:rsid w:val="366073D0"/>
    <w:rsid w:val="36D329D5"/>
    <w:rsid w:val="37E10D5B"/>
    <w:rsid w:val="37F45976"/>
    <w:rsid w:val="38D450C1"/>
    <w:rsid w:val="3A1A1B93"/>
    <w:rsid w:val="3A8C59B9"/>
    <w:rsid w:val="3B4B00F2"/>
    <w:rsid w:val="3B643530"/>
    <w:rsid w:val="3C332CA8"/>
    <w:rsid w:val="3C492919"/>
    <w:rsid w:val="3C4D1B13"/>
    <w:rsid w:val="3EEB2567"/>
    <w:rsid w:val="3F100B47"/>
    <w:rsid w:val="3F1671A7"/>
    <w:rsid w:val="40CA35D9"/>
    <w:rsid w:val="41114018"/>
    <w:rsid w:val="41BD5B18"/>
    <w:rsid w:val="43633CAD"/>
    <w:rsid w:val="440156B1"/>
    <w:rsid w:val="44410166"/>
    <w:rsid w:val="44D33270"/>
    <w:rsid w:val="4562387D"/>
    <w:rsid w:val="45892EAE"/>
    <w:rsid w:val="463868AB"/>
    <w:rsid w:val="47851058"/>
    <w:rsid w:val="47CB3221"/>
    <w:rsid w:val="47F744A9"/>
    <w:rsid w:val="483D4422"/>
    <w:rsid w:val="48D56079"/>
    <w:rsid w:val="4A3944F1"/>
    <w:rsid w:val="4A4C10C5"/>
    <w:rsid w:val="4A734A6E"/>
    <w:rsid w:val="4B2470FD"/>
    <w:rsid w:val="4BB22A81"/>
    <w:rsid w:val="4BC822AC"/>
    <w:rsid w:val="4C82756C"/>
    <w:rsid w:val="4D42339A"/>
    <w:rsid w:val="4D88387A"/>
    <w:rsid w:val="4E0C0741"/>
    <w:rsid w:val="4E14025F"/>
    <w:rsid w:val="4F9048D0"/>
    <w:rsid w:val="4FD919B8"/>
    <w:rsid w:val="507057B0"/>
    <w:rsid w:val="54034311"/>
    <w:rsid w:val="567315FF"/>
    <w:rsid w:val="5679165A"/>
    <w:rsid w:val="56FF50D9"/>
    <w:rsid w:val="572B0FCB"/>
    <w:rsid w:val="58591C6E"/>
    <w:rsid w:val="58AD00B3"/>
    <w:rsid w:val="5956779F"/>
    <w:rsid w:val="59753F16"/>
    <w:rsid w:val="59C25F35"/>
    <w:rsid w:val="5AE70125"/>
    <w:rsid w:val="5B4F74BD"/>
    <w:rsid w:val="5BA6507B"/>
    <w:rsid w:val="5C4966E7"/>
    <w:rsid w:val="5CCB3D17"/>
    <w:rsid w:val="5CCB4426"/>
    <w:rsid w:val="5D3F5BD1"/>
    <w:rsid w:val="5DA55634"/>
    <w:rsid w:val="5DE835B7"/>
    <w:rsid w:val="5E380E01"/>
    <w:rsid w:val="5E5308A4"/>
    <w:rsid w:val="5FFE0FD3"/>
    <w:rsid w:val="6092439C"/>
    <w:rsid w:val="60B86747"/>
    <w:rsid w:val="613A42B1"/>
    <w:rsid w:val="616B63F8"/>
    <w:rsid w:val="61EB4101"/>
    <w:rsid w:val="6203665F"/>
    <w:rsid w:val="624B2F0B"/>
    <w:rsid w:val="62F13BFE"/>
    <w:rsid w:val="635F3009"/>
    <w:rsid w:val="63D47A6E"/>
    <w:rsid w:val="67B861B7"/>
    <w:rsid w:val="69DE0A9E"/>
    <w:rsid w:val="6A1E1AFA"/>
    <w:rsid w:val="6A826A95"/>
    <w:rsid w:val="6B5568E3"/>
    <w:rsid w:val="6BC00362"/>
    <w:rsid w:val="6D577E5C"/>
    <w:rsid w:val="6E232F2F"/>
    <w:rsid w:val="6E3B5D0C"/>
    <w:rsid w:val="6E71477C"/>
    <w:rsid w:val="6E890CB8"/>
    <w:rsid w:val="6ED6551B"/>
    <w:rsid w:val="6FBC0344"/>
    <w:rsid w:val="7075444E"/>
    <w:rsid w:val="70FA61BE"/>
    <w:rsid w:val="71984AF9"/>
    <w:rsid w:val="71EA1BEA"/>
    <w:rsid w:val="725B6836"/>
    <w:rsid w:val="72731243"/>
    <w:rsid w:val="73BC7B89"/>
    <w:rsid w:val="745E5FD7"/>
    <w:rsid w:val="749E2D55"/>
    <w:rsid w:val="764110D5"/>
    <w:rsid w:val="78C16F3F"/>
    <w:rsid w:val="79B34956"/>
    <w:rsid w:val="79E344E1"/>
    <w:rsid w:val="7A4B2F5F"/>
    <w:rsid w:val="7A5C298E"/>
    <w:rsid w:val="7AE834A7"/>
    <w:rsid w:val="7BD33C22"/>
    <w:rsid w:val="7C8C6812"/>
    <w:rsid w:val="7D0C5DFE"/>
    <w:rsid w:val="7D1B1EBF"/>
    <w:rsid w:val="7ED470C3"/>
    <w:rsid w:val="7F41799D"/>
    <w:rsid w:val="7F4F0CC7"/>
    <w:rsid w:val="7F9962DD"/>
    <w:rsid w:val="7FC653B5"/>
    <w:rsid w:val="7FF0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3"/>
    <w:qFormat/>
    <w:uiPriority w:val="0"/>
    <w:pPr>
      <w:keepNext/>
      <w:keepLines/>
      <w:spacing w:line="560" w:lineRule="exact"/>
      <w:jc w:val="center"/>
      <w:outlineLvl w:val="0"/>
    </w:pPr>
    <w:rPr>
      <w:rFonts w:ascii="Times New Roman" w:hAnsi="Times New Roman" w:eastAsia="方正小标宋简体" w:cs="Times New Roman"/>
      <w:bCs/>
      <w:kern w:val="44"/>
      <w:sz w:val="36"/>
      <w:szCs w:val="44"/>
    </w:rPr>
  </w:style>
  <w:style w:type="paragraph" w:styleId="4">
    <w:name w:val="heading 2"/>
    <w:basedOn w:val="1"/>
    <w:next w:val="1"/>
    <w:link w:val="34"/>
    <w:qFormat/>
    <w:uiPriority w:val="0"/>
    <w:pPr>
      <w:keepNext/>
      <w:keepLines/>
      <w:spacing w:line="560" w:lineRule="exact"/>
      <w:jc w:val="center"/>
      <w:outlineLvl w:val="1"/>
    </w:pPr>
    <w:rPr>
      <w:rFonts w:ascii="Arial" w:hAnsi="Arial" w:eastAsia="方正小标宋简体" w:cs="Times New Roman"/>
      <w:bCs/>
      <w:sz w:val="36"/>
      <w:szCs w:val="32"/>
    </w:rPr>
  </w:style>
  <w:style w:type="paragraph" w:styleId="5">
    <w:name w:val="heading 3"/>
    <w:basedOn w:val="1"/>
    <w:next w:val="1"/>
    <w:unhideWhenUsed/>
    <w:qFormat/>
    <w:uiPriority w:val="0"/>
    <w:pPr>
      <w:keepNext/>
      <w:keepLines/>
      <w:spacing w:line="560" w:lineRule="exact"/>
      <w:ind w:firstLine="800" w:firstLineChars="200"/>
      <w:outlineLvl w:val="2"/>
    </w:pPr>
    <w:rPr>
      <w:rFonts w:eastAsia="黑体"/>
      <w:sz w:val="32"/>
    </w:rPr>
  </w:style>
  <w:style w:type="paragraph" w:styleId="6">
    <w:name w:val="heading 4"/>
    <w:basedOn w:val="1"/>
    <w:next w:val="1"/>
    <w:unhideWhenUsed/>
    <w:qFormat/>
    <w:uiPriority w:val="0"/>
    <w:pPr>
      <w:keepNext/>
      <w:keepLines/>
      <w:spacing w:line="560" w:lineRule="exact"/>
      <w:ind w:firstLine="800" w:firstLineChars="200"/>
      <w:outlineLvl w:val="3"/>
    </w:pPr>
    <w:rPr>
      <w:rFonts w:ascii="Arial" w:hAnsi="Arial" w:eastAsia="楷体"/>
      <w:sz w:val="32"/>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paragraph" w:styleId="8">
    <w:name w:val="heading 6"/>
    <w:basedOn w:val="1"/>
    <w:next w:val="1"/>
    <w:link w:val="4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eastAsia="宋体" w:cs="Times New Roman"/>
    </w:rPr>
  </w:style>
  <w:style w:type="paragraph" w:styleId="9">
    <w:name w:val="Body Text First Indent"/>
    <w:basedOn w:val="10"/>
    <w:qFormat/>
    <w:uiPriority w:val="0"/>
    <w:pPr>
      <w:ind w:firstLine="420" w:firstLineChars="100"/>
    </w:pPr>
    <w:rPr>
      <w:rFonts w:ascii="Times New Roman" w:hAnsi="Times New Roman" w:eastAsia="仿宋_GB2312"/>
      <w:sz w:val="32"/>
      <w:szCs w:val="32"/>
    </w:rPr>
  </w:style>
  <w:style w:type="paragraph" w:styleId="10">
    <w:name w:val="Body Text"/>
    <w:basedOn w:val="1"/>
    <w:qFormat/>
    <w:uiPriority w:val="0"/>
    <w:rPr>
      <w:rFonts w:ascii="Calibri" w:hAnsi="Calibri" w:eastAsia="宋体" w:cs="Times New Roman"/>
    </w:rPr>
  </w:style>
  <w:style w:type="paragraph" w:styleId="11">
    <w:name w:val="Document Map"/>
    <w:basedOn w:val="1"/>
    <w:link w:val="38"/>
    <w:qFormat/>
    <w:uiPriority w:val="0"/>
    <w:rPr>
      <w:rFonts w:ascii="宋体" w:eastAsia="宋体"/>
      <w:sz w:val="18"/>
      <w:szCs w:val="18"/>
    </w:rPr>
  </w:style>
  <w:style w:type="paragraph" w:styleId="12">
    <w:name w:val="Body Text Indent"/>
    <w:basedOn w:val="1"/>
    <w:qFormat/>
    <w:uiPriority w:val="0"/>
    <w:pPr>
      <w:spacing w:after="120"/>
      <w:ind w:left="420" w:leftChars="200"/>
    </w:pPr>
  </w:style>
  <w:style w:type="paragraph" w:styleId="13">
    <w:name w:val="Balloon Text"/>
    <w:basedOn w:val="1"/>
    <w:link w:val="28"/>
    <w:qFormat/>
    <w:uiPriority w:val="0"/>
    <w:rPr>
      <w:sz w:val="18"/>
      <w:szCs w:val="18"/>
    </w:rPr>
  </w:style>
  <w:style w:type="paragraph" w:styleId="14">
    <w:name w:val="footer"/>
    <w:basedOn w:val="1"/>
    <w:link w:val="39"/>
    <w:qFormat/>
    <w:uiPriority w:val="99"/>
    <w:pPr>
      <w:tabs>
        <w:tab w:val="center" w:pos="4153"/>
        <w:tab w:val="right" w:pos="8306"/>
      </w:tabs>
      <w:snapToGrid w:val="0"/>
      <w:jc w:val="left"/>
    </w:pPr>
    <w:rPr>
      <w:kern w:val="0"/>
      <w:sz w:val="18"/>
      <w:szCs w:val="18"/>
    </w:rPr>
  </w:style>
  <w:style w:type="paragraph" w:styleId="15">
    <w:name w:val="Body Text First Indent 2"/>
    <w:basedOn w:val="12"/>
    <w:qFormat/>
    <w:uiPriority w:val="0"/>
    <w:pPr>
      <w:ind w:firstLine="420" w:firstLineChars="328"/>
    </w:pPr>
    <w:rPr>
      <w:rFonts w:ascii="Times New Roman" w:hAnsi="Times New Roman" w:eastAsia="宋体" w:cs="Times New Roman"/>
      <w:sz w:val="32"/>
      <w:szCs w:val="32"/>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style>
  <w:style w:type="paragraph" w:styleId="18">
    <w:name w:val="Subtitle"/>
    <w:next w:val="1"/>
    <w:qFormat/>
    <w:uiPriority w:val="11"/>
    <w:pPr>
      <w:widowControl w:val="0"/>
      <w:spacing w:line="312" w:lineRule="auto"/>
      <w:jc w:val="center"/>
      <w:outlineLvl w:val="1"/>
    </w:pPr>
    <w:rPr>
      <w:rFonts w:ascii="Cambria" w:hAnsi="Cambria" w:eastAsia="宋体" w:cs="Times New Roman"/>
      <w:b/>
      <w:bCs/>
      <w:kern w:val="28"/>
      <w:sz w:val="32"/>
      <w:szCs w:val="32"/>
      <w:lang w:val="en-US" w:eastAsia="zh-CN" w:bidi="ar-SA"/>
    </w:rPr>
  </w:style>
  <w:style w:type="paragraph" w:styleId="19">
    <w:name w:val="toc 2"/>
    <w:basedOn w:val="1"/>
    <w:next w:val="1"/>
    <w:qFormat/>
    <w:uiPriority w:val="39"/>
    <w:pPr>
      <w:ind w:left="420" w:leftChars="200"/>
    </w:pPr>
  </w:style>
  <w:style w:type="paragraph" w:styleId="20">
    <w:name w:val="Normal (Web)"/>
    <w:basedOn w:val="1"/>
    <w:unhideWhenUsed/>
    <w:qFormat/>
    <w:uiPriority w:val="99"/>
    <w:pPr>
      <w:widowControl/>
      <w:spacing w:beforeAutospacing="1" w:afterAutospacing="1"/>
      <w:jc w:val="left"/>
    </w:pPr>
    <w:rPr>
      <w:rFonts w:ascii="宋体" w:hAnsi="宋体" w:eastAsia="宋体" w:cs="宋体"/>
      <w:kern w:val="0"/>
      <w:sz w:val="24"/>
    </w:rPr>
  </w:style>
  <w:style w:type="character" w:styleId="22">
    <w:name w:val="Strong"/>
    <w:basedOn w:val="21"/>
    <w:qFormat/>
    <w:uiPriority w:val="0"/>
    <w:rPr>
      <w:b/>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p16"/>
    <w:basedOn w:val="1"/>
    <w:qFormat/>
    <w:uiPriority w:val="0"/>
    <w:pPr>
      <w:widowControl/>
      <w:ind w:firstLine="420"/>
      <w:jc w:val="left"/>
    </w:pPr>
    <w:rPr>
      <w:rFonts w:ascii="Times New Roman" w:hAnsi="Times New Roman"/>
      <w:kern w:val="0"/>
      <w:sz w:val="32"/>
      <w:szCs w:val="32"/>
    </w:rPr>
  </w:style>
  <w:style w:type="paragraph" w:customStyle="1" w:styleId="27">
    <w:name w:val="列出段落1"/>
    <w:basedOn w:val="1"/>
    <w:qFormat/>
    <w:uiPriority w:val="0"/>
    <w:pPr>
      <w:spacing w:line="360" w:lineRule="auto"/>
      <w:ind w:firstLine="420" w:firstLineChars="200"/>
    </w:pPr>
    <w:rPr>
      <w:rFonts w:ascii="Calibri" w:hAnsi="Calibri" w:eastAsia="宋体" w:cs="Times New Roman"/>
    </w:rPr>
  </w:style>
  <w:style w:type="character" w:customStyle="1" w:styleId="28">
    <w:name w:val="批注框文本 字符"/>
    <w:basedOn w:val="21"/>
    <w:link w:val="13"/>
    <w:qFormat/>
    <w:uiPriority w:val="0"/>
    <w:rPr>
      <w:rFonts w:asciiTheme="minorHAnsi" w:hAnsiTheme="minorHAnsi" w:eastAsiaTheme="minorEastAsia" w:cstheme="minorBidi"/>
      <w:kern w:val="2"/>
      <w:sz w:val="18"/>
      <w:szCs w:val="18"/>
    </w:rPr>
  </w:style>
  <w:style w:type="character" w:customStyle="1" w:styleId="29">
    <w:name w:val="font11"/>
    <w:basedOn w:val="21"/>
    <w:qFormat/>
    <w:uiPriority w:val="0"/>
    <w:rPr>
      <w:rFonts w:hint="eastAsia" w:ascii="宋体" w:hAnsi="宋体" w:eastAsia="宋体" w:cs="宋体"/>
      <w:color w:val="000000"/>
      <w:sz w:val="18"/>
      <w:szCs w:val="18"/>
      <w:u w:val="none"/>
    </w:rPr>
  </w:style>
  <w:style w:type="character" w:customStyle="1" w:styleId="30">
    <w:name w:val="font01"/>
    <w:basedOn w:val="21"/>
    <w:qFormat/>
    <w:uiPriority w:val="0"/>
    <w:rPr>
      <w:rFonts w:hint="eastAsia" w:ascii="宋体" w:hAnsi="宋体" w:eastAsia="宋体" w:cs="宋体"/>
      <w:color w:val="000000"/>
      <w:sz w:val="18"/>
      <w:szCs w:val="18"/>
      <w:u w:val="none"/>
      <w:vertAlign w:val="superscript"/>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3">
    <w:name w:val="标题 1 字符"/>
    <w:link w:val="3"/>
    <w:qFormat/>
    <w:uiPriority w:val="0"/>
    <w:rPr>
      <w:rFonts w:ascii="Times New Roman" w:hAnsi="Times New Roman" w:eastAsia="方正小标宋简体" w:cs="Times New Roman"/>
      <w:bCs/>
      <w:kern w:val="44"/>
      <w:sz w:val="36"/>
      <w:szCs w:val="44"/>
    </w:rPr>
  </w:style>
  <w:style w:type="character" w:customStyle="1" w:styleId="34">
    <w:name w:val="标题 2 字符"/>
    <w:link w:val="4"/>
    <w:qFormat/>
    <w:uiPriority w:val="0"/>
    <w:rPr>
      <w:rFonts w:ascii="Arial" w:hAnsi="Arial" w:eastAsia="方正小标宋简体" w:cs="Times New Roman"/>
      <w:bCs/>
      <w:sz w:val="36"/>
      <w:szCs w:val="32"/>
    </w:rPr>
  </w:style>
  <w:style w:type="paragraph" w:customStyle="1" w:styleId="35">
    <w:name w:val="样式1"/>
    <w:basedOn w:val="1"/>
    <w:qFormat/>
    <w:uiPriority w:val="0"/>
  </w:style>
  <w:style w:type="paragraph" w:customStyle="1" w:styleId="36">
    <w:name w:val="样式2"/>
    <w:basedOn w:val="1"/>
    <w:qFormat/>
    <w:uiPriority w:val="0"/>
  </w:style>
  <w:style w:type="paragraph" w:styleId="37">
    <w:name w:val="List Paragraph"/>
    <w:basedOn w:val="1"/>
    <w:qFormat/>
    <w:uiPriority w:val="34"/>
    <w:pPr>
      <w:ind w:firstLine="420" w:firstLineChars="200"/>
    </w:pPr>
    <w:rPr>
      <w:szCs w:val="22"/>
    </w:rPr>
  </w:style>
  <w:style w:type="character" w:customStyle="1" w:styleId="38">
    <w:name w:val="文档结构图 字符"/>
    <w:basedOn w:val="21"/>
    <w:link w:val="11"/>
    <w:qFormat/>
    <w:uiPriority w:val="0"/>
    <w:rPr>
      <w:rFonts w:ascii="宋体" w:eastAsia="宋体"/>
      <w:kern w:val="2"/>
      <w:sz w:val="18"/>
      <w:szCs w:val="18"/>
    </w:rPr>
  </w:style>
  <w:style w:type="character" w:customStyle="1" w:styleId="39">
    <w:name w:val="页脚 字符"/>
    <w:basedOn w:val="21"/>
    <w:link w:val="14"/>
    <w:qFormat/>
    <w:uiPriority w:val="99"/>
    <w:rPr>
      <w:sz w:val="18"/>
      <w:szCs w:val="18"/>
    </w:rPr>
  </w:style>
  <w:style w:type="character" w:customStyle="1" w:styleId="40">
    <w:name w:val="标题 6 字符"/>
    <w:basedOn w:val="21"/>
    <w:link w:val="8"/>
    <w:semiHidden/>
    <w:qFormat/>
    <w:uiPriority w:val="9"/>
    <w:rPr>
      <w:rFonts w:asciiTheme="majorHAnsi" w:hAnsiTheme="majorHAnsi" w:eastAsiaTheme="majorEastAsia" w:cstheme="majorBidi"/>
      <w:b/>
      <w:bCs/>
      <w:kern w:val="2"/>
      <w:sz w:val="24"/>
      <w:szCs w:val="24"/>
    </w:rPr>
  </w:style>
  <w:style w:type="character" w:customStyle="1" w:styleId="41">
    <w:name w:val="font2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1904F-6339-49A1-A76F-3F24BED1D8A3}">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42293</Words>
  <Characters>44146</Characters>
  <Lines>489</Lines>
  <Paragraphs>137</Paragraphs>
  <TotalTime>122</TotalTime>
  <ScaleCrop>false</ScaleCrop>
  <LinksUpToDate>false</LinksUpToDate>
  <CharactersWithSpaces>44244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2021-05-06T02:23:00Z</dcterms:created>
  <dc:creator>yuan</dc:creator>
  <cp:lastModifiedBy>zaolin</cp:lastModifiedBy>
  <cp:lastPrinted>2023-02-22T07:29:03Z</cp:lastPrinted>
  <dcterms:modified xsi:type="dcterms:W3CDTF">2023-02-22T07:29:36Z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482C268BD26E41ADA9D0AF5C19EE0F41</vt:lpwstr>
  </property>
</Properties>
</file>