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56" w:afterLines="50" w:line="600" w:lineRule="exact"/>
        <w:ind w:left="3080" w:hanging="3080" w:hangingChars="700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 xml:space="preserve"> “十四五”主要行业节能指标</w:t>
      </w:r>
    </w:p>
    <w:tbl>
      <w:tblPr>
        <w:tblStyle w:val="6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1407"/>
        <w:gridCol w:w="1878"/>
        <w:gridCol w:w="1008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22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指  标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单 位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2020 年实际值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2025 年指标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622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07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目标值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300" w:lineRule="exact"/>
              <w:jc w:val="center"/>
              <w:textAlignment w:val="top"/>
              <w:rPr>
                <w:rFonts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Cs w:val="24"/>
                <w:shd w:val="clear" w:color="auto" w:fill="FFFFFF"/>
              </w:rPr>
              <w:t>变化幅度/变化率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火电平均供电煤耗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克标准煤/千瓦时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307</w:t>
            </w: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297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-10</w:t>
            </w:r>
          </w:p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非化石能源占能源消费总量比重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%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12.3</w:t>
            </w: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16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水泥熟料综合能耗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千克标准煤/吨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106.5</w:t>
            </w: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102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新建大型和超大型数据中心电能利用效率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&lt;1.3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城镇新建建筑执行绿色建筑标准比例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%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56</w:t>
            </w: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100</w:t>
            </w: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营运车辆单位运输周转量能耗下降率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[4%]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4"/>
                <w:shd w:val="clear" w:color="auto" w:fill="FFFFFF"/>
              </w:rPr>
              <w:t>公共机构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公共机构单位建筑面积能耗下降率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[4%]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622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公共机构人均综合能耗下降率</w:t>
            </w:r>
          </w:p>
        </w:tc>
        <w:tc>
          <w:tcPr>
            <w:tcW w:w="140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jc w:val="center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[6%]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62" w:type="dxa"/>
            <w:gridSpan w:val="5"/>
            <w:vAlign w:val="center"/>
          </w:tcPr>
          <w:p>
            <w:pPr>
              <w:pStyle w:val="4"/>
              <w:widowControl/>
              <w:spacing w:beforeAutospacing="0" w:afterAutospacing="0" w:line="400" w:lineRule="exact"/>
              <w:textAlignment w:val="top"/>
              <w:rPr>
                <w:rFonts w:ascii="仿宋" w:hAnsi="仿宋" w:eastAsia="仿宋" w:cs="仿宋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shd w:val="clear" w:color="auto" w:fill="FFFFFF"/>
              </w:rPr>
              <w:t>注:[] 内为变化率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526CC"/>
    <w:rsid w:val="4B4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hint="eastAsia" w:ascii="宋体" w:hAnsi="Courier New" w:eastAsia="宋体" w:cs="Times New Roman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2022-12-19T08:49:00Z</dcterms:created>
  <dc:creator>86135</dc:creator>
  <cp:lastModifiedBy>86135</cp:lastModifiedBy>
  <dcterms:modified xsi:type="dcterms:W3CDTF">2022-12-19T08:50:44Z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