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南阳市优化营商环境条例</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（2022年6月22日南阳市第六届人民代表大会常务委员会第三十五次会议通过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2022年7月30日河南省第十三届人民代表大会常务委员会第三十四次会议批准）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市场环境</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政务服务</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法治保障</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持续优化营商环境，高质量建设河南省副中心城市和豫南高效生态经济示范区，推进治理体系和治理能力现代化，平等保护各类市场主体的合法权益,充分激发市场活力，根据《优化营商环境条例》《河南省优化营商环境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本市行政区域内的优化营商环境工作,适用本条例。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优化营商环境应当遵循市场化、法治化、国际化、便利化原则，以市场主体需求为导向，以市场主体满意度为评价依据，以政府职能转变为核心，以审批最少、流程最优、体制最顺、机制最活、效率最高、服务最好、国内一流为目标，践行有求必应、无事不扰的服务理念，建立健全常态化、持续性优化营商环境工作机制，为各类市场主体营造安全稳定、统一开放、公开透明、公平公正、便利快捷、可预期的良好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市场主体在市场经济活动中权利平等、机会平等、规则平等。市场主体和企业经营者的人身权利、财产权利、经营自主权利以及其他合法权益受法律保护，任何单位和个人不得侵犯。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各级人民政府负责本行政区域内的优化营商环境工作。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发展改革部门是优化营商环境工作的主管部门，负责组织、协调、指导、监督优化营商环境工作。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工业和信息化、公安、司法行政、人力资源社会保障、自然资源和规划、住房城乡建设、商务、卫生健康、市场监管、城市管理、政务服务和大数据管理等部门应当按照各自职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市、县(市、区）人民政府应当建立健全优化营商环境考核和激励机制，将优化营商环境工作纳入绩效考核体系，对做出显著成绩的单位和个人按照有关规定给予表彰奖励。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5月18日为南阳企业家节，营造全社会共同尊重、关爱企业家的社会氛围和关心、支持企业发展的鲜明导向，激发和弘扬南阳企业家精神，建设对党忠诚、开放创新、治企有方、兴企有为、专业专注、视野开阔、活力十足、奉献南阳的企业家队伍，彰显和发挥企业家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市场环境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市、县（市、区）人民政府及其有关部门应当平等对待不同地域、不同所有制市场主体，依法保障各类市场主体获得平等待遇，不得制定和实施歧视性政策。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各类市场主体依法平等适用各类支持发展的政策和措施，依法享有平等使用资金、技术、数据、人力资源、土地使用权及其他自然资源等各类生产要素和用水、用电、用气、用热、通信等公共服务资源的权利。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招商引资，应当坚持依法依规、平等协商、互利共赢、务求实效原则。投资政策和优惠条件应当符合法律规定并以书面形式承诺。招商引资成果应当向社会公开，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市、县（市、区）人民政府及其有关部门应当建立招商引资项目落地保障机制和承诺办结制度，实行跟踪服务责任制，积极主动帮助推进项目审批和建设。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严格落实节约集约用地制度，完善土地储备制度，加强土地利用年度计划和土地供应计划管理，优化用地审批供应方式，提高项目用地审批供应效率，依法有效保障重点建设项目、基础设施项目和民生工程用地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市、县（市、区）人民政府应当发挥政府引导作用，加强产业生态链建设，完善产业体系布局，降低市场主体采购、运输、生产、流通和交易成本，增强本地区产业发展的便利化水平。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国家机关、国有企事业单位应当依法主动、及时向市场主体支付账款，大型企业不得利用优势地位拖欠中小微企业账款。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及其有关部门应当加大对国家机关、国有企事业单位拖欠市场主体账款的清理力度，并通过加强预算管理、严格责任追究等措施，建立防范和治理国家机关、国有企事业单位拖欠市场主体账款的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及其有关部门从中小企业采购货物、工程、服务的，应当自交付之日起三十日内支付款项；合同另有约定的，付款期限不得超过六十日。合同约定采取履行进度结算、定期结算等结算方式的，付款期限应当自双方确认结算金额之日起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和工作人员应当依法保护市场主体经营自主权、财产权等合法权益，不得干预应当由市场主体依法自主决策的各类事项，不得对市场主体实施任何形式的摊派，不得干扰市场主体正常生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展改革、工业和信息化、人力资源社会保障、自然资源和规划、税务等部门应当依托门户网站、在线服务平台、政务服务机构等，依法公开涉及市场主体的规划、产业、税费、融资、奖励、补贴、创业、创新、人才、市场等相关政策，确保市场主体能够及时准确了解掌握相关信息，保障符合条件的市场主体依法及时享受相关惠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教育、公安、人力资源社会保障、住房城乡建设、卫生健康等部门应当制定人才引进支持政策，建立完善人才任职、户籍、住房、社保、医疗、子女教育、家属就业等全方位的人才保障体系，在开发区及其他人才密集区周边建设教育、医疗及其他生活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市、县（市、区）人民政府应当建立健全人力资源服务体制机制，完善人才引进、培养、激励、保障等政策措施，为优化营商环境提供人力资源支撑。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司法行政、人力资源社会保障、市场监管等部门应当依法引进和培育法律服务、知识产权、战略咨询、人力资源、职业技术培训、数据分析等第三方服务机构，为市场主体在法律、知识产权、创业、政策、人才、管理等方面提供优质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业和信息化、住房城乡建设、城市管理、市场监管、邮政管理等部门应当建立健全监督机制，加强对供水、供电、供气、供热、排水、污水处理、通信、邮政等公用企事业单位服务范围、标准、收费、流程、完成时限等运营和服务事项的监督管理，依法禁止公用企事业单位实施滥用市场支配地位的行为，确保市场主体获得安全、方便、快捷、稳定和价格合理的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市、县（市、区）人民政府及其有关部门应当建立分级联系企业制度，明确专门人员，依法协调、督促问题解决。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工业和信息化、民政、住房城乡建设、商务、市场监管等部门应当建立健全政企沟通机制，畅通政企沟通渠道，定期组织企业、行业协会商会等参加座谈、调研，听取企业、行业协会商会意见建议，及时了解并依法帮助企业解决发展中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可以设立创业投资引导基金，引导社会各类资本投资经济社会发展的重点领域和薄弱环节，支持外部性强、基础性、带动性、战略性特征明显的产业领域及中小企业创业成长，落实财政金融支持返乡创业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金融监管部门应当完善金融监管、考核和激励机制，鼓励、引导金融机构开发和推广惠及民营企业、中小微企业和新型农业经营主体的金融产品，增加信贷投放，合理增加中长期贷款和信用贷款支持，简化贷款手续，降低综合融资成本，提高民营企业、中小微企业和新型农业经营主体融资便利度、申贷获得率和信贷规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鼓励、支持保险机构创新信用保证保险产品，加大对中小微企业融资保险支持。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展改革部门应当依托公共信用信息共享平台，整合各地区、各部门采集的市场主体信用信息，完善市场主体信用档案，实现信用信息互联互通、共享使用，推进信用信息和信用产品应用，依法向社会提供免费的信用信息查询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部门应当依法征集、披露、使用和管理信用信息，坚持合理、适度的原则，规范失信行为认定依据，准确界定信用信息归集范围和严重失信主体名单认定范围，防止失信行为认定和记入信用记录泛化、扩大化，不得违法设立信用信息平台，不得过度采集信用信息，不得滥用失信惩戒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市场主体因自然灾害、事故灾难或者公共卫生事件等突发事件造成生产经营困难的，市、县（市、区）人民政府应当依法及时制定救助、安置以及推动经济社会稳定持续发展的相关措施并组织实施。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政务服务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市、县（市、区）人民政府及其有关部门应当推动政务服务标准化，创新政务服务方式，不断提高政务服务质量，为市场主体提供规范、便利、高效、透明的政务服务。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进驻政务服务事项集中办理场所的各部门和单位应当授权服务窗口直接完成业务办理。不能直接授权的，应当通过在线审批等方式办理，实现政务服务事项依法限时办结。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市、县（市、区）人民政府应当梳理高频高关联公共服务事项，公布本级一窗通办和一网通办的事项清单，并按照规定实施动态调整。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政务服务事项集中办理场所应当设置专门窗口，负责受理、协调和督促办理依法应当办理而未能办理的政务服务等事项。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市、县（市、区）人民政府设立的线下政务服务机构应当按照下列要求提供政务服务：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（一）健全并公开预约办理、预审咨询、一次性告知、限时办结等制度；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（二）设置自助办事设备，指定专门工作人员提供咨询、指导服务；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（三）未提供预约服务的，不得限定每日办件数量；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（四）行政审批事项由两个以上部门审批的，实行联合办理，进行联审联批；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（五）其他应该提供的合理服务。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乡（镇）人民政府、街道办事处以及村、社区，设立便民服务中心或者便民服务站，为市场主体就近办理政务服务事项提供便利。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市人民政府政务服务和大数据管理部门应当组织建立完善全市一体化在线政务服务平台，整合数据资源、优化业务流程、强化部门协同，实现政务服务线上线下融合互通、数据共享、全市通办、异地可办。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市、县（市、区）人民政府有关部门、公用企事业单位应当依据职责，准确、及时、完整地向在线政务服务平台汇集相关信息。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本市推广使用企业码，企业码应当依托全市一体化在线政务服务平台，以二维码为标识，由有关部门、单位、机构共同发起和参与，建立一站式快速服务通道，为企业在线办理涉企政务服务事项提供便利。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务服务机构、公用企事业单位应当优化服务方式，为特殊群体提供便捷服务。对特殊群体所需的医疗、社保、民政、出入境、生活缴费、资格认证、津贴补贴领取等高频服务事项，应当保留和完善人工服务等传统服务方式，不得限制办理渠道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市场主体、特殊群体等有上门服务需求的，经预约，政务服务机构、公用企事业单位应当提供上门服务。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然资源和规划、住房城乡建设等部门应当优化工程建设项目审批流程，推动全市工程建设项目审批实现全流程网上办理和立项用地规划许可、工程建设许可、施工许可、竣工验收各阶段实现一窗受理、一网通办、限时办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程建设项目按照规定需要由多个部门验收的，市、县（市、区）人民政府应当确定牵头部门，组织自然资源和规划、住房城乡建设、人防等部门制定综合验收方案，一次性集中验收、出具验收意见；符合验收备案条件的，自受理之日起七个工作日内出具竣工验收备案文件。法律、法规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建立健全本级公共资源交易平台体系，完善公共资源交易制度,实行公共资源交易目录管理，公开交易的规则、流程、结果、监管和信用等信息，保障各类市场主体及时获取相关信息，平等参与交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工程建设项目招标投标、土地使用权和矿业权出让、国有产权交易、政府采购等，以及适合以市场化方式配置的自然资源、资产股权、环境权等各类公共资源应当依法纳入公共资源交易平台进行交易。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市、县（市、区）人民政府应当全面提升公共资源交易电子化服务能力，推进不见面开标、远程异地评标，降低企业交易成本。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力资源社会保障部门应当为市场主体提供用工指导、政策咨询、劳动关系协调等服务，组织用工企业加强与中介服务机构、大中专院校及求职者对接，引导有需求的市场主体通过用工余缺调剂开展共享用工，提高人力资源配置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人力资源社会保障、医疗保障、住房公积金、税务等部门或者单位在确保信息安全的前提下，应当为市场主体缴纳税费提供下列便利措施：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（一）推动社保、医保、住房公积金等合并申报及缴纳，减少市场主体缴纳次数和办理时间；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（二）推进税费事项网上办、掌上办，拓展非接触式办税缴费服务；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（三）严格执行增值税等税收优惠政策申报程序，不得增设流转环节；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（四）运用信息化手段及时对市场主体进行纳税预警提醒；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（五）推广使用缴费电子凭证、增值税电子专用发票以及其他电子票据、凭证；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（六）推动落实涉税服务事项异地通办；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（七）其他应当提供的便利措施。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本市实行政务服务评价制度。所有政务服务事项应当纳入政务服务评价体系，评价结果及整改回复情况向社会公开。</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法治保障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default" w:ascii="黑体" w:hAnsi="黑体" w:eastAsia="黑体" w:cs="黑体"/>
          <w:sz w:val="32"/>
          <w:szCs w:val="32"/>
          <w:lang w:val="en"/>
        </w:rPr>
        <w:t xml:space="preserve">  </w:t>
      </w:r>
      <w:r>
        <w:rPr>
          <w:rFonts w:hint="eastAsia" w:ascii="仿宋_GB2312" w:hAnsi="仿宋_GB2312" w:eastAsia="仿宋_GB2312" w:cs="仿宋_GB2312"/>
          <w:sz w:val="32"/>
          <w:szCs w:val="32"/>
        </w:rPr>
        <w:t>市、县（市、区）人民政府及其有关部门制定或者修改与市场主体生产经营活动密切相关的政策措施，应当为市场主体留出一般不少于三十日的适应调整期；涉及行业限制性措施调整的，在听取相关行业企业意见的基础上合理设置缓冲过渡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市、县（市、区）人民政府应当建立知识产权保护和创新激励机制，制定并落实对企业创新奖励、补贴政策。鼓励企业加大专利申请力度，加大研发投入；鼓励知识产权成果转化、交易和应用。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应当建立健全知识产权综合管理、举报、投诉、维权、援助以及跨区域执法协作机制，依法保护知识产权权利主体的合法权益，加强监督检查，查处知识产权违法行为,打击假冒伪劣产品，净化市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市、县（市、区）人民政府有关部门应当按照教育与处罚相结合原则，对市场主体实行下列柔性执法方式：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（一）采用告知、建议、教育和劝导，预防违法违规行为；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（二）采用约谈、告诫或者行政指导纠正轻微违法违规行为；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（三）通过行政调解化解矛盾纠纷；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（四）采用行政协议规范政府、行政机关和市场主体的权利和义务；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（五）其他非强制性执法方式。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default" w:ascii="黑体" w:hAnsi="黑体" w:eastAsia="黑体" w:cs="黑体"/>
          <w:sz w:val="32"/>
          <w:szCs w:val="32"/>
          <w:lang w:val="en"/>
        </w:rPr>
        <w:t xml:space="preserve">  </w:t>
      </w:r>
      <w:bookmarkStart w:id="0" w:name="_GoBack"/>
      <w:bookmarkEnd w:id="0"/>
      <w:r>
        <w:rPr>
          <w:rFonts w:hint="eastAsia" w:ascii="仿宋_GB2312" w:hAnsi="仿宋_GB2312" w:eastAsia="仿宋_GB2312" w:cs="仿宋_GB2312"/>
          <w:sz w:val="32"/>
          <w:szCs w:val="32"/>
        </w:rPr>
        <w:t>市、县（市、区）人民政府应当建立联合执法机制，推进行政部门执法标准互通、执法信息互联、处理结果互认，不得多头执法、越权执法、过度执法。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同一部门对市场主体实施多项执法检查的，应当合并进行；多个部门对同一市场主体进行检查的，由本级人民政府指定部门组织实施联合检查。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有关部门实施行政强制措施，应当坚持合法、适当、教育与强制相结合的原则。严禁违反法定权限、范围、条件、程序对市场主体的财产和企业经营者个人财产实施查封、冻结和扣押等行政强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有关部门作出吊销许可证件、责令停产停业、责令关闭等行政处罚决定，应当坚持合法、适当、教育与处罚相结合的原则，限定在必需的范围内，尽可能减少对市场主体正常生产经营活动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对市场主体采取限产、停产等应急管理措施的，应当严格依照相关法律、法规的规定实施，并根据市场主体的具体生产经营情况采取相应措施，减少对市场主体生产经营活动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涉及人民群众生命安全、发生重特大事故或者举办国家重大活动，并经有权机关依法批准外，不得在相关区域采取要求相关行业、领域的市场主体普遍停产、停业的措施。确需采取普遍停产、停业措施的，应当按照法定程序，依法审慎确定实施范围并向社会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审判机关应当推进民事诉讼繁简分流机制改革，严格遵守审限规定，充分运用商事纠纷速裁机制，依法压缩商事纠纷处理时限，提高审判效率。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应当与审判机关建立信息共享机制，支持、协助审判机关依法查询有关市场主体的身份、财产权利、市场交易等信息，依法协助审判机关对涉案不动产、动产、银行存款、股权、知识产权及其他财产权利实施网络查控和依法处置，提高财产查控和强制执行效率;公安机关应当依法及时收押审判机关决定羁押的人员，严厉打击拒不执行判决、裁定的违法犯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审判机关与仲裁机构应当建立有效衔接的工作机制。审判机关应当依法加强对仲裁案件保全的支持力度。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审判机关、检察机关和公安机关应当审慎对市场主体的法定代表人、主要管理人员以及实际控制人采取限制人身自由的措施，依法需要采取限制人身自由措施的，应当严格依照法定条件和法定程序进行。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判机关、检察机关和公安机关依法需要对市场主体及其法定代表人、主要管理人员、实际控制人的涉案财物采取查封、扣押、冻结等措施的，不得超权限、超范围、超数额、超时限，并有效保护利害关系人的合法权益，减少对市场主体正常生产经营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工业和信息化、司法行政、商务、市场监管等部门应当加强法治宣传教育，促进市场主体法治化建设，支持、帮助市场主体建立健全体制机制，提高依法经营水平，增强综合竞争力。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代表大会常务委员会可以通过听取和审议专项工作报告、执法检查、规范性文件备案审查、专题询问、质询、特定问题调查等方式，加强对优化营商环境工作的监督，检查有关营商环境方面法律、法规的实施情况，对优化营商环境工作中的重大事项和项目作出决议决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有关部门及其工作人员有违反本条例行为的，由法律、法规规定的相关主管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高新技术产业开发区、城乡一体化示范区、官庄工区、鸭河工区和卧龙综合保税区等管委会根据市人民政府的授权，依据本条例做好本辖区优化营商环境工作。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本条例自2022年10月1日起施行。</w:t>
      </w:r>
    </w:p>
    <w:sectPr>
      <w:footerReference r:id="rId3" w:type="default"/>
      <w:pgSz w:w="11906" w:h="16838"/>
      <w:pgMar w:top="1701" w:right="1800" w:bottom="1587" w:left="1800"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E7C19"/>
    <w:rsid w:val="07374F32"/>
    <w:rsid w:val="20CE7C19"/>
    <w:rsid w:val="3E636B2D"/>
    <w:rsid w:val="54A808F4"/>
    <w:rsid w:val="56FE323A"/>
    <w:rsid w:val="578C287C"/>
    <w:rsid w:val="67763594"/>
    <w:rsid w:val="DFCF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7472</Words>
  <Characters>7513</Characters>
  <Lines>0</Lines>
  <Paragraphs>0</Paragraphs>
  <TotalTime>3</TotalTime>
  <ScaleCrop>false</ScaleCrop>
  <LinksUpToDate>false</LinksUpToDate>
  <CharactersWithSpaces>7627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2022-08-22T17:51:00Z</dcterms:created>
  <dc:creator>Administrator</dc:creator>
  <cp:lastModifiedBy>kylin</cp:lastModifiedBy>
  <dcterms:modified xsi:type="dcterms:W3CDTF">2022-09-07T12:46:17Z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260DB9DDC78A4625874BE0006662A0B4</vt:lpwstr>
  </property>
</Properties>
</file>