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ind w:leftChars="0"/>
        <w:jc w:val="center"/>
        <w:rPr>
          <w:rFonts w:hint="eastAsia"/>
          <w:b/>
          <w:bCs/>
          <w:sz w:val="40"/>
          <w:szCs w:val="40"/>
          <w:lang w:eastAsia="zh-CN"/>
        </w:rPr>
      </w:pPr>
    </w:p>
    <w:p>
      <w:pPr>
        <w:widowControl/>
        <w:numPr>
          <w:ilvl w:val="0"/>
          <w:numId w:val="0"/>
        </w:numPr>
        <w:ind w:leftChars="0"/>
        <w:jc w:val="center"/>
        <w:rPr>
          <w:rFonts w:hint="eastAsia"/>
          <w:b/>
          <w:bCs/>
          <w:sz w:val="40"/>
          <w:szCs w:val="40"/>
          <w:lang w:eastAsia="zh-CN"/>
        </w:rPr>
      </w:pPr>
    </w:p>
    <w:p>
      <w:pPr>
        <w:widowControl/>
        <w:numPr>
          <w:ilvl w:val="0"/>
          <w:numId w:val="0"/>
        </w:numPr>
        <w:ind w:leftChars="0"/>
        <w:jc w:val="center"/>
        <w:rPr>
          <w:rFonts w:hint="eastAsia"/>
          <w:b/>
          <w:bCs/>
          <w:sz w:val="40"/>
          <w:szCs w:val="40"/>
          <w:lang w:eastAsia="zh-CN"/>
        </w:rPr>
      </w:pPr>
    </w:p>
    <w:p>
      <w:pPr>
        <w:widowControl/>
        <w:numPr>
          <w:ilvl w:val="0"/>
          <w:numId w:val="0"/>
        </w:numPr>
        <w:ind w:leftChars="0"/>
        <w:jc w:val="center"/>
        <w:rPr>
          <w:rFonts w:hint="eastAsia"/>
          <w:b/>
          <w:bCs/>
          <w:sz w:val="40"/>
          <w:szCs w:val="40"/>
          <w:lang w:eastAsia="zh-CN"/>
        </w:rPr>
      </w:pPr>
    </w:p>
    <w:p>
      <w:pPr>
        <w:widowControl/>
        <w:numPr>
          <w:ilvl w:val="0"/>
          <w:numId w:val="0"/>
        </w:numPr>
        <w:ind w:leftChars="0"/>
        <w:jc w:val="center"/>
        <w:rPr>
          <w:rFonts w:hint="eastAsia"/>
          <w:b/>
          <w:bCs/>
          <w:sz w:val="40"/>
          <w:szCs w:val="40"/>
          <w:lang w:eastAsia="zh-CN"/>
        </w:rPr>
      </w:pPr>
    </w:p>
    <w:p>
      <w:pPr>
        <w:widowControl/>
        <w:numPr>
          <w:ilvl w:val="0"/>
          <w:numId w:val="0"/>
        </w:numPr>
        <w:ind w:leftChars="0"/>
        <w:jc w:val="center"/>
        <w:rPr>
          <w:rFonts w:hint="eastAsia"/>
          <w:b/>
          <w:bCs/>
          <w:sz w:val="56"/>
          <w:szCs w:val="56"/>
          <w:lang w:eastAsia="zh-CN"/>
        </w:rPr>
      </w:pPr>
    </w:p>
    <w:p>
      <w:pPr>
        <w:widowControl/>
        <w:numPr>
          <w:ilvl w:val="0"/>
          <w:numId w:val="0"/>
        </w:numPr>
        <w:ind w:leftChars="0"/>
        <w:jc w:val="center"/>
        <w:rPr>
          <w:rFonts w:hint="eastAsia"/>
          <w:b/>
          <w:bCs/>
          <w:sz w:val="56"/>
          <w:szCs w:val="56"/>
          <w:lang w:eastAsia="zh-CN"/>
        </w:rPr>
      </w:pPr>
    </w:p>
    <w:p>
      <w:pPr>
        <w:widowControl/>
        <w:numPr>
          <w:ilvl w:val="0"/>
          <w:numId w:val="0"/>
        </w:numPr>
        <w:ind w:leftChars="0"/>
        <w:jc w:val="center"/>
        <w:rPr>
          <w:rFonts w:hint="eastAsia"/>
          <w:b/>
          <w:bCs/>
          <w:sz w:val="52"/>
          <w:szCs w:val="52"/>
          <w:lang w:eastAsia="zh-CN"/>
        </w:rPr>
      </w:pPr>
      <w:r>
        <w:rPr>
          <w:rFonts w:hint="eastAsia"/>
          <w:b/>
          <w:bCs/>
          <w:sz w:val="52"/>
          <w:szCs w:val="52"/>
          <w:lang w:val="en-US" w:eastAsia="zh-CN"/>
        </w:rPr>
        <w:t>南阳</w:t>
      </w:r>
      <w:r>
        <w:rPr>
          <w:rFonts w:hint="eastAsia"/>
          <w:b/>
          <w:bCs/>
          <w:sz w:val="52"/>
          <w:szCs w:val="52"/>
          <w:lang w:eastAsia="zh-CN"/>
        </w:rPr>
        <w:t>市应急管理局政务公开事项清单</w:t>
      </w:r>
    </w:p>
    <w:p>
      <w:pPr>
        <w:rPr>
          <w:sz w:val="16"/>
          <w:szCs w:val="18"/>
        </w:rPr>
      </w:pPr>
      <w:r>
        <w:rPr>
          <w:rFonts w:hint="eastAsia"/>
          <w:b/>
          <w:bCs/>
          <w:sz w:val="40"/>
          <w:szCs w:val="40"/>
          <w:lang w:eastAsia="zh-CN"/>
        </w:rPr>
        <w:br w:type="page"/>
      </w:r>
    </w:p>
    <w:p>
      <w:pPr>
        <w:rPr>
          <w:sz w:val="16"/>
          <w:szCs w:val="18"/>
        </w:rPr>
      </w:pPr>
    </w:p>
    <w:tbl>
      <w:tblPr>
        <w:tblStyle w:val="5"/>
        <w:tblW w:w="20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560"/>
        <w:gridCol w:w="1288"/>
        <w:gridCol w:w="5525"/>
        <w:gridCol w:w="2398"/>
        <w:gridCol w:w="3149"/>
        <w:gridCol w:w="2674"/>
        <w:gridCol w:w="1899"/>
        <w:gridCol w:w="857"/>
        <w:gridCol w:w="718"/>
        <w:gridCol w:w="718"/>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 w:hRule="atLeast"/>
          <w:tblHeader/>
          <w:jc w:val="center"/>
        </w:trPr>
        <w:tc>
          <w:tcPr>
            <w:tcW w:w="560" w:type="dxa"/>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序号</w:t>
            </w:r>
          </w:p>
        </w:tc>
        <w:tc>
          <w:tcPr>
            <w:tcW w:w="6813" w:type="dxa"/>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公开事项</w:t>
            </w:r>
          </w:p>
        </w:tc>
        <w:tc>
          <w:tcPr>
            <w:tcW w:w="2398" w:type="dxa"/>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公开内容</w:t>
            </w:r>
          </w:p>
        </w:tc>
        <w:tc>
          <w:tcPr>
            <w:tcW w:w="3149" w:type="dxa"/>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公开依据</w:t>
            </w:r>
          </w:p>
        </w:tc>
        <w:tc>
          <w:tcPr>
            <w:tcW w:w="2674" w:type="dxa"/>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公开时限</w:t>
            </w:r>
          </w:p>
        </w:tc>
        <w:tc>
          <w:tcPr>
            <w:tcW w:w="1899" w:type="dxa"/>
            <w:vMerge w:val="restart"/>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公开渠道和载体</w:t>
            </w:r>
          </w:p>
        </w:tc>
        <w:tc>
          <w:tcPr>
            <w:tcW w:w="1575" w:type="dxa"/>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公开对象</w:t>
            </w:r>
          </w:p>
        </w:tc>
        <w:tc>
          <w:tcPr>
            <w:tcW w:w="1551" w:type="dxa"/>
            <w:gridSpan w:val="2"/>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108" w:type="dxa"/>
            <w:bottom w:w="113" w:type="dxa"/>
            <w:right w:w="108" w:type="dxa"/>
          </w:tblCellMar>
        </w:tblPrEx>
        <w:trPr>
          <w:trHeight w:val="20" w:hRule="atLeast"/>
          <w:tblHeader/>
          <w:jc w:val="center"/>
        </w:trPr>
        <w:tc>
          <w:tcPr>
            <w:tcW w:w="560" w:type="dxa"/>
            <w:vMerge w:val="continue"/>
            <w:vAlign w:val="center"/>
          </w:tcPr>
          <w:p>
            <w:pPr>
              <w:widowControl/>
              <w:spacing w:line="260" w:lineRule="exact"/>
              <w:jc w:val="center"/>
              <w:rPr>
                <w:rFonts w:ascii="黑体" w:hAnsi="黑体" w:eastAsia="黑体" w:cs="宋体"/>
                <w:color w:val="000000"/>
                <w:kern w:val="0"/>
                <w:sz w:val="20"/>
                <w:szCs w:val="20"/>
              </w:rPr>
            </w:pPr>
          </w:p>
        </w:tc>
        <w:tc>
          <w:tcPr>
            <w:tcW w:w="1288" w:type="dxa"/>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一级事项</w:t>
            </w:r>
          </w:p>
        </w:tc>
        <w:tc>
          <w:tcPr>
            <w:tcW w:w="5525" w:type="dxa"/>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二级事项</w:t>
            </w:r>
          </w:p>
        </w:tc>
        <w:tc>
          <w:tcPr>
            <w:tcW w:w="2398" w:type="dxa"/>
            <w:vMerge w:val="continue"/>
            <w:vAlign w:val="center"/>
          </w:tcPr>
          <w:p>
            <w:pPr>
              <w:widowControl/>
              <w:spacing w:line="260" w:lineRule="exact"/>
              <w:jc w:val="center"/>
              <w:rPr>
                <w:rFonts w:ascii="黑体" w:hAnsi="黑体" w:eastAsia="黑体" w:cs="宋体"/>
                <w:color w:val="000000"/>
                <w:kern w:val="0"/>
                <w:sz w:val="20"/>
                <w:szCs w:val="20"/>
              </w:rPr>
            </w:pPr>
          </w:p>
        </w:tc>
        <w:tc>
          <w:tcPr>
            <w:tcW w:w="3149" w:type="dxa"/>
            <w:vMerge w:val="continue"/>
            <w:vAlign w:val="center"/>
          </w:tcPr>
          <w:p>
            <w:pPr>
              <w:widowControl/>
              <w:spacing w:line="260" w:lineRule="exact"/>
              <w:jc w:val="center"/>
              <w:rPr>
                <w:rFonts w:ascii="黑体" w:hAnsi="黑体" w:eastAsia="黑体" w:cs="宋体"/>
                <w:color w:val="000000"/>
                <w:kern w:val="0"/>
                <w:sz w:val="20"/>
                <w:szCs w:val="20"/>
              </w:rPr>
            </w:pPr>
          </w:p>
        </w:tc>
        <w:tc>
          <w:tcPr>
            <w:tcW w:w="2674" w:type="dxa"/>
            <w:vMerge w:val="continue"/>
            <w:vAlign w:val="center"/>
          </w:tcPr>
          <w:p>
            <w:pPr>
              <w:widowControl/>
              <w:spacing w:line="260" w:lineRule="exact"/>
              <w:jc w:val="center"/>
              <w:rPr>
                <w:rFonts w:ascii="黑体" w:hAnsi="黑体" w:eastAsia="黑体" w:cs="宋体"/>
                <w:color w:val="000000"/>
                <w:kern w:val="0"/>
                <w:sz w:val="20"/>
                <w:szCs w:val="20"/>
              </w:rPr>
            </w:pPr>
          </w:p>
        </w:tc>
        <w:tc>
          <w:tcPr>
            <w:tcW w:w="1899" w:type="dxa"/>
            <w:vMerge w:val="continue"/>
            <w:vAlign w:val="center"/>
          </w:tcPr>
          <w:p>
            <w:pPr>
              <w:widowControl/>
              <w:spacing w:line="260" w:lineRule="exact"/>
              <w:jc w:val="center"/>
              <w:rPr>
                <w:rFonts w:ascii="黑体" w:hAnsi="黑体" w:eastAsia="黑体" w:cs="宋体"/>
                <w:color w:val="000000"/>
                <w:kern w:val="0"/>
                <w:sz w:val="20"/>
                <w:szCs w:val="20"/>
              </w:rPr>
            </w:pPr>
          </w:p>
        </w:tc>
        <w:tc>
          <w:tcPr>
            <w:tcW w:w="857" w:type="dxa"/>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全社会</w:t>
            </w:r>
          </w:p>
        </w:tc>
        <w:tc>
          <w:tcPr>
            <w:tcW w:w="718" w:type="dxa"/>
            <w:vAlign w:val="center"/>
          </w:tcPr>
          <w:p>
            <w:pPr>
              <w:widowControl/>
              <w:spacing w:line="260" w:lineRule="exact"/>
              <w:ind w:left="-105" w:leftChars="-50" w:right="-105" w:rightChars="-50"/>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rPr>
              <w:t>特定</w:t>
            </w:r>
          </w:p>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对象</w:t>
            </w:r>
          </w:p>
        </w:tc>
        <w:tc>
          <w:tcPr>
            <w:tcW w:w="718" w:type="dxa"/>
            <w:vAlign w:val="center"/>
          </w:tcPr>
          <w:p>
            <w:pPr>
              <w:widowControl/>
              <w:spacing w:line="260" w:lineRule="exact"/>
              <w:ind w:left="-105" w:leftChars="-50" w:right="-105" w:rightChars="-50"/>
              <w:jc w:val="center"/>
              <w:rPr>
                <w:rFonts w:hint="eastAsia" w:ascii="黑体" w:hAnsi="黑体" w:eastAsia="黑体" w:cs="宋体"/>
                <w:color w:val="000000"/>
                <w:kern w:val="0"/>
                <w:sz w:val="20"/>
                <w:szCs w:val="20"/>
                <w:lang w:eastAsia="zh-CN"/>
              </w:rPr>
            </w:pPr>
            <w:r>
              <w:rPr>
                <w:rFonts w:hint="eastAsia" w:ascii="黑体" w:hAnsi="黑体" w:eastAsia="黑体" w:cs="宋体"/>
                <w:color w:val="000000"/>
                <w:kern w:val="0"/>
                <w:sz w:val="20"/>
                <w:szCs w:val="20"/>
              </w:rPr>
              <w:t>主动</w:t>
            </w:r>
          </w:p>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公开</w:t>
            </w:r>
          </w:p>
        </w:tc>
        <w:tc>
          <w:tcPr>
            <w:tcW w:w="833" w:type="dxa"/>
            <w:vAlign w:val="center"/>
          </w:tcPr>
          <w:p>
            <w:pPr>
              <w:widowControl/>
              <w:spacing w:line="260" w:lineRule="exact"/>
              <w:ind w:left="-105" w:leftChars="-50" w:right="-105" w:rightChars="-50"/>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 w:hRule="atLeast"/>
          <w:jc w:val="center"/>
        </w:trPr>
        <w:tc>
          <w:tcPr>
            <w:tcW w:w="560"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88" w:type="dxa"/>
            <w:vMerge w:val="restart"/>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机构信息</w:t>
            </w: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基本信息</w:t>
            </w:r>
          </w:p>
        </w:tc>
        <w:tc>
          <w:tcPr>
            <w:tcW w:w="2398" w:type="dxa"/>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1.机构名称</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2.联系方式</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3.办公地址</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4.办公时间</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36" w:hRule="atLeast"/>
          <w:jc w:val="center"/>
        </w:trPr>
        <w:tc>
          <w:tcPr>
            <w:tcW w:w="560"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法定职责</w:t>
            </w:r>
          </w:p>
        </w:tc>
        <w:tc>
          <w:tcPr>
            <w:tcW w:w="239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依据“三定”规定确定的本部门法定职责</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jc w:val="center"/>
        </w:trPr>
        <w:tc>
          <w:tcPr>
            <w:tcW w:w="560"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领导简历</w:t>
            </w:r>
          </w:p>
        </w:tc>
        <w:tc>
          <w:tcPr>
            <w:tcW w:w="2398"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1.姓名</w:t>
            </w:r>
          </w:p>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2.职务</w:t>
            </w:r>
          </w:p>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3.工作分工</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4" w:hRule="atLeast"/>
          <w:jc w:val="center"/>
        </w:trPr>
        <w:tc>
          <w:tcPr>
            <w:tcW w:w="560"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内设机构</w:t>
            </w:r>
          </w:p>
        </w:tc>
        <w:tc>
          <w:tcPr>
            <w:tcW w:w="2398" w:type="dxa"/>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1.机构名称</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2.负责人信息</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3.主要职责</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4"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5</w:t>
            </w:r>
          </w:p>
        </w:tc>
        <w:tc>
          <w:tcPr>
            <w:tcW w:w="1288" w:type="dxa"/>
            <w:vMerge w:val="continue"/>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信息公开</w:t>
            </w: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政府信息公开专栏</w:t>
            </w:r>
          </w:p>
        </w:tc>
        <w:tc>
          <w:tcPr>
            <w:tcW w:w="2398"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1.政策</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2.信息公开指南</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3.信息公开制度</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4.法定主动公开内容</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5.信息公开年报</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6.信息依申请公开（平台或途径）</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7.政务公开事项清单</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55"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6</w:t>
            </w:r>
          </w:p>
        </w:tc>
        <w:tc>
          <w:tcPr>
            <w:tcW w:w="128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双随机一公开</w:t>
            </w: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双随机一公开</w:t>
            </w:r>
          </w:p>
        </w:tc>
        <w:tc>
          <w:tcPr>
            <w:tcW w:w="2398" w:type="dxa"/>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1.抽查事项清单</w:t>
            </w:r>
          </w:p>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2.抽查计划方案</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3.抽查检查结果</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466"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7</w:t>
            </w:r>
          </w:p>
        </w:tc>
        <w:tc>
          <w:tcPr>
            <w:tcW w:w="128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建议提案</w:t>
            </w: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建议提案办理</w:t>
            </w:r>
          </w:p>
        </w:tc>
        <w:tc>
          <w:tcPr>
            <w:tcW w:w="2398" w:type="dxa"/>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1.可公开的建议提案办理复文</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2.本单位办理建议提案总体情况及重要工作进展</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41"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c>
          <w:tcPr>
            <w:tcW w:w="1288" w:type="dxa"/>
            <w:vMerge w:val="restart"/>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政策文件</w:t>
            </w:r>
          </w:p>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重大决策预公开</w:t>
            </w:r>
          </w:p>
        </w:tc>
        <w:tc>
          <w:tcPr>
            <w:tcW w:w="2398" w:type="dxa"/>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kern w:val="0"/>
                <w:sz w:val="20"/>
                <w:szCs w:val="20"/>
              </w:rPr>
              <w:t>1.决策草案及说明</w:t>
            </w:r>
          </w:p>
          <w:p>
            <w:pPr>
              <w:widowControl/>
              <w:spacing w:line="260" w:lineRule="exact"/>
              <w:jc w:val="center"/>
              <w:rPr>
                <w:rFonts w:ascii="宋体" w:hAnsi="宋体" w:cs="宋体"/>
                <w:kern w:val="0"/>
                <w:sz w:val="20"/>
                <w:szCs w:val="20"/>
              </w:rPr>
            </w:pPr>
            <w:r>
              <w:rPr>
                <w:rFonts w:hint="eastAsia" w:ascii="宋体" w:hAnsi="宋体" w:cs="宋体"/>
                <w:kern w:val="0"/>
                <w:sz w:val="20"/>
                <w:szCs w:val="20"/>
              </w:rPr>
              <w:t>2.社会公众普遍关心或者专业性、技术性较强的重大行政决策公众意见收集和采纳情况</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1"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9</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法律法规</w:t>
            </w:r>
          </w:p>
        </w:tc>
        <w:tc>
          <w:tcPr>
            <w:tcW w:w="2398"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履行本部门职能职责涉及的主要法律法规</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hint="eastAsia" w:ascii="宋体" w:hAnsi="宋体" w:cs="宋体"/>
                <w:kern w:val="0"/>
                <w:sz w:val="20"/>
                <w:szCs w:val="20"/>
              </w:rPr>
            </w:pPr>
          </w:p>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■政府网站</w:t>
            </w:r>
          </w:p>
          <w:p>
            <w:pPr>
              <w:widowControl/>
              <w:spacing w:line="260" w:lineRule="exact"/>
              <w:jc w:val="center"/>
              <w:rPr>
                <w:rFonts w:ascii="宋体" w:hAnsi="宋体" w:cs="宋体"/>
                <w:color w:val="000000"/>
                <w:kern w:val="0"/>
                <w:sz w:val="20"/>
                <w:szCs w:val="20"/>
              </w:rPr>
            </w:pP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41"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0</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行政规章</w:t>
            </w:r>
          </w:p>
        </w:tc>
        <w:tc>
          <w:tcPr>
            <w:tcW w:w="2398" w:type="dxa"/>
            <w:vAlign w:val="center"/>
          </w:tcPr>
          <w:p>
            <w:pPr>
              <w:widowControl/>
              <w:spacing w:line="260" w:lineRule="exact"/>
              <w:jc w:val="center"/>
              <w:rPr>
                <w:rFonts w:ascii="宋体" w:hAnsi="宋体" w:cs="宋体"/>
                <w:kern w:val="0"/>
                <w:sz w:val="20"/>
                <w:szCs w:val="20"/>
              </w:rPr>
            </w:pPr>
            <w:r>
              <w:rPr>
                <w:rFonts w:hint="eastAsia" w:ascii="宋体" w:hAnsi="宋体" w:cs="宋体"/>
                <w:color w:val="000000"/>
                <w:kern w:val="0"/>
                <w:sz w:val="20"/>
                <w:szCs w:val="20"/>
              </w:rPr>
              <w:t>履行本部门职能职责涉及的主要行政规章</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color w:val="000000"/>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75"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1</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行业部门文件</w:t>
            </w:r>
          </w:p>
        </w:tc>
        <w:tc>
          <w:tcPr>
            <w:tcW w:w="239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kern w:val="0"/>
                <w:sz w:val="20"/>
                <w:szCs w:val="20"/>
              </w:rPr>
              <w:t>以省委、省政府，国家或省行业主管部门名义印发的规范性文件或其他政策文件</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231"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2</w:t>
            </w:r>
          </w:p>
        </w:tc>
        <w:tc>
          <w:tcPr>
            <w:tcW w:w="1288" w:type="dxa"/>
            <w:vMerge w:val="restart"/>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w:t>
            </w:r>
            <w:r>
              <w:rPr>
                <w:rFonts w:ascii="宋体" w:hAnsi="宋体" w:cs="宋体"/>
                <w:color w:val="000000"/>
                <w:kern w:val="0"/>
                <w:sz w:val="20"/>
                <w:szCs w:val="20"/>
              </w:rPr>
              <w:t>民互动</w:t>
            </w: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政策解读</w:t>
            </w:r>
          </w:p>
        </w:tc>
        <w:tc>
          <w:tcPr>
            <w:tcW w:w="2398" w:type="dxa"/>
            <w:vAlign w:val="center"/>
          </w:tcPr>
          <w:p>
            <w:pPr>
              <w:widowControl/>
              <w:spacing w:line="260" w:lineRule="exact"/>
              <w:jc w:val="center"/>
              <w:rPr>
                <w:rFonts w:ascii="宋体" w:hAnsi="宋体" w:cs="宋体"/>
                <w:kern w:val="0"/>
                <w:sz w:val="20"/>
                <w:szCs w:val="20"/>
              </w:rPr>
            </w:pPr>
            <w:r>
              <w:rPr>
                <w:rFonts w:hint="eastAsia" w:ascii="宋体" w:hAnsi="宋体" w:cs="宋体"/>
                <w:color w:val="000000"/>
                <w:kern w:val="0"/>
                <w:sz w:val="20"/>
                <w:szCs w:val="20"/>
              </w:rPr>
              <w:t>对上级或本部门印发的有关应急管理工作的规范性文件的解读材料等信息</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041" w:hRule="atLeast"/>
          <w:jc w:val="center"/>
        </w:trPr>
        <w:tc>
          <w:tcPr>
            <w:tcW w:w="560"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ascii="宋体" w:hAnsi="宋体" w:cs="宋体"/>
                <w:color w:val="000000"/>
                <w:kern w:val="0"/>
                <w:sz w:val="20"/>
                <w:szCs w:val="20"/>
              </w:rPr>
              <w:t>1</w:t>
            </w:r>
            <w:r>
              <w:rPr>
                <w:rFonts w:hint="eastAsia" w:ascii="宋体" w:hAnsi="宋体" w:cs="宋体"/>
                <w:color w:val="000000"/>
                <w:kern w:val="0"/>
                <w:sz w:val="20"/>
                <w:szCs w:val="20"/>
                <w:lang w:val="en-US" w:eastAsia="zh-CN"/>
              </w:rPr>
              <w:t>3</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咨询、投诉、举报、建议</w:t>
            </w:r>
          </w:p>
        </w:tc>
        <w:tc>
          <w:tcPr>
            <w:tcW w:w="2398"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1.投诉举报电话</w:t>
            </w:r>
          </w:p>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2.网民留言</w:t>
            </w:r>
          </w:p>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3.回复选登</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304" w:hRule="atLeast"/>
          <w:jc w:val="center"/>
        </w:trPr>
        <w:tc>
          <w:tcPr>
            <w:tcW w:w="560" w:type="dxa"/>
            <w:vAlign w:val="center"/>
          </w:tcPr>
          <w:p>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w:t>
            </w:r>
          </w:p>
        </w:tc>
        <w:tc>
          <w:tcPr>
            <w:tcW w:w="1288" w:type="dxa"/>
            <w:vMerge w:val="restart"/>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重点领域信息</w:t>
            </w:r>
          </w:p>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权责清单</w:t>
            </w:r>
          </w:p>
        </w:tc>
        <w:tc>
          <w:tcPr>
            <w:tcW w:w="239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kern w:val="0"/>
                <w:sz w:val="20"/>
                <w:szCs w:val="20"/>
              </w:rPr>
              <w:t>经相关部门核定的权力和责任清单</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261" w:hRule="atLeast"/>
          <w:jc w:val="center"/>
        </w:trPr>
        <w:tc>
          <w:tcPr>
            <w:tcW w:w="560" w:type="dxa"/>
            <w:vAlign w:val="center"/>
          </w:tcPr>
          <w:p>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规划计划</w:t>
            </w:r>
          </w:p>
        </w:tc>
        <w:tc>
          <w:tcPr>
            <w:tcW w:w="2398"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w:t>
            </w:r>
            <w:r>
              <w:rPr>
                <w:rFonts w:hint="eastAsia" w:ascii="宋体" w:hAnsi="宋体" w:cs="宋体"/>
                <w:color w:val="000000"/>
                <w:kern w:val="0"/>
                <w:sz w:val="20"/>
                <w:szCs w:val="20"/>
                <w:lang w:val="en-US" w:eastAsia="zh-CN"/>
              </w:rPr>
              <w:t>南阳</w:t>
            </w:r>
            <w:r>
              <w:rPr>
                <w:rFonts w:hint="eastAsia" w:ascii="宋体" w:hAnsi="宋体" w:cs="宋体"/>
                <w:color w:val="000000"/>
                <w:kern w:val="0"/>
                <w:sz w:val="20"/>
                <w:szCs w:val="20"/>
                <w:lang w:eastAsia="zh-CN"/>
              </w:rPr>
              <w:t>市</w:t>
            </w:r>
            <w:r>
              <w:rPr>
                <w:rFonts w:hint="eastAsia" w:ascii="宋体" w:hAnsi="宋体" w:cs="宋体"/>
                <w:color w:val="000000"/>
                <w:kern w:val="0"/>
                <w:sz w:val="20"/>
                <w:szCs w:val="20"/>
              </w:rPr>
              <w:t>应急管理工作规划</w:t>
            </w:r>
          </w:p>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南阳</w:t>
            </w:r>
            <w:r>
              <w:rPr>
                <w:rFonts w:hint="eastAsia" w:ascii="宋体" w:hAnsi="宋体" w:cs="宋体"/>
                <w:color w:val="000000"/>
                <w:kern w:val="0"/>
                <w:sz w:val="20"/>
                <w:szCs w:val="20"/>
                <w:lang w:eastAsia="zh-CN"/>
              </w:rPr>
              <w:t>市</w:t>
            </w:r>
            <w:r>
              <w:rPr>
                <w:rFonts w:hint="eastAsia" w:ascii="宋体" w:hAnsi="宋体" w:cs="宋体"/>
                <w:color w:val="000000"/>
                <w:kern w:val="0"/>
                <w:sz w:val="20"/>
                <w:szCs w:val="20"/>
              </w:rPr>
              <w:t>年度应急管理工作要点</w:t>
            </w:r>
          </w:p>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r>
              <w:rPr>
                <w:rFonts w:hint="eastAsia" w:ascii="宋体" w:hAnsi="宋体" w:cs="宋体"/>
                <w:color w:val="000000"/>
                <w:kern w:val="0"/>
                <w:sz w:val="20"/>
                <w:szCs w:val="20"/>
                <w:lang w:val="en-US" w:eastAsia="zh-CN"/>
              </w:rPr>
              <w:t>南阳</w:t>
            </w:r>
            <w:r>
              <w:rPr>
                <w:rFonts w:hint="eastAsia" w:ascii="宋体" w:hAnsi="宋体" w:cs="宋体"/>
                <w:color w:val="000000"/>
                <w:kern w:val="0"/>
                <w:sz w:val="20"/>
                <w:szCs w:val="20"/>
                <w:lang w:eastAsia="zh-CN"/>
              </w:rPr>
              <w:t>市</w:t>
            </w:r>
            <w:r>
              <w:rPr>
                <w:rFonts w:hint="eastAsia" w:ascii="宋体" w:hAnsi="宋体" w:cs="宋体"/>
                <w:color w:val="000000"/>
                <w:kern w:val="0"/>
                <w:sz w:val="20"/>
                <w:szCs w:val="20"/>
              </w:rPr>
              <w:t>安全生产执法监察计划</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■政府网站</w:t>
            </w:r>
          </w:p>
          <w:p>
            <w:pPr>
              <w:widowControl/>
              <w:spacing w:line="260" w:lineRule="exact"/>
              <w:jc w:val="center"/>
              <w:rPr>
                <w:rFonts w:hint="eastAsia" w:ascii="宋体" w:hAnsi="宋体" w:eastAsia="宋体" w:cs="宋体"/>
                <w:color w:val="000000"/>
                <w:kern w:val="0"/>
                <w:sz w:val="20"/>
                <w:szCs w:val="20"/>
                <w:lang w:eastAsia="zh-CN"/>
              </w:rPr>
            </w:pP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814" w:hRule="atLeast"/>
          <w:jc w:val="center"/>
        </w:trPr>
        <w:tc>
          <w:tcPr>
            <w:tcW w:w="560" w:type="dxa"/>
            <w:vAlign w:val="center"/>
          </w:tcPr>
          <w:p>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16</w:t>
            </w:r>
          </w:p>
        </w:tc>
        <w:tc>
          <w:tcPr>
            <w:tcW w:w="1288" w:type="dxa"/>
            <w:vMerge w:val="continue"/>
            <w:vAlign w:val="center"/>
          </w:tcPr>
          <w:p>
            <w:pPr>
              <w:widowControl/>
              <w:spacing w:line="260" w:lineRule="exact"/>
              <w:jc w:val="center"/>
              <w:rPr>
                <w:rFonts w:ascii="宋体" w:hAnsi="宋体" w:cs="宋体"/>
                <w:color w:val="000000"/>
                <w:kern w:val="0"/>
                <w:sz w:val="20"/>
                <w:szCs w:val="20"/>
              </w:rPr>
            </w:pPr>
          </w:p>
        </w:tc>
        <w:tc>
          <w:tcPr>
            <w:tcW w:w="5525"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财政资金</w:t>
            </w:r>
          </w:p>
        </w:tc>
        <w:tc>
          <w:tcPr>
            <w:tcW w:w="2398"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财政预决算报告</w:t>
            </w:r>
          </w:p>
        </w:tc>
        <w:tc>
          <w:tcPr>
            <w:tcW w:w="3149" w:type="dxa"/>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ascii="宋体" w:hAnsi="宋体" w:cs="宋体"/>
                <w:kern w:val="0"/>
                <w:sz w:val="20"/>
                <w:szCs w:val="20"/>
              </w:rPr>
            </w:pPr>
            <w:r>
              <w:rPr>
                <w:rFonts w:hint="eastAsia" w:ascii="宋体" w:hAnsi="宋体" w:cs="宋体"/>
                <w:color w:val="000000"/>
                <w:kern w:val="0"/>
                <w:sz w:val="20"/>
                <w:szCs w:val="20"/>
              </w:rPr>
              <w:t>信息产生或变更之日起20个工作日内公开，保持长期公开（相关法律法规另有规定的，从其规定）</w:t>
            </w:r>
          </w:p>
        </w:tc>
        <w:tc>
          <w:tcPr>
            <w:tcW w:w="1899"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■政府网站</w:t>
            </w:r>
          </w:p>
        </w:tc>
        <w:tc>
          <w:tcPr>
            <w:tcW w:w="857"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718" w:type="dxa"/>
            <w:vAlign w:val="center"/>
          </w:tcPr>
          <w:p>
            <w:pPr>
              <w:widowControl/>
              <w:spacing w:line="260" w:lineRule="exact"/>
              <w:jc w:val="center"/>
              <w:rPr>
                <w:rFonts w:ascii="宋体" w:hAnsi="宋体" w:cs="宋体"/>
                <w:color w:val="000000"/>
                <w:kern w:val="0"/>
                <w:sz w:val="20"/>
                <w:szCs w:val="20"/>
              </w:rPr>
            </w:pPr>
          </w:p>
        </w:tc>
        <w:tc>
          <w:tcPr>
            <w:tcW w:w="718" w:type="dxa"/>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33" w:type="dxa"/>
            <w:vAlign w:val="center"/>
          </w:tcPr>
          <w:p>
            <w:pPr>
              <w:widowControl/>
              <w:spacing w:line="260" w:lineRule="exact"/>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1" w:hRule="atLeast"/>
          <w:jc w:val="center"/>
        </w:trPr>
        <w:tc>
          <w:tcPr>
            <w:tcW w:w="560"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8" w:lineRule="atLeast"/>
              <w:ind w:left="0" w:leftChars="0" w:right="0" w:rightChars="0"/>
              <w:jc w:val="center"/>
              <w:rPr>
                <w:rFonts w:hint="default" w:ascii="宋体" w:hAnsi="宋体" w:eastAsia="宋体" w:cs="宋体"/>
                <w:color w:val="000000"/>
                <w:kern w:val="0"/>
                <w:sz w:val="20"/>
                <w:szCs w:val="20"/>
                <w:lang w:val="en-US" w:eastAsia="zh-CN"/>
              </w:rPr>
            </w:pPr>
            <w:r>
              <w:rPr>
                <w:rFonts w:hint="eastAsia" w:ascii="Times New Roman" w:hAnsi="Times New Roman" w:cs="Times New Roman"/>
                <w:sz w:val="18"/>
                <w:szCs w:val="18"/>
                <w:lang w:val="en-US" w:eastAsia="zh-CN"/>
              </w:rPr>
              <w:t>17</w:t>
            </w:r>
          </w:p>
        </w:tc>
        <w:tc>
          <w:tcPr>
            <w:tcW w:w="1288" w:type="dxa"/>
            <w:vAlign w:val="center"/>
          </w:tcPr>
          <w:p>
            <w:pPr>
              <w:widowControl/>
              <w:spacing w:line="260" w:lineRule="exact"/>
              <w:jc w:val="center"/>
              <w:rPr>
                <w:rFonts w:hint="eastAsia" w:ascii="宋体" w:hAnsi="宋体" w:cs="宋体"/>
                <w:color w:val="000000"/>
                <w:kern w:val="0"/>
                <w:sz w:val="20"/>
                <w:szCs w:val="20"/>
              </w:rPr>
            </w:pPr>
            <w:r>
              <w:rPr>
                <w:rFonts w:hint="default" w:ascii="宋体" w:hAnsi="宋体" w:cs="宋体"/>
                <w:color w:val="000000"/>
                <w:kern w:val="0"/>
                <w:sz w:val="20"/>
                <w:szCs w:val="20"/>
              </w:rPr>
              <w:t>事项办理(</w:t>
            </w:r>
            <w:r>
              <w:rPr>
                <w:rFonts w:hint="eastAsia" w:ascii="宋体" w:hAnsi="宋体" w:cs="宋体"/>
                <w:color w:val="000000"/>
                <w:kern w:val="0"/>
                <w:sz w:val="20"/>
                <w:szCs w:val="20"/>
              </w:rPr>
              <w:t>行政处罚</w:t>
            </w:r>
            <w:r>
              <w:rPr>
                <w:rFonts w:hint="default" w:ascii="宋体" w:hAnsi="宋体" w:cs="宋体"/>
                <w:color w:val="000000"/>
                <w:kern w:val="0"/>
                <w:sz w:val="20"/>
                <w:szCs w:val="20"/>
              </w:rPr>
              <w:t>)</w:t>
            </w:r>
          </w:p>
        </w:tc>
        <w:tc>
          <w:tcPr>
            <w:tcW w:w="5525" w:type="dxa"/>
            <w:vAlign w:val="center"/>
          </w:tcPr>
          <w:p>
            <w:pPr>
              <w:widowControl/>
              <w:spacing w:line="260" w:lineRule="exact"/>
              <w:jc w:val="center"/>
              <w:rPr>
                <w:rFonts w:hint="eastAsia" w:ascii="宋体" w:hAnsi="宋体" w:cs="宋体"/>
                <w:color w:val="000000"/>
                <w:kern w:val="0"/>
                <w:sz w:val="20"/>
                <w:szCs w:val="20"/>
                <w:lang w:eastAsia="zh-CN"/>
              </w:rPr>
            </w:pPr>
            <w:r>
              <w:rPr>
                <w:rFonts w:hint="default" w:ascii="宋体" w:hAnsi="宋体" w:cs="宋体"/>
                <w:color w:val="000000"/>
                <w:kern w:val="0"/>
                <w:sz w:val="20"/>
                <w:szCs w:val="20"/>
              </w:rPr>
              <w:t>（共2</w:t>
            </w:r>
            <w:r>
              <w:rPr>
                <w:rFonts w:hint="eastAsia" w:ascii="宋体" w:hAnsi="宋体" w:cs="宋体"/>
                <w:color w:val="000000"/>
                <w:kern w:val="0"/>
                <w:sz w:val="20"/>
                <w:szCs w:val="20"/>
              </w:rPr>
              <w:t>项）对发现的危险化学品、经营单位，工商贸企业存在的安全生产违法行为，依据《中华人民共和国安全生产法》《</w:t>
            </w:r>
            <w:r>
              <w:rPr>
                <w:rFonts w:hint="eastAsia" w:ascii="宋体" w:hAnsi="宋体" w:cs="宋体"/>
                <w:color w:val="000000"/>
                <w:kern w:val="0"/>
                <w:sz w:val="20"/>
                <w:szCs w:val="20"/>
                <w:lang w:eastAsia="zh-CN"/>
              </w:rPr>
              <w:t>河南省安全生产条例</w:t>
            </w:r>
            <w:r>
              <w:rPr>
                <w:rFonts w:hint="eastAsia" w:ascii="宋体" w:hAnsi="宋体" w:cs="宋体"/>
                <w:color w:val="000000"/>
                <w:kern w:val="0"/>
                <w:sz w:val="20"/>
                <w:szCs w:val="20"/>
              </w:rPr>
              <w:t>》以及其他有关安全生产法律法规规定，依法作出行政处罚决定；对发现的安全评价机构、安全生产检测检验机构、安全培训机构存在的安全生产违法行为，依据《中华人民共和国安全生产法》《</w:t>
            </w:r>
            <w:r>
              <w:rPr>
                <w:rFonts w:hint="eastAsia" w:ascii="宋体" w:hAnsi="宋体" w:cs="宋体"/>
                <w:color w:val="000000"/>
                <w:kern w:val="0"/>
                <w:sz w:val="20"/>
                <w:szCs w:val="20"/>
                <w:lang w:eastAsia="zh-CN"/>
              </w:rPr>
              <w:t>河南省安全生产条例</w:t>
            </w:r>
            <w:r>
              <w:rPr>
                <w:rFonts w:hint="eastAsia" w:ascii="宋体" w:hAnsi="宋体" w:cs="宋体"/>
                <w:color w:val="000000"/>
                <w:kern w:val="0"/>
                <w:sz w:val="20"/>
                <w:szCs w:val="20"/>
              </w:rPr>
              <w:t>》以及其他有关安全生产法律法规规定，依法作出行政处罚决定</w:t>
            </w:r>
          </w:p>
        </w:tc>
        <w:tc>
          <w:tcPr>
            <w:tcW w:w="2398" w:type="dxa"/>
            <w:vAlign w:val="center"/>
          </w:tcPr>
          <w:p>
            <w:pPr>
              <w:widowControl/>
              <w:spacing w:line="260" w:lineRule="exact"/>
              <w:jc w:val="center"/>
              <w:rPr>
                <w:rFonts w:hint="eastAsia" w:ascii="宋体" w:hAnsi="宋体" w:cs="宋体"/>
                <w:color w:val="000000"/>
                <w:kern w:val="0"/>
                <w:sz w:val="20"/>
                <w:szCs w:val="20"/>
              </w:rPr>
            </w:pPr>
            <w:r>
              <w:rPr>
                <w:rFonts w:hint="default" w:ascii="宋体" w:hAnsi="宋体" w:cs="宋体"/>
                <w:color w:val="000000"/>
                <w:kern w:val="0"/>
                <w:sz w:val="20"/>
                <w:szCs w:val="20"/>
              </w:rPr>
              <w:t>每类事项的基本信息、结果信息</w:t>
            </w:r>
          </w:p>
        </w:tc>
        <w:tc>
          <w:tcPr>
            <w:tcW w:w="3149" w:type="dxa"/>
            <w:vAlign w:val="center"/>
          </w:tcPr>
          <w:p>
            <w:pPr>
              <w:widowControl/>
              <w:spacing w:line="260" w:lineRule="exact"/>
              <w:jc w:val="center"/>
              <w:rPr>
                <w:rFonts w:hint="eastAsia" w:ascii="宋体" w:hAnsi="宋体" w:cs="宋体"/>
                <w:color w:val="000000"/>
                <w:kern w:val="0"/>
                <w:sz w:val="20"/>
                <w:szCs w:val="20"/>
              </w:rPr>
            </w:pPr>
            <w:r>
              <w:rPr>
                <w:rFonts w:hint="eastAsia" w:ascii="宋体" w:hAnsi="宋体" w:cs="宋体"/>
                <w:kern w:val="0"/>
                <w:sz w:val="20"/>
                <w:szCs w:val="20"/>
              </w:rPr>
              <w:t>《中华人民共和国政府信息公开条例》等法律法规规章和规范性文件</w:t>
            </w:r>
          </w:p>
        </w:tc>
        <w:tc>
          <w:tcPr>
            <w:tcW w:w="2674" w:type="dxa"/>
            <w:vAlign w:val="center"/>
          </w:tcPr>
          <w:p>
            <w:pPr>
              <w:widowControl/>
              <w:spacing w:line="260" w:lineRule="exact"/>
              <w:jc w:val="center"/>
              <w:rPr>
                <w:rFonts w:hint="eastAsia" w:ascii="宋体" w:hAnsi="宋体" w:cs="宋体"/>
                <w:color w:val="000000"/>
                <w:kern w:val="0"/>
                <w:sz w:val="20"/>
                <w:szCs w:val="20"/>
              </w:rPr>
            </w:pPr>
            <w:r>
              <w:rPr>
                <w:rFonts w:hint="default" w:ascii="宋体" w:hAnsi="宋体" w:cs="宋体"/>
                <w:color w:val="000000"/>
                <w:kern w:val="0"/>
                <w:sz w:val="20"/>
                <w:szCs w:val="20"/>
              </w:rPr>
              <w:t>执法决定信息在7</w:t>
            </w:r>
            <w:r>
              <w:rPr>
                <w:rFonts w:hint="eastAsia" w:ascii="宋体" w:hAnsi="宋体" w:cs="宋体"/>
                <w:color w:val="000000"/>
                <w:kern w:val="0"/>
                <w:sz w:val="20"/>
                <w:szCs w:val="20"/>
              </w:rPr>
              <w:t>个工作日内公开，其他相关信息形成或变更之日起</w:t>
            </w:r>
            <w:r>
              <w:rPr>
                <w:rFonts w:hint="default" w:ascii="宋体" w:hAnsi="宋体" w:cs="宋体"/>
                <w:color w:val="000000"/>
                <w:kern w:val="0"/>
                <w:sz w:val="20"/>
                <w:szCs w:val="20"/>
              </w:rPr>
              <w:t>20</w:t>
            </w:r>
            <w:r>
              <w:rPr>
                <w:rFonts w:hint="eastAsia" w:ascii="宋体" w:hAnsi="宋体" w:cs="宋体"/>
                <w:color w:val="000000"/>
                <w:kern w:val="0"/>
                <w:sz w:val="20"/>
                <w:szCs w:val="20"/>
              </w:rPr>
              <w:t>个工作日内公开（相关法律法规另有规定的，从其规定）</w:t>
            </w:r>
          </w:p>
        </w:tc>
        <w:tc>
          <w:tcPr>
            <w:tcW w:w="1899" w:type="dxa"/>
            <w:vAlign w:val="center"/>
          </w:tcPr>
          <w:p>
            <w:pPr>
              <w:widowControl/>
              <w:spacing w:line="260" w:lineRule="exact"/>
              <w:jc w:val="center"/>
              <w:rPr>
                <w:rFonts w:hint="eastAsia" w:ascii="宋体" w:hAnsi="宋体" w:eastAsia="宋体" w:cs="宋体"/>
                <w:color w:val="000000"/>
                <w:kern w:val="0"/>
                <w:sz w:val="20"/>
                <w:szCs w:val="20"/>
                <w:lang w:eastAsia="zh-CN"/>
              </w:rPr>
            </w:pPr>
            <w:r>
              <w:rPr>
                <w:rFonts w:hint="default" w:ascii="宋体" w:hAnsi="宋体" w:cs="宋体"/>
                <w:color w:val="000000"/>
                <w:kern w:val="0"/>
                <w:sz w:val="20"/>
                <w:szCs w:val="20"/>
              </w:rPr>
              <w:t>■</w:t>
            </w:r>
            <w:r>
              <w:rPr>
                <w:rFonts w:hint="eastAsia" w:ascii="宋体" w:hAnsi="宋体" w:cs="宋体"/>
                <w:color w:val="000000"/>
                <w:kern w:val="0"/>
                <w:sz w:val="20"/>
                <w:szCs w:val="20"/>
              </w:rPr>
              <w:t>政府网站</w:t>
            </w:r>
          </w:p>
          <w:p>
            <w:pPr>
              <w:widowControl/>
              <w:spacing w:line="260" w:lineRule="exact"/>
              <w:jc w:val="center"/>
              <w:rPr>
                <w:rFonts w:hint="eastAsia" w:ascii="宋体" w:hAnsi="宋体" w:eastAsia="宋体" w:cs="宋体"/>
                <w:color w:val="000000"/>
                <w:kern w:val="0"/>
                <w:sz w:val="20"/>
                <w:szCs w:val="20"/>
                <w:lang w:eastAsia="zh-CN"/>
              </w:rPr>
            </w:pPr>
          </w:p>
        </w:tc>
        <w:tc>
          <w:tcPr>
            <w:tcW w:w="857" w:type="dxa"/>
            <w:vAlign w:val="center"/>
          </w:tcPr>
          <w:p>
            <w:pPr>
              <w:widowControl/>
              <w:spacing w:line="260" w:lineRule="exact"/>
              <w:jc w:val="center"/>
              <w:rPr>
                <w:rFonts w:hint="eastAsia" w:ascii="宋体" w:hAnsi="宋体" w:cs="宋体"/>
                <w:color w:val="000000"/>
                <w:kern w:val="0"/>
                <w:sz w:val="20"/>
                <w:szCs w:val="20"/>
              </w:rPr>
            </w:pPr>
            <w:r>
              <w:rPr>
                <w:rFonts w:hint="default" w:ascii="宋体" w:hAnsi="宋体" w:cs="宋体"/>
                <w:color w:val="000000"/>
                <w:kern w:val="0"/>
                <w:sz w:val="20"/>
                <w:szCs w:val="20"/>
              </w:rPr>
              <w:t>√</w:t>
            </w:r>
          </w:p>
        </w:tc>
        <w:tc>
          <w:tcPr>
            <w:tcW w:w="718" w:type="dxa"/>
            <w:vAlign w:val="center"/>
          </w:tcPr>
          <w:p>
            <w:pPr>
              <w:widowControl/>
              <w:spacing w:line="260" w:lineRule="exact"/>
              <w:jc w:val="center"/>
              <w:rPr>
                <w:rFonts w:hint="eastAsia" w:ascii="宋体" w:hAnsi="宋体" w:cs="宋体"/>
                <w:color w:val="000000"/>
                <w:kern w:val="0"/>
                <w:sz w:val="20"/>
                <w:szCs w:val="20"/>
              </w:rPr>
            </w:pPr>
          </w:p>
        </w:tc>
        <w:tc>
          <w:tcPr>
            <w:tcW w:w="718" w:type="dxa"/>
            <w:vAlign w:val="center"/>
          </w:tcPr>
          <w:p>
            <w:pPr>
              <w:widowControl/>
              <w:spacing w:line="260" w:lineRule="exact"/>
              <w:jc w:val="center"/>
              <w:rPr>
                <w:rFonts w:hint="eastAsia" w:ascii="宋体" w:hAnsi="宋体" w:cs="宋体"/>
                <w:color w:val="000000"/>
                <w:kern w:val="0"/>
                <w:sz w:val="20"/>
                <w:szCs w:val="20"/>
              </w:rPr>
            </w:pPr>
            <w:r>
              <w:rPr>
                <w:rFonts w:hint="default" w:ascii="宋体" w:hAnsi="宋体" w:cs="宋体"/>
                <w:color w:val="000000"/>
                <w:kern w:val="0"/>
                <w:sz w:val="20"/>
                <w:szCs w:val="20"/>
              </w:rPr>
              <w:t>√</w:t>
            </w:r>
          </w:p>
        </w:tc>
        <w:tc>
          <w:tcPr>
            <w:tcW w:w="833" w:type="dxa"/>
            <w:vAlign w:val="center"/>
          </w:tcPr>
          <w:p>
            <w:pPr>
              <w:widowControl/>
              <w:spacing w:line="260" w:lineRule="exact"/>
              <w:jc w:val="center"/>
              <w:rPr>
                <w:rFonts w:hint="eastAsia" w:ascii="宋体" w:hAnsi="宋体" w:cs="宋体"/>
                <w:color w:val="000000"/>
                <w:kern w:val="0"/>
                <w:sz w:val="20"/>
                <w:szCs w:val="20"/>
              </w:rPr>
            </w:pPr>
          </w:p>
        </w:tc>
      </w:tr>
    </w:tbl>
    <w:p>
      <w:pPr>
        <w:widowControl/>
        <w:rPr>
          <w:rFonts w:hint="default"/>
          <w:sz w:val="22"/>
          <w:szCs w:val="24"/>
          <w:lang w:val="en-US" w:eastAsia="zh-CN"/>
        </w:rPr>
      </w:pPr>
      <w:bookmarkStart w:id="0" w:name="_GoBack"/>
      <w:bookmarkEnd w:id="0"/>
      <w:r>
        <w:rPr>
          <w:rFonts w:hint="eastAsia" w:ascii="宋体" w:hAnsi="宋体" w:cs="宋体"/>
          <w:kern w:val="0"/>
          <w:sz w:val="18"/>
          <w:szCs w:val="18"/>
        </w:rPr>
        <w:t>注：法律、法规、规章和国家有关规定规定应当主动公开的其他政府信息应及时列入政务公开事项清单。</w:t>
      </w:r>
    </w:p>
    <w:sectPr>
      <w:pgSz w:w="23757" w:h="16783" w:orient="landscape"/>
      <w:pgMar w:top="1984" w:right="1474" w:bottom="2098" w:left="1587" w:header="851" w:footer="1247" w:gutter="0"/>
      <w:pgNumType w:start="1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4C6025-BAAD-49A6-9A6D-3AA17A2BC8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MWVjYWMzZTQzYmQzNWQxOGZkNjZlZWY4YzBmOTAifQ=="/>
  </w:docVars>
  <w:rsids>
    <w:rsidRoot w:val="00327892"/>
    <w:rsid w:val="00013466"/>
    <w:rsid w:val="00022287"/>
    <w:rsid w:val="00022853"/>
    <w:rsid w:val="00027CF1"/>
    <w:rsid w:val="00035314"/>
    <w:rsid w:val="000403E4"/>
    <w:rsid w:val="00061FB0"/>
    <w:rsid w:val="00074098"/>
    <w:rsid w:val="000B4AC0"/>
    <w:rsid w:val="000D4F76"/>
    <w:rsid w:val="00125477"/>
    <w:rsid w:val="00126012"/>
    <w:rsid w:val="00163F47"/>
    <w:rsid w:val="00167306"/>
    <w:rsid w:val="001841E2"/>
    <w:rsid w:val="00187A25"/>
    <w:rsid w:val="0019746A"/>
    <w:rsid w:val="001A2B35"/>
    <w:rsid w:val="001E358A"/>
    <w:rsid w:val="00234CCB"/>
    <w:rsid w:val="00235AF5"/>
    <w:rsid w:val="00251F8D"/>
    <w:rsid w:val="00262277"/>
    <w:rsid w:val="00266827"/>
    <w:rsid w:val="00270E59"/>
    <w:rsid w:val="002C7FBA"/>
    <w:rsid w:val="00311699"/>
    <w:rsid w:val="00327892"/>
    <w:rsid w:val="003350A0"/>
    <w:rsid w:val="00387A85"/>
    <w:rsid w:val="003C531C"/>
    <w:rsid w:val="003E7067"/>
    <w:rsid w:val="003F49BA"/>
    <w:rsid w:val="004030FA"/>
    <w:rsid w:val="004203C6"/>
    <w:rsid w:val="00472DE4"/>
    <w:rsid w:val="00474482"/>
    <w:rsid w:val="00491514"/>
    <w:rsid w:val="004A4B11"/>
    <w:rsid w:val="004A6D07"/>
    <w:rsid w:val="00500E49"/>
    <w:rsid w:val="00507BE4"/>
    <w:rsid w:val="00534EE7"/>
    <w:rsid w:val="00540479"/>
    <w:rsid w:val="00551FD8"/>
    <w:rsid w:val="00557C37"/>
    <w:rsid w:val="00592AD3"/>
    <w:rsid w:val="005B4A9B"/>
    <w:rsid w:val="005C276A"/>
    <w:rsid w:val="005E6ADF"/>
    <w:rsid w:val="005F4E13"/>
    <w:rsid w:val="00604FCB"/>
    <w:rsid w:val="006335EB"/>
    <w:rsid w:val="00634285"/>
    <w:rsid w:val="006536E8"/>
    <w:rsid w:val="0069045B"/>
    <w:rsid w:val="006A458E"/>
    <w:rsid w:val="006A4EFD"/>
    <w:rsid w:val="006B3491"/>
    <w:rsid w:val="006D507A"/>
    <w:rsid w:val="006F06D4"/>
    <w:rsid w:val="006F3B05"/>
    <w:rsid w:val="006F6631"/>
    <w:rsid w:val="007016EF"/>
    <w:rsid w:val="0071473A"/>
    <w:rsid w:val="00727C9E"/>
    <w:rsid w:val="00737935"/>
    <w:rsid w:val="00762698"/>
    <w:rsid w:val="00793CB5"/>
    <w:rsid w:val="007971F5"/>
    <w:rsid w:val="007D3456"/>
    <w:rsid w:val="007D3FB1"/>
    <w:rsid w:val="007D5EC7"/>
    <w:rsid w:val="00801BB1"/>
    <w:rsid w:val="00813176"/>
    <w:rsid w:val="008243A4"/>
    <w:rsid w:val="00840386"/>
    <w:rsid w:val="008515D5"/>
    <w:rsid w:val="00893285"/>
    <w:rsid w:val="008B2286"/>
    <w:rsid w:val="009022D3"/>
    <w:rsid w:val="009212E1"/>
    <w:rsid w:val="00924CF8"/>
    <w:rsid w:val="00980184"/>
    <w:rsid w:val="00983CD7"/>
    <w:rsid w:val="009922D9"/>
    <w:rsid w:val="00993225"/>
    <w:rsid w:val="009B3C46"/>
    <w:rsid w:val="009C79F3"/>
    <w:rsid w:val="00A60A0F"/>
    <w:rsid w:val="00A7428D"/>
    <w:rsid w:val="00AA5164"/>
    <w:rsid w:val="00AB2EEF"/>
    <w:rsid w:val="00AE125D"/>
    <w:rsid w:val="00AE41D0"/>
    <w:rsid w:val="00AF11AB"/>
    <w:rsid w:val="00B3257C"/>
    <w:rsid w:val="00B84453"/>
    <w:rsid w:val="00C241A5"/>
    <w:rsid w:val="00C31D50"/>
    <w:rsid w:val="00C75FA7"/>
    <w:rsid w:val="00C777BD"/>
    <w:rsid w:val="00C82D79"/>
    <w:rsid w:val="00C85329"/>
    <w:rsid w:val="00C853AE"/>
    <w:rsid w:val="00CD41F6"/>
    <w:rsid w:val="00D23CE5"/>
    <w:rsid w:val="00D242E2"/>
    <w:rsid w:val="00D320FC"/>
    <w:rsid w:val="00D35F05"/>
    <w:rsid w:val="00D67D94"/>
    <w:rsid w:val="00DA1ABA"/>
    <w:rsid w:val="00DE7416"/>
    <w:rsid w:val="00DF3EBF"/>
    <w:rsid w:val="00E136A7"/>
    <w:rsid w:val="00E334B7"/>
    <w:rsid w:val="00E8083C"/>
    <w:rsid w:val="00E81600"/>
    <w:rsid w:val="00E932D2"/>
    <w:rsid w:val="00EA2975"/>
    <w:rsid w:val="00EB6B1D"/>
    <w:rsid w:val="00EE268F"/>
    <w:rsid w:val="00EF0499"/>
    <w:rsid w:val="00F13C2B"/>
    <w:rsid w:val="00F32C5E"/>
    <w:rsid w:val="00F91D7C"/>
    <w:rsid w:val="00F96CE2"/>
    <w:rsid w:val="00FB3BD2"/>
    <w:rsid w:val="00FB7465"/>
    <w:rsid w:val="00FC27F4"/>
    <w:rsid w:val="069F33E9"/>
    <w:rsid w:val="084F7BC2"/>
    <w:rsid w:val="0B1600C0"/>
    <w:rsid w:val="0B9E444D"/>
    <w:rsid w:val="0C3E7B22"/>
    <w:rsid w:val="0C7A144B"/>
    <w:rsid w:val="0D3C0319"/>
    <w:rsid w:val="114B0570"/>
    <w:rsid w:val="197C1E36"/>
    <w:rsid w:val="1A293A7B"/>
    <w:rsid w:val="1A6E30D6"/>
    <w:rsid w:val="1B8E5DFE"/>
    <w:rsid w:val="1E2D620F"/>
    <w:rsid w:val="1E7C718A"/>
    <w:rsid w:val="204E7A89"/>
    <w:rsid w:val="20517888"/>
    <w:rsid w:val="2156269C"/>
    <w:rsid w:val="232721BA"/>
    <w:rsid w:val="24DE3352"/>
    <w:rsid w:val="268B284C"/>
    <w:rsid w:val="28A86F8E"/>
    <w:rsid w:val="29E601F1"/>
    <w:rsid w:val="2BA50A88"/>
    <w:rsid w:val="2CA2406C"/>
    <w:rsid w:val="2CF57952"/>
    <w:rsid w:val="2E8438E1"/>
    <w:rsid w:val="2E8C576D"/>
    <w:rsid w:val="30C03DA0"/>
    <w:rsid w:val="311E4F0E"/>
    <w:rsid w:val="38F460DD"/>
    <w:rsid w:val="3AA54D45"/>
    <w:rsid w:val="3BA5476F"/>
    <w:rsid w:val="3D344420"/>
    <w:rsid w:val="44093E52"/>
    <w:rsid w:val="44DB3186"/>
    <w:rsid w:val="455475CD"/>
    <w:rsid w:val="488F4C5C"/>
    <w:rsid w:val="48A069D2"/>
    <w:rsid w:val="4C76404F"/>
    <w:rsid w:val="4E8B393D"/>
    <w:rsid w:val="51C20B31"/>
    <w:rsid w:val="52597DAA"/>
    <w:rsid w:val="52D75553"/>
    <w:rsid w:val="577F009D"/>
    <w:rsid w:val="58633B93"/>
    <w:rsid w:val="58CF0CC3"/>
    <w:rsid w:val="58E52E67"/>
    <w:rsid w:val="59353EEB"/>
    <w:rsid w:val="59DA0587"/>
    <w:rsid w:val="5CA512FF"/>
    <w:rsid w:val="5F60072D"/>
    <w:rsid w:val="5FC47436"/>
    <w:rsid w:val="630179A4"/>
    <w:rsid w:val="63A05C7E"/>
    <w:rsid w:val="66F6733D"/>
    <w:rsid w:val="68232E85"/>
    <w:rsid w:val="686F0DE5"/>
    <w:rsid w:val="6987602F"/>
    <w:rsid w:val="6B382482"/>
    <w:rsid w:val="6CFB0ED9"/>
    <w:rsid w:val="6D8D3CCB"/>
    <w:rsid w:val="6F4C304C"/>
    <w:rsid w:val="6FC918AB"/>
    <w:rsid w:val="732B2982"/>
    <w:rsid w:val="77291B3A"/>
    <w:rsid w:val="77C51D8C"/>
    <w:rsid w:val="79380A66"/>
    <w:rsid w:val="7AAC567B"/>
    <w:rsid w:val="7C630EA1"/>
    <w:rsid w:val="7CE65BF7"/>
    <w:rsid w:val="7E6B3474"/>
    <w:rsid w:val="7E8B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7"/>
    <w:unhideWhenUsed/>
    <w:qFormat/>
    <w:uiPriority w:val="99"/>
    <w:pPr>
      <w:tabs>
        <w:tab w:val="center" w:pos="4153"/>
        <w:tab w:val="right" w:pos="8306"/>
      </w:tabs>
      <w:snapToGrid w:val="0"/>
      <w:jc w:val="left"/>
    </w:pPr>
    <w:rPr>
      <w:sz w:val="18"/>
      <w:szCs w:val="18"/>
    </w:rPr>
  </w:style>
  <w:style w:type="paragraph" w:styleId="3">
    <w:name w:val="header"/>
    <w:basedOn w:val="1"/>
    <w:link w:val="1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cs="宋体"/>
      <w:kern w:val="0"/>
      <w:sz w:val="22"/>
    </w:rPr>
  </w:style>
  <w:style w:type="paragraph" w:customStyle="1" w:styleId="1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
    <w:name w:val="font7"/>
    <w:basedOn w:val="1"/>
    <w:qFormat/>
    <w:uiPriority w:val="0"/>
    <w:pPr>
      <w:widowControl/>
      <w:spacing w:before="100" w:beforeAutospacing="1" w:after="100" w:afterAutospacing="1"/>
      <w:jc w:val="left"/>
    </w:pPr>
    <w:rPr>
      <w:rFonts w:ascii="Wingdings" w:hAnsi="Wingdings" w:cs="宋体"/>
      <w:kern w:val="0"/>
      <w:sz w:val="22"/>
    </w:rPr>
  </w:style>
  <w:style w:type="paragraph" w:customStyle="1" w:styleId="12">
    <w:name w:val="xl1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
    <w:name w:val="xl117"/>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14">
    <w:name w:val="xl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
    <w:name w:val="xl119"/>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6">
    <w:name w:val="xl12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1">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22">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4">
    <w:name w:val="xl1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25">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6">
    <w:name w:val="xl1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7">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33">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4">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2">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4"/>
      <w:szCs w:val="24"/>
    </w:rPr>
  </w:style>
  <w:style w:type="paragraph" w:customStyle="1" w:styleId="4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153"/>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50">
    <w:name w:val="xl154"/>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51">
    <w:name w:val="xl155"/>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52">
    <w:name w:val="xl156"/>
    <w:basedOn w:val="1"/>
    <w:qFormat/>
    <w:uiPriority w:val="0"/>
    <w:pPr>
      <w:widowControl/>
      <w:spacing w:before="100" w:beforeAutospacing="1" w:after="100" w:afterAutospacing="1"/>
      <w:jc w:val="left"/>
    </w:pPr>
    <w:rPr>
      <w:rFonts w:ascii="方正小标宋简体" w:hAnsi="宋体" w:eastAsia="方正小标宋简体" w:cs="宋体"/>
      <w:kern w:val="0"/>
      <w:sz w:val="44"/>
      <w:szCs w:val="44"/>
    </w:rPr>
  </w:style>
  <w:style w:type="paragraph" w:customStyle="1" w:styleId="53">
    <w:name w:val="xl157"/>
    <w:basedOn w:val="1"/>
    <w:qFormat/>
    <w:uiPriority w:val="0"/>
    <w:pPr>
      <w:widowControl/>
      <w:spacing w:before="100" w:beforeAutospacing="1" w:after="100" w:afterAutospacing="1"/>
      <w:jc w:val="left"/>
    </w:pPr>
    <w:rPr>
      <w:rFonts w:ascii="宋体" w:hAnsi="宋体" w:cs="宋体"/>
      <w:kern w:val="0"/>
      <w:sz w:val="28"/>
      <w:szCs w:val="28"/>
    </w:rPr>
  </w:style>
  <w:style w:type="paragraph" w:customStyle="1" w:styleId="54">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55">
    <w:name w:val="xl1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16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9">
    <w:name w:val="xl1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xl16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1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szCs w:val="24"/>
    </w:rPr>
  </w:style>
  <w:style w:type="paragraph" w:customStyle="1" w:styleId="63">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4">
    <w:name w:val="xl1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7">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1">
    <w:name w:val="xl71"/>
    <w:basedOn w:val="1"/>
    <w:qFormat/>
    <w:uiPriority w:val="0"/>
    <w:pPr>
      <w:widowControl/>
      <w:spacing w:before="100" w:beforeAutospacing="1" w:after="100" w:afterAutospacing="1"/>
      <w:jc w:val="left"/>
    </w:pPr>
    <w:rPr>
      <w:rFonts w:ascii="黑体" w:hAnsi="黑体" w:eastAsia="黑体" w:cs="宋体"/>
      <w:kern w:val="0"/>
      <w:sz w:val="24"/>
      <w:szCs w:val="24"/>
    </w:rPr>
  </w:style>
  <w:style w:type="paragraph" w:customStyle="1" w:styleId="72">
    <w:name w:val="xl72"/>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3">
    <w:name w:val="xl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75">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76">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8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8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8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86">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8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9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7">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8">
    <w:name w:val="xl98"/>
    <w:basedOn w:val="1"/>
    <w:qFormat/>
    <w:uiPriority w:val="0"/>
    <w:pPr>
      <w:widowControl/>
      <w:pBdr>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99">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0">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1">
    <w:name w:val="xl101"/>
    <w:basedOn w:val="1"/>
    <w:qFormat/>
    <w:uiPriority w:val="0"/>
    <w:pPr>
      <w:widowControl/>
      <w:pBdr>
        <w:left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102">
    <w:name w:val="xl10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3">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04">
    <w:name w:val="xl104"/>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105">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6">
    <w:name w:val="xl106"/>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107">
    <w:name w:val="xl107"/>
    <w:basedOn w:val="1"/>
    <w:qFormat/>
    <w:uiPriority w:val="0"/>
    <w:pPr>
      <w:widowControl/>
      <w:pBdr>
        <w:top w:val="single" w:color="auto" w:sz="4" w:space="0"/>
        <w:bottom w:val="single" w:color="auto" w:sz="4" w:space="0"/>
      </w:pBdr>
      <w:spacing w:before="100" w:beforeAutospacing="1" w:after="100" w:afterAutospacing="1"/>
      <w:jc w:val="left"/>
    </w:pPr>
    <w:rPr>
      <w:rFonts w:ascii="楷体_GB2312" w:hAnsi="宋体" w:eastAsia="楷体_GB2312" w:cs="宋体"/>
      <w:kern w:val="0"/>
      <w:sz w:val="24"/>
      <w:szCs w:val="24"/>
    </w:rPr>
  </w:style>
  <w:style w:type="paragraph" w:customStyle="1" w:styleId="108">
    <w:name w:val="xl10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黑体" w:eastAsia="黑体" w:cs="宋体"/>
      <w:kern w:val="0"/>
      <w:sz w:val="24"/>
      <w:szCs w:val="24"/>
    </w:rPr>
  </w:style>
  <w:style w:type="paragraph" w:customStyle="1" w:styleId="109">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
    <w:name w:val="xl11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1">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2">
    <w:name w:val="xl112"/>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
    <w:name w:val="xl11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4">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5">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116">
    <w:name w:val="页眉 Char"/>
    <w:basedOn w:val="6"/>
    <w:link w:val="3"/>
    <w:qFormat/>
    <w:uiPriority w:val="99"/>
    <w:rPr>
      <w:sz w:val="18"/>
      <w:szCs w:val="18"/>
    </w:rPr>
  </w:style>
  <w:style w:type="character" w:customStyle="1" w:styleId="117">
    <w:name w:val="页脚 Char"/>
    <w:basedOn w:val="6"/>
    <w:link w:val="2"/>
    <w:qFormat/>
    <w:uiPriority w:val="99"/>
    <w:rPr>
      <w:sz w:val="18"/>
      <w:szCs w:val="18"/>
    </w:rPr>
  </w:style>
  <w:style w:type="character" w:customStyle="1" w:styleId="118">
    <w:name w:val="font11"/>
    <w:basedOn w:val="6"/>
    <w:qFormat/>
    <w:uiPriority w:val="0"/>
    <w:rPr>
      <w:rFonts w:hint="eastAsia" w:ascii="宋体" w:hAnsi="宋体" w:eastAsia="宋体"/>
      <w:color w:val="000000"/>
      <w:sz w:val="22"/>
      <w:szCs w:val="22"/>
      <w:u w:val="none"/>
    </w:rPr>
  </w:style>
  <w:style w:type="character" w:customStyle="1" w:styleId="119">
    <w:name w:val="font41"/>
    <w:basedOn w:val="6"/>
    <w:qFormat/>
    <w:uiPriority w:val="0"/>
    <w:rPr>
      <w:rFonts w:hint="default" w:ascii="Wingdings" w:hAnsi="Wingdings"/>
      <w:color w:val="000000"/>
      <w:sz w:val="22"/>
      <w:szCs w:val="22"/>
      <w:u w:val="none"/>
    </w:rPr>
  </w:style>
  <w:style w:type="character" w:customStyle="1" w:styleId="120">
    <w:name w:val="font01"/>
    <w:basedOn w:val="6"/>
    <w:qFormat/>
    <w:uiPriority w:val="0"/>
    <w:rPr>
      <w:rFonts w:ascii="Wingdings" w:hAnsi="Wingdings" w:cs="Wingdings"/>
      <w:color w:val="000000"/>
      <w:sz w:val="22"/>
      <w:szCs w:val="22"/>
      <w:u w:val="none"/>
    </w:rPr>
  </w:style>
  <w:style w:type="character" w:customStyle="1" w:styleId="121">
    <w:name w:val="font61"/>
    <w:basedOn w:val="6"/>
    <w:qFormat/>
    <w:uiPriority w:val="0"/>
    <w:rPr>
      <w:rFonts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2851</Words>
  <Characters>2912</Characters>
  <Lines>44</Lines>
  <Paragraphs>12</Paragraphs>
  <TotalTime>3</TotalTime>
  <ScaleCrop>false</ScaleCrop>
  <LinksUpToDate>false</LinksUpToDate>
  <CharactersWithSpaces>2912</CharactersWithSpaces>
  <Application>WPS Office_11.1.0.12974_F1E327BC-269C-435d-A152-05C5408002CA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2020-12-11T06:51:00Z</dcterms:created>
  <dc:creator>user</dc:creator>
  <cp:lastModifiedBy>Administrator</cp:lastModifiedBy>
  <cp:lastPrinted>2020-12-23T05:11:00Z</cp:lastPrinted>
  <dcterms:modified xsi:type="dcterms:W3CDTF">2022-11-25T05:03:53Z</dcterms:modified>
  <dc:title>河北省文化和旅游厅政务公开事项清单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2052-11.1.0.12974</vt:lpwstr>
  </property>
  <property fmtid="{D5CDD505-2E9C-101B-9397-08002B2CF9AE}" pid="3" name="ICV">
    <vt:lpwstr>631EB9579C22421086FD8F7825488995</vt:lpwstr>
  </property>
</Properties>
</file>