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附件9</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jc w:val="center"/>
        <w:textAlignment w:val="auto"/>
        <w:rPr>
          <w:rFonts w:hint="eastAsia" w:asciiTheme="majorEastAsia" w:hAnsiTheme="majorEastAsia" w:eastAsiaTheme="majorEastAsia" w:cstheme="majorEastAsia"/>
          <w:b/>
          <w:bCs/>
          <w:spacing w:val="0"/>
          <w:sz w:val="44"/>
          <w:szCs w:val="44"/>
          <w:highlight w:val="none"/>
          <w:lang w:eastAsia="zh-CN"/>
        </w:rPr>
      </w:pPr>
      <w:r>
        <w:rPr>
          <w:rFonts w:hint="eastAsia" w:asciiTheme="majorEastAsia" w:hAnsiTheme="majorEastAsia" w:eastAsiaTheme="majorEastAsia" w:cstheme="majorEastAsia"/>
          <w:b/>
          <w:bCs/>
          <w:spacing w:val="0"/>
          <w:sz w:val="44"/>
          <w:szCs w:val="44"/>
          <w:highlight w:val="none"/>
          <w:lang w:val="en" w:eastAsia="zh-CN"/>
        </w:rPr>
        <w:t>南阳市</w:t>
      </w:r>
      <w:r>
        <w:rPr>
          <w:rFonts w:hint="eastAsia" w:asciiTheme="majorEastAsia" w:hAnsiTheme="majorEastAsia" w:eastAsiaTheme="majorEastAsia" w:cstheme="majorEastAsia"/>
          <w:b/>
          <w:bCs/>
          <w:spacing w:val="0"/>
          <w:sz w:val="44"/>
          <w:szCs w:val="44"/>
          <w:highlight w:val="none"/>
          <w:lang w:eastAsia="zh-CN"/>
        </w:rPr>
        <w:t>老年人居家适老化改造项目和老年用品配置推荐清单</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jc w:val="center"/>
        <w:textAlignment w:val="auto"/>
        <w:rPr>
          <w:rFonts w:hint="eastAsia" w:ascii="宋体" w:hAnsi="宋体" w:eastAsia="方正仿宋_GBK" w:cs="方正仿宋_GBK"/>
          <w:spacing w:val="-20"/>
          <w:sz w:val="44"/>
          <w:szCs w:val="44"/>
          <w:highlight w:val="none"/>
        </w:rPr>
      </w:pPr>
    </w:p>
    <w:tbl>
      <w:tblPr>
        <w:tblStyle w:val="15"/>
        <w:tblW w:w="933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27"/>
        <w:gridCol w:w="1070"/>
        <w:gridCol w:w="1390"/>
        <w:gridCol w:w="4712"/>
        <w:gridCol w:w="14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4" w:hRule="atLeast"/>
          <w:jc w:val="center"/>
        </w:trPr>
        <w:tc>
          <w:tcPr>
            <w:tcW w:w="7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wordWrap/>
              <w:overflowPunct/>
              <w:topLinePunct w:val="0"/>
              <w:bidi w:val="0"/>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b/>
                <w:kern w:val="2"/>
                <w:sz w:val="24"/>
                <w:szCs w:val="24"/>
                <w:highlight w:val="none"/>
                <w:lang w:val="en-US" w:eastAsia="zh-CN"/>
              </w:rPr>
              <w:t>序号</w:t>
            </w:r>
          </w:p>
        </w:tc>
        <w:tc>
          <w:tcPr>
            <w:tcW w:w="107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wordWrap/>
              <w:overflowPunct/>
              <w:topLinePunct w:val="0"/>
              <w:bidi w:val="0"/>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b/>
                <w:kern w:val="0"/>
                <w:sz w:val="24"/>
                <w:szCs w:val="24"/>
                <w:highlight w:val="none"/>
                <w:lang w:val="en-US" w:eastAsia="zh-CN"/>
              </w:rPr>
              <w:t>类别</w:t>
            </w:r>
          </w:p>
        </w:tc>
        <w:tc>
          <w:tcPr>
            <w:tcW w:w="13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wordWrap/>
              <w:overflowPunct/>
              <w:topLinePunct w:val="0"/>
              <w:bidi w:val="0"/>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b/>
                <w:kern w:val="0"/>
                <w:sz w:val="24"/>
                <w:szCs w:val="24"/>
                <w:highlight w:val="none"/>
                <w:lang w:val="en-US" w:eastAsia="zh-CN"/>
              </w:rPr>
              <w:t>项目名称</w:t>
            </w:r>
          </w:p>
        </w:tc>
        <w:tc>
          <w:tcPr>
            <w:tcW w:w="47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wordWrap/>
              <w:overflowPunct/>
              <w:topLinePunct w:val="0"/>
              <w:bidi w:val="0"/>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b/>
                <w:kern w:val="0"/>
                <w:sz w:val="24"/>
                <w:szCs w:val="24"/>
                <w:highlight w:val="none"/>
                <w:lang w:val="en-US" w:eastAsia="zh-CN"/>
              </w:rPr>
              <w:t>具体内容</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wordWrap/>
              <w:overflowPunct/>
              <w:topLinePunct w:val="0"/>
              <w:bidi w:val="0"/>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b/>
                <w:kern w:val="0"/>
                <w:sz w:val="24"/>
                <w:szCs w:val="24"/>
                <w:highlight w:val="none"/>
                <w:lang w:val="en-US" w:eastAsia="zh-CN"/>
              </w:rPr>
              <w:t>项目类型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4" w:hRule="atLeast"/>
          <w:jc w:val="center"/>
        </w:trPr>
        <w:tc>
          <w:tcPr>
            <w:tcW w:w="7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1</w:t>
            </w:r>
          </w:p>
        </w:tc>
        <w:tc>
          <w:tcPr>
            <w:tcW w:w="1070" w:type="dxa"/>
            <w:vMerge w:val="restart"/>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（一）</w:t>
            </w:r>
          </w:p>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地面改造</w:t>
            </w:r>
          </w:p>
        </w:tc>
        <w:tc>
          <w:tcPr>
            <w:tcW w:w="13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防滑处理</w:t>
            </w:r>
          </w:p>
        </w:tc>
        <w:tc>
          <w:tcPr>
            <w:tcW w:w="47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在卫生间、厨房、卧室等区域，铺设防滑砖或者防滑地胶，避免老年人滑倒，提高安全性。</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val="en-US" w:eastAsia="zh-CN"/>
              </w:rPr>
              <w:t>基础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4" w:hRule="atLeast"/>
          <w:jc w:val="center"/>
        </w:trPr>
        <w:tc>
          <w:tcPr>
            <w:tcW w:w="7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2</w:t>
            </w:r>
          </w:p>
        </w:tc>
        <w:tc>
          <w:tcPr>
            <w:tcW w:w="1070" w:type="dxa"/>
            <w:vMerge w:val="continue"/>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sz w:val="24"/>
                <w:szCs w:val="24"/>
                <w:highlight w:val="none"/>
              </w:rPr>
            </w:pPr>
          </w:p>
        </w:tc>
        <w:tc>
          <w:tcPr>
            <w:tcW w:w="13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高差处理</w:t>
            </w:r>
          </w:p>
        </w:tc>
        <w:tc>
          <w:tcPr>
            <w:tcW w:w="47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铺设水泥坡道或者加设橡胶等材质的可移动式坡道，保证路面平滑、无高差障碍，方便轮椅进出。</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val="en-US" w:eastAsia="zh-CN"/>
              </w:rPr>
              <w:t>基础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4" w:hRule="atLeast"/>
          <w:jc w:val="center"/>
        </w:trPr>
        <w:tc>
          <w:tcPr>
            <w:tcW w:w="7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3</w:t>
            </w:r>
          </w:p>
        </w:tc>
        <w:tc>
          <w:tcPr>
            <w:tcW w:w="1070" w:type="dxa"/>
            <w:vMerge w:val="continue"/>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sz w:val="24"/>
                <w:szCs w:val="24"/>
                <w:highlight w:val="none"/>
              </w:rPr>
            </w:pPr>
          </w:p>
        </w:tc>
        <w:tc>
          <w:tcPr>
            <w:tcW w:w="13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平整硬化</w:t>
            </w:r>
          </w:p>
        </w:tc>
        <w:tc>
          <w:tcPr>
            <w:tcW w:w="47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对地面进行平整硬化，方便轮椅通过，降低风险。</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val="en-US" w:eastAsia="zh-CN"/>
              </w:rPr>
              <w:t>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4" w:hRule="atLeast"/>
          <w:jc w:val="center"/>
        </w:trPr>
        <w:tc>
          <w:tcPr>
            <w:tcW w:w="7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4</w:t>
            </w:r>
          </w:p>
        </w:tc>
        <w:tc>
          <w:tcPr>
            <w:tcW w:w="1070" w:type="dxa"/>
            <w:vMerge w:val="continue"/>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sz w:val="24"/>
                <w:szCs w:val="24"/>
                <w:highlight w:val="none"/>
              </w:rPr>
            </w:pPr>
          </w:p>
        </w:tc>
        <w:tc>
          <w:tcPr>
            <w:tcW w:w="13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安装扶手</w:t>
            </w:r>
          </w:p>
        </w:tc>
        <w:tc>
          <w:tcPr>
            <w:tcW w:w="47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在高差变化处安装扶手，辅助老年人通过。</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4" w:hRule="atLeast"/>
          <w:jc w:val="center"/>
        </w:trPr>
        <w:tc>
          <w:tcPr>
            <w:tcW w:w="7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5</w:t>
            </w:r>
          </w:p>
        </w:tc>
        <w:tc>
          <w:tcPr>
            <w:tcW w:w="1070" w:type="dxa"/>
            <w:vMerge w:val="restart"/>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（二）</w:t>
            </w:r>
          </w:p>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门改造</w:t>
            </w:r>
          </w:p>
        </w:tc>
        <w:tc>
          <w:tcPr>
            <w:tcW w:w="13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门槛移除</w:t>
            </w:r>
          </w:p>
        </w:tc>
        <w:tc>
          <w:tcPr>
            <w:tcW w:w="47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移除门槛，保证老年人进门无障碍，方便轮椅进出。</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val="en-US" w:eastAsia="zh-CN"/>
              </w:rPr>
              <w:t>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4" w:hRule="atLeast"/>
          <w:jc w:val="center"/>
        </w:trPr>
        <w:tc>
          <w:tcPr>
            <w:tcW w:w="7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6</w:t>
            </w:r>
          </w:p>
        </w:tc>
        <w:tc>
          <w:tcPr>
            <w:tcW w:w="1070" w:type="dxa"/>
            <w:vMerge w:val="continue"/>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sz w:val="24"/>
                <w:szCs w:val="24"/>
                <w:highlight w:val="none"/>
              </w:rPr>
            </w:pPr>
          </w:p>
        </w:tc>
        <w:tc>
          <w:tcPr>
            <w:tcW w:w="13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平开门改为推拉门</w:t>
            </w:r>
          </w:p>
        </w:tc>
        <w:tc>
          <w:tcPr>
            <w:tcW w:w="47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方便开启，增加通行宽度和辅助操作空间。</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val="en-US" w:eastAsia="zh-CN"/>
              </w:rPr>
              <w:t>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4" w:hRule="atLeast"/>
          <w:jc w:val="center"/>
        </w:trPr>
        <w:tc>
          <w:tcPr>
            <w:tcW w:w="7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2"/>
                <w:sz w:val="24"/>
                <w:szCs w:val="24"/>
                <w:highlight w:val="none"/>
                <w:lang w:val="en-US" w:eastAsia="zh-CN"/>
              </w:rPr>
              <w:t>7</w:t>
            </w:r>
          </w:p>
        </w:tc>
        <w:tc>
          <w:tcPr>
            <w:tcW w:w="1070" w:type="dxa"/>
            <w:vMerge w:val="continue"/>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sz w:val="24"/>
                <w:szCs w:val="24"/>
                <w:highlight w:val="none"/>
              </w:rPr>
            </w:pPr>
          </w:p>
        </w:tc>
        <w:tc>
          <w:tcPr>
            <w:tcW w:w="13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房门拓宽</w:t>
            </w:r>
          </w:p>
        </w:tc>
        <w:tc>
          <w:tcPr>
            <w:tcW w:w="47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对卫生间、厨房等空间校窄的门洞进行拓宽，改善通过性，方便轮椅进出。</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val="en-US" w:eastAsia="zh-CN"/>
              </w:rPr>
              <w:t>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4" w:hRule="atLeast"/>
          <w:jc w:val="center"/>
        </w:trPr>
        <w:tc>
          <w:tcPr>
            <w:tcW w:w="7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8</w:t>
            </w:r>
          </w:p>
        </w:tc>
        <w:tc>
          <w:tcPr>
            <w:tcW w:w="1070" w:type="dxa"/>
            <w:vMerge w:val="continue"/>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sz w:val="24"/>
                <w:szCs w:val="24"/>
                <w:highlight w:val="none"/>
              </w:rPr>
            </w:pPr>
          </w:p>
        </w:tc>
        <w:tc>
          <w:tcPr>
            <w:tcW w:w="13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下压式门把手改造</w:t>
            </w:r>
          </w:p>
        </w:tc>
        <w:tc>
          <w:tcPr>
            <w:tcW w:w="47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可用单手手掌或者手指轻松操作，增加摩擦力和稳定性，方便老年人开门。</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val="en-US" w:eastAsia="zh-CN"/>
              </w:rPr>
              <w:t>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80" w:hRule="atLeast"/>
          <w:jc w:val="center"/>
        </w:trPr>
        <w:tc>
          <w:tcPr>
            <w:tcW w:w="7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9</w:t>
            </w:r>
          </w:p>
        </w:tc>
        <w:tc>
          <w:tcPr>
            <w:tcW w:w="1070" w:type="dxa"/>
            <w:vMerge w:val="continue"/>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sz w:val="24"/>
                <w:szCs w:val="24"/>
                <w:highlight w:val="none"/>
              </w:rPr>
            </w:pPr>
          </w:p>
        </w:tc>
        <w:tc>
          <w:tcPr>
            <w:tcW w:w="13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lang w:val="en-US"/>
              </w:rPr>
            </w:pPr>
            <w:r>
              <w:rPr>
                <w:rFonts w:hint="eastAsia" w:ascii="仿宋_GB2312" w:hAnsi="仿宋_GB2312" w:eastAsia="仿宋_GB2312" w:cs="仿宋_GB2312"/>
                <w:kern w:val="0"/>
                <w:sz w:val="24"/>
                <w:szCs w:val="24"/>
                <w:highlight w:val="none"/>
                <w:lang w:val="en-US" w:eastAsia="zh-CN"/>
              </w:rPr>
              <w:t>安装闪光振动门铃</w:t>
            </w:r>
          </w:p>
        </w:tc>
        <w:tc>
          <w:tcPr>
            <w:tcW w:w="47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供听力视力障碍老年人使用。</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val="en-US" w:eastAsia="zh-CN"/>
              </w:rPr>
              <w:t>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4" w:hRule="atLeast"/>
          <w:jc w:val="center"/>
        </w:trPr>
        <w:tc>
          <w:tcPr>
            <w:tcW w:w="7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10</w:t>
            </w:r>
          </w:p>
        </w:tc>
        <w:tc>
          <w:tcPr>
            <w:tcW w:w="1070" w:type="dxa"/>
            <w:vMerge w:val="restart"/>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（三）</w:t>
            </w:r>
          </w:p>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卧室改造</w:t>
            </w:r>
          </w:p>
        </w:tc>
        <w:tc>
          <w:tcPr>
            <w:tcW w:w="13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配置护理床</w:t>
            </w:r>
          </w:p>
        </w:tc>
        <w:tc>
          <w:tcPr>
            <w:tcW w:w="47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帮助失能老年人完成起身、侧翻、上下床、吃饭等动作,辅助喂食、处理排泄物等。</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val="en-US" w:eastAsia="zh-CN"/>
              </w:rPr>
              <w:t>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4" w:hRule="atLeast"/>
          <w:jc w:val="center"/>
        </w:trPr>
        <w:tc>
          <w:tcPr>
            <w:tcW w:w="7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11</w:t>
            </w:r>
          </w:p>
        </w:tc>
        <w:tc>
          <w:tcPr>
            <w:tcW w:w="1070" w:type="dxa"/>
            <w:vMerge w:val="continue"/>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sz w:val="24"/>
                <w:szCs w:val="24"/>
                <w:highlight w:val="none"/>
              </w:rPr>
            </w:pPr>
          </w:p>
        </w:tc>
        <w:tc>
          <w:tcPr>
            <w:tcW w:w="13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安装床边护栏（抓杆）</w:t>
            </w:r>
          </w:p>
        </w:tc>
        <w:tc>
          <w:tcPr>
            <w:tcW w:w="47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辅助老年人起身、上下床，防止翻身滚下床，保证老年人睡眠和活动安全。</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val="en-US" w:eastAsia="zh-CN"/>
              </w:rPr>
              <w:t>基础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4" w:hRule="atLeast"/>
          <w:jc w:val="center"/>
        </w:trPr>
        <w:tc>
          <w:tcPr>
            <w:tcW w:w="7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12</w:t>
            </w:r>
          </w:p>
        </w:tc>
        <w:tc>
          <w:tcPr>
            <w:tcW w:w="1070" w:type="dxa"/>
            <w:vMerge w:val="continue"/>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sz w:val="24"/>
                <w:szCs w:val="24"/>
                <w:highlight w:val="none"/>
              </w:rPr>
            </w:pPr>
          </w:p>
        </w:tc>
        <w:tc>
          <w:tcPr>
            <w:tcW w:w="13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可移动床边扶手</w:t>
            </w:r>
          </w:p>
        </w:tc>
        <w:tc>
          <w:tcPr>
            <w:tcW w:w="47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安辅助老年人起身、上下床，防止翻身滚下床，保证老年人睡眠和活动安全。</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18" w:hRule="atLeast"/>
          <w:jc w:val="center"/>
        </w:trPr>
        <w:tc>
          <w:tcPr>
            <w:tcW w:w="727"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lang w:val="en-US"/>
              </w:rPr>
            </w:pPr>
            <w:r>
              <w:rPr>
                <w:rFonts w:hint="eastAsia" w:ascii="仿宋_GB2312" w:hAnsi="仿宋_GB2312" w:eastAsia="仿宋_GB2312" w:cs="仿宋_GB2312"/>
                <w:kern w:val="0"/>
                <w:sz w:val="24"/>
                <w:szCs w:val="24"/>
                <w:highlight w:val="none"/>
                <w:lang w:val="en-US" w:eastAsia="zh-CN"/>
              </w:rPr>
              <w:t>13</w:t>
            </w:r>
          </w:p>
        </w:tc>
        <w:tc>
          <w:tcPr>
            <w:tcW w:w="1070" w:type="dxa"/>
            <w:vMerge w:val="continue"/>
            <w:tcBorders>
              <w:top w:val="nil"/>
              <w:left w:val="nil"/>
              <w:bottom w:val="single" w:color="auto"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sz w:val="24"/>
                <w:szCs w:val="24"/>
                <w:highlight w:val="none"/>
              </w:rPr>
            </w:pPr>
          </w:p>
        </w:tc>
        <w:tc>
          <w:tcPr>
            <w:tcW w:w="1390" w:type="dxa"/>
            <w:tcBorders>
              <w:top w:val="single" w:color="000000" w:sz="4" w:space="0"/>
              <w:left w:val="nil"/>
              <w:bottom w:val="single" w:color="auto"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配置防压疮垫</w:t>
            </w:r>
          </w:p>
        </w:tc>
        <w:tc>
          <w:tcPr>
            <w:tcW w:w="47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避免长期乘坐轮椅或卧床的老年人发生严重压疮，包括防压疮坐垫、靠垫或床垫等。</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val="en-US" w:eastAsia="zh-CN"/>
              </w:rPr>
              <w:t>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92" w:hRule="atLeast"/>
          <w:jc w:val="center"/>
        </w:trPr>
        <w:tc>
          <w:tcPr>
            <w:tcW w:w="727" w:type="dxa"/>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lang w:val="en-US"/>
              </w:rPr>
            </w:pPr>
            <w:r>
              <w:rPr>
                <w:rFonts w:hint="eastAsia" w:ascii="仿宋_GB2312" w:hAnsi="仿宋_GB2312" w:eastAsia="仿宋_GB2312" w:cs="仿宋_GB2312"/>
                <w:kern w:val="0"/>
                <w:sz w:val="24"/>
                <w:szCs w:val="24"/>
                <w:highlight w:val="none"/>
                <w:lang w:val="en-US" w:eastAsia="zh-CN"/>
              </w:rPr>
              <w:t>14</w:t>
            </w:r>
          </w:p>
        </w:tc>
        <w:tc>
          <w:tcPr>
            <w:tcW w:w="1070"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kern w:val="0"/>
                <w:sz w:val="24"/>
                <w:szCs w:val="24"/>
                <w:highlight w:val="none"/>
                <w:lang w:val="en-US" w:eastAsia="zh-CN"/>
              </w:rPr>
            </w:pPr>
          </w:p>
          <w:p>
            <w:pPr>
              <w:pStyle w:val="2"/>
              <w:keepNext w:val="0"/>
              <w:keepLines w:val="0"/>
              <w:pageBreakBefore w:val="0"/>
              <w:widowControl/>
              <w:kinsoku/>
              <w:wordWrap/>
              <w:overflowPunct/>
              <w:topLinePunct w:val="0"/>
              <w:autoSpaceDE/>
              <w:autoSpaceDN/>
              <w:bidi w:val="0"/>
              <w:adjustRightInd/>
              <w:snapToGrid/>
              <w:spacing w:line="240" w:lineRule="auto"/>
              <w:jc w:val="center"/>
              <w:rPr>
                <w:rFonts w:hint="eastAsia"/>
                <w:lang w:val="en-US" w:eastAsia="zh-CN"/>
              </w:rPr>
            </w:pPr>
            <w:r>
              <w:rPr>
                <w:rFonts w:hint="eastAsia" w:ascii="仿宋_GB2312" w:hAnsi="仿宋_GB2312" w:eastAsia="仿宋_GB2312" w:cs="仿宋_GB2312"/>
                <w:kern w:val="0"/>
                <w:sz w:val="24"/>
                <w:szCs w:val="24"/>
                <w:highlight w:val="none"/>
                <w:lang w:val="en-US" w:eastAsia="zh-CN"/>
              </w:rPr>
              <w:t>（四）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00" w:beforeLines="0" w:beforeAutospacing="1" w:after="100" w:afterLines="0" w:afterAutospacing="1" w:line="240" w:lineRule="auto"/>
              <w:ind w:right="0" w:rightChars="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如厕洗浴设备改造</w:t>
            </w:r>
          </w:p>
        </w:tc>
        <w:tc>
          <w:tcPr>
            <w:tcW w:w="1390" w:type="dxa"/>
            <w:tcBorders>
              <w:top w:val="single" w:color="auto" w:sz="4" w:space="0"/>
              <w:left w:val="nil"/>
              <w:bottom w:val="single" w:color="auto" w:sz="4" w:space="0"/>
              <w:right w:val="single" w:color="auto"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安装扶手</w:t>
            </w:r>
          </w:p>
        </w:tc>
        <w:tc>
          <w:tcPr>
            <w:tcW w:w="4712"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在如厕区或者洗浴区安装扶手，辅助老年人起身、站立、转身和坐下，包括一字形扶手、U形扶手、L形扶手、135°扶手、T形扶手或者助力扶手等。</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val="en-US" w:eastAsia="zh-CN"/>
              </w:rPr>
              <w:t>基础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18" w:hRule="atLeast"/>
          <w:jc w:val="center"/>
        </w:trPr>
        <w:tc>
          <w:tcPr>
            <w:tcW w:w="727"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lang w:val="en-US"/>
              </w:rPr>
            </w:pPr>
            <w:r>
              <w:rPr>
                <w:rFonts w:hint="eastAsia" w:ascii="仿宋_GB2312" w:hAnsi="仿宋_GB2312" w:eastAsia="仿宋_GB2312" w:cs="仿宋_GB2312"/>
                <w:kern w:val="0"/>
                <w:sz w:val="24"/>
                <w:szCs w:val="24"/>
                <w:highlight w:val="none"/>
                <w:lang w:val="en-US" w:eastAsia="zh-CN"/>
              </w:rPr>
              <w:t>15</w:t>
            </w:r>
          </w:p>
        </w:tc>
        <w:tc>
          <w:tcPr>
            <w:tcW w:w="1070" w:type="dxa"/>
            <w:vMerge w:val="continue"/>
            <w:tcBorders>
              <w:top w:val="single" w:color="auto" w:sz="4" w:space="0"/>
              <w:left w:val="nil"/>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sz w:val="24"/>
                <w:szCs w:val="24"/>
                <w:highlight w:val="none"/>
              </w:rPr>
            </w:pPr>
          </w:p>
        </w:tc>
        <w:tc>
          <w:tcPr>
            <w:tcW w:w="1390" w:type="dxa"/>
            <w:tcBorders>
              <w:top w:val="single" w:color="auto"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蹲便器改坐便器</w:t>
            </w:r>
          </w:p>
        </w:tc>
        <w:tc>
          <w:tcPr>
            <w:tcW w:w="47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减轻蹲姿造成的腿部压力，避免老年人如厕时摔倒，方便乘轮椅老年人使用。</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val="en-US" w:eastAsia="zh-CN"/>
              </w:rPr>
              <w:t>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90" w:hRule="atLeast"/>
          <w:jc w:val="center"/>
        </w:trPr>
        <w:tc>
          <w:tcPr>
            <w:tcW w:w="727"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16</w:t>
            </w:r>
          </w:p>
        </w:tc>
        <w:tc>
          <w:tcPr>
            <w:tcW w:w="1070" w:type="dxa"/>
            <w:vMerge w:val="continue"/>
            <w:tcBorders>
              <w:left w:val="nil"/>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sz w:val="24"/>
                <w:szCs w:val="24"/>
                <w:highlight w:val="none"/>
              </w:rPr>
            </w:pPr>
          </w:p>
        </w:tc>
        <w:tc>
          <w:tcPr>
            <w:tcW w:w="1390" w:type="dxa"/>
            <w:tcBorders>
              <w:top w:val="single" w:color="000000" w:sz="4" w:space="0"/>
              <w:left w:val="nil"/>
              <w:bottom w:val="single" w:color="auto" w:sz="4" w:space="0"/>
              <w:right w:val="single" w:color="000000" w:sz="4" w:space="0"/>
            </w:tcBorders>
            <w:tcMar>
              <w:top w:w="15" w:type="dxa"/>
              <w:left w:w="15" w:type="dxa"/>
              <w:right w:w="15" w:type="dxa"/>
            </w:tcMar>
            <w:vAlign w:val="center"/>
          </w:tcPr>
          <w:p>
            <w:pPr>
              <w:keepNext w:val="0"/>
              <w:keepLines w:val="0"/>
              <w:pageBreakBefore w:val="0"/>
              <w:widowControl/>
              <w:suppressLineNumbers w:val="0"/>
              <w:tabs>
                <w:tab w:val="left" w:pos="540"/>
              </w:tabs>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更换马桶</w:t>
            </w:r>
          </w:p>
        </w:tc>
        <w:tc>
          <w:tcPr>
            <w:tcW w:w="47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tabs>
                <w:tab w:val="left" w:pos="1107"/>
              </w:tabs>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原有坐便器拆除、粉平、防水、安装新坐便器</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4" w:hRule="atLeast"/>
          <w:jc w:val="center"/>
        </w:trPr>
        <w:tc>
          <w:tcPr>
            <w:tcW w:w="727"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lang w:val="en-US"/>
              </w:rPr>
            </w:pPr>
            <w:r>
              <w:rPr>
                <w:rFonts w:hint="eastAsia" w:ascii="仿宋_GB2312" w:hAnsi="仿宋_GB2312" w:eastAsia="仿宋_GB2312" w:cs="仿宋_GB2312"/>
                <w:kern w:val="0"/>
                <w:sz w:val="24"/>
                <w:szCs w:val="24"/>
                <w:highlight w:val="none"/>
                <w:lang w:val="en-US" w:eastAsia="zh-CN"/>
              </w:rPr>
              <w:t>17</w:t>
            </w:r>
          </w:p>
        </w:tc>
        <w:tc>
          <w:tcPr>
            <w:tcW w:w="1070" w:type="dxa"/>
            <w:vMerge w:val="continue"/>
            <w:tcBorders>
              <w:left w:val="nil"/>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sz w:val="24"/>
                <w:szCs w:val="24"/>
                <w:highlight w:val="none"/>
              </w:rPr>
            </w:pPr>
          </w:p>
        </w:tc>
        <w:tc>
          <w:tcPr>
            <w:tcW w:w="1390" w:type="dxa"/>
            <w:tcBorders>
              <w:top w:val="single" w:color="000000" w:sz="4" w:space="0"/>
              <w:left w:val="nil"/>
              <w:bottom w:val="single" w:color="auto"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水龙头改造</w:t>
            </w:r>
          </w:p>
        </w:tc>
        <w:tc>
          <w:tcPr>
            <w:tcW w:w="47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采用拔杆式或感应水龙头，方便老年人开关水阀。</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val="en-US" w:eastAsia="zh-CN"/>
              </w:rPr>
              <w:t>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4" w:hRule="atLeast"/>
          <w:jc w:val="center"/>
        </w:trPr>
        <w:tc>
          <w:tcPr>
            <w:tcW w:w="72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leftChars="0" w:right="0" w:rightChars="0"/>
              <w:jc w:val="center"/>
              <w:textAlignment w:val="center"/>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kern w:val="2"/>
                <w:sz w:val="24"/>
                <w:szCs w:val="24"/>
                <w:highlight w:val="none"/>
                <w:lang w:val="en-US" w:eastAsia="zh-CN"/>
              </w:rPr>
              <w:t>18</w:t>
            </w:r>
          </w:p>
        </w:tc>
        <w:tc>
          <w:tcPr>
            <w:tcW w:w="1070" w:type="dxa"/>
            <w:vMerge w:val="continue"/>
            <w:tcBorders>
              <w:left w:val="nil"/>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sz w:val="24"/>
                <w:szCs w:val="24"/>
                <w:highlight w:val="none"/>
              </w:rPr>
            </w:pPr>
          </w:p>
        </w:tc>
        <w:tc>
          <w:tcPr>
            <w:tcW w:w="139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leftChars="0" w:right="0" w:rightChars="0"/>
              <w:jc w:val="center"/>
              <w:textAlignment w:val="center"/>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kern w:val="0"/>
                <w:sz w:val="24"/>
                <w:szCs w:val="24"/>
                <w:highlight w:val="none"/>
                <w:lang w:val="en-US" w:eastAsia="zh-CN"/>
              </w:rPr>
              <w:t>浴缸/淋浴房改造</w:t>
            </w:r>
          </w:p>
        </w:tc>
        <w:tc>
          <w:tcPr>
            <w:tcW w:w="4712"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leftChars="0" w:right="0" w:rightChars="0"/>
              <w:jc w:val="left"/>
              <w:textAlignment w:val="center"/>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kern w:val="0"/>
                <w:sz w:val="24"/>
                <w:szCs w:val="24"/>
                <w:highlight w:val="none"/>
                <w:lang w:val="en-US" w:eastAsia="zh-CN"/>
              </w:rPr>
              <w:t>拆除浴缸/淋浴房，更换浴帘、浴杆,增加淋浴空间，方便照护人员辅助老年人洗浴。</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leftChars="0" w:right="0" w:rightChars="0"/>
              <w:jc w:val="center"/>
              <w:textAlignment w:val="center"/>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0"/>
                <w:sz w:val="24"/>
                <w:szCs w:val="24"/>
                <w:highlight w:val="none"/>
                <w:lang w:val="en-US" w:eastAsia="zh-CN"/>
              </w:rPr>
              <w:t>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5" w:hRule="atLeast"/>
          <w:jc w:val="center"/>
        </w:trPr>
        <w:tc>
          <w:tcPr>
            <w:tcW w:w="72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leftChars="0" w:right="0" w:rightChars="0"/>
              <w:jc w:val="center"/>
              <w:textAlignment w:val="center"/>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kern w:val="0"/>
                <w:sz w:val="24"/>
                <w:szCs w:val="24"/>
                <w:highlight w:val="none"/>
                <w:lang w:val="en-US" w:eastAsia="zh-CN"/>
              </w:rPr>
              <w:t>19</w:t>
            </w:r>
          </w:p>
        </w:tc>
        <w:tc>
          <w:tcPr>
            <w:tcW w:w="1070" w:type="dxa"/>
            <w:vMerge w:val="continue"/>
            <w:tcBorders>
              <w:left w:val="nil"/>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sz w:val="24"/>
                <w:szCs w:val="24"/>
                <w:highlight w:val="none"/>
              </w:rPr>
            </w:pPr>
          </w:p>
        </w:tc>
        <w:tc>
          <w:tcPr>
            <w:tcW w:w="139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配置淋浴椅</w:t>
            </w:r>
          </w:p>
        </w:tc>
        <w:tc>
          <w:tcPr>
            <w:tcW w:w="4712"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辅助老年人洗澡用，避免老年人滑倒，提高安全性。</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val="en-US" w:eastAsia="zh-CN"/>
              </w:rPr>
              <w:t>基础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4" w:hRule="atLeast"/>
          <w:jc w:val="center"/>
        </w:trPr>
        <w:tc>
          <w:tcPr>
            <w:tcW w:w="72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leftChars="0" w:right="0" w:rightChars="0"/>
              <w:jc w:val="center"/>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20</w:t>
            </w:r>
          </w:p>
        </w:tc>
        <w:tc>
          <w:tcPr>
            <w:tcW w:w="1070" w:type="dxa"/>
            <w:vMerge w:val="continue"/>
            <w:tcBorders>
              <w:left w:val="nil"/>
              <w:bottom w:val="single" w:color="auto"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sz w:val="24"/>
                <w:szCs w:val="24"/>
                <w:highlight w:val="none"/>
              </w:rPr>
            </w:pPr>
          </w:p>
        </w:tc>
        <w:tc>
          <w:tcPr>
            <w:tcW w:w="139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suppressLineNumbers w:val="0"/>
              <w:tabs>
                <w:tab w:val="left" w:pos="495"/>
              </w:tabs>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恒温花洒</w:t>
            </w:r>
          </w:p>
        </w:tc>
        <w:tc>
          <w:tcPr>
            <w:tcW w:w="4712"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tabs>
                <w:tab w:val="left" w:pos="1167"/>
              </w:tabs>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采用固定温度多档式花洒，避免因老年人双手不灵便、温感低而造成烫伤。</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4" w:hRule="atLeast"/>
          <w:jc w:val="center"/>
        </w:trPr>
        <w:tc>
          <w:tcPr>
            <w:tcW w:w="727" w:type="dxa"/>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leftChars="0" w:right="0" w:rightChars="0"/>
              <w:jc w:val="center"/>
              <w:textAlignment w:val="center"/>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kern w:val="0"/>
                <w:sz w:val="24"/>
                <w:szCs w:val="24"/>
                <w:highlight w:val="none"/>
                <w:lang w:val="en-US" w:eastAsia="zh-CN"/>
              </w:rPr>
              <w:t>21</w:t>
            </w:r>
          </w:p>
        </w:tc>
        <w:tc>
          <w:tcPr>
            <w:tcW w:w="1070"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（五）</w:t>
            </w:r>
          </w:p>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厨房设备改造</w:t>
            </w:r>
          </w:p>
        </w:tc>
        <w:tc>
          <w:tcPr>
            <w:tcW w:w="1390" w:type="dxa"/>
            <w:tcBorders>
              <w:top w:val="single" w:color="auto" w:sz="4" w:space="0"/>
              <w:left w:val="nil"/>
              <w:bottom w:val="single" w:color="auto" w:sz="4" w:space="0"/>
              <w:right w:val="single" w:color="auto"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台面改造</w:t>
            </w:r>
          </w:p>
        </w:tc>
        <w:tc>
          <w:tcPr>
            <w:tcW w:w="4712"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降低操作台、灶台、洗菜池高度或者在其下方留出容膝空间，方便乘轮椅或者体型矮小老年人操作。</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val="en-US" w:eastAsia="zh-CN"/>
              </w:rPr>
              <w:t>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4" w:hRule="atLeast"/>
          <w:jc w:val="center"/>
        </w:trPr>
        <w:tc>
          <w:tcPr>
            <w:tcW w:w="727"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leftChars="0" w:right="0" w:rightChars="0"/>
              <w:jc w:val="center"/>
              <w:textAlignment w:val="center"/>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kern w:val="0"/>
                <w:sz w:val="24"/>
                <w:szCs w:val="24"/>
                <w:highlight w:val="none"/>
                <w:lang w:val="en-US" w:eastAsia="zh-CN"/>
              </w:rPr>
              <w:t>22</w:t>
            </w:r>
          </w:p>
        </w:tc>
        <w:tc>
          <w:tcPr>
            <w:tcW w:w="1070"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sz w:val="24"/>
                <w:szCs w:val="24"/>
                <w:highlight w:val="none"/>
              </w:rPr>
            </w:pPr>
          </w:p>
        </w:tc>
        <w:tc>
          <w:tcPr>
            <w:tcW w:w="1390" w:type="dxa"/>
            <w:tcBorders>
              <w:top w:val="single" w:color="auto"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加设中部柜</w:t>
            </w:r>
          </w:p>
        </w:tc>
        <w:tc>
          <w:tcPr>
            <w:tcW w:w="47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在吊柜下方设置开敞式中部柜、中部架，方便老年人取放物品。</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val="en-US" w:eastAsia="zh-CN"/>
              </w:rPr>
              <w:t>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4" w:hRule="atLeast"/>
          <w:jc w:val="center"/>
        </w:trPr>
        <w:tc>
          <w:tcPr>
            <w:tcW w:w="7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leftChars="0" w:right="0" w:rightChars="0"/>
              <w:jc w:val="center"/>
              <w:textAlignment w:val="center"/>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kern w:val="0"/>
                <w:sz w:val="24"/>
                <w:szCs w:val="24"/>
                <w:highlight w:val="none"/>
                <w:lang w:val="en-US" w:eastAsia="zh-CN"/>
              </w:rPr>
              <w:t>23</w:t>
            </w:r>
          </w:p>
        </w:tc>
        <w:tc>
          <w:tcPr>
            <w:tcW w:w="1070" w:type="dxa"/>
            <w:vMerge w:val="restart"/>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（六）</w:t>
            </w:r>
          </w:p>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物理环境改造</w:t>
            </w:r>
          </w:p>
        </w:tc>
        <w:tc>
          <w:tcPr>
            <w:tcW w:w="13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安装自动感应灯具</w:t>
            </w:r>
          </w:p>
        </w:tc>
        <w:tc>
          <w:tcPr>
            <w:tcW w:w="47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安装感应便携灯，避免直射光源、强刺激性光源，人走灯灭，辅助老年人起夜使用。</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4" w:hRule="atLeast"/>
          <w:jc w:val="center"/>
        </w:trPr>
        <w:tc>
          <w:tcPr>
            <w:tcW w:w="7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leftChars="0" w:right="0" w:rightChars="0"/>
              <w:jc w:val="center"/>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24</w:t>
            </w:r>
          </w:p>
        </w:tc>
        <w:tc>
          <w:tcPr>
            <w:tcW w:w="1070" w:type="dxa"/>
            <w:vMerge w:val="continue"/>
            <w:tcBorders>
              <w:left w:val="nil"/>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kern w:val="0"/>
                <w:sz w:val="24"/>
                <w:szCs w:val="24"/>
                <w:highlight w:val="none"/>
                <w:lang w:val="en-US" w:eastAsia="zh-CN"/>
              </w:rPr>
            </w:pPr>
          </w:p>
        </w:tc>
        <w:tc>
          <w:tcPr>
            <w:tcW w:w="13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tabs>
                <w:tab w:val="left" w:pos="540"/>
              </w:tabs>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更换灯具</w:t>
            </w:r>
          </w:p>
        </w:tc>
        <w:tc>
          <w:tcPr>
            <w:tcW w:w="47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客厅、卧室、卫生间等区域更换灯具，采用LED或吸顶灯，避免直射光源，改善照明环境。</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70" w:hRule="atLeast"/>
          <w:jc w:val="center"/>
        </w:trPr>
        <w:tc>
          <w:tcPr>
            <w:tcW w:w="7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leftChars="0" w:right="0" w:rightChars="0"/>
              <w:jc w:val="center"/>
              <w:textAlignment w:val="center"/>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kern w:val="0"/>
                <w:sz w:val="24"/>
                <w:szCs w:val="24"/>
                <w:highlight w:val="none"/>
                <w:lang w:val="en-US" w:eastAsia="zh-CN"/>
              </w:rPr>
              <w:t>25</w:t>
            </w:r>
          </w:p>
        </w:tc>
        <w:tc>
          <w:tcPr>
            <w:tcW w:w="1070" w:type="dxa"/>
            <w:vMerge w:val="continue"/>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sz w:val="24"/>
                <w:szCs w:val="24"/>
                <w:highlight w:val="none"/>
              </w:rPr>
            </w:pPr>
          </w:p>
        </w:tc>
        <w:tc>
          <w:tcPr>
            <w:tcW w:w="13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电源插座及开关改造</w:t>
            </w:r>
          </w:p>
        </w:tc>
        <w:tc>
          <w:tcPr>
            <w:tcW w:w="47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视情进行高/低位改造，避免老年人下蹲或弯腰，方便老年人插拔电源和使用开关。</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val="en-US" w:eastAsia="zh-CN"/>
              </w:rPr>
              <w:t>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258" w:hRule="atLeast"/>
          <w:jc w:val="center"/>
        </w:trPr>
        <w:tc>
          <w:tcPr>
            <w:tcW w:w="7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leftChars="0" w:right="0" w:rightChars="0"/>
              <w:jc w:val="center"/>
              <w:textAlignment w:val="center"/>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kern w:val="0"/>
                <w:sz w:val="24"/>
                <w:szCs w:val="24"/>
                <w:highlight w:val="none"/>
                <w:lang w:val="en-US" w:eastAsia="zh-CN"/>
              </w:rPr>
              <w:t>26</w:t>
            </w:r>
          </w:p>
        </w:tc>
        <w:tc>
          <w:tcPr>
            <w:tcW w:w="1070" w:type="dxa"/>
            <w:vMerge w:val="continue"/>
            <w:tcBorders>
              <w:top w:val="nil"/>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sz w:val="24"/>
                <w:szCs w:val="24"/>
                <w:highlight w:val="none"/>
              </w:rPr>
            </w:pPr>
          </w:p>
        </w:tc>
        <w:tc>
          <w:tcPr>
            <w:tcW w:w="13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安装防撞护角/防撞条、提示标识</w:t>
            </w:r>
          </w:p>
        </w:tc>
        <w:tc>
          <w:tcPr>
            <w:tcW w:w="47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在家具尖角或墙角安装防撞护角成者防撞条，避免老年人磕碰划伤，必要时粘贴防滑条、警示条等符合相关标准和老年人认知特点的提示标识。</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4" w:hRule="atLeast"/>
          <w:jc w:val="center"/>
        </w:trPr>
        <w:tc>
          <w:tcPr>
            <w:tcW w:w="7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leftChars="0" w:right="0" w:rightChars="0"/>
              <w:jc w:val="center"/>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27</w:t>
            </w:r>
          </w:p>
        </w:tc>
        <w:tc>
          <w:tcPr>
            <w:tcW w:w="1070" w:type="dxa"/>
            <w:vMerge w:val="continue"/>
            <w:tcBorders>
              <w:top w:val="nil"/>
              <w:left w:val="nil"/>
              <w:bottom w:val="single" w:color="auto"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sz w:val="24"/>
                <w:szCs w:val="24"/>
                <w:highlight w:val="none"/>
              </w:rPr>
            </w:pPr>
          </w:p>
        </w:tc>
        <w:tc>
          <w:tcPr>
            <w:tcW w:w="13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配电设备</w:t>
            </w:r>
          </w:p>
        </w:tc>
        <w:tc>
          <w:tcPr>
            <w:tcW w:w="47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tabs>
                <w:tab w:val="left" w:pos="687"/>
              </w:tabs>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老旧闸刀更换新的配电箱套，含总开、空开、漏电保护，提高老年人用电安全</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基础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jc w:val="center"/>
        </w:trPr>
        <w:tc>
          <w:tcPr>
            <w:tcW w:w="7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leftChars="0" w:right="0" w:rightChars="0"/>
              <w:jc w:val="center"/>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28</w:t>
            </w:r>
          </w:p>
        </w:tc>
        <w:tc>
          <w:tcPr>
            <w:tcW w:w="1070" w:type="dxa"/>
            <w:vMerge w:val="continue"/>
            <w:tcBorders>
              <w:top w:val="nil"/>
              <w:left w:val="nil"/>
              <w:bottom w:val="single" w:color="auto"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sz w:val="24"/>
                <w:szCs w:val="24"/>
                <w:highlight w:val="none"/>
              </w:rPr>
            </w:pPr>
          </w:p>
        </w:tc>
        <w:tc>
          <w:tcPr>
            <w:tcW w:w="13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电路改造</w:t>
            </w:r>
          </w:p>
        </w:tc>
        <w:tc>
          <w:tcPr>
            <w:tcW w:w="47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改善老人家里线路老化而造成的安全隐患。</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基础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6" w:hRule="atLeast"/>
          <w:jc w:val="center"/>
        </w:trPr>
        <w:tc>
          <w:tcPr>
            <w:tcW w:w="7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leftChars="0" w:right="0" w:rightChars="0"/>
              <w:jc w:val="center"/>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29</w:t>
            </w:r>
          </w:p>
        </w:tc>
        <w:tc>
          <w:tcPr>
            <w:tcW w:w="1070" w:type="dxa"/>
            <w:vMerge w:val="continue"/>
            <w:tcBorders>
              <w:top w:val="nil"/>
              <w:left w:val="nil"/>
              <w:bottom w:val="single" w:color="auto"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sz w:val="24"/>
                <w:szCs w:val="24"/>
                <w:highlight w:val="none"/>
              </w:rPr>
            </w:pPr>
          </w:p>
        </w:tc>
        <w:tc>
          <w:tcPr>
            <w:tcW w:w="13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开关插座</w:t>
            </w:r>
          </w:p>
        </w:tc>
        <w:tc>
          <w:tcPr>
            <w:tcW w:w="47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针对已老化、灼烧变形、短路插座、开关更换，提高老年人用电安全</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43" w:hRule="atLeast"/>
          <w:jc w:val="center"/>
        </w:trPr>
        <w:tc>
          <w:tcPr>
            <w:tcW w:w="7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leftChars="0" w:right="0" w:rightChars="0"/>
              <w:jc w:val="center"/>
              <w:textAlignment w:val="center"/>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kern w:val="0"/>
                <w:sz w:val="24"/>
                <w:szCs w:val="24"/>
                <w:highlight w:val="none"/>
                <w:lang w:val="en-US" w:eastAsia="zh-CN"/>
              </w:rPr>
              <w:t>30</w:t>
            </w:r>
          </w:p>
        </w:tc>
        <w:tc>
          <w:tcPr>
            <w:tcW w:w="1070" w:type="dxa"/>
            <w:vMerge w:val="continue"/>
            <w:tcBorders>
              <w:top w:val="nil"/>
              <w:left w:val="nil"/>
              <w:bottom w:val="single" w:color="auto" w:sz="4" w:space="0"/>
              <w:right w:val="single" w:color="000000"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sz w:val="24"/>
                <w:szCs w:val="24"/>
                <w:highlight w:val="none"/>
              </w:rPr>
            </w:pPr>
          </w:p>
        </w:tc>
        <w:tc>
          <w:tcPr>
            <w:tcW w:w="139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适老家具配置</w:t>
            </w:r>
          </w:p>
        </w:tc>
        <w:tc>
          <w:tcPr>
            <w:tcW w:w="47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比如换鞋凳、适老椅、电动升降晾衣架等。</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val="en-US" w:eastAsia="zh-CN"/>
              </w:rPr>
              <w:t>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4" w:hRule="atLeast"/>
          <w:jc w:val="center"/>
        </w:trPr>
        <w:tc>
          <w:tcPr>
            <w:tcW w:w="72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leftChars="0" w:right="0" w:rightChars="0"/>
              <w:jc w:val="center"/>
              <w:textAlignment w:val="center"/>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kern w:val="0"/>
                <w:sz w:val="24"/>
                <w:szCs w:val="24"/>
                <w:highlight w:val="none"/>
                <w:lang w:val="en-US" w:eastAsia="zh-CN"/>
              </w:rPr>
              <w:t>31</w:t>
            </w:r>
          </w:p>
        </w:tc>
        <w:tc>
          <w:tcPr>
            <w:tcW w:w="1070" w:type="dxa"/>
            <w:vMerge w:val="restar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（七）</w:t>
            </w:r>
          </w:p>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老年用品配置</w:t>
            </w:r>
          </w:p>
        </w:tc>
        <w:tc>
          <w:tcPr>
            <w:tcW w:w="1390"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手杖</w:t>
            </w:r>
          </w:p>
        </w:tc>
        <w:tc>
          <w:tcPr>
            <w:tcW w:w="47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辅助走年人平稳站立和行走，包含三脚或四脚手杖、凳拐等。</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val="en-US" w:eastAsia="zh-CN"/>
              </w:rPr>
              <w:t>基础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4" w:hRule="atLeast"/>
          <w:jc w:val="center"/>
        </w:trPr>
        <w:tc>
          <w:tcPr>
            <w:tcW w:w="72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leftChars="0" w:right="0" w:rightChars="0"/>
              <w:jc w:val="center"/>
              <w:textAlignment w:val="center"/>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kern w:val="0"/>
                <w:sz w:val="24"/>
                <w:szCs w:val="24"/>
                <w:highlight w:val="none"/>
                <w:lang w:val="en-US" w:eastAsia="zh-CN"/>
              </w:rPr>
              <w:t>32</w:t>
            </w:r>
          </w:p>
        </w:tc>
        <w:tc>
          <w:tcPr>
            <w:tcW w:w="1070"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sz w:val="24"/>
                <w:szCs w:val="24"/>
                <w:highlight w:val="none"/>
              </w:rPr>
            </w:pPr>
          </w:p>
        </w:tc>
        <w:tc>
          <w:tcPr>
            <w:tcW w:w="1390"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轮椅/助行器</w:t>
            </w:r>
          </w:p>
        </w:tc>
        <w:tc>
          <w:tcPr>
            <w:tcW w:w="47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辅助家人、照护人员推行/帮助老年人站立行走，扩大老年人活动空间。</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val="en-US" w:eastAsia="zh-CN"/>
              </w:rPr>
              <w:t>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4" w:hRule="atLeast"/>
          <w:jc w:val="center"/>
        </w:trPr>
        <w:tc>
          <w:tcPr>
            <w:tcW w:w="72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leftChars="0" w:right="0" w:rightChars="0"/>
              <w:jc w:val="center"/>
              <w:textAlignment w:val="center"/>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kern w:val="0"/>
                <w:sz w:val="24"/>
                <w:szCs w:val="24"/>
                <w:highlight w:val="none"/>
                <w:lang w:val="en-US" w:eastAsia="zh-CN"/>
              </w:rPr>
              <w:t>33</w:t>
            </w:r>
          </w:p>
        </w:tc>
        <w:tc>
          <w:tcPr>
            <w:tcW w:w="1070"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sz w:val="24"/>
                <w:szCs w:val="24"/>
                <w:highlight w:val="none"/>
              </w:rPr>
            </w:pPr>
          </w:p>
        </w:tc>
        <w:tc>
          <w:tcPr>
            <w:tcW w:w="1390"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放大装置</w:t>
            </w:r>
          </w:p>
        </w:tc>
        <w:tc>
          <w:tcPr>
            <w:tcW w:w="47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运用光学/电子原理进行影像放大，方便老年人近用。</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val="en-US" w:eastAsia="zh-CN"/>
              </w:rPr>
              <w:t>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4" w:hRule="atLeast"/>
          <w:jc w:val="center"/>
        </w:trPr>
        <w:tc>
          <w:tcPr>
            <w:tcW w:w="72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leftChars="0" w:right="0" w:rightChars="0"/>
              <w:jc w:val="center"/>
              <w:textAlignment w:val="center"/>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kern w:val="0"/>
                <w:sz w:val="24"/>
                <w:szCs w:val="24"/>
                <w:highlight w:val="none"/>
                <w:lang w:val="en-US" w:eastAsia="zh-CN"/>
              </w:rPr>
              <w:t>34</w:t>
            </w:r>
          </w:p>
        </w:tc>
        <w:tc>
          <w:tcPr>
            <w:tcW w:w="1070"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sz w:val="24"/>
                <w:szCs w:val="24"/>
                <w:highlight w:val="none"/>
              </w:rPr>
            </w:pPr>
          </w:p>
        </w:tc>
        <w:tc>
          <w:tcPr>
            <w:tcW w:w="1390"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助听器</w:t>
            </w:r>
          </w:p>
        </w:tc>
        <w:tc>
          <w:tcPr>
            <w:tcW w:w="47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帮助老年人听清声音来源，增加与周围的交流，包括盒式助听器、耳内助听器、耳背助听器、骨导助听器等。</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val="en-US" w:eastAsia="zh-CN"/>
              </w:rPr>
              <w:t>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4" w:hRule="atLeast"/>
          <w:jc w:val="center"/>
        </w:trPr>
        <w:tc>
          <w:tcPr>
            <w:tcW w:w="727"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leftChars="0" w:right="0" w:rightChars="0"/>
              <w:jc w:val="center"/>
              <w:textAlignment w:val="center"/>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kern w:val="0"/>
                <w:sz w:val="24"/>
                <w:szCs w:val="24"/>
                <w:highlight w:val="none"/>
                <w:lang w:val="en-US" w:eastAsia="zh-CN"/>
              </w:rPr>
              <w:t>35</w:t>
            </w:r>
          </w:p>
        </w:tc>
        <w:tc>
          <w:tcPr>
            <w:tcW w:w="1070"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sz w:val="24"/>
                <w:szCs w:val="24"/>
                <w:highlight w:val="none"/>
              </w:rPr>
            </w:pPr>
          </w:p>
        </w:tc>
        <w:tc>
          <w:tcPr>
            <w:tcW w:w="1390"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自助进食器具</w:t>
            </w:r>
          </w:p>
        </w:tc>
        <w:tc>
          <w:tcPr>
            <w:tcW w:w="47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辅助老年人进食，包括防洒碗（盘）、助食筷、弯柄勺（叉）、饮水杯（壶）等。</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val="en-US" w:eastAsia="zh-CN"/>
              </w:rPr>
              <w:t>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4" w:hRule="atLeast"/>
          <w:jc w:val="center"/>
        </w:trPr>
        <w:tc>
          <w:tcPr>
            <w:tcW w:w="727" w:type="dxa"/>
            <w:tcBorders>
              <w:top w:val="single" w:color="000000" w:sz="4" w:space="0"/>
              <w:left w:val="single" w:color="000000"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leftChars="0" w:right="0" w:rightChars="0"/>
              <w:jc w:val="center"/>
              <w:textAlignment w:val="center"/>
              <w:rPr>
                <w:rFonts w:hint="eastAsia" w:ascii="仿宋_GB2312" w:hAnsi="仿宋_GB2312" w:eastAsia="仿宋_GB2312" w:cs="仿宋_GB2312"/>
                <w:kern w:val="2"/>
                <w:sz w:val="21"/>
                <w:szCs w:val="24"/>
                <w:highlight w:val="none"/>
                <w:lang w:val="en-US" w:eastAsia="zh-CN" w:bidi="ar-SA"/>
              </w:rPr>
            </w:pPr>
            <w:r>
              <w:rPr>
                <w:rFonts w:hint="eastAsia" w:ascii="仿宋_GB2312" w:hAnsi="仿宋_GB2312" w:eastAsia="仿宋_GB2312" w:cs="仿宋_GB2312"/>
                <w:kern w:val="0"/>
                <w:sz w:val="24"/>
                <w:szCs w:val="24"/>
                <w:highlight w:val="none"/>
                <w:lang w:val="en-US" w:eastAsia="zh-CN"/>
              </w:rPr>
              <w:t>36</w:t>
            </w:r>
          </w:p>
        </w:tc>
        <w:tc>
          <w:tcPr>
            <w:tcW w:w="1070"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sz w:val="24"/>
                <w:szCs w:val="24"/>
                <w:highlight w:val="none"/>
              </w:rPr>
            </w:pPr>
          </w:p>
        </w:tc>
        <w:tc>
          <w:tcPr>
            <w:tcW w:w="1390" w:type="dxa"/>
            <w:tcBorders>
              <w:top w:val="single" w:color="000000" w:sz="4" w:space="0"/>
              <w:left w:val="single" w:color="auto" w:sz="4" w:space="0"/>
              <w:bottom w:val="single" w:color="auto"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防走失装置</w:t>
            </w:r>
          </w:p>
        </w:tc>
        <w:tc>
          <w:tcPr>
            <w:tcW w:w="471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用于监测失智老年人或其他精神障碍老年人定位，避免老年人走失，包括防走失手环、防走失胸卡等。</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val="en-US" w:eastAsia="zh-CN"/>
              </w:rPr>
              <w:t>基础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24" w:hRule="atLeast"/>
          <w:jc w:val="center"/>
        </w:trPr>
        <w:tc>
          <w:tcPr>
            <w:tcW w:w="72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leftChars="0" w:right="0" w:rightChars="0"/>
              <w:jc w:val="center"/>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37</w:t>
            </w:r>
          </w:p>
        </w:tc>
        <w:tc>
          <w:tcPr>
            <w:tcW w:w="1070"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rPr>
                <w:rFonts w:hint="eastAsia" w:ascii="仿宋_GB2312" w:hAnsi="仿宋_GB2312" w:eastAsia="仿宋_GB2312" w:cs="仿宋_GB2312"/>
                <w:sz w:val="24"/>
                <w:szCs w:val="24"/>
                <w:highlight w:val="none"/>
              </w:rPr>
            </w:pPr>
          </w:p>
        </w:tc>
        <w:tc>
          <w:tcPr>
            <w:tcW w:w="139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安全监控装置</w:t>
            </w:r>
          </w:p>
        </w:tc>
        <w:tc>
          <w:tcPr>
            <w:tcW w:w="4712"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rPr>
              <w:t>佩戴于人体或安装在居家环境中，用于监测老年人动作或者居室环境，发生险情时及时报警。包括红外探测器、紧急呼叫器、烟雾/煤气泄露/溢水报警器等。</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val="en-US" w:eastAsia="zh-CN"/>
              </w:rPr>
              <w:t>可选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255" w:hRule="atLeast"/>
          <w:jc w:val="center"/>
        </w:trPr>
        <w:tc>
          <w:tcPr>
            <w:tcW w:w="72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leftChars="0" w:right="0" w:rightChars="0"/>
              <w:jc w:val="center"/>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38</w:t>
            </w:r>
          </w:p>
        </w:tc>
        <w:tc>
          <w:tcPr>
            <w:tcW w:w="107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（八）</w:t>
            </w:r>
          </w:p>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智能化</w:t>
            </w:r>
          </w:p>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00" w:lineRule="exact"/>
              <w:ind w:left="0" w:right="0"/>
              <w:jc w:val="center"/>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kern w:val="0"/>
                <w:sz w:val="24"/>
                <w:szCs w:val="24"/>
                <w:highlight w:val="none"/>
                <w:lang w:val="en-US" w:eastAsia="zh-CN"/>
              </w:rPr>
              <w:t>改造</w:t>
            </w:r>
          </w:p>
        </w:tc>
        <w:tc>
          <w:tcPr>
            <w:tcW w:w="139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智慧情景通断器</w:t>
            </w:r>
          </w:p>
        </w:tc>
        <w:tc>
          <w:tcPr>
            <w:tcW w:w="4712"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left"/>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语音控制灯具、门禁、电器等，对于手脚不便，行动迟缓老人使用，可以设置延时关闭。</w:t>
            </w:r>
          </w:p>
        </w:tc>
        <w:tc>
          <w:tcPr>
            <w:tcW w:w="143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100" w:beforeLines="0" w:beforeAutospacing="1" w:after="100" w:afterLines="0" w:afterAutospacing="1" w:line="240" w:lineRule="auto"/>
              <w:ind w:left="0" w:right="0"/>
              <w:jc w:val="center"/>
              <w:textAlignment w:val="center"/>
              <w:rPr>
                <w:rFonts w:hint="eastAsia" w:ascii="仿宋_GB2312" w:hAnsi="仿宋_GB2312" w:eastAsia="仿宋_GB2312" w:cs="仿宋_GB2312"/>
                <w:kern w:val="0"/>
                <w:sz w:val="24"/>
                <w:szCs w:val="24"/>
                <w:highlight w:val="none"/>
                <w:lang w:val="en-US" w:eastAsia="zh-CN"/>
              </w:rPr>
            </w:pPr>
            <w:r>
              <w:rPr>
                <w:rFonts w:hint="eastAsia" w:ascii="仿宋_GB2312" w:hAnsi="仿宋_GB2312" w:eastAsia="仿宋_GB2312" w:cs="仿宋_GB2312"/>
                <w:kern w:val="0"/>
                <w:sz w:val="24"/>
                <w:szCs w:val="24"/>
                <w:highlight w:val="none"/>
                <w:lang w:val="en-US" w:eastAsia="zh-CN"/>
              </w:rPr>
              <w:t>可选</w:t>
            </w:r>
          </w:p>
        </w:tc>
      </w:tr>
    </w:tbl>
    <w:p>
      <w:pPr>
        <w:keepNext w:val="0"/>
        <w:keepLines w:val="0"/>
        <w:pageBreakBefore w:val="0"/>
        <w:widowControl w:val="0"/>
        <w:tabs>
          <w:tab w:val="left" w:pos="681"/>
        </w:tabs>
        <w:kinsoku/>
        <w:wordWrap/>
        <w:overflowPunct/>
        <w:topLinePunct w:val="0"/>
        <w:autoSpaceDE/>
        <w:autoSpaceDN/>
        <w:bidi w:val="0"/>
        <w:adjustRightInd/>
        <w:snapToGrid/>
        <w:spacing w:line="480" w:lineRule="exact"/>
        <w:jc w:val="both"/>
        <w:textAlignment w:val="auto"/>
        <w:rPr>
          <w:rFonts w:hint="eastAsia" w:ascii="楷体" w:hAnsi="楷体" w:eastAsia="楷体" w:cs="楷体"/>
          <w:b/>
          <w:bCs/>
          <w:color w:val="auto"/>
          <w:sz w:val="32"/>
          <w:szCs w:val="32"/>
          <w:highlight w:val="none"/>
          <w:lang w:val="en-US" w:eastAsia="zh-CN"/>
        </w:rPr>
      </w:pPr>
      <w:r>
        <w:rPr>
          <w:rFonts w:hint="eastAsia" w:ascii="楷体" w:hAnsi="楷体" w:eastAsia="楷体" w:cs="楷体"/>
          <w:b/>
          <w:bCs/>
          <w:color w:val="auto"/>
          <w:sz w:val="32"/>
          <w:szCs w:val="32"/>
          <w:highlight w:val="none"/>
          <w:lang w:val="en-US" w:eastAsia="zh-CN"/>
        </w:rPr>
        <w:t>备注:</w:t>
      </w:r>
    </w:p>
    <w:p>
      <w:pPr>
        <w:keepNext w:val="0"/>
        <w:keepLines w:val="0"/>
        <w:pageBreakBefore w:val="0"/>
        <w:widowControl w:val="0"/>
        <w:tabs>
          <w:tab w:val="left" w:pos="681"/>
        </w:tabs>
        <w:kinsoku/>
        <w:wordWrap/>
        <w:overflowPunct/>
        <w:topLinePunct w:val="0"/>
        <w:autoSpaceDE/>
        <w:autoSpaceDN/>
        <w:bidi w:val="0"/>
        <w:adjustRightInd/>
        <w:snapToGrid/>
        <w:spacing w:line="480" w:lineRule="exact"/>
        <w:ind w:left="958" w:leftChars="304" w:hanging="320" w:hangingChars="1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1.本清单参考民政部等9部委《关于加快实施老年人居家适老化改造工程的指导意见》(民发〔2020〕86号)中的《老年人居家适老化改造项目和老年用品配置推荐清单》等完善制定。</w:t>
      </w:r>
    </w:p>
    <w:p>
      <w:pPr>
        <w:keepNext w:val="0"/>
        <w:keepLines w:val="0"/>
        <w:pageBreakBefore w:val="0"/>
        <w:widowControl w:val="0"/>
        <w:tabs>
          <w:tab w:val="left" w:pos="681"/>
        </w:tabs>
        <w:kinsoku/>
        <w:wordWrap/>
        <w:overflowPunct/>
        <w:topLinePunct w:val="0"/>
        <w:autoSpaceDE/>
        <w:autoSpaceDN/>
        <w:bidi w:val="0"/>
        <w:adjustRightInd/>
        <w:snapToGrid/>
        <w:spacing w:line="48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2.部分适老化基础项目若老年人根据实际需要主动放弃,或</w:t>
      </w:r>
    </w:p>
    <w:p>
      <w:pPr>
        <w:keepNext w:val="0"/>
        <w:keepLines w:val="0"/>
        <w:pageBreakBefore w:val="0"/>
        <w:widowControl w:val="0"/>
        <w:numPr>
          <w:ilvl w:val="0"/>
          <w:numId w:val="0"/>
        </w:numPr>
        <w:tabs>
          <w:tab w:val="left" w:pos="681"/>
        </w:tabs>
        <w:kinsoku/>
        <w:wordWrap/>
        <w:overflowPunct/>
        <w:topLinePunct w:val="0"/>
        <w:autoSpaceDE/>
        <w:autoSpaceDN/>
        <w:bidi w:val="0"/>
        <w:adjustRightInd/>
        <w:snapToGrid/>
        <w:spacing w:line="480" w:lineRule="exact"/>
        <w:ind w:left="958" w:leftChars="456" w:firstLine="0" w:firstLineChars="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在列为改造对象前已实施部分改造且改造内容满足本清单要求,经老年人或其监护人签字同意,服务机构可以用可选项目替代,但超出家庭适老化改造补贴标准的费用由服务对象个人承担或服务机构让利无偿提供。</w:t>
      </w:r>
    </w:p>
    <w:p>
      <w:pPr>
        <w:pStyle w:val="2"/>
        <w:rPr>
          <w:rFonts w:hint="eastAsia"/>
          <w:lang w:val="en-US" w:eastAsia="zh-CN"/>
        </w:rPr>
      </w:pPr>
      <w:bookmarkStart w:id="0" w:name="_GoBack"/>
      <w:bookmarkEnd w:id="0"/>
    </w:p>
    <w:sectPr>
      <w:footerReference r:id="rId3" w:type="default"/>
      <w:pgSz w:w="11906" w:h="16838"/>
      <w:pgMar w:top="2098" w:right="1474" w:bottom="1984" w:left="1587" w:header="851" w:footer="1587"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FE16E16-551A-4AB0-A6D4-4EDD1B8DB29F}"/>
  </w:font>
  <w:font w:name="Arial">
    <w:panose1 w:val="020B0604020202020204"/>
    <w:charset w:val="01"/>
    <w:family w:val="swiss"/>
    <w:pitch w:val="default"/>
    <w:sig w:usb0="E0002AFF" w:usb1="C0007843" w:usb2="00000009" w:usb3="00000000" w:csb0="400001FF" w:csb1="FFFF0000"/>
    <w:embedRegular r:id="rId2" w:fontKey="{AB43981F-1CC3-4569-B65D-583F7402959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C0706286-D0D0-4C66-AD14-5CA2EF8D53D6}"/>
  </w:font>
  <w:font w:name="Symbol">
    <w:panose1 w:val="05050102010706020507"/>
    <w:charset w:val="02"/>
    <w:family w:val="roman"/>
    <w:pitch w:val="default"/>
    <w:sig w:usb0="00000000" w:usb1="00000000" w:usb2="00000000" w:usb3="00000000" w:csb0="80000000" w:csb1="00000000"/>
    <w:embedRegular r:id="rId4" w:fontKey="{F30738F9-2625-463A-B70E-AC3662015641}"/>
  </w:font>
  <w:font w:name="Cambria">
    <w:panose1 w:val="02040503050406030204"/>
    <w:charset w:val="00"/>
    <w:family w:val="roman"/>
    <w:pitch w:val="default"/>
    <w:sig w:usb0="E00002FF" w:usb1="400004FF" w:usb2="00000000" w:usb3="00000000" w:csb0="2000019F" w:csb1="00000000"/>
    <w:embedRegular r:id="rId5" w:fontKey="{80D89791-504B-43C2-948A-7584F5DDFBC1}"/>
  </w:font>
  <w:font w:name="Calibri">
    <w:panose1 w:val="020F0502020204030204"/>
    <w:charset w:val="00"/>
    <w:family w:val="swiss"/>
    <w:pitch w:val="default"/>
    <w:sig w:usb0="E00002FF" w:usb1="4000ACFF" w:usb2="00000001" w:usb3="00000000" w:csb0="2000019F" w:csb1="00000000"/>
    <w:embedRegular r:id="rId6" w:fontKey="{2DE9DAEF-A6A0-4158-A57A-ED67D4A74291}"/>
  </w:font>
  <w:font w:name="Tahoma">
    <w:panose1 w:val="020B0604030504040204"/>
    <w:charset w:val="00"/>
    <w:family w:val="swiss"/>
    <w:pitch w:val="default"/>
    <w:sig w:usb0="E1002EFF" w:usb1="C000605B" w:usb2="00000029" w:usb3="00000000" w:csb0="200101FF" w:csb1="20280000"/>
    <w:embedRegular r:id="rId7" w:fontKey="{8D4CD31E-0114-49B7-9730-8EC0761548F9}"/>
  </w:font>
  <w:font w:name="方正大标宋简体">
    <w:altName w:val="微软雅黑"/>
    <w:panose1 w:val="03000509000000000000"/>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auto"/>
    <w:pitch w:val="default"/>
    <w:sig w:usb0="00000000" w:usb1="00000000" w:usb2="00000000" w:usb3="00000000" w:csb0="00000000" w:csb1="00000000"/>
    <w:embedRegular r:id="rId8" w:fontKey="{7D13EC30-D201-4012-AD5F-12EC40B531EF}"/>
  </w:font>
  <w:font w:name="方正小标宋_GBK">
    <w:panose1 w:val="03000509000000000000"/>
    <w:charset w:val="86"/>
    <w:family w:val="auto"/>
    <w:pitch w:val="default"/>
    <w:sig w:usb0="00000000" w:usb1="00000000" w:usb2="00000000" w:usb3="00000000" w:csb0="00000000" w:csb1="00000000"/>
  </w:font>
  <w:font w:name="方正小标宋简体">
    <w:panose1 w:val="03000509000000000000"/>
    <w:charset w:val="86"/>
    <w:family w:val="script"/>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embedRegular r:id="rId9" w:fontKey="{64748716-6233-48D5-8589-04B026BC3718}"/>
  </w:font>
  <w:font w:name="仿宋">
    <w:panose1 w:val="02010609060101010101"/>
    <w:charset w:val="86"/>
    <w:family w:val="auto"/>
    <w:pitch w:val="default"/>
    <w:sig w:usb0="800002BF" w:usb1="38CF7CFA" w:usb2="00000016" w:usb3="00000000" w:csb0="00040001" w:csb1="00000000"/>
  </w:font>
  <w:font w:name="方正仿宋_GBK">
    <w:altName w:val="微软雅黑"/>
    <w:panose1 w:val="02000000000000000000"/>
    <w:charset w:val="86"/>
    <w:family w:val="auto"/>
    <w:pitch w:val="default"/>
    <w:sig w:usb0="00000000" w:usb1="00000000" w:usb2="00000000" w:usb3="00000000" w:csb0="00040000" w:csb1="00000000"/>
    <w:embedRegular r:id="rId10" w:fontKey="{55E35D87-FAA5-44B6-BD0F-3F42D4CA49B6}"/>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6979"/>
        <w:tab w:val="clear" w:pos="4153"/>
      </w:tabs>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26670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sz w:val="32"/>
                              <w:szCs w:val="32"/>
                            </w:rPr>
                            <w:fldChar w:fldCharType="begin"/>
                          </w:r>
                          <w:r>
                            <w:rPr>
                              <w:sz w:val="32"/>
                              <w:szCs w:val="32"/>
                            </w:rPr>
                            <w:instrText xml:space="preserve"> PAGE  \* MERGEFORMAT </w:instrText>
                          </w:r>
                          <w:r>
                            <w:rPr>
                              <w:sz w:val="32"/>
                              <w:szCs w:val="32"/>
                            </w:rPr>
                            <w:fldChar w:fldCharType="separate"/>
                          </w:r>
                          <w:r>
                            <w:rPr>
                              <w:sz w:val="32"/>
                              <w:szCs w:val="32"/>
                            </w:rPr>
                            <w:t>7</w:t>
                          </w:r>
                          <w:r>
                            <w:rPr>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1pt;height:144pt;width:144pt;mso-position-horizontal:outside;mso-position-horizontal-relative:margin;mso-wrap-style:none;z-index:251660288;mso-width-relative:page;mso-height-relative:page;" filled="f" stroked="f" coordsize="21600,21600" o:gfxdata="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wiOinTAAAABgEAAA8AAAAAAAAAAQAg&#10;AAAAIgAAAGRycy9kb3ducmV2LnhtbFBLAQIUABQAAAAIAIdO4kAF3HKwEwIAABMEAAAOAAAAAAAA&#10;AAEAIAAAACIBAABkcnMvZTJvRG9jLnhtbFBLBQYAAAAABgAGAFkBAACnBQAAAAA=&#10;">
              <v:fill on="f" focussize="0,0"/>
              <v:stroke on="f" weight="0.5pt"/>
              <v:imagedata o:title=""/>
              <o:lock v:ext="edit" aspectratio="f"/>
              <v:textbox inset="0mm,0mm,0mm,0mm" style="mso-fit-shape-to-text:t;">
                <w:txbxContent>
                  <w:p>
                    <w:pPr>
                      <w:pStyle w:val="6"/>
                    </w:pPr>
                    <w:r>
                      <w:rPr>
                        <w:sz w:val="32"/>
                        <w:szCs w:val="32"/>
                      </w:rPr>
                      <w:fldChar w:fldCharType="begin"/>
                    </w:r>
                    <w:r>
                      <w:rPr>
                        <w:sz w:val="32"/>
                        <w:szCs w:val="32"/>
                      </w:rPr>
                      <w:instrText xml:space="preserve"> PAGE  \* MERGEFORMAT </w:instrText>
                    </w:r>
                    <w:r>
                      <w:rPr>
                        <w:sz w:val="32"/>
                        <w:szCs w:val="32"/>
                      </w:rPr>
                      <w:fldChar w:fldCharType="separate"/>
                    </w:r>
                    <w:r>
                      <w:rPr>
                        <w:sz w:val="32"/>
                        <w:szCs w:val="32"/>
                      </w:rPr>
                      <w:t>7</w:t>
                    </w:r>
                    <w:r>
                      <w:rPr>
                        <w:sz w:val="32"/>
                        <w:szCs w:val="32"/>
                      </w:rPr>
                      <w:fldChar w:fldCharType="end"/>
                    </w:r>
                  </w:p>
                </w:txbxContent>
              </v:textbox>
            </v:shape>
          </w:pict>
        </mc:Fallback>
      </mc:AlternateContent>
    </w:r>
    <w:r>
      <w:rPr>
        <w:rFonts w:hint="eastAsia"/>
        <w:lang w:eastAsia="zh-CN"/>
      </w:rPr>
      <w:tab/>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FD2643"/>
    <w:rsid w:val="03A72BCD"/>
    <w:rsid w:val="06FE0357"/>
    <w:rsid w:val="09BD66E3"/>
    <w:rsid w:val="09C122E8"/>
    <w:rsid w:val="0B5421B3"/>
    <w:rsid w:val="0BE915D0"/>
    <w:rsid w:val="0CBB4DF8"/>
    <w:rsid w:val="0CF46004"/>
    <w:rsid w:val="0CFA6473"/>
    <w:rsid w:val="0EB56CC9"/>
    <w:rsid w:val="119F1F91"/>
    <w:rsid w:val="17772D13"/>
    <w:rsid w:val="1AB84967"/>
    <w:rsid w:val="1C214FCB"/>
    <w:rsid w:val="1D737CE2"/>
    <w:rsid w:val="1DED259B"/>
    <w:rsid w:val="202B0FBF"/>
    <w:rsid w:val="23EB0437"/>
    <w:rsid w:val="26AF007E"/>
    <w:rsid w:val="274F3702"/>
    <w:rsid w:val="29617EE9"/>
    <w:rsid w:val="2BCD3E81"/>
    <w:rsid w:val="2C8565EC"/>
    <w:rsid w:val="2CC63291"/>
    <w:rsid w:val="2FB5040F"/>
    <w:rsid w:val="2FD12484"/>
    <w:rsid w:val="30F03716"/>
    <w:rsid w:val="330B5104"/>
    <w:rsid w:val="342B236A"/>
    <w:rsid w:val="35FA2E13"/>
    <w:rsid w:val="36624BCB"/>
    <w:rsid w:val="38D873F1"/>
    <w:rsid w:val="3A9148A1"/>
    <w:rsid w:val="3B210185"/>
    <w:rsid w:val="3DA319DA"/>
    <w:rsid w:val="45457BB8"/>
    <w:rsid w:val="48130F4E"/>
    <w:rsid w:val="48B25AAA"/>
    <w:rsid w:val="494566E7"/>
    <w:rsid w:val="49E851AB"/>
    <w:rsid w:val="4C204475"/>
    <w:rsid w:val="51215412"/>
    <w:rsid w:val="521663AF"/>
    <w:rsid w:val="52A216ED"/>
    <w:rsid w:val="52EB5242"/>
    <w:rsid w:val="54023943"/>
    <w:rsid w:val="5C1D2E9E"/>
    <w:rsid w:val="5C717639"/>
    <w:rsid w:val="618F79EB"/>
    <w:rsid w:val="61AF35B6"/>
    <w:rsid w:val="62CD0CE2"/>
    <w:rsid w:val="653A0C9A"/>
    <w:rsid w:val="655F17B3"/>
    <w:rsid w:val="66991FF3"/>
    <w:rsid w:val="675904BA"/>
    <w:rsid w:val="69FA7EFF"/>
    <w:rsid w:val="6A23661B"/>
    <w:rsid w:val="6A6C20EF"/>
    <w:rsid w:val="6B783B4D"/>
    <w:rsid w:val="6C0B3756"/>
    <w:rsid w:val="6E596DE3"/>
    <w:rsid w:val="733D0262"/>
    <w:rsid w:val="7531094C"/>
    <w:rsid w:val="75B10AE8"/>
    <w:rsid w:val="76AB41E9"/>
    <w:rsid w:val="77BF0E06"/>
    <w:rsid w:val="7976018F"/>
    <w:rsid w:val="7A1630C8"/>
    <w:rsid w:val="7FE736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link w:val="12"/>
    <w:semiHidden/>
    <w:qFormat/>
    <w:uiPriority w:val="0"/>
    <w:rPr>
      <w:rFonts w:ascii="Tahoma" w:hAnsi="Tahoma" w:eastAsia="宋体"/>
      <w:b/>
      <w:sz w:val="44"/>
      <w:szCs w:val="24"/>
      <w:lang w:bidi="ar-SA"/>
    </w:rPr>
  </w:style>
  <w:style w:type="table" w:default="1" w:styleId="15">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1"/>
    <w:qFormat/>
    <w:uiPriority w:val="0"/>
    <w:pPr>
      <w:spacing w:after="120" w:afterLines="0" w:afterAutospacing="0"/>
    </w:pPr>
  </w:style>
  <w:style w:type="paragraph" w:styleId="3">
    <w:name w:val="table of authorities"/>
    <w:basedOn w:val="1"/>
    <w:next w:val="1"/>
    <w:qFormat/>
    <w:uiPriority w:val="99"/>
    <w:pPr>
      <w:ind w:left="200" w:leftChars="200"/>
    </w:pPr>
  </w:style>
  <w:style w:type="paragraph" w:styleId="4">
    <w:name w:val="Normal Indent"/>
    <w:basedOn w:val="1"/>
    <w:unhideWhenUsed/>
    <w:qFormat/>
    <w:uiPriority w:val="99"/>
    <w:pPr>
      <w:ind w:firstLine="420" w:firstLineChars="200"/>
    </w:pPr>
    <w:rPr>
      <w:rFonts w:ascii="Calibri" w:hAnsi="Calibri" w:eastAsia="宋体" w:cs="Times New Roman"/>
    </w:rPr>
  </w:style>
  <w:style w:type="paragraph" w:styleId="5">
    <w:name w:val="Document Map"/>
    <w:basedOn w:val="1"/>
    <w:semiHidden/>
    <w:qFormat/>
    <w:uiPriority w:val="0"/>
    <w:pPr>
      <w:shd w:val="clear" w:color="auto" w:fill="000080"/>
    </w:pPr>
  </w:style>
  <w:style w:type="paragraph" w:styleId="6">
    <w:name w:val="footer"/>
    <w:basedOn w:val="1"/>
    <w:qFormat/>
    <w:uiPriority w:val="0"/>
    <w:pPr>
      <w:tabs>
        <w:tab w:val="center" w:pos="4153"/>
        <w:tab w:val="right" w:pos="8306"/>
      </w:tabs>
      <w:snapToGrid w:val="0"/>
      <w:jc w:val="left"/>
    </w:pPr>
    <w:rPr>
      <w:sz w:val="18"/>
    </w:rPr>
  </w:style>
  <w:style w:type="paragraph" w:styleId="7">
    <w:name w:val="Body Text First Indent 2"/>
    <w:basedOn w:val="2"/>
    <w:next w:val="1"/>
    <w:qFormat/>
    <w:uiPriority w:val="0"/>
    <w:pPr>
      <w:ind w:firstLine="420" w:firstLineChars="200"/>
    </w:pPr>
    <w:rPr>
      <w:rFonts w:cs="Times New Roman"/>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footnote text"/>
    <w:basedOn w:val="1"/>
    <w:qFormat/>
    <w:uiPriority w:val="0"/>
    <w:pPr>
      <w:snapToGrid w:val="0"/>
      <w:jc w:val="left"/>
    </w:pPr>
    <w:rPr>
      <w:rFonts w:ascii="Times New Roman" w:hAnsi="Times New Roman" w:eastAsia="宋体" w:cs="Times New Roman"/>
      <w:sz w:val="18"/>
    </w:rPr>
  </w:style>
  <w:style w:type="paragraph" w:styleId="10">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customStyle="1" w:styleId="12">
    <w:name w:val=" Char Char Char Char Char Char Char Char Char Char Char Char Char"/>
    <w:basedOn w:val="5"/>
    <w:link w:val="11"/>
    <w:qFormat/>
    <w:uiPriority w:val="0"/>
    <w:pPr>
      <w:adjustRightInd w:val="0"/>
      <w:spacing w:line="436" w:lineRule="exact"/>
      <w:ind w:left="357"/>
      <w:jc w:val="left"/>
      <w:outlineLvl w:val="3"/>
    </w:pPr>
    <w:rPr>
      <w:rFonts w:ascii="Tahoma" w:hAnsi="Tahoma" w:eastAsia="宋体"/>
      <w:b/>
      <w:sz w:val="44"/>
      <w:szCs w:val="24"/>
      <w:lang w:bidi="ar-SA"/>
    </w:rPr>
  </w:style>
  <w:style w:type="character" w:styleId="13">
    <w:name w:val="Strong"/>
    <w:basedOn w:val="11"/>
    <w:qFormat/>
    <w:uiPriority w:val="0"/>
  </w:style>
  <w:style w:type="character" w:styleId="14">
    <w:name w:val="Hyperlink"/>
    <w:basedOn w:val="11"/>
    <w:qFormat/>
    <w:uiPriority w:val="0"/>
    <w:rPr>
      <w:color w:val="0000FF"/>
      <w:u w:val="single"/>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7">
    <w:name w:val="content1"/>
    <w:basedOn w:val="11"/>
    <w:qFormat/>
    <w:uiPriority w:val="0"/>
    <w:rPr>
      <w:sz w:val="21"/>
      <w:szCs w:val="21"/>
    </w:rPr>
  </w:style>
  <w:style w:type="paragraph" w:customStyle="1" w:styleId="18">
    <w:name w:val="BodyText"/>
    <w:basedOn w:val="1"/>
    <w:qFormat/>
    <w:uiPriority w:val="0"/>
  </w:style>
  <w:style w:type="paragraph" w:customStyle="1" w:styleId="19">
    <w:name w:val="Body text|1"/>
    <w:basedOn w:val="1"/>
    <w:qFormat/>
    <w:uiPriority w:val="0"/>
    <w:pPr>
      <w:widowControl w:val="0"/>
      <w:shd w:val="clear" w:color="auto" w:fill="auto"/>
      <w:spacing w:line="391" w:lineRule="auto"/>
      <w:ind w:firstLine="400"/>
    </w:pPr>
    <w:rPr>
      <w:rFonts w:ascii="宋体" w:hAnsi="宋体" w:eastAsia="宋体" w:cs="宋体"/>
      <w:sz w:val="30"/>
      <w:szCs w:val="30"/>
      <w:u w:val="none"/>
      <w:shd w:val="clear" w:color="auto" w:fill="auto"/>
      <w:lang w:val="zh-TW" w:eastAsia="zh-TW" w:bidi="zh-TW"/>
    </w:rPr>
  </w:style>
  <w:style w:type="paragraph" w:customStyle="1" w:styleId="20">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Office_10.1.0.6489_F1E327BC-269C-435d-A152-05C5408002CA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cp:lastPrinted>2022-05-07T02:24:00Z</cp:lastPrinted>
  <dcterms:modified xsi:type="dcterms:W3CDTF">2022-08-26T11:19:47Z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2052-10.1.0.6489</vt:lpwstr>
  </property>
  <property fmtid="{D5CDD505-2E9C-101B-9397-08002B2CF9AE}" pid="3" name="KSOSaveFontToCloudKey">
    <vt:lpwstr>0_embed</vt:lpwstr>
  </property>
</Properties>
</file>