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小标宋简体" w:eastAsia="方正小标宋简体" w:cs="方正小标宋简体"/>
          <w:sz w:val="44"/>
          <w:szCs w:val="44"/>
        </w:rPr>
      </w:pPr>
      <w:bookmarkStart w:id="1761" w:name="_GoBack"/>
      <w:r>
        <w:rPr>
          <w:rFonts w:hint="eastAsia" w:ascii="方正小标宋简体" w:eastAsia="方正小标宋简体" w:cs="方正小标宋简体"/>
          <w:sz w:val="44"/>
          <w:szCs w:val="44"/>
        </w:rPr>
        <w:t>南阳市“十四五”营商环境和社会信用体系</w:t>
      </w:r>
    </w:p>
    <w:p>
      <w:pPr>
        <w:pStyle w:val="56"/>
        <w:spacing w:line="600" w:lineRule="exact"/>
        <w:rPr>
          <w:rFonts w:cs="方正小标宋简体"/>
          <w:sz w:val="44"/>
          <w:szCs w:val="44"/>
        </w:rPr>
      </w:pPr>
      <w:r>
        <w:rPr>
          <w:rFonts w:hint="eastAsia" w:cs="方正小标宋简体"/>
          <w:sz w:val="44"/>
          <w:szCs w:val="44"/>
        </w:rPr>
        <w:t>建设规划</w:t>
      </w:r>
    </w:p>
    <w:bookmarkEnd w:id="1761"/>
    <w:p>
      <w:pPr>
        <w:pStyle w:val="51"/>
        <w:ind w:firstLine="640"/>
        <w:rPr>
          <w:rFonts w:ascii="仿宋_GB2312" w:hAnsi="仿宋_GB2312" w:eastAsia="仿宋_GB2312" w:cs="仿宋_GB2312"/>
          <w:sz w:val="32"/>
          <w:szCs w:val="32"/>
        </w:rPr>
      </w:pPr>
    </w:p>
    <w:p>
      <w:pPr>
        <w:pStyle w:val="51"/>
        <w:ind w:firstLine="640"/>
        <w:rPr>
          <w:sz w:val="32"/>
        </w:rPr>
      </w:pPr>
      <w:r>
        <w:rPr>
          <w:rFonts w:hint="eastAsia" w:ascii="仿宋_GB2312" w:hAnsi="仿宋_GB2312" w:eastAsia="仿宋_GB2312" w:cs="仿宋_GB2312"/>
          <w:sz w:val="32"/>
          <w:szCs w:val="32"/>
        </w:rPr>
        <w:t>营商环境和社会信用体系建设是构建高水平社会主义市场经济体制、推进市域治理体系和治理能力现代化的重要基础，是激发市场主体活力、优化资源配置、增强高质量发展内生动力的重要保障。根据《南阳市国民经济和社会发展第十四个五年规划和二〇三五年远景目标纲要》精神，为加快社会信用体系建设，打造高质量发展一流营商环境，助力建设河南省副中心城市，特编制本规划。</w:t>
      </w:r>
      <w:bookmarkStart w:id="0" w:name="_Toc31363"/>
      <w:bookmarkStart w:id="1" w:name="_Toc15546"/>
      <w:bookmarkStart w:id="2" w:name="_Toc11868"/>
      <w:bookmarkStart w:id="3" w:name="_Toc21318"/>
      <w:bookmarkStart w:id="4" w:name="_Toc3668"/>
    </w:p>
    <w:p>
      <w:pPr>
        <w:pStyle w:val="54"/>
        <w:ind w:firstLine="0" w:firstLineChars="0"/>
        <w:jc w:val="center"/>
        <w:rPr>
          <w:rFonts w:cs="黑体"/>
          <w:sz w:val="32"/>
        </w:rPr>
      </w:pPr>
      <w:r>
        <w:rPr>
          <w:rFonts w:hint="eastAsia" w:cs="黑体"/>
          <w:sz w:val="32"/>
        </w:rPr>
        <w:t>第一章  现实基础</w:t>
      </w:r>
      <w:bookmarkEnd w:id="0"/>
      <w:bookmarkEnd w:id="1"/>
      <w:bookmarkEnd w:id="2"/>
      <w:bookmarkEnd w:id="3"/>
      <w:bookmarkEnd w:id="4"/>
    </w:p>
    <w:p>
      <w:pPr>
        <w:pStyle w:val="55"/>
        <w:ind w:firstLine="0" w:firstLineChars="0"/>
        <w:jc w:val="center"/>
        <w:rPr>
          <w:rFonts w:ascii="楷体_GB2312" w:hAnsi="楷体_GB2312" w:eastAsia="楷体_GB2312" w:cs="楷体_GB2312"/>
          <w:sz w:val="32"/>
        </w:rPr>
      </w:pPr>
      <w:bookmarkStart w:id="5" w:name="_Toc11390"/>
      <w:bookmarkStart w:id="6" w:name="_Toc18414"/>
      <w:bookmarkStart w:id="7" w:name="_Toc28893"/>
      <w:bookmarkStart w:id="8" w:name="_Toc8512"/>
      <w:bookmarkStart w:id="9" w:name="_Toc24962"/>
      <w:r>
        <w:rPr>
          <w:rFonts w:hint="eastAsia" w:ascii="楷体_GB2312" w:hAnsi="楷体_GB2312" w:eastAsia="楷体_GB2312" w:cs="楷体_GB2312"/>
          <w:sz w:val="32"/>
        </w:rPr>
        <w:t>第一节  “十三五”发展回顾</w:t>
      </w:r>
      <w:bookmarkEnd w:id="5"/>
      <w:bookmarkEnd w:id="6"/>
      <w:bookmarkEnd w:id="7"/>
      <w:bookmarkEnd w:id="8"/>
      <w:bookmarkEnd w:id="9"/>
    </w:p>
    <w:p>
      <w:pPr>
        <w:pStyle w:val="51"/>
        <w:ind w:firstLine="640"/>
        <w:rPr>
          <w:sz w:val="32"/>
          <w:szCs w:val="32"/>
        </w:rPr>
      </w:pPr>
      <w:r>
        <w:rPr>
          <w:rFonts w:hint="eastAsia" w:ascii="仿宋_GB2312" w:hAnsi="仿宋_GB2312" w:eastAsia="仿宋_GB2312" w:cs="仿宋_GB2312"/>
          <w:sz w:val="32"/>
          <w:szCs w:val="32"/>
        </w:rPr>
        <w:t>“十三五”时期，市委市政府高度重视营商环境和社会信用体系建设，明确提出将优化营商环境作为推动高质量发展“一号工程”，社会信用体系由低水平建设转向高质量发展。信用信息归集、“信易</w:t>
      </w:r>
      <w:r>
        <w:rPr>
          <w:rFonts w:hint="eastAsia" w:ascii="宋体" w:hAnsi="宋体" w:eastAsia="宋体" w:cs="宋体"/>
          <w:sz w:val="32"/>
          <w:szCs w:val="32"/>
        </w:rPr>
        <w:t>＋</w:t>
      </w:r>
      <w:r>
        <w:rPr>
          <w:rFonts w:hint="eastAsia" w:ascii="仿宋_GB2312" w:hAnsi="仿宋_GB2312" w:eastAsia="仿宋_GB2312" w:cs="仿宋_GB2312"/>
          <w:sz w:val="32"/>
          <w:szCs w:val="32"/>
        </w:rPr>
        <w:t>”创新应用及诚信文化宣传等多项工作走在全省前列，在创新社会治理、优化营商环境、助推南阳经济社会高质量发展方面发挥了积极作用。截至2020年12月，我市市场主体总量位居全省第二位、贷款余额总量位居全省第三位、城市信用监测排名位居全省第二位，先后获得河南省信用信息共享平台建设观摩活动三等奖、“特色性平台网站”等殊荣，全市综合实力明显增强，营商环境和社会信用体系建设工作成效显著。</w:t>
      </w:r>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组织保障全面增强。“十三五”时期，我市高度重视营商环境和社会信用体系建设组织保障。在营商环境建设方面，高规格调整工作领导小组，由市委书记、市长任组长，领导小组办公室下设5个工作组，建立8个工作专班，科学统筹全市营商环境建设工作；在信用体系建设方面，调整社会信用体系建设工作领导小组，由市委常委、常务副市长任组长，成员单位增至55家，18个县（市、区）均已设立专职信用工作机构，形成由领导小组指导、信用办统筹、其他市属单位积极配合、各县（市、区）协同推进的联动运作工作模式。完善机构设置，设立南阳市营商环境优化提升中心和信用城市建设促进中心，推动各县（市、区）发展改革部门加强营商环境和社会信用体系建设工作机构建设，建立日常监测月报和定期通报制度，对工作开展情况进行有效督导，基本形成党政齐抓、上下联动、群策群力的工作格局。</w:t>
      </w:r>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政策法规日趋完善。深入贯彻落实《优化营商环境条例》《河南省优化营商环境条例》等法规，围绕深化“放管服效”改革、打造法治化营商环境，出台《南阳市优化营商环境三年行动方案（2018</w:t>
      </w:r>
      <w:r>
        <w:rPr>
          <w:rFonts w:hint="eastAsia" w:ascii="宋体" w:hAnsi="宋体" w:eastAsia="宋体" w:cs="宋体"/>
          <w:sz w:val="32"/>
          <w:szCs w:val="32"/>
        </w:rPr>
        <w:t>—</w:t>
      </w:r>
      <w:r>
        <w:rPr>
          <w:rFonts w:hint="eastAsia" w:ascii="仿宋_GB2312" w:hAnsi="仿宋_GB2312" w:eastAsia="仿宋_GB2312" w:cs="仿宋_GB2312"/>
          <w:sz w:val="32"/>
          <w:szCs w:val="32"/>
        </w:rPr>
        <w:t>2020年）》等规范性、指导性文件，提出20余条工作意见并开展15项核心指标攻坚行动，推进建设服务型政府、提高企业服务能力、构建开放体制机制、营造重商安商氛围；在信用体系建设方面，贯彻落实《</w:t>
      </w:r>
      <w:r>
        <w:fldChar w:fldCharType="begin"/>
      </w:r>
      <w:r>
        <w:instrText xml:space="preserve"> HYPERLINK "https://www.so.com/link?m=baHV1Mc45b89VTmJbQW6zdoOV13Mn/uyDVJg+Kx2dHwUOm4L6vUw3rV0q706LFc4RJ4W2vloc9oJPvgTI34hOvGmUP0pXe198BVfhIVWZPDwlyDHCXh/34ePTxmOsdOHqwPUmBoyBtpIjCKwhzuMuGCYLnrjKJDNApOaW9Gm4pRMq5u/TKkb4SgE+3xD8Ql67gYIQroXLv3FGone1ut62YcxmhObzAnxSZVYtnaOsiuZWVJC1r2lUCauoeWc=" \t "https://www.so.com/_blank" </w:instrText>
      </w:r>
      <w:r>
        <w:fldChar w:fldCharType="separate"/>
      </w:r>
      <w:r>
        <w:rPr>
          <w:rFonts w:hint="eastAsia" w:ascii="仿宋_GB2312" w:hAnsi="仿宋_GB2312" w:eastAsia="仿宋_GB2312" w:cs="仿宋_GB2312"/>
          <w:sz w:val="32"/>
          <w:szCs w:val="32"/>
        </w:rPr>
        <w:t>河南省社会信用条例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》，围绕法治化、规范化推进信用体系建设，出台《南阳市加快推进社会信用体系建设构建以信用为基础的新型监管机制实施方案》，提出构建“1</w:t>
      </w:r>
      <w:r>
        <w:rPr>
          <w:rFonts w:hint="eastAsia" w:ascii="宋体" w:hAnsi="宋体" w:eastAsia="宋体" w:cs="宋体"/>
          <w:sz w:val="32"/>
          <w:szCs w:val="32"/>
        </w:rPr>
        <w:t>＋</w:t>
      </w:r>
      <w:r>
        <w:rPr>
          <w:rFonts w:hint="eastAsia" w:ascii="仿宋_GB2312" w:hAnsi="仿宋_GB2312" w:eastAsia="仿宋_GB2312" w:cs="仿宋_GB2312"/>
          <w:sz w:val="32"/>
          <w:szCs w:val="32"/>
        </w:rPr>
        <w:t>N”为基本框架的信用法规制度体系，确保政务诚信建设、信用承诺、公共信用综合评价、信用奖惩、信用修复、“信易贷”等各项工作有章可循，进一步提升营商环境和社会信用体系建设工作的规范性、精准性和安全性，为推动我市治理体系和治理能力现代化，提升社会信用体系建设水平提供法治保障。</w:t>
      </w:r>
    </w:p>
    <w:p>
      <w:pPr>
        <w:spacing w:line="572" w:lineRule="exact"/>
        <w:ind w:firstLine="640" w:firstLineChars="200"/>
        <w:rPr>
          <w:rFonts w:ascii="仿宋_GB2312" w:hAnsi="仿宋_GB2312" w:cs="仿宋_GB2312"/>
        </w:rPr>
      </w:pPr>
      <w:r>
        <w:rPr>
          <w:rFonts w:hint="eastAsia" w:ascii="仿宋_GB2312" w:hAnsi="仿宋_GB2312" w:cs="仿宋_GB2312"/>
        </w:rPr>
        <w:t>信息平台稳定运行。在营商环境建设方面，优化政府采购电子化系统，增加“验收报告”和“资金支付凭证”备案功能。推动政府采购电子化系统与公共资源交易平台互联互通，完成26项技术（端口）接入，实现采购过程、采购结果全流程信息公开和自动实时推送。推行网上诉讼平台应用，受理网上立案申请2312件、网上交费1562件、网上开庭950件，为企业提供良好的司法保障和法律服务。在信用体系建设方面，建成并运行南阳市信用信息平台和“信用中国（河南南阳）”门户网站，平台实现数据应用服务、信用奖惩、大数据分析、数据溯源监管、公共信用评价、信用监测、信用承诺等多项功能，网站设置了信用动态、政策法规、专项治理、联合奖惩、信用服务、信用公示、典型案例、红黑榜、双公示等13个一级栏目和36个子栏目。完成54个市直部门信用信息目录编制工作，共梳理出1921条信用信息目录，实现12个县（区）、54个市直部门数据自主上传，归集信用信息数量达7.6亿条，“双公示”上报率、合规率和及时率均为100%。</w:t>
      </w:r>
    </w:p>
    <w:p>
      <w:pPr>
        <w:spacing w:line="572" w:lineRule="exact"/>
        <w:ind w:firstLine="640" w:firstLineChars="200"/>
        <w:rPr>
          <w:rFonts w:ascii="仿宋_GB2312" w:hAnsi="仿宋_GB2312" w:cs="仿宋_GB2312"/>
        </w:rPr>
      </w:pPr>
      <w:r>
        <w:rPr>
          <w:rFonts w:hint="eastAsia" w:ascii="仿宋_GB2312" w:hAnsi="仿宋_GB2312" w:cs="仿宋_GB2312"/>
        </w:rPr>
        <w:t>监管效能稳步提升。在营商环境建设方面，“双随机、一公开”监管稳步推进，21个部门、197个抽查事项纳入双随机抽查并对社会公示，市场监管领域双随机覆盖率达到100%。深入推进住房公积金缴存、贷款、信息变更等30项业务实行“同城通办”，实现全市无差别“一窗受理”。逐步推行“互联网</w:t>
      </w:r>
      <w:r>
        <w:rPr>
          <w:rFonts w:hint="eastAsia" w:ascii="宋体" w:hAnsi="宋体" w:eastAsia="宋体" w:cs="宋体"/>
        </w:rPr>
        <w:t>＋</w:t>
      </w:r>
      <w:r>
        <w:rPr>
          <w:rFonts w:hint="eastAsia" w:ascii="仿宋_GB2312" w:hAnsi="仿宋_GB2312" w:cs="仿宋_GB2312"/>
        </w:rPr>
        <w:t>监管”模式，数字城管特色应用项目列入“互联网</w:t>
      </w:r>
      <w:r>
        <w:rPr>
          <w:rFonts w:hint="eastAsia" w:ascii="宋体" w:hAnsi="宋体" w:eastAsia="宋体" w:cs="宋体"/>
        </w:rPr>
        <w:t>＋</w:t>
      </w:r>
      <w:r>
        <w:rPr>
          <w:rFonts w:hint="eastAsia" w:ascii="仿宋_GB2312" w:hAnsi="仿宋_GB2312" w:cs="仿宋_GB2312"/>
        </w:rPr>
        <w:t>监管”省级试点市，在全省率先实现河南南阳</w:t>
      </w:r>
      <w:r>
        <w:rPr>
          <w:rFonts w:hint="eastAsia" w:ascii="宋体" w:hAnsi="宋体" w:eastAsia="宋体" w:cs="宋体"/>
        </w:rPr>
        <w:t>—</w:t>
      </w:r>
      <w:r>
        <w:rPr>
          <w:rFonts w:hint="eastAsia" w:ascii="仿宋_GB2312" w:hAnsi="仿宋_GB2312" w:cs="仿宋_GB2312"/>
        </w:rPr>
        <w:t>湖北襄阳市场主体登记注册“跨省通办”，“互联网</w:t>
      </w:r>
      <w:r>
        <w:rPr>
          <w:rFonts w:hint="eastAsia" w:ascii="宋体" w:hAnsi="宋体" w:eastAsia="宋体" w:cs="宋体"/>
        </w:rPr>
        <w:t>＋</w:t>
      </w:r>
      <w:r>
        <w:rPr>
          <w:rFonts w:hint="eastAsia" w:ascii="仿宋_GB2312" w:hAnsi="仿宋_GB2312" w:cs="仿宋_GB2312"/>
        </w:rPr>
        <w:t>监管”事项覆盖率达97.03%，居全省第一。在信用体系建设方面，构建以信用为基础的新型监管机制，推进审批替代型、容缺受理型、证明事项告知型、信用修复型、行业自律型、主动公示型等“六型”信用承诺的应用，实现全市企业100%覆盖，归集信用承诺信息达17.2万条。推动信用分级分类监管在全市40个政府部门53个领域应用，实现政府部门全覆盖；全面落实守信联合激励和失信联合惩戒，推进52个单位对4类红名单主体和10类黑名单主体落实56项奖惩措施</w:t>
      </w:r>
      <w:bookmarkStart w:id="10" w:name="_Toc4123"/>
      <w:r>
        <w:rPr>
          <w:rFonts w:hint="eastAsia" w:ascii="仿宋_GB2312" w:hAnsi="仿宋_GB2312" w:cs="仿宋_GB2312"/>
        </w:rPr>
        <w:t>。</w:t>
      </w:r>
      <w:bookmarkEnd w:id="10"/>
    </w:p>
    <w:p>
      <w:pPr>
        <w:spacing w:line="572" w:lineRule="exact"/>
        <w:ind w:firstLine="640" w:firstLineChars="200"/>
        <w:rPr>
          <w:rFonts w:ascii="仿宋_GB2312" w:hAnsi="仿宋_GB2312" w:cs="仿宋_GB2312"/>
        </w:rPr>
      </w:pPr>
      <w:r>
        <w:rPr>
          <w:rFonts w:hint="eastAsia" w:ascii="仿宋_GB2312" w:hAnsi="仿宋_GB2312" w:cs="仿宋_GB2312"/>
        </w:rPr>
        <w:t>政务服务创新突破。“放管服效”改革深入推进，不见面审批事项占比97.72%，行政许可即办件事项占比73.89%，行政许可事项承诺时限压缩占比91.74%，全市24个事项实现“刷脸办”“无证即办”，在全省率先将“四合一”监控系统引入评标过程，实现市公共资源交易中心招标采购项目“不见面”开标率达到100%。全市14个实体政务大厅实行审批服务“一窗受理、集成服务”，211个乡镇（街道）、4152个村（社区）政务服务中心投入运行，实现市、县、乡、村四级联动政务服务体系。工程建设项目审批服务时限压减至58个工作日，政府投资房屋建筑类项目审批时限压缩至53个工作日，一般住宅类项目审批时限压缩至40个工作日，社会小型低风险仓储类项目全流程审批时限压缩至11个工作日。不动产登记实现“4个1”办理模式，即“1个窗口、1套材料、1个环节、当场1个工作日办结”。政企沟通渠道更加畅通，“清风南阳”微信公众号和市纪委监委官网开设专栏，“12388”和“12345”热线增设企业服务功能，畅通民营企业诉求反映“绿色通道”。</w:t>
      </w:r>
    </w:p>
    <w:p>
      <w:pPr>
        <w:pStyle w:val="4"/>
        <w:spacing w:line="572" w:lineRule="exact"/>
        <w:ind w:firstLine="640" w:firstLineChars="200"/>
        <w:rPr>
          <w:rFonts w:ascii="仿宋_GB2312" w:hAnsi="仿宋_GB2312" w:cs="仿宋_GB2312"/>
          <w:lang w:val="en-US" w:bidi="ar-SA"/>
        </w:rPr>
      </w:pPr>
      <w:r>
        <w:rPr>
          <w:rFonts w:hint="eastAsia" w:ascii="仿宋_GB2312" w:hAnsi="仿宋_GB2312" w:cs="仿宋_GB2312"/>
          <w:lang w:val="en-US" w:bidi="ar-SA"/>
        </w:rPr>
        <w:t>投资贸易环境优化。成立由10个副厅级领导挂帅的招商引资工作专班，有针对性地开展驻地招商引资工作，与光大集团签订首个省辖市战略合作协议，创下国有大型金融控股集团与市政府深度合作的先例。实行“非接触式”全程网上办税缴费，向各县</w:t>
      </w:r>
      <w:r>
        <w:rPr>
          <w:rFonts w:hint="eastAsia" w:ascii="仿宋_GB2312" w:hAnsi="仿宋_GB2312" w:cs="仿宋_GB2312"/>
        </w:rPr>
        <w:t>（市、区）</w:t>
      </w:r>
      <w:r>
        <w:rPr>
          <w:rFonts w:hint="eastAsia" w:ascii="仿宋_GB2312" w:hAnsi="仿宋_GB2312" w:cs="仿宋_GB2312"/>
          <w:lang w:val="en-US" w:bidi="ar-SA"/>
        </w:rPr>
        <w:t>布控164台自助办税终端，实现24小时自助办税，仅2020年就实现减税降费26.72亿元；针对852户重点服务企业，配备422名首席服务员，服务企业纳税便利化。创新实施关税延期政策，设立全省首家出口退税周转金资金池，实现3个工作日内完成退税款业务，受到省委、省政府表彰并在全省进行推广。建立复合材料、食用菌、光电产品3个国家科技兴贸创新基地和石油装备、汽车零部件2个省级外贸转型升级基地，获批跨境电商零售进口试点城市和跨境电商综合试验区，创设铁海联运快线（南阳</w:t>
      </w:r>
      <w:r>
        <w:rPr>
          <w:rFonts w:hint="eastAsia" w:ascii="宋体" w:hAnsi="宋体" w:eastAsia="宋体" w:cs="宋体"/>
          <w:lang w:val="en-US" w:bidi="ar-SA"/>
        </w:rPr>
        <w:t>—</w:t>
      </w:r>
      <w:r>
        <w:rPr>
          <w:rFonts w:hint="eastAsia" w:ascii="仿宋_GB2312" w:hAnsi="仿宋_GB2312" w:cs="仿宋_GB2312"/>
          <w:lang w:val="en-US" w:bidi="ar-SA"/>
        </w:rPr>
        <w:t>青岛港）香菇专列，进出口总额、跨境电商交易额连年稳居全省第三位。积极申报国家绿色金融改革创新试验区，仅2020年全市绿色贷款规模高达133.39亿元，同比增长22.66%，“外贸贷”业务被列为省“稳外贸”政策创新试点。</w:t>
      </w:r>
    </w:p>
    <w:p>
      <w:pPr>
        <w:pStyle w:val="4"/>
        <w:spacing w:line="560" w:lineRule="exact"/>
        <w:ind w:firstLine="640" w:firstLineChars="200"/>
        <w:rPr>
          <w:rFonts w:ascii="仿宋_GB2312" w:hAnsi="仿宋_GB2312" w:cs="仿宋_GB2312"/>
          <w:lang w:val="en-US" w:bidi="ar-SA"/>
        </w:rPr>
      </w:pPr>
      <w:r>
        <w:rPr>
          <w:rFonts w:hint="eastAsia" w:ascii="仿宋_GB2312" w:hAnsi="仿宋_GB2312" w:cs="仿宋_GB2312"/>
          <w:lang w:val="en-US" w:bidi="ar-SA"/>
        </w:rPr>
        <w:t>市场活力全面增强。商事制度改革成效显著，全面推行“一网通办”，创设“马上办”专区，审批服务实现“一窗受理、集成服务”，4家企业成功上市，新增高新技术企业210家，高新技术产业、战略性新兴产业增加值占规上工业增加值的比重分别超过50%和30%，成为国家创新型试点城市。以“政银企对接”“银税互动”提高企业融资便利度，累计争取各项货币政策工具107.4亿元，总量位居全省第一；重点小微企业获得融资比例达70.83%，融资额高达493.83亿元。创新设立河南省首家人才发展集团，为350家企业提供人才引进、培育、服务及项目孵化投资、市场开发运营等服务，年营业额超过100亿元，税收超过10亿元。家政服务市场逐步壮大，被认定为河南省家政服务业提质扩容试点城市。知识产权创造运用取得新突破，仅2020年知识产权质押融资额达5.0282亿元，其中商标质押融资额达4亿元，涉及281件商标，位居全省第一。</w:t>
      </w:r>
    </w:p>
    <w:p>
      <w:pPr>
        <w:spacing w:line="560" w:lineRule="exact"/>
        <w:ind w:firstLine="640" w:firstLineChars="200"/>
        <w:rPr>
          <w:rFonts w:ascii="仿宋_GB2312" w:hAnsi="仿宋_GB2312" w:cs="仿宋_GB2312"/>
        </w:rPr>
      </w:pPr>
      <w:r>
        <w:rPr>
          <w:rFonts w:hint="eastAsia" w:ascii="仿宋_GB2312" w:hAnsi="仿宋_GB2312" w:cs="仿宋_GB2312"/>
        </w:rPr>
        <w:t>信用应用多点开花。鼓励各级各部门积极探索信用应用，推动“信用</w:t>
      </w:r>
      <w:r>
        <w:rPr>
          <w:rFonts w:hint="eastAsia" w:ascii="宋体" w:hAnsi="宋体" w:eastAsia="宋体" w:cs="宋体"/>
        </w:rPr>
        <w:t>＋</w:t>
      </w:r>
      <w:r>
        <w:rPr>
          <w:rFonts w:hint="eastAsia" w:ascii="仿宋_GB2312" w:hAnsi="仿宋_GB2312" w:cs="仿宋_GB2312"/>
        </w:rPr>
        <w:t>金融”“信用</w:t>
      </w:r>
      <w:r>
        <w:rPr>
          <w:rFonts w:hint="eastAsia" w:ascii="宋体" w:hAnsi="宋体" w:eastAsia="宋体" w:cs="宋体"/>
        </w:rPr>
        <w:t>＋</w:t>
      </w:r>
      <w:r>
        <w:rPr>
          <w:rFonts w:hint="eastAsia" w:ascii="仿宋_GB2312" w:hAnsi="仿宋_GB2312" w:cs="仿宋_GB2312"/>
        </w:rPr>
        <w:t>乡村”“信用</w:t>
      </w:r>
      <w:r>
        <w:rPr>
          <w:rFonts w:hint="eastAsia" w:ascii="宋体" w:hAnsi="宋体" w:eastAsia="宋体" w:cs="宋体"/>
        </w:rPr>
        <w:t>＋</w:t>
      </w:r>
      <w:r>
        <w:rPr>
          <w:rFonts w:hint="eastAsia" w:ascii="仿宋_GB2312" w:hAnsi="仿宋_GB2312" w:cs="仿宋_GB2312"/>
        </w:rPr>
        <w:t>家政”“信用</w:t>
      </w:r>
      <w:r>
        <w:rPr>
          <w:rFonts w:hint="eastAsia" w:ascii="宋体" w:hAnsi="宋体" w:eastAsia="宋体" w:cs="宋体"/>
        </w:rPr>
        <w:t>＋</w:t>
      </w:r>
      <w:r>
        <w:rPr>
          <w:rFonts w:hint="eastAsia" w:ascii="仿宋_GB2312" w:hAnsi="仿宋_GB2312" w:cs="仿宋_GB2312"/>
        </w:rPr>
        <w:t>产业”“信用</w:t>
      </w:r>
      <w:r>
        <w:rPr>
          <w:rFonts w:hint="eastAsia" w:ascii="宋体" w:hAnsi="宋体" w:eastAsia="宋体" w:cs="宋体"/>
        </w:rPr>
        <w:t>＋</w:t>
      </w:r>
      <w:r>
        <w:rPr>
          <w:rFonts w:hint="eastAsia" w:ascii="仿宋_GB2312" w:hAnsi="仿宋_GB2312" w:cs="仿宋_GB2312"/>
        </w:rPr>
        <w:t>宣传”等“信易</w:t>
      </w:r>
      <w:r>
        <w:rPr>
          <w:rFonts w:hint="eastAsia" w:ascii="宋体" w:hAnsi="宋体" w:eastAsia="宋体" w:cs="宋体"/>
        </w:rPr>
        <w:t>＋</w:t>
      </w:r>
      <w:r>
        <w:rPr>
          <w:rFonts w:hint="eastAsia" w:ascii="仿宋_GB2312" w:hAnsi="仿宋_GB2312" w:cs="仿宋_GB2312"/>
        </w:rPr>
        <w:t>”应用场景落地。深入推进“信易贷”工作，累计为179家企业发放119笔信用贷款，累计发放贷款额8.17亿元；探索农业领域“信易贷”应用，推出“生态产业贷”等支农创新产品，授信户数74.66万户，总授信金额219.2亿元，发放信用贷款13.96万笔，余额24.88亿元；探索玉产业领域“信易贷”应用，依托大数据风控和“无感授信”模式推出了“玉乡e贷”系列产品，累计授信3824笔，4.9843亿元。探索推进“信用</w:t>
      </w:r>
      <w:r>
        <w:rPr>
          <w:rFonts w:hint="eastAsia" w:ascii="宋体" w:hAnsi="宋体" w:eastAsia="宋体" w:cs="宋体"/>
        </w:rPr>
        <w:t>＋</w:t>
      </w:r>
      <w:r>
        <w:rPr>
          <w:rFonts w:hint="eastAsia" w:ascii="仿宋_GB2312" w:hAnsi="仿宋_GB2312" w:cs="仿宋_GB2312"/>
        </w:rPr>
        <w:t>家政服务业”，创设“11310”模式的综合服务平台，平台累计服务订单量达到2.31万单，综合满意率88.2％，成为南阳“互联网</w:t>
      </w:r>
      <w:r>
        <w:rPr>
          <w:rFonts w:hint="eastAsia" w:ascii="宋体" w:hAnsi="宋体" w:eastAsia="宋体" w:cs="宋体"/>
        </w:rPr>
        <w:t>＋</w:t>
      </w:r>
      <w:r>
        <w:rPr>
          <w:rFonts w:hint="eastAsia" w:ascii="仿宋_GB2312" w:hAnsi="仿宋_GB2312" w:cs="仿宋_GB2312"/>
        </w:rPr>
        <w:t>民生</w:t>
      </w:r>
      <w:r>
        <w:rPr>
          <w:rFonts w:hint="eastAsia" w:ascii="宋体" w:hAnsi="宋体" w:eastAsia="宋体" w:cs="宋体"/>
        </w:rPr>
        <w:t>＋</w:t>
      </w:r>
      <w:r>
        <w:rPr>
          <w:rFonts w:hint="eastAsia" w:ascii="仿宋_GB2312" w:hAnsi="仿宋_GB2312" w:cs="仿宋_GB2312"/>
        </w:rPr>
        <w:t>信用”应用的一张名片。构建玉文化产业信用监管体系，基于区块链和物联网技术建立宝玉石智能仓溯源系统，推行玉产品“三码合一”（质量码、溯源码、信用码）。创新开展合同履约信用监管，建立合同履约全流程跟踪监管机制，开发合同履约信用监管系统，归集各类合同履约信息1000余条。</w:t>
      </w:r>
    </w:p>
    <w:p>
      <w:pPr>
        <w:overflowPunct w:val="0"/>
        <w:spacing w:line="560" w:lineRule="exact"/>
        <w:ind w:firstLine="640" w:firstLineChars="200"/>
        <w:rPr>
          <w:rFonts w:ascii="仿宋_GB2312" w:hAnsi="仿宋_GB2312" w:cs="仿宋_GB2312"/>
        </w:rPr>
      </w:pPr>
      <w:r>
        <w:rPr>
          <w:rFonts w:hint="eastAsia" w:ascii="仿宋_GB2312" w:hAnsi="仿宋_GB2312" w:cs="仿宋_GB2312"/>
        </w:rPr>
        <w:t>“十三五”期间，我市营商环境和社会信用体系建设取得明显进展，优化营商环境迈上新的台阶，社会信用体系建设基础基本夯实，积极创建国家第三批社会信用体系建设示范区，为“十四五”时期推动南阳建设河南省副中心城市奠定了坚实基础。在取得积极成效的同时，也仍然存在着一些亟须补齐的短板。营商环境建设方面，“互联网</w:t>
      </w:r>
      <w:r>
        <w:rPr>
          <w:rFonts w:hint="eastAsia" w:ascii="宋体" w:hAnsi="宋体" w:eastAsia="宋体" w:cs="宋体"/>
        </w:rPr>
        <w:t>＋</w:t>
      </w:r>
      <w:r>
        <w:rPr>
          <w:rFonts w:hint="eastAsia" w:ascii="仿宋_GB2312" w:hAnsi="仿宋_GB2312" w:cs="仿宋_GB2312"/>
        </w:rPr>
        <w:t>监管”效率有待提升，部分县（市、区）应用面不足；创新服务能力不足，行政审批效率不够便捷、流程不够优化、手续不够简便；资源市场化配置机制还不完善，“玻璃门”“弹簧门”“旋转门”等隐形门槛仍然存在；行政执法效能有待提升，仍然存在不规范、不到位情况。信用体系建设方面，法治化、规范化水平有待提升，落实《</w:t>
      </w:r>
      <w:r>
        <w:fldChar w:fldCharType="begin"/>
      </w:r>
      <w:r>
        <w:instrText xml:space="preserve"> HYPERLINK "https://www.so.com/link?m=baHV1Mc45b89VTmJbQW6zdoOV13Mn/uyDVJg+Kx2dHwUOm4L6vUw3rV0q706LFc4RJ4W2vloc9oJPvgTI34hOvGmUP0pXe198BVfhIVWZPDwlyDHCXh/34ePTxmOsdOHqwPUmBoyBtpIjCKwhzuMuGCYLnrjKJDNApOaW9Gm4pRMq5u/TKkb4SgE+3xD8Ql67gYIQroXLv3FGone1ut62YcxmhObzAnxSZVYtnaOsiuZWVJC1r2lUCauoeWc=" \t "https://www.so.com/_blank" </w:instrText>
      </w:r>
      <w:r>
        <w:fldChar w:fldCharType="separate"/>
      </w:r>
      <w:r>
        <w:rPr>
          <w:rFonts w:hint="eastAsia" w:ascii="仿宋_GB2312" w:hAnsi="仿宋_GB2312" w:cs="仿宋_GB2312"/>
        </w:rPr>
        <w:t>河南省社会信用条例</w:t>
      </w:r>
      <w:r>
        <w:rPr>
          <w:rFonts w:hint="eastAsia" w:ascii="仿宋_GB2312" w:hAnsi="仿宋_GB2312" w:cs="仿宋_GB2312"/>
        </w:rPr>
        <w:fldChar w:fldCharType="end"/>
      </w:r>
      <w:r>
        <w:rPr>
          <w:rFonts w:hint="eastAsia" w:ascii="仿宋_GB2312" w:hAnsi="仿宋_GB2312" w:cs="仿宋_GB2312"/>
        </w:rPr>
        <w:t>》有关配套制度尚未健全；覆盖全社会的信用数据大融合格局尚未形成，数据归集和共享仍不充分，“信息孤岛”现象仍然存在；信用应用在公共服务与资源配置领域的市场化不足；跨区域、跨部门、跨领域协同机制不足；区域发展不平衡，部分县（市、区）社会信用体系建设相对滞后。</w:t>
      </w:r>
      <w:bookmarkStart w:id="11" w:name="_Toc25806"/>
    </w:p>
    <w:p>
      <w:pPr>
        <w:pStyle w:val="55"/>
        <w:spacing w:line="560" w:lineRule="exact"/>
        <w:ind w:firstLine="0" w:firstLineChars="0"/>
        <w:jc w:val="center"/>
        <w:rPr>
          <w:sz w:val="32"/>
        </w:rPr>
      </w:pPr>
      <w:bookmarkStart w:id="12" w:name="_Toc3972"/>
      <w:bookmarkStart w:id="13" w:name="_Toc18504"/>
      <w:bookmarkStart w:id="14" w:name="_Toc26508"/>
      <w:bookmarkStart w:id="15" w:name="_Toc7209"/>
      <w:r>
        <w:rPr>
          <w:rFonts w:hint="eastAsia"/>
          <w:sz w:val="32"/>
        </w:rPr>
        <w:t>第二节 发展形势</w:t>
      </w:r>
      <w:bookmarkEnd w:id="11"/>
      <w:bookmarkEnd w:id="12"/>
      <w:bookmarkEnd w:id="13"/>
      <w:bookmarkEnd w:id="14"/>
      <w:bookmarkEnd w:id="15"/>
    </w:p>
    <w:p>
      <w:pPr>
        <w:pStyle w:val="24"/>
        <w:widowControl/>
        <w:spacing w:beforeAutospacing="0" w:afterAutospacing="0" w:line="560" w:lineRule="exact"/>
        <w:ind w:firstLine="640" w:firstLineChars="200"/>
        <w:rPr>
          <w:rFonts w:ascii="仿宋_GB2312" w:hAnsi="仿宋_GB2312" w:cs="仿宋_GB2312"/>
          <w:kern w:val="2"/>
          <w:sz w:val="32"/>
        </w:rPr>
      </w:pPr>
      <w:r>
        <w:rPr>
          <w:rFonts w:hint="eastAsia" w:ascii="仿宋_GB2312" w:hAnsi="仿宋_GB2312" w:cs="仿宋_GB2312"/>
          <w:kern w:val="2"/>
          <w:sz w:val="32"/>
        </w:rPr>
        <w:t>“十四五”时期是建设河南省副中心城市的关键时期，面对国内外环境正在发生深刻复杂变化和世界正经历百年未有之大变局，准确把握新发展阶段，深入贯彻新发展理念，加快构建新发展格局，是确保我市治理体系和治理能力现代化建设、经济社会高质量发展的主要任务。加强</w:t>
      </w:r>
      <w:r>
        <w:rPr>
          <w:rFonts w:hint="eastAsia" w:ascii="仿宋_GB2312" w:hAnsi="仿宋_GB2312" w:cs="仿宋_GB2312"/>
          <w:sz w:val="32"/>
        </w:rPr>
        <w:t>营商环境和社会信用体系建设</w:t>
      </w:r>
      <w:r>
        <w:rPr>
          <w:rFonts w:hint="eastAsia" w:ascii="仿宋_GB2312" w:hAnsi="仿宋_GB2312" w:cs="仿宋_GB2312"/>
          <w:kern w:val="2"/>
          <w:sz w:val="32"/>
        </w:rPr>
        <w:t>对于践行社会主义核心价值观、完善社会主义市场经济体制、实现治理体系和治理能力现代化、转变政府职能和构建创新型监管均有重要意义，需加快构建完善与我市经济社会发展相适应的营商和信用环境，助推我市率先走出争创现代化河南的市域发展之路。</w:t>
      </w:r>
    </w:p>
    <w:p>
      <w:pPr>
        <w:pStyle w:val="51"/>
        <w:widowControl/>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打造河南省副中心城市为我市营商环境和社会信用体系建设带来新机遇。“十四五”时期是我市打造河南省副中心城市、深化供给侧结构性改革和持续推动新旧动能转换的关键时期，必将助力我市资源逐步实现更高质量、更有效率、更加公平配置，为我市营商环境和社会信用体系建设带来新机遇。面对综合实力不强、中心城区辐射带动力较弱、科技创新能力不足等突出问题，我市亟需加强营商环境和社会信用体系建设。推进营商环境全面优化和以信用为基础的新型监管机制全面建立，推动我市打造引领支撑中部地区高质量发展的新支点，为打造河南省副中心城市，实现更深层次、更宽领域、更大力度推进市场机制改革提供新的机遇，为市场机制能够有效调节、行业组织或中介机构能够自律管理、通过事中事后监管能够有效规范提供新的思路，为南阳市破除阻碍要素自由流动的体制机制障碍、提高资源配置效率和全要素生产率提供创新机制。</w:t>
      </w:r>
    </w:p>
    <w:p>
      <w:pPr>
        <w:pStyle w:val="51"/>
        <w:widowControl/>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建设现代化南阳，加快高质量跨越发展为我市营商环境和社会信用体系建设赋予新使命。“十四五”时期，是我市建设现代化南阳、全面深化改革的关键时期，中部地区高质量发展、汉江生态经济带、淮河生态经济带、大别山革命老区振兴发展等重大战略在我市形成叠加效应，为我市营商环境和社会信用体系建设赋予新使命。面对相邻的洛阳、襄阳两个省域副中心城市领先优势日益明显，我市主导产业不明晰、产业布局散乱、行政审批效率和政务服务水平不高等突出问题，亟需加强营商环境和社会信用体系建设。不断推进营商环境全面优化和以信用为基础的新型监管机制全面建立，激发我市战略成长型城市的潜质，为建设省域副中心城市，实现数字经济和实体经济深度融合提供法治化、规范化、便利化保障，为培育数据要素市场和推进智慧城市、数字政府建设提供安全、可信的数据保障，为南阳市拓展“数字</w:t>
      </w:r>
      <w:r>
        <w:rPr>
          <w:rFonts w:hint="eastAsia" w:ascii="宋体" w:hAnsi="宋体" w:eastAsia="宋体" w:cs="宋体"/>
        </w:rPr>
        <w:t>＋</w:t>
      </w:r>
      <w:r>
        <w:rPr>
          <w:rFonts w:hint="eastAsia" w:ascii="仿宋_GB2312" w:hAnsi="仿宋_GB2312" w:eastAsia="仿宋_GB2312" w:cs="仿宋_GB2312"/>
          <w:sz w:val="32"/>
          <w:szCs w:val="32"/>
        </w:rPr>
        <w:t>”“智能</w:t>
      </w:r>
      <w:r>
        <w:rPr>
          <w:rFonts w:hint="eastAsia" w:ascii="宋体" w:hAnsi="宋体" w:eastAsia="宋体" w:cs="宋体"/>
        </w:rPr>
        <w:t>＋</w:t>
      </w:r>
      <w:r>
        <w:rPr>
          <w:rFonts w:hint="eastAsia" w:ascii="仿宋_GB2312" w:hAnsi="仿宋_GB2312" w:eastAsia="仿宋_GB2312" w:cs="仿宋_GB2312"/>
          <w:sz w:val="32"/>
          <w:szCs w:val="32"/>
        </w:rPr>
        <w:t>”应用领域和实体经济数字化转型发展提供全新动能和机遇。</w:t>
      </w:r>
    </w:p>
    <w:p>
      <w:pPr>
        <w:pStyle w:val="51"/>
        <w:widowControl/>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巩固国家社会信用体系建设示范区创建成果为我市营商环境和社会信用体系建设注入新动能。2021年，我市成功创建国家第三批社会信用体系建设示范区，信用建设成效明显。“十四五”时期，是我市巩固国家信用示范区创建成果、市域治理体系和治理能力现代化建设成果的关键时期，多元优势积聚和新一轮科技革命和产业变革，正从局部优势逐步演变为整体优势，必将推动我市打造市场化、法治化、便利化、国际化一流营商环境，为我市营商环境和社会信用体系建设注入新动能。面对工作标准低、执行力不强、缺乏研究政策的主动性和抢抓机遇的紧迫性等突出问题，我市亟需加强营商环境和社会信用体系建设。不断推进营商环境全面优化和以信用为基础的新型监管机制全面建立，从单点优势加快转化为综合优势，为巩固国家信用示范区创建成果，创新监管理念、监管制度和监管方式提供坚实基础，为营商环境和社会信用体系建设全方位、深层次地融入社会治理的各个环节指明方向，为南阳市推动社会治理精细化发展和高质量建设河南省副中心城市提供有力保障。</w:t>
      </w:r>
    </w:p>
    <w:p>
      <w:pPr>
        <w:pStyle w:val="54"/>
        <w:spacing w:line="560" w:lineRule="exact"/>
        <w:ind w:firstLine="0" w:firstLineChars="0"/>
        <w:jc w:val="center"/>
        <w:rPr>
          <w:sz w:val="32"/>
        </w:rPr>
      </w:pPr>
      <w:bookmarkStart w:id="16" w:name="_Toc9190"/>
      <w:bookmarkStart w:id="17" w:name="_Toc32424"/>
      <w:bookmarkStart w:id="18" w:name="_Toc28798"/>
      <w:bookmarkStart w:id="19" w:name="_Toc12730"/>
      <w:bookmarkStart w:id="20" w:name="_Toc31837"/>
      <w:r>
        <w:rPr>
          <w:rFonts w:hint="eastAsia"/>
          <w:sz w:val="32"/>
        </w:rPr>
        <w:t>第二章  总体要求</w:t>
      </w:r>
      <w:bookmarkEnd w:id="16"/>
      <w:bookmarkEnd w:id="17"/>
      <w:bookmarkEnd w:id="18"/>
      <w:bookmarkEnd w:id="19"/>
      <w:bookmarkEnd w:id="20"/>
    </w:p>
    <w:p>
      <w:pPr>
        <w:pStyle w:val="51"/>
        <w:ind w:firstLine="0" w:firstLineChars="0"/>
        <w:jc w:val="center"/>
        <w:outlineLvl w:val="1"/>
        <w:rPr>
          <w:rFonts w:ascii="楷体" w:hAnsi="楷体" w:eastAsia="楷体"/>
          <w:sz w:val="32"/>
          <w:szCs w:val="32"/>
        </w:rPr>
      </w:pPr>
      <w:bookmarkStart w:id="21" w:name="_Toc17915"/>
      <w:bookmarkStart w:id="22" w:name="_Toc8557"/>
      <w:bookmarkStart w:id="23" w:name="_Toc867"/>
      <w:bookmarkStart w:id="24" w:name="_Toc10161"/>
      <w:bookmarkStart w:id="25" w:name="_Toc8572"/>
      <w:r>
        <w:rPr>
          <w:rFonts w:hint="eastAsia" w:ascii="楷体" w:hAnsi="楷体" w:eastAsia="楷体"/>
          <w:sz w:val="32"/>
          <w:szCs w:val="32"/>
        </w:rPr>
        <w:t>第一节  指导思想</w:t>
      </w:r>
      <w:bookmarkEnd w:id="21"/>
      <w:bookmarkEnd w:id="22"/>
      <w:bookmarkEnd w:id="23"/>
      <w:bookmarkEnd w:id="24"/>
      <w:bookmarkEnd w:id="25"/>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落实党的十九大和十九届历次全会精神，深入贯彻习近平总书记视察调研南阳重要讲话和指示精神，以增强企业群众获得感、幸福感、便利感为根本目的，以营商环境和社会信用体系建设服务实体经济转型、创新社会治理和优化资源配置为举措，以体制机制创新为主线，以全面营造“法治、政务、市场、经营、创新”五大环境推动营商环境建设，以全面实施“四大领域、基础环境、智慧中枢、监管机制、创新应用”五大建设任务夯实信用体系，推动数据跨区域、跨部门、跨领域互联互通，推进“城市管理智慧大脑”中枢平台建设，深化“放管服效”改革和信用创新应用，全面夯实营商环境优化和以信用为基础的新型监管机制制度基础，积极营造诚信和谐温暖的社会氛围，聚焦“全国性综合交通枢纽、商贸服务型国家物流枢纽”及河南省副中心城市发展定位，打造与高质量发展相适应的营商环境和社会信用体系，助力党的建设和经济发展“两个高质量”工作体系，为推动建设副中心城市提供有力支撑，为谱写新时代中原更加出彩的绚丽篇章作出更大贡献。</w:t>
      </w:r>
      <w:bookmarkStart w:id="26" w:name="_Toc10125"/>
    </w:p>
    <w:p>
      <w:pPr>
        <w:pStyle w:val="51"/>
        <w:ind w:firstLine="0" w:firstLineChars="0"/>
        <w:jc w:val="center"/>
        <w:outlineLvl w:val="1"/>
        <w:rPr>
          <w:rFonts w:ascii="楷体" w:hAnsi="楷体" w:eastAsia="楷体"/>
          <w:sz w:val="32"/>
          <w:szCs w:val="32"/>
        </w:rPr>
      </w:pPr>
      <w:bookmarkStart w:id="27" w:name="_Toc227"/>
      <w:bookmarkStart w:id="28" w:name="_Toc17540"/>
      <w:bookmarkStart w:id="29" w:name="_Toc6752"/>
      <w:bookmarkStart w:id="30" w:name="_Toc32152"/>
      <w:r>
        <w:rPr>
          <w:rFonts w:hint="eastAsia" w:ascii="楷体" w:hAnsi="楷体" w:eastAsia="楷体"/>
          <w:sz w:val="32"/>
          <w:szCs w:val="32"/>
        </w:rPr>
        <w:t>第二节  基本原则</w:t>
      </w:r>
      <w:bookmarkEnd w:id="26"/>
      <w:bookmarkEnd w:id="27"/>
      <w:bookmarkEnd w:id="28"/>
      <w:bookmarkEnd w:id="29"/>
      <w:bookmarkEnd w:id="30"/>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依法依规，保护权益。健全营商环境和社会信用体系建设制度，坚持依法规范、依法建设、依法提升，切实维护各类主体合法权益。应用法治思维和法治方式推动营商环境和社会信用体系建设工作开展，不断提升法治化、制度化、标准化和规范化水平。</w:t>
      </w:r>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政府引导，协同推进。发挥政府的引导和推动作用，鼓励各级各部门积极开展原创性、差异化探索。完善跨区域、跨部门、跨领域合作机制，拓展合作领域，丰富合作内容，不断取得营商环境和社会信用体系建设新成效。</w:t>
      </w:r>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应用导向，注重实效。充分发挥营商环境评价以评促建、以评促改、以评促管、评建结合的导向作用，深入推进“放管服效”改革，维护公平竞争的市场秩序。聚焦市场主体办事创业的痛点、难点，精准施策，推动形成规范有序、公平诚信的营商环境。</w:t>
      </w:r>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标一流，争优创先。对标一流和前沿标准，导入先进理念、先进经验，持续提升优质制度、服务、要素供给能力。统筹各县（市、区）营商环境和社会信用体系建设，打造一批营商环境创新示范市（区）和社会信用体系建设示范县（市、区），推动南阳营商环境和社会信用体系建设整体跃升。</w:t>
      </w:r>
      <w:bookmarkStart w:id="31" w:name="_Toc26699"/>
    </w:p>
    <w:p>
      <w:pPr>
        <w:pStyle w:val="51"/>
        <w:ind w:firstLine="0" w:firstLineChars="0"/>
        <w:jc w:val="center"/>
        <w:outlineLvl w:val="1"/>
        <w:rPr>
          <w:rFonts w:ascii="楷体" w:hAnsi="楷体" w:eastAsia="楷体"/>
          <w:sz w:val="32"/>
          <w:szCs w:val="32"/>
        </w:rPr>
      </w:pPr>
      <w:bookmarkStart w:id="32" w:name="_Toc4443"/>
      <w:bookmarkStart w:id="33" w:name="_Toc6188"/>
      <w:bookmarkStart w:id="34" w:name="_Toc11752"/>
      <w:bookmarkStart w:id="35" w:name="_Toc31142"/>
      <w:r>
        <w:rPr>
          <w:rFonts w:hint="eastAsia" w:ascii="楷体" w:hAnsi="楷体" w:eastAsia="楷体"/>
          <w:sz w:val="32"/>
          <w:szCs w:val="32"/>
        </w:rPr>
        <w:t>第三节  发展目标</w:t>
      </w:r>
      <w:bookmarkEnd w:id="31"/>
      <w:bookmarkEnd w:id="32"/>
      <w:bookmarkEnd w:id="33"/>
      <w:bookmarkEnd w:id="34"/>
      <w:bookmarkEnd w:id="35"/>
    </w:p>
    <w:p>
      <w:pPr>
        <w:overflowPunct w:val="0"/>
        <w:spacing w:line="600" w:lineRule="exact"/>
        <w:ind w:firstLine="640" w:firstLineChars="200"/>
        <w:rPr>
          <w:rFonts w:ascii="仿宋_GB2312" w:hAnsi="仿宋_GB2312" w:cs="仿宋_GB2312"/>
        </w:rPr>
      </w:pPr>
      <w:r>
        <w:rPr>
          <w:rFonts w:hint="eastAsia" w:ascii="仿宋_GB2312" w:hAnsi="仿宋_GB2312" w:cs="仿宋_GB2312"/>
        </w:rPr>
        <w:t>到2025年，营商环境建设进入全省领先、全国先进水平，人民满意的服务型政府、法治型政府建设走在全国前列，市场机制更加完善，市场主体活跃度和发展质量显著提高。强化创新驱动、开放带动、项目拉动“三大支撑”，营商环境各项一级指标均达到国内先进水平，全面构建“审批最少、流程最优、体制最顺、机制最活、效率最高、服务最好”，与南阳经济社会相匹配的“六最”营商环境，建成全省营商环境创新示范市和全国一流营商环境标杆城市。到2025年，打造诚实守信、重信践诺的社会环境，建成与新发展格局相适应的社会信用体系，法规制度更加健全，数据基础更加夯实，新型监管机制高效运行，形成多个地区、重点领域示范工程，适应新时代高质量发展要求的社会信用体系建设迈上新台阶，为高水平建设河南省副中心城市，全面建设社会主义现代化南阳提供良好的营商环境和信用基础。</w:t>
      </w:r>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“十四五”营商环境和社会信用体系建设主要目标：</w:t>
      </w:r>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法规制度更加健全。重点领域法规制度建设深入推进，实现监管和服务关键环节制度规范全覆盖，建成具有南阳特色的法规政策体系。在营商环境建设方面，行政审批、市场准入、产权保护、公平竞争、科技创新等规范制度更加完备，决策科学化、民主化、法治化水平大幅提升；在信用体系建设方面，依法规范信用承诺、信用评价、分级分类监管、信用奖惩、信用修复等运行机制，确保信用体系建设全面纳入法治轨道。</w:t>
      </w:r>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——数据基础更加坚实。“数字政府”“新型智慧城市”“城市管理智慧大脑”建设的技术红利在营商环境和社会信用体系建设中充分体现，推进全市统一</w:t>
      </w:r>
      <w:r>
        <w:rPr>
          <w:rStyle w:val="50"/>
          <w:rFonts w:hint="eastAsia" w:ascii="仿宋_GB2312" w:hAnsi="仿宋_GB2312" w:eastAsia="仿宋_GB2312" w:cs="仿宋_GB2312"/>
          <w:sz w:val="32"/>
          <w:szCs w:val="32"/>
        </w:rPr>
        <w:t>信用大数据智能中枢</w:t>
      </w:r>
      <w:r>
        <w:rPr>
          <w:rFonts w:hint="eastAsia" w:ascii="仿宋_GB2312" w:hAnsi="仿宋_GB2312" w:eastAsia="仿宋_GB2312" w:cs="仿宋_GB2312"/>
          <w:sz w:val="32"/>
          <w:szCs w:val="32"/>
        </w:rPr>
        <w:t>建设，全面打通跨部门、跨行业、跨区域、跨层级数据联通关节，实施更加及时、规范、标准、全面、高效、安全的数据采集、归集和共享，实现社会信用体系建设全域智能化应用服务实时可见、即时可判、全域可控、全程可溯。</w:t>
      </w:r>
    </w:p>
    <w:p>
      <w:pPr>
        <w:overflowPunct w:val="0"/>
        <w:spacing w:line="600" w:lineRule="exact"/>
        <w:ind w:firstLine="640" w:firstLineChars="200"/>
        <w:rPr>
          <w:rFonts w:ascii="仿宋_GB2312" w:hAnsi="仿宋_GB2312" w:cs="仿宋_GB2312"/>
        </w:rPr>
      </w:pPr>
      <w:r>
        <w:rPr>
          <w:rFonts w:hint="eastAsia" w:ascii="仿宋_GB2312" w:hAnsi="仿宋_GB2312" w:cs="仿宋_GB2312"/>
        </w:rPr>
        <w:t>——政务服务更加便捷。加快转变政府职能，形成职责明确、依法行政的政府治理体系。纵深推进“放管服效”改革，实现政府权责清单制度全方位应用、政务服务大厅综合窗口全覆盖和同类审批服务事项办理环节、流程、时间全国领先。持续做好政务服务标准化和政务流程再造，进一步精简行政审批事项，全面推行“一件事一次办”，探索以投资项目告知承诺制为核心的极简审批。政企沟通渠道愈加畅通，“亲”“清”新型政商关系全面形成。</w:t>
      </w:r>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市场机制更加完善。破除阻碍要素自由流动的体制机制，全面提升资源配置效率和全要素生产率；政银企合作取得实效，面向小微企业和民营企业的金融服务供给更加充足；深化市场准入和产品准入改革，市场准入门槛进一步降低；减税降费政策全面落实，企业税费负担明显降低；建成国家级跨境电子商务综合试验区和零售进口试点城市，贸易通关便利化程度大幅度提高。</w:t>
      </w:r>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——信用监管更加高效。以信用为基础的新型监管机制全面建立，推广实施行业信用承诺制度，实现行业自律、主动公示型信用承诺全覆盖；信用分级分类监管与“双随机、一公开”监管、“互联网</w:t>
      </w:r>
      <w:r>
        <w:rPr>
          <w:rFonts w:hint="eastAsia" w:ascii="仿宋_GB2312" w:hAnsi="仿宋_GB2312" w:eastAsia="仿宋_GB2312" w:cs="仿宋_GB2312"/>
        </w:rPr>
        <w:t>＋</w:t>
      </w:r>
      <w:r>
        <w:rPr>
          <w:rFonts w:hint="eastAsia" w:ascii="仿宋_GB2312" w:hAnsi="仿宋_GB2312" w:eastAsia="仿宋_GB2312" w:cs="仿宋_GB2312"/>
          <w:sz w:val="32"/>
          <w:szCs w:val="32"/>
        </w:rPr>
        <w:t>监管”应用高效融合，实现信用监管数字化、精准化、科学化；信用奖惩系统全面嵌入县（市、区）政务服务大厅，实现全覆盖。</w:t>
      </w:r>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信用应用更加全面。实现更有深度的数据价值挖掘，使信用信息成为跨地区、跨部门、跨行业有序共享的新型数据要素；信用应用更精准地渗透到经济发展、社会治理和政府管理重点领域；信用核查系统全面嵌入政务服务大厅；信用应用层次更加丰富，形成一批应用成效和示范效应显著的“信易</w:t>
      </w:r>
      <w:r>
        <w:rPr>
          <w:rFonts w:hint="eastAsia" w:ascii="仿宋_GB2312" w:hAnsi="仿宋_GB2312" w:eastAsia="仿宋_GB2312" w:cs="仿宋_GB2312"/>
        </w:rPr>
        <w:t>＋</w:t>
      </w:r>
      <w:r>
        <w:rPr>
          <w:rFonts w:hint="eastAsia" w:ascii="仿宋_GB2312" w:hAnsi="仿宋_GB2312" w:eastAsia="仿宋_GB2312" w:cs="仿宋_GB2312"/>
          <w:sz w:val="32"/>
          <w:szCs w:val="32"/>
        </w:rPr>
        <w:t>”典型案例。</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1295"/>
        <w:gridCol w:w="6450"/>
        <w:gridCol w:w="11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50" w:hRule="atLeast"/>
          <w:jc w:val="center"/>
        </w:trPr>
        <w:tc>
          <w:tcPr>
            <w:tcW w:w="8912" w:type="dxa"/>
            <w:gridSpan w:val="3"/>
            <w:vAlign w:val="center"/>
          </w:tcPr>
          <w:p>
            <w:pPr>
              <w:pStyle w:val="51"/>
              <w:spacing w:line="400" w:lineRule="exact"/>
              <w:ind w:firstLine="0" w:firstLineChars="0"/>
              <w:jc w:val="center"/>
              <w:textAlignment w:val="center"/>
              <w:rPr>
                <w:rFonts w:ascii="仿宋" w:hAnsi="仿宋" w:cs="黑体"/>
                <w:sz w:val="24"/>
                <w:szCs w:val="32"/>
              </w:rPr>
            </w:pPr>
            <w:r>
              <w:rPr>
                <w:rFonts w:hint="eastAsia" w:eastAsia="黑体" w:cs="黑体"/>
                <w:kern w:val="2"/>
                <w:sz w:val="28"/>
                <w:szCs w:val="28"/>
              </w:rPr>
              <w:t>表</w:t>
            </w:r>
            <w:r>
              <w:rPr>
                <w:rFonts w:eastAsia="黑体" w:cs="黑体"/>
                <w:kern w:val="2"/>
                <w:sz w:val="28"/>
                <w:szCs w:val="28"/>
              </w:rPr>
              <w:t>1</w:t>
            </w:r>
            <w:r>
              <w:rPr>
                <w:rFonts w:hint="eastAsia" w:eastAsia="黑体" w:cs="黑体"/>
                <w:kern w:val="2"/>
                <w:sz w:val="28"/>
                <w:szCs w:val="28"/>
              </w:rPr>
              <w:t>：“十四五”时期南阳营商环境建设主要指标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41" w:hRule="atLeast"/>
          <w:jc w:val="center"/>
        </w:trPr>
        <w:tc>
          <w:tcPr>
            <w:tcW w:w="1295" w:type="dxa"/>
            <w:vAlign w:val="center"/>
          </w:tcPr>
          <w:p>
            <w:pPr>
              <w:spacing w:line="480" w:lineRule="exact"/>
              <w:jc w:val="center"/>
              <w:textAlignment w:val="center"/>
              <w:rPr>
                <w:rFonts w:ascii="黑体" w:hAnsi="黑体" w:eastAsia="黑体" w:cs="黑体"/>
                <w:sz w:val="24"/>
              </w:rPr>
            </w:pPr>
            <w:r>
              <w:rPr>
                <w:rFonts w:hint="eastAsia" w:ascii="黑体" w:hAnsi="黑体" w:eastAsia="黑体" w:cs="黑体"/>
                <w:kern w:val="0"/>
                <w:sz w:val="24"/>
              </w:rPr>
              <w:t>类 别</w:t>
            </w:r>
          </w:p>
        </w:tc>
        <w:tc>
          <w:tcPr>
            <w:tcW w:w="6450" w:type="dxa"/>
            <w:vAlign w:val="center"/>
          </w:tcPr>
          <w:p>
            <w:pPr>
              <w:spacing w:line="480" w:lineRule="exact"/>
              <w:jc w:val="center"/>
              <w:textAlignment w:val="center"/>
              <w:rPr>
                <w:rFonts w:ascii="黑体" w:hAnsi="黑体" w:eastAsia="黑体" w:cs="黑体"/>
                <w:sz w:val="24"/>
              </w:rPr>
            </w:pPr>
            <w:r>
              <w:rPr>
                <w:rFonts w:hint="eastAsia" w:ascii="黑体" w:hAnsi="黑体" w:eastAsia="黑体" w:cs="黑体"/>
                <w:kern w:val="0"/>
                <w:sz w:val="24"/>
              </w:rPr>
              <w:t>主要</w:t>
            </w:r>
            <w:r>
              <w:rPr>
                <w:rFonts w:hint="eastAsia" w:ascii="黑体" w:hAnsi="黑体" w:eastAsia="黑体" w:cs="黑体"/>
                <w:sz w:val="24"/>
              </w:rPr>
              <w:t>指标</w:t>
            </w:r>
          </w:p>
        </w:tc>
        <w:tc>
          <w:tcPr>
            <w:tcW w:w="1167" w:type="dxa"/>
            <w:vAlign w:val="center"/>
          </w:tcPr>
          <w:p>
            <w:pPr>
              <w:spacing w:line="480" w:lineRule="exact"/>
              <w:jc w:val="center"/>
              <w:textAlignment w:val="center"/>
              <w:rPr>
                <w:rFonts w:ascii="黑体" w:hAnsi="黑体" w:eastAsia="黑体" w:cs="黑体"/>
                <w:sz w:val="24"/>
              </w:rPr>
            </w:pPr>
            <w:r>
              <w:rPr>
                <w:rFonts w:hint="eastAsia" w:ascii="黑体" w:hAnsi="黑体" w:eastAsia="黑体" w:cs="黑体"/>
                <w:kern w:val="0"/>
                <w:sz w:val="24"/>
              </w:rPr>
              <w:t>2025</w:t>
            </w:r>
            <w:r>
              <w:rPr>
                <w:rFonts w:hint="eastAsia" w:ascii="黑体" w:hAnsi="黑体" w:eastAsia="黑体" w:cs="黑体"/>
                <w:sz w:val="24"/>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52" w:hRule="atLeast"/>
          <w:jc w:val="center"/>
        </w:trPr>
        <w:tc>
          <w:tcPr>
            <w:tcW w:w="1295" w:type="dxa"/>
            <w:vMerge w:val="restart"/>
            <w:vAlign w:val="center"/>
          </w:tcPr>
          <w:p>
            <w:pPr>
              <w:spacing w:line="480" w:lineRule="exact"/>
              <w:jc w:val="center"/>
              <w:textAlignment w:val="center"/>
              <w:rPr>
                <w:rFonts w:ascii="仿宋" w:hAnsi="仿宋" w:eastAsia="仿宋" w:cs="仿宋_GB2312"/>
                <w:sz w:val="24"/>
              </w:rPr>
            </w:pPr>
            <w:r>
              <w:rPr>
                <w:rFonts w:hint="eastAsia" w:ascii="仿宋" w:hAnsi="仿宋" w:eastAsia="仿宋" w:cs="仿宋_GB2312"/>
                <w:kern w:val="0"/>
                <w:sz w:val="24"/>
              </w:rPr>
              <w:t>投资贸易</w:t>
            </w:r>
          </w:p>
        </w:tc>
        <w:tc>
          <w:tcPr>
            <w:tcW w:w="6450" w:type="dxa"/>
            <w:vAlign w:val="center"/>
          </w:tcPr>
          <w:p>
            <w:pPr>
              <w:spacing w:line="480" w:lineRule="exact"/>
              <w:textAlignment w:val="center"/>
              <w:rPr>
                <w:rFonts w:ascii="仿宋" w:hAnsi="仿宋" w:eastAsia="仿宋" w:cs="仿宋_GB2312"/>
                <w:sz w:val="24"/>
              </w:rPr>
            </w:pPr>
            <w:r>
              <w:rPr>
                <w:rFonts w:hint="eastAsia" w:ascii="仿宋" w:hAnsi="仿宋" w:eastAsia="仿宋" w:cs="仿宋_GB2312"/>
                <w:kern w:val="0"/>
                <w:sz w:val="24"/>
              </w:rPr>
              <w:t>开办企业耗时（工作日</w:t>
            </w:r>
            <w:r>
              <w:rPr>
                <w:rFonts w:hint="eastAsia" w:ascii="仿宋" w:hAnsi="仿宋" w:eastAsia="仿宋" w:cs="仿宋_GB2312"/>
                <w:sz w:val="24"/>
              </w:rPr>
              <w:t>）</w:t>
            </w:r>
          </w:p>
        </w:tc>
        <w:tc>
          <w:tcPr>
            <w:tcW w:w="1167" w:type="dxa"/>
            <w:vAlign w:val="center"/>
          </w:tcPr>
          <w:p>
            <w:pPr>
              <w:spacing w:line="480" w:lineRule="exact"/>
              <w:jc w:val="center"/>
              <w:textAlignment w:val="center"/>
              <w:rPr>
                <w:rFonts w:ascii="仿宋" w:hAnsi="仿宋" w:eastAsia="仿宋" w:cs="仿宋_GB2312"/>
                <w:sz w:val="24"/>
              </w:rPr>
            </w:pPr>
            <w:r>
              <w:rPr>
                <w:rFonts w:ascii="仿宋" w:hAnsi="仿宋" w:eastAsia="仿宋" w:cs="仿宋_GB2312"/>
                <w:sz w:val="24"/>
              </w:rPr>
              <w:t>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52" w:hRule="atLeast"/>
          <w:jc w:val="center"/>
        </w:trPr>
        <w:tc>
          <w:tcPr>
            <w:tcW w:w="1295" w:type="dxa"/>
            <w:vMerge w:val="continue"/>
            <w:vAlign w:val="center"/>
          </w:tcPr>
          <w:p>
            <w:pPr>
              <w:spacing w:line="480" w:lineRule="exact"/>
              <w:jc w:val="center"/>
              <w:rPr>
                <w:rFonts w:ascii="仿宋" w:hAnsi="仿宋" w:eastAsia="仿宋" w:cs="仿宋_GB2312"/>
                <w:sz w:val="24"/>
              </w:rPr>
            </w:pPr>
          </w:p>
        </w:tc>
        <w:tc>
          <w:tcPr>
            <w:tcW w:w="6450" w:type="dxa"/>
            <w:vAlign w:val="center"/>
          </w:tcPr>
          <w:p>
            <w:pPr>
              <w:spacing w:line="480" w:lineRule="exact"/>
              <w:textAlignment w:val="center"/>
              <w:rPr>
                <w:rFonts w:ascii="仿宋" w:hAnsi="仿宋" w:eastAsia="仿宋" w:cs="仿宋_GB2312"/>
                <w:sz w:val="24"/>
              </w:rPr>
            </w:pPr>
            <w:r>
              <w:rPr>
                <w:rFonts w:hint="eastAsia" w:ascii="仿宋" w:hAnsi="仿宋" w:eastAsia="仿宋" w:cs="仿宋_GB2312"/>
                <w:sz w:val="24"/>
              </w:rPr>
              <w:t>一般社会投资工程项目审批时间（工作日）</w:t>
            </w:r>
          </w:p>
        </w:tc>
        <w:tc>
          <w:tcPr>
            <w:tcW w:w="1167" w:type="dxa"/>
            <w:vAlign w:val="center"/>
          </w:tcPr>
          <w:p>
            <w:pPr>
              <w:spacing w:line="480" w:lineRule="exact"/>
              <w:jc w:val="center"/>
              <w:textAlignment w:val="center"/>
              <w:rPr>
                <w:rFonts w:ascii="仿宋" w:hAnsi="仿宋" w:eastAsia="仿宋" w:cs="仿宋_GB2312"/>
                <w:sz w:val="24"/>
              </w:rPr>
            </w:pPr>
            <w:r>
              <w:rPr>
                <w:rFonts w:ascii="仿宋" w:hAnsi="仿宋" w:eastAsia="仿宋" w:cs="仿宋_GB2312"/>
                <w:sz w:val="24"/>
              </w:rPr>
              <w:t>3</w:t>
            </w:r>
            <w:r>
              <w:rPr>
                <w:rFonts w:hint="eastAsia" w:ascii="仿宋" w:hAnsi="仿宋" w:eastAsia="仿宋" w:cs="仿宋_GB2312"/>
                <w:sz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52" w:hRule="atLeast"/>
          <w:jc w:val="center"/>
        </w:trPr>
        <w:tc>
          <w:tcPr>
            <w:tcW w:w="1295" w:type="dxa"/>
            <w:vMerge w:val="continue"/>
            <w:vAlign w:val="center"/>
          </w:tcPr>
          <w:p>
            <w:pPr>
              <w:spacing w:line="480" w:lineRule="exact"/>
              <w:jc w:val="center"/>
              <w:rPr>
                <w:rFonts w:ascii="仿宋" w:hAnsi="仿宋" w:eastAsia="仿宋" w:cs="仿宋_GB2312"/>
                <w:sz w:val="24"/>
              </w:rPr>
            </w:pPr>
          </w:p>
        </w:tc>
        <w:tc>
          <w:tcPr>
            <w:tcW w:w="6450" w:type="dxa"/>
            <w:vAlign w:val="center"/>
          </w:tcPr>
          <w:p>
            <w:pPr>
              <w:spacing w:line="480" w:lineRule="exact"/>
              <w:textAlignment w:val="center"/>
              <w:rPr>
                <w:rFonts w:ascii="仿宋" w:hAnsi="仿宋" w:eastAsia="仿宋" w:cs="仿宋_GB2312"/>
                <w:sz w:val="24"/>
              </w:rPr>
            </w:pPr>
            <w:r>
              <w:rPr>
                <w:rFonts w:hint="eastAsia" w:ascii="仿宋" w:hAnsi="仿宋" w:eastAsia="仿宋" w:cs="仿宋_GB2312"/>
                <w:sz w:val="24"/>
              </w:rPr>
              <w:t>投资项目审批事项网上办理率（%）</w:t>
            </w:r>
          </w:p>
        </w:tc>
        <w:tc>
          <w:tcPr>
            <w:tcW w:w="1167" w:type="dxa"/>
            <w:vAlign w:val="center"/>
          </w:tcPr>
          <w:p>
            <w:pPr>
              <w:spacing w:line="480" w:lineRule="exact"/>
              <w:jc w:val="center"/>
              <w:textAlignment w:val="center"/>
              <w:rPr>
                <w:rFonts w:ascii="仿宋" w:hAnsi="仿宋" w:eastAsia="仿宋" w:cs="仿宋_GB2312"/>
                <w:sz w:val="24"/>
              </w:rPr>
            </w:pPr>
            <w:r>
              <w:rPr>
                <w:rFonts w:ascii="仿宋" w:hAnsi="仿宋" w:eastAsia="仿宋" w:cs="仿宋_GB2312"/>
                <w:sz w:val="24"/>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52" w:hRule="atLeast"/>
          <w:jc w:val="center"/>
        </w:trPr>
        <w:tc>
          <w:tcPr>
            <w:tcW w:w="1295" w:type="dxa"/>
            <w:vMerge w:val="continue"/>
            <w:vAlign w:val="center"/>
          </w:tcPr>
          <w:p>
            <w:pPr>
              <w:spacing w:line="480" w:lineRule="exact"/>
              <w:jc w:val="center"/>
              <w:rPr>
                <w:rFonts w:ascii="仿宋" w:hAnsi="仿宋" w:eastAsia="仿宋" w:cs="仿宋_GB2312"/>
                <w:sz w:val="24"/>
              </w:rPr>
            </w:pPr>
          </w:p>
        </w:tc>
        <w:tc>
          <w:tcPr>
            <w:tcW w:w="6450" w:type="dxa"/>
            <w:vAlign w:val="center"/>
          </w:tcPr>
          <w:p>
            <w:pPr>
              <w:spacing w:line="480" w:lineRule="exact"/>
              <w:textAlignment w:val="center"/>
              <w:rPr>
                <w:rFonts w:ascii="仿宋" w:hAnsi="仿宋" w:eastAsia="仿宋" w:cs="仿宋_GB2312"/>
                <w:sz w:val="24"/>
              </w:rPr>
            </w:pPr>
            <w:r>
              <w:rPr>
                <w:rFonts w:hint="eastAsia" w:ascii="仿宋" w:hAnsi="仿宋" w:eastAsia="仿宋" w:cs="仿宋_GB2312"/>
                <w:sz w:val="24"/>
              </w:rPr>
              <w:t>全市进口货物整体通关时间（小时）</w:t>
            </w:r>
          </w:p>
        </w:tc>
        <w:tc>
          <w:tcPr>
            <w:tcW w:w="1167" w:type="dxa"/>
            <w:vAlign w:val="center"/>
          </w:tcPr>
          <w:p>
            <w:pPr>
              <w:spacing w:line="480" w:lineRule="exact"/>
              <w:jc w:val="center"/>
              <w:textAlignment w:val="center"/>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52" w:hRule="atLeast"/>
          <w:jc w:val="center"/>
        </w:trPr>
        <w:tc>
          <w:tcPr>
            <w:tcW w:w="1295" w:type="dxa"/>
            <w:vMerge w:val="continue"/>
            <w:vAlign w:val="center"/>
          </w:tcPr>
          <w:p>
            <w:pPr>
              <w:spacing w:line="480" w:lineRule="exact"/>
              <w:jc w:val="center"/>
              <w:rPr>
                <w:rFonts w:ascii="仿宋" w:hAnsi="仿宋" w:eastAsia="仿宋" w:cs="仿宋_GB2312"/>
                <w:sz w:val="24"/>
              </w:rPr>
            </w:pPr>
          </w:p>
        </w:tc>
        <w:tc>
          <w:tcPr>
            <w:tcW w:w="6450" w:type="dxa"/>
            <w:vAlign w:val="center"/>
          </w:tcPr>
          <w:p>
            <w:pPr>
              <w:spacing w:line="480" w:lineRule="exact"/>
              <w:textAlignment w:val="center"/>
              <w:rPr>
                <w:rFonts w:ascii="仿宋" w:hAnsi="仿宋" w:eastAsia="仿宋" w:cs="仿宋_GB2312"/>
                <w:sz w:val="24"/>
              </w:rPr>
            </w:pPr>
            <w:r>
              <w:rPr>
                <w:rFonts w:hint="eastAsia" w:ascii="仿宋" w:hAnsi="仿宋" w:eastAsia="仿宋" w:cs="仿宋_GB2312"/>
                <w:sz w:val="24"/>
              </w:rPr>
              <w:t>全市出口货物整体通关时间（小时）</w:t>
            </w:r>
          </w:p>
        </w:tc>
        <w:tc>
          <w:tcPr>
            <w:tcW w:w="1167" w:type="dxa"/>
            <w:vAlign w:val="center"/>
          </w:tcPr>
          <w:p>
            <w:pPr>
              <w:spacing w:line="480" w:lineRule="exact"/>
              <w:jc w:val="center"/>
              <w:textAlignment w:val="center"/>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52" w:hRule="atLeast"/>
          <w:jc w:val="center"/>
        </w:trPr>
        <w:tc>
          <w:tcPr>
            <w:tcW w:w="1295" w:type="dxa"/>
            <w:vMerge w:val="continue"/>
            <w:vAlign w:val="center"/>
          </w:tcPr>
          <w:p>
            <w:pPr>
              <w:spacing w:line="480" w:lineRule="exact"/>
              <w:jc w:val="center"/>
              <w:rPr>
                <w:rFonts w:ascii="仿宋" w:hAnsi="仿宋" w:eastAsia="仿宋" w:cs="仿宋_GB2312"/>
                <w:sz w:val="24"/>
              </w:rPr>
            </w:pPr>
          </w:p>
        </w:tc>
        <w:tc>
          <w:tcPr>
            <w:tcW w:w="6450" w:type="dxa"/>
            <w:vAlign w:val="center"/>
          </w:tcPr>
          <w:p>
            <w:pPr>
              <w:spacing w:line="480" w:lineRule="exact"/>
              <w:textAlignment w:val="center"/>
              <w:rPr>
                <w:rFonts w:ascii="仿宋" w:hAnsi="仿宋" w:eastAsia="仿宋" w:cs="仿宋_GB2312"/>
                <w:sz w:val="24"/>
              </w:rPr>
            </w:pPr>
            <w:r>
              <w:rPr>
                <w:rFonts w:hint="eastAsia" w:ascii="仿宋" w:hAnsi="仿宋" w:eastAsia="仿宋" w:cs="仿宋_GB2312"/>
                <w:kern w:val="0"/>
                <w:sz w:val="24"/>
              </w:rPr>
              <w:t>企业纳税时间（小时）</w:t>
            </w:r>
          </w:p>
        </w:tc>
        <w:tc>
          <w:tcPr>
            <w:tcW w:w="1167" w:type="dxa"/>
            <w:vAlign w:val="center"/>
          </w:tcPr>
          <w:p>
            <w:pPr>
              <w:spacing w:line="480" w:lineRule="exact"/>
              <w:jc w:val="center"/>
              <w:textAlignment w:val="center"/>
              <w:rPr>
                <w:rFonts w:ascii="仿宋" w:hAnsi="仿宋" w:eastAsia="仿宋" w:cs="仿宋_GB2312"/>
                <w:sz w:val="24"/>
              </w:rPr>
            </w:pPr>
            <w:r>
              <w:rPr>
                <w:rFonts w:hint="eastAsia" w:ascii="仿宋" w:hAnsi="仿宋" w:eastAsia="仿宋" w:cs="仿宋_GB2312"/>
                <w:sz w:val="24"/>
              </w:rPr>
              <w:t>5</w:t>
            </w:r>
            <w:r>
              <w:rPr>
                <w:rFonts w:ascii="仿宋" w:hAnsi="仿宋" w:eastAsia="仿宋" w:cs="仿宋_GB2312"/>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52" w:hRule="atLeast"/>
          <w:jc w:val="center"/>
        </w:trPr>
        <w:tc>
          <w:tcPr>
            <w:tcW w:w="1295" w:type="dxa"/>
            <w:vMerge w:val="continue"/>
            <w:vAlign w:val="center"/>
          </w:tcPr>
          <w:p>
            <w:pPr>
              <w:spacing w:line="480" w:lineRule="exact"/>
              <w:jc w:val="center"/>
              <w:rPr>
                <w:rFonts w:ascii="仿宋" w:hAnsi="仿宋" w:eastAsia="仿宋" w:cs="仿宋_GB2312"/>
                <w:sz w:val="24"/>
              </w:rPr>
            </w:pPr>
          </w:p>
        </w:tc>
        <w:tc>
          <w:tcPr>
            <w:tcW w:w="6450" w:type="dxa"/>
            <w:vAlign w:val="center"/>
          </w:tcPr>
          <w:p>
            <w:pPr>
              <w:spacing w:line="480" w:lineRule="exact"/>
              <w:textAlignment w:val="center"/>
              <w:rPr>
                <w:rFonts w:ascii="仿宋" w:hAnsi="仿宋" w:eastAsia="仿宋" w:cs="仿宋_GB2312"/>
                <w:kern w:val="0"/>
                <w:sz w:val="24"/>
              </w:rPr>
            </w:pPr>
            <w:r>
              <w:rPr>
                <w:rFonts w:hint="eastAsia" w:ascii="仿宋" w:hAnsi="仿宋" w:eastAsia="仿宋" w:cs="仿宋_GB2312"/>
                <w:kern w:val="0"/>
                <w:sz w:val="24"/>
              </w:rPr>
              <w:t>中小企业预留采购份额占采购部门年度采购预算总额比重（%）</w:t>
            </w:r>
          </w:p>
        </w:tc>
        <w:tc>
          <w:tcPr>
            <w:tcW w:w="1167" w:type="dxa"/>
            <w:vAlign w:val="center"/>
          </w:tcPr>
          <w:p>
            <w:pPr>
              <w:spacing w:line="480" w:lineRule="exact"/>
              <w:jc w:val="center"/>
              <w:textAlignment w:val="center"/>
              <w:rPr>
                <w:rFonts w:ascii="仿宋" w:hAnsi="仿宋" w:eastAsia="仿宋" w:cs="仿宋_GB2312"/>
                <w:sz w:val="24"/>
              </w:rPr>
            </w:pPr>
            <w:r>
              <w:rPr>
                <w:rFonts w:hint="eastAsia" w:ascii="仿宋" w:hAnsi="仿宋" w:eastAsia="仿宋" w:cs="仿宋_GB2312"/>
                <w:sz w:val="24"/>
              </w:rPr>
              <w:t>4</w:t>
            </w:r>
            <w:r>
              <w:rPr>
                <w:rFonts w:ascii="仿宋" w:hAnsi="仿宋" w:eastAsia="仿宋" w:cs="仿宋_GB2312"/>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58" w:hRule="atLeast"/>
          <w:jc w:val="center"/>
        </w:trPr>
        <w:tc>
          <w:tcPr>
            <w:tcW w:w="1295" w:type="dxa"/>
            <w:vMerge w:val="restart"/>
            <w:vAlign w:val="center"/>
          </w:tcPr>
          <w:p>
            <w:pPr>
              <w:spacing w:line="480" w:lineRule="exact"/>
              <w:jc w:val="center"/>
              <w:textAlignment w:val="center"/>
              <w:rPr>
                <w:rFonts w:ascii="仿宋" w:hAnsi="仿宋" w:eastAsia="仿宋" w:cs="仿宋_GB2312"/>
                <w:kern w:val="0"/>
                <w:sz w:val="24"/>
              </w:rPr>
            </w:pPr>
            <w:r>
              <w:rPr>
                <w:rFonts w:hint="eastAsia" w:ascii="仿宋" w:hAnsi="仿宋" w:eastAsia="仿宋" w:cs="仿宋_GB2312"/>
                <w:kern w:val="0"/>
                <w:sz w:val="24"/>
              </w:rPr>
              <w:t>政务服务</w:t>
            </w:r>
          </w:p>
        </w:tc>
        <w:tc>
          <w:tcPr>
            <w:tcW w:w="6450" w:type="dxa"/>
            <w:vAlign w:val="center"/>
          </w:tcPr>
          <w:p>
            <w:pPr>
              <w:spacing w:line="480" w:lineRule="exact"/>
              <w:textAlignment w:val="center"/>
              <w:rPr>
                <w:rFonts w:ascii="仿宋" w:hAnsi="仿宋" w:eastAsia="仿宋" w:cs="仿宋_GB2312"/>
                <w:kern w:val="0"/>
                <w:sz w:val="24"/>
              </w:rPr>
            </w:pPr>
            <w:r>
              <w:rPr>
                <w:rFonts w:hint="eastAsia" w:ascii="仿宋" w:hAnsi="仿宋" w:eastAsia="仿宋" w:cs="仿宋_GB2312"/>
                <w:kern w:val="0"/>
                <w:sz w:val="24"/>
              </w:rPr>
              <w:t>政务服务事项不见面审批事项占比（%</w:t>
            </w:r>
            <w:r>
              <w:rPr>
                <w:rFonts w:hint="eastAsia" w:ascii="仿宋" w:hAnsi="仿宋" w:eastAsia="仿宋" w:cs="仿宋_GB2312"/>
                <w:sz w:val="24"/>
              </w:rPr>
              <w:t>）</w:t>
            </w:r>
          </w:p>
        </w:tc>
        <w:tc>
          <w:tcPr>
            <w:tcW w:w="1167" w:type="dxa"/>
            <w:vAlign w:val="center"/>
          </w:tcPr>
          <w:p>
            <w:pPr>
              <w:spacing w:line="480" w:lineRule="exact"/>
              <w:jc w:val="center"/>
              <w:textAlignment w:val="top"/>
              <w:rPr>
                <w:rFonts w:ascii="仿宋" w:hAnsi="仿宋" w:eastAsia="仿宋" w:cs="仿宋_GB2312"/>
                <w:kern w:val="0"/>
                <w:sz w:val="24"/>
              </w:rPr>
            </w:pPr>
            <w:r>
              <w:rPr>
                <w:rFonts w:ascii="仿宋" w:hAnsi="仿宋" w:eastAsia="仿宋" w:cs="仿宋_GB2312"/>
                <w:kern w:val="0"/>
                <w:sz w:val="24"/>
              </w:rPr>
              <w:t>≥</w:t>
            </w:r>
            <w:r>
              <w:rPr>
                <w:rFonts w:hint="eastAsia" w:ascii="仿宋" w:hAnsi="仿宋" w:eastAsia="仿宋" w:cs="仿宋_GB2312"/>
                <w:kern w:val="0"/>
                <w:sz w:val="24"/>
              </w:rPr>
              <w:t>9</w:t>
            </w:r>
            <w:r>
              <w:rPr>
                <w:rFonts w:ascii="仿宋" w:hAnsi="仿宋" w:eastAsia="仿宋" w:cs="仿宋_GB2312"/>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46" w:hRule="atLeast"/>
          <w:jc w:val="center"/>
        </w:trPr>
        <w:tc>
          <w:tcPr>
            <w:tcW w:w="1295" w:type="dxa"/>
            <w:vMerge w:val="continue"/>
            <w:vAlign w:val="center"/>
          </w:tcPr>
          <w:p>
            <w:pPr>
              <w:spacing w:line="480" w:lineRule="exact"/>
              <w:jc w:val="center"/>
              <w:textAlignment w:val="center"/>
              <w:rPr>
                <w:rFonts w:ascii="仿宋" w:hAnsi="仿宋" w:eastAsia="仿宋" w:cs="仿宋_GB2312"/>
                <w:sz w:val="24"/>
              </w:rPr>
            </w:pPr>
          </w:p>
        </w:tc>
        <w:tc>
          <w:tcPr>
            <w:tcW w:w="6450" w:type="dxa"/>
            <w:vAlign w:val="center"/>
          </w:tcPr>
          <w:p>
            <w:pPr>
              <w:spacing w:line="480" w:lineRule="exact"/>
              <w:textAlignment w:val="center"/>
              <w:rPr>
                <w:rFonts w:ascii="仿宋" w:hAnsi="仿宋" w:eastAsia="仿宋" w:cs="仿宋_GB2312"/>
                <w:sz w:val="24"/>
              </w:rPr>
            </w:pPr>
            <w:r>
              <w:rPr>
                <w:rFonts w:hint="eastAsia" w:ascii="仿宋" w:hAnsi="仿宋" w:eastAsia="仿宋" w:cs="仿宋_GB2312"/>
                <w:sz w:val="24"/>
              </w:rPr>
              <w:t>最多跑一次占比（%）</w:t>
            </w:r>
          </w:p>
        </w:tc>
        <w:tc>
          <w:tcPr>
            <w:tcW w:w="1167" w:type="dxa"/>
            <w:vAlign w:val="center"/>
          </w:tcPr>
          <w:p>
            <w:pPr>
              <w:spacing w:line="480" w:lineRule="exact"/>
              <w:jc w:val="center"/>
              <w:textAlignment w:val="top"/>
              <w:rPr>
                <w:rFonts w:ascii="仿宋" w:hAnsi="仿宋" w:eastAsia="仿宋" w:cs="仿宋_GB2312"/>
                <w:kern w:val="0"/>
                <w:sz w:val="24"/>
              </w:rPr>
            </w:pPr>
            <w:r>
              <w:rPr>
                <w:rFonts w:ascii="仿宋" w:hAnsi="仿宋" w:eastAsia="仿宋" w:cs="仿宋_GB2312"/>
                <w:kern w:val="0"/>
                <w:sz w:val="24"/>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95" w:hRule="atLeast"/>
          <w:jc w:val="center"/>
        </w:trPr>
        <w:tc>
          <w:tcPr>
            <w:tcW w:w="1295" w:type="dxa"/>
            <w:vMerge w:val="continue"/>
            <w:vAlign w:val="center"/>
          </w:tcPr>
          <w:p>
            <w:pPr>
              <w:spacing w:line="480" w:lineRule="exact"/>
              <w:jc w:val="center"/>
              <w:rPr>
                <w:rFonts w:ascii="仿宋" w:hAnsi="仿宋" w:eastAsia="仿宋" w:cs="仿宋_GB2312"/>
                <w:sz w:val="24"/>
              </w:rPr>
            </w:pPr>
          </w:p>
        </w:tc>
        <w:tc>
          <w:tcPr>
            <w:tcW w:w="6450" w:type="dxa"/>
            <w:vAlign w:val="center"/>
          </w:tcPr>
          <w:p>
            <w:pPr>
              <w:spacing w:line="480" w:lineRule="exact"/>
              <w:textAlignment w:val="center"/>
              <w:rPr>
                <w:rFonts w:ascii="仿宋" w:hAnsi="仿宋" w:eastAsia="仿宋" w:cs="仿宋_GB2312"/>
                <w:kern w:val="0"/>
                <w:sz w:val="24"/>
              </w:rPr>
            </w:pPr>
            <w:r>
              <w:rPr>
                <w:rFonts w:hint="eastAsia" w:ascii="仿宋" w:hAnsi="仿宋" w:eastAsia="仿宋" w:cs="仿宋_GB2312"/>
                <w:kern w:val="0"/>
                <w:sz w:val="24"/>
              </w:rPr>
              <w:t>零跑动占比（%）</w:t>
            </w:r>
          </w:p>
        </w:tc>
        <w:tc>
          <w:tcPr>
            <w:tcW w:w="1167" w:type="dxa"/>
            <w:vAlign w:val="center"/>
          </w:tcPr>
          <w:p>
            <w:pPr>
              <w:spacing w:line="480" w:lineRule="exact"/>
              <w:jc w:val="center"/>
              <w:textAlignment w:val="top"/>
              <w:rPr>
                <w:rFonts w:ascii="仿宋" w:hAnsi="仿宋" w:eastAsia="仿宋" w:cs="仿宋_GB2312"/>
                <w:kern w:val="0"/>
                <w:sz w:val="24"/>
              </w:rPr>
            </w:pPr>
            <w:r>
              <w:rPr>
                <w:rFonts w:hint="eastAsia" w:ascii="仿宋" w:hAnsi="仿宋" w:eastAsia="仿宋" w:cs="仿宋_GB2312"/>
                <w:kern w:val="0"/>
                <w:sz w:val="24"/>
              </w:rPr>
              <w:t>9</w:t>
            </w:r>
            <w:r>
              <w:rPr>
                <w:rFonts w:ascii="仿宋" w:hAnsi="仿宋" w:eastAsia="仿宋" w:cs="仿宋_GB2312"/>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1015" w:hRule="atLeast"/>
          <w:jc w:val="center"/>
        </w:trPr>
        <w:tc>
          <w:tcPr>
            <w:tcW w:w="1295" w:type="dxa"/>
            <w:vMerge w:val="continue"/>
            <w:vAlign w:val="center"/>
          </w:tcPr>
          <w:p>
            <w:pPr>
              <w:spacing w:line="480" w:lineRule="exact"/>
              <w:jc w:val="center"/>
              <w:rPr>
                <w:rFonts w:ascii="仿宋" w:hAnsi="仿宋" w:eastAsia="仿宋" w:cs="仿宋_GB2312"/>
                <w:sz w:val="24"/>
              </w:rPr>
            </w:pPr>
          </w:p>
        </w:tc>
        <w:tc>
          <w:tcPr>
            <w:tcW w:w="6450" w:type="dxa"/>
            <w:vAlign w:val="center"/>
          </w:tcPr>
          <w:p>
            <w:pPr>
              <w:spacing w:line="480" w:lineRule="exact"/>
              <w:textAlignment w:val="center"/>
              <w:rPr>
                <w:rFonts w:ascii="仿宋" w:hAnsi="仿宋" w:eastAsia="仿宋" w:cs="仿宋_GB2312"/>
                <w:kern w:val="0"/>
                <w:sz w:val="24"/>
              </w:rPr>
            </w:pPr>
            <w:r>
              <w:rPr>
                <w:rFonts w:hint="eastAsia" w:ascii="仿宋" w:hAnsi="仿宋" w:eastAsia="仿宋" w:cs="仿宋_GB2312"/>
                <w:kern w:val="0"/>
                <w:sz w:val="24"/>
              </w:rPr>
              <w:t>不动产转移登记耗时（工作日）</w:t>
            </w:r>
          </w:p>
        </w:tc>
        <w:tc>
          <w:tcPr>
            <w:tcW w:w="1167" w:type="dxa"/>
            <w:vAlign w:val="center"/>
          </w:tcPr>
          <w:p>
            <w:pPr>
              <w:spacing w:line="480" w:lineRule="exact"/>
              <w:jc w:val="center"/>
              <w:textAlignment w:val="top"/>
              <w:rPr>
                <w:rFonts w:ascii="仿宋" w:hAnsi="仿宋" w:eastAsia="仿宋" w:cs="仿宋_GB2312"/>
                <w:kern w:val="0"/>
                <w:sz w:val="24"/>
              </w:rPr>
            </w:pPr>
            <w:r>
              <w:rPr>
                <w:rFonts w:hint="eastAsia" w:ascii="仿宋" w:hAnsi="仿宋" w:eastAsia="仿宋" w:cs="仿宋_GB2312"/>
                <w:kern w:val="0"/>
                <w:sz w:val="24"/>
              </w:rPr>
              <w:t>0</w:t>
            </w:r>
            <w:r>
              <w:rPr>
                <w:rFonts w:ascii="仿宋" w:hAnsi="仿宋" w:eastAsia="仿宋" w:cs="仿宋_GB2312"/>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686" w:hRule="atLeast"/>
          <w:jc w:val="center"/>
        </w:trPr>
        <w:tc>
          <w:tcPr>
            <w:tcW w:w="1295" w:type="dxa"/>
            <w:vMerge w:val="continue"/>
            <w:vAlign w:val="center"/>
          </w:tcPr>
          <w:p>
            <w:pPr>
              <w:spacing w:line="480" w:lineRule="exact"/>
              <w:jc w:val="center"/>
              <w:rPr>
                <w:rFonts w:ascii="仿宋" w:hAnsi="仿宋" w:eastAsia="仿宋" w:cs="仿宋_GB2312"/>
                <w:sz w:val="24"/>
              </w:rPr>
            </w:pPr>
          </w:p>
        </w:tc>
        <w:tc>
          <w:tcPr>
            <w:tcW w:w="6450" w:type="dxa"/>
            <w:vAlign w:val="center"/>
          </w:tcPr>
          <w:p>
            <w:pPr>
              <w:spacing w:line="480" w:lineRule="exact"/>
              <w:textAlignment w:val="center"/>
              <w:rPr>
                <w:rFonts w:ascii="仿宋" w:hAnsi="仿宋" w:eastAsia="仿宋" w:cs="仿宋_GB2312"/>
                <w:sz w:val="24"/>
              </w:rPr>
            </w:pPr>
            <w:r>
              <w:rPr>
                <w:rFonts w:ascii="仿宋" w:hAnsi="仿宋" w:eastAsia="仿宋" w:cs="仿宋_GB2312"/>
                <w:kern w:val="0"/>
                <w:sz w:val="24"/>
              </w:rPr>
              <w:t>咨询投诉按期</w:t>
            </w:r>
            <w:r>
              <w:rPr>
                <w:rFonts w:hint="eastAsia" w:ascii="仿宋" w:hAnsi="仿宋" w:eastAsia="仿宋" w:cs="仿宋_GB2312"/>
                <w:kern w:val="0"/>
                <w:sz w:val="24"/>
              </w:rPr>
              <w:t>办结率</w:t>
            </w:r>
            <w:r>
              <w:rPr>
                <w:rFonts w:hint="eastAsia" w:ascii="仿宋" w:hAnsi="仿宋" w:eastAsia="仿宋" w:cs="仿宋_GB2312"/>
                <w:sz w:val="24"/>
              </w:rPr>
              <w:t>（%）</w:t>
            </w:r>
          </w:p>
        </w:tc>
        <w:tc>
          <w:tcPr>
            <w:tcW w:w="1167" w:type="dxa"/>
            <w:vAlign w:val="center"/>
          </w:tcPr>
          <w:p>
            <w:pPr>
              <w:spacing w:line="480" w:lineRule="exact"/>
              <w:jc w:val="center"/>
              <w:textAlignment w:val="top"/>
              <w:rPr>
                <w:rFonts w:ascii="仿宋" w:hAnsi="仿宋" w:eastAsia="仿宋" w:cs="仿宋_GB2312"/>
                <w:kern w:val="0"/>
                <w:sz w:val="24"/>
              </w:rPr>
            </w:pPr>
            <w:r>
              <w:rPr>
                <w:rFonts w:hint="eastAsia" w:ascii="仿宋" w:hAnsi="仿宋" w:eastAsia="仿宋" w:cs="仿宋_GB2312"/>
                <w:kern w:val="0"/>
                <w:sz w:val="24"/>
              </w:rPr>
              <w:t>1</w:t>
            </w:r>
            <w:r>
              <w:rPr>
                <w:rFonts w:ascii="仿宋" w:hAnsi="仿宋" w:eastAsia="仿宋" w:cs="仿宋_GB2312"/>
                <w:kern w:val="0"/>
                <w:sz w:val="24"/>
              </w:rPr>
              <w:t>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41" w:hRule="atLeast"/>
          <w:jc w:val="center"/>
        </w:trPr>
        <w:tc>
          <w:tcPr>
            <w:tcW w:w="1295" w:type="dxa"/>
            <w:vAlign w:val="center"/>
          </w:tcPr>
          <w:p>
            <w:pPr>
              <w:spacing w:line="480" w:lineRule="exact"/>
              <w:jc w:val="center"/>
              <w:textAlignment w:val="center"/>
              <w:rPr>
                <w:rFonts w:ascii="黑体" w:hAnsi="黑体" w:eastAsia="黑体" w:cs="黑体"/>
                <w:sz w:val="24"/>
              </w:rPr>
            </w:pPr>
            <w:r>
              <w:rPr>
                <w:rFonts w:hint="eastAsia" w:ascii="黑体" w:hAnsi="黑体" w:eastAsia="黑体" w:cs="黑体"/>
                <w:kern w:val="0"/>
                <w:sz w:val="24"/>
              </w:rPr>
              <w:t>类 别</w:t>
            </w:r>
          </w:p>
        </w:tc>
        <w:tc>
          <w:tcPr>
            <w:tcW w:w="6450" w:type="dxa"/>
            <w:vAlign w:val="center"/>
          </w:tcPr>
          <w:p>
            <w:pPr>
              <w:spacing w:line="480" w:lineRule="exact"/>
              <w:jc w:val="center"/>
              <w:textAlignment w:val="center"/>
              <w:rPr>
                <w:rFonts w:ascii="黑体" w:hAnsi="黑体" w:eastAsia="黑体" w:cs="黑体"/>
                <w:sz w:val="24"/>
              </w:rPr>
            </w:pPr>
            <w:r>
              <w:rPr>
                <w:rFonts w:hint="eastAsia" w:ascii="黑体" w:hAnsi="黑体" w:eastAsia="黑体" w:cs="黑体"/>
                <w:kern w:val="0"/>
                <w:sz w:val="24"/>
              </w:rPr>
              <w:t>主要</w:t>
            </w:r>
            <w:r>
              <w:rPr>
                <w:rFonts w:hint="eastAsia" w:ascii="黑体" w:hAnsi="黑体" w:eastAsia="黑体" w:cs="黑体"/>
                <w:sz w:val="24"/>
              </w:rPr>
              <w:t>指标</w:t>
            </w:r>
          </w:p>
        </w:tc>
        <w:tc>
          <w:tcPr>
            <w:tcW w:w="1167" w:type="dxa"/>
            <w:vAlign w:val="center"/>
          </w:tcPr>
          <w:p>
            <w:pPr>
              <w:spacing w:line="480" w:lineRule="exact"/>
              <w:jc w:val="center"/>
              <w:textAlignment w:val="center"/>
              <w:rPr>
                <w:rFonts w:ascii="黑体" w:hAnsi="黑体" w:eastAsia="黑体" w:cs="黑体"/>
                <w:sz w:val="24"/>
              </w:rPr>
            </w:pPr>
            <w:r>
              <w:rPr>
                <w:rFonts w:hint="eastAsia" w:ascii="黑体" w:hAnsi="黑体" w:eastAsia="黑体" w:cs="黑体"/>
                <w:kern w:val="0"/>
                <w:sz w:val="24"/>
              </w:rPr>
              <w:t>2025</w:t>
            </w:r>
            <w:r>
              <w:rPr>
                <w:rFonts w:hint="eastAsia" w:ascii="黑体" w:hAnsi="黑体" w:eastAsia="黑体" w:cs="黑体"/>
                <w:sz w:val="24"/>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52" w:hRule="atLeast"/>
          <w:jc w:val="center"/>
        </w:trPr>
        <w:tc>
          <w:tcPr>
            <w:tcW w:w="1295" w:type="dxa"/>
            <w:vMerge w:val="restart"/>
            <w:vAlign w:val="center"/>
          </w:tcPr>
          <w:p>
            <w:pPr>
              <w:spacing w:line="400" w:lineRule="exact"/>
              <w:jc w:val="center"/>
              <w:textAlignment w:val="center"/>
              <w:rPr>
                <w:rFonts w:ascii="仿宋" w:hAnsi="仿宋" w:eastAsia="仿宋" w:cs="仿宋_GB2312"/>
                <w:sz w:val="24"/>
              </w:rPr>
            </w:pPr>
            <w:r>
              <w:rPr>
                <w:rFonts w:hint="eastAsia" w:ascii="仿宋" w:hAnsi="仿宋" w:eastAsia="仿宋" w:cs="仿宋_GB2312"/>
                <w:kern w:val="0"/>
                <w:sz w:val="24"/>
              </w:rPr>
              <w:t>法治保障</w:t>
            </w:r>
          </w:p>
        </w:tc>
        <w:tc>
          <w:tcPr>
            <w:tcW w:w="6450" w:type="dxa"/>
            <w:vAlign w:val="center"/>
          </w:tcPr>
          <w:p>
            <w:pPr>
              <w:spacing w:line="400" w:lineRule="exact"/>
              <w:textAlignment w:val="center"/>
              <w:rPr>
                <w:rFonts w:ascii="仿宋" w:hAnsi="仿宋" w:eastAsia="仿宋" w:cs="仿宋_GB2312"/>
                <w:sz w:val="24"/>
              </w:rPr>
            </w:pPr>
            <w:r>
              <w:rPr>
                <w:rFonts w:hint="eastAsia" w:ascii="仿宋" w:hAnsi="仿宋" w:eastAsia="仿宋" w:cs="仿宋_GB2312"/>
                <w:sz w:val="24"/>
              </w:rPr>
              <w:t>破产案件平均审理用时（天）</w:t>
            </w:r>
          </w:p>
        </w:tc>
        <w:tc>
          <w:tcPr>
            <w:tcW w:w="1167" w:type="dxa"/>
            <w:vAlign w:val="center"/>
          </w:tcPr>
          <w:p>
            <w:pPr>
              <w:spacing w:line="400" w:lineRule="exact"/>
              <w:jc w:val="center"/>
              <w:textAlignment w:val="center"/>
              <w:rPr>
                <w:rFonts w:ascii="仿宋" w:hAnsi="仿宋" w:eastAsia="仿宋" w:cs="仿宋_GB2312"/>
                <w:sz w:val="24"/>
              </w:rPr>
            </w:pPr>
            <w:r>
              <w:rPr>
                <w:rFonts w:ascii="仿宋" w:hAnsi="仿宋" w:eastAsia="仿宋" w:cs="仿宋_GB2312"/>
                <w:sz w:val="24"/>
              </w:rPr>
              <w:t>210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52" w:hRule="atLeast"/>
          <w:jc w:val="center"/>
        </w:trPr>
        <w:tc>
          <w:tcPr>
            <w:tcW w:w="1295" w:type="dxa"/>
            <w:vMerge w:val="continue"/>
            <w:vAlign w:val="center"/>
          </w:tcPr>
          <w:p>
            <w:pPr>
              <w:spacing w:line="400" w:lineRule="exact"/>
              <w:jc w:val="center"/>
              <w:textAlignment w:val="center"/>
              <w:rPr>
                <w:rFonts w:ascii="仿宋" w:hAnsi="仿宋" w:eastAsia="仿宋" w:cs="仿宋_GB2312"/>
                <w:kern w:val="0"/>
                <w:sz w:val="24"/>
              </w:rPr>
            </w:pPr>
          </w:p>
        </w:tc>
        <w:tc>
          <w:tcPr>
            <w:tcW w:w="6450" w:type="dxa"/>
            <w:vAlign w:val="center"/>
          </w:tcPr>
          <w:p>
            <w:pPr>
              <w:spacing w:line="400" w:lineRule="exact"/>
              <w:textAlignment w:val="center"/>
              <w:rPr>
                <w:rFonts w:ascii="仿宋" w:hAnsi="仿宋" w:eastAsia="仿宋" w:cs="仿宋_GB2312"/>
                <w:sz w:val="24"/>
              </w:rPr>
            </w:pPr>
            <w:r>
              <w:rPr>
                <w:rFonts w:hint="eastAsia" w:ascii="仿宋" w:hAnsi="仿宋" w:eastAsia="仿宋" w:cs="仿宋_GB2312"/>
                <w:sz w:val="24"/>
              </w:rPr>
              <w:t>破产案件审结率（%）</w:t>
            </w:r>
          </w:p>
        </w:tc>
        <w:tc>
          <w:tcPr>
            <w:tcW w:w="1167" w:type="dxa"/>
            <w:vAlign w:val="center"/>
          </w:tcPr>
          <w:p>
            <w:pPr>
              <w:spacing w:line="400" w:lineRule="exact"/>
              <w:jc w:val="center"/>
              <w:textAlignment w:val="center"/>
              <w:rPr>
                <w:rFonts w:ascii="仿宋" w:hAnsi="仿宋" w:eastAsia="仿宋" w:cs="仿宋_GB2312"/>
                <w:sz w:val="24"/>
              </w:rPr>
            </w:pPr>
            <w:r>
              <w:rPr>
                <w:rFonts w:hint="eastAsia" w:ascii="仿宋" w:hAnsi="仿宋" w:eastAsia="仿宋" w:cs="仿宋_GB2312"/>
                <w:sz w:val="24"/>
              </w:rPr>
              <w:t>9</w:t>
            </w:r>
            <w:r>
              <w:rPr>
                <w:rFonts w:ascii="仿宋" w:hAnsi="仿宋" w:eastAsia="仿宋" w:cs="仿宋_GB2312"/>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52" w:hRule="atLeast"/>
          <w:jc w:val="center"/>
        </w:trPr>
        <w:tc>
          <w:tcPr>
            <w:tcW w:w="1295" w:type="dxa"/>
            <w:vMerge w:val="continue"/>
            <w:vAlign w:val="center"/>
          </w:tcPr>
          <w:p>
            <w:pPr>
              <w:spacing w:line="400" w:lineRule="exact"/>
              <w:jc w:val="center"/>
              <w:textAlignment w:val="center"/>
              <w:rPr>
                <w:rFonts w:ascii="仿宋" w:hAnsi="仿宋" w:eastAsia="仿宋" w:cs="仿宋_GB2312"/>
                <w:kern w:val="0"/>
                <w:sz w:val="24"/>
              </w:rPr>
            </w:pPr>
          </w:p>
        </w:tc>
        <w:tc>
          <w:tcPr>
            <w:tcW w:w="6450" w:type="dxa"/>
            <w:vAlign w:val="center"/>
          </w:tcPr>
          <w:p>
            <w:pPr>
              <w:spacing w:line="400" w:lineRule="exact"/>
              <w:textAlignment w:val="center"/>
              <w:rPr>
                <w:rFonts w:ascii="仿宋" w:hAnsi="仿宋" w:eastAsia="仿宋" w:cs="仿宋_GB2312"/>
                <w:sz w:val="24"/>
              </w:rPr>
            </w:pPr>
            <w:r>
              <w:rPr>
                <w:rFonts w:hint="eastAsia" w:ascii="仿宋" w:hAnsi="仿宋" w:eastAsia="仿宋" w:cs="仿宋_GB2312"/>
                <w:sz w:val="24"/>
              </w:rPr>
              <w:t>买卖合同案件审理平均用时（天）</w:t>
            </w:r>
          </w:p>
        </w:tc>
        <w:tc>
          <w:tcPr>
            <w:tcW w:w="1167" w:type="dxa"/>
            <w:vAlign w:val="center"/>
          </w:tcPr>
          <w:p>
            <w:pPr>
              <w:spacing w:line="400" w:lineRule="exact"/>
              <w:jc w:val="center"/>
              <w:textAlignment w:val="center"/>
              <w:rPr>
                <w:rFonts w:ascii="仿宋" w:hAnsi="仿宋" w:eastAsia="仿宋" w:cs="仿宋_GB2312"/>
                <w:sz w:val="24"/>
              </w:rPr>
            </w:pPr>
            <w:r>
              <w:rPr>
                <w:rFonts w:hint="eastAsia" w:ascii="仿宋" w:hAnsi="仿宋" w:eastAsia="仿宋" w:cs="仿宋_GB2312"/>
                <w:sz w:val="24"/>
              </w:rPr>
              <w:t>5</w:t>
            </w:r>
            <w:r>
              <w:rPr>
                <w:rFonts w:ascii="仿宋" w:hAnsi="仿宋" w:eastAsia="仿宋" w:cs="仿宋_GB2312"/>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52" w:hRule="atLeast"/>
          <w:jc w:val="center"/>
        </w:trPr>
        <w:tc>
          <w:tcPr>
            <w:tcW w:w="1295" w:type="dxa"/>
            <w:vMerge w:val="continue"/>
            <w:vAlign w:val="center"/>
          </w:tcPr>
          <w:p>
            <w:pPr>
              <w:spacing w:line="400" w:lineRule="exact"/>
              <w:jc w:val="center"/>
              <w:textAlignment w:val="center"/>
              <w:rPr>
                <w:rFonts w:ascii="仿宋" w:hAnsi="仿宋" w:eastAsia="仿宋" w:cs="仿宋_GB2312"/>
                <w:kern w:val="0"/>
                <w:sz w:val="24"/>
              </w:rPr>
            </w:pPr>
          </w:p>
        </w:tc>
        <w:tc>
          <w:tcPr>
            <w:tcW w:w="6450" w:type="dxa"/>
            <w:vAlign w:val="center"/>
          </w:tcPr>
          <w:p>
            <w:pPr>
              <w:spacing w:line="400" w:lineRule="exact"/>
              <w:textAlignment w:val="center"/>
              <w:rPr>
                <w:rFonts w:ascii="仿宋" w:hAnsi="仿宋" w:eastAsia="仿宋" w:cs="仿宋_GB2312"/>
                <w:sz w:val="24"/>
              </w:rPr>
            </w:pPr>
            <w:r>
              <w:rPr>
                <w:rFonts w:hint="eastAsia" w:ascii="仿宋" w:hAnsi="仿宋" w:eastAsia="仿宋" w:cs="仿宋_GB2312"/>
                <w:sz w:val="24"/>
              </w:rPr>
              <w:t>诉前调解成功率（%）</w:t>
            </w:r>
          </w:p>
        </w:tc>
        <w:tc>
          <w:tcPr>
            <w:tcW w:w="1167" w:type="dxa"/>
            <w:vAlign w:val="center"/>
          </w:tcPr>
          <w:p>
            <w:pPr>
              <w:spacing w:line="400" w:lineRule="exact"/>
              <w:jc w:val="center"/>
              <w:textAlignment w:val="center"/>
              <w:rPr>
                <w:rFonts w:ascii="仿宋" w:hAnsi="仿宋" w:eastAsia="仿宋" w:cs="仿宋_GB2312"/>
                <w:sz w:val="24"/>
              </w:rPr>
            </w:pPr>
            <w:r>
              <w:rPr>
                <w:rFonts w:hint="eastAsia" w:ascii="仿宋" w:hAnsi="仿宋" w:eastAsia="仿宋" w:cs="仿宋_GB2312"/>
                <w:sz w:val="24"/>
              </w:rPr>
              <w:t>5</w:t>
            </w:r>
            <w:r>
              <w:rPr>
                <w:rFonts w:ascii="仿宋" w:hAnsi="仿宋" w:eastAsia="仿宋" w:cs="仿宋_GB2312"/>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52" w:hRule="atLeast"/>
          <w:jc w:val="center"/>
        </w:trPr>
        <w:tc>
          <w:tcPr>
            <w:tcW w:w="1295" w:type="dxa"/>
            <w:vMerge w:val="continue"/>
            <w:vAlign w:val="center"/>
          </w:tcPr>
          <w:p>
            <w:pPr>
              <w:spacing w:line="400" w:lineRule="exact"/>
              <w:jc w:val="center"/>
              <w:textAlignment w:val="center"/>
              <w:rPr>
                <w:rFonts w:ascii="仿宋" w:hAnsi="仿宋" w:eastAsia="仿宋" w:cs="仿宋_GB2312"/>
                <w:kern w:val="0"/>
                <w:sz w:val="24"/>
              </w:rPr>
            </w:pPr>
          </w:p>
        </w:tc>
        <w:tc>
          <w:tcPr>
            <w:tcW w:w="6450" w:type="dxa"/>
            <w:vAlign w:val="center"/>
          </w:tcPr>
          <w:p>
            <w:pPr>
              <w:spacing w:line="400" w:lineRule="exact"/>
              <w:textAlignment w:val="center"/>
              <w:rPr>
                <w:rFonts w:ascii="仿宋" w:hAnsi="仿宋" w:eastAsia="仿宋" w:cs="仿宋_GB2312"/>
                <w:sz w:val="24"/>
              </w:rPr>
            </w:pPr>
            <w:r>
              <w:rPr>
                <w:rFonts w:hint="eastAsia" w:ascii="仿宋" w:hAnsi="仿宋" w:eastAsia="仿宋" w:cs="仿宋_GB2312"/>
                <w:sz w:val="24"/>
              </w:rPr>
              <w:t>解决商业纠纷平均用时（天）</w:t>
            </w:r>
          </w:p>
        </w:tc>
        <w:tc>
          <w:tcPr>
            <w:tcW w:w="1167" w:type="dxa"/>
            <w:vAlign w:val="center"/>
          </w:tcPr>
          <w:p>
            <w:pPr>
              <w:spacing w:line="400" w:lineRule="exact"/>
              <w:jc w:val="center"/>
              <w:textAlignment w:val="center"/>
              <w:rPr>
                <w:rFonts w:ascii="仿宋" w:hAnsi="仿宋" w:eastAsia="仿宋" w:cs="仿宋_GB2312"/>
                <w:sz w:val="24"/>
              </w:rPr>
            </w:pPr>
            <w:r>
              <w:rPr>
                <w:rFonts w:hint="eastAsia" w:ascii="仿宋" w:hAnsi="仿宋" w:eastAsia="仿宋" w:cs="仿宋_GB2312"/>
                <w:sz w:val="24"/>
              </w:rPr>
              <w:t>110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52" w:hRule="atLeast"/>
          <w:jc w:val="center"/>
        </w:trPr>
        <w:tc>
          <w:tcPr>
            <w:tcW w:w="1295" w:type="dxa"/>
            <w:vMerge w:val="continue"/>
            <w:vAlign w:val="center"/>
          </w:tcPr>
          <w:p>
            <w:pPr>
              <w:spacing w:line="400" w:lineRule="exact"/>
              <w:jc w:val="center"/>
              <w:textAlignment w:val="center"/>
              <w:rPr>
                <w:rFonts w:ascii="仿宋" w:hAnsi="仿宋" w:eastAsia="仿宋" w:cs="仿宋_GB2312"/>
                <w:kern w:val="0"/>
                <w:sz w:val="24"/>
              </w:rPr>
            </w:pPr>
          </w:p>
        </w:tc>
        <w:tc>
          <w:tcPr>
            <w:tcW w:w="6450" w:type="dxa"/>
            <w:vAlign w:val="center"/>
          </w:tcPr>
          <w:p>
            <w:pPr>
              <w:spacing w:line="400" w:lineRule="exact"/>
              <w:textAlignment w:val="center"/>
              <w:rPr>
                <w:rFonts w:ascii="仿宋" w:hAnsi="仿宋" w:eastAsia="仿宋" w:cs="仿宋_GB2312"/>
                <w:sz w:val="24"/>
              </w:rPr>
            </w:pPr>
            <w:r>
              <w:rPr>
                <w:rFonts w:hint="eastAsia" w:ascii="仿宋" w:hAnsi="仿宋" w:eastAsia="仿宋" w:cs="仿宋_GB2312"/>
                <w:sz w:val="24"/>
              </w:rPr>
              <w:t>涉企案件实际执行到位率（%）</w:t>
            </w:r>
          </w:p>
        </w:tc>
        <w:tc>
          <w:tcPr>
            <w:tcW w:w="1167" w:type="dxa"/>
            <w:vAlign w:val="center"/>
          </w:tcPr>
          <w:p>
            <w:pPr>
              <w:spacing w:line="400" w:lineRule="exact"/>
              <w:jc w:val="center"/>
              <w:textAlignment w:val="center"/>
              <w:rPr>
                <w:rFonts w:ascii="仿宋" w:hAnsi="仿宋" w:eastAsia="仿宋" w:cs="仿宋_GB2312"/>
                <w:sz w:val="24"/>
              </w:rPr>
            </w:pPr>
            <w:r>
              <w:rPr>
                <w:rFonts w:hint="eastAsia" w:ascii="仿宋" w:hAnsi="仿宋" w:eastAsia="仿宋" w:cs="仿宋_GB2312"/>
                <w:sz w:val="24"/>
              </w:rPr>
              <w:t>3</w:t>
            </w:r>
            <w:r>
              <w:rPr>
                <w:rFonts w:ascii="仿宋" w:hAnsi="仿宋" w:eastAsia="仿宋" w:cs="仿宋_GB2312"/>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52" w:hRule="atLeast"/>
          <w:jc w:val="center"/>
        </w:trPr>
        <w:tc>
          <w:tcPr>
            <w:tcW w:w="1295" w:type="dxa"/>
            <w:vMerge w:val="continue"/>
            <w:vAlign w:val="center"/>
          </w:tcPr>
          <w:p>
            <w:pPr>
              <w:spacing w:line="400" w:lineRule="exact"/>
              <w:jc w:val="center"/>
              <w:textAlignment w:val="center"/>
              <w:rPr>
                <w:rFonts w:ascii="仿宋" w:hAnsi="仿宋" w:eastAsia="仿宋" w:cs="仿宋_GB2312"/>
                <w:kern w:val="0"/>
                <w:sz w:val="24"/>
              </w:rPr>
            </w:pPr>
          </w:p>
        </w:tc>
        <w:tc>
          <w:tcPr>
            <w:tcW w:w="6450" w:type="dxa"/>
            <w:vAlign w:val="center"/>
          </w:tcPr>
          <w:p>
            <w:pPr>
              <w:spacing w:line="400" w:lineRule="exact"/>
              <w:textAlignment w:val="center"/>
              <w:rPr>
                <w:rFonts w:ascii="仿宋" w:hAnsi="仿宋" w:eastAsia="仿宋" w:cs="仿宋_GB2312"/>
                <w:sz w:val="24"/>
              </w:rPr>
            </w:pPr>
            <w:r>
              <w:rPr>
                <w:rFonts w:hint="eastAsia" w:ascii="仿宋" w:hAnsi="仿宋" w:eastAsia="仿宋" w:cs="仿宋_GB2312"/>
                <w:sz w:val="24"/>
              </w:rPr>
              <w:t>劳动调解仲裁结案率（%）</w:t>
            </w:r>
          </w:p>
        </w:tc>
        <w:tc>
          <w:tcPr>
            <w:tcW w:w="1167" w:type="dxa"/>
            <w:vAlign w:val="center"/>
          </w:tcPr>
          <w:p>
            <w:pPr>
              <w:spacing w:line="400" w:lineRule="exact"/>
              <w:jc w:val="center"/>
              <w:textAlignment w:val="center"/>
              <w:rPr>
                <w:rFonts w:ascii="仿宋" w:hAnsi="仿宋" w:eastAsia="仿宋" w:cs="仿宋_GB2312"/>
                <w:sz w:val="24"/>
              </w:rPr>
            </w:pPr>
            <w:r>
              <w:rPr>
                <w:rFonts w:hint="eastAsia" w:ascii="仿宋" w:hAnsi="仿宋" w:eastAsia="仿宋" w:cs="仿宋_GB2312"/>
                <w:sz w:val="24"/>
              </w:rPr>
              <w:t>9</w:t>
            </w:r>
            <w:r>
              <w:rPr>
                <w:rFonts w:ascii="仿宋" w:hAnsi="仿宋" w:eastAsia="仿宋" w:cs="仿宋_GB2312"/>
                <w:sz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52" w:hRule="atLeast"/>
          <w:jc w:val="center"/>
        </w:trPr>
        <w:tc>
          <w:tcPr>
            <w:tcW w:w="1295" w:type="dxa"/>
            <w:vMerge w:val="continue"/>
            <w:vAlign w:val="center"/>
          </w:tcPr>
          <w:p>
            <w:pPr>
              <w:spacing w:line="400" w:lineRule="exact"/>
              <w:jc w:val="center"/>
              <w:textAlignment w:val="center"/>
              <w:rPr>
                <w:rFonts w:ascii="仿宋" w:hAnsi="仿宋" w:eastAsia="仿宋" w:cs="仿宋_GB2312"/>
                <w:kern w:val="0"/>
                <w:sz w:val="24"/>
              </w:rPr>
            </w:pPr>
          </w:p>
        </w:tc>
        <w:tc>
          <w:tcPr>
            <w:tcW w:w="6450" w:type="dxa"/>
            <w:vAlign w:val="center"/>
          </w:tcPr>
          <w:p>
            <w:pPr>
              <w:spacing w:line="400" w:lineRule="exact"/>
              <w:textAlignment w:val="center"/>
              <w:rPr>
                <w:rFonts w:ascii="仿宋" w:hAnsi="仿宋" w:eastAsia="仿宋" w:cs="仿宋_GB2312"/>
                <w:sz w:val="24"/>
              </w:rPr>
            </w:pPr>
            <w:r>
              <w:rPr>
                <w:rFonts w:hint="eastAsia" w:ascii="仿宋" w:hAnsi="仿宋" w:eastAsia="仿宋" w:cs="仿宋_GB2312"/>
                <w:sz w:val="24"/>
              </w:rPr>
              <w:t>债权回收率（%）</w:t>
            </w:r>
          </w:p>
        </w:tc>
        <w:tc>
          <w:tcPr>
            <w:tcW w:w="1167" w:type="dxa"/>
            <w:vAlign w:val="center"/>
          </w:tcPr>
          <w:p>
            <w:pPr>
              <w:spacing w:line="400" w:lineRule="exact"/>
              <w:jc w:val="center"/>
              <w:textAlignment w:val="center"/>
              <w:rPr>
                <w:rFonts w:ascii="仿宋" w:hAnsi="仿宋" w:eastAsia="仿宋" w:cs="仿宋_GB2312"/>
                <w:sz w:val="24"/>
              </w:rPr>
            </w:pPr>
            <w:r>
              <w:rPr>
                <w:rFonts w:hint="eastAsia" w:ascii="仿宋" w:hAnsi="仿宋" w:eastAsia="仿宋" w:cs="仿宋_GB2312"/>
                <w:sz w:val="24"/>
              </w:rPr>
              <w:t>5</w:t>
            </w:r>
            <w:r>
              <w:rPr>
                <w:rFonts w:ascii="仿宋" w:hAnsi="仿宋" w:eastAsia="仿宋" w:cs="仿宋_GB2312"/>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52" w:hRule="atLeast"/>
          <w:jc w:val="center"/>
        </w:trPr>
        <w:tc>
          <w:tcPr>
            <w:tcW w:w="1295" w:type="dxa"/>
            <w:vMerge w:val="continue"/>
            <w:vAlign w:val="center"/>
          </w:tcPr>
          <w:p>
            <w:pPr>
              <w:spacing w:line="400" w:lineRule="exact"/>
              <w:jc w:val="center"/>
              <w:textAlignment w:val="center"/>
              <w:rPr>
                <w:rFonts w:ascii="仿宋" w:hAnsi="仿宋" w:eastAsia="仿宋" w:cs="仿宋_GB2312"/>
                <w:kern w:val="0"/>
                <w:sz w:val="24"/>
              </w:rPr>
            </w:pPr>
          </w:p>
        </w:tc>
        <w:tc>
          <w:tcPr>
            <w:tcW w:w="6450" w:type="dxa"/>
            <w:vAlign w:val="center"/>
          </w:tcPr>
          <w:p>
            <w:pPr>
              <w:spacing w:line="400" w:lineRule="exact"/>
              <w:textAlignment w:val="center"/>
              <w:rPr>
                <w:rFonts w:ascii="仿宋" w:hAnsi="仿宋" w:eastAsia="仿宋" w:cs="仿宋_GB2312"/>
                <w:sz w:val="24"/>
              </w:rPr>
            </w:pPr>
            <w:r>
              <w:rPr>
                <w:rFonts w:hint="eastAsia" w:ascii="仿宋" w:hAnsi="仿宋" w:eastAsia="仿宋" w:cs="仿宋_GB2312"/>
                <w:sz w:val="24"/>
              </w:rPr>
              <w:t>“双随机、一公开”监管覆盖率</w:t>
            </w:r>
          </w:p>
        </w:tc>
        <w:tc>
          <w:tcPr>
            <w:tcW w:w="1167" w:type="dxa"/>
            <w:vAlign w:val="center"/>
          </w:tcPr>
          <w:p>
            <w:pPr>
              <w:spacing w:line="400" w:lineRule="exact"/>
              <w:jc w:val="center"/>
              <w:textAlignment w:val="center"/>
              <w:rPr>
                <w:rFonts w:ascii="仿宋" w:hAnsi="仿宋" w:eastAsia="仿宋" w:cs="仿宋_GB2312"/>
                <w:sz w:val="24"/>
              </w:rPr>
            </w:pPr>
            <w:r>
              <w:rPr>
                <w:rFonts w:ascii="仿宋" w:hAnsi="仿宋" w:eastAsia="仿宋" w:cs="仿宋_GB2312"/>
                <w:sz w:val="24"/>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0" w:hRule="atLeast"/>
          <w:jc w:val="center"/>
        </w:trPr>
        <w:tc>
          <w:tcPr>
            <w:tcW w:w="1295" w:type="dxa"/>
            <w:vMerge w:val="restart"/>
            <w:vAlign w:val="center"/>
          </w:tcPr>
          <w:p>
            <w:pPr>
              <w:spacing w:line="400" w:lineRule="exact"/>
              <w:jc w:val="center"/>
              <w:rPr>
                <w:rFonts w:ascii="仿宋" w:hAnsi="仿宋" w:eastAsia="仿宋" w:cs="仿宋_GB2312"/>
                <w:sz w:val="24"/>
              </w:rPr>
            </w:pPr>
            <w:r>
              <w:rPr>
                <w:rFonts w:ascii="仿宋" w:hAnsi="仿宋" w:eastAsia="仿宋" w:cs="仿宋_GB2312"/>
                <w:sz w:val="24"/>
              </w:rPr>
              <w:t>要素供给</w:t>
            </w:r>
          </w:p>
        </w:tc>
        <w:tc>
          <w:tcPr>
            <w:tcW w:w="6450" w:type="dxa"/>
            <w:vAlign w:val="center"/>
          </w:tcPr>
          <w:p>
            <w:pPr>
              <w:spacing w:line="400" w:lineRule="exact"/>
              <w:textAlignment w:val="center"/>
              <w:rPr>
                <w:rFonts w:ascii="仿宋" w:hAnsi="仿宋" w:eastAsia="仿宋" w:cs="仿宋_GB2312"/>
                <w:sz w:val="24"/>
              </w:rPr>
            </w:pPr>
            <w:r>
              <w:rPr>
                <w:rFonts w:hint="eastAsia" w:ascii="仿宋" w:hAnsi="仿宋" w:eastAsia="仿宋" w:cs="仿宋_GB2312"/>
                <w:sz w:val="24"/>
              </w:rPr>
              <w:t>新培养</w:t>
            </w:r>
            <w:r>
              <w:rPr>
                <w:rFonts w:ascii="仿宋" w:hAnsi="仿宋" w:eastAsia="仿宋" w:cs="仿宋_GB2312"/>
                <w:sz w:val="24"/>
              </w:rPr>
              <w:t>高技能人才</w:t>
            </w:r>
            <w:r>
              <w:rPr>
                <w:rFonts w:hint="eastAsia" w:ascii="仿宋" w:hAnsi="仿宋" w:eastAsia="仿宋" w:cs="仿宋_GB2312"/>
                <w:sz w:val="24"/>
              </w:rPr>
              <w:t>（万人）</w:t>
            </w:r>
          </w:p>
        </w:tc>
        <w:tc>
          <w:tcPr>
            <w:tcW w:w="1167" w:type="dxa"/>
            <w:vAlign w:val="center"/>
          </w:tcPr>
          <w:p>
            <w:pPr>
              <w:spacing w:line="400" w:lineRule="exact"/>
              <w:jc w:val="center"/>
              <w:textAlignment w:val="center"/>
              <w:rPr>
                <w:rFonts w:ascii="仿宋" w:hAnsi="仿宋" w:eastAsia="仿宋" w:cs="仿宋_GB2312"/>
                <w:kern w:val="0"/>
                <w:sz w:val="24"/>
              </w:rPr>
            </w:pPr>
            <w:r>
              <w:rPr>
                <w:rFonts w:ascii="仿宋" w:hAnsi="仿宋" w:eastAsia="仿宋" w:cs="仿宋_GB2312"/>
                <w:kern w:val="0"/>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0" w:hRule="atLeast"/>
          <w:jc w:val="center"/>
        </w:trPr>
        <w:tc>
          <w:tcPr>
            <w:tcW w:w="1295" w:type="dxa"/>
            <w:vMerge w:val="continue"/>
            <w:vAlign w:val="center"/>
          </w:tcPr>
          <w:p>
            <w:pPr>
              <w:spacing w:line="400" w:lineRule="exact"/>
              <w:rPr>
                <w:rFonts w:ascii="仿宋" w:hAnsi="仿宋" w:eastAsia="仿宋" w:cs="仿宋_GB2312"/>
                <w:sz w:val="24"/>
              </w:rPr>
            </w:pPr>
          </w:p>
        </w:tc>
        <w:tc>
          <w:tcPr>
            <w:tcW w:w="6450" w:type="dxa"/>
            <w:vAlign w:val="center"/>
          </w:tcPr>
          <w:p>
            <w:pPr>
              <w:spacing w:line="400" w:lineRule="exact"/>
              <w:textAlignment w:val="center"/>
              <w:rPr>
                <w:rFonts w:ascii="仿宋" w:hAnsi="仿宋" w:eastAsia="仿宋" w:cs="仿宋_GB2312"/>
                <w:sz w:val="24"/>
              </w:rPr>
            </w:pPr>
            <w:r>
              <w:rPr>
                <w:rFonts w:hint="eastAsia" w:ascii="仿宋" w:hAnsi="仿宋" w:eastAsia="仿宋" w:cs="仿宋_GB2312"/>
                <w:sz w:val="24"/>
              </w:rPr>
              <w:t>中小微企业信用贷款占比（%）</w:t>
            </w:r>
          </w:p>
        </w:tc>
        <w:tc>
          <w:tcPr>
            <w:tcW w:w="1167" w:type="dxa"/>
            <w:vAlign w:val="center"/>
          </w:tcPr>
          <w:p>
            <w:pPr>
              <w:spacing w:line="400" w:lineRule="exact"/>
              <w:jc w:val="center"/>
              <w:textAlignment w:val="center"/>
              <w:rPr>
                <w:rFonts w:ascii="仿宋" w:hAnsi="仿宋" w:eastAsia="仿宋" w:cs="仿宋_GB2312"/>
                <w:kern w:val="0"/>
                <w:sz w:val="24"/>
              </w:rPr>
            </w:pPr>
            <w:r>
              <w:rPr>
                <w:rFonts w:hint="eastAsia" w:ascii="仿宋" w:hAnsi="仿宋" w:eastAsia="仿宋" w:cs="仿宋_GB2312"/>
                <w:kern w:val="0"/>
                <w:sz w:val="24"/>
              </w:rPr>
              <w:t>2</w:t>
            </w:r>
            <w:r>
              <w:rPr>
                <w:rFonts w:ascii="仿宋" w:hAnsi="仿宋" w:eastAsia="仿宋" w:cs="仿宋_GB2312"/>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0" w:hRule="atLeast"/>
          <w:jc w:val="center"/>
        </w:trPr>
        <w:tc>
          <w:tcPr>
            <w:tcW w:w="1295" w:type="dxa"/>
            <w:vMerge w:val="continue"/>
            <w:vAlign w:val="center"/>
          </w:tcPr>
          <w:p>
            <w:pPr>
              <w:spacing w:line="400" w:lineRule="exact"/>
              <w:rPr>
                <w:rFonts w:ascii="仿宋" w:hAnsi="仿宋" w:eastAsia="仿宋" w:cs="仿宋_GB2312"/>
                <w:sz w:val="24"/>
              </w:rPr>
            </w:pPr>
          </w:p>
        </w:tc>
        <w:tc>
          <w:tcPr>
            <w:tcW w:w="6450" w:type="dxa"/>
            <w:vAlign w:val="center"/>
          </w:tcPr>
          <w:p>
            <w:pPr>
              <w:spacing w:line="400" w:lineRule="exact"/>
              <w:textAlignment w:val="center"/>
              <w:rPr>
                <w:rFonts w:ascii="仿宋" w:hAnsi="仿宋" w:eastAsia="仿宋" w:cs="仿宋_GB2312"/>
                <w:sz w:val="24"/>
              </w:rPr>
            </w:pPr>
            <w:r>
              <w:rPr>
                <w:rFonts w:hint="eastAsia" w:ascii="仿宋" w:hAnsi="仿宋" w:eastAsia="仿宋" w:cs="仿宋_GB2312"/>
                <w:sz w:val="24"/>
              </w:rPr>
              <w:t>年技术合同成交额（亿元）</w:t>
            </w:r>
          </w:p>
        </w:tc>
        <w:tc>
          <w:tcPr>
            <w:tcW w:w="1167" w:type="dxa"/>
            <w:vAlign w:val="center"/>
          </w:tcPr>
          <w:p>
            <w:pPr>
              <w:spacing w:line="400" w:lineRule="exact"/>
              <w:jc w:val="center"/>
              <w:textAlignment w:val="center"/>
              <w:rPr>
                <w:rFonts w:ascii="仿宋" w:hAnsi="仿宋" w:eastAsia="仿宋" w:cs="仿宋_GB2312"/>
                <w:kern w:val="0"/>
                <w:sz w:val="24"/>
              </w:rPr>
            </w:pPr>
            <w:r>
              <w:rPr>
                <w:rFonts w:hint="eastAsia" w:ascii="仿宋" w:hAnsi="仿宋" w:eastAsia="仿宋" w:cs="仿宋_GB2312"/>
                <w:kern w:val="0"/>
                <w:sz w:val="24"/>
              </w:rPr>
              <w:t>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52" w:hRule="atLeast"/>
          <w:jc w:val="center"/>
        </w:trPr>
        <w:tc>
          <w:tcPr>
            <w:tcW w:w="1295" w:type="dxa"/>
            <w:vMerge w:val="continue"/>
            <w:vAlign w:val="center"/>
          </w:tcPr>
          <w:p>
            <w:pPr>
              <w:spacing w:line="400" w:lineRule="exact"/>
              <w:rPr>
                <w:rFonts w:ascii="仿宋" w:hAnsi="仿宋" w:eastAsia="仿宋" w:cs="仿宋_GB2312"/>
                <w:sz w:val="24"/>
              </w:rPr>
            </w:pPr>
          </w:p>
        </w:tc>
        <w:tc>
          <w:tcPr>
            <w:tcW w:w="6450" w:type="dxa"/>
            <w:vAlign w:val="center"/>
          </w:tcPr>
          <w:p>
            <w:pPr>
              <w:spacing w:line="400" w:lineRule="exact"/>
              <w:textAlignment w:val="center"/>
              <w:rPr>
                <w:rFonts w:ascii="仿宋" w:hAnsi="仿宋" w:eastAsia="仿宋" w:cs="仿宋_GB2312"/>
                <w:sz w:val="24"/>
              </w:rPr>
            </w:pPr>
            <w:r>
              <w:rPr>
                <w:rFonts w:hint="eastAsia" w:ascii="仿宋" w:hAnsi="仿宋" w:eastAsia="仿宋" w:cs="仿宋_GB2312"/>
                <w:sz w:val="24"/>
              </w:rPr>
              <w:t>社会物流总费用占国内生产总值比例（%）</w:t>
            </w:r>
          </w:p>
        </w:tc>
        <w:tc>
          <w:tcPr>
            <w:tcW w:w="1167" w:type="dxa"/>
            <w:vAlign w:val="center"/>
          </w:tcPr>
          <w:p>
            <w:pPr>
              <w:spacing w:line="400" w:lineRule="exact"/>
              <w:jc w:val="center"/>
              <w:textAlignment w:val="center"/>
              <w:rPr>
                <w:rFonts w:ascii="仿宋" w:hAnsi="仿宋" w:eastAsia="仿宋" w:cs="仿宋_GB2312"/>
                <w:kern w:val="0"/>
                <w:sz w:val="24"/>
              </w:rPr>
            </w:pPr>
            <w:r>
              <w:rPr>
                <w:rFonts w:hint="eastAsia" w:ascii="仿宋" w:hAnsi="仿宋" w:eastAsia="仿宋" w:cs="仿宋_GB2312"/>
                <w:kern w:val="0"/>
                <w:sz w:val="24"/>
              </w:rPr>
              <w:t>1</w:t>
            </w:r>
            <w:r>
              <w:rPr>
                <w:rFonts w:ascii="仿宋" w:hAnsi="仿宋" w:eastAsia="仿宋" w:cs="仿宋_GB2312"/>
                <w:kern w:val="0"/>
                <w:sz w:val="24"/>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52" w:hRule="atLeast"/>
          <w:jc w:val="center"/>
        </w:trPr>
        <w:tc>
          <w:tcPr>
            <w:tcW w:w="1295" w:type="dxa"/>
            <w:vMerge w:val="continue"/>
            <w:vAlign w:val="center"/>
          </w:tcPr>
          <w:p>
            <w:pPr>
              <w:spacing w:line="400" w:lineRule="exact"/>
              <w:rPr>
                <w:rFonts w:ascii="仿宋" w:hAnsi="仿宋" w:eastAsia="仿宋" w:cs="仿宋_GB2312"/>
                <w:sz w:val="24"/>
              </w:rPr>
            </w:pPr>
          </w:p>
        </w:tc>
        <w:tc>
          <w:tcPr>
            <w:tcW w:w="6450" w:type="dxa"/>
            <w:vAlign w:val="center"/>
          </w:tcPr>
          <w:p>
            <w:pPr>
              <w:spacing w:line="400" w:lineRule="exact"/>
              <w:textAlignment w:val="center"/>
              <w:rPr>
                <w:rFonts w:ascii="仿宋" w:hAnsi="仿宋" w:eastAsia="仿宋" w:cs="仿宋_GB2312"/>
                <w:sz w:val="24"/>
              </w:rPr>
            </w:pPr>
            <w:r>
              <w:rPr>
                <w:rFonts w:hint="eastAsia" w:ascii="仿宋" w:hAnsi="仿宋" w:eastAsia="仿宋" w:cs="仿宋_GB2312"/>
                <w:sz w:val="24"/>
              </w:rPr>
              <w:t>每千人拥有职业（助理）医师（人）</w:t>
            </w:r>
          </w:p>
        </w:tc>
        <w:tc>
          <w:tcPr>
            <w:tcW w:w="1167" w:type="dxa"/>
            <w:vAlign w:val="center"/>
          </w:tcPr>
          <w:p>
            <w:pPr>
              <w:spacing w:line="400" w:lineRule="exact"/>
              <w:jc w:val="center"/>
              <w:textAlignment w:val="center"/>
              <w:rPr>
                <w:rFonts w:ascii="仿宋" w:hAnsi="仿宋" w:eastAsia="仿宋" w:cs="仿宋_GB2312"/>
                <w:kern w:val="0"/>
                <w:sz w:val="24"/>
              </w:rPr>
            </w:pPr>
            <w:r>
              <w:rPr>
                <w:rFonts w:hint="eastAsia" w:ascii="仿宋" w:hAnsi="仿宋" w:eastAsia="仿宋" w:cs="仿宋_GB2312"/>
                <w:kern w:val="0"/>
                <w:sz w:val="24"/>
              </w:rPr>
              <w:t>3</w:t>
            </w:r>
            <w:r>
              <w:rPr>
                <w:rFonts w:ascii="仿宋" w:hAnsi="仿宋" w:eastAsia="仿宋" w:cs="仿宋_GB2312"/>
                <w:kern w:val="0"/>
                <w:sz w:val="24"/>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52" w:hRule="atLeast"/>
          <w:jc w:val="center"/>
        </w:trPr>
        <w:tc>
          <w:tcPr>
            <w:tcW w:w="1295" w:type="dxa"/>
            <w:vMerge w:val="continue"/>
            <w:vAlign w:val="center"/>
          </w:tcPr>
          <w:p>
            <w:pPr>
              <w:spacing w:line="400" w:lineRule="exact"/>
              <w:rPr>
                <w:rFonts w:ascii="仿宋" w:hAnsi="仿宋" w:eastAsia="仿宋" w:cs="仿宋_GB2312"/>
                <w:sz w:val="24"/>
              </w:rPr>
            </w:pPr>
          </w:p>
        </w:tc>
        <w:tc>
          <w:tcPr>
            <w:tcW w:w="6450" w:type="dxa"/>
            <w:vAlign w:val="center"/>
          </w:tcPr>
          <w:p>
            <w:pPr>
              <w:spacing w:line="400" w:lineRule="exact"/>
              <w:textAlignment w:val="center"/>
              <w:rPr>
                <w:rFonts w:ascii="仿宋" w:hAnsi="仿宋" w:eastAsia="仿宋" w:cs="仿宋_GB2312"/>
                <w:sz w:val="24"/>
              </w:rPr>
            </w:pPr>
            <w:r>
              <w:rPr>
                <w:rFonts w:hint="eastAsia" w:ascii="仿宋" w:hAnsi="仿宋" w:eastAsia="仿宋" w:cs="仿宋_GB2312"/>
                <w:sz w:val="24"/>
              </w:rPr>
              <w:t>文化馆、图书馆服务人数增长率（%）</w:t>
            </w:r>
          </w:p>
        </w:tc>
        <w:tc>
          <w:tcPr>
            <w:tcW w:w="1167" w:type="dxa"/>
            <w:vAlign w:val="center"/>
          </w:tcPr>
          <w:p>
            <w:pPr>
              <w:spacing w:line="400" w:lineRule="exact"/>
              <w:jc w:val="center"/>
              <w:textAlignment w:val="center"/>
              <w:rPr>
                <w:rFonts w:ascii="仿宋" w:hAnsi="仿宋" w:eastAsia="仿宋" w:cs="仿宋_GB2312"/>
                <w:kern w:val="0"/>
                <w:sz w:val="24"/>
              </w:rPr>
            </w:pPr>
            <w:r>
              <w:rPr>
                <w:rFonts w:hint="eastAsia" w:ascii="仿宋" w:hAnsi="仿宋" w:eastAsia="仿宋" w:cs="仿宋_GB2312"/>
                <w:kern w:val="0"/>
                <w:sz w:val="24"/>
              </w:rPr>
              <w:t>1</w:t>
            </w:r>
            <w:r>
              <w:rPr>
                <w:rFonts w:ascii="仿宋" w:hAnsi="仿宋" w:eastAsia="仿宋" w:cs="仿宋_GB2312"/>
                <w:kern w:val="0"/>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52" w:hRule="atLeast"/>
          <w:jc w:val="center"/>
        </w:trPr>
        <w:tc>
          <w:tcPr>
            <w:tcW w:w="1295" w:type="dxa"/>
            <w:vMerge w:val="continue"/>
            <w:vAlign w:val="center"/>
          </w:tcPr>
          <w:p>
            <w:pPr>
              <w:spacing w:line="400" w:lineRule="exact"/>
              <w:rPr>
                <w:rFonts w:ascii="仿宋" w:hAnsi="仿宋" w:eastAsia="仿宋" w:cs="仿宋_GB2312"/>
                <w:sz w:val="24"/>
              </w:rPr>
            </w:pPr>
          </w:p>
        </w:tc>
        <w:tc>
          <w:tcPr>
            <w:tcW w:w="6450" w:type="dxa"/>
            <w:vAlign w:val="center"/>
          </w:tcPr>
          <w:p>
            <w:pPr>
              <w:spacing w:line="400" w:lineRule="exact"/>
              <w:textAlignment w:val="center"/>
              <w:rPr>
                <w:rFonts w:ascii="仿宋" w:hAnsi="仿宋" w:eastAsia="仿宋" w:cs="仿宋_GB2312"/>
                <w:sz w:val="24"/>
              </w:rPr>
            </w:pPr>
            <w:r>
              <w:rPr>
                <w:rFonts w:hint="eastAsia" w:ascii="仿宋" w:hAnsi="仿宋" w:eastAsia="仿宋" w:cs="仿宋_GB2312"/>
                <w:sz w:val="24"/>
              </w:rPr>
              <w:t>人均公园绿地面积（平方米）</w:t>
            </w:r>
          </w:p>
        </w:tc>
        <w:tc>
          <w:tcPr>
            <w:tcW w:w="1167" w:type="dxa"/>
            <w:vAlign w:val="center"/>
          </w:tcPr>
          <w:p>
            <w:pPr>
              <w:spacing w:line="400" w:lineRule="exact"/>
              <w:jc w:val="center"/>
              <w:textAlignment w:val="center"/>
              <w:rPr>
                <w:rFonts w:ascii="仿宋" w:hAnsi="仿宋" w:eastAsia="仿宋" w:cs="仿宋_GB2312"/>
                <w:kern w:val="0"/>
                <w:sz w:val="24"/>
              </w:rPr>
            </w:pPr>
            <w:r>
              <w:rPr>
                <w:rFonts w:hint="eastAsia" w:ascii="仿宋" w:hAnsi="仿宋" w:eastAsia="仿宋" w:cs="仿宋_GB2312"/>
                <w:kern w:val="0"/>
                <w:sz w:val="24"/>
              </w:rPr>
              <w:t>1</w:t>
            </w:r>
            <w:r>
              <w:rPr>
                <w:rFonts w:ascii="仿宋" w:hAnsi="仿宋" w:eastAsia="仿宋" w:cs="仿宋_GB2312"/>
                <w:kern w:val="0"/>
                <w:sz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52" w:hRule="atLeast"/>
          <w:jc w:val="center"/>
        </w:trPr>
        <w:tc>
          <w:tcPr>
            <w:tcW w:w="8912" w:type="dxa"/>
            <w:gridSpan w:val="3"/>
            <w:vAlign w:val="center"/>
          </w:tcPr>
          <w:p>
            <w:pPr>
              <w:spacing w:line="400" w:lineRule="exact"/>
              <w:textAlignment w:val="center"/>
              <w:rPr>
                <w:rFonts w:ascii="仿宋" w:hAnsi="仿宋" w:eastAsia="仿宋" w:cs="仿宋_GB2312"/>
                <w:kern w:val="0"/>
                <w:sz w:val="24"/>
              </w:rPr>
            </w:pPr>
            <w:r>
              <w:rPr>
                <w:rFonts w:hint="eastAsia" w:ascii="仿宋" w:hAnsi="仿宋" w:eastAsia="仿宋" w:cs="仿宋_GB2312"/>
                <w:kern w:val="0"/>
                <w:sz w:val="24"/>
              </w:rPr>
              <w:t>备注：[</w:t>
            </w:r>
            <w:r>
              <w:rPr>
                <w:rFonts w:ascii="仿宋" w:hAnsi="仿宋" w:eastAsia="仿宋" w:cs="仿宋_GB2312"/>
                <w:kern w:val="0"/>
                <w:sz w:val="24"/>
              </w:rPr>
              <w:t xml:space="preserve"> ]</w:t>
            </w:r>
            <w:r>
              <w:rPr>
                <w:rFonts w:hint="eastAsia" w:ascii="仿宋" w:hAnsi="仿宋" w:eastAsia="仿宋" w:cs="仿宋_GB2312"/>
                <w:kern w:val="0"/>
                <w:sz w:val="24"/>
              </w:rPr>
              <w:t>为“十四五”期间累计数。</w:t>
            </w:r>
          </w:p>
        </w:tc>
      </w:tr>
    </w:tbl>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23"/>
        <w:gridCol w:w="6034"/>
        <w:gridCol w:w="146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8823" w:type="dxa"/>
            <w:gridSpan w:val="3"/>
            <w:vAlign w:val="center"/>
          </w:tcPr>
          <w:p>
            <w:pPr>
              <w:jc w:val="center"/>
              <w:textAlignment w:val="center"/>
              <w:rPr>
                <w:rFonts w:ascii="仿宋" w:hAnsi="仿宋" w:eastAsia="仿宋" w:cs="黑体"/>
                <w:sz w:val="24"/>
              </w:rPr>
            </w:pPr>
            <w:r>
              <w:rPr>
                <w:rFonts w:hint="eastAsia" w:ascii="Times New Roman" w:hAnsi="Times New Roman" w:eastAsia="黑体" w:cs="黑体"/>
                <w:kern w:val="0"/>
                <w:sz w:val="28"/>
                <w:szCs w:val="28"/>
              </w:rPr>
              <w:t>表</w:t>
            </w:r>
            <w:r>
              <w:rPr>
                <w:rFonts w:ascii="Times New Roman" w:hAnsi="Times New Roman" w:eastAsia="黑体" w:cs="黑体"/>
                <w:kern w:val="0"/>
                <w:sz w:val="28"/>
                <w:szCs w:val="28"/>
              </w:rPr>
              <w:t>2</w:t>
            </w:r>
            <w:r>
              <w:rPr>
                <w:rFonts w:hint="eastAsia" w:ascii="Times New Roman" w:hAnsi="Times New Roman" w:eastAsia="黑体" w:cs="黑体"/>
                <w:kern w:val="0"/>
                <w:sz w:val="28"/>
                <w:szCs w:val="28"/>
              </w:rPr>
              <w:t>：</w:t>
            </w:r>
            <w:r>
              <w:rPr>
                <w:rFonts w:hint="eastAsia" w:ascii="Times New Roman" w:hAnsi="Times New Roman" w:eastAsia="黑体" w:cs="黑体"/>
                <w:sz w:val="28"/>
                <w:szCs w:val="28"/>
              </w:rPr>
              <w:t>“十四五”时期南阳社会信用体系建设主要指标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323" w:type="dxa"/>
            <w:vAlign w:val="center"/>
          </w:tcPr>
          <w:p>
            <w:pPr>
              <w:jc w:val="center"/>
              <w:textAlignment w:val="center"/>
              <w:rPr>
                <w:rFonts w:ascii="黑体" w:hAnsi="黑体" w:eastAsia="黑体" w:cs="黑体"/>
                <w:sz w:val="24"/>
              </w:rPr>
            </w:pPr>
            <w:r>
              <w:rPr>
                <w:rFonts w:hint="eastAsia" w:ascii="黑体" w:hAnsi="黑体" w:eastAsia="黑体" w:cs="黑体"/>
                <w:sz w:val="24"/>
              </w:rPr>
              <w:t>类 别</w:t>
            </w:r>
          </w:p>
        </w:tc>
        <w:tc>
          <w:tcPr>
            <w:tcW w:w="6034" w:type="dxa"/>
            <w:vAlign w:val="center"/>
          </w:tcPr>
          <w:p>
            <w:pPr>
              <w:jc w:val="center"/>
              <w:textAlignment w:val="center"/>
              <w:rPr>
                <w:rFonts w:ascii="黑体" w:hAnsi="黑体" w:eastAsia="黑体" w:cs="黑体"/>
                <w:sz w:val="24"/>
              </w:rPr>
            </w:pPr>
            <w:r>
              <w:rPr>
                <w:rFonts w:hint="eastAsia" w:ascii="黑体" w:hAnsi="黑体" w:eastAsia="黑体" w:cs="黑体"/>
                <w:kern w:val="0"/>
                <w:sz w:val="24"/>
              </w:rPr>
              <w:t>主要</w:t>
            </w:r>
            <w:r>
              <w:rPr>
                <w:rFonts w:hint="eastAsia" w:ascii="黑体" w:hAnsi="黑体" w:eastAsia="黑体" w:cs="黑体"/>
                <w:sz w:val="24"/>
              </w:rPr>
              <w:t>指标</w:t>
            </w:r>
          </w:p>
        </w:tc>
        <w:tc>
          <w:tcPr>
            <w:tcW w:w="1466" w:type="dxa"/>
            <w:vAlign w:val="center"/>
          </w:tcPr>
          <w:p>
            <w:pPr>
              <w:jc w:val="center"/>
              <w:textAlignment w:val="center"/>
              <w:rPr>
                <w:rFonts w:ascii="黑体" w:hAnsi="黑体" w:eastAsia="黑体" w:cs="黑体"/>
                <w:sz w:val="24"/>
              </w:rPr>
            </w:pPr>
            <w:r>
              <w:rPr>
                <w:rFonts w:hint="eastAsia" w:ascii="黑体" w:hAnsi="黑体" w:eastAsia="黑体" w:cs="黑体"/>
                <w:sz w:val="24"/>
              </w:rPr>
              <w:t>2025年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4" w:hRule="exact"/>
          <w:jc w:val="center"/>
        </w:trPr>
        <w:tc>
          <w:tcPr>
            <w:tcW w:w="1323" w:type="dxa"/>
            <w:vMerge w:val="restart"/>
            <w:vAlign w:val="center"/>
          </w:tcPr>
          <w:p>
            <w:pPr>
              <w:jc w:val="left"/>
              <w:textAlignment w:val="center"/>
              <w:rPr>
                <w:rFonts w:ascii="仿宋" w:hAnsi="仿宋" w:eastAsia="仿宋" w:cs="仿宋_GB2312"/>
                <w:sz w:val="24"/>
              </w:rPr>
            </w:pPr>
            <w:r>
              <w:rPr>
                <w:rFonts w:hint="eastAsia" w:ascii="仿宋" w:hAnsi="仿宋" w:eastAsia="仿宋" w:cs="仿宋_GB2312"/>
                <w:sz w:val="24"/>
              </w:rPr>
              <w:t>信用信息</w:t>
            </w:r>
          </w:p>
        </w:tc>
        <w:tc>
          <w:tcPr>
            <w:tcW w:w="6034" w:type="dxa"/>
            <w:vAlign w:val="center"/>
          </w:tcPr>
          <w:p>
            <w:pPr>
              <w:textAlignment w:val="center"/>
              <w:rPr>
                <w:rFonts w:ascii="仿宋" w:hAnsi="仿宋" w:eastAsia="仿宋" w:cs="仿宋_GB2312"/>
                <w:sz w:val="24"/>
              </w:rPr>
            </w:pPr>
            <w:r>
              <w:rPr>
                <w:rFonts w:hint="eastAsia" w:ascii="仿宋" w:hAnsi="仿宋" w:eastAsia="仿宋" w:cs="仿宋_GB2312"/>
                <w:sz w:val="24"/>
              </w:rPr>
              <w:t>信用信息总量</w:t>
            </w:r>
            <w:r>
              <w:rPr>
                <w:rFonts w:ascii="仿宋" w:hAnsi="仿宋" w:eastAsia="仿宋" w:cs="仿宋_GB2312"/>
                <w:sz w:val="24"/>
              </w:rPr>
              <w:t>（</w:t>
            </w:r>
            <w:r>
              <w:rPr>
                <w:rFonts w:hint="eastAsia" w:ascii="仿宋" w:hAnsi="仿宋" w:eastAsia="仿宋" w:cs="仿宋_GB2312"/>
                <w:sz w:val="24"/>
              </w:rPr>
              <w:t>亿条</w:t>
            </w:r>
            <w:r>
              <w:rPr>
                <w:rFonts w:ascii="仿宋" w:hAnsi="仿宋" w:eastAsia="仿宋" w:cs="仿宋_GB2312"/>
                <w:sz w:val="24"/>
              </w:rPr>
              <w:t>）</w:t>
            </w:r>
          </w:p>
        </w:tc>
        <w:tc>
          <w:tcPr>
            <w:tcW w:w="1466"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9" w:hRule="exact"/>
          <w:jc w:val="center"/>
        </w:trPr>
        <w:tc>
          <w:tcPr>
            <w:tcW w:w="1323" w:type="dxa"/>
            <w:vMerge w:val="continue"/>
            <w:vAlign w:val="center"/>
          </w:tcPr>
          <w:p>
            <w:pPr>
              <w:textAlignment w:val="center"/>
              <w:rPr>
                <w:rFonts w:ascii="仿宋" w:hAnsi="仿宋" w:eastAsia="仿宋" w:cs="仿宋_GB2312"/>
                <w:sz w:val="24"/>
              </w:rPr>
            </w:pPr>
          </w:p>
        </w:tc>
        <w:tc>
          <w:tcPr>
            <w:tcW w:w="6034" w:type="dxa"/>
            <w:vAlign w:val="center"/>
          </w:tcPr>
          <w:p>
            <w:pPr>
              <w:textAlignment w:val="center"/>
              <w:rPr>
                <w:rFonts w:ascii="仿宋" w:hAnsi="仿宋" w:eastAsia="仿宋" w:cs="仿宋_GB2312"/>
                <w:sz w:val="24"/>
              </w:rPr>
            </w:pPr>
            <w:r>
              <w:rPr>
                <w:rFonts w:hint="eastAsia" w:ascii="仿宋" w:hAnsi="仿宋" w:eastAsia="仿宋" w:cs="仿宋_GB2312"/>
                <w:sz w:val="24"/>
              </w:rPr>
              <w:t>公共信用信息目录覆盖率</w:t>
            </w:r>
            <w:r>
              <w:rPr>
                <w:rFonts w:ascii="仿宋" w:hAnsi="仿宋" w:eastAsia="仿宋" w:cs="仿宋_GB2312"/>
                <w:sz w:val="24"/>
              </w:rPr>
              <w:t>（%）</w:t>
            </w:r>
          </w:p>
        </w:tc>
        <w:tc>
          <w:tcPr>
            <w:tcW w:w="1466"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7" w:hRule="exact"/>
          <w:jc w:val="center"/>
        </w:trPr>
        <w:tc>
          <w:tcPr>
            <w:tcW w:w="1323" w:type="dxa"/>
            <w:vMerge w:val="continue"/>
            <w:vAlign w:val="center"/>
          </w:tcPr>
          <w:p>
            <w:pPr>
              <w:textAlignment w:val="center"/>
              <w:rPr>
                <w:rFonts w:ascii="仿宋" w:hAnsi="仿宋" w:eastAsia="仿宋" w:cs="仿宋_GB2312"/>
                <w:sz w:val="24"/>
              </w:rPr>
            </w:pPr>
          </w:p>
        </w:tc>
        <w:tc>
          <w:tcPr>
            <w:tcW w:w="6034" w:type="dxa"/>
            <w:vAlign w:val="center"/>
          </w:tcPr>
          <w:p>
            <w:pPr>
              <w:textAlignment w:val="center"/>
              <w:rPr>
                <w:rFonts w:ascii="仿宋" w:hAnsi="仿宋" w:eastAsia="仿宋" w:cs="仿宋_GB2312"/>
                <w:sz w:val="24"/>
              </w:rPr>
            </w:pPr>
            <w:r>
              <w:rPr>
                <w:rFonts w:hint="eastAsia" w:ascii="仿宋" w:hAnsi="仿宋" w:eastAsia="仿宋" w:cs="仿宋_GB2312"/>
                <w:sz w:val="24"/>
              </w:rPr>
              <w:t>“双公示”信用信息合规率</w:t>
            </w:r>
            <w:r>
              <w:rPr>
                <w:rFonts w:ascii="仿宋" w:hAnsi="仿宋" w:eastAsia="仿宋" w:cs="仿宋_GB2312"/>
                <w:sz w:val="24"/>
              </w:rPr>
              <w:t>（%）</w:t>
            </w:r>
          </w:p>
        </w:tc>
        <w:tc>
          <w:tcPr>
            <w:tcW w:w="1466"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exact"/>
          <w:jc w:val="center"/>
        </w:trPr>
        <w:tc>
          <w:tcPr>
            <w:tcW w:w="1323" w:type="dxa"/>
            <w:vMerge w:val="continue"/>
            <w:vAlign w:val="center"/>
          </w:tcPr>
          <w:p>
            <w:pPr>
              <w:textAlignment w:val="center"/>
              <w:rPr>
                <w:rFonts w:ascii="仿宋" w:hAnsi="仿宋" w:eastAsia="仿宋" w:cs="仿宋_GB2312"/>
                <w:sz w:val="24"/>
              </w:rPr>
            </w:pPr>
          </w:p>
        </w:tc>
        <w:tc>
          <w:tcPr>
            <w:tcW w:w="6034" w:type="dxa"/>
            <w:vAlign w:val="center"/>
          </w:tcPr>
          <w:p>
            <w:pPr>
              <w:textAlignment w:val="center"/>
              <w:rPr>
                <w:rFonts w:ascii="仿宋" w:hAnsi="仿宋" w:eastAsia="仿宋" w:cs="仿宋_GB2312"/>
                <w:sz w:val="24"/>
              </w:rPr>
            </w:pPr>
            <w:r>
              <w:rPr>
                <w:rFonts w:hint="eastAsia" w:ascii="仿宋" w:hAnsi="仿宋" w:eastAsia="仿宋" w:cs="仿宋_GB2312"/>
                <w:sz w:val="24"/>
              </w:rPr>
              <w:t>“双公示”信用信息上报率</w:t>
            </w:r>
            <w:r>
              <w:rPr>
                <w:rFonts w:ascii="仿宋" w:hAnsi="仿宋" w:eastAsia="仿宋" w:cs="仿宋_GB2312"/>
                <w:sz w:val="24"/>
              </w:rPr>
              <w:t>（%）</w:t>
            </w:r>
          </w:p>
        </w:tc>
        <w:tc>
          <w:tcPr>
            <w:tcW w:w="1466"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7" w:hRule="exact"/>
          <w:jc w:val="center"/>
        </w:trPr>
        <w:tc>
          <w:tcPr>
            <w:tcW w:w="1323" w:type="dxa"/>
            <w:vMerge w:val="continue"/>
            <w:vAlign w:val="center"/>
          </w:tcPr>
          <w:p>
            <w:pPr>
              <w:textAlignment w:val="center"/>
              <w:rPr>
                <w:rFonts w:ascii="仿宋" w:hAnsi="仿宋" w:eastAsia="仿宋" w:cs="仿宋_GB2312"/>
                <w:sz w:val="24"/>
              </w:rPr>
            </w:pPr>
          </w:p>
        </w:tc>
        <w:tc>
          <w:tcPr>
            <w:tcW w:w="6034" w:type="dxa"/>
            <w:vAlign w:val="center"/>
          </w:tcPr>
          <w:p>
            <w:pPr>
              <w:textAlignment w:val="center"/>
              <w:rPr>
                <w:rFonts w:ascii="仿宋" w:hAnsi="仿宋" w:eastAsia="仿宋" w:cs="仿宋_GB2312"/>
                <w:sz w:val="24"/>
              </w:rPr>
            </w:pPr>
            <w:r>
              <w:rPr>
                <w:rFonts w:hint="eastAsia" w:ascii="仿宋" w:hAnsi="仿宋" w:eastAsia="仿宋" w:cs="仿宋_GB2312"/>
                <w:sz w:val="24"/>
              </w:rPr>
              <w:t>“双公示”信用信息及时率</w:t>
            </w:r>
            <w:r>
              <w:rPr>
                <w:rFonts w:ascii="仿宋" w:hAnsi="仿宋" w:eastAsia="仿宋" w:cs="仿宋_GB2312"/>
                <w:sz w:val="24"/>
              </w:rPr>
              <w:t>（%）</w:t>
            </w:r>
          </w:p>
        </w:tc>
        <w:tc>
          <w:tcPr>
            <w:tcW w:w="1466"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323" w:type="dxa"/>
            <w:vAlign w:val="center"/>
          </w:tcPr>
          <w:p>
            <w:pPr>
              <w:jc w:val="center"/>
              <w:textAlignment w:val="center"/>
              <w:rPr>
                <w:rFonts w:ascii="黑体" w:hAnsi="黑体" w:eastAsia="黑体" w:cs="黑体"/>
                <w:sz w:val="24"/>
              </w:rPr>
            </w:pPr>
            <w:r>
              <w:rPr>
                <w:rFonts w:hint="eastAsia" w:ascii="黑体" w:hAnsi="黑体" w:eastAsia="黑体" w:cs="黑体"/>
                <w:sz w:val="24"/>
              </w:rPr>
              <w:t>类 别</w:t>
            </w:r>
          </w:p>
        </w:tc>
        <w:tc>
          <w:tcPr>
            <w:tcW w:w="6034" w:type="dxa"/>
            <w:vAlign w:val="center"/>
          </w:tcPr>
          <w:p>
            <w:pPr>
              <w:jc w:val="center"/>
              <w:textAlignment w:val="center"/>
              <w:rPr>
                <w:rFonts w:ascii="黑体" w:hAnsi="黑体" w:eastAsia="黑体" w:cs="黑体"/>
                <w:sz w:val="24"/>
              </w:rPr>
            </w:pPr>
            <w:r>
              <w:rPr>
                <w:rFonts w:hint="eastAsia" w:ascii="黑体" w:hAnsi="黑体" w:eastAsia="黑体" w:cs="黑体"/>
                <w:kern w:val="0"/>
                <w:sz w:val="24"/>
              </w:rPr>
              <w:t>主要</w:t>
            </w:r>
            <w:r>
              <w:rPr>
                <w:rFonts w:hint="eastAsia" w:ascii="黑体" w:hAnsi="黑体" w:eastAsia="黑体" w:cs="黑体"/>
                <w:sz w:val="24"/>
              </w:rPr>
              <w:t>指标</w:t>
            </w:r>
          </w:p>
        </w:tc>
        <w:tc>
          <w:tcPr>
            <w:tcW w:w="1466" w:type="dxa"/>
            <w:vAlign w:val="center"/>
          </w:tcPr>
          <w:p>
            <w:pPr>
              <w:jc w:val="center"/>
              <w:textAlignment w:val="center"/>
              <w:rPr>
                <w:rFonts w:ascii="黑体" w:hAnsi="黑体" w:eastAsia="黑体" w:cs="黑体"/>
                <w:sz w:val="24"/>
              </w:rPr>
            </w:pPr>
            <w:r>
              <w:rPr>
                <w:rFonts w:hint="eastAsia" w:ascii="黑体" w:hAnsi="黑体" w:eastAsia="黑体" w:cs="黑体"/>
                <w:sz w:val="24"/>
              </w:rPr>
              <w:t>2025年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7" w:hRule="exact"/>
          <w:jc w:val="center"/>
        </w:trPr>
        <w:tc>
          <w:tcPr>
            <w:tcW w:w="1323" w:type="dxa"/>
            <w:vMerge w:val="restart"/>
            <w:vAlign w:val="center"/>
          </w:tcPr>
          <w:p>
            <w:pPr>
              <w:jc w:val="center"/>
              <w:textAlignment w:val="center"/>
              <w:rPr>
                <w:rFonts w:ascii="仿宋" w:hAnsi="仿宋" w:eastAsia="仿宋" w:cs="仿宋_GB2312"/>
                <w:sz w:val="24"/>
              </w:rPr>
            </w:pPr>
            <w:r>
              <w:rPr>
                <w:rFonts w:hint="eastAsia" w:ascii="仿宋" w:hAnsi="仿宋" w:eastAsia="仿宋" w:cs="仿宋_GB2312"/>
                <w:sz w:val="24"/>
              </w:rPr>
              <w:t>信用监管</w:t>
            </w:r>
          </w:p>
        </w:tc>
        <w:tc>
          <w:tcPr>
            <w:tcW w:w="6034" w:type="dxa"/>
            <w:vAlign w:val="center"/>
          </w:tcPr>
          <w:p>
            <w:pPr>
              <w:textAlignment w:val="center"/>
              <w:rPr>
                <w:rFonts w:ascii="仿宋" w:hAnsi="仿宋" w:eastAsia="仿宋" w:cs="仿宋_GB2312"/>
                <w:sz w:val="24"/>
              </w:rPr>
            </w:pPr>
            <w:r>
              <w:rPr>
                <w:rFonts w:hint="eastAsia" w:ascii="仿宋" w:hAnsi="仿宋" w:eastAsia="仿宋" w:cs="仿宋_GB2312"/>
                <w:sz w:val="24"/>
              </w:rPr>
              <w:t>信用档案查询使用量（万份）</w:t>
            </w:r>
          </w:p>
        </w:tc>
        <w:tc>
          <w:tcPr>
            <w:tcW w:w="1466"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7" w:hRule="exact"/>
          <w:jc w:val="center"/>
        </w:trPr>
        <w:tc>
          <w:tcPr>
            <w:tcW w:w="1323" w:type="dxa"/>
            <w:vMerge w:val="continue"/>
            <w:vAlign w:val="center"/>
          </w:tcPr>
          <w:p>
            <w:pPr>
              <w:jc w:val="center"/>
              <w:textAlignment w:val="center"/>
              <w:rPr>
                <w:rFonts w:ascii="仿宋" w:hAnsi="仿宋" w:eastAsia="仿宋" w:cs="仿宋_GB2312"/>
                <w:sz w:val="24"/>
              </w:rPr>
            </w:pPr>
          </w:p>
        </w:tc>
        <w:tc>
          <w:tcPr>
            <w:tcW w:w="6034" w:type="dxa"/>
            <w:vAlign w:val="center"/>
          </w:tcPr>
          <w:p>
            <w:pPr>
              <w:textAlignment w:val="center"/>
              <w:rPr>
                <w:rFonts w:ascii="仿宋" w:hAnsi="仿宋" w:eastAsia="仿宋" w:cs="仿宋_GB2312"/>
                <w:sz w:val="24"/>
              </w:rPr>
            </w:pPr>
            <w:r>
              <w:rPr>
                <w:rFonts w:hint="eastAsia" w:ascii="仿宋" w:hAnsi="仿宋" w:eastAsia="仿宋" w:cs="仿宋_GB2312"/>
                <w:sz w:val="24"/>
              </w:rPr>
              <w:t>信用承诺制度覆盖领域占比</w:t>
            </w:r>
            <w:r>
              <w:rPr>
                <w:rFonts w:ascii="仿宋" w:hAnsi="仿宋" w:eastAsia="仿宋" w:cs="仿宋_GB2312"/>
                <w:sz w:val="24"/>
              </w:rPr>
              <w:t>（%）</w:t>
            </w:r>
          </w:p>
        </w:tc>
        <w:tc>
          <w:tcPr>
            <w:tcW w:w="1466"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18" w:hRule="exact"/>
          <w:jc w:val="center"/>
        </w:trPr>
        <w:tc>
          <w:tcPr>
            <w:tcW w:w="1323" w:type="dxa"/>
            <w:vMerge w:val="continue"/>
            <w:vAlign w:val="center"/>
          </w:tcPr>
          <w:p>
            <w:pPr>
              <w:jc w:val="center"/>
              <w:textAlignment w:val="center"/>
              <w:rPr>
                <w:rFonts w:ascii="仿宋" w:hAnsi="仿宋" w:eastAsia="仿宋" w:cs="仿宋_GB2312"/>
                <w:sz w:val="24"/>
              </w:rPr>
            </w:pPr>
          </w:p>
        </w:tc>
        <w:tc>
          <w:tcPr>
            <w:tcW w:w="6034" w:type="dxa"/>
            <w:vAlign w:val="center"/>
          </w:tcPr>
          <w:p>
            <w:pPr>
              <w:textAlignment w:val="center"/>
              <w:rPr>
                <w:rFonts w:ascii="仿宋" w:hAnsi="仿宋" w:eastAsia="仿宋" w:cs="仿宋_GB2312"/>
                <w:sz w:val="24"/>
              </w:rPr>
            </w:pPr>
            <w:r>
              <w:rPr>
                <w:rFonts w:hint="eastAsia" w:ascii="仿宋" w:hAnsi="仿宋" w:eastAsia="仿宋" w:cs="仿宋_GB2312"/>
                <w:sz w:val="24"/>
              </w:rPr>
              <w:t>信用分级分类监管覆盖领域占比</w:t>
            </w:r>
            <w:r>
              <w:rPr>
                <w:rFonts w:ascii="仿宋" w:hAnsi="仿宋" w:eastAsia="仿宋" w:cs="仿宋_GB2312"/>
                <w:sz w:val="24"/>
              </w:rPr>
              <w:t>（%）</w:t>
            </w:r>
          </w:p>
        </w:tc>
        <w:tc>
          <w:tcPr>
            <w:tcW w:w="1466"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1" w:hRule="exact"/>
          <w:jc w:val="center"/>
        </w:trPr>
        <w:tc>
          <w:tcPr>
            <w:tcW w:w="1323" w:type="dxa"/>
            <w:vMerge w:val="continue"/>
            <w:vAlign w:val="center"/>
          </w:tcPr>
          <w:p>
            <w:pPr>
              <w:jc w:val="center"/>
              <w:textAlignment w:val="center"/>
              <w:rPr>
                <w:rFonts w:ascii="仿宋" w:hAnsi="仿宋" w:eastAsia="仿宋" w:cs="仿宋_GB2312"/>
                <w:sz w:val="24"/>
              </w:rPr>
            </w:pPr>
          </w:p>
        </w:tc>
        <w:tc>
          <w:tcPr>
            <w:tcW w:w="6034" w:type="dxa"/>
            <w:vAlign w:val="center"/>
          </w:tcPr>
          <w:p>
            <w:pPr>
              <w:textAlignment w:val="center"/>
              <w:rPr>
                <w:rFonts w:ascii="仿宋" w:hAnsi="仿宋" w:eastAsia="仿宋" w:cs="仿宋_GB2312"/>
                <w:sz w:val="24"/>
              </w:rPr>
            </w:pPr>
            <w:r>
              <w:rPr>
                <w:rFonts w:hint="eastAsia" w:ascii="仿宋" w:hAnsi="仿宋" w:eastAsia="仿宋" w:cs="仿宋_GB2312"/>
                <w:sz w:val="24"/>
              </w:rPr>
              <w:t>市信用平台联合奖惩系统覆盖率</w:t>
            </w:r>
            <w:r>
              <w:rPr>
                <w:rFonts w:ascii="仿宋" w:hAnsi="仿宋" w:eastAsia="仿宋" w:cs="仿宋_GB2312"/>
                <w:sz w:val="24"/>
              </w:rPr>
              <w:t>（%）</w:t>
            </w:r>
          </w:p>
        </w:tc>
        <w:tc>
          <w:tcPr>
            <w:tcW w:w="1466"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1" w:hRule="exact"/>
          <w:jc w:val="center"/>
        </w:trPr>
        <w:tc>
          <w:tcPr>
            <w:tcW w:w="1323" w:type="dxa"/>
            <w:vMerge w:val="continue"/>
            <w:vAlign w:val="center"/>
          </w:tcPr>
          <w:p>
            <w:pPr>
              <w:jc w:val="center"/>
              <w:textAlignment w:val="center"/>
              <w:rPr>
                <w:rFonts w:ascii="仿宋" w:hAnsi="仿宋" w:eastAsia="仿宋" w:cs="仿宋_GB2312"/>
                <w:sz w:val="24"/>
              </w:rPr>
            </w:pPr>
          </w:p>
        </w:tc>
        <w:tc>
          <w:tcPr>
            <w:tcW w:w="6034" w:type="dxa"/>
            <w:vAlign w:val="center"/>
          </w:tcPr>
          <w:p>
            <w:pPr>
              <w:textAlignment w:val="center"/>
              <w:rPr>
                <w:rFonts w:ascii="仿宋" w:hAnsi="仿宋" w:eastAsia="仿宋" w:cs="仿宋_GB2312"/>
                <w:sz w:val="24"/>
              </w:rPr>
            </w:pPr>
            <w:r>
              <w:rPr>
                <w:rFonts w:hint="eastAsia" w:ascii="仿宋" w:hAnsi="仿宋" w:eastAsia="仿宋" w:cs="仿宋_GB2312"/>
                <w:sz w:val="24"/>
              </w:rPr>
              <w:t>政府机构失信被执行人占比（%）</w:t>
            </w:r>
          </w:p>
        </w:tc>
        <w:tc>
          <w:tcPr>
            <w:tcW w:w="1466" w:type="dxa"/>
            <w:vAlign w:val="center"/>
          </w:tcPr>
          <w:p>
            <w:pPr>
              <w:jc w:val="center"/>
              <w:textAlignment w:val="center"/>
              <w:rPr>
                <w:rFonts w:ascii="仿宋" w:hAnsi="仿宋" w:eastAsia="仿宋" w:cs="仿宋_GB2312"/>
                <w:sz w:val="24"/>
              </w:rPr>
            </w:pPr>
            <w:r>
              <w:rPr>
                <w:rFonts w:hint="eastAsia" w:ascii="宋体" w:hAnsi="宋体" w:eastAsia="仿宋" w:cs="宋体"/>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7" w:hRule="exact"/>
          <w:jc w:val="center"/>
        </w:trPr>
        <w:tc>
          <w:tcPr>
            <w:tcW w:w="1323" w:type="dxa"/>
            <w:vMerge w:val="restart"/>
            <w:vAlign w:val="center"/>
          </w:tcPr>
          <w:p>
            <w:pPr>
              <w:jc w:val="center"/>
              <w:textAlignment w:val="center"/>
              <w:rPr>
                <w:rFonts w:ascii="仿宋" w:hAnsi="仿宋" w:eastAsia="仿宋" w:cs="仿宋_GB2312"/>
                <w:sz w:val="24"/>
              </w:rPr>
            </w:pPr>
            <w:r>
              <w:rPr>
                <w:rFonts w:hint="eastAsia" w:ascii="仿宋" w:hAnsi="仿宋" w:eastAsia="仿宋" w:cs="仿宋_GB2312"/>
                <w:sz w:val="24"/>
              </w:rPr>
              <w:t>信易贷</w:t>
            </w:r>
          </w:p>
        </w:tc>
        <w:tc>
          <w:tcPr>
            <w:tcW w:w="6034" w:type="dxa"/>
            <w:vAlign w:val="center"/>
          </w:tcPr>
          <w:p>
            <w:pPr>
              <w:textAlignment w:val="center"/>
              <w:rPr>
                <w:rFonts w:ascii="仿宋" w:hAnsi="仿宋" w:eastAsia="仿宋" w:cs="仿宋_GB2312"/>
                <w:sz w:val="24"/>
              </w:rPr>
            </w:pPr>
            <w:r>
              <w:rPr>
                <w:rFonts w:hint="eastAsia" w:ascii="仿宋" w:hAnsi="仿宋" w:eastAsia="仿宋" w:cs="仿宋_GB2312"/>
                <w:sz w:val="24"/>
              </w:rPr>
              <w:t>年均增长率</w:t>
            </w:r>
            <w:r>
              <w:rPr>
                <w:rFonts w:ascii="仿宋" w:hAnsi="仿宋" w:eastAsia="仿宋" w:cs="仿宋_GB2312"/>
                <w:sz w:val="24"/>
              </w:rPr>
              <w:t>（%）</w:t>
            </w:r>
          </w:p>
        </w:tc>
        <w:tc>
          <w:tcPr>
            <w:tcW w:w="1466"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323" w:type="dxa"/>
            <w:vMerge w:val="continue"/>
            <w:vAlign w:val="center"/>
          </w:tcPr>
          <w:p>
            <w:pPr>
              <w:jc w:val="center"/>
              <w:textAlignment w:val="center"/>
              <w:rPr>
                <w:rFonts w:ascii="仿宋" w:hAnsi="仿宋" w:eastAsia="仿宋" w:cs="仿宋_GB2312"/>
                <w:sz w:val="24"/>
              </w:rPr>
            </w:pPr>
          </w:p>
        </w:tc>
        <w:tc>
          <w:tcPr>
            <w:tcW w:w="6034" w:type="dxa"/>
            <w:vAlign w:val="center"/>
          </w:tcPr>
          <w:p>
            <w:pPr>
              <w:textAlignment w:val="center"/>
              <w:rPr>
                <w:rFonts w:ascii="仿宋" w:hAnsi="仿宋" w:eastAsia="仿宋" w:cs="仿宋_GB2312"/>
                <w:sz w:val="24"/>
              </w:rPr>
            </w:pPr>
            <w:r>
              <w:rPr>
                <w:rFonts w:hint="eastAsia" w:ascii="仿宋" w:hAnsi="仿宋" w:eastAsia="仿宋" w:cs="仿宋_GB2312"/>
                <w:sz w:val="24"/>
              </w:rPr>
              <w:t>年获得信用贷款企业数量增长率</w:t>
            </w:r>
            <w:r>
              <w:rPr>
                <w:rFonts w:ascii="仿宋" w:hAnsi="仿宋" w:eastAsia="仿宋" w:cs="仿宋_GB2312"/>
                <w:sz w:val="24"/>
              </w:rPr>
              <w:t>（%）</w:t>
            </w:r>
          </w:p>
        </w:tc>
        <w:tc>
          <w:tcPr>
            <w:tcW w:w="1466"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w:t>
            </w:r>
            <w:r>
              <w:rPr>
                <w:rFonts w:ascii="仿宋" w:hAnsi="仿宋" w:eastAsia="仿宋" w:cs="仿宋_GB2312"/>
                <w:sz w:val="24"/>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323" w:type="dxa"/>
            <w:vMerge w:val="restart"/>
            <w:vAlign w:val="center"/>
          </w:tcPr>
          <w:p>
            <w:pPr>
              <w:jc w:val="center"/>
              <w:textAlignment w:val="center"/>
              <w:rPr>
                <w:rFonts w:ascii="仿宋" w:hAnsi="仿宋" w:eastAsia="仿宋" w:cs="仿宋_GB2312"/>
                <w:sz w:val="24"/>
              </w:rPr>
            </w:pPr>
            <w:r>
              <w:rPr>
                <w:rFonts w:hint="eastAsia" w:ascii="仿宋" w:hAnsi="仿宋" w:eastAsia="仿宋" w:cs="仿宋_GB2312"/>
                <w:sz w:val="24"/>
              </w:rPr>
              <w:t>信易＋</w:t>
            </w:r>
          </w:p>
        </w:tc>
        <w:tc>
          <w:tcPr>
            <w:tcW w:w="6034" w:type="dxa"/>
            <w:vAlign w:val="center"/>
          </w:tcPr>
          <w:p>
            <w:pPr>
              <w:textAlignment w:val="center"/>
              <w:rPr>
                <w:rFonts w:ascii="仿宋" w:hAnsi="仿宋" w:eastAsia="仿宋" w:cs="仿宋_GB2312"/>
                <w:sz w:val="24"/>
              </w:rPr>
            </w:pPr>
            <w:r>
              <w:rPr>
                <w:rFonts w:ascii="仿宋" w:hAnsi="仿宋" w:eastAsia="仿宋" w:cs="仿宋_GB2312"/>
                <w:sz w:val="24"/>
              </w:rPr>
              <w:t>受益群体占比</w:t>
            </w:r>
            <w:r>
              <w:rPr>
                <w:rFonts w:hint="eastAsia" w:ascii="仿宋" w:hAnsi="仿宋" w:eastAsia="仿宋" w:cs="仿宋_GB2312"/>
                <w:sz w:val="24"/>
              </w:rPr>
              <w:t>超过常住人口</w:t>
            </w:r>
            <w:r>
              <w:rPr>
                <w:rFonts w:ascii="仿宋" w:hAnsi="仿宋" w:eastAsia="仿宋" w:cs="仿宋_GB2312"/>
                <w:sz w:val="24"/>
              </w:rPr>
              <w:t>（%）</w:t>
            </w:r>
          </w:p>
        </w:tc>
        <w:tc>
          <w:tcPr>
            <w:tcW w:w="1466"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exact"/>
          <w:jc w:val="center"/>
        </w:trPr>
        <w:tc>
          <w:tcPr>
            <w:tcW w:w="1323" w:type="dxa"/>
            <w:vMerge w:val="continue"/>
            <w:vAlign w:val="center"/>
          </w:tcPr>
          <w:p>
            <w:pPr>
              <w:jc w:val="center"/>
              <w:textAlignment w:val="center"/>
              <w:rPr>
                <w:rFonts w:ascii="仿宋" w:hAnsi="仿宋" w:eastAsia="仿宋" w:cs="仿宋_GB2312"/>
                <w:sz w:val="24"/>
              </w:rPr>
            </w:pPr>
          </w:p>
        </w:tc>
        <w:tc>
          <w:tcPr>
            <w:tcW w:w="6034" w:type="dxa"/>
            <w:vAlign w:val="center"/>
          </w:tcPr>
          <w:p>
            <w:pPr>
              <w:textAlignment w:val="center"/>
              <w:rPr>
                <w:rFonts w:ascii="仿宋" w:hAnsi="仿宋" w:eastAsia="仿宋" w:cs="仿宋_GB2312"/>
                <w:sz w:val="24"/>
              </w:rPr>
            </w:pPr>
            <w:r>
              <w:rPr>
                <w:rFonts w:hint="eastAsia" w:ascii="仿宋" w:hAnsi="仿宋" w:eastAsia="仿宋" w:cs="仿宋_GB2312"/>
                <w:sz w:val="24"/>
              </w:rPr>
              <w:t>应用场景数量超过</w:t>
            </w:r>
            <w:r>
              <w:rPr>
                <w:rFonts w:ascii="仿宋" w:hAnsi="仿宋" w:eastAsia="仿宋" w:cs="仿宋_GB2312"/>
                <w:sz w:val="24"/>
              </w:rPr>
              <w:t>（</w:t>
            </w:r>
            <w:r>
              <w:rPr>
                <w:rFonts w:hint="eastAsia" w:ascii="仿宋" w:hAnsi="仿宋" w:eastAsia="仿宋" w:cs="仿宋_GB2312"/>
                <w:sz w:val="24"/>
              </w:rPr>
              <w:t>个</w:t>
            </w:r>
            <w:r>
              <w:rPr>
                <w:rFonts w:ascii="仿宋" w:hAnsi="仿宋" w:eastAsia="仿宋" w:cs="仿宋_GB2312"/>
                <w:sz w:val="24"/>
              </w:rPr>
              <w:t>）</w:t>
            </w:r>
          </w:p>
        </w:tc>
        <w:tc>
          <w:tcPr>
            <w:tcW w:w="1466"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8" w:hRule="exact"/>
          <w:jc w:val="center"/>
        </w:trPr>
        <w:tc>
          <w:tcPr>
            <w:tcW w:w="1323"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信用服务业</w:t>
            </w:r>
          </w:p>
        </w:tc>
        <w:tc>
          <w:tcPr>
            <w:tcW w:w="6034" w:type="dxa"/>
            <w:vAlign w:val="center"/>
          </w:tcPr>
          <w:p>
            <w:pPr>
              <w:textAlignment w:val="center"/>
              <w:rPr>
                <w:rFonts w:ascii="仿宋" w:hAnsi="仿宋" w:eastAsia="仿宋" w:cs="仿宋_GB2312"/>
                <w:sz w:val="24"/>
              </w:rPr>
            </w:pPr>
            <w:r>
              <w:rPr>
                <w:rFonts w:hint="eastAsia" w:ascii="仿宋" w:hAnsi="仿宋" w:eastAsia="仿宋" w:cs="仿宋_GB2312"/>
                <w:sz w:val="24"/>
              </w:rPr>
              <w:t>培育引进信用服务机构及信用大数据企业数量超过</w:t>
            </w:r>
            <w:r>
              <w:rPr>
                <w:rFonts w:ascii="仿宋" w:hAnsi="仿宋" w:eastAsia="仿宋" w:cs="仿宋_GB2312"/>
                <w:sz w:val="24"/>
              </w:rPr>
              <w:t>（</w:t>
            </w:r>
            <w:r>
              <w:rPr>
                <w:rFonts w:hint="eastAsia" w:ascii="仿宋" w:hAnsi="仿宋" w:eastAsia="仿宋" w:cs="仿宋_GB2312"/>
                <w:sz w:val="24"/>
              </w:rPr>
              <w:t>家</w:t>
            </w:r>
            <w:r>
              <w:rPr>
                <w:rFonts w:ascii="仿宋" w:hAnsi="仿宋" w:eastAsia="仿宋" w:cs="仿宋_GB2312"/>
                <w:sz w:val="24"/>
              </w:rPr>
              <w:t>）</w:t>
            </w:r>
          </w:p>
        </w:tc>
        <w:tc>
          <w:tcPr>
            <w:tcW w:w="1466" w:type="dxa"/>
            <w:vAlign w:val="center"/>
          </w:tcPr>
          <w:p>
            <w:pPr>
              <w:jc w:val="center"/>
              <w:textAlignment w:val="center"/>
              <w:rPr>
                <w:rFonts w:ascii="仿宋" w:hAnsi="仿宋" w:eastAsia="仿宋" w:cs="仿宋_GB2312"/>
                <w:sz w:val="24"/>
              </w:rPr>
            </w:pPr>
            <w:r>
              <w:rPr>
                <w:rFonts w:ascii="仿宋" w:hAnsi="仿宋" w:eastAsia="仿宋" w:cs="仿宋_GB2312"/>
                <w:sz w:val="24"/>
              </w:rPr>
              <w:t>10</w:t>
            </w:r>
          </w:p>
        </w:tc>
      </w:tr>
    </w:tbl>
    <w:p>
      <w:pPr>
        <w:pStyle w:val="54"/>
        <w:ind w:firstLine="0" w:firstLineChars="0"/>
        <w:jc w:val="center"/>
        <w:rPr>
          <w:szCs w:val="30"/>
        </w:rPr>
      </w:pPr>
      <w:bookmarkStart w:id="36" w:name="_Toc1445"/>
      <w:bookmarkStart w:id="37" w:name="_Toc633"/>
      <w:bookmarkStart w:id="38" w:name="_Toc13796"/>
      <w:bookmarkStart w:id="39" w:name="_Toc18614"/>
      <w:bookmarkStart w:id="40" w:name="_Toc29772"/>
    </w:p>
    <w:p>
      <w:pPr>
        <w:pStyle w:val="54"/>
        <w:ind w:firstLine="0" w:firstLineChars="0"/>
        <w:jc w:val="center"/>
        <w:rPr>
          <w:sz w:val="32"/>
        </w:rPr>
      </w:pPr>
      <w:r>
        <w:rPr>
          <w:rFonts w:hint="eastAsia"/>
          <w:sz w:val="32"/>
        </w:rPr>
        <w:t>第三章  持续优化营商环境</w:t>
      </w:r>
      <w:bookmarkEnd w:id="36"/>
      <w:bookmarkEnd w:id="37"/>
      <w:bookmarkEnd w:id="38"/>
    </w:p>
    <w:p>
      <w:pPr>
        <w:pStyle w:val="51"/>
        <w:ind w:firstLine="0" w:firstLineChars="0"/>
        <w:jc w:val="center"/>
        <w:outlineLvl w:val="1"/>
        <w:rPr>
          <w:rFonts w:ascii="楷体" w:hAnsi="楷体" w:eastAsia="楷体"/>
          <w:sz w:val="32"/>
          <w:szCs w:val="32"/>
        </w:rPr>
      </w:pPr>
      <w:bookmarkStart w:id="41" w:name="_Toc9084"/>
      <w:bookmarkStart w:id="42" w:name="_Toc25767"/>
      <w:bookmarkStart w:id="43" w:name="_Toc26577"/>
      <w:r>
        <w:rPr>
          <w:rFonts w:hint="eastAsia" w:ascii="楷体" w:hAnsi="楷体" w:eastAsia="楷体"/>
          <w:sz w:val="32"/>
          <w:szCs w:val="32"/>
        </w:rPr>
        <w:t>第一节  营造公平公正的法治环境</w:t>
      </w:r>
      <w:bookmarkEnd w:id="41"/>
      <w:bookmarkEnd w:id="42"/>
      <w:bookmarkEnd w:id="43"/>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一、强化营商法规制度</w:t>
      </w:r>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夯实法规制度基础，加强《河南省优化营商环境条例》等新颁布法律法规和新出台规范性文件的宣贯解读。制定出台《南阳市优化营商环境条例》，健全优化营商环境配套制度。推动政策评估、营商环境奖惩、营商环境监测等制度体系建设。建立营商环境投诉处理制度，规范营商环境投诉举报调查处理工作。研究推进商事登记制度创新，完善商事登记规则、标准、程序，为企业进入、退出市场提供规范统一、公开透明、便捷高效、宽进严管的登记服务。组织清理不利于营商环境建设的法规、规章、规范性文件，废止已经过时和不适用的地方性法规。</w:t>
      </w:r>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二、提升监管执法效能</w:t>
      </w:r>
    </w:p>
    <w:p>
      <w:pPr>
        <w:pStyle w:val="51"/>
        <w:ind w:firstLine="640"/>
        <w:rPr>
          <w:sz w:val="32"/>
          <w:szCs w:val="32"/>
        </w:rPr>
      </w:pPr>
      <w:r>
        <w:rPr>
          <w:rFonts w:hint="eastAsia"/>
          <w:sz w:val="32"/>
          <w:szCs w:val="32"/>
        </w:rPr>
        <w:t>——支持提高司法审判执行质效。全面提升合同案件审判执行质效，畅通审判执行案件立案渠道，提升立案效率。完善多元化纠纷解决机制</w:t>
      </w:r>
      <w:r>
        <w:rPr>
          <w:sz w:val="32"/>
          <w:szCs w:val="32"/>
        </w:rPr>
        <w:t>，</w:t>
      </w:r>
      <w:r>
        <w:rPr>
          <w:rFonts w:hint="eastAsia"/>
          <w:sz w:val="32"/>
          <w:szCs w:val="32"/>
        </w:rPr>
        <w:t>提高商事纠纷司法审判和执行效率，提升司法程序质量</w:t>
      </w:r>
      <w:r>
        <w:rPr>
          <w:sz w:val="32"/>
          <w:szCs w:val="32"/>
        </w:rPr>
        <w:t>。</w:t>
      </w:r>
      <w:r>
        <w:rPr>
          <w:rFonts w:hint="eastAsia"/>
          <w:sz w:val="32"/>
          <w:szCs w:val="32"/>
        </w:rPr>
        <w:t>建立民商事案件繁简分流机制，推行民商事案件网上立案，降低解决商业纠纷的成本，提升简易程序、小额诉讼程序适用率。完善诉调对接机制，成立多领域特邀调解组织。重点落实《河南省行政执法条例》《河南省重大行政处罚备案审查办法》，推进诉讼制度改革，加强规范执行行为，严格控制执行工作各环节时间节点，加大执法及惩戒力度。强化破产重整、和解的分类识别机制，推行破产案件简易审理。建立综合司法服务平台，接入河南移动微法院、12368服务热线等线上平台，</w:t>
      </w:r>
      <w:r>
        <w:rPr>
          <w:rFonts w:hint="eastAsia" w:ascii="仿宋_GB2312" w:hAnsi="仿宋_GB2312" w:eastAsia="仿宋_GB2312" w:cs="仿宋_GB2312"/>
          <w:sz w:val="32"/>
          <w:szCs w:val="32"/>
        </w:rPr>
        <w:t>整合诉讼服务、立案登记等功能，</w:t>
      </w:r>
      <w:r>
        <w:rPr>
          <w:rFonts w:hint="eastAsia"/>
          <w:sz w:val="32"/>
          <w:szCs w:val="32"/>
        </w:rPr>
        <w:t>实现一站式纠纷解决。到2025年，立案审查平均时长压减至1日以内，商业纠纷平均用时降至110天以下，首次执行案件的平均办理压缩至70天以下。</w:t>
      </w:r>
    </w:p>
    <w:p>
      <w:pPr>
        <w:pStyle w:val="51"/>
        <w:ind w:firstLine="640"/>
        <w:rPr>
          <w:sz w:val="32"/>
          <w:szCs w:val="32"/>
        </w:rPr>
      </w:pPr>
      <w:r>
        <w:rPr>
          <w:rFonts w:hint="eastAsia"/>
          <w:sz w:val="32"/>
          <w:szCs w:val="32"/>
        </w:rPr>
        <w:t>——畅通企业破产通道。落实《河南省高级人民法院关于审理企业破产案件破产成本管理的指引》，加大破产法律制度宣传，消除破产制度污名化问题，引导债权人、债务人对符合破产条件的企业及时申请破产。探索个人破产制度，建立市场化破产审判机制，充分发挥破产制度对挽救危困市场主体的重要作用。健全破产成本支付管理制度，缩短破产案件办理时间和成本</w:t>
      </w:r>
      <w:r>
        <w:rPr>
          <w:sz w:val="32"/>
          <w:szCs w:val="32"/>
        </w:rPr>
        <w:t>。</w:t>
      </w:r>
      <w:r>
        <w:rPr>
          <w:rFonts w:hint="eastAsia"/>
          <w:sz w:val="32"/>
          <w:szCs w:val="32"/>
        </w:rPr>
        <w:t>构建重整融资、财产处置等方面的信息共享机制，强化信息沟通与研判预警，加强前期风险处置机制与破产审判程序的对接。倡导科学破产文化，加强对《中华人民共和国企业破产法》理念和制度的宣传，提升社会公众对破产制度价值和功能的认识，鼓励中介机构提供咨询服务，引导危困企业利用破产挽救机制，在最合适的时机破产和再生。到2025年，实现专项破产保障基金县城全覆盖；破产案件平均审理用时缩短45%，破产成本降低至25%，债券平均回收率达到70%。</w:t>
      </w:r>
    </w:p>
    <w:p>
      <w:pPr>
        <w:pStyle w:val="51"/>
        <w:ind w:firstLine="640"/>
        <w:rPr>
          <w:sz w:val="32"/>
          <w:szCs w:val="32"/>
        </w:rPr>
      </w:pPr>
      <w:r>
        <w:rPr>
          <w:rFonts w:hint="eastAsia"/>
          <w:sz w:val="32"/>
          <w:szCs w:val="32"/>
        </w:rPr>
        <w:t>——夯实司法大数据应用。推进智慧法院建设，支持人民法院提升立案、审判、执行等全流程、全场景信息化水平，推广网上立案、网上阅卷、网上开庭等“一站式”电子诉讼。强化金融领域司法保障，加强与金融机构的信息共享。依托云计算、大数据分析和可视化展示优化司法大数据，定期通过司法大数据分析、发出司法建议等各种形式，提供审判执行态势、司法数据特征、社会矛盾焦点、经济发展障碍以及社会治理导向数据分析支撑。对接“河南法院集中送达平台”，实现法院文书送达一体式集约化。到2025年，法院文书送达率达</w:t>
      </w:r>
      <w:r>
        <w:rPr>
          <w:sz w:val="32"/>
          <w:szCs w:val="32"/>
        </w:rPr>
        <w:t>100</w:t>
      </w:r>
      <w:r>
        <w:rPr>
          <w:rFonts w:hint="eastAsia"/>
          <w:sz w:val="32"/>
          <w:szCs w:val="32"/>
        </w:rPr>
        <w:t>%，审判流程信息公开率达到98%。</w:t>
      </w:r>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三、构建协同监管机制</w:t>
      </w:r>
    </w:p>
    <w:p>
      <w:pPr>
        <w:pStyle w:val="51"/>
        <w:ind w:firstLine="640"/>
        <w:rPr>
          <w:sz w:val="32"/>
          <w:szCs w:val="32"/>
        </w:rPr>
      </w:pPr>
      <w:r>
        <w:rPr>
          <w:rStyle w:val="46"/>
          <w:rFonts w:hint="eastAsia"/>
          <w:b w:val="0"/>
        </w:rPr>
        <w:t>——</w:t>
      </w:r>
      <w:r>
        <w:rPr>
          <w:rFonts w:hint="eastAsia"/>
          <w:sz w:val="32"/>
          <w:szCs w:val="32"/>
        </w:rPr>
        <w:t>打造亲清政商关系。贯彻《南阳市关于规范政商交往行为构建亲清政商关系的实施意见》，落实“九鼓励”“九必须”“九不得”三个清单，加强对政商交往行为的监督，进一步健全不敢腐、不能腐、不想腐的体制机制。推进基层政务公开标准化规范化，加强对26个试点领域基层政务公开标准指引落实情况跟踪评估，扩展试点领域。完善政务服务“好差评”制度，加强“好差评”结果应用，推动实现政务服务事项全覆盖、评价对象全覆盖、服务渠道全覆盖。强化惠民便企政策的兑现直达、优化诉求响应、沟通交流等互动式服务，逐步完善政企、政民之间的双向承诺与平等互信关系。</w:t>
      </w:r>
    </w:p>
    <w:p>
      <w:pPr>
        <w:pStyle w:val="51"/>
        <w:ind w:firstLine="640"/>
        <w:rPr>
          <w:rFonts w:ascii="楷体" w:hAnsi="楷体" w:eastAsia="楷体"/>
          <w:sz w:val="32"/>
          <w:szCs w:val="32"/>
        </w:rPr>
      </w:pPr>
      <w:r>
        <w:rPr>
          <w:rFonts w:hint="eastAsia"/>
          <w:sz w:val="32"/>
          <w:szCs w:val="32"/>
        </w:rPr>
        <w:t>——提升业务协同水平。全面深化以区块链等新一代信息技术为基础的数据共享和业务协同改革，推进各部门自建业务系统与省市统一受理平台对接，推动实现数据资源有效汇聚、充分共享，政务服务“统一受理、全市通办”。拓宽数据归集渠道和范围，开展跨层级、跨部门、跨领域、全链条数据信息共享、交换和归集，丰富以应用为导向的全市统一人口库、法人库、证照库、事项库、办件库、信用库、空间地理信息库等主题库，提升数据共享能力和汇聚质量。加大电子证照应用力度，拓展统一身份认证体系及应用覆盖面，实现跨地域、跨部门、跨业务互认互信互用</w:t>
      </w:r>
      <w:r>
        <w:rPr>
          <w:sz w:val="32"/>
          <w:szCs w:val="32"/>
        </w:rPr>
        <w:t>。</w:t>
      </w:r>
      <w:r>
        <w:rPr>
          <w:rFonts w:hint="eastAsia"/>
          <w:sz w:val="32"/>
          <w:szCs w:val="32"/>
        </w:rPr>
        <w:t>重点推进电子营业执照、电子发票、电子印章、“刷脸办事”等应用，在政务服务、商业活动等场景普遍推广企业电子亮照亮证，实行线上办理证件“免提报”。</w:t>
      </w:r>
    </w:p>
    <w:p>
      <w:pPr>
        <w:pStyle w:val="51"/>
        <w:ind w:firstLine="0" w:firstLineChars="0"/>
        <w:jc w:val="center"/>
        <w:outlineLvl w:val="1"/>
        <w:rPr>
          <w:rFonts w:ascii="楷体" w:hAnsi="楷体" w:eastAsia="楷体"/>
          <w:sz w:val="32"/>
          <w:szCs w:val="32"/>
        </w:rPr>
      </w:pPr>
      <w:bookmarkStart w:id="44" w:name="_Toc3979"/>
      <w:bookmarkStart w:id="45" w:name="_Toc23286"/>
      <w:bookmarkStart w:id="46" w:name="_Toc6357"/>
      <w:r>
        <w:rPr>
          <w:rFonts w:hint="eastAsia" w:ascii="楷体" w:hAnsi="楷体" w:eastAsia="楷体"/>
          <w:sz w:val="32"/>
          <w:szCs w:val="32"/>
        </w:rPr>
        <w:t>第二节  营造高效便捷的政务环境</w:t>
      </w:r>
      <w:bookmarkEnd w:id="44"/>
      <w:bookmarkEnd w:id="45"/>
      <w:bookmarkEnd w:id="46"/>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一、深化行政审批制度改革</w:t>
      </w:r>
    </w:p>
    <w:p>
      <w:pPr>
        <w:pStyle w:val="51"/>
        <w:ind w:firstLine="640"/>
        <w:rPr>
          <w:sz w:val="32"/>
          <w:szCs w:val="32"/>
        </w:rPr>
      </w:pPr>
      <w:r>
        <w:rPr>
          <w:rFonts w:hint="eastAsia"/>
          <w:sz w:val="32"/>
          <w:szCs w:val="32"/>
        </w:rPr>
        <w:t>——创新行政审批模式。全面推行统一受理，杜绝受理前预审、受理后补交材料等体外循环。持续深化清单制度改革，落实政府采购负面清单、税务机关权责清单等重点领域清单，没有法律、法规依据的一律取消，切实为企业松绑减负。进一步简化或取消行政审批事项。实行“证照分离”改革，重点推进“照后减证”，将中央与河南省设定的涉企经营许可事项全部纳入改革范围，“证照分离”改革对所有涉企经营许可事项全覆盖。建立审批事项分级分类清单，持续精简行政审批事项，制定发布全市统一的行政许可事项清单。“十四五”期间，全市实现企业开办时间压缩至0.5个工作日，市场主体不动产转让登记时间压缩至1个工作日，简易投资低风险项目审批环节压缩至4个、实现审批零成本。</w:t>
      </w:r>
    </w:p>
    <w:p>
      <w:pPr>
        <w:pStyle w:val="51"/>
        <w:ind w:firstLine="640"/>
        <w:rPr>
          <w:sz w:val="32"/>
          <w:szCs w:val="32"/>
        </w:rPr>
      </w:pPr>
      <w:r>
        <w:rPr>
          <w:rFonts w:hint="eastAsia"/>
          <w:sz w:val="32"/>
          <w:szCs w:val="32"/>
        </w:rPr>
        <w:t>——加大简政放权力度。充分发挥简政放权作用，大力推进“减事项、减证明、减中介、减材料、减时限、减跑动”，用最短的时间、最快的速度，把服务企业和群众的事项办理好。全面深化以告知承诺为基础的审批制度，率先打造“分级管理、宽进快办、审管衔接”的审批服务模式，持续精简行政审批事项。制定发布全市统一的行政许可事项清单，全面清理简并重复审批、不必要审批，对市场机制能够有效调节、行业组织或中介机构能够自律管理、通过事中事后监管能够有效规范的不再审批。打造无证明城市，实施极简版“网上中介超市”服务清单，聚焦投资项目审批、前置审批、中介服务、并联审批等方面开展南阳特色示范建设。</w:t>
      </w:r>
    </w:p>
    <w:p>
      <w:pPr>
        <w:pStyle w:val="51"/>
        <w:ind w:firstLine="640"/>
        <w:rPr>
          <w:sz w:val="32"/>
          <w:szCs w:val="32"/>
        </w:rPr>
      </w:pPr>
      <w:r>
        <w:rPr>
          <w:rFonts w:hint="eastAsia"/>
          <w:sz w:val="32"/>
          <w:szCs w:val="32"/>
        </w:rPr>
        <w:t>——优化用水、用气、用暖流程。加快贯彻落实用水、气、暖报装服务承诺，深化报装“101”服务模式，清理涉及接入的前置审批事项，推动报装实施“零审批”，简化申请材料，优化办理流程。加快推进报装信息化建设，建设“公共信息大脑”，实施不动产转移登记与水、气、暖过户同步办理，实现更名过户只跑一次，提升用户体验满意度。出台报装标准，统一流程、要件、时限等要素，缩短通水通气整体时间，坚持“365</w:t>
      </w:r>
      <w:r>
        <w:rPr>
          <w:rFonts w:ascii="Arial" w:hAnsi="Arial" w:cs="Arial"/>
          <w:sz w:val="32"/>
          <w:szCs w:val="32"/>
        </w:rPr>
        <w:t>×</w:t>
      </w:r>
      <w:r>
        <w:rPr>
          <w:rFonts w:hint="eastAsia"/>
          <w:sz w:val="32"/>
          <w:szCs w:val="32"/>
        </w:rPr>
        <w:t>24”小时不间断服务。建立完善报装投诉监管、纠纷解决及回访机制，完善供暖工程安装全过程监管。到2025年，用水报装时限（含施工）压减至10个工作日以内，故障维修响应（从企业用水报修到维修人员抵达现场）时间压减至1个小时以内，所有用水、用气工程提前完成外线工程施工，无外线施工的报装时间压减至3个工作日以内，小型外线（含施工）用气报装时限压减至10个工作日以内。</w:t>
      </w:r>
    </w:p>
    <w:p>
      <w:pPr>
        <w:pStyle w:val="51"/>
        <w:ind w:firstLine="640"/>
        <w:rPr>
          <w:sz w:val="32"/>
          <w:szCs w:val="32"/>
        </w:rPr>
      </w:pPr>
      <w:r>
        <w:rPr>
          <w:rFonts w:hint="eastAsia"/>
          <w:sz w:val="32"/>
          <w:szCs w:val="32"/>
        </w:rPr>
        <w:t>——</w:t>
      </w:r>
      <w:r>
        <w:rPr>
          <w:sz w:val="32"/>
          <w:szCs w:val="32"/>
        </w:rPr>
        <w:t>优化获得电力流程。提升获得电力服务水平，精简优化办电流程，减少客户办电环节。提供报装用电全流程服务</w:t>
      </w:r>
      <w:r>
        <w:rPr>
          <w:rFonts w:hint="eastAsia"/>
          <w:sz w:val="32"/>
          <w:szCs w:val="32"/>
        </w:rPr>
        <w:t>，</w:t>
      </w:r>
      <w:r>
        <w:rPr>
          <w:sz w:val="32"/>
          <w:szCs w:val="32"/>
        </w:rPr>
        <w:t>主动推送进度查询、典型设计、电量电费等信息，</w:t>
      </w:r>
      <w:r>
        <w:rPr>
          <w:rFonts w:hint="eastAsia"/>
          <w:sz w:val="32"/>
          <w:szCs w:val="32"/>
        </w:rPr>
        <w:t>实现高压用户用电报装“三省”服务、低压居民和低压小微企业用电报装“三零”服务，</w:t>
      </w:r>
      <w:r>
        <w:rPr>
          <w:sz w:val="32"/>
          <w:szCs w:val="32"/>
        </w:rPr>
        <w:t>形成</w:t>
      </w:r>
      <w:r>
        <w:rPr>
          <w:rFonts w:hint="eastAsia"/>
          <w:sz w:val="32"/>
          <w:szCs w:val="32"/>
        </w:rPr>
        <w:t>“</w:t>
      </w:r>
      <w:r>
        <w:rPr>
          <w:sz w:val="32"/>
          <w:szCs w:val="32"/>
        </w:rPr>
        <w:t>三省、三零</w:t>
      </w:r>
      <w:r>
        <w:rPr>
          <w:rFonts w:hint="eastAsia"/>
          <w:sz w:val="32"/>
          <w:szCs w:val="32"/>
        </w:rPr>
        <w:t>”</w:t>
      </w:r>
      <w:r>
        <w:rPr>
          <w:sz w:val="32"/>
          <w:szCs w:val="32"/>
        </w:rPr>
        <w:t>服务全</w:t>
      </w:r>
      <w:r>
        <w:rPr>
          <w:rFonts w:hint="eastAsia"/>
          <w:sz w:val="32"/>
          <w:szCs w:val="32"/>
        </w:rPr>
        <w:t>区域覆盖</w:t>
      </w:r>
      <w:r>
        <w:rPr>
          <w:sz w:val="32"/>
          <w:szCs w:val="32"/>
        </w:rPr>
        <w:t>。推动</w:t>
      </w:r>
      <w:r>
        <w:rPr>
          <w:rFonts w:hint="eastAsia"/>
          <w:sz w:val="32"/>
          <w:szCs w:val="32"/>
        </w:rPr>
        <w:t>电力管理系统</w:t>
      </w:r>
      <w:r>
        <w:rPr>
          <w:sz w:val="32"/>
          <w:szCs w:val="32"/>
        </w:rPr>
        <w:t>与</w:t>
      </w:r>
      <w:r>
        <w:rPr>
          <w:rFonts w:hint="eastAsia"/>
          <w:sz w:val="32"/>
          <w:szCs w:val="32"/>
        </w:rPr>
        <w:t>“</w:t>
      </w:r>
      <w:r>
        <w:rPr>
          <w:sz w:val="32"/>
          <w:szCs w:val="32"/>
        </w:rPr>
        <w:t>工程建设项目审批管理系统</w:t>
      </w:r>
      <w:r>
        <w:rPr>
          <w:rFonts w:hint="eastAsia"/>
          <w:sz w:val="32"/>
          <w:szCs w:val="32"/>
        </w:rPr>
        <w:t>”</w:t>
      </w:r>
      <w:r>
        <w:rPr>
          <w:sz w:val="32"/>
          <w:szCs w:val="32"/>
        </w:rPr>
        <w:t>互联互通，在线获取相关电子证照，新建项目电力接入</w:t>
      </w:r>
      <w:r>
        <w:rPr>
          <w:rFonts w:hint="eastAsia"/>
          <w:sz w:val="32"/>
          <w:szCs w:val="32"/>
        </w:rPr>
        <w:t>“</w:t>
      </w:r>
      <w:r>
        <w:rPr>
          <w:sz w:val="32"/>
          <w:szCs w:val="32"/>
        </w:rPr>
        <w:t>免申请</w:t>
      </w:r>
      <w:r>
        <w:rPr>
          <w:rFonts w:hint="eastAsia"/>
          <w:sz w:val="32"/>
          <w:szCs w:val="32"/>
        </w:rPr>
        <w:t>”</w:t>
      </w:r>
      <w:r>
        <w:rPr>
          <w:sz w:val="32"/>
          <w:szCs w:val="32"/>
        </w:rPr>
        <w:t>线上流转</w:t>
      </w:r>
      <w:r>
        <w:rPr>
          <w:rFonts w:hint="eastAsia"/>
          <w:sz w:val="32"/>
          <w:szCs w:val="32"/>
        </w:rPr>
        <w:t>，</w:t>
      </w:r>
      <w:r>
        <w:rPr>
          <w:sz w:val="32"/>
          <w:szCs w:val="32"/>
        </w:rPr>
        <w:t>推动高压电力接入工程行政审批实施并联办理。</w:t>
      </w:r>
      <w:r>
        <w:rPr>
          <w:rFonts w:hint="eastAsia"/>
          <w:sz w:val="32"/>
          <w:szCs w:val="32"/>
        </w:rPr>
        <w:t>“</w:t>
      </w:r>
      <w:r>
        <w:rPr>
          <w:sz w:val="32"/>
          <w:szCs w:val="32"/>
        </w:rPr>
        <w:t>十四五</w:t>
      </w:r>
      <w:r>
        <w:rPr>
          <w:rFonts w:hint="eastAsia"/>
          <w:sz w:val="32"/>
          <w:szCs w:val="32"/>
        </w:rPr>
        <w:t>”</w:t>
      </w:r>
      <w:r>
        <w:rPr>
          <w:sz w:val="32"/>
          <w:szCs w:val="32"/>
        </w:rPr>
        <w:t>期间，压缩低压项目办电时间，低压居民、低压小微企业全过程办电时间分别不超过3个、15个工作日；低压非居民客户业务办理时间（不含接网工程及客户工程建设时间）不超过5个工作日，</w:t>
      </w:r>
      <w:r>
        <w:rPr>
          <w:sz w:val="32"/>
          <w:szCs w:val="32"/>
          <w:lang w:val="zh-CN"/>
        </w:rPr>
        <w:t>年均停电时间压缩8%以上</w:t>
      </w:r>
      <w:r>
        <w:rPr>
          <w:sz w:val="32"/>
          <w:szCs w:val="32"/>
        </w:rPr>
        <w:t>。</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PrEx>
        <w:trPr>
          <w:trHeight w:val="90" w:hRule="atLeast"/>
          <w:tblHeader/>
          <w:jc w:val="center"/>
        </w:trPr>
        <w:tc>
          <w:tcPr>
            <w:tcW w:w="8522" w:type="dxa"/>
          </w:tcPr>
          <w:p>
            <w:pPr>
              <w:overflowPunct w:val="0"/>
              <w:spacing w:line="600" w:lineRule="exact"/>
              <w:jc w:val="center"/>
              <w:rPr>
                <w:rFonts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1</w:t>
            </w:r>
            <w:r>
              <w:rPr>
                <w:rFonts w:hint="eastAsia" w:ascii="黑体" w:hAnsi="黑体" w:eastAsia="黑体"/>
                <w:sz w:val="28"/>
                <w:szCs w:val="28"/>
              </w:rPr>
              <w:t>：推动审批制度改革专项行动</w:t>
            </w:r>
          </w:p>
        </w:tc>
      </w:tr>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108" w:type="dxa"/>
            <w:bottom w:w="0" w:type="dxa"/>
            <w:right w:w="108" w:type="dxa"/>
          </w:tblCellMar>
        </w:tblPrEx>
        <w:trPr>
          <w:jc w:val="center"/>
        </w:trPr>
        <w:tc>
          <w:tcPr>
            <w:tcW w:w="8522" w:type="dxa"/>
          </w:tcPr>
          <w:p>
            <w:pPr>
              <w:pStyle w:val="51"/>
              <w:spacing w:line="420" w:lineRule="exact"/>
              <w:ind w:firstLine="480"/>
              <w:rPr>
                <w:rFonts w:ascii="楷体_GB2312" w:hAnsi="楷体_GB2312" w:eastAsia="楷体_GB2312" w:cs="楷体_GB2312"/>
                <w:kern w:val="2"/>
                <w:sz w:val="24"/>
                <w:szCs w:val="24"/>
              </w:rPr>
            </w:pPr>
            <w:r>
              <w:rPr>
                <w:rFonts w:hint="eastAsia" w:ascii="楷体" w:hAnsi="楷体" w:eastAsia="楷体" w:cs="楷体"/>
                <w:kern w:val="2"/>
                <w:sz w:val="24"/>
                <w:szCs w:val="24"/>
              </w:rPr>
              <w:t>深化“证照分离”改革。</w:t>
            </w:r>
            <w:r>
              <w:rPr>
                <w:rFonts w:hint="eastAsia" w:ascii="楷体_GB2312" w:hAnsi="楷体_GB2312" w:eastAsia="楷体_GB2312" w:cs="楷体_GB2312"/>
                <w:kern w:val="2"/>
                <w:sz w:val="24"/>
                <w:szCs w:val="24"/>
              </w:rPr>
              <w:t>在全市范围内推行“证照分离”改革全覆盖清单管理，按照直接取消审批、审批改为备案、实行告知承诺、优化审批服务等四种方式分类推进审批制度改革。</w:t>
            </w:r>
          </w:p>
          <w:p>
            <w:pPr>
              <w:pStyle w:val="51"/>
              <w:spacing w:line="420" w:lineRule="exact"/>
              <w:ind w:firstLine="480"/>
              <w:rPr>
                <w:rFonts w:ascii="仿宋" w:hAnsi="仿宋"/>
                <w:kern w:val="2"/>
                <w:sz w:val="24"/>
                <w:szCs w:val="32"/>
              </w:rPr>
            </w:pPr>
            <w:r>
              <w:rPr>
                <w:rFonts w:hint="eastAsia" w:ascii="楷体" w:hAnsi="楷体" w:eastAsia="楷体" w:cs="楷体"/>
                <w:kern w:val="2"/>
                <w:sz w:val="24"/>
                <w:szCs w:val="24"/>
              </w:rPr>
              <w:t>加快项目审批速度。</w:t>
            </w:r>
            <w:r>
              <w:rPr>
                <w:rFonts w:hint="eastAsia" w:ascii="楷体_GB2312" w:hAnsi="楷体_GB2312" w:eastAsia="楷体_GB2312" w:cs="楷体_GB2312"/>
                <w:kern w:val="2"/>
                <w:sz w:val="24"/>
                <w:szCs w:val="24"/>
              </w:rPr>
              <w:t>进一步压减市、县设立的工程建设项目审批事项和条件，精简规范工程建设项目全流程涉及的技术审查、中介服务事项，压缩审批时间。对工程项目实行分类管理，出台社会投资小型工程项目、老旧小区改造等审批改革实施意见。</w:t>
            </w:r>
          </w:p>
        </w:tc>
      </w:tr>
    </w:tbl>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二、提升政务服务效能</w:t>
      </w:r>
    </w:p>
    <w:p>
      <w:pPr>
        <w:pStyle w:val="51"/>
        <w:ind w:firstLine="640"/>
        <w:rPr>
          <w:sz w:val="32"/>
          <w:szCs w:val="32"/>
        </w:rPr>
      </w:pPr>
      <w:r>
        <w:rPr>
          <w:rFonts w:hint="eastAsia"/>
          <w:sz w:val="32"/>
          <w:szCs w:val="32"/>
        </w:rPr>
        <w:t>——推进政务服务全流程提速。打造南阳政务品牌，优化市政府官方城市门户“</w:t>
      </w:r>
      <w:r>
        <w:rPr>
          <w:sz w:val="32"/>
          <w:szCs w:val="32"/>
        </w:rPr>
        <w:t>宛快办</w:t>
      </w:r>
      <w:r>
        <w:rPr>
          <w:rFonts w:hint="eastAsia"/>
          <w:sz w:val="32"/>
          <w:szCs w:val="32"/>
        </w:rPr>
        <w:t>”，推进与河南省统一受理平台对接，全面推行政务服务事项“掌上办”，实现“一次认证、全网通办”。探索以投资项目告知承诺制为核心的极简审批，打造南阳市“秒批”服务品牌，推广引导企业线上办理。建立无差别全科受理</w:t>
      </w:r>
      <w:r>
        <w:rPr>
          <w:sz w:val="32"/>
          <w:szCs w:val="32"/>
        </w:rPr>
        <w:t>，</w:t>
      </w:r>
      <w:r>
        <w:rPr>
          <w:rFonts w:hint="eastAsia"/>
          <w:sz w:val="32"/>
          <w:szCs w:val="32"/>
        </w:rPr>
        <w:t>全面推行统一受理，杜绝受理前预审、受理后补交材料等体外循环，大力压减行政许可整体办理时间，将检验、检测、鉴定、评审、评估等许可环节平均办理时间压缩20%。健全政务服务“好差评”制度，加快市级部门自建业务系统与河南省政务服务“好差评”系统对接，强化服务差评整改，确保差评件件有整改、有反馈，全方位提升政务服务“好差评”的系统性、规</w:t>
      </w:r>
      <w:r>
        <w:rPr>
          <w:rFonts w:hint="eastAsia" w:ascii="仿宋_GB2312" w:hAnsi="仿宋_GB2312" w:eastAsia="仿宋_GB2312" w:cs="仿宋_GB2312"/>
          <w:sz w:val="32"/>
          <w:szCs w:val="32"/>
        </w:rPr>
        <w:t>范性和有效性。到2025年，“好差评”系统全面运行，实现政务服务事项全覆盖、评价对象全覆盖、服务渠道全覆盖。推广“365”服务、不打烊专区等便民服务。开展“一件事一次办”办理环节全流程标准化、规范化梳理，推行一般事项“不见面”办理，实现一次不用跑；推行复杂事项“一次办”，需要现场踏勘、技术审查、</w:t>
      </w:r>
      <w:r>
        <w:rPr>
          <w:rFonts w:hint="eastAsia"/>
          <w:sz w:val="32"/>
          <w:szCs w:val="32"/>
        </w:rPr>
        <w:t>听证论证的联合办理，实现符合法定受理条件、申报材料齐全的只需跑一次。持续推行“</w:t>
      </w:r>
      <w:r>
        <w:rPr>
          <w:rFonts w:hint="eastAsia" w:ascii="仿宋" w:hAnsi="仿宋"/>
          <w:sz w:val="32"/>
          <w:szCs w:val="32"/>
        </w:rPr>
        <w:t>一枚印章管审批</w:t>
      </w:r>
      <w:r>
        <w:rPr>
          <w:rFonts w:hint="eastAsia"/>
          <w:sz w:val="32"/>
          <w:szCs w:val="32"/>
        </w:rPr>
        <w:t>”改革，加强电子印章、电子发票、电子档案在政府内部管理中的应用。深化不动产登记服务改革，推行“互联网</w:t>
      </w:r>
      <w:r>
        <w:rPr>
          <w:rFonts w:hint="eastAsia" w:ascii="宋体" w:hAnsi="宋体" w:eastAsia="宋体" w:cs="宋体"/>
        </w:rPr>
        <w:t>＋</w:t>
      </w:r>
      <w:r>
        <w:rPr>
          <w:rFonts w:hint="eastAsia"/>
          <w:sz w:val="32"/>
          <w:szCs w:val="32"/>
        </w:rPr>
        <w:t>不动产登记”，优化线下“一窗受理、并行办理”。</w:t>
      </w:r>
    </w:p>
    <w:p>
      <w:pPr>
        <w:pStyle w:val="51"/>
        <w:ind w:firstLine="640"/>
        <w:rPr>
          <w:sz w:val="32"/>
          <w:szCs w:val="32"/>
        </w:rPr>
      </w:pPr>
      <w:r>
        <w:rPr>
          <w:rFonts w:hint="eastAsia"/>
          <w:sz w:val="32"/>
          <w:szCs w:val="32"/>
        </w:rPr>
        <w:t>——建立政务服务标准化体系。优化完善办事指南、服务流程、服务平台、监督评价等政务服务地方标准，规范政务服务事项清单和服务指南管理，提升办事材料标准化程度</w:t>
      </w:r>
      <w:r>
        <w:rPr>
          <w:sz w:val="32"/>
          <w:szCs w:val="32"/>
        </w:rPr>
        <w:t>。</w:t>
      </w:r>
      <w:r>
        <w:rPr>
          <w:rFonts w:hint="eastAsia"/>
          <w:sz w:val="32"/>
          <w:szCs w:val="32"/>
        </w:rPr>
        <w:t>规范政务服务信息标准化建设</w:t>
      </w:r>
      <w:r>
        <w:rPr>
          <w:sz w:val="32"/>
          <w:szCs w:val="32"/>
        </w:rPr>
        <w:t>，</w:t>
      </w:r>
      <w:r>
        <w:rPr>
          <w:rFonts w:hint="eastAsia"/>
          <w:sz w:val="32"/>
          <w:szCs w:val="32"/>
        </w:rPr>
        <w:t>完善部门、县（市、区）数据共享职责清单、能力清单、需求清单等“三份清单”，确保自动提取个性化信息，丰富企业和个人专属信息库，实现相同信息实时调用，有效减少材料和信息重复提交。建立乡镇（街道）政务服务标准体系，全面推进乡镇便民服务标准化建设。</w:t>
      </w:r>
    </w:p>
    <w:p>
      <w:pPr>
        <w:pStyle w:val="51"/>
        <w:ind w:firstLine="640"/>
        <w:rPr>
          <w:sz w:val="32"/>
          <w:szCs w:val="32"/>
        </w:rPr>
      </w:pPr>
      <w:r>
        <w:rPr>
          <w:rFonts w:hint="eastAsia"/>
          <w:sz w:val="32"/>
          <w:szCs w:val="32"/>
        </w:rPr>
        <w:t>——全面提升政务服务数字化水平。以数字政府建设引领政务流程再造，建成全市统一的政务服务平台和协同办公体系，对跨部门、跨层级、跨区域的办事流程进行系统性重构。推进“互联网</w:t>
      </w:r>
      <w:r>
        <w:rPr>
          <w:rFonts w:hint="eastAsia" w:ascii="宋体" w:hAnsi="宋体" w:eastAsia="宋体" w:cs="宋体"/>
        </w:rPr>
        <w:t>＋</w:t>
      </w:r>
      <w:r>
        <w:rPr>
          <w:rFonts w:hint="eastAsia"/>
          <w:sz w:val="32"/>
          <w:szCs w:val="32"/>
        </w:rPr>
        <w:t>政务服务”建设</w:t>
      </w:r>
      <w:r>
        <w:rPr>
          <w:sz w:val="32"/>
          <w:szCs w:val="32"/>
        </w:rPr>
        <w:t>，</w:t>
      </w:r>
      <w:r>
        <w:rPr>
          <w:rFonts w:hint="eastAsia"/>
          <w:sz w:val="32"/>
          <w:szCs w:val="32"/>
        </w:rPr>
        <w:t>加快政务数据共享和开放，加强南阳市大数据中心基础库建设，完善“一张网、一朵云、一个库、一个平台”，建立政务服务数据共享交换机制，提高公共数据共享交换效率。落实河南省电子证照责任清单，建立电子证照库，推进电子证照归集运用，实现跨地域、跨部门互认互信。到2025年，实现全市电子证照依类型生成率全部达到100%。</w:t>
      </w:r>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三、建立常态化政企沟通机制</w:t>
      </w:r>
    </w:p>
    <w:p>
      <w:pPr>
        <w:pStyle w:val="51"/>
        <w:ind w:firstLine="640"/>
        <w:rPr>
          <w:sz w:val="32"/>
          <w:szCs w:val="32"/>
        </w:rPr>
      </w:pPr>
      <w:r>
        <w:rPr>
          <w:rFonts w:hint="eastAsia"/>
          <w:sz w:val="32"/>
          <w:szCs w:val="32"/>
        </w:rPr>
        <w:t>——完善政企沟通机制。深入开展“万人助万企”活动，实行问题清单、责任清单和台账管理，推行重点问题“一企一策”。增强服务企业的“金牌店小二”意识，建立健全首席服务员、服务管家制度，完善定期联系企业、重大问题会商办公、问题受理处理、“企业直通车”等工作机制，进一步规范首席服务工作流程，打通落实“服务企业最后一公里”。建立健全企业家参与涉企政策制定机制，深化“企业服务日”“企业家节”内涵，建立分类听取意见建议的机制，畅通听取企业家意见的诉求通道，健全企业家意见处理和反馈机制。</w:t>
      </w:r>
    </w:p>
    <w:p>
      <w:pPr>
        <w:pStyle w:val="51"/>
        <w:ind w:firstLine="640"/>
        <w:rPr>
          <w:rFonts w:ascii="楷体" w:hAnsi="楷体" w:eastAsia="楷体" w:cs="楷体"/>
          <w:sz w:val="32"/>
          <w:szCs w:val="32"/>
        </w:rPr>
      </w:pPr>
      <w:r>
        <w:rPr>
          <w:rFonts w:hint="eastAsia"/>
          <w:sz w:val="32"/>
          <w:szCs w:val="32"/>
        </w:rPr>
        <w:t>——畅通政企沟通渠道。完善市、县领导干部联系企业制度，打造“12345，有事找政府”服务品牌，形成政务服务热线“互联网＋热线＋督查”特色模式</w:t>
      </w:r>
      <w:r>
        <w:rPr>
          <w:sz w:val="32"/>
          <w:szCs w:val="32"/>
        </w:rPr>
        <w:t>。</w:t>
      </w:r>
      <w:r>
        <w:rPr>
          <w:rFonts w:hint="eastAsia"/>
          <w:sz w:val="32"/>
          <w:szCs w:val="32"/>
        </w:rPr>
        <w:t>全面建成运行“两库”（政策专员库、涉企政策库），进一步加强政企沟通平台建设，为企业提供精准服务。建立商事主体市场监管联系人制度，加强对政商交往行为的监督，坚持正面清单引导与负面清单约束并重，畅通政企沟通渠道。</w:t>
      </w:r>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四、加强专业监管队伍建设</w:t>
      </w:r>
    </w:p>
    <w:p>
      <w:pPr>
        <w:pStyle w:val="51"/>
        <w:ind w:firstLine="640"/>
        <w:rPr>
          <w:sz w:val="32"/>
          <w:szCs w:val="32"/>
        </w:rPr>
      </w:pPr>
      <w:r>
        <w:rPr>
          <w:rFonts w:hint="eastAsia"/>
          <w:sz w:val="32"/>
          <w:szCs w:val="32"/>
        </w:rPr>
        <w:t>——健全执法工作机制。加快完善基层监管执法机制，推动综合执法机构编制改革，规范各县（市、区）执法机构“局队合一”执法体制，实现执法机构整合统一。加快推进市场监管、交通运输、生态环保、文化市场、农业农村等重点领域综合行政执法改革，实现行政执法统一指挥、跨区协作、整体联动</w:t>
      </w:r>
      <w:r>
        <w:rPr>
          <w:sz w:val="32"/>
          <w:szCs w:val="32"/>
        </w:rPr>
        <w:t>。</w:t>
      </w:r>
      <w:r>
        <w:rPr>
          <w:rFonts w:hint="eastAsia"/>
          <w:sz w:val="32"/>
          <w:szCs w:val="32"/>
        </w:rPr>
        <w:t>大力推行综合执法、柔性执法、服务型执法，在招标投标、污染防治、养老服务、劳动保障等重点领域形成常态化的跨部门联合检查机制，提高执法水平和执法满意度。</w:t>
      </w:r>
    </w:p>
    <w:p>
      <w:pPr>
        <w:pStyle w:val="51"/>
        <w:ind w:firstLine="640"/>
        <w:rPr>
          <w:sz w:val="32"/>
          <w:szCs w:val="32"/>
        </w:rPr>
      </w:pPr>
      <w:r>
        <w:rPr>
          <w:rFonts w:hint="eastAsia"/>
          <w:sz w:val="32"/>
          <w:szCs w:val="32"/>
        </w:rPr>
        <w:t>——强化执法队伍建设。深化执法队伍结构改革，优化编制管理。强化执法队伍核心业务综合能力建设，建立执法队伍常态化培训机制，提高执法人员适应打造国内一流营商环境和社会信用体系所要求的知识储备和专业化能力。理顺各执法领域工作职责，合理配置执法力量，针对重点领域要实现失信行为的常态化、专项化整治。健全执法关爱机制，激励执法人员负起责任、担当作为、敢抓敢管，做好执法后勤建设工作，为基层综合执法工作提供坚强保障。</w:t>
      </w:r>
    </w:p>
    <w:p>
      <w:pPr>
        <w:pStyle w:val="51"/>
        <w:ind w:firstLine="643" w:firstLineChars="0"/>
        <w:jc w:val="left"/>
        <w:rPr>
          <w:rFonts w:ascii="楷体" w:hAnsi="楷体" w:eastAsia="楷体" w:cs="楷体"/>
          <w:sz w:val="32"/>
          <w:szCs w:val="32"/>
        </w:rPr>
      </w:pPr>
      <w:r>
        <w:rPr>
          <w:rFonts w:hint="eastAsia"/>
          <w:sz w:val="32"/>
          <w:szCs w:val="32"/>
        </w:rPr>
        <w:t>——规范执法保障措施。按照“边建边用、以用促建、重在应用”原则，加快推进跨部门联合执法综合服务平台建设</w:t>
      </w:r>
      <w:r>
        <w:rPr>
          <w:sz w:val="32"/>
          <w:szCs w:val="32"/>
        </w:rPr>
        <w:t>。</w:t>
      </w:r>
      <w:r>
        <w:rPr>
          <w:rFonts w:hint="eastAsia"/>
          <w:sz w:val="32"/>
          <w:szCs w:val="32"/>
        </w:rPr>
        <w:t>深化“互联网</w:t>
      </w:r>
      <w:r>
        <w:rPr>
          <w:rFonts w:hint="eastAsia" w:ascii="宋体" w:hAnsi="宋体" w:eastAsia="宋体" w:cs="宋体"/>
        </w:rPr>
        <w:t>＋</w:t>
      </w:r>
      <w:r>
        <w:rPr>
          <w:rFonts w:hint="eastAsia"/>
          <w:sz w:val="32"/>
          <w:szCs w:val="32"/>
        </w:rPr>
        <w:t>监管”系统在各类行政执法领域中的应用，加强计量标准、检验检测、认证认可等国家质量基础设施的建设，推动检测数据线上化，实现与“互联网</w:t>
      </w:r>
      <w:r>
        <w:rPr>
          <w:rFonts w:hint="eastAsia" w:ascii="宋体" w:hAnsi="宋体" w:eastAsia="宋体" w:cs="宋体"/>
        </w:rPr>
        <w:t>＋</w:t>
      </w:r>
      <w:r>
        <w:rPr>
          <w:rFonts w:hint="eastAsia"/>
          <w:sz w:val="32"/>
          <w:szCs w:val="32"/>
        </w:rPr>
        <w:t>监管”系统互联互通</w:t>
      </w:r>
      <w:r>
        <w:rPr>
          <w:sz w:val="32"/>
          <w:szCs w:val="32"/>
        </w:rPr>
        <w:t>。</w:t>
      </w:r>
      <w:r>
        <w:rPr>
          <w:rFonts w:hint="eastAsia"/>
          <w:sz w:val="32"/>
          <w:szCs w:val="32"/>
        </w:rPr>
        <w:t>加强各部门信息归集和业务协同</w:t>
      </w:r>
      <w:r>
        <w:rPr>
          <w:sz w:val="32"/>
          <w:szCs w:val="32"/>
        </w:rPr>
        <w:t>，</w:t>
      </w:r>
      <w:r>
        <w:rPr>
          <w:rFonts w:hint="eastAsia"/>
          <w:sz w:val="32"/>
          <w:szCs w:val="32"/>
        </w:rPr>
        <w:t>推进监管、执法、信用系统互联互融，</w:t>
      </w:r>
      <w:r>
        <w:rPr>
          <w:rStyle w:val="50"/>
          <w:rFonts w:hint="eastAsia"/>
          <w:sz w:val="32"/>
          <w:szCs w:val="32"/>
        </w:rPr>
        <w:t>实现</w:t>
      </w:r>
      <w:r>
        <w:rPr>
          <w:rFonts w:hint="eastAsia"/>
          <w:sz w:val="32"/>
          <w:szCs w:val="32"/>
        </w:rPr>
        <w:t>违法线索互联、执法标准互通、处理结果互认，推动行政执法精准化、高效化、专业化。</w:t>
      </w:r>
    </w:p>
    <w:p>
      <w:pPr>
        <w:pStyle w:val="51"/>
        <w:ind w:firstLine="0" w:firstLineChars="0"/>
        <w:jc w:val="center"/>
        <w:outlineLvl w:val="1"/>
        <w:rPr>
          <w:rFonts w:ascii="楷体" w:hAnsi="楷体" w:eastAsia="楷体" w:cs="楷体"/>
          <w:sz w:val="32"/>
          <w:szCs w:val="32"/>
        </w:rPr>
      </w:pPr>
      <w:bookmarkStart w:id="47" w:name="_Toc10300"/>
      <w:bookmarkStart w:id="48" w:name="_Toc6536"/>
      <w:bookmarkStart w:id="49" w:name="_Toc14873"/>
      <w:r>
        <w:rPr>
          <w:rFonts w:hint="eastAsia" w:ascii="楷体" w:hAnsi="楷体" w:eastAsia="楷体" w:cs="楷体"/>
          <w:sz w:val="32"/>
          <w:szCs w:val="32"/>
        </w:rPr>
        <w:t>第三节  营造公平竞争的市场环境</w:t>
      </w:r>
      <w:bookmarkEnd w:id="47"/>
      <w:bookmarkEnd w:id="48"/>
      <w:bookmarkEnd w:id="49"/>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一、持续完善市场准入机制</w:t>
      </w:r>
    </w:p>
    <w:p>
      <w:pPr>
        <w:pStyle w:val="51"/>
        <w:ind w:firstLine="640"/>
        <w:rPr>
          <w:sz w:val="32"/>
          <w:szCs w:val="32"/>
        </w:rPr>
      </w:pPr>
      <w:r>
        <w:rPr>
          <w:rFonts w:hint="eastAsia"/>
          <w:sz w:val="32"/>
          <w:szCs w:val="32"/>
        </w:rPr>
        <w:t>——规范市场准入监管。全面实施国家市场准入负面清单，推动“非禁即入”普遍落实，进一步健全完善与市场准入负面清单制度相适应的准入机制、审批衔接机制。完善与市场准入负面清单制度相适应的事中事后监管机制，深入推进市场准入制度系统集成。做好市场准入负面清单与外商投资负面清单的衔接。持续放宽市场准入门槛，定期评估、排查、清理各种形式的市场准入不合理限制和隐性壁垒。建立隐性壁垒发现机制，设立南阳市市场准入隐性壁垒台账，畅通市场主体对隐性壁垒的意见反馈渠道和处理回应机制，通过“12345”政务服务便民热线和政务服务大厅设立专门窗口集中受理。建立隐性壁垒清理机制，重点清除行政审批涉及的无法律法规依据的评估、评审、核查、登记等环节和中介服务事项、办事材料，以及利用行政权力排除、限制竞争的行为，实行限时整改、结果公开，确保应改尽改。</w:t>
      </w:r>
    </w:p>
    <w:p>
      <w:pPr>
        <w:pStyle w:val="51"/>
        <w:ind w:firstLine="640"/>
        <w:rPr>
          <w:sz w:val="32"/>
          <w:szCs w:val="32"/>
        </w:rPr>
      </w:pPr>
      <w:r>
        <w:rPr>
          <w:rFonts w:hint="eastAsia"/>
          <w:sz w:val="32"/>
          <w:szCs w:val="32"/>
        </w:rPr>
        <w:t>——持续优化“一网通办”。深层次推进我市“一网通办”网上办理能力，大力推进“跨省跨市通办”，打造一批高频、精品跨市（域）通办事项</w:t>
      </w:r>
      <w:r>
        <w:rPr>
          <w:sz w:val="32"/>
          <w:szCs w:val="32"/>
        </w:rPr>
        <w:t>。</w:t>
      </w:r>
      <w:r>
        <w:rPr>
          <w:rFonts w:hint="eastAsia"/>
          <w:sz w:val="32"/>
          <w:szCs w:val="32"/>
        </w:rPr>
        <w:t>探索以跨市（域）办成“一件事”为目标的跨市（域）主题式套餐服务，拓展移动端跨市（域）通办事项。全面推行企业开办、不动产登记、办理施工许可、电力接入等领域“一事一窗”，实现集成服务“一窗办”。以网上政务大厅为主体、实体服务大厅为辅助，充分利用移动互联技术，拓展专业部门微信公众号服务功能</w:t>
      </w:r>
      <w:r>
        <w:rPr>
          <w:sz w:val="32"/>
          <w:szCs w:val="32"/>
        </w:rPr>
        <w:t>，</w:t>
      </w:r>
      <w:r>
        <w:rPr>
          <w:rFonts w:hint="eastAsia"/>
          <w:sz w:val="32"/>
          <w:szCs w:val="32"/>
        </w:rPr>
        <w:t>把信息化监管嵌入审批（服务）每个环节，实现平台服务“限时办”。升级原有跨市（域）办理跳转模式，统一办事指南核心要素，实现线上申报、受理、办理等深度对接，无感办理跨市（域）业务。到2025年，政务服务事项“一网通办”可办率达到100%，企业开办网上办理率达到97%以上。</w:t>
      </w:r>
    </w:p>
    <w:p>
      <w:pPr>
        <w:pStyle w:val="51"/>
        <w:ind w:firstLine="640"/>
        <w:rPr>
          <w:sz w:val="32"/>
          <w:szCs w:val="32"/>
        </w:rPr>
      </w:pPr>
      <w:r>
        <w:rPr>
          <w:rFonts w:hint="eastAsia"/>
          <w:sz w:val="32"/>
          <w:szCs w:val="32"/>
        </w:rPr>
        <w:t>——完善政府采购和招投标制度。完善透明高效的政府采购和招投标制度规范，细化政府采购（含工程招投标）信息公开机制，简化优化政府采购审批程序，统一交易规则和流程，压缩各环节时间。</w:t>
      </w:r>
      <w:r>
        <w:rPr>
          <w:sz w:val="32"/>
          <w:szCs w:val="32"/>
        </w:rPr>
        <w:t>完善政府采购平台和工程招投标平台功能，开发上线缴纳投标保证金、履约保证金等功能</w:t>
      </w:r>
      <w:r>
        <w:rPr>
          <w:rFonts w:hint="eastAsia"/>
          <w:sz w:val="32"/>
          <w:szCs w:val="32"/>
        </w:rPr>
        <w:t>，实现全流程电子化。建立健全政府采购合同融资激励机制，推动金融机构积极参与政府采购合同融资工作</w:t>
      </w:r>
      <w:r>
        <w:rPr>
          <w:sz w:val="32"/>
          <w:szCs w:val="32"/>
        </w:rPr>
        <w:t>。</w:t>
      </w:r>
      <w:r>
        <w:rPr>
          <w:rFonts w:hint="eastAsia"/>
          <w:sz w:val="32"/>
          <w:szCs w:val="32"/>
        </w:rPr>
        <w:t>逐步推行政府采购电子化招投标</w:t>
      </w:r>
      <w:r>
        <w:rPr>
          <w:sz w:val="32"/>
          <w:szCs w:val="32"/>
        </w:rPr>
        <w:t>，</w:t>
      </w:r>
      <w:r>
        <w:rPr>
          <w:rFonts w:hint="eastAsia"/>
          <w:sz w:val="32"/>
          <w:szCs w:val="32"/>
        </w:rPr>
        <w:t>采购人、采购代理机构向供应商免费提供电子采购文件。完善招标投标领域市级行政监管部门监管清单，实施公平有效的投诉处理机制，建立招标投标问题征集机制，对设定不公平、不透明交易条件等行为开展常态化线索征集，实行市、区转办督办，实现线索及时核查、违规行为及时纠正。推进政府采购领域信用体系建设，在政府采购活动中查询使用信用信息，开展信用核查，并实施分级分类管理。到2025年，政府采购网上交易率、电子化交易率分别达到95%、100%，政府采购首付款支付比例达到合同金额的</w:t>
      </w:r>
      <w:r>
        <w:rPr>
          <w:sz w:val="32"/>
          <w:szCs w:val="32"/>
        </w:rPr>
        <w:t>70</w:t>
      </w:r>
      <w:r>
        <w:rPr>
          <w:rFonts w:hint="eastAsia"/>
          <w:sz w:val="32"/>
          <w:szCs w:val="32"/>
        </w:rPr>
        <w:t>%。</w:t>
      </w:r>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二、注重要素市场化配置</w:t>
      </w:r>
    </w:p>
    <w:p>
      <w:pPr>
        <w:pStyle w:val="51"/>
        <w:ind w:firstLine="640"/>
        <w:rPr>
          <w:sz w:val="32"/>
          <w:szCs w:val="32"/>
        </w:rPr>
      </w:pPr>
      <w:r>
        <w:rPr>
          <w:rFonts w:hint="eastAsia"/>
          <w:sz w:val="32"/>
          <w:szCs w:val="32"/>
        </w:rPr>
        <w:t>——推动数据要素市场发展。推进数据要素市场改革，促进数字经济和实体经济深度融合，奠定数字南阳基础</w:t>
      </w:r>
      <w:r>
        <w:rPr>
          <w:sz w:val="32"/>
          <w:szCs w:val="32"/>
        </w:rPr>
        <w:t>。</w:t>
      </w:r>
      <w:r>
        <w:rPr>
          <w:rFonts w:hint="eastAsia"/>
          <w:sz w:val="32"/>
          <w:szCs w:val="32"/>
        </w:rPr>
        <w:t>建立数据资源清单管理机制，在数据生成采集、整合汇聚、流通交易安全保护等方面制定标准，规范部门间数据共享交换。推进公共数据开放共享，建立分行业、分场景的公共数据开放机制，规范公共数据资产化管理。完善科技成果转化机制，建设科技成果转移转化综合服务平台。深化科技成果所有权或长期使用权试点改革，建立成果转化激励机制，支持成果所有权单位设置技术转化类岗位，进一步激发科研人员创新活力。</w:t>
      </w:r>
    </w:p>
    <w:p>
      <w:pPr>
        <w:pStyle w:val="51"/>
        <w:ind w:firstLine="640"/>
        <w:rPr>
          <w:sz w:val="32"/>
          <w:szCs w:val="32"/>
        </w:rPr>
      </w:pPr>
      <w:r>
        <w:rPr>
          <w:rFonts w:hint="eastAsia" w:ascii="仿宋" w:hAnsi="仿宋"/>
          <w:sz w:val="32"/>
          <w:szCs w:val="32"/>
        </w:rPr>
        <w:t>——优化水、电、气、暖资源配置。深化供水供电供气供暖行业市场化改革，区分网络型自然垄断环节和竞争性环节，进一步放开市场准入限制，引导社会资本有序进入，加快完善水、电、气、暖价格形成机制。落实要素价格市场化改革，建立采购代理机构竞争机制，打通市区集采目录内定点供应商共享机制，为企业创造更多市场机会。</w:t>
      </w:r>
      <w:r>
        <w:rPr>
          <w:sz w:val="32"/>
          <w:szCs w:val="32"/>
        </w:rPr>
        <w:t>加快建立协调衔接的劳动力、人才流动政策体系和交流合作机制</w:t>
      </w:r>
      <w:r>
        <w:rPr>
          <w:rFonts w:hint="eastAsia"/>
          <w:sz w:val="32"/>
          <w:szCs w:val="32"/>
        </w:rPr>
        <w:t>，</w:t>
      </w:r>
      <w:r>
        <w:rPr>
          <w:sz w:val="32"/>
          <w:szCs w:val="32"/>
        </w:rPr>
        <w:t>实施分层分类、精准有效的人才吸引政策，拓宽灵活就业渠道。制定支持和规范新就业形态发展</w:t>
      </w:r>
      <w:r>
        <w:rPr>
          <w:rFonts w:hint="eastAsia"/>
          <w:sz w:val="32"/>
          <w:szCs w:val="32"/>
        </w:rPr>
        <w:t>的</w:t>
      </w:r>
      <w:r>
        <w:rPr>
          <w:sz w:val="32"/>
          <w:szCs w:val="32"/>
        </w:rPr>
        <w:t>政策措施，清理取消对灵活就业的不合理限制，加大对灵活就业人员就业服务、技能培训和创业扶持等帮扶力度</w:t>
      </w:r>
      <w:r>
        <w:rPr>
          <w:rFonts w:hint="eastAsia"/>
          <w:sz w:val="32"/>
          <w:szCs w:val="32"/>
        </w:rPr>
        <w:t>，</w:t>
      </w:r>
      <w:r>
        <w:rPr>
          <w:sz w:val="32"/>
          <w:szCs w:val="32"/>
        </w:rPr>
        <w:t>引导劳动力要素合理畅通有序流动。</w:t>
      </w:r>
    </w:p>
    <w:p>
      <w:pPr>
        <w:pStyle w:val="51"/>
        <w:ind w:firstLine="640"/>
        <w:outlineLvl w:val="2"/>
        <w:rPr>
          <w:rFonts w:ascii="仿宋" w:hAnsi="仿宋"/>
          <w:sz w:val="32"/>
          <w:szCs w:val="32"/>
        </w:rPr>
      </w:pPr>
      <w:r>
        <w:rPr>
          <w:rFonts w:hint="eastAsia" w:ascii="仿宋" w:hAnsi="仿宋"/>
          <w:sz w:val="32"/>
          <w:szCs w:val="32"/>
        </w:rPr>
        <w:t>——优化用地要素支持。</w:t>
      </w:r>
      <w:r>
        <w:rPr>
          <w:sz w:val="32"/>
          <w:szCs w:val="32"/>
        </w:rPr>
        <w:t>完善土地供给机制，创新土地要素配置方式，降低城市更新用地成本。提高存量空间利用效率，鼓励利用老旧厂房发展国家</w:t>
      </w:r>
      <w:r>
        <w:rPr>
          <w:rFonts w:hint="eastAsia"/>
          <w:sz w:val="32"/>
          <w:szCs w:val="32"/>
        </w:rPr>
        <w:t>、省</w:t>
      </w:r>
      <w:r>
        <w:rPr>
          <w:sz w:val="32"/>
          <w:szCs w:val="32"/>
        </w:rPr>
        <w:t>及本市支持的新产业、新业态，提高存量空间利用效率。推行长期租赁、先租后让、租让结合、弹性年期供应等重大产业项目供地方式，缓解企业资金压力。推动土地指标跨区域交易，拓宽耕地占补平衡渠道。</w:t>
      </w:r>
      <w:r>
        <w:rPr>
          <w:rFonts w:ascii="仿宋" w:hAnsi="仿宋"/>
          <w:sz w:val="32"/>
          <w:szCs w:val="32"/>
        </w:rPr>
        <w:t>全面推进规划用地“多审合一、多证合一、多测合一、多验合一、多评合一”改革，加快推进用地审查和林地审核同步办理，简化建设项目竣工验收阶段审查事项。</w:t>
      </w:r>
      <w:r>
        <w:rPr>
          <w:rFonts w:hint="eastAsia" w:ascii="仿宋" w:hAnsi="仿宋"/>
          <w:sz w:val="32"/>
          <w:szCs w:val="32"/>
        </w:rPr>
        <w:t>加快推进区域评估，完善工业用地“标准地”出让制度，引导土地资源向“发展快、发展好、单位产出高”的项目倾斜。制定腾退低效产业空间招商地图，促进高精尖产业项目与空间资源精准匹配。全面推广“1天办四证、拿地即开工”模式，企业签订土地出让合同后，可在1个工作日内获得土地证、建设用地规划许可证、建设工程规划许可证、建筑工程施工许可证。</w:t>
      </w:r>
    </w:p>
    <w:p>
      <w:pPr>
        <w:pStyle w:val="51"/>
        <w:ind w:firstLine="640"/>
        <w:rPr>
          <w:sz w:val="32"/>
          <w:szCs w:val="32"/>
        </w:rPr>
      </w:pPr>
      <w:r>
        <w:rPr>
          <w:rFonts w:hint="eastAsia" w:ascii="仿宋" w:hAnsi="仿宋"/>
          <w:sz w:val="32"/>
          <w:szCs w:val="32"/>
        </w:rPr>
        <w:t>——优化人才要素保障。</w:t>
      </w:r>
      <w:r>
        <w:rPr>
          <w:rFonts w:hint="eastAsia"/>
          <w:sz w:val="32"/>
          <w:szCs w:val="32"/>
        </w:rPr>
        <w:t>深化人才资源供给侧结构性改革，持续完善“诸葛英才计划”人才政策体系，保护各类人才平等就业和自主择业权利。</w:t>
      </w:r>
      <w:r>
        <w:rPr>
          <w:sz w:val="32"/>
          <w:szCs w:val="32"/>
        </w:rPr>
        <w:t>推进用人制度改革，充分尊重、保障和发挥各类用人主体在人才引进、使用、评价、培养和激励等方面的自主权，消除对用人主体的不当干预</w:t>
      </w:r>
      <w:r>
        <w:rPr>
          <w:rFonts w:hint="eastAsia"/>
          <w:sz w:val="32"/>
          <w:szCs w:val="32"/>
        </w:rPr>
        <w:t>。创新急需紧缺人才目录编制发布制度，优化人才流动政策环境。</w:t>
      </w:r>
      <w:r>
        <w:rPr>
          <w:sz w:val="32"/>
          <w:szCs w:val="32"/>
        </w:rPr>
        <w:t>建立完善科研人员校企、院企共建双聘机制</w:t>
      </w:r>
      <w:r>
        <w:rPr>
          <w:rFonts w:hint="eastAsia"/>
          <w:sz w:val="32"/>
          <w:szCs w:val="32"/>
        </w:rPr>
        <w:t>，鼓</w:t>
      </w:r>
      <w:r>
        <w:rPr>
          <w:sz w:val="32"/>
          <w:szCs w:val="32"/>
        </w:rPr>
        <w:t>励和支持科研人员创新创业、兼职兼薪。</w:t>
      </w:r>
      <w:r>
        <w:rPr>
          <w:rFonts w:hint="eastAsia"/>
          <w:sz w:val="32"/>
          <w:szCs w:val="32"/>
        </w:rPr>
        <w:t>畅通高层次人才引进常态化“绿色通道”，</w:t>
      </w:r>
      <w:r>
        <w:rPr>
          <w:sz w:val="32"/>
          <w:szCs w:val="32"/>
        </w:rPr>
        <w:t>探索评审式、目录式、举荐式、合作式等多样化的人才引进方式</w:t>
      </w:r>
      <w:r>
        <w:rPr>
          <w:rFonts w:hint="eastAsia"/>
          <w:sz w:val="32"/>
          <w:szCs w:val="32"/>
        </w:rPr>
        <w:t>，优化人才结构</w:t>
      </w:r>
      <w:r>
        <w:rPr>
          <w:sz w:val="32"/>
          <w:szCs w:val="32"/>
        </w:rPr>
        <w:t>。</w:t>
      </w:r>
      <w:r>
        <w:rPr>
          <w:rFonts w:hint="eastAsia"/>
          <w:sz w:val="32"/>
          <w:szCs w:val="32"/>
        </w:rPr>
        <w:t>制定柔性引才激励办法，完善“全职</w:t>
      </w:r>
      <w:r>
        <w:rPr>
          <w:rFonts w:hint="eastAsia" w:ascii="宋体" w:hAnsi="宋体" w:eastAsia="宋体" w:cs="宋体"/>
        </w:rPr>
        <w:t>＋</w:t>
      </w:r>
      <w:r>
        <w:rPr>
          <w:rFonts w:hint="eastAsia"/>
          <w:sz w:val="32"/>
          <w:szCs w:val="32"/>
        </w:rPr>
        <w:t>柔性”招才引智机制，柔性引进外籍高层次人才，提高本市外籍专家数量。完善职称社会化评价机制，实行个人自主申报、行业统一评价、单位择优使用、政府指导监管，优化民营企业人才、外籍人才职称评审环境。健全“人才来宛”评价体系，以评价结果作为人才奖励补贴、薪酬待遇、医疗社保、子女入学、居留便利、荣誉称号等政策措施的发放依据。落实国家高技能人才振兴计划，深入开展“豫宛大工匠”等培育工作，加大产业领军人才（团队）引进和优秀青年人才储备力度。</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108" w:type="dxa"/>
            <w:bottom w:w="0" w:type="dxa"/>
            <w:right w:w="108" w:type="dxa"/>
          </w:tblCellMar>
        </w:tblPrEx>
        <w:trPr>
          <w:tblHeader/>
          <w:jc w:val="center"/>
        </w:trPr>
        <w:tc>
          <w:tcPr>
            <w:tcW w:w="8522" w:type="dxa"/>
          </w:tcPr>
          <w:p>
            <w:pPr>
              <w:overflowPunct w:val="0"/>
              <w:spacing w:line="600" w:lineRule="exact"/>
              <w:jc w:val="center"/>
              <w:rPr>
                <w:rFonts w:ascii="黑体" w:hAnsi="黑体" w:eastAsia="黑体"/>
                <w:sz w:val="28"/>
                <w:szCs w:val="28"/>
              </w:rPr>
            </w:pPr>
            <w:r>
              <w:rPr>
                <w:rFonts w:hint="eastAsia" w:ascii="黑体" w:hAnsi="黑体" w:eastAsia="黑体"/>
                <w:sz w:val="28"/>
                <w:szCs w:val="28"/>
              </w:rPr>
              <w:t>专栏</w:t>
            </w:r>
            <w:r>
              <w:rPr>
                <w:rFonts w:ascii="黑体" w:hAnsi="黑体" w:eastAsia="黑体"/>
                <w:sz w:val="28"/>
                <w:szCs w:val="28"/>
              </w:rPr>
              <w:t>2</w:t>
            </w:r>
            <w:r>
              <w:rPr>
                <w:rFonts w:hint="eastAsia" w:ascii="黑体" w:hAnsi="黑体" w:eastAsia="黑体"/>
                <w:sz w:val="28"/>
                <w:szCs w:val="28"/>
              </w:rPr>
              <w:t>：优化要素市场配置专项行动</w:t>
            </w:r>
          </w:p>
        </w:tc>
      </w:tr>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PrEx>
        <w:trPr>
          <w:jc w:val="center"/>
        </w:trPr>
        <w:tc>
          <w:tcPr>
            <w:tcW w:w="8522" w:type="dxa"/>
          </w:tcPr>
          <w:p>
            <w:pPr>
              <w:pStyle w:val="51"/>
              <w:spacing w:line="500" w:lineRule="exact"/>
              <w:ind w:firstLine="480"/>
              <w:rPr>
                <w:rFonts w:ascii="仿宋" w:hAnsi="仿宋"/>
                <w:kern w:val="2"/>
                <w:sz w:val="24"/>
                <w:szCs w:val="24"/>
              </w:rPr>
            </w:pPr>
            <w:r>
              <w:rPr>
                <w:rFonts w:hint="eastAsia" w:ascii="楷体" w:hAnsi="楷体" w:eastAsia="楷体" w:cs="楷体"/>
                <w:kern w:val="2"/>
                <w:sz w:val="24"/>
                <w:szCs w:val="24"/>
              </w:rPr>
              <w:t>资本要素保障能力提升行动。</w:t>
            </w:r>
            <w:r>
              <w:rPr>
                <w:rFonts w:hint="eastAsia" w:ascii="仿宋" w:hAnsi="仿宋"/>
                <w:kern w:val="2"/>
                <w:sz w:val="24"/>
                <w:szCs w:val="24"/>
              </w:rPr>
              <w:t>提升信贷服务水平，积极推动商业银行下沉服务，持续深化信用数据对小微企业信用贷款的支撑。加强水电气、纳税、社保等信用信息归集共享，为增加普惠金融服务创造条件。</w:t>
            </w:r>
          </w:p>
          <w:p>
            <w:pPr>
              <w:pStyle w:val="51"/>
              <w:spacing w:line="500" w:lineRule="exact"/>
              <w:ind w:firstLine="480"/>
              <w:rPr>
                <w:rFonts w:ascii="仿宋" w:hAnsi="仿宋"/>
                <w:kern w:val="2"/>
                <w:sz w:val="24"/>
                <w:szCs w:val="24"/>
              </w:rPr>
            </w:pPr>
            <w:r>
              <w:rPr>
                <w:rFonts w:hint="eastAsia" w:ascii="楷体" w:hAnsi="楷体" w:eastAsia="楷体" w:cs="楷体"/>
                <w:kern w:val="2"/>
                <w:sz w:val="24"/>
                <w:szCs w:val="24"/>
              </w:rPr>
              <w:t>土地要素保障能力提升行动。</w:t>
            </w:r>
            <w:r>
              <w:rPr>
                <w:rFonts w:hint="eastAsia" w:ascii="仿宋" w:hAnsi="仿宋"/>
                <w:kern w:val="2"/>
                <w:sz w:val="24"/>
                <w:szCs w:val="24"/>
              </w:rPr>
              <w:t>支持高新区等各类开发区、园区率先开展“标准地+承诺制”改革，在土地出让前完成地块的空间生态环境、节能、地质灾害危险性、矿产资源压覆、文物勘探、水土保持和地震安全性等区域评估，大幅压缩企业投资项目落地时间。</w:t>
            </w:r>
          </w:p>
          <w:p>
            <w:pPr>
              <w:pStyle w:val="51"/>
              <w:spacing w:line="500" w:lineRule="exact"/>
              <w:ind w:firstLine="480"/>
              <w:rPr>
                <w:rFonts w:ascii="仿宋" w:hAnsi="仿宋"/>
                <w:kern w:val="2"/>
                <w:sz w:val="24"/>
                <w:szCs w:val="24"/>
              </w:rPr>
            </w:pPr>
            <w:r>
              <w:rPr>
                <w:rFonts w:hint="eastAsia" w:ascii="楷体" w:hAnsi="楷体" w:eastAsia="楷体" w:cs="楷体"/>
                <w:kern w:val="2"/>
                <w:sz w:val="24"/>
                <w:szCs w:val="24"/>
              </w:rPr>
              <w:t>电力要素保障能力提升行动。</w:t>
            </w:r>
            <w:r>
              <w:rPr>
                <w:rFonts w:hint="eastAsia" w:ascii="仿宋" w:hAnsi="仿宋"/>
                <w:kern w:val="2"/>
                <w:sz w:val="24"/>
                <w:szCs w:val="24"/>
              </w:rPr>
              <w:t>优化电力接入流程，推行并联审批、限时办结，提高办理效率。对于符合条件的低压短距离电力接入工程，积极探索实行告知承诺制、审批改备案或取消审批等方式。</w:t>
            </w:r>
          </w:p>
          <w:p>
            <w:pPr>
              <w:pStyle w:val="51"/>
              <w:spacing w:line="500" w:lineRule="exact"/>
              <w:ind w:firstLine="480"/>
              <w:rPr>
                <w:rFonts w:ascii="仿宋" w:hAnsi="仿宋"/>
                <w:kern w:val="2"/>
                <w:sz w:val="24"/>
                <w:szCs w:val="24"/>
              </w:rPr>
            </w:pPr>
            <w:r>
              <w:rPr>
                <w:rFonts w:hint="eastAsia" w:ascii="楷体" w:hAnsi="楷体" w:eastAsia="楷体" w:cs="楷体"/>
                <w:kern w:val="2"/>
                <w:sz w:val="24"/>
                <w:szCs w:val="24"/>
              </w:rPr>
              <w:t>水、气要素保障能力提升行动。</w:t>
            </w:r>
            <w:r>
              <w:rPr>
                <w:rFonts w:hint="eastAsia" w:ascii="仿宋" w:hAnsi="仿宋"/>
                <w:kern w:val="2"/>
                <w:sz w:val="24"/>
                <w:szCs w:val="24"/>
              </w:rPr>
              <w:t>持续优化用水流程，通过手机客户端、微信公众号等方式及时公布办理流程、办理时限、收费标准和相关政策。整合优化用水、用气报装外线施工办理程序，实行水、气接入外线工程规划许可、绿化许可、路政许可、占掘路许可等环节并联审批、同步办理。</w:t>
            </w:r>
          </w:p>
          <w:p>
            <w:pPr>
              <w:pStyle w:val="51"/>
              <w:spacing w:line="500" w:lineRule="exact"/>
              <w:ind w:firstLine="480"/>
              <w:rPr>
                <w:kern w:val="2"/>
                <w:sz w:val="24"/>
                <w:szCs w:val="24"/>
              </w:rPr>
            </w:pPr>
            <w:r>
              <w:rPr>
                <w:rFonts w:hint="eastAsia" w:ascii="楷体" w:hAnsi="楷体" w:eastAsia="楷体" w:cs="楷体"/>
                <w:kern w:val="2"/>
                <w:sz w:val="24"/>
                <w:szCs w:val="24"/>
              </w:rPr>
              <w:t>劳动力要素保障能力提升行动。</w:t>
            </w:r>
            <w:r>
              <w:rPr>
                <w:rFonts w:hint="eastAsia" w:ascii="仿宋" w:hAnsi="仿宋"/>
                <w:kern w:val="2"/>
                <w:sz w:val="24"/>
                <w:szCs w:val="24"/>
              </w:rPr>
              <w:t>推动就业创业服务向县、镇、村延伸，开展“一站式”“全方位”就业创业服务。开展人力资源社会保障信息化便民服务创新提升行动，为劳动者和市场主体提供用工对接、就业创业、权益保障等公共就业服务。</w:t>
            </w:r>
          </w:p>
          <w:p>
            <w:pPr>
              <w:pStyle w:val="51"/>
              <w:spacing w:line="500" w:lineRule="exact"/>
              <w:ind w:firstLine="480"/>
              <w:rPr>
                <w:rFonts w:ascii="仿宋" w:hAnsi="仿宋"/>
                <w:kern w:val="2"/>
                <w:sz w:val="24"/>
                <w:szCs w:val="32"/>
              </w:rPr>
            </w:pPr>
            <w:r>
              <w:rPr>
                <w:rFonts w:hint="eastAsia" w:ascii="楷体" w:hAnsi="楷体" w:eastAsia="楷体" w:cs="楷体"/>
                <w:kern w:val="2"/>
                <w:sz w:val="24"/>
                <w:szCs w:val="24"/>
              </w:rPr>
              <w:t>降低物流成本。</w:t>
            </w:r>
            <w:r>
              <w:rPr>
                <w:rFonts w:hint="eastAsia" w:ascii="仿宋" w:hAnsi="仿宋"/>
                <w:kern w:val="2"/>
                <w:sz w:val="24"/>
                <w:szCs w:val="24"/>
              </w:rPr>
              <w:t>鼓励有条件的地方回购经营性普通收费公路收费权，对物流车辆实行免费通行。优化网络货运线上服务能力认定流程和货车通行管控，对符合标准的新能源城市配送车辆给予通行便利。</w:t>
            </w:r>
          </w:p>
        </w:tc>
      </w:tr>
    </w:tbl>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三、营造投资贸易自由便利环境</w:t>
      </w:r>
    </w:p>
    <w:p>
      <w:pPr>
        <w:pStyle w:val="51"/>
        <w:ind w:firstLine="640"/>
        <w:rPr>
          <w:sz w:val="32"/>
          <w:szCs w:val="32"/>
        </w:rPr>
      </w:pPr>
      <w:r>
        <w:rPr>
          <w:rFonts w:hint="eastAsia"/>
          <w:sz w:val="32"/>
          <w:szCs w:val="32"/>
        </w:rPr>
        <w:t>——推进通关改革、口岸服务。提高通关效率，深化“两步申报”“两段准入”等改革举措，鼓励引导企业采用“提前申报”，优化通关模式。推进多式联运体系建设，推动空、铁、公、河、海不同运输方式间无缝高效对接。强化口岸收费目录清单管理，进一步规范和降低口岸查验服务性收费，持续补充特殊监管区域经营服务收费清单，明确收费标准，落实降费措施，进一步降低通关整体费用。支持船代、货代、报关、运输、检疫处理和仓储企业在“单一窗口”开发收费查询功能，推动“单一窗口”与更多市场收费主体的网上收费系统深度融合。提升口岸物流作业效率，以集装箱设备交接单无纸化平台为依托，深化和拓展平台功能，进一步打通物流环节堵点，提高物流效率。鼓励社会物流平台通过市场化手段提升物流信息电子化、智能化水平，高效合理配置物流资源。优化口岸信用监管机制，完善通关流程公示制度，细化通关流程，明确查验标准和时限。</w:t>
      </w:r>
    </w:p>
    <w:p>
      <w:pPr>
        <w:pStyle w:val="51"/>
        <w:ind w:firstLine="640"/>
        <w:rPr>
          <w:sz w:val="32"/>
          <w:szCs w:val="32"/>
        </w:rPr>
      </w:pPr>
      <w:r>
        <w:rPr>
          <w:rFonts w:hint="eastAsia"/>
          <w:sz w:val="32"/>
          <w:szCs w:val="32"/>
        </w:rPr>
        <w:t>——优化跨境金融环境。加快建设国家级跨境电子商务综合试验区，推进企业登记系统升级，协助投资主体做好项目前期工作，优化境外投资管理服务</w:t>
      </w:r>
      <w:r>
        <w:rPr>
          <w:sz w:val="32"/>
          <w:szCs w:val="32"/>
        </w:rPr>
        <w:t>。</w:t>
      </w:r>
      <w:r>
        <w:rPr>
          <w:rFonts w:hint="eastAsia"/>
          <w:sz w:val="32"/>
          <w:szCs w:val="32"/>
        </w:rPr>
        <w:t>提升跨境投资金融服务效能，扩大出口信用保险覆盖面，加大对外贸易企业尤其是中小微企业信贷投放。积极推动河南自贸区联动发展区申建，开展跨境便利化标准化试点。加快卧龙综合保税区体制机制改革，围绕管理体制、协调机制、审批赋权、行政管理等方面，健全完善权责明确、协调顺畅、运行高效的综合保税区创新发展体制机制，推进关税保证保险改革，探索建立适应先进制造业、科技创新发展的综合保税区便利化通关新模式。出台培育跨境电商产业园区配套措施，探索支持引进跨境电商龙头企业金融政策，完善跨境电商产业链和生态圈。</w:t>
      </w:r>
    </w:p>
    <w:p>
      <w:pPr>
        <w:pStyle w:val="51"/>
        <w:ind w:firstLine="640"/>
        <w:rPr>
          <w:sz w:val="32"/>
          <w:szCs w:val="32"/>
        </w:rPr>
      </w:pPr>
      <w:r>
        <w:rPr>
          <w:rFonts w:hint="eastAsia"/>
          <w:sz w:val="32"/>
          <w:szCs w:val="32"/>
        </w:rPr>
        <w:t>——优化外贸外资企业经营环境。发挥国家级、省级外贸转型升级基地带动作用，坚持严格依法平等保护中外当事人合法权益，不断优化推动企业开放发展的法治环境。全面落实准入前国民待遇加负面清单管理制度，建立外商投资企业投诉工作机制，及时处理和反馈外商投诉问题</w:t>
      </w:r>
      <w:r>
        <w:rPr>
          <w:sz w:val="32"/>
          <w:szCs w:val="32"/>
        </w:rPr>
        <w:t>。</w:t>
      </w:r>
      <w:r>
        <w:rPr>
          <w:rFonts w:hint="eastAsia"/>
          <w:sz w:val="32"/>
          <w:szCs w:val="32"/>
        </w:rPr>
        <w:t>健全外商投资促进机制，建立专业化国际招商团队，完善重点外贸外资企业联系服务机制，促进贸易和投资国际化、自由化、便利化，建成对外贸易发展新高地。</w:t>
      </w:r>
    </w:p>
    <w:tbl>
      <w:tblPr>
        <w:tblStyle w:val="26"/>
        <w:tblpPr w:leftFromText="180" w:rightFromText="180" w:vertAnchor="text" w:horzAnchor="page" w:tblpX="1902" w:tblpY="315"/>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Layout w:type="fixed"/>
        <w:tblCellMar>
          <w:top w:w="0" w:type="dxa"/>
          <w:left w:w="108" w:type="dxa"/>
          <w:bottom w:w="0" w:type="dxa"/>
          <w:right w:w="108" w:type="dxa"/>
        </w:tblCellMar>
      </w:tblPr>
      <w:tblGrid>
        <w:gridCol w:w="8500"/>
      </w:tblGrid>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108" w:type="dxa"/>
            <w:bottom w:w="0" w:type="dxa"/>
            <w:right w:w="108" w:type="dxa"/>
          </w:tblCellMar>
        </w:tblPrEx>
        <w:trPr>
          <w:trHeight w:val="57" w:hRule="atLeast"/>
          <w:tblHeader/>
        </w:trPr>
        <w:tc>
          <w:tcPr>
            <w:tcW w:w="8500" w:type="dxa"/>
          </w:tcPr>
          <w:p>
            <w:pPr>
              <w:overflowPunct w:val="0"/>
              <w:spacing w:line="600" w:lineRule="exact"/>
              <w:jc w:val="center"/>
              <w:rPr>
                <w:rFonts w:ascii="黑体" w:hAnsi="黑体" w:eastAsia="黑体"/>
                <w:kern w:val="0"/>
                <w:sz w:val="28"/>
                <w:szCs w:val="28"/>
              </w:rPr>
            </w:pPr>
            <w:r>
              <w:rPr>
                <w:rFonts w:hint="eastAsia" w:ascii="黑体" w:hAnsi="黑体" w:eastAsia="黑体"/>
                <w:kern w:val="0"/>
                <w:sz w:val="28"/>
                <w:szCs w:val="28"/>
              </w:rPr>
              <w:t>专栏3：投资贸易便利化提升专项行动</w:t>
            </w:r>
          </w:p>
        </w:tc>
      </w:tr>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PrEx>
        <w:trPr>
          <w:trHeight w:val="3240" w:hRule="atLeast"/>
        </w:trPr>
        <w:tc>
          <w:tcPr>
            <w:tcW w:w="8500" w:type="dxa"/>
          </w:tcPr>
          <w:p>
            <w:pPr>
              <w:pStyle w:val="10"/>
              <w:spacing w:line="500" w:lineRule="exact"/>
              <w:ind w:firstLine="480"/>
              <w:rPr>
                <w:rFonts w:ascii="仿宋" w:hAnsi="仿宋" w:eastAsia="仿宋"/>
                <w:kern w:val="0"/>
                <w:sz w:val="24"/>
                <w:szCs w:val="24"/>
              </w:rPr>
            </w:pPr>
            <w:r>
              <w:rPr>
                <w:rFonts w:hint="eastAsia" w:ascii="楷体" w:hAnsi="楷体" w:eastAsia="楷体" w:cs="楷体"/>
                <w:kern w:val="0"/>
                <w:sz w:val="24"/>
                <w:szCs w:val="24"/>
              </w:rPr>
              <w:t>压缩通关时间。</w:t>
            </w:r>
            <w:r>
              <w:rPr>
                <w:rFonts w:ascii="仿宋" w:hAnsi="仿宋" w:eastAsia="仿宋"/>
                <w:kern w:val="0"/>
                <w:sz w:val="24"/>
                <w:szCs w:val="24"/>
              </w:rPr>
              <w:t>简化和下放部分海关内部核批作业，“两步作业”减为“一步作业”。推广进出口“提前申报”，完善容错机制，推行无纸化通关模式，进一步压缩进出口货物通关时间</w:t>
            </w:r>
            <w:r>
              <w:rPr>
                <w:rFonts w:hint="eastAsia" w:ascii="仿宋" w:hAnsi="仿宋" w:eastAsia="仿宋"/>
                <w:kern w:val="0"/>
                <w:sz w:val="24"/>
                <w:szCs w:val="24"/>
              </w:rPr>
              <w:t>。</w:t>
            </w:r>
          </w:p>
          <w:p>
            <w:pPr>
              <w:pStyle w:val="10"/>
              <w:overflowPunct w:val="0"/>
              <w:spacing w:line="500" w:lineRule="exact"/>
              <w:ind w:firstLine="480"/>
            </w:pPr>
            <w:r>
              <w:rPr>
                <w:rFonts w:hint="eastAsia" w:ascii="楷体" w:hAnsi="楷体" w:eastAsia="楷体" w:cs="楷体"/>
                <w:kern w:val="0"/>
                <w:sz w:val="24"/>
                <w:szCs w:val="24"/>
              </w:rPr>
              <w:t>加强“单一窗口”应用。</w:t>
            </w:r>
            <w:r>
              <w:rPr>
                <w:rFonts w:hint="eastAsia" w:ascii="仿宋" w:hAnsi="仿宋" w:eastAsia="仿宋"/>
                <w:kern w:val="0"/>
                <w:sz w:val="24"/>
                <w:szCs w:val="24"/>
              </w:rPr>
              <w:t>加强国际贸易“单一窗口”与税务、银行、保险、民航、铁路、港口等相关行业机构对接，实现查验通知信息与口岸信息双向交互、出口退税在线办理。</w:t>
            </w:r>
          </w:p>
        </w:tc>
      </w:tr>
    </w:tbl>
    <w:p>
      <w:pPr>
        <w:pStyle w:val="51"/>
        <w:spacing w:line="200" w:lineRule="exact"/>
        <w:ind w:firstLine="640"/>
        <w:rPr>
          <w:sz w:val="32"/>
          <w:szCs w:val="32"/>
        </w:rPr>
      </w:pPr>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四、完善市场主体产权保护制度</w:t>
      </w:r>
    </w:p>
    <w:p>
      <w:pPr>
        <w:pStyle w:val="51"/>
        <w:spacing w:line="560" w:lineRule="exact"/>
        <w:ind w:firstLine="640"/>
        <w:rPr>
          <w:sz w:val="32"/>
          <w:szCs w:val="32"/>
        </w:rPr>
      </w:pPr>
      <w:r>
        <w:rPr>
          <w:rFonts w:hint="eastAsia"/>
          <w:sz w:val="32"/>
          <w:szCs w:val="32"/>
        </w:rPr>
        <w:t>——创新产权纠纷化解方式。健全知识产权、不动产等重点领域法规，推动制定数据资源产权等新兴领域法规，明晰产权归属、完善产权权能。严格规范公正文明执法要求，慎用查封、扣押、冻结等措施，保障企业和企业家合法财产不受侵犯、合法经营不受干扰。依法公正审理行政协议、财产征收征用等案件，完善案件申诉、复核、重审等保护机制，提高司法保护实效。在不动产、知识产权、金融等领域，探索建立产权纠纷中立评估制度，提高维权效率、降低维权成本。强化政府产权保护责任。健全产权保护协调工作机制，完善各部门产权保护职责，加强对自然资源、知识产权、金融等领域和国有、集体、民营、外资等对象产权保护调查研究，强化部门协作联动。加强涉政府产权纠纷相关制度建设，搭建纠纷线索公开征集渠道，明确损失补偿标准，建立诉讼执行协调机制，有效促进纠纷化解，维护市场主体合法权益。</w:t>
      </w:r>
      <w:r>
        <w:rPr>
          <w:rFonts w:hint="eastAsia"/>
          <w:sz w:val="32"/>
          <w:szCs w:val="32"/>
          <w:shd w:val="clear" w:color="auto" w:fill="FFFFFF"/>
        </w:rPr>
        <w:t>完善知识产权纠纷调解机制，</w:t>
      </w:r>
      <w:r>
        <w:rPr>
          <w:sz w:val="32"/>
          <w:szCs w:val="32"/>
          <w:shd w:val="clear" w:color="auto" w:fill="FFFFFF"/>
        </w:rPr>
        <w:t>推动知识产权纠纷多元化解决</w:t>
      </w:r>
      <w:r>
        <w:rPr>
          <w:rFonts w:hint="eastAsia"/>
          <w:sz w:val="32"/>
          <w:szCs w:val="32"/>
          <w:shd w:val="clear" w:color="auto" w:fill="FFFFFF"/>
        </w:rPr>
        <w:t>，加快建设完善南阳市知识产权非诉纠纷调解机构。</w:t>
      </w:r>
    </w:p>
    <w:p>
      <w:pPr>
        <w:widowControl/>
        <w:spacing w:line="560" w:lineRule="exact"/>
        <w:ind w:firstLine="640" w:firstLineChars="200"/>
        <w:jc w:val="left"/>
        <w:rPr>
          <w:rFonts w:ascii="仿宋" w:hAnsi="仿宋" w:eastAsia="仿宋"/>
        </w:rPr>
      </w:pPr>
      <w:r>
        <w:rPr>
          <w:rFonts w:hint="eastAsia" w:ascii="Times New Roman" w:hAnsi="Times New Roman" w:eastAsia="仿宋"/>
        </w:rPr>
        <w:t>——深化知识产权保护制度改革。</w:t>
      </w:r>
      <w:r>
        <w:rPr>
          <w:rFonts w:hint="eastAsia" w:ascii="仿宋" w:hAnsi="仿宋" w:eastAsia="仿宋"/>
        </w:rPr>
        <w:t>健全知识产权法规制度和标准体系，完善数字产品专利、商业标志权益、商业秘密、著作权、地理标志等地方保护制度，强化知识产权保护制度保障。持续推进重点领域研发计划等重大科技知识产权管理，引导在科技创新中形成关键核心技术专利组合，提升全市知识产权保护社会满意度。加大知识产权执法力度，加快建设知识产权维权工作站网，严格执行知识产权侵权惩罚性赔偿制度，严厉打击侵权行为，大幅提高侵权成本。加强知识产权保护机构建设，充分发挥南阳市知识产权维权保护中心快速维权、保护协作等作用，在重点园区设立公共服务工作站、调解工作室。推动业务受理向开发区延伸，强化对众创空间、科技孵化器等创业创新基地的维权援助服务，形成市、区、园区三级知识产权公共服务体系。组建南阳市知识产权专家委员会，建立技术调查官制度，发挥知识产权人才聚集优势。开展知识产权质押融资及银企对接活动。到2025年，力争全市每万人发明专利拥有量达到4.7件以上，全市知识产权质押贷款合同登记总量同比增长</w:t>
      </w:r>
      <w:r>
        <w:rPr>
          <w:rFonts w:ascii="仿宋" w:hAnsi="仿宋" w:eastAsia="仿宋"/>
        </w:rPr>
        <w:t>20</w:t>
      </w:r>
      <w:r>
        <w:rPr>
          <w:rFonts w:hint="eastAsia" w:ascii="仿宋" w:hAnsi="仿宋" w:eastAsia="仿宋"/>
        </w:rPr>
        <w:t>%</w:t>
      </w:r>
      <w:r>
        <w:rPr>
          <w:rFonts w:ascii="仿宋" w:hAnsi="仿宋" w:eastAsia="仿宋"/>
        </w:rPr>
        <w:t>。</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Layout w:type="fixed"/>
        <w:tblCellMar>
          <w:top w:w="0" w:type="dxa"/>
          <w:left w:w="108" w:type="dxa"/>
          <w:bottom w:w="0" w:type="dxa"/>
          <w:right w:w="108" w:type="dxa"/>
        </w:tblCellMar>
      </w:tblPr>
      <w:tblGrid>
        <w:gridCol w:w="8500"/>
      </w:tblGrid>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108" w:type="dxa"/>
            <w:bottom w:w="0" w:type="dxa"/>
            <w:right w:w="108" w:type="dxa"/>
          </w:tblCellMar>
        </w:tblPrEx>
        <w:trPr>
          <w:trHeight w:val="57" w:hRule="atLeast"/>
          <w:tblHeader/>
          <w:jc w:val="center"/>
        </w:trPr>
        <w:tc>
          <w:tcPr>
            <w:tcW w:w="8500" w:type="dxa"/>
          </w:tcPr>
          <w:p>
            <w:pPr>
              <w:overflowPunct w:val="0"/>
              <w:spacing w:line="600" w:lineRule="exact"/>
              <w:jc w:val="center"/>
              <w:rPr>
                <w:rFonts w:ascii="黑体" w:hAnsi="黑体" w:eastAsia="黑体"/>
                <w:kern w:val="0"/>
                <w:sz w:val="28"/>
                <w:szCs w:val="28"/>
              </w:rPr>
            </w:pPr>
            <w:r>
              <w:rPr>
                <w:rFonts w:hint="eastAsia" w:ascii="黑体" w:hAnsi="黑体" w:eastAsia="黑体"/>
                <w:kern w:val="0"/>
                <w:sz w:val="28"/>
                <w:szCs w:val="28"/>
              </w:rPr>
              <w:t>专栏</w:t>
            </w:r>
            <w:r>
              <w:rPr>
                <w:rFonts w:ascii="黑体" w:hAnsi="黑体" w:eastAsia="黑体"/>
                <w:kern w:val="0"/>
                <w:sz w:val="28"/>
                <w:szCs w:val="28"/>
              </w:rPr>
              <w:t>4</w:t>
            </w:r>
            <w:r>
              <w:rPr>
                <w:rFonts w:hint="eastAsia" w:ascii="黑体" w:hAnsi="黑体" w:eastAsia="黑体"/>
                <w:kern w:val="0"/>
                <w:sz w:val="28"/>
                <w:szCs w:val="28"/>
              </w:rPr>
              <w:t>：知识产权保护提升专项行动</w:t>
            </w:r>
          </w:p>
        </w:tc>
      </w:tr>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108" w:type="dxa"/>
            <w:bottom w:w="0" w:type="dxa"/>
            <w:right w:w="108" w:type="dxa"/>
          </w:tblCellMar>
        </w:tblPrEx>
        <w:trPr>
          <w:trHeight w:val="690" w:hRule="atLeast"/>
          <w:jc w:val="center"/>
        </w:trPr>
        <w:tc>
          <w:tcPr>
            <w:tcW w:w="8500" w:type="dxa"/>
          </w:tcPr>
          <w:p>
            <w:pPr>
              <w:pStyle w:val="10"/>
              <w:overflowPunct w:val="0"/>
              <w:spacing w:line="500" w:lineRule="exact"/>
              <w:ind w:firstLine="480"/>
              <w:rPr>
                <w:rFonts w:ascii="仿宋_GB2312" w:hAnsi="仿宋_GB2312" w:cs="仿宋_GB2312"/>
                <w:kern w:val="0"/>
                <w:sz w:val="24"/>
                <w:szCs w:val="24"/>
              </w:rPr>
            </w:pPr>
            <w:r>
              <w:rPr>
                <w:rFonts w:hint="eastAsia" w:ascii="楷体" w:hAnsi="楷体" w:eastAsia="楷体" w:cs="楷体"/>
                <w:kern w:val="0"/>
                <w:sz w:val="24"/>
                <w:szCs w:val="24"/>
              </w:rPr>
              <w:t>强化知识产权保护。</w:t>
            </w:r>
            <w:r>
              <w:rPr>
                <w:rFonts w:hint="eastAsia" w:ascii="仿宋_GB2312" w:hAnsi="仿宋_GB2312" w:cs="仿宋_GB2312"/>
                <w:kern w:val="0"/>
                <w:sz w:val="24"/>
                <w:szCs w:val="24"/>
              </w:rPr>
              <w:t>加强知识产权维权援助公共服务职能，完善全市知识产权仲裁、调解工作机制，构建多元化纠纷解决体系。健全知识产权保护运用体制，加强对知识产权保护的宣传力度，提高公众知识产权保护意识。</w:t>
            </w:r>
          </w:p>
          <w:p>
            <w:pPr>
              <w:overflowPunct w:val="0"/>
              <w:spacing w:line="500" w:lineRule="exact"/>
              <w:ind w:firstLine="480" w:firstLineChars="200"/>
              <w:rPr>
                <w:rFonts w:ascii="仿宋_GB2312" w:hAnsi="仿宋_GB2312" w:cs="仿宋_GB2312"/>
                <w:kern w:val="0"/>
                <w:sz w:val="24"/>
                <w:szCs w:val="24"/>
              </w:rPr>
            </w:pPr>
            <w:r>
              <w:rPr>
                <w:rFonts w:hint="eastAsia" w:ascii="楷体" w:hAnsi="楷体" w:eastAsia="楷体" w:cs="楷体"/>
                <w:kern w:val="0"/>
                <w:sz w:val="24"/>
                <w:szCs w:val="24"/>
              </w:rPr>
              <w:t>规范商标代理行为。</w:t>
            </w:r>
            <w:r>
              <w:rPr>
                <w:rFonts w:hint="eastAsia" w:ascii="仿宋_GB2312" w:hAnsi="仿宋_GB2312" w:cs="仿宋_GB2312"/>
                <w:kern w:val="0"/>
                <w:sz w:val="24"/>
                <w:szCs w:val="24"/>
              </w:rPr>
              <w:t>持续打击和遏制不以使用为目的的商标囤积和恶意注册，规范商标代理行为，加大对商标抢注、非正常专利申请等违法行为的处罚力度。积极申请设立商标业务受理窗口。</w:t>
            </w:r>
          </w:p>
          <w:p>
            <w:pPr>
              <w:overflowPunct w:val="0"/>
              <w:spacing w:line="500" w:lineRule="exact"/>
              <w:ind w:firstLine="480" w:firstLineChars="200"/>
              <w:rPr>
                <w:rFonts w:ascii="Times New Roman" w:hAnsi="Times New Roman"/>
                <w:kern w:val="0"/>
                <w:sz w:val="24"/>
              </w:rPr>
            </w:pPr>
            <w:r>
              <w:rPr>
                <w:rFonts w:hint="eastAsia" w:ascii="楷体" w:hAnsi="楷体" w:eastAsia="楷体" w:cs="楷体"/>
                <w:kern w:val="0"/>
                <w:sz w:val="24"/>
                <w:szCs w:val="24"/>
              </w:rPr>
              <w:t>促进知识产权管理和运用。</w:t>
            </w:r>
            <w:r>
              <w:rPr>
                <w:rFonts w:hint="eastAsia" w:ascii="仿宋_GB2312" w:hAnsi="仿宋_GB2312" w:cs="仿宋_GB2312"/>
                <w:kern w:val="0"/>
                <w:sz w:val="24"/>
                <w:szCs w:val="24"/>
              </w:rPr>
              <w:t>推进企业知识产权贯标工作，培育知识产权优势企业、示范企业，形成一批具有知识产权创造、运用、保护优势的知识产权强企。加大政策支持，推进企业知识产权质押融资工作。</w:t>
            </w:r>
          </w:p>
        </w:tc>
      </w:tr>
    </w:tbl>
    <w:p>
      <w:pPr>
        <w:pStyle w:val="51"/>
        <w:ind w:firstLine="0" w:firstLineChars="0"/>
        <w:jc w:val="center"/>
        <w:outlineLvl w:val="1"/>
        <w:rPr>
          <w:rFonts w:ascii="楷体" w:hAnsi="楷体" w:eastAsia="楷体" w:cs="楷体"/>
          <w:sz w:val="32"/>
          <w:szCs w:val="32"/>
        </w:rPr>
      </w:pPr>
      <w:bookmarkStart w:id="50" w:name="_Toc24404"/>
      <w:bookmarkStart w:id="51" w:name="_Toc12604"/>
      <w:bookmarkStart w:id="52" w:name="_Toc7881"/>
      <w:r>
        <w:rPr>
          <w:rFonts w:hint="eastAsia" w:ascii="楷体" w:hAnsi="楷体" w:eastAsia="楷体" w:cs="楷体"/>
          <w:sz w:val="32"/>
          <w:szCs w:val="32"/>
        </w:rPr>
        <w:t>第四节  营造降本增效的经营环境</w:t>
      </w:r>
      <w:bookmarkEnd w:id="50"/>
      <w:bookmarkEnd w:id="51"/>
      <w:bookmarkEnd w:id="52"/>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一、降低企业经营成本</w:t>
      </w:r>
    </w:p>
    <w:p>
      <w:pPr>
        <w:pStyle w:val="51"/>
        <w:ind w:firstLine="640"/>
        <w:rPr>
          <w:sz w:val="32"/>
          <w:szCs w:val="32"/>
        </w:rPr>
      </w:pPr>
      <w:r>
        <w:rPr>
          <w:rFonts w:hint="eastAsia"/>
          <w:sz w:val="32"/>
          <w:szCs w:val="32"/>
        </w:rPr>
        <w:t>——落实好减税降费政策。落实国家相关税收优惠政策，推进“一网、一门、一次、一窗”改革</w:t>
      </w:r>
      <w:r>
        <w:rPr>
          <w:sz w:val="32"/>
          <w:szCs w:val="32"/>
        </w:rPr>
        <w:t>，</w:t>
      </w:r>
      <w:r>
        <w:rPr>
          <w:rFonts w:hint="eastAsia"/>
          <w:sz w:val="32"/>
          <w:szCs w:val="32"/>
        </w:rPr>
        <w:t>开展“多税合一综合申报”，实现“一次申报、一次缴款、一张凭证”，精简税收优惠办理流程。优化多缴退税办理流程，积极推进电子退库、更正、免抵调业务，完善退税管理和优化出口退税服务。持续开展涉企收费专项治理，完善涉税收费监管制度，健全治理违规涉企收费成效评估机制，坚决防止违规征税收费，避免减税降费红利被截留。对大中小微企业分类实施阶段性减、免、缓缴基本养老保险、基本医疗保险、失业保险、工伤保险的政策。到2025年，纳税时间压减至65小时以内，企业出口退税平均办理时间压缩至6个工作日内。</w:t>
      </w:r>
    </w:p>
    <w:p>
      <w:pPr>
        <w:pStyle w:val="51"/>
        <w:ind w:firstLine="640"/>
        <w:rPr>
          <w:sz w:val="32"/>
          <w:szCs w:val="32"/>
        </w:rPr>
      </w:pPr>
      <w:r>
        <w:rPr>
          <w:rFonts w:hint="eastAsia"/>
          <w:sz w:val="32"/>
          <w:szCs w:val="32"/>
        </w:rPr>
        <w:t>——降低企业用能成本。推进水、电、气、暖接入服务标准化，规范供水、供电、供气、供暖企业下属产业单位市场行为，提高收费价格透明度和缴费便利度。对大中型企业统筹实施电能代替、综合能源和需求响应，提供定制化用能解决方案，对小微企业合理确定用电申请容量、科学选择标准化的设备和设施，帮助企业压减工程造价、降低后续运维成本。降低企业用能成本，规范供电企业下属产业单位市场行为，进一步清理用电不合理加价，切实降低企业办电成本。对新增可再生能源和原料用能不纳入能源消费总量控制，清理规范天然气管道收费，严格成本监审，降低企业用气成本。利用市场化机制形成供暖工程安装收费标准，加强对供暖工程安装环节中的价格欺诈、价格串通、牟取暴利等不正当价格行为的监督检查。</w:t>
      </w:r>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二、健全政策支持体系</w:t>
      </w:r>
    </w:p>
    <w:p>
      <w:pPr>
        <w:pStyle w:val="51"/>
        <w:ind w:firstLine="640"/>
        <w:rPr>
          <w:sz w:val="32"/>
          <w:szCs w:val="32"/>
        </w:rPr>
      </w:pPr>
      <w:r>
        <w:rPr>
          <w:rFonts w:hint="eastAsia"/>
          <w:sz w:val="32"/>
          <w:szCs w:val="32"/>
        </w:rPr>
        <w:t>——支持中小微企业发展政策。贯彻《中共南阳市委 南阳市人民政府关于促进非公有制经济健康发展的意见》（宛发</w:t>
      </w:r>
      <w:r>
        <w:rPr>
          <w:rFonts w:hint="eastAsia" w:ascii="仿宋" w:hAnsi="仿宋" w:cs="仿宋"/>
          <w:sz w:val="32"/>
          <w:szCs w:val="32"/>
        </w:rPr>
        <w:t>〔2019〕5号</w:t>
      </w:r>
      <w:r>
        <w:rPr>
          <w:rFonts w:hint="eastAsia"/>
          <w:sz w:val="32"/>
          <w:szCs w:val="32"/>
        </w:rPr>
        <w:t>），全面落实小微企业税收优惠政策。发挥政府产业投资基金的带动作用，鼓励支持企业运用多层次资本市场直接融资。加大对中小微企业、个体工商户等贷款支持力度，推进金融产品创新，运用金融科技手段优化信贷流程，</w:t>
      </w:r>
      <w:r>
        <w:rPr>
          <w:sz w:val="32"/>
          <w:szCs w:val="32"/>
          <w:shd w:val="clear" w:color="auto" w:fill="FFFFFF"/>
        </w:rPr>
        <w:t>降低信贷综合成本</w:t>
      </w:r>
      <w:r>
        <w:rPr>
          <w:rFonts w:hint="eastAsia"/>
          <w:sz w:val="32"/>
          <w:szCs w:val="32"/>
        </w:rPr>
        <w:t>。发挥行业协会商会桥梁纽带作用，鼓励行业协会商会制定发布产品和服务标准，参与惠企政策调研制定。</w:t>
      </w:r>
    </w:p>
    <w:p>
      <w:pPr>
        <w:pStyle w:val="51"/>
        <w:ind w:firstLine="640"/>
        <w:rPr>
          <w:sz w:val="32"/>
          <w:szCs w:val="32"/>
        </w:rPr>
      </w:pPr>
      <w:r>
        <w:rPr>
          <w:rFonts w:hint="eastAsia"/>
          <w:sz w:val="32"/>
          <w:szCs w:val="32"/>
        </w:rPr>
        <w:t>——推进惠企政策兑现。依托“</w:t>
      </w:r>
      <w:r>
        <w:rPr>
          <w:sz w:val="32"/>
          <w:szCs w:val="32"/>
        </w:rPr>
        <w:t>宛快办</w:t>
      </w:r>
      <w:r>
        <w:rPr>
          <w:rFonts w:hint="eastAsia"/>
          <w:sz w:val="32"/>
          <w:szCs w:val="32"/>
        </w:rPr>
        <w:t>”平台，形成南阳市惠企政策库，优化惠企政策归口汇总机制，提高惠企政策清单更新频次，公布惠企政策清单、“免申即享”措施清单，根据企业需求精准推送政策。建立全市统一的惠企政策申报系统，全面开展措施及企业信息数据化处理，建立统一入口、一键申报、后台分送办理，实现政策线上兑付，全流程留痕可溯。落实惠企政策“服务一号通、政策一网知、需求一件办、监管一体化”，做到政策服务“精准查、智能送、免申办、数据评、全程督”。在各级行政服务中心设立惠企政策服务专窗，有条件的地区先行试点惠企政策“零差别受理”综合窗口。</w:t>
      </w:r>
    </w:p>
    <w:p>
      <w:pPr>
        <w:pStyle w:val="51"/>
        <w:ind w:firstLine="640"/>
        <w:rPr>
          <w:sz w:val="32"/>
          <w:szCs w:val="32"/>
        </w:rPr>
      </w:pPr>
      <w:r>
        <w:rPr>
          <w:rFonts w:hint="eastAsia"/>
          <w:sz w:val="32"/>
          <w:szCs w:val="32"/>
        </w:rPr>
        <w:t>——加大产业政策支持力度。通过政策性补贴和政府投资基金投资等方式，全力支持人才引育、科技创新、产业升级、重大项目等政策实施。</w:t>
      </w:r>
      <w:r>
        <w:rPr>
          <w:sz w:val="32"/>
          <w:szCs w:val="32"/>
        </w:rPr>
        <w:t>全面加强中小投资者保护。进一步畅通投资者维权渠道，妥善处理资本市场涉及投资者的矛盾纠纷，有效保护投资者合法权益。</w:t>
      </w:r>
      <w:r>
        <w:rPr>
          <w:rFonts w:hint="eastAsia"/>
          <w:sz w:val="32"/>
          <w:szCs w:val="32"/>
        </w:rPr>
        <w:t>建立市企业服务平台</w:t>
      </w:r>
      <w:r>
        <w:rPr>
          <w:sz w:val="32"/>
          <w:szCs w:val="32"/>
        </w:rPr>
        <w:t>、</w:t>
      </w:r>
      <w:r>
        <w:rPr>
          <w:rFonts w:hint="eastAsia"/>
          <w:sz w:val="32"/>
          <w:szCs w:val="32"/>
        </w:rPr>
        <w:t>APP等渠道，提供全方位、全领域、全覆盖的企业服务。</w:t>
      </w:r>
    </w:p>
    <w:p>
      <w:pPr>
        <w:pStyle w:val="55"/>
        <w:ind w:firstLine="0" w:firstLineChars="0"/>
        <w:jc w:val="center"/>
        <w:rPr>
          <w:sz w:val="32"/>
        </w:rPr>
      </w:pPr>
      <w:bookmarkStart w:id="53" w:name="_Toc15434"/>
      <w:bookmarkStart w:id="54" w:name="_Toc19776"/>
      <w:bookmarkStart w:id="55" w:name="_Toc21748"/>
      <w:r>
        <w:rPr>
          <w:rFonts w:hint="eastAsia"/>
          <w:sz w:val="32"/>
        </w:rPr>
        <w:t xml:space="preserve">第五节  </w:t>
      </w:r>
      <w:r>
        <w:rPr>
          <w:rFonts w:hint="eastAsia" w:cs="楷体"/>
          <w:sz w:val="32"/>
        </w:rPr>
        <w:t>营造</w:t>
      </w:r>
      <w:r>
        <w:rPr>
          <w:rFonts w:hint="eastAsia"/>
          <w:sz w:val="32"/>
        </w:rPr>
        <w:t>包容普惠的创新环境</w:t>
      </w:r>
      <w:bookmarkEnd w:id="53"/>
      <w:bookmarkEnd w:id="54"/>
      <w:bookmarkEnd w:id="55"/>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一、完善创新创业服务体系</w:t>
      </w:r>
    </w:p>
    <w:p>
      <w:pPr>
        <w:pStyle w:val="51"/>
        <w:ind w:firstLine="640"/>
        <w:rPr>
          <w:sz w:val="32"/>
          <w:szCs w:val="32"/>
        </w:rPr>
      </w:pPr>
      <w:r>
        <w:rPr>
          <w:rFonts w:hint="eastAsia"/>
          <w:sz w:val="32"/>
          <w:szCs w:val="32"/>
        </w:rPr>
        <w:t>——深化创新体制改革。加快探索社会主义市场经济条件下关键技术、新兴技术攻关新型举国体制的“南阳路径”。赋予用人主体更大的人才培养、引进、使用权利，允许创新领军人才拥有更大技术路线决定权、经费使用权和资源调度权，推行重大科技专项首席专家（技术总师）负责制，推进项目经费使用包干制、科研项目经理人制度等试点。建立健全科技咨询支撑行政决策的科技决策机制，更好发挥科技智库和专业研究机构作用。</w:t>
      </w:r>
    </w:p>
    <w:p>
      <w:pPr>
        <w:pStyle w:val="51"/>
        <w:ind w:firstLine="640"/>
        <w:rPr>
          <w:sz w:val="32"/>
          <w:szCs w:val="32"/>
        </w:rPr>
      </w:pPr>
      <w:r>
        <w:rPr>
          <w:rFonts w:hint="eastAsia"/>
          <w:sz w:val="32"/>
          <w:szCs w:val="32"/>
        </w:rPr>
        <w:t>——培育壮大创新主体。实施创新主体能力提升工程，强化企业的技术创新主体地位，进一步激发创新活力，增强创新动力，提升创新能力。实施科技型中小企业“春笋”计划，大力支持创新龙头企业、“瞪羚”企业和科技“雏鹰”企业做强做优，引领全市企业创新水平整体跃升。</w:t>
      </w:r>
      <w:r>
        <w:rPr>
          <w:sz w:val="32"/>
          <w:szCs w:val="32"/>
        </w:rPr>
        <w:t>加强企业上市培育力度</w:t>
      </w:r>
      <w:r>
        <w:rPr>
          <w:rFonts w:hint="eastAsia"/>
          <w:sz w:val="32"/>
          <w:szCs w:val="32"/>
        </w:rPr>
        <w:t>，切实加强对上市后备企业的辅导和培育，做好跟踪服务，支持硬核科技企业和高成长性创新创业企业在资本市场上市。</w:t>
      </w:r>
    </w:p>
    <w:p>
      <w:pPr>
        <w:pStyle w:val="51"/>
        <w:ind w:firstLine="640"/>
        <w:rPr>
          <w:sz w:val="32"/>
          <w:szCs w:val="32"/>
        </w:rPr>
      </w:pPr>
      <w:r>
        <w:rPr>
          <w:rFonts w:hint="eastAsia"/>
          <w:sz w:val="32"/>
          <w:szCs w:val="32"/>
        </w:rPr>
        <w:t>——完善资金支持体系。推动金融支持市场主体特别帮扶行动常态化，动态调整普惠特别帮扶市场主体名录库。深化“银税互动”，鼓励金融机构创新适合中小微企业的金融服务产品，加快建立贷款快速响应“123”机制，提高金融服务效率。高质量建设产业发展基金，健全政府出资产业投资基金管理机制，建立种子期、初创期企业投资容错和政府让利机制，打造覆盖“募投管退”全流程服务链条。对首次认定的创新龙头企业等创新引领型企业最高给予100 万元补助。</w:t>
      </w:r>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二、推进创新平台建设</w:t>
      </w:r>
    </w:p>
    <w:p>
      <w:pPr>
        <w:pStyle w:val="51"/>
        <w:ind w:firstLine="640"/>
        <w:rPr>
          <w:sz w:val="32"/>
          <w:szCs w:val="32"/>
        </w:rPr>
      </w:pPr>
      <w:r>
        <w:rPr>
          <w:rFonts w:hint="eastAsia"/>
          <w:sz w:val="32"/>
          <w:szCs w:val="32"/>
        </w:rPr>
        <w:t>——优化产业创新平台布局。推动中关村科技产业园提质发展，建设中关村智慧岛。以科技大市场等为载体，建立全市科技成果转移转化中心。积极培育省级科技企业孵化器和省级众创空间，鼓励企业建立工程技术研究中心、院士专家工作站、博士后科研工作站、博士后创新实践基地、学会服务站等创新平台。</w:t>
      </w:r>
    </w:p>
    <w:p>
      <w:pPr>
        <w:pStyle w:val="51"/>
        <w:ind w:firstLine="640"/>
        <w:rPr>
          <w:sz w:val="32"/>
          <w:szCs w:val="32"/>
        </w:rPr>
      </w:pPr>
      <w:r>
        <w:rPr>
          <w:rFonts w:hint="eastAsia"/>
          <w:sz w:val="32"/>
          <w:szCs w:val="32"/>
        </w:rPr>
        <w:t>——建设新兴产业创新平台。实施创新平台引领工程，建设完善的科技创新平台体系，加快高能级创新平台建设。加快中药固体制剂、功能薄膜、智慧养猪等省级技术创新中心建设，支持创建防爆电机、绿色印刷、超硬材料和人工智能、大数据等省级技术创新中心。以推动生产性服务业向专业化和价值链高端延伸为重点，积极引入汽车及零部件、绿色食品、生物产业等重点行业的高水平工业设计和科技研发机构。积极成立清华大学南阳创新研究院，筹建张仲景实验室和张衡实验室。支持各县（市、区）以县域为范围，打造产业集群，推进集群主导产业、主要企业研发机构全覆盖。围绕主导产业培育，建成一批省级技术创新中心、产业创新中心、制造业创新中心。推动企业、高等院校、科研院所共建共享共担的产学研协同创新机制，建立一批技术创新战略联盟。</w:t>
      </w:r>
    </w:p>
    <w:p>
      <w:pPr>
        <w:pStyle w:val="51"/>
        <w:ind w:firstLine="640"/>
        <w:rPr>
          <w:sz w:val="32"/>
          <w:szCs w:val="32"/>
        </w:rPr>
      </w:pPr>
      <w:r>
        <w:rPr>
          <w:rFonts w:hint="eastAsia"/>
          <w:sz w:val="32"/>
          <w:szCs w:val="32"/>
        </w:rPr>
        <w:t>——建设重点企业培育平台。加快构建主导产业专业园区、新兴产业专业园区和特色产业专业园区，重点建设现代中药、生物制品专业园区，着力打造一批智能化示范园区。加快构建“创新平台－孵化器－加速器－产业园区”的全链条孵化体系，打造产业创新服务综合体。高标准建设中光学集团河南省先进光学与功能镀膜中试基地、河南省数字光电产业研究院等重点企业创新平台。</w:t>
      </w:r>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三、健全基础设施网络</w:t>
      </w:r>
    </w:p>
    <w:p>
      <w:pPr>
        <w:pStyle w:val="51"/>
        <w:ind w:firstLine="640"/>
        <w:rPr>
          <w:sz w:val="32"/>
          <w:szCs w:val="32"/>
        </w:rPr>
      </w:pPr>
      <w:r>
        <w:rPr>
          <w:rFonts w:hint="eastAsia"/>
          <w:sz w:val="32"/>
          <w:szCs w:val="32"/>
        </w:rPr>
        <w:t>——打造全国性综合立体交通体系。大力发展高铁、机场、高速公路、轨道交通等现代交通，全力推进全国性综合交通枢纽城市建设。到2025年，基本建成四通八达、集聚强枢、低本高效、枢产互动的综合交通运输体系，大通道和大枢纽连通全国、辐射区域，一体化综合交通网有效覆盖市域，成为大陆桥走廊重要对外开放中心、全国重要物流中心、中部地区水陆集散中心，构建中心城区周边60公里范围0.5小时通达、各县（市）1小时通达、周边省会2小时通达、全国主要城市3小时通达的“5123出行交通圈”；打造全国货运1天通达、周边国家2天通达、全球主要城市3天通达的“123快货物流圈”。</w:t>
      </w:r>
    </w:p>
    <w:p>
      <w:pPr>
        <w:pStyle w:val="51"/>
        <w:ind w:firstLine="640"/>
        <w:rPr>
          <w:sz w:val="32"/>
          <w:szCs w:val="32"/>
        </w:rPr>
      </w:pPr>
      <w:r>
        <w:rPr>
          <w:rStyle w:val="50"/>
          <w:rFonts w:hint="eastAsia"/>
          <w:sz w:val="32"/>
          <w:szCs w:val="32"/>
        </w:rPr>
        <w:t>——加快构筑全域信息化基础设施。</w:t>
      </w:r>
      <w:r>
        <w:rPr>
          <w:rFonts w:hint="eastAsia"/>
          <w:sz w:val="32"/>
          <w:szCs w:val="32"/>
        </w:rPr>
        <w:t>加快5G、数据中心、工业互联网、物联网、充电桩等建设，构建高速、移动、安全、泛在的新一代信息基础设施。到2025年，5G基站达到1.35万个，实现重点行政村5G网络全覆盖；数据中心机架数达到5千架，满足数据处理需要；培育1－2个省级工业互联网平台，建成全市统一的物联网管理平台；构建覆盖全市的电动汽车充电设施，打造城区公共充电服务半径1公里充电网络。</w:t>
      </w:r>
    </w:p>
    <w:p>
      <w:pPr>
        <w:pStyle w:val="51"/>
        <w:ind w:firstLine="640"/>
        <w:rPr>
          <w:sz w:val="32"/>
          <w:szCs w:val="32"/>
        </w:rPr>
      </w:pPr>
      <w:r>
        <w:rPr>
          <w:rFonts w:hint="eastAsia"/>
          <w:sz w:val="32"/>
          <w:szCs w:val="32"/>
        </w:rPr>
        <w:t>——推进绿色化城市生态环境建设。持续改善城市空气环境质量，形成大气污染长效防治机制。统筹控尘、控煤、控车、控排、控油、控烧、控烟花爆竹工作，形成PM</w:t>
      </w:r>
      <w:r>
        <w:rPr>
          <w:rFonts w:hint="eastAsia"/>
          <w:sz w:val="32"/>
          <w:szCs w:val="32"/>
          <w:vertAlign w:val="subscript"/>
        </w:rPr>
        <w:t>2.5</w:t>
      </w:r>
      <w:r>
        <w:rPr>
          <w:rFonts w:hint="eastAsia"/>
          <w:sz w:val="32"/>
          <w:szCs w:val="32"/>
        </w:rPr>
        <w:t>与臭氧协同控制和VOC</w:t>
      </w:r>
      <w:r>
        <w:rPr>
          <w:rFonts w:hint="eastAsia"/>
          <w:sz w:val="32"/>
          <w:szCs w:val="32"/>
          <w:vertAlign w:val="subscript"/>
        </w:rPr>
        <w:t>s</w:t>
      </w:r>
      <w:r>
        <w:rPr>
          <w:rFonts w:hint="eastAsia"/>
          <w:sz w:val="32"/>
          <w:szCs w:val="32"/>
        </w:rPr>
        <w:t>和氮氧化物协同治理机制。加快制定碳排放达峰实施方案，探索构建碳排放权交易体系，提升生态系统碳汇能力。形成水环境质量改善长效机制，落实“河长制”“湖长制”，持续改善水环境质量。加强土壤面源污染防治，深化耕地分类管理，重点督查工矿企业用地新增土壤污染，有序推进土壤污染治理修复工作。推动公路、铁路、水系等生态廊道建设，优化廊道景观，大力推进城乡绿化行动，提高城区绿化覆盖率，提升城市公园绿地基础设施，积极创建多元化森林特色小镇和森林乡村，加强农田防护林建设。“十四五”期间，确保受污染耕地安全利用率持续保持100%，污染地块安全利用率持续保持100%。</w:t>
      </w:r>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四、加速城市更新提质</w:t>
      </w:r>
    </w:p>
    <w:p>
      <w:pPr>
        <w:spacing w:line="572" w:lineRule="exact"/>
        <w:ind w:firstLine="640" w:firstLineChars="200"/>
        <w:rPr>
          <w:rFonts w:ascii="Times New Roman" w:hAnsi="Times New Roman" w:eastAsia="仿宋"/>
        </w:rPr>
      </w:pPr>
      <w:r>
        <w:rPr>
          <w:rFonts w:hint="eastAsia" w:ascii="Times New Roman" w:hAnsi="Times New Roman" w:eastAsia="仿宋"/>
        </w:rPr>
        <w:t>——深入推进城市更新提质建设三年行动计划。重抓重推“十大城建工程”，推进片区开发、市政道路、市政公用设施、出入市口改造、公园游园、水系景观、农贸市场、地下管网、停车设施、保障性住房等建设。推动“清洁城市美化家园”专项攻坚常态长效，高标准推进国家生态园林城市创建和无围墙城市建设，探索实施中心城区园林绿化管养、市政路灯维护、户外广告经营市场化运作模式，打造“全省最清洁城市”。完善中心城区绿地布局，构建网络化、生态化绿化体系；加快水脉连接和水体净化、水岸绿化、水域美化，构建布局合理、生态良好、引排得当、循环通畅、蓄泄兼筹、调控自如的内河水系体系。“十四五”时期，中心城区“河畅、水清、岸绿、景美”的水生态体系基本建成。</w:t>
      </w:r>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五、完善公共服务环境</w:t>
      </w:r>
    </w:p>
    <w:p>
      <w:pPr>
        <w:pStyle w:val="51"/>
        <w:ind w:firstLine="640"/>
        <w:rPr>
          <w:sz w:val="32"/>
          <w:szCs w:val="32"/>
        </w:rPr>
      </w:pPr>
      <w:r>
        <w:rPr>
          <w:rFonts w:hint="eastAsia"/>
          <w:sz w:val="32"/>
          <w:szCs w:val="32"/>
        </w:rPr>
        <w:t>——推动公共文化设施多样化。深化城乡公共文化服务体系一体化建设，健全公共数字文化资源库，全面推行“菜单式、订单式”服务。支持乡镇（街道）文化服务综合体和村（社区）综合性文化中心建设与新时代文明实践中心建设协同推进、共建共享，加快推进城市书房公共文化空间建设。推进“公共数字文化工程”建设，建立全市公共数字文化服务目录，推动“百姓文化南阳云”平台完成建设并发挥实效。创新基层公共文化服务模式，推动公共文化服务嵌入旅游领域，开展“民宿</w:t>
      </w:r>
      <w:r>
        <w:rPr>
          <w:rFonts w:hint="eastAsia" w:ascii="宋体" w:hAnsi="宋体" w:eastAsia="宋体" w:cs="宋体"/>
          <w:sz w:val="32"/>
          <w:szCs w:val="32"/>
        </w:rPr>
        <w:t>＋</w:t>
      </w:r>
      <w:r>
        <w:rPr>
          <w:rFonts w:hint="eastAsia"/>
          <w:sz w:val="32"/>
          <w:szCs w:val="32"/>
        </w:rPr>
        <w:t>公共文化”试点。实施文化惠民工程，创新开展“七个一”文化活动进乡村、“三馆一中心”进企业、进社区。完善城市社区“15分钟健身圈”，实现公共体育基础设施在乡镇（街道）、村（社区）全覆盖。“</w:t>
      </w:r>
      <w:r>
        <w:rPr>
          <w:sz w:val="32"/>
          <w:szCs w:val="32"/>
        </w:rPr>
        <w:t>十四五</w:t>
      </w:r>
      <w:r>
        <w:rPr>
          <w:rFonts w:hint="eastAsia"/>
          <w:sz w:val="32"/>
          <w:szCs w:val="32"/>
        </w:rPr>
        <w:t>”</w:t>
      </w:r>
      <w:r>
        <w:rPr>
          <w:sz w:val="32"/>
          <w:szCs w:val="32"/>
        </w:rPr>
        <w:t>时期，企业对公共服务设施配套、综合社会治理等满意度逐年提升。</w:t>
      </w:r>
    </w:p>
    <w:p>
      <w:pPr>
        <w:pStyle w:val="51"/>
        <w:ind w:firstLine="640"/>
        <w:rPr>
          <w:sz w:val="32"/>
          <w:szCs w:val="32"/>
        </w:rPr>
      </w:pPr>
      <w:r>
        <w:rPr>
          <w:rFonts w:hint="eastAsia"/>
          <w:sz w:val="32"/>
          <w:szCs w:val="32"/>
        </w:rPr>
        <w:t>——坚持养老服务市场规范化。持续扩大养老服务供给，新增社会养老机构、医养结合服务机构、街道综合养老服务中心，扩大养老服务床位，推动公办养老机构社会化运营改革，鼓励社会力量通过公办民营、合作合营、代管托管等方式扩大养老服务供给。加快推进南阳市智慧养老服务平台建设，强化养老人员、设施、机构信息汇整，形成四级联网、八位一体、所有养老机构全覆盖的智慧养老服务网络。建立养老服务综合监管体系，完善各类养老服务机构信用档案制度，加快开展养老服务机构星级评定和服务质量评估，着力提升全市养老服务从业人员综合服务能力。</w:t>
      </w:r>
    </w:p>
    <w:p>
      <w:pPr>
        <w:pStyle w:val="51"/>
        <w:ind w:firstLine="640"/>
        <w:rPr>
          <w:sz w:val="32"/>
          <w:szCs w:val="32"/>
        </w:rPr>
      </w:pPr>
      <w:r>
        <w:rPr>
          <w:rFonts w:hint="eastAsia"/>
          <w:sz w:val="32"/>
          <w:szCs w:val="32"/>
        </w:rPr>
        <w:t>——促进医疗服务供给优质化。扩大优质医疗资源供给，加大公立综合医院、公立中医院、公立妇幼保健院、公立儿童医院建设力度，高标准建设南阳国家级卒中示范中心，探索引入省内外优质医疗资源，加大省级区域医疗中心建设，着力推动基层医疗机构提质达标。加快市级重大疫情救助基地建设，提高全市疫情的快速反应和救治能力。深入开展“互联网</w:t>
      </w:r>
      <w:r>
        <w:rPr>
          <w:rFonts w:hint="eastAsia" w:ascii="宋体" w:hAnsi="宋体" w:eastAsia="宋体" w:cs="宋体"/>
          <w:sz w:val="32"/>
          <w:szCs w:val="32"/>
        </w:rPr>
        <w:t>＋</w:t>
      </w:r>
      <w:r>
        <w:rPr>
          <w:rFonts w:hint="eastAsia"/>
          <w:sz w:val="32"/>
          <w:szCs w:val="32"/>
        </w:rPr>
        <w:t>诊疗”建设，完善居民电子健康档案建设，推行“先看病后付费”信用就医模式。加快推进标准统一的市级医疗健康大数据中心建设，依托</w:t>
      </w:r>
      <w:r>
        <w:rPr>
          <w:rStyle w:val="50"/>
          <w:rFonts w:hint="eastAsia"/>
          <w:sz w:val="32"/>
          <w:szCs w:val="32"/>
        </w:rPr>
        <w:t>“</w:t>
      </w:r>
      <w:r>
        <w:rPr>
          <w:rStyle w:val="50"/>
          <w:sz w:val="32"/>
          <w:szCs w:val="32"/>
        </w:rPr>
        <w:t>城市管理智慧大脑</w:t>
      </w:r>
      <w:r>
        <w:rPr>
          <w:rStyle w:val="50"/>
          <w:rFonts w:hint="eastAsia"/>
          <w:sz w:val="32"/>
          <w:szCs w:val="32"/>
        </w:rPr>
        <w:t>”中枢平台和“</w:t>
      </w:r>
      <w:r>
        <w:rPr>
          <w:rStyle w:val="50"/>
          <w:sz w:val="32"/>
          <w:szCs w:val="32"/>
        </w:rPr>
        <w:t>宛快办</w:t>
      </w:r>
      <w:r>
        <w:rPr>
          <w:rStyle w:val="50"/>
          <w:rFonts w:hint="eastAsia"/>
          <w:sz w:val="32"/>
          <w:szCs w:val="32"/>
        </w:rPr>
        <w:t>”平台实现全民健康信息集成、共享和分析应用，健全外出务工人员新冠疫情医疗档案建设。</w:t>
      </w:r>
      <w:r>
        <w:rPr>
          <w:rFonts w:hint="eastAsia"/>
          <w:sz w:val="32"/>
          <w:szCs w:val="32"/>
        </w:rPr>
        <w:t>扎实实施医疗领域“369人才工程”，创新医疗优质人才引入模式，夯实县域基层医疗人才队伍。深化家庭医生签约服务，健全医疗卫生和养老服务合作机制。到2025年</w:t>
      </w:r>
      <w:r>
        <w:rPr>
          <w:sz w:val="32"/>
          <w:szCs w:val="32"/>
        </w:rPr>
        <w:t>，每千人拥有</w:t>
      </w:r>
      <w:r>
        <w:rPr>
          <w:rFonts w:hint="eastAsia"/>
          <w:sz w:val="32"/>
          <w:szCs w:val="32"/>
        </w:rPr>
        <w:t>执业</w:t>
      </w:r>
      <w:r>
        <w:rPr>
          <w:sz w:val="32"/>
          <w:szCs w:val="32"/>
        </w:rPr>
        <w:t>（助理）医师达到3.</w:t>
      </w:r>
      <w:r>
        <w:rPr>
          <w:rFonts w:hint="eastAsia"/>
          <w:sz w:val="32"/>
          <w:szCs w:val="32"/>
        </w:rPr>
        <w:t>6</w:t>
      </w:r>
      <w:r>
        <w:rPr>
          <w:sz w:val="32"/>
          <w:szCs w:val="32"/>
        </w:rPr>
        <w:t>人</w:t>
      </w:r>
      <w:r>
        <w:rPr>
          <w:rFonts w:hint="eastAsia"/>
          <w:sz w:val="32"/>
          <w:szCs w:val="32"/>
        </w:rPr>
        <w:t>。</w:t>
      </w:r>
    </w:p>
    <w:p>
      <w:pPr>
        <w:pStyle w:val="51"/>
        <w:ind w:firstLine="640"/>
        <w:jc w:val="left"/>
        <w:rPr>
          <w:sz w:val="32"/>
          <w:szCs w:val="32"/>
        </w:rPr>
      </w:pPr>
      <w:r>
        <w:rPr>
          <w:rFonts w:hint="eastAsia"/>
          <w:sz w:val="32"/>
          <w:szCs w:val="32"/>
        </w:rPr>
        <w:t>——实现教育服务资源公平化。加大中小学校新建、改扩建力度，加快农村寄宿制学校建设，扩大教育资源供给，缩小城乡教育差距。加快推进公办幼儿园建设，增加普惠性学位供给。坚持“以流入地为主，以公办学校为主”，畅通渠道，简化程序，确保进城务工人员随迁子女“应入尽入”。落实城</w:t>
      </w:r>
      <w:r>
        <w:rPr>
          <w:rStyle w:val="50"/>
          <w:rFonts w:hint="eastAsia"/>
          <w:sz w:val="32"/>
          <w:szCs w:val="32"/>
        </w:rPr>
        <w:t>乡统一的中小学教职工编制标准，创新教师综合评价和编制管理机制，</w:t>
      </w:r>
      <w:r>
        <w:t>逐步扩大全市教师队伍。</w:t>
      </w:r>
      <w:r>
        <w:rPr>
          <w:rStyle w:val="50"/>
          <w:rFonts w:hint="eastAsia"/>
          <w:sz w:val="32"/>
          <w:szCs w:val="32"/>
        </w:rPr>
        <w:t>大力</w:t>
      </w:r>
      <w:r>
        <w:rPr>
          <w:rFonts w:hint="eastAsia"/>
          <w:sz w:val="32"/>
          <w:szCs w:val="32"/>
        </w:rPr>
        <w:t>发展现代职业教育，深化校企合作机制，引导优秀企业进入职业教育领域，实现企业需求与学校培养紧密结合。深化教育领域改革开放，积极推动“互联网</w:t>
      </w:r>
      <w:r>
        <w:rPr>
          <w:rFonts w:hint="eastAsia" w:ascii="宋体" w:hAnsi="宋体" w:eastAsia="宋体" w:cs="宋体"/>
          <w:sz w:val="32"/>
          <w:szCs w:val="32"/>
        </w:rPr>
        <w:t>＋</w:t>
      </w:r>
      <w:r>
        <w:rPr>
          <w:rFonts w:hint="eastAsia"/>
          <w:sz w:val="32"/>
          <w:szCs w:val="32"/>
        </w:rPr>
        <w:t>义务教育”建设，支持高等教育实施国际化建设。到2025年，劳动人口平均受教育年限达到11.3年左右。</w:t>
      </w:r>
    </w:p>
    <w:p>
      <w:pPr>
        <w:pStyle w:val="54"/>
        <w:ind w:firstLine="0" w:firstLineChars="0"/>
        <w:jc w:val="center"/>
        <w:outlineLvl w:val="9"/>
        <w:rPr>
          <w:rFonts w:ascii="楷体" w:hAnsi="楷体" w:eastAsia="楷体"/>
          <w:sz w:val="32"/>
        </w:rPr>
      </w:pPr>
      <w:bookmarkStart w:id="56" w:name="_Toc14868"/>
      <w:bookmarkStart w:id="57" w:name="_Toc16534"/>
      <w:bookmarkStart w:id="58" w:name="_Toc22314"/>
      <w:r>
        <w:rPr>
          <w:rFonts w:hint="eastAsia"/>
          <w:sz w:val="32"/>
        </w:rPr>
        <w:t xml:space="preserve">第四章  </w:t>
      </w:r>
      <w:bookmarkEnd w:id="39"/>
      <w:bookmarkEnd w:id="40"/>
      <w:r>
        <w:rPr>
          <w:rFonts w:hint="eastAsia"/>
          <w:sz w:val="32"/>
        </w:rPr>
        <w:t>深入推进信用建设</w:t>
      </w:r>
      <w:bookmarkEnd w:id="56"/>
      <w:bookmarkEnd w:id="57"/>
      <w:bookmarkEnd w:id="58"/>
      <w:bookmarkStart w:id="59" w:name="_Toc9165"/>
    </w:p>
    <w:bookmarkEnd w:id="59"/>
    <w:p>
      <w:pPr>
        <w:pStyle w:val="55"/>
        <w:ind w:firstLine="0" w:firstLineChars="0"/>
        <w:jc w:val="center"/>
        <w:rPr>
          <w:sz w:val="32"/>
        </w:rPr>
      </w:pPr>
      <w:bookmarkStart w:id="60" w:name="_Toc13455"/>
      <w:bookmarkStart w:id="61" w:name="_Toc25004"/>
      <w:bookmarkStart w:id="62" w:name="_Toc13778"/>
      <w:bookmarkStart w:id="63" w:name="_Toc5841"/>
      <w:bookmarkStart w:id="64" w:name="_Toc15541"/>
      <w:r>
        <w:rPr>
          <w:rFonts w:hint="eastAsia"/>
          <w:sz w:val="32"/>
        </w:rPr>
        <w:t>第一节  全面推进信用四大领域建设</w:t>
      </w:r>
      <w:bookmarkEnd w:id="60"/>
      <w:bookmarkEnd w:id="61"/>
      <w:bookmarkEnd w:id="62"/>
    </w:p>
    <w:p>
      <w:pPr>
        <w:pStyle w:val="5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一、强化政务诚信建设</w:t>
      </w:r>
    </w:p>
    <w:p>
      <w:pPr>
        <w:pStyle w:val="51"/>
        <w:spacing w:line="580" w:lineRule="exact"/>
        <w:ind w:firstLine="640"/>
        <w:rPr>
          <w:sz w:val="32"/>
          <w:szCs w:val="32"/>
        </w:rPr>
      </w:pPr>
      <w:r>
        <w:rPr>
          <w:rFonts w:hint="eastAsia"/>
          <w:sz w:val="32"/>
          <w:szCs w:val="32"/>
        </w:rPr>
        <w:t>健全政府诚信履约机制，严格实行政府失信责任追究，加大政府失信典型案例曝光力度，树立负责任、敢担当、讲诚信的政府形象。建立政务诚信专项督导机制，推进政务诚信社会协同监督，支持信用服务机构、高校及科研院所等第三方机构对各县（市、区）、各部门开展政务诚信评价评级并公布结果。建立政府机构失信防治长效机制，持续推进政府机构失信问题专项治理，坚决纠正“新官不理旧账”、政府承诺不兑现、政府投资项目工程款项拖欠等政府失信行为。建立政府合同履约跟踪管理机制，深化合同违约提示机制。建立健全政府失信责任追究制度，全面清理全市各级政府及有关部门、事业单位拖欠市场主体账款、不兑现政策、未履行承诺等情况，对造成政务失信行为的责任人依法依规依纪追究责任。按照国家要求持续推进行政许可、行政处罚信息“双公示”，强化行政强制、行政确认、行政征收、行政给付、行政裁决、行政补偿、行政奖励、行政监督检查信息等信息报送，提升政务信息公开公示的广度和深度。落实《中共南阳市委组织部印发&lt;关于加强公务员诚信建设的实施意见（试行）&gt;的通知》（宛组通〔2021〕33号），编制南阳市诚信知识教育读本，开展南阳市公职人员诚信教育主题活动，深入开展公职人员信用知识教育。深化南阳市公务员诚信档案应用，在年度考核、周期性检验、日常监督等工作中开展信用核查</w:t>
      </w:r>
      <w:r>
        <w:rPr>
          <w:sz w:val="32"/>
          <w:szCs w:val="32"/>
        </w:rPr>
        <w:t>。</w:t>
      </w:r>
    </w:p>
    <w:p>
      <w:pPr>
        <w:pStyle w:val="51"/>
        <w:spacing w:line="240" w:lineRule="auto"/>
        <w:ind w:firstLine="640"/>
        <w:rPr>
          <w:rFonts w:ascii="仿宋_GB2312" w:hAnsi="仿宋_GB2312" w:eastAsia="仿宋_GB2312" w:cs="仿宋_GB2312"/>
          <w:sz w:val="32"/>
          <w:szCs w:val="32"/>
        </w:rPr>
      </w:pPr>
      <w:bookmarkStart w:id="65" w:name="_Toc5599"/>
      <w:r>
        <w:rPr>
          <w:rFonts w:hint="eastAsia" w:ascii="仿宋_GB2312" w:hAnsi="仿宋_GB2312" w:eastAsia="仿宋_GB2312" w:cs="仿宋_GB2312"/>
          <w:sz w:val="32"/>
          <w:szCs w:val="32"/>
        </w:rPr>
        <w:t>二、强化商务诚信建设</w:t>
      </w:r>
      <w:bookmarkEnd w:id="65"/>
    </w:p>
    <w:p>
      <w:pPr>
        <w:pStyle w:val="51"/>
        <w:adjustRightInd w:val="0"/>
        <w:snapToGrid w:val="0"/>
        <w:spacing w:line="580" w:lineRule="exact"/>
        <w:ind w:firstLine="640"/>
        <w:rPr>
          <w:sz w:val="32"/>
          <w:szCs w:val="32"/>
        </w:rPr>
      </w:pPr>
      <w:r>
        <w:rPr>
          <w:rFonts w:hint="eastAsia"/>
          <w:sz w:val="32"/>
          <w:szCs w:val="32"/>
        </w:rPr>
        <w:t>全面构建以信用为基础的新型监管机制，打造贯彻市场主体全生命周期信用档案，及时、准确、规范、完整记录市场主体信用信息，提高监管效率。深化行业领域信用建设，推进安全生产、产品质量、知识产权、对外合作、生态环保、商贸流通、工程建设、养老托幼、文化旅游、金融税务、交通运输、电子商务、医药生物、校外培训等重点领域信用体系建设，完善行业信用管理制度，营造诚信市场环境。加强对市场主体的宣传教育，鼓励引导市场主体开展综合信用承诺或产品服务专项承诺，引导市场主体不断增强法治意识、诚信意识、契约精神，自觉遵守法规、行业规约，提升诚信履约、公平竞争意识。加强医药、食品等重要产品追溯体系建设，完善产品追溯标准和规范，加强信息共享，依托市公共信用信息平台向公众提供追溯信息一站式查询服务。鼓励市场主体建立健全内部信用管理制度，加强自身信用管理，提升信用管理能力，防范信用风险。加强行业自律建设，充分发挥行业协会、商会作用，依法依规开展市场信用信息的归集共享和应用，开展信用协同监管，提升行业诚信水平，不断释放市场主体活力。</w:t>
      </w:r>
    </w:p>
    <w:p>
      <w:pPr>
        <w:pStyle w:val="51"/>
        <w:spacing w:line="240" w:lineRule="auto"/>
        <w:ind w:firstLine="640"/>
        <w:rPr>
          <w:rFonts w:ascii="仿宋_GB2312" w:hAnsi="仿宋_GB2312" w:eastAsia="仿宋_GB2312" w:cs="仿宋_GB2312"/>
          <w:sz w:val="32"/>
          <w:szCs w:val="32"/>
        </w:rPr>
      </w:pPr>
      <w:bookmarkStart w:id="66" w:name="_Toc2880"/>
      <w:r>
        <w:rPr>
          <w:rFonts w:hint="eastAsia" w:ascii="仿宋_GB2312" w:hAnsi="仿宋_GB2312" w:eastAsia="仿宋_GB2312" w:cs="仿宋_GB2312"/>
          <w:sz w:val="32"/>
          <w:szCs w:val="32"/>
        </w:rPr>
        <w:t>三、强化社会诚信建设</w:t>
      </w:r>
      <w:bookmarkEnd w:id="66"/>
    </w:p>
    <w:p>
      <w:pPr>
        <w:pStyle w:val="51"/>
        <w:spacing w:line="580" w:lineRule="exact"/>
        <w:ind w:firstLine="640"/>
        <w:outlineLvl w:val="2"/>
        <w:rPr>
          <w:sz w:val="32"/>
          <w:szCs w:val="32"/>
        </w:rPr>
      </w:pPr>
      <w:r>
        <w:rPr>
          <w:rFonts w:hint="eastAsia"/>
          <w:sz w:val="32"/>
          <w:szCs w:val="32"/>
        </w:rPr>
        <w:t>全面加强重点职业人群信用建设，健全公务员、律师、教师、医师、科研人员、企业高管、会计审计人员、统计从业人员、金融从业人员、认证和检验检测从业人员、建筑工程师、注册消防工程师、导游、房产经纪等人员信用档案，完善个人信用记录。加强社会保障、劳动保护、医疗卫生、教育科研、生态环境、知识产权、文化旅游、互联网应用服务等领域的信用管理和服务，规范守信激励和失信惩戒措施，提升行业信用监管效能。引导社会成员遵循诚信原则，树立良好信用意识，强化职业道德建设与行为规范，不断提升社会诚信水平。</w:t>
      </w:r>
    </w:p>
    <w:p>
      <w:pPr>
        <w:pStyle w:val="51"/>
        <w:spacing w:line="24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四、强化司法公信建设</w:t>
      </w:r>
    </w:p>
    <w:p>
      <w:pPr>
        <w:pStyle w:val="51"/>
        <w:spacing w:line="580" w:lineRule="exact"/>
        <w:ind w:firstLine="640"/>
        <w:jc w:val="left"/>
        <w:rPr>
          <w:sz w:val="32"/>
          <w:szCs w:val="32"/>
        </w:rPr>
      </w:pPr>
      <w:r>
        <w:rPr>
          <w:rFonts w:hint="eastAsia"/>
          <w:sz w:val="32"/>
          <w:szCs w:val="32"/>
        </w:rPr>
        <w:t>积极探索“互联网</w:t>
      </w:r>
      <w:r>
        <w:rPr>
          <w:rFonts w:hint="eastAsia" w:ascii="宋体" w:hAnsi="宋体" w:eastAsia="宋体" w:cs="宋体"/>
          <w:sz w:val="32"/>
          <w:szCs w:val="32"/>
        </w:rPr>
        <w:t>＋</w:t>
      </w:r>
      <w:r>
        <w:rPr>
          <w:rFonts w:hint="eastAsia"/>
          <w:sz w:val="32"/>
          <w:szCs w:val="32"/>
        </w:rPr>
        <w:t>审判”改革，全面推进审判流程、裁判文书、执行信息一体化公开平台建设，提高司法审判执行信息化水平，深化“阳光司法”。深入推行“阳光检察”，建立健全案件程序性信息查询平台、法律文书公开平台。全面推行“阳光执法”，建立公开执法办案规范、程序时限、办案进展等信息的公示制度，加快推进公共安全系统中各类法人和自然人有效信用信息资源的整合。健全以公平为原则的产权执法司法保护制度，完善涉企产权案件申诉、复核、重审等保护机制，推动涉企冤错案件依法甄别纠正常态化机制化、畅通涉政府产权纠纷反映和处理渠道，以公正高效权威的司法保护产权和企业家合法权益。实现以公开司法促公信、以严格司法提公信、以廉洁司法保公信、以为民司法筑公信，提高人民群众的满意度。</w:t>
      </w:r>
    </w:p>
    <w:p>
      <w:pPr>
        <w:pStyle w:val="55"/>
        <w:spacing w:line="580" w:lineRule="exact"/>
        <w:ind w:firstLine="0" w:firstLineChars="0"/>
        <w:jc w:val="center"/>
        <w:rPr>
          <w:sz w:val="32"/>
        </w:rPr>
      </w:pPr>
      <w:bookmarkStart w:id="67" w:name="_Toc7529"/>
      <w:bookmarkStart w:id="68" w:name="_Toc14203"/>
      <w:bookmarkStart w:id="69" w:name="_Toc9525"/>
      <w:bookmarkStart w:id="70" w:name="_Toc1028"/>
      <w:r>
        <w:rPr>
          <w:rFonts w:hint="eastAsia"/>
          <w:sz w:val="32"/>
        </w:rPr>
        <w:t>第二节  全面加强信用基础环境建设</w:t>
      </w:r>
      <w:bookmarkEnd w:id="67"/>
      <w:bookmarkEnd w:id="68"/>
      <w:bookmarkEnd w:id="69"/>
    </w:p>
    <w:p>
      <w:pPr>
        <w:pStyle w:val="51"/>
        <w:spacing w:line="24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一、夯实信用法规制度</w:t>
      </w:r>
    </w:p>
    <w:p>
      <w:pPr>
        <w:pStyle w:val="51"/>
        <w:widowControl/>
        <w:spacing w:line="620" w:lineRule="exact"/>
        <w:ind w:firstLine="640"/>
        <w:jc w:val="left"/>
        <w:outlineLvl w:val="2"/>
        <w:rPr>
          <w:sz w:val="32"/>
          <w:szCs w:val="32"/>
        </w:rPr>
      </w:pPr>
      <w:r>
        <w:rPr>
          <w:rFonts w:hint="eastAsia" w:ascii="仿宋" w:hAnsi="仿宋" w:cs="仿宋"/>
          <w:sz w:val="32"/>
          <w:szCs w:val="32"/>
        </w:rPr>
        <w:t>——强化信用法治基础。</w:t>
      </w:r>
      <w:r>
        <w:rPr>
          <w:rFonts w:hint="eastAsia"/>
          <w:sz w:val="32"/>
          <w:szCs w:val="32"/>
        </w:rPr>
        <w:t>将《河南省社会信用条例》作为南阳社会信用体系建设工作的纲领和依据，严格依法依规规范社会信用信息采集归集和披露、信用主体权益保护、信用服务行业发展等活动。健全和完善综合性信用立法配套制度和政策措施，鼓励各部门结合各领域业务特点，完善政务诚信建设、信用信息管理、信用承诺、分级分类、失信惩戒、信用修复、信用惠民便企等相关配套制度，形成较为完备的法规政策体系。严格规范严重失信主体名单认定，依法依规开展守信激励、失信惩戒。依据国家有关法规政策和《河南省社会信用条例》，按照“谁制定、谁整改”的原则，及时修订完善或清理废止不适应社会经济高质量发展需要的有关法规政策，确保社会信用体系建设法规制度严谨统一、规范有序。</w:t>
      </w:r>
    </w:p>
    <w:p>
      <w:pPr>
        <w:pStyle w:val="51"/>
        <w:spacing w:line="620" w:lineRule="exact"/>
        <w:ind w:firstLine="640"/>
        <w:jc w:val="left"/>
        <w:outlineLvl w:val="2"/>
        <w:rPr>
          <w:sz w:val="32"/>
          <w:szCs w:val="32"/>
        </w:rPr>
      </w:pPr>
      <w:r>
        <w:rPr>
          <w:rFonts w:hint="eastAsia" w:ascii="仿宋" w:hAnsi="仿宋" w:cs="仿宋"/>
          <w:sz w:val="32"/>
          <w:szCs w:val="32"/>
        </w:rPr>
        <w:t>——完善信用标准规范体系。</w:t>
      </w:r>
      <w:r>
        <w:rPr>
          <w:rFonts w:hint="eastAsia"/>
          <w:sz w:val="32"/>
          <w:szCs w:val="32"/>
        </w:rPr>
        <w:t>落实国家、省信用通用标准、信用信息平台标准和信用服务标准，建立完善信用信息管理、信用平台规则、信用协同监管流程、信用产品和服务等方面的制度，规范信用信息采集、共享、公开、应用范围。发挥标准化在社会信用体系建设中的规范性、引导性作用，鼓励教育、安全、卫生、节能、环保等重点领域制定本行业与信用有关的地方标准、团体标准，扩大信用标准应用范围。</w:t>
      </w:r>
    </w:p>
    <w:p>
      <w:pPr>
        <w:pStyle w:val="51"/>
        <w:spacing w:line="240" w:lineRule="auto"/>
        <w:ind w:firstLine="640"/>
        <w:rPr>
          <w:rFonts w:ascii="仿宋_GB2312" w:hAnsi="仿宋_GB2312" w:eastAsia="仿宋_GB2312" w:cs="仿宋_GB2312"/>
          <w:sz w:val="32"/>
          <w:szCs w:val="32"/>
        </w:rPr>
      </w:pPr>
      <w:bookmarkStart w:id="71" w:name="_Toc20290"/>
      <w:r>
        <w:rPr>
          <w:rFonts w:hint="eastAsia" w:ascii="仿宋_GB2312" w:hAnsi="仿宋_GB2312" w:eastAsia="仿宋_GB2312" w:cs="仿宋_GB2312"/>
          <w:sz w:val="32"/>
          <w:szCs w:val="32"/>
        </w:rPr>
        <w:t>二、大力弘扬诚信文化</w:t>
      </w:r>
      <w:bookmarkEnd w:id="71"/>
    </w:p>
    <w:p>
      <w:pPr>
        <w:pStyle w:val="51"/>
        <w:widowControl/>
        <w:spacing w:line="620" w:lineRule="exact"/>
        <w:ind w:firstLine="640"/>
        <w:jc w:val="left"/>
        <w:outlineLvl w:val="2"/>
        <w:rPr>
          <w:sz w:val="32"/>
          <w:szCs w:val="32"/>
        </w:rPr>
      </w:pPr>
      <w:bookmarkStart w:id="72" w:name="_Toc24723"/>
      <w:r>
        <w:rPr>
          <w:rFonts w:hint="eastAsia" w:ascii="仿宋" w:hAnsi="仿宋" w:cs="仿宋"/>
          <w:sz w:val="32"/>
          <w:szCs w:val="32"/>
        </w:rPr>
        <w:t>——广泛开展诚信宣传活动。</w:t>
      </w:r>
      <w:r>
        <w:rPr>
          <w:rFonts w:hint="eastAsia"/>
          <w:sz w:val="32"/>
          <w:szCs w:val="32"/>
        </w:rPr>
        <w:t>把诚信文化建设作为南阳新时代公民道德建设和群众性精神文明创建活动的重要内容，依托“诚信建设万里行”“质量月”“安全生产月”“3·15”国际消费者权益日、“6·14”信用记录关爱日、“信用宣传周”等活动开展不同层次、不同规模、不同类型的诚信宣传活动。运用日报、电视台、“信用中国（河南南阳）”网站、微博、微信等传播渠道，宣传诚信理念、规则意识和契约精神，营造浓厚的知信、守信、用信、爱信的社会氛围。把诚信建设与群众关心关注的问题相结合，开展诚信教育进机关、进学校、进社区、进企业、进行业协会商会、进商户的“六进”主题教育活动，推动“信用让生活更美好”理念深入人心，在全社会形成良好的社会诚信氛围，为经济社会发展提供有力道德支撑和信用保障。</w:t>
      </w:r>
      <w:bookmarkEnd w:id="72"/>
      <w:r>
        <w:rPr>
          <w:rFonts w:hint="eastAsia"/>
          <w:sz w:val="32"/>
          <w:szCs w:val="32"/>
        </w:rPr>
        <w:t>构建全方位、多层次的政策宣传解读体系，采用“官方解读”和“民间解读”相结合的形式，深入细致地做好社会信用体系政策解读工作。</w:t>
      </w:r>
      <w:bookmarkStart w:id="73" w:name="_Toc22511"/>
    </w:p>
    <w:p>
      <w:pPr>
        <w:pStyle w:val="51"/>
        <w:spacing w:line="620" w:lineRule="exact"/>
        <w:ind w:firstLine="640"/>
        <w:jc w:val="left"/>
        <w:outlineLvl w:val="2"/>
        <w:rPr>
          <w:sz w:val="32"/>
          <w:szCs w:val="32"/>
        </w:rPr>
      </w:pPr>
      <w:bookmarkStart w:id="74" w:name="_Toc21031"/>
      <w:r>
        <w:rPr>
          <w:rFonts w:hint="eastAsia" w:ascii="仿宋" w:hAnsi="仿宋" w:cs="仿宋"/>
          <w:sz w:val="32"/>
          <w:szCs w:val="32"/>
        </w:rPr>
        <w:t>——传承历史诚信文化</w:t>
      </w:r>
      <w:bookmarkEnd w:id="74"/>
      <w:r>
        <w:rPr>
          <w:rFonts w:hint="eastAsia" w:ascii="仿宋" w:hAnsi="仿宋" w:cs="仿宋"/>
          <w:sz w:val="32"/>
          <w:szCs w:val="32"/>
        </w:rPr>
        <w:t>。</w:t>
      </w:r>
      <w:r>
        <w:rPr>
          <w:rFonts w:ascii="仿宋" w:hAnsi="仿宋"/>
          <w:sz w:val="32"/>
          <w:szCs w:val="32"/>
        </w:rPr>
        <w:t>以</w:t>
      </w:r>
      <w:r>
        <w:rPr>
          <w:rFonts w:hint="eastAsia"/>
          <w:sz w:val="32"/>
          <w:szCs w:val="32"/>
        </w:rPr>
        <w:t>南阳四圣、</w:t>
      </w:r>
      <w:r>
        <w:rPr>
          <w:sz w:val="32"/>
          <w:szCs w:val="32"/>
        </w:rPr>
        <w:t>大别山</w:t>
      </w:r>
      <w:r>
        <w:rPr>
          <w:rFonts w:hint="eastAsia"/>
          <w:sz w:val="32"/>
          <w:szCs w:val="32"/>
        </w:rPr>
        <w:t>红色</w:t>
      </w:r>
      <w:r>
        <w:rPr>
          <w:sz w:val="32"/>
          <w:szCs w:val="32"/>
        </w:rPr>
        <w:t>精神</w:t>
      </w:r>
      <w:r>
        <w:rPr>
          <w:rFonts w:ascii="仿宋" w:hAnsi="仿宋"/>
          <w:sz w:val="32"/>
          <w:szCs w:val="32"/>
        </w:rPr>
        <w:t>等</w:t>
      </w:r>
      <w:r>
        <w:rPr>
          <w:rFonts w:hint="eastAsia" w:ascii="仿宋" w:hAnsi="仿宋"/>
          <w:sz w:val="32"/>
          <w:szCs w:val="32"/>
        </w:rPr>
        <w:t>元素</w:t>
      </w:r>
      <w:r>
        <w:rPr>
          <w:rFonts w:ascii="仿宋" w:hAnsi="仿宋"/>
          <w:sz w:val="32"/>
          <w:szCs w:val="32"/>
        </w:rPr>
        <w:t>，挖掘历史名人诚信典故，组织创作“诚信</w:t>
      </w:r>
      <w:r>
        <w:rPr>
          <w:rFonts w:hint="eastAsia" w:ascii="仿宋" w:hAnsi="仿宋"/>
          <w:sz w:val="32"/>
          <w:szCs w:val="32"/>
        </w:rPr>
        <w:t>南阳</w:t>
      </w:r>
      <w:r>
        <w:rPr>
          <w:rFonts w:ascii="仿宋" w:hAnsi="仿宋"/>
          <w:sz w:val="32"/>
          <w:szCs w:val="32"/>
        </w:rPr>
        <w:t>”主题宣传标志（LOGO）</w:t>
      </w:r>
      <w:r>
        <w:rPr>
          <w:sz w:val="32"/>
          <w:szCs w:val="32"/>
        </w:rPr>
        <w:t>、</w:t>
      </w:r>
      <w:r>
        <w:rPr>
          <w:rFonts w:ascii="仿宋" w:hAnsi="仿宋"/>
          <w:sz w:val="32"/>
          <w:szCs w:val="32"/>
        </w:rPr>
        <w:t>公益广告、</w:t>
      </w:r>
      <w:r>
        <w:rPr>
          <w:sz w:val="32"/>
          <w:szCs w:val="32"/>
        </w:rPr>
        <w:t>宣传海报、</w:t>
      </w:r>
      <w:r>
        <w:rPr>
          <w:rFonts w:ascii="仿宋" w:hAnsi="仿宋"/>
          <w:sz w:val="32"/>
          <w:szCs w:val="32"/>
        </w:rPr>
        <w:t>歌曲、音乐剧等一系列有温度、有深度、有影响的信用教育文化标识</w:t>
      </w:r>
      <w:r>
        <w:rPr>
          <w:sz w:val="32"/>
          <w:szCs w:val="32"/>
        </w:rPr>
        <w:t>系统</w:t>
      </w:r>
      <w:r>
        <w:rPr>
          <w:rFonts w:ascii="仿宋" w:hAnsi="仿宋"/>
          <w:sz w:val="32"/>
          <w:szCs w:val="32"/>
        </w:rPr>
        <w:t>，广泛宣传</w:t>
      </w:r>
      <w:r>
        <w:rPr>
          <w:rFonts w:hint="eastAsia" w:ascii="仿宋" w:hAnsi="仿宋"/>
          <w:sz w:val="32"/>
          <w:szCs w:val="32"/>
        </w:rPr>
        <w:t>南阳</w:t>
      </w:r>
      <w:r>
        <w:rPr>
          <w:rFonts w:ascii="仿宋" w:hAnsi="仿宋"/>
          <w:sz w:val="32"/>
          <w:szCs w:val="32"/>
        </w:rPr>
        <w:t>传统诚信文化</w:t>
      </w:r>
      <w:r>
        <w:rPr>
          <w:sz w:val="32"/>
          <w:szCs w:val="32"/>
        </w:rPr>
        <w:t>，</w:t>
      </w:r>
      <w:r>
        <w:rPr>
          <w:rFonts w:hint="eastAsia"/>
          <w:sz w:val="32"/>
          <w:szCs w:val="32"/>
        </w:rPr>
        <w:t>引导市民诚信自律，</w:t>
      </w:r>
      <w:r>
        <w:rPr>
          <w:rFonts w:ascii="仿宋" w:hAnsi="仿宋"/>
          <w:sz w:val="32"/>
          <w:szCs w:val="32"/>
        </w:rPr>
        <w:t>为全民诚信意识的培育、提升创造良好的社会环境</w:t>
      </w:r>
      <w:r>
        <w:rPr>
          <w:rFonts w:hint="eastAsia"/>
          <w:sz w:val="32"/>
          <w:szCs w:val="32"/>
        </w:rPr>
        <w:t>，彰显历史文化名城魅力。鼓励各类文化旅游景点、诚信街区等将诚信理念和文化融入方方面面，大力推介本地诚信老字号品牌，传递诚信经营理念。</w:t>
      </w:r>
      <w:bookmarkEnd w:id="73"/>
    </w:p>
    <w:p>
      <w:pPr>
        <w:pStyle w:val="55"/>
        <w:spacing w:line="620" w:lineRule="exact"/>
        <w:ind w:firstLine="0" w:firstLineChars="0"/>
        <w:jc w:val="center"/>
        <w:rPr>
          <w:sz w:val="32"/>
        </w:rPr>
      </w:pPr>
      <w:bookmarkStart w:id="75" w:name="_Toc15843"/>
      <w:bookmarkStart w:id="76" w:name="_Toc18381"/>
      <w:r>
        <w:rPr>
          <w:rFonts w:hint="eastAsia"/>
          <w:sz w:val="32"/>
        </w:rPr>
        <w:t>第三节  全面开展信用智慧中枢</w:t>
      </w:r>
      <w:bookmarkEnd w:id="63"/>
      <w:bookmarkEnd w:id="64"/>
      <w:r>
        <w:rPr>
          <w:rFonts w:hint="eastAsia"/>
          <w:sz w:val="32"/>
        </w:rPr>
        <w:t>建设</w:t>
      </w:r>
      <w:bookmarkEnd w:id="70"/>
      <w:bookmarkEnd w:id="75"/>
      <w:bookmarkEnd w:id="76"/>
    </w:p>
    <w:p>
      <w:pPr>
        <w:pStyle w:val="51"/>
        <w:spacing w:line="240" w:lineRule="auto"/>
        <w:ind w:firstLine="640"/>
        <w:rPr>
          <w:rFonts w:ascii="仿宋_GB2312" w:hAnsi="仿宋_GB2312" w:eastAsia="仿宋_GB2312" w:cs="仿宋_GB2312"/>
          <w:sz w:val="32"/>
          <w:szCs w:val="32"/>
        </w:rPr>
      </w:pPr>
      <w:bookmarkStart w:id="77" w:name="_Toc18677"/>
      <w:r>
        <w:rPr>
          <w:rFonts w:hint="eastAsia" w:ascii="仿宋_GB2312" w:hAnsi="仿宋_GB2312" w:eastAsia="仿宋_GB2312" w:cs="仿宋_GB2312"/>
          <w:sz w:val="32"/>
          <w:szCs w:val="32"/>
        </w:rPr>
        <w:t>一、全面提升数据归集质量</w:t>
      </w:r>
      <w:bookmarkEnd w:id="77"/>
    </w:p>
    <w:p>
      <w:pPr>
        <w:pStyle w:val="51"/>
        <w:spacing w:line="620" w:lineRule="exact"/>
        <w:ind w:firstLine="640"/>
        <w:rPr>
          <w:sz w:val="32"/>
          <w:szCs w:val="32"/>
        </w:rPr>
      </w:pPr>
      <w:r>
        <w:rPr>
          <w:rFonts w:hint="eastAsia"/>
          <w:sz w:val="32"/>
          <w:szCs w:val="32"/>
        </w:rPr>
        <w:t>——强化信用信息报送能力。持续加强公共信用信息归集力度，依托市信用信息共享平台和行业信用信息系统，实现公共信用信息归集全区域、全行业、全领域覆盖。加快形成企业社保、纳税、住房公积金、水电气、仓储物流、知识产权等涉企公共信用信息的实时归集机制。加快实现“双公示”信息常态化报送，进一步健全“7日内实时归集公示”工作机制，通过精准分析、自动转换、智能修复等技术手段提升“十公示”信息的质量和数量。</w:t>
      </w:r>
    </w:p>
    <w:p>
      <w:pPr>
        <w:pStyle w:val="51"/>
        <w:spacing w:line="620" w:lineRule="exact"/>
        <w:ind w:firstLine="640"/>
        <w:rPr>
          <w:sz w:val="32"/>
          <w:szCs w:val="32"/>
        </w:rPr>
      </w:pPr>
      <w:r>
        <w:rPr>
          <w:rFonts w:hint="eastAsia"/>
          <w:sz w:val="32"/>
          <w:szCs w:val="32"/>
        </w:rPr>
        <w:t>——提升信用信息归集质效。探索建立公共信用信息开放共享机制，依法依规向市场主体有序开放。健全信用信息自愿注册机制，鼓励市场主体以声明、自愿注册、自主申报、社会承诺等方式向市信用信息平台提供自身市场信用信息，实现市场信用信息精准归集、规范管理。</w:t>
      </w:r>
    </w:p>
    <w:p>
      <w:pPr>
        <w:pStyle w:val="51"/>
        <w:spacing w:line="620" w:lineRule="exact"/>
        <w:ind w:firstLine="640"/>
        <w:rPr>
          <w:sz w:val="32"/>
          <w:szCs w:val="32"/>
        </w:rPr>
      </w:pPr>
      <w:r>
        <w:rPr>
          <w:rFonts w:hint="eastAsia"/>
          <w:sz w:val="32"/>
          <w:szCs w:val="32"/>
        </w:rPr>
        <w:t>——强化信用信息安全保障。全面提升信用信息安全保护水平，依托网络安全态势感知系统和智能化市域互联网管控系统，实现信用信息归集、加工、应用全流程环节数据安全风险实时管控。健全信用信息操作程序、技术保障、安全管理制度和标准规范，完善公共信用信息查询、开放、应用等环节的审查制度，规范个人信息安全保护。健全网络安全监测预警和应急处理机制</w:t>
      </w:r>
      <w:r>
        <w:rPr>
          <w:sz w:val="32"/>
          <w:szCs w:val="32"/>
        </w:rPr>
        <w:t>，</w:t>
      </w:r>
      <w:r>
        <w:rPr>
          <w:rFonts w:hint="eastAsia"/>
          <w:sz w:val="32"/>
          <w:szCs w:val="32"/>
        </w:rPr>
        <w:t>提高各类信用信息平台安全防护能力。</w:t>
      </w:r>
    </w:p>
    <w:p>
      <w:pPr>
        <w:pStyle w:val="51"/>
        <w:spacing w:line="240" w:lineRule="auto"/>
        <w:ind w:firstLine="640"/>
        <w:rPr>
          <w:rFonts w:ascii="仿宋_GB2312" w:hAnsi="仿宋_GB2312" w:eastAsia="仿宋_GB2312" w:cs="仿宋_GB2312"/>
          <w:sz w:val="32"/>
          <w:szCs w:val="32"/>
        </w:rPr>
      </w:pPr>
      <w:bookmarkStart w:id="78" w:name="_Toc3189"/>
      <w:r>
        <w:rPr>
          <w:rFonts w:hint="eastAsia" w:ascii="仿宋_GB2312" w:hAnsi="仿宋_GB2312" w:eastAsia="仿宋_GB2312" w:cs="仿宋_GB2312"/>
          <w:sz w:val="32"/>
          <w:szCs w:val="32"/>
        </w:rPr>
        <w:t>二、完善数据智慧中枢功能</w:t>
      </w:r>
      <w:bookmarkEnd w:id="78"/>
    </w:p>
    <w:p>
      <w:pPr>
        <w:pStyle w:val="51"/>
        <w:spacing w:line="620" w:lineRule="exact"/>
        <w:ind w:firstLine="640"/>
        <w:rPr>
          <w:sz w:val="32"/>
          <w:szCs w:val="32"/>
        </w:rPr>
      </w:pPr>
      <w:r>
        <w:rPr>
          <w:rFonts w:hint="eastAsia"/>
          <w:sz w:val="32"/>
          <w:szCs w:val="32"/>
        </w:rPr>
        <w:t>——夯实平台基础化建设。依托市信用信息共享平台</w:t>
      </w:r>
      <w:r>
        <w:rPr>
          <w:rFonts w:hint="eastAsia" w:ascii="仿宋" w:hAnsi="仿宋" w:cs="仿宋"/>
          <w:sz w:val="32"/>
          <w:szCs w:val="32"/>
        </w:rPr>
        <w:t>，</w:t>
      </w:r>
      <w:r>
        <w:rPr>
          <w:rFonts w:hint="eastAsia"/>
          <w:sz w:val="32"/>
          <w:szCs w:val="32"/>
        </w:rPr>
        <w:t>完善感知、分析、决策功能，构建智慧共享、智慧监管、智慧应用3大服务体系，支撑金融、物流、能源、交通运输、跨境贸易、生态环保、教育、文化、医疗、公共服务等X个重点领域信用智慧化应用场景建设，打造“1</w:t>
      </w:r>
      <w:r>
        <w:rPr>
          <w:rFonts w:hint="eastAsia" w:ascii="宋体" w:hAnsi="宋体" w:eastAsia="宋体" w:cs="宋体"/>
          <w:sz w:val="32"/>
          <w:szCs w:val="32"/>
        </w:rPr>
        <w:t>＋</w:t>
      </w:r>
      <w:r>
        <w:rPr>
          <w:rFonts w:hint="eastAsia"/>
          <w:sz w:val="32"/>
          <w:szCs w:val="32"/>
        </w:rPr>
        <w:t>3</w:t>
      </w:r>
      <w:r>
        <w:rPr>
          <w:rFonts w:hint="eastAsia" w:ascii="宋体" w:hAnsi="宋体" w:eastAsia="宋体" w:cs="宋体"/>
          <w:sz w:val="32"/>
          <w:szCs w:val="32"/>
        </w:rPr>
        <w:t>＋</w:t>
      </w:r>
      <w:r>
        <w:rPr>
          <w:rFonts w:hint="eastAsia"/>
          <w:sz w:val="32"/>
          <w:szCs w:val="32"/>
        </w:rPr>
        <w:t>X”信用智慧服务新格局。完善“信用中国（河南南阳）”门户网站建设，健全门户网站意识形态责任制，切实提升门户网站服务能力。规范信用报告格式内容，完善信用奖惩对象自动化识别、实时化推送功能，健全信用修复线上办理机制，提高市场主体对信用信息平台和信用门户网站的感知度。</w:t>
      </w:r>
    </w:p>
    <w:p>
      <w:pPr>
        <w:pStyle w:val="51"/>
        <w:spacing w:line="620" w:lineRule="exact"/>
        <w:ind w:firstLine="640"/>
        <w:rPr>
          <w:sz w:val="32"/>
          <w:szCs w:val="32"/>
        </w:rPr>
      </w:pPr>
      <w:r>
        <w:rPr>
          <w:rFonts w:hint="eastAsia"/>
          <w:sz w:val="32"/>
          <w:szCs w:val="32"/>
        </w:rPr>
        <w:t>——推动平台智慧化创新。</w:t>
      </w:r>
      <w:r>
        <w:rPr>
          <w:rStyle w:val="50"/>
          <w:rFonts w:hint="eastAsia"/>
          <w:sz w:val="32"/>
          <w:szCs w:val="32"/>
        </w:rPr>
        <w:t>推动信用信息化建设与“数字南阳”同步发展，打造城市信用大数据智能中枢</w:t>
      </w:r>
      <w:r>
        <w:rPr>
          <w:rStyle w:val="50"/>
          <w:sz w:val="32"/>
          <w:szCs w:val="32"/>
        </w:rPr>
        <w:t>。</w:t>
      </w:r>
      <w:r>
        <w:rPr>
          <w:rStyle w:val="50"/>
          <w:rFonts w:hint="eastAsia"/>
          <w:sz w:val="32"/>
          <w:szCs w:val="32"/>
        </w:rPr>
        <w:t>推动信用大数据应用功能嵌入“</w:t>
      </w:r>
      <w:r>
        <w:rPr>
          <w:rStyle w:val="50"/>
          <w:sz w:val="32"/>
          <w:szCs w:val="32"/>
        </w:rPr>
        <w:t>宛快办</w:t>
      </w:r>
      <w:r>
        <w:rPr>
          <w:rStyle w:val="50"/>
          <w:rFonts w:hint="eastAsia"/>
          <w:sz w:val="32"/>
          <w:szCs w:val="32"/>
        </w:rPr>
        <w:t>”平台，作为核心功能支撑“互联网</w:t>
      </w:r>
      <w:r>
        <w:rPr>
          <w:rFonts w:hint="eastAsia" w:ascii="宋体" w:hAnsi="宋体" w:eastAsia="宋体" w:cs="宋体"/>
          <w:sz w:val="32"/>
          <w:szCs w:val="32"/>
        </w:rPr>
        <w:t>＋</w:t>
      </w:r>
      <w:r>
        <w:rPr>
          <w:rStyle w:val="50"/>
          <w:rFonts w:hint="eastAsia"/>
          <w:sz w:val="32"/>
          <w:szCs w:val="32"/>
        </w:rPr>
        <w:t>监管”系统、劳务输出追溯信息系统建设。重点应用大数据、区块链、人工智能、云计算等信息技术，实现信用大数据与平台经济深度融合，探索构建数字身份认证平台、个人数字空间等可信生态体系，使各区域、各行业、各领域信用信息成为全域信息基础设施的核心要素。</w:t>
      </w:r>
    </w:p>
    <w:p>
      <w:pPr>
        <w:pStyle w:val="51"/>
        <w:spacing w:line="620" w:lineRule="exact"/>
        <w:ind w:firstLine="640"/>
        <w:rPr>
          <w:sz w:val="32"/>
          <w:szCs w:val="32"/>
        </w:rPr>
      </w:pPr>
      <w:r>
        <w:rPr>
          <w:rFonts w:hint="eastAsia"/>
          <w:sz w:val="32"/>
          <w:szCs w:val="32"/>
        </w:rPr>
        <w:t>——实现平台智能化互通。加强市公共信用信息平台与省信用信息共享平台、全市统一数据共享开放平台的对接，实现市信用大数据智能中枢与企业信用信息公示系统、“信易贷”平台完全互通。提升市信用大数据智能中枢信用监测预警、挖掘分析、智能决策等智慧化信用服务能力，健全信用奖惩的线上跟踪、监测、反馈机制，推广“一站式”信用核查服务，推动城市数据、社会互联、信用感知相互共融。</w:t>
      </w:r>
    </w:p>
    <w:p>
      <w:pPr>
        <w:pStyle w:val="51"/>
        <w:widowControl/>
        <w:spacing w:line="620" w:lineRule="exact"/>
        <w:ind w:firstLine="640"/>
        <w:jc w:val="left"/>
        <w:rPr>
          <w:rFonts w:ascii="仿宋_GB2312" w:hAnsi="仿宋_GB2312" w:eastAsia="仿宋_GB2312" w:cs="仿宋_GB2312"/>
          <w:sz w:val="32"/>
          <w:szCs w:val="32"/>
        </w:rPr>
      </w:pPr>
      <w:bookmarkStart w:id="79" w:name="_Toc23648"/>
      <w:r>
        <w:rPr>
          <w:rFonts w:hint="eastAsia" w:ascii="仿宋_GB2312" w:hAnsi="仿宋_GB2312" w:eastAsia="仿宋_GB2312" w:cs="仿宋_GB2312"/>
          <w:sz w:val="32"/>
          <w:szCs w:val="32"/>
        </w:rPr>
        <w:t>三、加强数据的智慧化应用</w:t>
      </w:r>
      <w:bookmarkEnd w:id="79"/>
    </w:p>
    <w:p>
      <w:pPr>
        <w:pStyle w:val="51"/>
        <w:spacing w:line="620" w:lineRule="exact"/>
        <w:ind w:firstLine="640"/>
        <w:rPr>
          <w:sz w:val="32"/>
          <w:szCs w:val="32"/>
        </w:rPr>
      </w:pPr>
      <w:r>
        <w:rPr>
          <w:rFonts w:hint="eastAsia"/>
          <w:sz w:val="32"/>
          <w:szCs w:val="32"/>
        </w:rPr>
        <w:t>——实现信用惠民便企应用。加快推进企业统一电子证照改革，建立企业信用档案，推动电子营业执照、电子印章、电子发票和“十公示”信息整合统一，实现企业办事全流程数字化管理。探索企业公共信用综合评价运用，支持第三方信用服务机构围绕融资贷款、政府采购、招标投标、市场交易等场景细化评分，并作为事前审批、事中监管的重要依据。探索信用积分应用，着力推动信用积分激励应用场景建设，依托消费、公交、旅游、社区等公共服务和民生领域积极拓展信用积分应用场景，提升市民守信获得感。</w:t>
      </w:r>
    </w:p>
    <w:p>
      <w:pPr>
        <w:pStyle w:val="51"/>
        <w:spacing w:line="620" w:lineRule="exact"/>
        <w:ind w:firstLine="640"/>
        <w:rPr>
          <w:sz w:val="32"/>
          <w:szCs w:val="32"/>
        </w:rPr>
      </w:pPr>
      <w:r>
        <w:rPr>
          <w:rFonts w:hint="eastAsia"/>
          <w:sz w:val="32"/>
          <w:szCs w:val="32"/>
        </w:rPr>
        <w:t>——实现信用数字智慧化应用。全面推进城市信用数字化建设，依托</w:t>
      </w:r>
      <w:r>
        <w:rPr>
          <w:rStyle w:val="50"/>
          <w:rFonts w:hint="eastAsia"/>
          <w:sz w:val="32"/>
          <w:szCs w:val="32"/>
        </w:rPr>
        <w:t>城市信用大数据智能中枢</w:t>
      </w:r>
      <w:r>
        <w:rPr>
          <w:rFonts w:hint="eastAsia"/>
          <w:sz w:val="32"/>
          <w:szCs w:val="32"/>
        </w:rPr>
        <w:t>整合“信用</w:t>
      </w:r>
      <w:r>
        <w:rPr>
          <w:rFonts w:hint="eastAsia" w:ascii="宋体" w:hAnsi="宋体" w:eastAsia="宋体" w:cs="宋体"/>
          <w:sz w:val="32"/>
          <w:szCs w:val="32"/>
        </w:rPr>
        <w:t>＋</w:t>
      </w:r>
      <w:r>
        <w:rPr>
          <w:rFonts w:hint="eastAsia"/>
          <w:sz w:val="32"/>
          <w:szCs w:val="32"/>
        </w:rPr>
        <w:t>行业监管”“信用</w:t>
      </w:r>
      <w:r>
        <w:rPr>
          <w:rFonts w:hint="eastAsia" w:ascii="宋体" w:hAnsi="宋体" w:eastAsia="宋体" w:cs="宋体"/>
          <w:sz w:val="32"/>
          <w:szCs w:val="32"/>
        </w:rPr>
        <w:t>＋</w:t>
      </w:r>
      <w:r>
        <w:rPr>
          <w:rFonts w:hint="eastAsia"/>
          <w:sz w:val="32"/>
          <w:szCs w:val="32"/>
        </w:rPr>
        <w:t>公共服务”“信用</w:t>
      </w:r>
      <w:r>
        <w:rPr>
          <w:rFonts w:hint="eastAsia" w:ascii="宋体" w:hAnsi="宋体" w:eastAsia="宋体" w:cs="宋体"/>
          <w:sz w:val="32"/>
          <w:szCs w:val="32"/>
        </w:rPr>
        <w:t>＋</w:t>
      </w:r>
      <w:r>
        <w:rPr>
          <w:rFonts w:hint="eastAsia"/>
          <w:sz w:val="32"/>
          <w:szCs w:val="32"/>
        </w:rPr>
        <w:t>市场交易”“信用</w:t>
      </w:r>
      <w:r>
        <w:rPr>
          <w:rFonts w:hint="eastAsia" w:ascii="宋体" w:hAnsi="宋体" w:eastAsia="宋体" w:cs="宋体"/>
          <w:sz w:val="32"/>
          <w:szCs w:val="32"/>
        </w:rPr>
        <w:t>＋</w:t>
      </w:r>
      <w:r>
        <w:rPr>
          <w:rFonts w:hint="eastAsia"/>
          <w:sz w:val="32"/>
          <w:szCs w:val="32"/>
        </w:rPr>
        <w:t>资源配置”等服务功能，重点在市场监管、融资信贷、社会治理、民生服务等应用场景实现“信易</w:t>
      </w:r>
      <w:r>
        <w:rPr>
          <w:rFonts w:hint="eastAsia" w:ascii="宋体" w:hAnsi="宋体" w:eastAsia="宋体" w:cs="宋体"/>
          <w:sz w:val="32"/>
          <w:szCs w:val="32"/>
        </w:rPr>
        <w:t>＋</w:t>
      </w:r>
      <w:r>
        <w:rPr>
          <w:rFonts w:hint="eastAsia"/>
          <w:sz w:val="32"/>
          <w:szCs w:val="32"/>
        </w:rPr>
        <w:t>”创新，着力构建信用支撑智慧政务、智慧监管、智慧安全等惠民便企应用新格局。依托农业农村、智能制造、服务贸易、金融服务、园区管理等应用场景实现</w:t>
      </w:r>
      <w:r>
        <w:rPr>
          <w:rStyle w:val="50"/>
          <w:rFonts w:hint="eastAsia"/>
          <w:sz w:val="32"/>
          <w:szCs w:val="32"/>
        </w:rPr>
        <w:t>城市信用大数据智能中枢与行业产业链、信息链相互融合，激发信用数字化、智慧化市场活力。</w:t>
      </w:r>
    </w:p>
    <w:p>
      <w:pPr>
        <w:pStyle w:val="51"/>
        <w:spacing w:line="620" w:lineRule="exact"/>
        <w:ind w:firstLine="640"/>
        <w:rPr>
          <w:rStyle w:val="50"/>
          <w:sz w:val="32"/>
          <w:szCs w:val="32"/>
        </w:rPr>
      </w:pPr>
      <w:r>
        <w:rPr>
          <w:rFonts w:hint="eastAsia"/>
          <w:sz w:val="32"/>
          <w:szCs w:val="32"/>
        </w:rPr>
        <w:t>——实现信用区域协同化应用。</w:t>
      </w:r>
      <w:r>
        <w:rPr>
          <w:rStyle w:val="50"/>
          <w:rFonts w:hint="eastAsia"/>
          <w:sz w:val="32"/>
          <w:szCs w:val="32"/>
        </w:rPr>
        <w:t>探索大数据、区块链技术，推动市域内信用产品在中原城市群内互通共认，实现与郑州、洛阳等地跨区域信用联动机制</w:t>
      </w:r>
      <w:r>
        <w:rPr>
          <w:rStyle w:val="50"/>
          <w:sz w:val="32"/>
          <w:szCs w:val="32"/>
        </w:rPr>
        <w:t>。</w:t>
      </w:r>
      <w:r>
        <w:rPr>
          <w:rStyle w:val="50"/>
          <w:rFonts w:hint="eastAsia"/>
          <w:sz w:val="32"/>
          <w:szCs w:val="32"/>
        </w:rPr>
        <w:t>推动信用报告、信用评价、信用奖惩、信用分互认，提升政府跨区域监管能力，促进区域信用一体化协同发展。积极打造南阳区域中心数据库，进一步探索完善业务场景和技术标准，实现与省内各主要城市信用信息平台完全互联互通。依托大数据、云计算、人工智能技术实现区域内公共与市场信用信息规模化采集和开放式应用，依托可信生态体系建立“都市数据沙盒”，推动区域信用大数据在金融、供应链中的深度开发及应用，实现数据融合共享。</w:t>
      </w:r>
      <w:bookmarkStart w:id="80" w:name="_Toc25805"/>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Layout w:type="fixed"/>
        <w:tblCellMar>
          <w:top w:w="0" w:type="dxa"/>
          <w:left w:w="108" w:type="dxa"/>
          <w:bottom w:w="0" w:type="dxa"/>
          <w:right w:w="108" w:type="dxa"/>
        </w:tblCellMar>
      </w:tblPr>
      <w:tblGrid>
        <w:gridCol w:w="8784"/>
      </w:tblGrid>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PrEx>
        <w:trPr>
          <w:trHeight w:val="57" w:hRule="atLeast"/>
          <w:tblHeader/>
          <w:jc w:val="center"/>
        </w:trPr>
        <w:tc>
          <w:tcPr>
            <w:tcW w:w="8784" w:type="dxa"/>
          </w:tcPr>
          <w:p>
            <w:pPr>
              <w:overflowPunct w:val="0"/>
              <w:spacing w:line="600" w:lineRule="exact"/>
              <w:jc w:val="center"/>
              <w:rPr>
                <w:rFonts w:ascii="黑体" w:hAnsi="黑体" w:eastAsia="黑体"/>
                <w:kern w:val="0"/>
                <w:sz w:val="28"/>
                <w:szCs w:val="28"/>
              </w:rPr>
            </w:pPr>
            <w:r>
              <w:rPr>
                <w:rFonts w:hint="eastAsia" w:ascii="黑体" w:hAnsi="黑体" w:eastAsia="黑体"/>
                <w:kern w:val="0"/>
                <w:sz w:val="28"/>
                <w:szCs w:val="28"/>
              </w:rPr>
              <w:t>专栏</w:t>
            </w:r>
            <w:r>
              <w:rPr>
                <w:rFonts w:ascii="黑体" w:hAnsi="黑体" w:eastAsia="黑体"/>
                <w:kern w:val="0"/>
                <w:sz w:val="28"/>
                <w:szCs w:val="28"/>
              </w:rPr>
              <w:t>5</w:t>
            </w:r>
            <w:r>
              <w:rPr>
                <w:rFonts w:hint="eastAsia" w:ascii="黑体" w:hAnsi="黑体" w:eastAsia="黑体"/>
                <w:kern w:val="0"/>
                <w:sz w:val="28"/>
                <w:szCs w:val="28"/>
              </w:rPr>
              <w:t>：信用基础设施智慧化提升专项行动</w:t>
            </w:r>
          </w:p>
        </w:tc>
      </w:tr>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108" w:type="dxa"/>
            <w:bottom w:w="0" w:type="dxa"/>
            <w:right w:w="108" w:type="dxa"/>
          </w:tblCellMar>
        </w:tblPrEx>
        <w:trPr>
          <w:trHeight w:val="690" w:hRule="atLeast"/>
          <w:jc w:val="center"/>
        </w:trPr>
        <w:tc>
          <w:tcPr>
            <w:tcW w:w="8784" w:type="dxa"/>
          </w:tcPr>
          <w:p>
            <w:pPr>
              <w:pStyle w:val="51"/>
              <w:overflowPunct w:val="0"/>
              <w:spacing w:line="500" w:lineRule="exact"/>
              <w:ind w:firstLine="480"/>
              <w:rPr>
                <w:rFonts w:ascii="仿宋_GB2312" w:hAnsi="仿宋_GB2312" w:eastAsia="仿宋_GB2312" w:cs="仿宋_GB2312"/>
                <w:kern w:val="2"/>
                <w:sz w:val="24"/>
                <w:szCs w:val="24"/>
              </w:rPr>
            </w:pPr>
            <w:r>
              <w:rPr>
                <w:rFonts w:hint="eastAsia" w:ascii="楷体" w:hAnsi="楷体" w:eastAsia="楷体" w:cs="楷体"/>
                <w:kern w:val="2"/>
                <w:sz w:val="24"/>
                <w:szCs w:val="24"/>
              </w:rPr>
              <w:t>平台嵌入市、县、乡三级政务服务大厅。</w:t>
            </w:r>
            <w:r>
              <w:rPr>
                <w:rFonts w:hint="eastAsia" w:ascii="仿宋_GB2312" w:hAnsi="仿宋_GB2312" w:eastAsia="仿宋_GB2312" w:cs="仿宋_GB2312"/>
                <w:kern w:val="2"/>
                <w:sz w:val="24"/>
                <w:szCs w:val="24"/>
              </w:rPr>
              <w:t>将市信用信息共享平台嵌入市、县、乡三级政务服务大厅，实现信用修复一站式办理，实现信用报告跨地区共享共用。</w:t>
            </w:r>
          </w:p>
          <w:p>
            <w:pPr>
              <w:pStyle w:val="51"/>
              <w:overflowPunct w:val="0"/>
              <w:spacing w:line="500" w:lineRule="exact"/>
              <w:ind w:firstLine="480"/>
              <w:rPr>
                <w:rFonts w:ascii="仿宋" w:hAnsi="仿宋"/>
                <w:kern w:val="2"/>
                <w:sz w:val="28"/>
                <w:szCs w:val="28"/>
              </w:rPr>
            </w:pPr>
            <w:r>
              <w:rPr>
                <w:rFonts w:hint="eastAsia" w:ascii="楷体" w:hAnsi="楷体" w:eastAsia="楷体" w:cs="楷体"/>
                <w:kern w:val="2"/>
                <w:sz w:val="24"/>
                <w:szCs w:val="24"/>
              </w:rPr>
              <w:t>平台嵌入各业务部门业务系统。</w:t>
            </w:r>
            <w:r>
              <w:rPr>
                <w:rFonts w:hint="eastAsia" w:ascii="仿宋_GB2312" w:hAnsi="仿宋_GB2312" w:eastAsia="仿宋_GB2312" w:cs="仿宋_GB2312"/>
                <w:kern w:val="2"/>
                <w:sz w:val="24"/>
                <w:szCs w:val="24"/>
              </w:rPr>
              <w:t>市信用信息共享平台嵌入各业务部门业务系统，实现信用信息跨部门互联互通，实现信用修复、信用奖惩、信用核查一网通办。</w:t>
            </w:r>
          </w:p>
        </w:tc>
      </w:tr>
      <w:bookmarkEnd w:id="80"/>
    </w:tbl>
    <w:p>
      <w:pPr>
        <w:pStyle w:val="55"/>
        <w:ind w:firstLine="0" w:firstLineChars="0"/>
        <w:jc w:val="center"/>
        <w:rPr>
          <w:sz w:val="32"/>
        </w:rPr>
      </w:pPr>
      <w:bookmarkStart w:id="81" w:name="_Toc10319"/>
      <w:bookmarkStart w:id="82" w:name="_Toc27284"/>
      <w:bookmarkStart w:id="83" w:name="_Toc15111"/>
      <w:bookmarkStart w:id="84" w:name="_Toc2166"/>
      <w:bookmarkStart w:id="85" w:name="_Toc12836"/>
      <w:r>
        <w:rPr>
          <w:rFonts w:hint="eastAsia"/>
          <w:sz w:val="32"/>
        </w:rPr>
        <w:t>第四节 全面强化信用</w:t>
      </w:r>
      <w:bookmarkEnd w:id="81"/>
      <w:bookmarkEnd w:id="82"/>
      <w:r>
        <w:rPr>
          <w:rFonts w:hint="eastAsia"/>
          <w:sz w:val="32"/>
        </w:rPr>
        <w:t>监管机制建设</w:t>
      </w:r>
      <w:bookmarkEnd w:id="83"/>
      <w:bookmarkEnd w:id="84"/>
      <w:bookmarkEnd w:id="85"/>
    </w:p>
    <w:p>
      <w:pPr>
        <w:pStyle w:val="51"/>
        <w:widowControl/>
        <w:spacing w:line="620" w:lineRule="exact"/>
        <w:ind w:firstLine="640"/>
        <w:jc w:val="left"/>
        <w:rPr>
          <w:rFonts w:ascii="仿宋_GB2312" w:hAnsi="仿宋_GB2312" w:eastAsia="仿宋_GB2312" w:cs="仿宋_GB2312"/>
          <w:sz w:val="32"/>
          <w:szCs w:val="32"/>
        </w:rPr>
      </w:pPr>
      <w:bookmarkStart w:id="86" w:name="_Toc22596"/>
      <w:r>
        <w:rPr>
          <w:rFonts w:hint="eastAsia" w:ascii="仿宋_GB2312" w:hAnsi="仿宋_GB2312" w:eastAsia="仿宋_GB2312" w:cs="仿宋_GB2312"/>
          <w:sz w:val="32"/>
          <w:szCs w:val="32"/>
        </w:rPr>
        <w:t>一、推进信用承诺制</w:t>
      </w:r>
      <w:bookmarkEnd w:id="86"/>
    </w:p>
    <w:p>
      <w:pPr>
        <w:pStyle w:val="51"/>
        <w:ind w:firstLine="640"/>
        <w:rPr>
          <w:sz w:val="32"/>
          <w:szCs w:val="32"/>
        </w:rPr>
      </w:pPr>
      <w:r>
        <w:rPr>
          <w:rFonts w:hint="eastAsia"/>
          <w:sz w:val="32"/>
          <w:szCs w:val="32"/>
        </w:rPr>
        <w:t>——完善信用承诺制度体系。出台南阳市信用承诺管理办法，规范审批替代型、容缺受理型、证明替代型、信用修复型、行业自律型和主动公示型等信用承诺工作流程，编制事项清单和标准化模板，明确承诺事中和事后核查机制，确保信用承诺实现闭环管理。在公共服务、市场准入、公共资源交易等领域深化信用承诺应用。</w:t>
      </w:r>
    </w:p>
    <w:p>
      <w:pPr>
        <w:pStyle w:val="51"/>
        <w:ind w:firstLine="640"/>
        <w:rPr>
          <w:sz w:val="32"/>
          <w:szCs w:val="32"/>
        </w:rPr>
      </w:pPr>
      <w:r>
        <w:rPr>
          <w:rFonts w:hint="eastAsia"/>
          <w:sz w:val="32"/>
          <w:szCs w:val="32"/>
        </w:rPr>
        <w:t>——建立信用承诺监管机制。建立承诺事前事中事后全流程监管机制，形成“承诺—监管—践诺”闭环管理。加快健全证明事项告知承诺制和审批替代型、主动公示型、行业自律型、信用修复型信用承诺的事中、事后核查机制，根据承诺事项特点建立差异化核查方法，形成综合运用“双随机、一公开”、重点监管、“互联网</w:t>
      </w:r>
      <w:r>
        <w:rPr>
          <w:rFonts w:hint="eastAsia" w:ascii="宋体" w:hAnsi="宋体" w:eastAsia="宋体" w:cs="宋体"/>
          <w:sz w:val="32"/>
          <w:szCs w:val="32"/>
        </w:rPr>
        <w:t>＋</w:t>
      </w:r>
      <w:r>
        <w:rPr>
          <w:rFonts w:hint="eastAsia"/>
          <w:sz w:val="32"/>
          <w:szCs w:val="32"/>
        </w:rPr>
        <w:t>监管”等方式的常态化监管机制。依托政务服务平台，综合运用大数据、区块链技术实现核查机制全程线上化并精准、实时推送至监管单位。</w:t>
      </w:r>
    </w:p>
    <w:p>
      <w:pPr>
        <w:pStyle w:val="51"/>
        <w:ind w:firstLine="640"/>
        <w:rPr>
          <w:sz w:val="32"/>
          <w:szCs w:val="32"/>
        </w:rPr>
      </w:pPr>
      <w:r>
        <w:rPr>
          <w:rFonts w:hint="eastAsia"/>
          <w:sz w:val="32"/>
          <w:szCs w:val="32"/>
        </w:rPr>
        <w:t>——强化承诺风险防范措施。规范承诺信用信息记录、归集、推送、统计、分析等全环节工作流程，将承诺主体的承诺情况全面记录至信用档案。建立违诺风险防控机制，强化行政指导和告知机制。建立承诺退出机制，允许承诺主体在合理前提下撤回承诺申请。发挥行业协会商会的自律作用，推动全市行业协会商会主动对会员企业作出的信用承诺进行监督。健全承诺公示机制，在依法依规的前提下</w:t>
      </w:r>
      <w:r>
        <w:rPr>
          <w:rStyle w:val="50"/>
          <w:rFonts w:hint="eastAsia"/>
          <w:sz w:val="32"/>
          <w:szCs w:val="32"/>
        </w:rPr>
        <w:t>实现承诺“应公示，尽公示”，对涉及民生等重点领域的承诺在公开场所进行公示。</w:t>
      </w:r>
    </w:p>
    <w:p>
      <w:pPr>
        <w:pStyle w:val="51"/>
        <w:widowControl/>
        <w:spacing w:line="620" w:lineRule="exact"/>
        <w:ind w:firstLine="640"/>
        <w:jc w:val="left"/>
        <w:rPr>
          <w:rFonts w:ascii="仿宋_GB2312" w:hAnsi="仿宋_GB2312" w:eastAsia="仿宋_GB2312" w:cs="仿宋_GB2312"/>
          <w:sz w:val="32"/>
          <w:szCs w:val="32"/>
        </w:rPr>
      </w:pPr>
      <w:bookmarkStart w:id="87" w:name="_Toc7899"/>
      <w:r>
        <w:rPr>
          <w:rFonts w:hint="eastAsia" w:ascii="仿宋_GB2312" w:hAnsi="仿宋_GB2312" w:eastAsia="仿宋_GB2312" w:cs="仿宋_GB2312"/>
          <w:sz w:val="32"/>
          <w:szCs w:val="32"/>
        </w:rPr>
        <w:t>二、实施信用分级分类监管</w:t>
      </w:r>
      <w:bookmarkEnd w:id="87"/>
    </w:p>
    <w:p>
      <w:pPr>
        <w:pStyle w:val="51"/>
        <w:ind w:firstLine="640"/>
        <w:rPr>
          <w:sz w:val="32"/>
          <w:szCs w:val="32"/>
        </w:rPr>
      </w:pPr>
      <w:r>
        <w:rPr>
          <w:rFonts w:hint="eastAsia"/>
          <w:sz w:val="32"/>
          <w:szCs w:val="32"/>
        </w:rPr>
        <w:t>——完善市场主体信用档案。全面推动公共信用评价结果、基础数据和行业管理数据相融合应用，建立覆盖企业、自然人、社会组织等主体全生命周期的信用档案，鼓励市场优先选择信用状况好的主体作为交易对象，形成社会力量广泛参与的协同监管体系。将市场主体信用报告嵌入电子证照系统，拓展信用报告在政务服务、商业活动中的应用</w:t>
      </w:r>
      <w:r>
        <w:rPr>
          <w:sz w:val="32"/>
          <w:szCs w:val="32"/>
        </w:rPr>
        <w:t>。</w:t>
      </w:r>
    </w:p>
    <w:p>
      <w:pPr>
        <w:pStyle w:val="51"/>
        <w:ind w:firstLine="640"/>
        <w:rPr>
          <w:rFonts w:ascii="黑体" w:hAnsi="黑体" w:eastAsia="楷体"/>
          <w:sz w:val="32"/>
          <w:szCs w:val="32"/>
        </w:rPr>
      </w:pPr>
      <w:r>
        <w:rPr>
          <w:rFonts w:hint="eastAsia"/>
          <w:sz w:val="32"/>
          <w:szCs w:val="32"/>
        </w:rPr>
        <w:t>——全面推行差异化监管应用。以公共信用综合评价、行业信用评价结果等为依据，在招标投标、政府采购、政府性资金项目安排、国有土地出让、评先评优、融资授信等领域试点推行分级分类监管，根据信用等级高低采取差异化的监管措施。在“双随机、一公开”抽查等方面根据不同信用状况实施差别化抽查比例和频次。健全企业信用帮扶机制，服务企业改善自身信用管理水平，显著提高信用意识。依托“信用中国（河南南阳）”网站与</w:t>
      </w:r>
      <w:r>
        <w:rPr>
          <w:rStyle w:val="50"/>
          <w:rFonts w:hint="eastAsia"/>
          <w:sz w:val="32"/>
          <w:szCs w:val="32"/>
        </w:rPr>
        <w:t>“</w:t>
      </w:r>
      <w:r>
        <w:rPr>
          <w:rStyle w:val="50"/>
          <w:sz w:val="32"/>
          <w:szCs w:val="32"/>
        </w:rPr>
        <w:t>宛快办</w:t>
      </w:r>
      <w:r>
        <w:rPr>
          <w:rStyle w:val="50"/>
          <w:rFonts w:hint="eastAsia"/>
          <w:sz w:val="32"/>
          <w:szCs w:val="32"/>
        </w:rPr>
        <w:t>”平台</w:t>
      </w:r>
      <w:r>
        <w:rPr>
          <w:rFonts w:hint="eastAsia"/>
          <w:sz w:val="32"/>
          <w:szCs w:val="32"/>
        </w:rPr>
        <w:t>规范公开公示分类监管信息，推行阳光监管。</w:t>
      </w:r>
      <w:bookmarkStart w:id="88" w:name="_Toc17362"/>
    </w:p>
    <w:p>
      <w:pPr>
        <w:pStyle w:val="51"/>
        <w:widowControl/>
        <w:spacing w:line="62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三、实施信用激励和惩戒</w:t>
      </w:r>
      <w:bookmarkEnd w:id="88"/>
    </w:p>
    <w:p>
      <w:pPr>
        <w:pStyle w:val="51"/>
        <w:ind w:firstLine="640"/>
        <w:rPr>
          <w:sz w:val="32"/>
          <w:szCs w:val="32"/>
        </w:rPr>
      </w:pPr>
      <w:r>
        <w:rPr>
          <w:rFonts w:hint="eastAsia"/>
          <w:sz w:val="32"/>
          <w:szCs w:val="32"/>
        </w:rPr>
        <w:t>——依法规范守信激励和失信惩戒名单认定标准和程序。根据国家、省信用奖惩对象和措施清单，规范奖惩对象认定程序，明确严重失信主体名单认定范围，健全严重失信主体名单退出机制。鼓励制定免予行政处罚、减轻行政处罚、从轻行政处罚措施清单，鼓励市场主体及时自我纠错，减轻社会危害。</w:t>
      </w:r>
    </w:p>
    <w:p>
      <w:pPr>
        <w:pStyle w:val="51"/>
        <w:ind w:firstLine="640"/>
        <w:rPr>
          <w:sz w:val="32"/>
          <w:szCs w:val="32"/>
        </w:rPr>
      </w:pPr>
      <w:r>
        <w:rPr>
          <w:rFonts w:hint="eastAsia"/>
          <w:sz w:val="32"/>
          <w:szCs w:val="32"/>
        </w:rPr>
        <w:t>——实现信用奖惩全流程数字化运作。全面推进自动化信用奖惩系统建设，推进信用奖惩系统嵌入</w:t>
      </w:r>
      <w:r>
        <w:rPr>
          <w:rStyle w:val="50"/>
          <w:rFonts w:hint="eastAsia"/>
          <w:sz w:val="32"/>
          <w:szCs w:val="32"/>
        </w:rPr>
        <w:t>城市信用大数据智能中枢、“</w:t>
      </w:r>
      <w:r>
        <w:rPr>
          <w:rStyle w:val="50"/>
          <w:sz w:val="32"/>
          <w:szCs w:val="32"/>
        </w:rPr>
        <w:t>宛快办</w:t>
      </w:r>
      <w:r>
        <w:rPr>
          <w:rStyle w:val="50"/>
          <w:rFonts w:hint="eastAsia"/>
          <w:sz w:val="32"/>
          <w:szCs w:val="32"/>
        </w:rPr>
        <w:t>”平台和“互联网</w:t>
      </w:r>
      <w:r>
        <w:rPr>
          <w:rFonts w:hint="eastAsia" w:ascii="宋体" w:hAnsi="宋体" w:eastAsia="宋体" w:cs="宋体"/>
          <w:sz w:val="32"/>
          <w:szCs w:val="32"/>
        </w:rPr>
        <w:t>＋</w:t>
      </w:r>
      <w:r>
        <w:rPr>
          <w:rStyle w:val="50"/>
          <w:rFonts w:hint="eastAsia"/>
          <w:sz w:val="32"/>
          <w:szCs w:val="32"/>
        </w:rPr>
        <w:t>监管”系</w:t>
      </w:r>
      <w:r>
        <w:rPr>
          <w:rFonts w:hint="eastAsia"/>
          <w:sz w:val="32"/>
          <w:szCs w:val="32"/>
        </w:rPr>
        <w:t>统，实现自动比对、自动提示、自动实施、自动反馈、异议处理等动态协同功能。</w:t>
      </w:r>
    </w:p>
    <w:p>
      <w:pPr>
        <w:pStyle w:val="51"/>
        <w:ind w:firstLine="640"/>
        <w:rPr>
          <w:sz w:val="32"/>
          <w:szCs w:val="32"/>
        </w:rPr>
      </w:pPr>
      <w:r>
        <w:rPr>
          <w:rFonts w:hint="eastAsia"/>
          <w:sz w:val="32"/>
          <w:szCs w:val="32"/>
        </w:rPr>
        <w:t>——推动信用奖惩措施行政化、市场化应用。加强信用奖惩在招标投标、政府采购、政府性资金项目安排、国有土地出让、评优评先、融资授信等领域中的应用。鼓励市场主体、金融机构、行业协会商会根据行业特性拓展惠民便企的守信激励措施，支持市场主体依托“互联网</w:t>
      </w:r>
      <w:r>
        <w:rPr>
          <w:rFonts w:hint="eastAsia" w:ascii="宋体" w:hAnsi="宋体" w:eastAsia="宋体" w:cs="宋体"/>
          <w:sz w:val="32"/>
          <w:szCs w:val="32"/>
        </w:rPr>
        <w:t>＋</w:t>
      </w:r>
      <w:r>
        <w:rPr>
          <w:rFonts w:hint="eastAsia"/>
          <w:sz w:val="32"/>
          <w:szCs w:val="32"/>
        </w:rPr>
        <w:t>消费”生态体系，优先在民生、消费领域创新“信易</w:t>
      </w:r>
      <w:r>
        <w:rPr>
          <w:rFonts w:hint="eastAsia" w:ascii="宋体" w:hAnsi="宋体" w:eastAsia="宋体" w:cs="宋体"/>
          <w:sz w:val="32"/>
          <w:szCs w:val="32"/>
        </w:rPr>
        <w:t>＋</w:t>
      </w:r>
      <w:r>
        <w:rPr>
          <w:rFonts w:hint="eastAsia"/>
          <w:sz w:val="32"/>
          <w:szCs w:val="32"/>
        </w:rPr>
        <w:t>”服务。推动行政性、市场性、行业性等奖惩应用“百花齐放”，引导社会共同参与营造“失信者处处难行，守信者处处便利”的信用大环境。</w:t>
      </w:r>
    </w:p>
    <w:p>
      <w:pPr>
        <w:pStyle w:val="51"/>
        <w:widowControl/>
        <w:spacing w:line="620" w:lineRule="exact"/>
        <w:ind w:firstLine="640"/>
        <w:jc w:val="left"/>
        <w:rPr>
          <w:rFonts w:ascii="仿宋_GB2312" w:hAnsi="仿宋_GB2312" w:eastAsia="仿宋_GB2312" w:cs="仿宋_GB2312"/>
          <w:sz w:val="32"/>
          <w:szCs w:val="32"/>
        </w:rPr>
      </w:pPr>
      <w:bookmarkStart w:id="89" w:name="_Toc13222"/>
      <w:r>
        <w:rPr>
          <w:rFonts w:hint="eastAsia" w:ascii="仿宋_GB2312" w:hAnsi="仿宋_GB2312" w:eastAsia="仿宋_GB2312" w:cs="仿宋_GB2312"/>
          <w:sz w:val="32"/>
          <w:szCs w:val="32"/>
        </w:rPr>
        <w:t>四、规范信用修复</w:t>
      </w:r>
      <w:bookmarkEnd w:id="89"/>
    </w:p>
    <w:p>
      <w:pPr>
        <w:pStyle w:val="51"/>
        <w:ind w:firstLine="640"/>
        <w:rPr>
          <w:sz w:val="32"/>
          <w:szCs w:val="32"/>
        </w:rPr>
      </w:pPr>
      <w:r>
        <w:rPr>
          <w:rFonts w:hint="eastAsia"/>
          <w:sz w:val="32"/>
          <w:szCs w:val="32"/>
        </w:rPr>
        <w:t>——完善信用修复制度。出台南阳市信用修复管理办法，明确行政处罚失信程度认定标准、信用修复条件、信息屏蔽等内容</w:t>
      </w:r>
      <w:r>
        <w:rPr>
          <w:sz w:val="32"/>
          <w:szCs w:val="32"/>
        </w:rPr>
        <w:t>。</w:t>
      </w:r>
      <w:r>
        <w:rPr>
          <w:rFonts w:hint="eastAsia"/>
          <w:sz w:val="32"/>
          <w:szCs w:val="32"/>
        </w:rPr>
        <w:t>实施有利于失信主体自我纠错、主动自新的信用修复机制，在秉持包容审慎的原则下在劳务输出、农业农村等薄弱领域创新信用修复机制，切实保障市场主体合法权益。</w:t>
      </w:r>
    </w:p>
    <w:p>
      <w:pPr>
        <w:pStyle w:val="51"/>
        <w:ind w:firstLine="640"/>
        <w:rPr>
          <w:sz w:val="32"/>
          <w:szCs w:val="32"/>
        </w:rPr>
      </w:pPr>
      <w:r>
        <w:rPr>
          <w:rFonts w:hint="eastAsia"/>
          <w:sz w:val="32"/>
          <w:szCs w:val="32"/>
        </w:rPr>
        <w:t>——规范信用修复流程。规范线上信用修复流程，持续压缩信用修复办理时限</w:t>
      </w:r>
      <w:r>
        <w:rPr>
          <w:sz w:val="32"/>
          <w:szCs w:val="32"/>
        </w:rPr>
        <w:t>。</w:t>
      </w:r>
      <w:r>
        <w:rPr>
          <w:rFonts w:hint="eastAsia"/>
          <w:sz w:val="32"/>
          <w:szCs w:val="32"/>
        </w:rPr>
        <w:t>加强信用修复信息管理与共享，实现与省信用信息共享平台、省信用门户网站同步修复失信信息，推动信用修复在全行业、全领域协同联动。</w:t>
      </w:r>
    </w:p>
    <w:p>
      <w:pPr>
        <w:pStyle w:val="51"/>
        <w:ind w:firstLine="640"/>
        <w:rPr>
          <w:sz w:val="32"/>
          <w:szCs w:val="32"/>
        </w:rPr>
      </w:pPr>
      <w:r>
        <w:rPr>
          <w:rFonts w:hint="eastAsia"/>
          <w:sz w:val="32"/>
          <w:szCs w:val="32"/>
        </w:rPr>
        <w:t>——强化修复责任监督。健全信用修复权益提醒机制，明确失信行为认定单位应通过书面、电话、短信、“信用中国（河南南阳）”公示等形式告知信用主体享有信用修复的权益和信用修复的条件</w:t>
      </w:r>
      <w:r>
        <w:rPr>
          <w:sz w:val="32"/>
          <w:szCs w:val="32"/>
        </w:rPr>
        <w:t>。</w:t>
      </w:r>
      <w:r>
        <w:rPr>
          <w:rFonts w:hint="eastAsia"/>
          <w:sz w:val="32"/>
          <w:szCs w:val="32"/>
        </w:rPr>
        <w:t>建立健全问责督查机制，定期对已修复案例实施核查和复查，进一步强化信用修复工作主体责任。</w:t>
      </w:r>
    </w:p>
    <w:p>
      <w:pPr>
        <w:pStyle w:val="51"/>
        <w:ind w:firstLine="640"/>
        <w:rPr>
          <w:sz w:val="32"/>
          <w:szCs w:val="32"/>
        </w:rPr>
      </w:pPr>
      <w:r>
        <w:rPr>
          <w:rFonts w:hint="eastAsia"/>
          <w:sz w:val="32"/>
          <w:szCs w:val="32"/>
        </w:rPr>
        <w:t>——建立修复关爱机制。鼓励失信主体自我承诺、重塑信用，强化对失信主体在信用修复期间的风险预警和完成修复后的跟踪监测，提高失信主体信用管理水平。</w:t>
      </w:r>
    </w:p>
    <w:p>
      <w:pPr>
        <w:pStyle w:val="51"/>
        <w:widowControl/>
        <w:spacing w:line="620" w:lineRule="exact"/>
        <w:ind w:firstLine="640"/>
        <w:jc w:val="left"/>
        <w:rPr>
          <w:rFonts w:ascii="仿宋_GB2312" w:hAnsi="仿宋_GB2312" w:eastAsia="仿宋_GB2312" w:cs="仿宋_GB2312"/>
          <w:sz w:val="32"/>
          <w:szCs w:val="32"/>
        </w:rPr>
      </w:pPr>
      <w:bookmarkStart w:id="90" w:name="_Toc30179"/>
      <w:r>
        <w:rPr>
          <w:rFonts w:hint="eastAsia" w:ascii="仿宋_GB2312" w:hAnsi="仿宋_GB2312" w:eastAsia="仿宋_GB2312" w:cs="仿宋_GB2312"/>
          <w:sz w:val="32"/>
          <w:szCs w:val="32"/>
        </w:rPr>
        <w:t>五、加强重点领域信用监管</w:t>
      </w:r>
      <w:bookmarkEnd w:id="90"/>
    </w:p>
    <w:p>
      <w:pPr>
        <w:pStyle w:val="51"/>
        <w:overflowPunct w:val="0"/>
        <w:spacing w:line="600" w:lineRule="exact"/>
        <w:ind w:firstLine="640"/>
        <w:rPr>
          <w:rFonts w:ascii="仿宋" w:hAnsi="仿宋"/>
          <w:sz w:val="32"/>
          <w:szCs w:val="32"/>
        </w:rPr>
      </w:pPr>
      <w:r>
        <w:rPr>
          <w:rFonts w:hint="eastAsia" w:ascii="仿宋" w:hAnsi="仿宋"/>
          <w:sz w:val="32"/>
          <w:szCs w:val="32"/>
        </w:rPr>
        <w:t>构建市、县、乡“三维一体”协同监管体系，创新基于信用的监管机制，围绕金融</w:t>
      </w:r>
      <w:r>
        <w:rPr>
          <w:rFonts w:ascii="仿宋" w:hAnsi="仿宋"/>
          <w:sz w:val="32"/>
          <w:szCs w:val="32"/>
        </w:rPr>
        <w:t>、</w:t>
      </w:r>
      <w:r>
        <w:rPr>
          <w:rFonts w:hint="eastAsia" w:ascii="仿宋" w:hAnsi="仿宋"/>
          <w:sz w:val="32"/>
          <w:szCs w:val="32"/>
        </w:rPr>
        <w:t>招商引资、公共资源交易</w:t>
      </w:r>
      <w:r>
        <w:rPr>
          <w:rFonts w:ascii="仿宋" w:hAnsi="仿宋"/>
          <w:sz w:val="32"/>
          <w:szCs w:val="32"/>
        </w:rPr>
        <w:t>、</w:t>
      </w:r>
      <w:r>
        <w:rPr>
          <w:rFonts w:hint="eastAsia" w:ascii="仿宋" w:hAnsi="仿宋"/>
          <w:sz w:val="32"/>
          <w:szCs w:val="32"/>
        </w:rPr>
        <w:t>污染防治、医疗保障、安全生产等重点领域，积极创新信用惠民便企举措，对信用状况良好的主体给予具体优惠措施或便利条件，不断提升个人和企业信用建设获得感。</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7" w:hRule="atLeast"/>
          <w:tblHeader/>
          <w:jc w:val="center"/>
        </w:trPr>
        <w:tc>
          <w:tcPr>
            <w:tcW w:w="8784" w:type="dxa"/>
            <w:tcBorders>
              <w:tl2br w:val="nil"/>
              <w:tr2bl w:val="nil"/>
            </w:tcBorders>
          </w:tcPr>
          <w:p>
            <w:pPr>
              <w:overflowPunct w:val="0"/>
              <w:jc w:val="center"/>
              <w:rPr>
                <w:rFonts w:ascii="黑体" w:hAnsi="黑体" w:eastAsia="黑体"/>
                <w:kern w:val="0"/>
                <w:sz w:val="28"/>
                <w:szCs w:val="28"/>
              </w:rPr>
            </w:pPr>
            <w:r>
              <w:rPr>
                <w:rFonts w:hint="eastAsia" w:ascii="黑体" w:hAnsi="黑体" w:eastAsia="黑体"/>
                <w:kern w:val="0"/>
                <w:sz w:val="28"/>
                <w:szCs w:val="28"/>
              </w:rPr>
              <w:t>专栏</w:t>
            </w:r>
            <w:r>
              <w:rPr>
                <w:rFonts w:ascii="黑体" w:hAnsi="黑体" w:eastAsia="黑体"/>
                <w:kern w:val="0"/>
                <w:sz w:val="28"/>
                <w:szCs w:val="28"/>
              </w:rPr>
              <w:t>6</w:t>
            </w:r>
            <w:r>
              <w:rPr>
                <w:rFonts w:hint="eastAsia" w:ascii="黑体" w:hAnsi="黑体" w:eastAsia="黑体"/>
                <w:kern w:val="0"/>
                <w:sz w:val="28"/>
                <w:szCs w:val="28"/>
              </w:rPr>
              <w:t>：重点领域信用监管专项行动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90" w:hRule="atLeast"/>
          <w:jc w:val="center"/>
        </w:trPr>
        <w:tc>
          <w:tcPr>
            <w:tcW w:w="8784" w:type="dxa"/>
            <w:tcBorders>
              <w:tl2br w:val="nil"/>
              <w:tr2bl w:val="nil"/>
            </w:tcBorders>
          </w:tcPr>
          <w:p>
            <w:pPr>
              <w:pStyle w:val="51"/>
              <w:spacing w:line="500" w:lineRule="exact"/>
              <w:ind w:firstLine="480"/>
              <w:rPr>
                <w:rFonts w:ascii="仿宋_GB2312" w:hAnsi="仿宋_GB2312" w:eastAsia="仿宋_GB2312" w:cs="仿宋_GB2312"/>
                <w:sz w:val="24"/>
                <w:szCs w:val="24"/>
              </w:rPr>
            </w:pPr>
            <w:r>
              <w:rPr>
                <w:rFonts w:hint="eastAsia" w:ascii="楷体" w:hAnsi="楷体" w:eastAsia="楷体" w:cs="楷体"/>
                <w:sz w:val="24"/>
                <w:szCs w:val="24"/>
              </w:rPr>
              <w:t>金融领域。</w:t>
            </w:r>
            <w:r>
              <w:rPr>
                <w:rFonts w:hint="eastAsia" w:ascii="仿宋_GB2312" w:hAnsi="仿宋_GB2312" w:eastAsia="仿宋_GB2312" w:cs="仿宋_GB2312"/>
                <w:sz w:val="24"/>
                <w:szCs w:val="24"/>
              </w:rPr>
              <w:t>引入先进金融科技，建立金融市场风险识别、风险预警、信用监测机制，加大对金融欺诈、恶意逃废银行债务、披露虚假信息、骗保骗赔、非法集资等金融领域失信问题的专项整治力度。</w:t>
            </w:r>
          </w:p>
          <w:p>
            <w:pPr>
              <w:pStyle w:val="51"/>
              <w:spacing w:line="500" w:lineRule="exact"/>
              <w:ind w:firstLine="480"/>
              <w:rPr>
                <w:rFonts w:ascii="仿宋_GB2312" w:hAnsi="仿宋_GB2312" w:eastAsia="仿宋_GB2312" w:cs="仿宋_GB2312"/>
                <w:sz w:val="24"/>
                <w:szCs w:val="24"/>
              </w:rPr>
            </w:pPr>
            <w:r>
              <w:rPr>
                <w:rFonts w:hint="eastAsia" w:ascii="楷体" w:hAnsi="楷体" w:eastAsia="楷体" w:cs="楷体"/>
                <w:sz w:val="24"/>
                <w:szCs w:val="24"/>
              </w:rPr>
              <w:t>招商引资领域。</w:t>
            </w:r>
            <w:r>
              <w:rPr>
                <w:rFonts w:hint="eastAsia" w:ascii="仿宋_GB2312" w:hAnsi="仿宋_GB2312" w:eastAsia="仿宋_GB2312" w:cs="仿宋_GB2312"/>
                <w:sz w:val="24"/>
                <w:szCs w:val="24"/>
              </w:rPr>
              <w:t>探索建立招商引资项目监督管理系统，针对农业农村、油碱化工等重点领域投资项目建立信用档案机制。依托城市信用大数据智能中枢实现对投资项目的事前风险识别和事中风险预警，建立对“圈而不建”、破坏生态等失信行为的投资项目分级分类监管机制。</w:t>
            </w:r>
          </w:p>
          <w:p>
            <w:pPr>
              <w:pStyle w:val="51"/>
              <w:spacing w:line="500" w:lineRule="exact"/>
              <w:ind w:firstLine="480"/>
              <w:rPr>
                <w:rFonts w:ascii="仿宋_GB2312" w:hAnsi="仿宋_GB2312" w:eastAsia="仿宋_GB2312" w:cs="仿宋_GB2312"/>
                <w:sz w:val="24"/>
                <w:szCs w:val="24"/>
              </w:rPr>
            </w:pPr>
            <w:r>
              <w:rPr>
                <w:rFonts w:hint="eastAsia" w:ascii="楷体" w:hAnsi="楷体" w:eastAsia="楷体" w:cs="楷体"/>
                <w:sz w:val="24"/>
                <w:szCs w:val="24"/>
              </w:rPr>
              <w:t>公共资源交易领域。</w:t>
            </w:r>
            <w:r>
              <w:rPr>
                <w:rFonts w:hint="eastAsia" w:ascii="仿宋_GB2312" w:hAnsi="仿宋_GB2312" w:eastAsia="仿宋_GB2312" w:cs="仿宋_GB2312"/>
                <w:sz w:val="24"/>
                <w:szCs w:val="24"/>
              </w:rPr>
              <w:t>建立以多方互评机制为核心的公共资源交易主体信用评价机制，加强对中标单位合同履约情况的信息采集和归集，加强对投标人投标过程的合规行为和中标后履约行为考察，推动公共资源优先向信用好的主体倾斜。</w:t>
            </w:r>
          </w:p>
          <w:p>
            <w:pPr>
              <w:pStyle w:val="51"/>
              <w:spacing w:line="500" w:lineRule="exact"/>
              <w:ind w:firstLine="480"/>
              <w:rPr>
                <w:rFonts w:ascii="仿宋_GB2312" w:hAnsi="仿宋_GB2312" w:eastAsia="仿宋_GB2312" w:cs="仿宋_GB2312"/>
                <w:sz w:val="24"/>
                <w:szCs w:val="24"/>
              </w:rPr>
            </w:pPr>
            <w:r>
              <w:rPr>
                <w:rFonts w:hint="eastAsia" w:ascii="楷体" w:hAnsi="楷体" w:eastAsia="楷体" w:cs="楷体"/>
                <w:sz w:val="24"/>
                <w:szCs w:val="24"/>
              </w:rPr>
              <w:t>污染防治领域。</w:t>
            </w:r>
            <w:r>
              <w:rPr>
                <w:rFonts w:hint="eastAsia" w:ascii="仿宋_GB2312" w:hAnsi="仿宋_GB2312" w:eastAsia="仿宋_GB2312" w:cs="仿宋_GB2312"/>
                <w:sz w:val="24"/>
                <w:szCs w:val="24"/>
              </w:rPr>
              <w:t>实施污染防治信息化管理，实现工业企业、扬尘、移动源等多污染源综合防控数据与城市信用大数据智能中枢共享共通。完善企业环境行为信用等级评价机制，建立危险废物、医疗废物收集处理和核与辐射安全的实施监控和风险预警机制，实施公开透明、自动评价、实时滚动的环保信用监管。</w:t>
            </w:r>
          </w:p>
          <w:p>
            <w:pPr>
              <w:pStyle w:val="51"/>
              <w:spacing w:line="500" w:lineRule="exact"/>
              <w:ind w:firstLine="480"/>
              <w:rPr>
                <w:rFonts w:ascii="仿宋_GB2312" w:hAnsi="仿宋_GB2312" w:eastAsia="仿宋_GB2312" w:cs="仿宋_GB2312"/>
                <w:sz w:val="24"/>
                <w:szCs w:val="24"/>
              </w:rPr>
            </w:pPr>
            <w:r>
              <w:rPr>
                <w:rFonts w:hint="eastAsia" w:ascii="楷体" w:hAnsi="楷体" w:eastAsia="楷体" w:cs="楷体"/>
                <w:sz w:val="24"/>
                <w:szCs w:val="24"/>
              </w:rPr>
              <w:t>医疗保障领域。</w:t>
            </w:r>
            <w:r>
              <w:rPr>
                <w:rFonts w:hint="eastAsia" w:ascii="仿宋_GB2312" w:hAnsi="仿宋_GB2312" w:eastAsia="仿宋_GB2312" w:cs="仿宋_GB2312"/>
                <w:sz w:val="24"/>
                <w:szCs w:val="24"/>
              </w:rPr>
              <w:t>围绕公共卫生、职业卫生、疫情防治、母婴保健等领域建立卫生健康信用监管机制。建立健全定点医药机构、医药企业信用分级分类监管制度和医保医师、医保药师、参保人员信用档案管理制度。建立中医药药品质量安全监管机制，实施中医药企业信用评价，加大对假冒伪劣、超范围生产、非法购买原材料、生产转包等违法违规行为的信用监管力度，以信用建设作为国家中医药综合改革试验区建设的创新亮点。</w:t>
            </w:r>
          </w:p>
          <w:p>
            <w:pPr>
              <w:pStyle w:val="51"/>
              <w:overflowPunct w:val="0"/>
              <w:spacing w:line="500" w:lineRule="exact"/>
              <w:ind w:firstLine="480"/>
              <w:rPr>
                <w:rFonts w:eastAsia="仿宋_GB2312"/>
                <w:bCs/>
                <w:sz w:val="24"/>
              </w:rPr>
            </w:pPr>
            <w:r>
              <w:rPr>
                <w:rFonts w:hint="eastAsia" w:ascii="楷体" w:hAnsi="楷体" w:eastAsia="楷体" w:cs="楷体"/>
                <w:sz w:val="24"/>
                <w:szCs w:val="24"/>
              </w:rPr>
              <w:t>安全生产领域。</w:t>
            </w:r>
            <w:r>
              <w:rPr>
                <w:rFonts w:hint="eastAsia" w:ascii="仿宋_GB2312" w:hAnsi="仿宋_GB2312" w:eastAsia="仿宋_GB2312" w:cs="仿宋_GB2312"/>
                <w:sz w:val="24"/>
                <w:szCs w:val="24"/>
              </w:rPr>
              <w:t>推进安全生产信用分级分类监管建设，完善市场主体安全生产信用记录，针对重点领域健全企业或法人信用档案。建立健全安全生产承诺和质量承诺机制。建立重大事件主动报告和生产问题责任追究制度，加大对油碱化工、矿山、建筑施工领域隐患排查和专项整治工作力度。建立风险隐患实时公示机制，向社会实时公开安全生产重点领域企业的信用等级。</w:t>
            </w:r>
          </w:p>
        </w:tc>
      </w:tr>
    </w:tbl>
    <w:p>
      <w:pPr>
        <w:pStyle w:val="55"/>
        <w:ind w:firstLine="0" w:firstLineChars="0"/>
        <w:jc w:val="center"/>
        <w:rPr>
          <w:sz w:val="32"/>
        </w:rPr>
      </w:pPr>
      <w:r>
        <w:rPr>
          <w:rFonts w:hint="eastAsia"/>
          <w:sz w:val="32"/>
        </w:rPr>
        <w:t>第五节  全面深化信用创新应用建设</w:t>
      </w:r>
    </w:p>
    <w:p>
      <w:pPr>
        <w:pStyle w:val="51"/>
        <w:widowControl/>
        <w:spacing w:line="62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一、信用优化金融服务</w:t>
      </w:r>
    </w:p>
    <w:p>
      <w:pPr>
        <w:pStyle w:val="51"/>
        <w:ind w:firstLine="640"/>
        <w:rPr>
          <w:rFonts w:ascii="仿宋" w:hAnsi="仿宋" w:cs="仿宋"/>
          <w:sz w:val="32"/>
          <w:szCs w:val="32"/>
        </w:rPr>
      </w:pPr>
      <w:r>
        <w:rPr>
          <w:rFonts w:hint="eastAsia" w:ascii="仿宋" w:hAnsi="仿宋" w:cs="仿宋"/>
          <w:sz w:val="32"/>
          <w:szCs w:val="32"/>
        </w:rPr>
        <w:t>——建设具有南阳市特色的“信易贷”平台。</w:t>
      </w:r>
      <w:r>
        <w:rPr>
          <w:rFonts w:hint="eastAsia"/>
          <w:sz w:val="32"/>
          <w:szCs w:val="32"/>
        </w:rPr>
        <w:t>加快南阳市“信易贷”平台建设，建设集信用信息归集、信用评价、融资需求对接、风险防控等功能于一体的综合信用服务平台，实现与河南省“信易贷”平台互通，共享融资成效相关信息。完善平台公共信用信息共享机制，实现与金融</w:t>
      </w:r>
      <w:r>
        <w:rPr>
          <w:sz w:val="32"/>
          <w:szCs w:val="32"/>
        </w:rPr>
        <w:t>、</w:t>
      </w:r>
      <w:r>
        <w:rPr>
          <w:rFonts w:hint="eastAsia" w:ascii="仿宋" w:hAnsi="仿宋" w:cs="仿宋"/>
          <w:sz w:val="32"/>
          <w:szCs w:val="32"/>
        </w:rPr>
        <w:t>税务、市场监管、海关、司法、水、电、气费以及社保、住房公积金缴纳等领域信用信息融合共享，丰富企业信用画像</w:t>
      </w:r>
      <w:r>
        <w:rPr>
          <w:rFonts w:ascii="仿宋" w:hAnsi="仿宋" w:cs="仿宋"/>
          <w:sz w:val="32"/>
          <w:szCs w:val="32"/>
        </w:rPr>
        <w:t>。</w:t>
      </w:r>
    </w:p>
    <w:p>
      <w:pPr>
        <w:pStyle w:val="51"/>
        <w:ind w:firstLine="640"/>
        <w:rPr>
          <w:sz w:val="32"/>
          <w:szCs w:val="32"/>
        </w:rPr>
      </w:pPr>
      <w:r>
        <w:rPr>
          <w:rFonts w:hint="eastAsia"/>
          <w:sz w:val="32"/>
          <w:szCs w:val="32"/>
        </w:rPr>
        <w:t>——全面推行“信易贷”融资模式。建立“信易贷”风险共担和补偿机制，探索设立由政府部门牵头，金融机构和其他市场主体共同参与、共担风险的“信易贷”专项风险缓释基金或风险补偿金，弥补因企业债务违约等失信行为造成的经济损失。建立新型“政银担”风险分担机制，引导金融机构信贷政策向“零信贷”企业倾斜，推动“金桥工程”银企对接，有效破解中小微企业首贷难问题。建立健全覆盖全市的政府性融资担保体系，设立政府性融资担保机构，适时调降担保、再担保费率，对小微企业和“三农”主体实行低收费。</w:t>
      </w:r>
    </w:p>
    <w:p>
      <w:pPr>
        <w:pStyle w:val="51"/>
        <w:ind w:firstLine="640"/>
        <w:rPr>
          <w:bCs/>
          <w:sz w:val="32"/>
          <w:szCs w:val="32"/>
        </w:rPr>
      </w:pPr>
      <w:r>
        <w:rPr>
          <w:rFonts w:hint="eastAsia"/>
          <w:sz w:val="32"/>
          <w:szCs w:val="32"/>
        </w:rPr>
        <w:t>——创新“信易贷”产品体系。引导金融机构开发纯信用贷、准信用贷等“信易贷”产品体系，拓展能源、交通、物流等“行业信易贷”，创新基于政府采购、特色商圈群等实际应用场景的“场景信易贷”。推动创新金融服务，提升产品研发能力，深入推动“信易贷”与科技贷业务融合，探索平台、金融机构、政府部门三方合作模式，大力发展普惠金融、数字金融、绿色金融、科技金融。</w:t>
      </w:r>
    </w:p>
    <w:p>
      <w:pPr>
        <w:pStyle w:val="51"/>
        <w:widowControl/>
        <w:spacing w:line="62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二、信用赋能乡村振兴</w:t>
      </w:r>
    </w:p>
    <w:p>
      <w:pPr>
        <w:pStyle w:val="51"/>
        <w:ind w:firstLine="640"/>
        <w:rPr>
          <w:sz w:val="32"/>
          <w:szCs w:val="32"/>
        </w:rPr>
      </w:pPr>
      <w:r>
        <w:rPr>
          <w:rFonts w:hint="eastAsia"/>
          <w:sz w:val="32"/>
          <w:szCs w:val="32"/>
        </w:rPr>
        <w:t>——以信用保障粮食安全。健全粮食生产质量安全追溯体系，依托农业大数据实现粮食生产关键环节的动态监管，深入打造粮食“信用码”，重点实施小麦、玉米、月季、艾草等农产品质量追溯信用监管，实现信用助力全国农产品质量安全市高标准建设。实施土地流转全环节信用监管机制，强化耕地流转程序规范化建设</w:t>
      </w:r>
      <w:r>
        <w:rPr>
          <w:sz w:val="32"/>
          <w:szCs w:val="32"/>
        </w:rPr>
        <w:t>。</w:t>
      </w:r>
      <w:r>
        <w:rPr>
          <w:rFonts w:hint="eastAsia"/>
          <w:sz w:val="32"/>
          <w:szCs w:val="32"/>
        </w:rPr>
        <w:t>建立耕地流转信用档案制度，确保土地流转和农业项目紧密挂钩，坚决防止“非粮化”“非农化”等失信行为。建立农业项目事前审查和信用承诺机制，实现农业项目全流程风险监测和预警。</w:t>
      </w:r>
    </w:p>
    <w:p>
      <w:pPr>
        <w:pStyle w:val="51"/>
        <w:ind w:firstLine="640"/>
        <w:rPr>
          <w:sz w:val="32"/>
          <w:szCs w:val="32"/>
        </w:rPr>
      </w:pPr>
      <w:r>
        <w:rPr>
          <w:rFonts w:hint="eastAsia"/>
          <w:sz w:val="32"/>
          <w:szCs w:val="32"/>
        </w:rPr>
        <w:t>——以信用赋能美丽乡村。发挥党建引领作用，在各县（市、区）探索开展“信用</w:t>
      </w:r>
      <w:r>
        <w:rPr>
          <w:rFonts w:hint="eastAsia" w:ascii="宋体" w:hAnsi="宋体" w:eastAsia="宋体" w:cs="宋体"/>
          <w:sz w:val="32"/>
          <w:szCs w:val="32"/>
        </w:rPr>
        <w:t>＋</w:t>
      </w:r>
      <w:r>
        <w:rPr>
          <w:rFonts w:hint="eastAsia"/>
          <w:sz w:val="32"/>
          <w:szCs w:val="32"/>
        </w:rPr>
        <w:t>网格化治理”工作，实施“信用积分制”模式，全面推动“信用</w:t>
      </w:r>
      <w:r>
        <w:rPr>
          <w:rFonts w:hint="eastAsia" w:ascii="宋体" w:hAnsi="宋体" w:eastAsia="宋体" w:cs="宋体"/>
          <w:sz w:val="32"/>
          <w:szCs w:val="32"/>
        </w:rPr>
        <w:t>＋</w:t>
      </w:r>
      <w:r>
        <w:rPr>
          <w:rFonts w:hint="eastAsia"/>
          <w:sz w:val="32"/>
          <w:szCs w:val="32"/>
        </w:rPr>
        <w:t>乡村治理”建设。鼓励全市各村根据本村特点积极拓展信用积分应用场景，推动信用积分嵌入移风易俗、志愿服务、评优评先等环节中，推动信用积分与农村人居环境整治、农村“厕所革命”、农村生活污水治理有机结合，鼓励各村积极创新激励举措并给予相应的财政支持。发挥农村基层党组织作用，引导家庭农场、农民合作社等新型农业经营主体提升自身管理水平、强化信用意识</w:t>
      </w:r>
      <w:r>
        <w:rPr>
          <w:sz w:val="32"/>
          <w:szCs w:val="32"/>
        </w:rPr>
        <w:t>。</w:t>
      </w:r>
      <w:r>
        <w:rPr>
          <w:rFonts w:hint="eastAsia"/>
          <w:sz w:val="32"/>
          <w:szCs w:val="32"/>
        </w:rPr>
        <w:t>广泛运用新闻媒体、微信公众号、政府网站等媒介，举办“信用知识普及宣传月”“信用知识进乡村”等活动，提高农户对信用的认知水平。</w:t>
      </w:r>
    </w:p>
    <w:p>
      <w:pPr>
        <w:pStyle w:val="51"/>
        <w:ind w:firstLine="640"/>
        <w:rPr>
          <w:sz w:val="32"/>
          <w:szCs w:val="32"/>
        </w:rPr>
      </w:pPr>
      <w:r>
        <w:rPr>
          <w:rFonts w:hint="eastAsia"/>
          <w:sz w:val="32"/>
          <w:szCs w:val="32"/>
        </w:rPr>
        <w:t>——以信用优化营农环境。深化农村“信用</w:t>
      </w:r>
      <w:r>
        <w:rPr>
          <w:rFonts w:hint="eastAsia" w:ascii="宋体" w:hAnsi="宋体" w:eastAsia="宋体" w:cs="宋体"/>
          <w:sz w:val="32"/>
          <w:szCs w:val="32"/>
        </w:rPr>
        <w:t>＋</w:t>
      </w:r>
      <w:r>
        <w:rPr>
          <w:rFonts w:hint="eastAsia"/>
          <w:sz w:val="32"/>
          <w:szCs w:val="32"/>
        </w:rPr>
        <w:t>金融”服务，加快实施“信用</w:t>
      </w:r>
      <w:r>
        <w:rPr>
          <w:rFonts w:hint="eastAsia" w:ascii="宋体" w:hAnsi="宋体" w:eastAsia="宋体" w:cs="宋体"/>
          <w:sz w:val="32"/>
          <w:szCs w:val="32"/>
        </w:rPr>
        <w:t>＋</w:t>
      </w:r>
      <w:r>
        <w:rPr>
          <w:rFonts w:hint="eastAsia"/>
          <w:sz w:val="32"/>
          <w:szCs w:val="32"/>
        </w:rPr>
        <w:t>农业大数据”模式，依托信用大数据智能中枢构建农村信用信息系统和涉农信用信息数据库，实现土地确权、农合农保等涉农数据应归尽归。全面开展</w:t>
      </w:r>
      <w:r>
        <w:rPr>
          <w:sz w:val="32"/>
          <w:szCs w:val="32"/>
        </w:rPr>
        <w:t>信用乡镇（街道）、信用村（社区）、信用户等信用评级工作，扩大农户信用评级覆盖面。</w:t>
      </w:r>
      <w:r>
        <w:rPr>
          <w:rFonts w:hint="eastAsia"/>
          <w:sz w:val="32"/>
          <w:szCs w:val="32"/>
        </w:rPr>
        <w:t>依托“信易贷”平台加快开发“涉农信易贷”，引导信贷资金优先支持现代农业、农村一二三产业融合、农业社会化服务业等产业发展。</w:t>
      </w:r>
    </w:p>
    <w:p>
      <w:pPr>
        <w:pStyle w:val="51"/>
        <w:widowControl/>
        <w:spacing w:line="62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三、信用保障绿色生态</w:t>
      </w:r>
    </w:p>
    <w:p>
      <w:pPr>
        <w:pStyle w:val="51"/>
        <w:ind w:firstLine="640"/>
        <w:rPr>
          <w:sz w:val="32"/>
          <w:szCs w:val="32"/>
        </w:rPr>
      </w:pPr>
      <w:r>
        <w:rPr>
          <w:rFonts w:hint="eastAsia"/>
          <w:sz w:val="32"/>
          <w:szCs w:val="32"/>
        </w:rPr>
        <w:t>——以信用强化生态环境制度建设。健全自然保护地、生态保护红线信用监管制度。建立企业生态环境保护信用承诺制，对生态环境保护重点领域项目构建基于大数据技术下的自动化事前审查机制。重点实施水资源保护和水污染防治信用监管，探索实施“水生态信用积分制”。健全生态环境保护联合执法系统，推动信用大数据与生态监管巡查有机结合，实现对生态环境破坏、侵犯行为的动态感知和精准管控。</w:t>
      </w:r>
    </w:p>
    <w:p>
      <w:pPr>
        <w:pStyle w:val="51"/>
        <w:ind w:firstLine="640"/>
        <w:rPr>
          <w:sz w:val="32"/>
          <w:szCs w:val="32"/>
        </w:rPr>
      </w:pPr>
      <w:r>
        <w:rPr>
          <w:rFonts w:hint="eastAsia"/>
          <w:sz w:val="32"/>
          <w:szCs w:val="32"/>
        </w:rPr>
        <w:t>——以信用支撑绿色生态市场建设。探索“信用</w:t>
      </w:r>
      <w:r>
        <w:rPr>
          <w:rFonts w:hint="eastAsia" w:ascii="宋体" w:hAnsi="宋体" w:eastAsia="宋体" w:cs="宋体"/>
          <w:sz w:val="32"/>
          <w:szCs w:val="32"/>
        </w:rPr>
        <w:t>＋</w:t>
      </w:r>
      <w:r>
        <w:rPr>
          <w:rFonts w:hint="eastAsia"/>
          <w:sz w:val="32"/>
          <w:szCs w:val="32"/>
        </w:rPr>
        <w:t>排污许可制”，推进排污权、用能权、用水权、碳排放权市场化交易的风险防范和信用监管机制建设，创新碳排放达标企业在行政性、行业性、市场性中的应用场景和创新激励措施。探索信用积分在绿色出行、绿色消费等信用分应用场景，引导市民开展绿色生活。</w:t>
      </w:r>
    </w:p>
    <w:p>
      <w:pPr>
        <w:pStyle w:val="51"/>
        <w:ind w:firstLine="640"/>
        <w:rPr>
          <w:sz w:val="32"/>
          <w:szCs w:val="32"/>
        </w:rPr>
      </w:pPr>
      <w:r>
        <w:rPr>
          <w:rFonts w:hint="eastAsia"/>
          <w:sz w:val="32"/>
          <w:szCs w:val="32"/>
        </w:rPr>
        <w:t>——以信用助力绿色生态金融建设。探索通过信用推动社会资本优先支持企业向绿色化方向转型</w:t>
      </w:r>
      <w:r>
        <w:rPr>
          <w:sz w:val="32"/>
          <w:szCs w:val="32"/>
        </w:rPr>
        <w:t>，</w:t>
      </w:r>
      <w:r>
        <w:rPr>
          <w:rFonts w:hint="eastAsia"/>
          <w:sz w:val="32"/>
          <w:szCs w:val="32"/>
        </w:rPr>
        <w:t>优先向节能环保、清洁能源及低耗水产业的企业提供金融服务</w:t>
      </w:r>
      <w:r>
        <w:rPr>
          <w:sz w:val="32"/>
          <w:szCs w:val="32"/>
        </w:rPr>
        <w:t>。</w:t>
      </w:r>
      <w:r>
        <w:rPr>
          <w:rFonts w:hint="eastAsia"/>
          <w:sz w:val="32"/>
          <w:szCs w:val="32"/>
        </w:rPr>
        <w:t>支持“信易贷”平台创新绿色金融服务产品，优先支持中小微企业绿色信贷的创新与推广。打造绿色产业投资信用档案，加强对绿色发展基金管理机构的信用监管，规范绿色产业投资和发展基金的使用。</w:t>
      </w:r>
    </w:p>
    <w:p>
      <w:pPr>
        <w:pStyle w:val="51"/>
        <w:widowControl/>
        <w:spacing w:line="62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四、信用助力市场畅通</w:t>
      </w:r>
    </w:p>
    <w:p>
      <w:pPr>
        <w:pStyle w:val="51"/>
        <w:ind w:firstLine="640"/>
        <w:rPr>
          <w:sz w:val="32"/>
          <w:szCs w:val="32"/>
        </w:rPr>
      </w:pPr>
      <w:r>
        <w:rPr>
          <w:rFonts w:hint="eastAsia"/>
          <w:sz w:val="32"/>
          <w:szCs w:val="32"/>
        </w:rPr>
        <w:t>——加强玉雕加工领域信用建设。</w:t>
      </w:r>
      <w:r>
        <w:rPr>
          <w:rStyle w:val="50"/>
          <w:rFonts w:hint="eastAsia"/>
          <w:sz w:val="32"/>
          <w:szCs w:val="32"/>
        </w:rPr>
        <w:t>推行宝玉石“区块链数字身份证”，加快推动宝玉石产品“三码合一”，实现宝玉石质量全流程、全周期追溯。</w:t>
      </w:r>
      <w:r>
        <w:rPr>
          <w:rFonts w:hint="eastAsia"/>
          <w:sz w:val="32"/>
          <w:szCs w:val="32"/>
        </w:rPr>
        <w:t>依托大数据、区块链技术，推动聚石供应链智能仓数字化集合平台与</w:t>
      </w:r>
      <w:r>
        <w:rPr>
          <w:rStyle w:val="50"/>
          <w:rFonts w:hint="eastAsia"/>
          <w:sz w:val="32"/>
          <w:szCs w:val="32"/>
        </w:rPr>
        <w:t>城市信用大数据智能中枢互联互通，实现宝玉石原材料供应、生产加工、检测鉴定、质量分级、实时估值、包装仓储、物流销售各环节数据整合</w:t>
      </w:r>
      <w:r>
        <w:rPr>
          <w:rStyle w:val="50"/>
          <w:sz w:val="32"/>
          <w:szCs w:val="32"/>
        </w:rPr>
        <w:t>。</w:t>
      </w:r>
      <w:r>
        <w:rPr>
          <w:rFonts w:hint="eastAsia"/>
          <w:sz w:val="32"/>
          <w:szCs w:val="32"/>
        </w:rPr>
        <w:t>建立宝玉石供应链金融服务平台，</w:t>
      </w:r>
      <w:r>
        <w:rPr>
          <w:rStyle w:val="50"/>
          <w:rFonts w:hint="eastAsia"/>
          <w:sz w:val="32"/>
          <w:szCs w:val="32"/>
        </w:rPr>
        <w:t>推动</w:t>
      </w:r>
      <w:r>
        <w:rPr>
          <w:rFonts w:hint="eastAsia"/>
          <w:sz w:val="32"/>
          <w:szCs w:val="32"/>
        </w:rPr>
        <w:t>平台与“信易贷”</w:t>
      </w:r>
      <w:r>
        <w:rPr>
          <w:sz w:val="32"/>
          <w:szCs w:val="32"/>
        </w:rPr>
        <w:t>、</w:t>
      </w:r>
      <w:r>
        <w:rPr>
          <w:rFonts w:hint="eastAsia"/>
          <w:sz w:val="32"/>
          <w:szCs w:val="32"/>
        </w:rPr>
        <w:t>宝玉石全产业链质量追溯管理系统联通共享，为宝玉石中小微企业和商户提供便捷的信用融资服务。</w:t>
      </w:r>
    </w:p>
    <w:p>
      <w:pPr>
        <w:pStyle w:val="51"/>
        <w:ind w:firstLine="640"/>
        <w:rPr>
          <w:sz w:val="32"/>
          <w:szCs w:val="32"/>
        </w:rPr>
      </w:pPr>
      <w:r>
        <w:rPr>
          <w:rFonts w:hint="eastAsia"/>
          <w:sz w:val="32"/>
          <w:szCs w:val="32"/>
        </w:rPr>
        <w:t>——加强物流领域信用体系建设。依托</w:t>
      </w:r>
      <w:r>
        <w:rPr>
          <w:rStyle w:val="50"/>
          <w:rFonts w:hint="eastAsia"/>
          <w:sz w:val="32"/>
          <w:szCs w:val="32"/>
        </w:rPr>
        <w:t>城市信用大数据智能中枢</w:t>
      </w:r>
      <w:r>
        <w:rPr>
          <w:rFonts w:hint="eastAsia"/>
          <w:sz w:val="32"/>
          <w:szCs w:val="32"/>
        </w:rPr>
        <w:t>加强物流园区信用信息化管理水平，</w:t>
      </w:r>
      <w:r>
        <w:rPr>
          <w:rStyle w:val="50"/>
          <w:rFonts w:hint="eastAsia"/>
          <w:sz w:val="32"/>
          <w:szCs w:val="32"/>
        </w:rPr>
        <w:t>实现与</w:t>
      </w:r>
      <w:r>
        <w:rPr>
          <w:rFonts w:hint="eastAsia"/>
          <w:sz w:val="32"/>
          <w:szCs w:val="32"/>
        </w:rPr>
        <w:t>省交通运输信用协同共享平台互通共享。建立健全运输、仓储、装卸、包装、加工配送等物流环节信用体系建设，加快整合企业和从业人员信用信息，建立信用档案和信用评价制度。重点完善快递物流、危爆物品物流的信用监管机制，推广大件运输许可服务信用承诺制，简化大件运输审批流程。引导信贷资金、财政补贴优先支撑冷链、快递和电商物流发展</w:t>
      </w:r>
      <w:r>
        <w:rPr>
          <w:sz w:val="32"/>
          <w:szCs w:val="32"/>
        </w:rPr>
        <w:t>，</w:t>
      </w:r>
      <w:r>
        <w:rPr>
          <w:rFonts w:hint="eastAsia"/>
          <w:sz w:val="32"/>
          <w:szCs w:val="32"/>
        </w:rPr>
        <w:t>实现以信用支撑商贸服务型国家物流枢纽承载城市建设。</w:t>
      </w:r>
    </w:p>
    <w:p>
      <w:pPr>
        <w:pStyle w:val="51"/>
        <w:ind w:firstLine="640"/>
        <w:rPr>
          <w:sz w:val="32"/>
          <w:szCs w:val="32"/>
        </w:rPr>
      </w:pPr>
      <w:r>
        <w:rPr>
          <w:rFonts w:hint="eastAsia"/>
          <w:sz w:val="32"/>
          <w:szCs w:val="32"/>
        </w:rPr>
        <w:t>——加强电子商务领域信用建设。依托</w:t>
      </w:r>
      <w:r>
        <w:rPr>
          <w:rStyle w:val="50"/>
          <w:rFonts w:hint="eastAsia"/>
          <w:sz w:val="32"/>
          <w:szCs w:val="32"/>
        </w:rPr>
        <w:t>城市信用大数据智能中枢</w:t>
      </w:r>
      <w:r>
        <w:rPr>
          <w:rFonts w:hint="eastAsia"/>
          <w:sz w:val="32"/>
          <w:szCs w:val="32"/>
        </w:rPr>
        <w:t>加强电子商务信用信息管理水平，建立健全电子商务平台、网店等网络市场主体信用档案</w:t>
      </w:r>
      <w:r>
        <w:rPr>
          <w:sz w:val="32"/>
          <w:szCs w:val="32"/>
        </w:rPr>
        <w:t>。</w:t>
      </w:r>
      <w:r>
        <w:rPr>
          <w:rFonts w:hint="eastAsia"/>
          <w:sz w:val="32"/>
          <w:szCs w:val="32"/>
        </w:rPr>
        <w:t>以监管和服务相结合为原则加快推进直播电商信用体系建设，健全涵盖平台、商家、主播、MCN机构（网红孵化服务中心）等主体的信用监管机制。建立跨境电商信用评价体系，实施信用分级分类监管，对假冒伪劣商品、伪造海外订单、</w:t>
      </w:r>
      <w:r>
        <w:rPr>
          <w:rFonts w:hint="eastAsia" w:ascii="仿宋_GB2312" w:hAnsi="黑体" w:eastAsia="仿宋_GB2312"/>
          <w:sz w:val="32"/>
          <w:szCs w:val="32"/>
        </w:rPr>
        <w:t>买卖快递单号、</w:t>
      </w:r>
      <w:r>
        <w:rPr>
          <w:rFonts w:hint="eastAsia"/>
          <w:sz w:val="32"/>
          <w:szCs w:val="32"/>
        </w:rPr>
        <w:t>刷单炒信等失信行为加强治理。</w:t>
      </w:r>
    </w:p>
    <w:p>
      <w:pPr>
        <w:pStyle w:val="55"/>
        <w:ind w:firstLine="640"/>
        <w:outlineLvl w:val="2"/>
        <w:rPr>
          <w:rFonts w:ascii="黑体" w:hAnsi="黑体"/>
          <w:sz w:val="32"/>
        </w:rPr>
      </w:pPr>
      <w:r>
        <w:rPr>
          <w:rFonts w:hint="eastAsia" w:ascii="Times New Roman" w:hAnsi="Times New Roman" w:eastAsia="仿宋"/>
          <w:sz w:val="32"/>
        </w:rPr>
        <w:t>——加强知识产权领域信用建设。</w:t>
      </w:r>
      <w:r>
        <w:rPr>
          <w:rFonts w:hint="eastAsia" w:ascii="仿宋" w:hAnsi="仿宋" w:eastAsia="仿宋"/>
          <w:sz w:val="32"/>
        </w:rPr>
        <w:t>完善知识产权保护信用管理制度，加强知识产权领域信用信息归集共享、信用信息公示、信用分级分类监管、信用奖惩和信用修复等环节的监督管理，提升全社会知识产权保护意识。建立知识产权保护服务标准化体系和诚信评价制度，加强对商标抢注和恶意注册、非正常专利申请等行为的信用监管。重点打击侵犯知识产权和制售假冒伪劣商品行为，加大对恶意侵权、重复侵权等行为的打击力度，加强对重点行业、领域和地区的知识产权保护，维护权利人及社会公众的合法权益。加强知识产权行业诚信自律建设，形成行政、司法保护和行业自律相结合的知识产权保障体系。</w:t>
      </w:r>
    </w:p>
    <w:p>
      <w:pPr>
        <w:pStyle w:val="51"/>
        <w:widowControl/>
        <w:spacing w:line="62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五、信用优化民生服务</w:t>
      </w:r>
    </w:p>
    <w:p>
      <w:pPr>
        <w:pStyle w:val="51"/>
        <w:ind w:firstLine="640"/>
        <w:rPr>
          <w:sz w:val="32"/>
          <w:szCs w:val="32"/>
        </w:rPr>
      </w:pPr>
      <w:r>
        <w:rPr>
          <w:rFonts w:hint="eastAsia"/>
          <w:sz w:val="32"/>
          <w:szCs w:val="32"/>
        </w:rPr>
        <w:t>——强化家政服务领域信用建设。建立健全家政服务行业信用承诺制度，实现信用承诺对家政服务从业人员和服务机构全覆盖。深化南阳家政“11310”综合服务平台建设，推动服务平台嵌入</w:t>
      </w:r>
      <w:r>
        <w:rPr>
          <w:rStyle w:val="50"/>
          <w:rFonts w:hint="eastAsia"/>
          <w:sz w:val="32"/>
          <w:szCs w:val="32"/>
        </w:rPr>
        <w:t>城市信用大数据智能中枢，实现对从业人员和服务机构全方位信用画像的精准刻画。推动家政服务从业人员</w:t>
      </w:r>
      <w:r>
        <w:rPr>
          <w:rFonts w:hint="eastAsia"/>
          <w:sz w:val="32"/>
          <w:szCs w:val="32"/>
        </w:rPr>
        <w:t>和服务机构</w:t>
      </w:r>
      <w:r>
        <w:rPr>
          <w:rStyle w:val="50"/>
          <w:rFonts w:hint="eastAsia"/>
          <w:sz w:val="32"/>
          <w:szCs w:val="32"/>
        </w:rPr>
        <w:t>信用档案建设</w:t>
      </w:r>
      <w:r>
        <w:rPr>
          <w:rStyle w:val="50"/>
          <w:sz w:val="32"/>
          <w:szCs w:val="32"/>
        </w:rPr>
        <w:t>，</w:t>
      </w:r>
      <w:r>
        <w:rPr>
          <w:rFonts w:hint="eastAsia"/>
          <w:sz w:val="32"/>
          <w:szCs w:val="32"/>
        </w:rPr>
        <w:t>实现家政从业人员和服务机构在行业内“一人（企），一档，一结果”。</w:t>
      </w:r>
      <w:r>
        <w:rPr>
          <w:rStyle w:val="50"/>
          <w:rFonts w:hint="eastAsia"/>
          <w:sz w:val="32"/>
          <w:szCs w:val="32"/>
        </w:rPr>
        <w:t>推动家政服务从业人员</w:t>
      </w:r>
      <w:r>
        <w:rPr>
          <w:rFonts w:hint="eastAsia"/>
          <w:sz w:val="32"/>
          <w:szCs w:val="32"/>
        </w:rPr>
        <w:t>和服务机构</w:t>
      </w:r>
      <w:r>
        <w:rPr>
          <w:rStyle w:val="50"/>
          <w:rFonts w:hint="eastAsia"/>
          <w:sz w:val="32"/>
          <w:szCs w:val="32"/>
        </w:rPr>
        <w:t>信用报告与省内或省外信用信息共享平台互通互认，支持南阳家政服务人员“走出去”。</w:t>
      </w:r>
    </w:p>
    <w:p>
      <w:pPr>
        <w:pStyle w:val="51"/>
        <w:ind w:firstLine="640"/>
        <w:rPr>
          <w:sz w:val="32"/>
          <w:szCs w:val="32"/>
        </w:rPr>
      </w:pPr>
      <w:r>
        <w:rPr>
          <w:rFonts w:hint="eastAsia"/>
          <w:sz w:val="32"/>
          <w:szCs w:val="32"/>
        </w:rPr>
        <w:t>——探索文化产业领域信用建设。强化对文化创意企业和机构信用信息的归集整合。构建文化产业项目全周期信用管理体系，健全文化产业项目信用档案制度，提高产业项目投资与建设期间信用监管水平。规范文化市场发展，探索“信用</w:t>
      </w:r>
      <w:r>
        <w:rPr>
          <w:rFonts w:hint="eastAsia" w:ascii="宋体" w:hAnsi="宋体" w:eastAsia="宋体" w:cs="宋体"/>
          <w:sz w:val="32"/>
          <w:szCs w:val="32"/>
        </w:rPr>
        <w:t>＋</w:t>
      </w:r>
      <w:r>
        <w:rPr>
          <w:rFonts w:hint="eastAsia"/>
          <w:sz w:val="32"/>
          <w:szCs w:val="32"/>
        </w:rPr>
        <w:t>文化创新”，将文化创意保护作为重点纳入知识产权信用体系，规范文化市场信用监管</w:t>
      </w:r>
      <w:r>
        <w:rPr>
          <w:sz w:val="32"/>
          <w:szCs w:val="32"/>
        </w:rPr>
        <w:t>。</w:t>
      </w:r>
      <w:r>
        <w:rPr>
          <w:rFonts w:hint="eastAsia"/>
          <w:sz w:val="32"/>
          <w:szCs w:val="32"/>
        </w:rPr>
        <w:t>支持“信易贷”平台创新文化创意价值评估机制，探索基于信用的文化创意融资机制，支持全市文化行业中小微企业快速发展。</w:t>
      </w:r>
    </w:p>
    <w:p>
      <w:pPr>
        <w:pStyle w:val="51"/>
        <w:ind w:firstLine="640"/>
        <w:rPr>
          <w:rStyle w:val="50"/>
          <w:sz w:val="32"/>
          <w:szCs w:val="32"/>
        </w:rPr>
      </w:pPr>
      <w:r>
        <w:rPr>
          <w:rFonts w:hint="eastAsia"/>
          <w:sz w:val="32"/>
          <w:szCs w:val="32"/>
        </w:rPr>
        <w:t>——深化养老服务领域信用建设。加快开发南阳市智慧养老服务平台，加大养老服务从业人员和服务机构的信用归集力度。探索涵盖基本信息、经营情况、人员素质等多方面的养老服务机构综合性评价，将“双随机、一公开”监管与评价结果相结合，实施差异化监管措施。</w:t>
      </w:r>
      <w:r>
        <w:rPr>
          <w:rStyle w:val="50"/>
          <w:rFonts w:hint="eastAsia"/>
          <w:sz w:val="32"/>
          <w:szCs w:val="32"/>
        </w:rPr>
        <w:t>探索“互联网</w:t>
      </w:r>
      <w:r>
        <w:rPr>
          <w:rFonts w:hint="eastAsia" w:ascii="宋体" w:hAnsi="宋体" w:eastAsia="宋体" w:cs="宋体"/>
          <w:sz w:val="32"/>
          <w:szCs w:val="32"/>
        </w:rPr>
        <w:t>＋</w:t>
      </w:r>
      <w:r>
        <w:rPr>
          <w:rStyle w:val="50"/>
          <w:rFonts w:hint="eastAsia"/>
          <w:sz w:val="32"/>
          <w:szCs w:val="32"/>
        </w:rPr>
        <w:t>信用</w:t>
      </w:r>
      <w:r>
        <w:rPr>
          <w:rFonts w:hint="eastAsia" w:ascii="宋体" w:hAnsi="宋体" w:eastAsia="宋体" w:cs="宋体"/>
          <w:sz w:val="32"/>
          <w:szCs w:val="32"/>
        </w:rPr>
        <w:t>＋</w:t>
      </w:r>
      <w:r>
        <w:rPr>
          <w:rStyle w:val="50"/>
          <w:rFonts w:hint="eastAsia"/>
          <w:sz w:val="32"/>
          <w:szCs w:val="32"/>
        </w:rPr>
        <w:t>养老”，鼓励老年人参与养老志愿服务，拓展志愿服务激励措施，实现以老帮老、以老扶老的互助养老格局。</w:t>
      </w:r>
    </w:p>
    <w:p>
      <w:pPr>
        <w:pStyle w:val="51"/>
        <w:ind w:firstLine="640"/>
        <w:rPr>
          <w:sz w:val="32"/>
          <w:szCs w:val="32"/>
        </w:rPr>
      </w:pPr>
      <w:r>
        <w:rPr>
          <w:rFonts w:hint="eastAsia"/>
          <w:sz w:val="32"/>
          <w:szCs w:val="32"/>
        </w:rPr>
        <w:t>——创新旅游产业领域信用建设。建立旅游行业机构和从业人员诚信服务准则，对旅行社、导游、景区、宾馆、餐厅、民宿、农家乐等主体建立多方参与的信用评价机制。探索南阳市信用积分在旅游场景中的激励应用，为游客提供信用查询、风险提示、快速维权、信用免押等服务，营造“信用游宛城”的便利环境。支持“信易贷”平台针对旅游产业发展开发信贷融资产品，重点支持生态旅游和乡村旅游产业发展。</w:t>
      </w:r>
    </w:p>
    <w:p>
      <w:pPr>
        <w:pStyle w:val="51"/>
        <w:widowControl/>
        <w:spacing w:line="62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六、信用提升社会治理</w:t>
      </w:r>
    </w:p>
    <w:p>
      <w:pPr>
        <w:pStyle w:val="51"/>
        <w:ind w:firstLine="640"/>
        <w:rPr>
          <w:sz w:val="32"/>
          <w:szCs w:val="32"/>
        </w:rPr>
      </w:pPr>
      <w:r>
        <w:rPr>
          <w:rFonts w:hint="eastAsia"/>
          <w:sz w:val="32"/>
          <w:szCs w:val="32"/>
        </w:rPr>
        <w:t>——以信用实现基层智慧监管。切实发挥信用在支撑政府治理、社会服务中的关键作用，围绕</w:t>
      </w:r>
      <w:r>
        <w:rPr>
          <w:rStyle w:val="50"/>
          <w:rFonts w:hint="eastAsia"/>
          <w:sz w:val="32"/>
          <w:szCs w:val="32"/>
        </w:rPr>
        <w:t>“</w:t>
      </w:r>
      <w:r>
        <w:rPr>
          <w:rStyle w:val="50"/>
          <w:sz w:val="32"/>
          <w:szCs w:val="32"/>
        </w:rPr>
        <w:t>城市管理智慧大脑</w:t>
      </w:r>
      <w:r>
        <w:rPr>
          <w:rStyle w:val="50"/>
          <w:rFonts w:hint="eastAsia"/>
          <w:sz w:val="32"/>
          <w:szCs w:val="32"/>
        </w:rPr>
        <w:t>”</w:t>
      </w:r>
      <w:r>
        <w:rPr>
          <w:rFonts w:hint="eastAsia"/>
          <w:sz w:val="32"/>
          <w:szCs w:val="32"/>
        </w:rPr>
        <w:t>构建涵盖网格化管理、精细化服务、信息化支撑、开放共享的基层管理服务平台</w:t>
      </w:r>
      <w:r>
        <w:rPr>
          <w:sz w:val="32"/>
          <w:szCs w:val="32"/>
        </w:rPr>
        <w:t>。</w:t>
      </w:r>
      <w:r>
        <w:rPr>
          <w:rFonts w:hint="eastAsia"/>
          <w:sz w:val="32"/>
          <w:szCs w:val="32"/>
        </w:rPr>
        <w:t>探索建立“党建</w:t>
      </w:r>
      <w:r>
        <w:rPr>
          <w:rFonts w:hint="eastAsia" w:ascii="宋体" w:hAnsi="宋体" w:eastAsia="宋体" w:cs="宋体"/>
          <w:sz w:val="32"/>
          <w:szCs w:val="32"/>
        </w:rPr>
        <w:t>＋</w:t>
      </w:r>
      <w:r>
        <w:rPr>
          <w:rFonts w:hint="eastAsia"/>
          <w:sz w:val="32"/>
          <w:szCs w:val="32"/>
        </w:rPr>
        <w:t>网格</w:t>
      </w:r>
      <w:r>
        <w:rPr>
          <w:rFonts w:hint="eastAsia" w:ascii="宋体" w:hAnsi="宋体" w:eastAsia="宋体" w:cs="宋体"/>
          <w:sz w:val="32"/>
          <w:szCs w:val="32"/>
        </w:rPr>
        <w:t>＋</w:t>
      </w:r>
      <w:r>
        <w:rPr>
          <w:rFonts w:hint="eastAsia"/>
          <w:sz w:val="32"/>
          <w:szCs w:val="32"/>
        </w:rPr>
        <w:t>信用治理”模式，健全市场风险防范和监管联动响应机制。</w:t>
      </w:r>
    </w:p>
    <w:p>
      <w:pPr>
        <w:pStyle w:val="51"/>
        <w:ind w:firstLine="640"/>
        <w:rPr>
          <w:sz w:val="32"/>
          <w:szCs w:val="32"/>
        </w:rPr>
      </w:pPr>
      <w:r>
        <w:rPr>
          <w:rFonts w:hint="eastAsia"/>
          <w:sz w:val="32"/>
          <w:szCs w:val="32"/>
        </w:rPr>
        <w:t>——以信用创新基层治理模式。在各县（市、区）开展“村规民约”和“社区公约”编制，为社区和农村积分制管理提供规范性依据，创新城市信用积分在农村和社区中的应用举措。围绕基层治理等重点工作，建立风险监测预警模型，实现智能监测、分级预警、联动处置，预防和化解社会风险，将信用元素作为打造市域社会治理现代化试点城市的特色亮点。</w:t>
      </w:r>
    </w:p>
    <w:p>
      <w:pPr>
        <w:pStyle w:val="51"/>
        <w:ind w:firstLine="640"/>
        <w:rPr>
          <w:sz w:val="32"/>
          <w:szCs w:val="32"/>
        </w:rPr>
      </w:pPr>
      <w:r>
        <w:rPr>
          <w:rFonts w:hint="eastAsia"/>
          <w:sz w:val="32"/>
          <w:szCs w:val="32"/>
        </w:rPr>
        <w:t>——以信用优化基层资源配置。围绕“信用南阳”建设，着力构建以信用为基础的要素市场化配置机制，加快整合市场资源和公共资源，推动土地、劳动力、资金向守信主体优先倾斜。以信用作为各县（市、区）“文明城市”“美丽乡村”创建的重要工作内容，在各县（市、区）打造居民共建、共治、共享的信用乡村和信用社区，在全市范围内构建便民惠企的智慧服务圈。</w:t>
      </w:r>
    </w:p>
    <w:p>
      <w:pPr>
        <w:pStyle w:val="51"/>
        <w:widowControl/>
        <w:spacing w:line="62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七、信用服务市场培育</w:t>
      </w:r>
    </w:p>
    <w:p>
      <w:pPr>
        <w:pStyle w:val="51"/>
        <w:ind w:firstLine="640"/>
        <w:rPr>
          <w:sz w:val="32"/>
          <w:szCs w:val="32"/>
        </w:rPr>
      </w:pPr>
      <w:r>
        <w:rPr>
          <w:rFonts w:hint="eastAsia"/>
          <w:sz w:val="32"/>
          <w:szCs w:val="32"/>
        </w:rPr>
        <w:t>——发展信用服务机构。支持我市互联网、大数据企业开拓信用服务业务，鼓励民营资本和社会力量有序进入信用服务市场。依托招商引资和创业创新体系，聚焦公共服务、资源配置、市场消费等应用场景，重点引入行业龙头信用服务机构，鼓励国内知名信用服务机构在宛设立分支机构，激发信用服务市场活力。</w:t>
      </w:r>
    </w:p>
    <w:p>
      <w:pPr>
        <w:pStyle w:val="51"/>
        <w:ind w:firstLine="640"/>
        <w:rPr>
          <w:sz w:val="32"/>
          <w:szCs w:val="32"/>
        </w:rPr>
      </w:pPr>
      <w:r>
        <w:rPr>
          <w:rFonts w:hint="eastAsia"/>
          <w:sz w:val="32"/>
          <w:szCs w:val="32"/>
        </w:rPr>
        <w:t>——融入郑州都市圈信用服务产业链。依托区域中心数据库建设，实现在信息共享、技术开发、应用创新等方面资源共享。积极建设信用服务优秀园区，为征信、信用评级、信用咨询、信用调查、商账管理等多类型信用服务机构提供多样化政策支持。支持在宛信用服务机构积极融入郑州都市圈信用联盟，承接信用服务上中下游产业，鼓励郑州都市圈内信用产品来宛使用。</w:t>
      </w:r>
    </w:p>
    <w:p>
      <w:pPr>
        <w:pStyle w:val="51"/>
        <w:ind w:firstLine="640"/>
        <w:rPr>
          <w:sz w:val="32"/>
          <w:szCs w:val="32"/>
        </w:rPr>
      </w:pPr>
      <w:r>
        <w:rPr>
          <w:rFonts w:hint="eastAsia"/>
          <w:sz w:val="32"/>
          <w:szCs w:val="32"/>
        </w:rPr>
        <w:t>——推动信用服务行业健康发展。全面开展信用服务机构建档立制工作，健全信用服务机构的准入退出、监督检查、执法监管等机制。有效规范信用服务行业从业行为，推动信用服务机构加强内部风险控制和质量管理制度建设，形成政府监管、社会监督、行业自律三位一体的信用服务机构监管体系。强化信用服务人才队伍建设，组建信用专家库，发挥信用高级人才的带动引领作用。制定信用人才引进和培养计划，加强信用管理培训，建立信用管理专业考评制度，打造信用人才强市。</w:t>
      </w:r>
    </w:p>
    <w:p>
      <w:pPr>
        <w:pStyle w:val="54"/>
        <w:ind w:firstLine="0" w:firstLineChars="0"/>
        <w:jc w:val="center"/>
        <w:rPr>
          <w:sz w:val="32"/>
        </w:rPr>
      </w:pPr>
      <w:r>
        <w:rPr>
          <w:rFonts w:hint="eastAsia"/>
          <w:sz w:val="32"/>
        </w:rPr>
        <w:t>第五章  保障措施</w:t>
      </w:r>
    </w:p>
    <w:p>
      <w:pPr>
        <w:pStyle w:val="55"/>
        <w:ind w:firstLine="0" w:firstLineChars="0"/>
        <w:jc w:val="center"/>
        <w:rPr>
          <w:sz w:val="32"/>
        </w:rPr>
      </w:pPr>
      <w:r>
        <w:rPr>
          <w:rFonts w:hint="eastAsia"/>
          <w:sz w:val="32"/>
        </w:rPr>
        <w:t>第一节  完善推进机制</w:t>
      </w:r>
    </w:p>
    <w:p>
      <w:pPr>
        <w:pStyle w:val="51"/>
        <w:ind w:firstLine="640"/>
        <w:rPr>
          <w:sz w:val="32"/>
          <w:szCs w:val="32"/>
        </w:rPr>
      </w:pPr>
      <w:r>
        <w:rPr>
          <w:rFonts w:hint="eastAsia"/>
          <w:sz w:val="32"/>
          <w:szCs w:val="32"/>
        </w:rPr>
        <w:t>优化市委优化营商环境委员会和市社会信用体系建设工作领导小组的工作职能，构建</w:t>
      </w:r>
      <w:r>
        <w:rPr>
          <w:rFonts w:hint="eastAsia" w:ascii="仿宋_GB2312" w:hAnsi="仿宋_GB2312" w:eastAsia="仿宋_GB2312" w:cs="仿宋_GB2312"/>
          <w:sz w:val="32"/>
          <w:szCs w:val="32"/>
        </w:rPr>
        <w:t>营商环境和社会信用体系建设</w:t>
      </w:r>
      <w:r>
        <w:rPr>
          <w:rFonts w:hint="eastAsia"/>
          <w:sz w:val="32"/>
          <w:szCs w:val="32"/>
        </w:rPr>
        <w:t>联动配合机制，指导各级各部门切实加强</w:t>
      </w:r>
      <w:r>
        <w:rPr>
          <w:rFonts w:hint="eastAsia" w:ascii="仿宋_GB2312" w:hAnsi="仿宋_GB2312" w:eastAsia="仿宋_GB2312" w:cs="仿宋_GB2312"/>
          <w:sz w:val="32"/>
          <w:szCs w:val="32"/>
        </w:rPr>
        <w:t>营商环境和社会信用体系建设</w:t>
      </w:r>
      <w:r>
        <w:rPr>
          <w:rFonts w:hint="eastAsia"/>
          <w:sz w:val="32"/>
          <w:szCs w:val="32"/>
        </w:rPr>
        <w:t>工作。建立工作进展常态化沟通协调机制，定期召开联席会议协调解决重大问题。强化</w:t>
      </w:r>
      <w:r>
        <w:rPr>
          <w:rFonts w:hint="eastAsia" w:ascii="仿宋_GB2312" w:hAnsi="仿宋_GB2312" w:eastAsia="仿宋_GB2312" w:cs="仿宋_GB2312"/>
          <w:sz w:val="32"/>
          <w:szCs w:val="32"/>
        </w:rPr>
        <w:t>营商环境和社会信用体系建设</w:t>
      </w:r>
      <w:r>
        <w:rPr>
          <w:rFonts w:hint="eastAsia"/>
          <w:sz w:val="32"/>
          <w:szCs w:val="32"/>
        </w:rPr>
        <w:t>各责任部门职责，主动认领工作任务，聚焦实际问题细化工作举措，明确责任科室和责任人，实行“倒排工期、挂图作战”。加快全市数据资源互联共享，建立简洁高效的协同配合机制。</w:t>
      </w:r>
    </w:p>
    <w:p>
      <w:pPr>
        <w:pStyle w:val="55"/>
        <w:ind w:firstLine="0" w:firstLineChars="0"/>
        <w:jc w:val="center"/>
        <w:rPr>
          <w:sz w:val="32"/>
        </w:rPr>
      </w:pPr>
      <w:r>
        <w:rPr>
          <w:rFonts w:hint="eastAsia"/>
          <w:sz w:val="32"/>
        </w:rPr>
        <w:t>第二节  强化监督监测</w:t>
      </w:r>
    </w:p>
    <w:p>
      <w:pPr>
        <w:pStyle w:val="51"/>
        <w:spacing w:line="600" w:lineRule="exact"/>
        <w:ind w:firstLine="640"/>
        <w:rPr>
          <w:sz w:val="32"/>
          <w:szCs w:val="32"/>
        </w:rPr>
      </w:pPr>
      <w:r>
        <w:rPr>
          <w:rFonts w:hint="eastAsia"/>
          <w:sz w:val="32"/>
          <w:szCs w:val="32"/>
        </w:rPr>
        <w:t>建立完善的规划目标考核机制，健全规划评估指标体系，系统开展规划年度、中期及总结评估工作，并作为各责任单位年度绩效考核和领导干部综合考核评价的重要依据。委托第三方机构独立评估，扩大评估公众参与，综合运用大数据分析等技术手段，提高评估工作的客观性和科学性。健全</w:t>
      </w:r>
      <w:r>
        <w:rPr>
          <w:rFonts w:hint="eastAsia" w:ascii="仿宋_GB2312" w:hAnsi="仿宋_GB2312" w:eastAsia="仿宋_GB2312" w:cs="仿宋_GB2312"/>
          <w:sz w:val="32"/>
          <w:szCs w:val="32"/>
        </w:rPr>
        <w:t>营商环境和社会信用体系建设</w:t>
      </w:r>
      <w:r>
        <w:rPr>
          <w:rFonts w:hint="eastAsia"/>
          <w:sz w:val="32"/>
          <w:szCs w:val="32"/>
        </w:rPr>
        <w:t>工作推进机制，建立“周调度、月监测、季评估、年评价”机制。做好规划实施的统筹协调和考核奖惩，常态化开展市场主体满意度调查，定期对市直单位、重点科室、基层站所进行评议。畅通企业和市民的诉求反映和调查追责渠道，对形式主义、官僚主义、部门本位主义和慢作为、不作为的行为严肃问责。高度重视国家组织开展的城市信用监测、“双公示”监测评估、失信政府机构整治等工作，作为社会信用体系示范区常态化建设的重要内容。</w:t>
      </w:r>
    </w:p>
    <w:p>
      <w:pPr>
        <w:pStyle w:val="55"/>
        <w:ind w:firstLine="0" w:firstLineChars="0"/>
        <w:jc w:val="center"/>
        <w:rPr>
          <w:sz w:val="32"/>
        </w:rPr>
      </w:pPr>
      <w:r>
        <w:rPr>
          <w:rFonts w:hint="eastAsia"/>
          <w:sz w:val="32"/>
        </w:rPr>
        <w:t>第三节  鼓励改革创新</w:t>
      </w:r>
    </w:p>
    <w:p>
      <w:pPr>
        <w:pStyle w:val="51"/>
        <w:ind w:firstLine="640"/>
        <w:rPr>
          <w:rFonts w:ascii="仿宋" w:hAnsi="仿宋" w:cs="仿宋"/>
          <w:sz w:val="32"/>
          <w:szCs w:val="32"/>
        </w:rPr>
      </w:pPr>
      <w:r>
        <w:rPr>
          <w:rFonts w:hint="eastAsia" w:ascii="仿宋" w:hAnsi="仿宋" w:cs="仿宋"/>
          <w:sz w:val="32"/>
          <w:szCs w:val="32"/>
        </w:rPr>
        <w:t>进一步激发全市各级</w:t>
      </w:r>
      <w:r>
        <w:rPr>
          <w:rFonts w:hint="eastAsia" w:ascii="仿宋_GB2312" w:hAnsi="仿宋_GB2312" w:eastAsia="仿宋_GB2312" w:cs="仿宋_GB2312"/>
          <w:sz w:val="32"/>
          <w:szCs w:val="32"/>
        </w:rPr>
        <w:t>营商环境和社会信用体系建设</w:t>
      </w:r>
      <w:r>
        <w:rPr>
          <w:rFonts w:hint="eastAsia" w:ascii="仿宋" w:hAnsi="仿宋" w:cs="仿宋"/>
          <w:sz w:val="32"/>
          <w:szCs w:val="32"/>
        </w:rPr>
        <w:t>主管部门在推动营商环境改革、创新社会信用体系建设过程的积极性、主动性和创造性，</w:t>
      </w:r>
      <w:r>
        <w:rPr>
          <w:rFonts w:hint="eastAsia" w:ascii="仿宋" w:hAnsi="仿宋" w:cs="仿宋"/>
          <w:sz w:val="32"/>
          <w:szCs w:val="32"/>
          <w:shd w:val="clear" w:color="auto" w:fill="FFFFFF"/>
        </w:rPr>
        <w:t>强化标杆引领作用，</w:t>
      </w:r>
      <w:r>
        <w:rPr>
          <w:rFonts w:hint="eastAsia" w:ascii="仿宋" w:hAnsi="仿宋" w:cs="仿宋"/>
          <w:sz w:val="32"/>
          <w:szCs w:val="32"/>
        </w:rPr>
        <w:t>发挥卧龙综合保税区、高新区引领示范作用，先行先试有利于优化营商环境的各项改革措施，争创国家营商环境创新试点城市、省</w:t>
      </w:r>
      <w:r>
        <w:rPr>
          <w:rFonts w:hint="eastAsia" w:ascii="仿宋" w:hAnsi="仿宋" w:cs="仿宋"/>
          <w:sz w:val="32"/>
          <w:szCs w:val="32"/>
          <w:shd w:val="clear" w:color="auto" w:fill="FFFFFF"/>
        </w:rPr>
        <w:t>优化营商环境创新示范市</w:t>
      </w:r>
      <w:r>
        <w:rPr>
          <w:rFonts w:hint="eastAsia" w:ascii="仿宋" w:hAnsi="仿宋" w:cs="仿宋"/>
          <w:sz w:val="32"/>
          <w:szCs w:val="32"/>
        </w:rPr>
        <w:t>，巩固国家信用示范区创建成果，支持各县（市、区）争创省</w:t>
      </w:r>
      <w:r>
        <w:rPr>
          <w:rFonts w:hint="eastAsia" w:ascii="仿宋" w:hAnsi="仿宋" w:cs="仿宋"/>
          <w:sz w:val="32"/>
          <w:szCs w:val="32"/>
          <w:shd w:val="clear" w:color="auto" w:fill="FFFFFF"/>
        </w:rPr>
        <w:t>优化营商环境创新示范区和</w:t>
      </w:r>
      <w:r>
        <w:rPr>
          <w:rFonts w:hint="eastAsia" w:ascii="仿宋" w:hAnsi="仿宋" w:cs="仿宋"/>
          <w:sz w:val="32"/>
          <w:szCs w:val="32"/>
        </w:rPr>
        <w:t>省社会信用体系建设示范县（市、区），勇当改革发展排头兵，着力营造善于破解难题、敢于挑战创新、勇于干事创业的建设氛围。建立健全容新容错机制，对各责任单位在探索创新过程中出现失误或偏差，符合容错条件的，可以予以免责或减轻责任，为担当者担当、为负责者负责、为干事者撑腰。</w:t>
      </w:r>
    </w:p>
    <w:p>
      <w:pPr>
        <w:pStyle w:val="55"/>
        <w:ind w:firstLine="0" w:firstLineChars="0"/>
        <w:jc w:val="center"/>
        <w:rPr>
          <w:sz w:val="32"/>
        </w:rPr>
      </w:pPr>
      <w:r>
        <w:rPr>
          <w:rFonts w:hint="eastAsia"/>
          <w:sz w:val="32"/>
        </w:rPr>
        <w:t>第四节  加强资金保障</w:t>
      </w:r>
    </w:p>
    <w:p>
      <w:pPr>
        <w:pStyle w:val="51"/>
        <w:ind w:firstLine="640"/>
        <w:rPr>
          <w:sz w:val="32"/>
          <w:szCs w:val="32"/>
        </w:rPr>
      </w:pPr>
      <w:r>
        <w:rPr>
          <w:rFonts w:hint="eastAsia"/>
          <w:sz w:val="32"/>
          <w:szCs w:val="32"/>
        </w:rPr>
        <w:t>各级政府应根据</w:t>
      </w:r>
      <w:r>
        <w:rPr>
          <w:rFonts w:hint="eastAsia" w:ascii="仿宋_GB2312" w:hAnsi="仿宋_GB2312" w:eastAsia="仿宋_GB2312" w:cs="仿宋_GB2312"/>
          <w:sz w:val="32"/>
          <w:szCs w:val="32"/>
        </w:rPr>
        <w:t>营商环境和社会信用体系建设</w:t>
      </w:r>
      <w:r>
        <w:rPr>
          <w:rFonts w:hint="eastAsia"/>
          <w:sz w:val="32"/>
          <w:szCs w:val="32"/>
        </w:rPr>
        <w:t>的实际需要，保障专项经费的持续投入，对推广营商环境优化先进经验和创新举措、开展信用数字化建设和信用基础设施完善等方面优先予以资金安排。深入运用政府购买服务，激发信用服务市场活力，重点对信用大数据研发、信用服务机构培育、信用标准化建设、市场民生领域信用产品推广、营商和信用环境宣传等方面予以财政支持。创新社会资本参与机制，积极引导社会资本对全市</w:t>
      </w:r>
      <w:r>
        <w:rPr>
          <w:rFonts w:hint="eastAsia" w:ascii="仿宋_GB2312" w:hAnsi="仿宋_GB2312" w:eastAsia="仿宋_GB2312" w:cs="仿宋_GB2312"/>
          <w:sz w:val="32"/>
          <w:szCs w:val="32"/>
        </w:rPr>
        <w:t>营商环境和社会信用体系建设</w:t>
      </w:r>
      <w:r>
        <w:rPr>
          <w:rFonts w:hint="eastAsia"/>
          <w:sz w:val="32"/>
          <w:szCs w:val="32"/>
        </w:rPr>
        <w:t>的关键领域和薄弱环节进行投资。</w:t>
      </w:r>
    </w:p>
    <w:p>
      <w:pPr>
        <w:pStyle w:val="55"/>
        <w:ind w:firstLine="0" w:firstLineChars="0"/>
        <w:jc w:val="center"/>
        <w:rPr>
          <w:sz w:val="32"/>
        </w:rPr>
      </w:pPr>
      <w:r>
        <w:rPr>
          <w:rFonts w:hint="eastAsia"/>
          <w:sz w:val="32"/>
        </w:rPr>
        <w:t>第五节  营造良好氛围</w:t>
      </w:r>
    </w:p>
    <w:p>
      <w:pPr>
        <w:pStyle w:val="51"/>
        <w:overflowPunct w:val="0"/>
        <w:spacing w:line="600" w:lineRule="exact"/>
        <w:ind w:firstLine="640"/>
        <w:rPr>
          <w:sz w:val="32"/>
          <w:szCs w:val="32"/>
        </w:rPr>
      </w:pPr>
      <w:r>
        <w:rPr>
          <w:rFonts w:hint="eastAsia"/>
          <w:sz w:val="32"/>
          <w:szCs w:val="32"/>
        </w:rPr>
        <w:t>各级各部门要增强以良好信用环境支撑一流营商环境的责任感和主动性，主动谋划更贴合民众生活和让市场主体有感的宣传内容、宣传形式，着重宣传信用在支撑实体经济发展、支持营商环境优化、推动“放管服效”改革、优化公共服务质量的政策措施、突出做法和典型案例。积极发挥社会力量和高校智库的作用，编写营商环境和社会信用体系建设读本，深化“6·14”信用记录关爱日、“诚信建设万里行”、“南阳企业服务日”、“南阳企业家节”等宣传活动，加强信用宣传教育工作，挖掘诚信历史典故、人物事迹，以现代化、大众化、多元化形式，将诚信文化融入学校教育、职业培训等环节中，深入宣传阐释诚信的丰富内涵和基本要求，使诚信精神内化于心、外化于行</w:t>
      </w:r>
      <w:r>
        <w:rPr>
          <w:rFonts w:hint="eastAsia"/>
        </w:rPr>
        <w:t>。</w:t>
      </w:r>
      <w:r>
        <w:rPr>
          <w:rFonts w:hint="eastAsia"/>
          <w:sz w:val="32"/>
          <w:szCs w:val="32"/>
        </w:rPr>
        <w:t>积极争取“城市信用建设高峰论坛”和“营商环境高峰论坛”等业内顶尖活动落地南阳，营造“人人都是营商环境、事事都是营商环境、处处都是营商环境”氛围。</w:t>
      </w:r>
    </w:p>
    <w:p>
      <w:pPr>
        <w:rPr>
          <w:rFonts w:ascii="方正小标宋简体" w:hAnsi="仿宋_GB2312" w:eastAsia="方正小标宋简体" w:cs="仿宋_GB2312"/>
          <w:sz w:val="44"/>
          <w:szCs w:val="44"/>
          <w:shd w:val="clear" w:color="auto" w:fill="FFFFFF"/>
        </w:rPr>
      </w:pPr>
      <w:r>
        <w:rPr>
          <w:rFonts w:hint="eastAsia" w:ascii="方正小标宋简体" w:hAnsi="仿宋_GB2312" w:eastAsia="方正小标宋简体" w:cs="仿宋_GB2312"/>
          <w:sz w:val="44"/>
          <w:szCs w:val="44"/>
          <w:shd w:val="clear" w:color="auto" w:fill="FFFFFF"/>
        </w:rPr>
        <w:br w:type="page"/>
      </w:r>
    </w:p>
    <w:p>
      <w:pPr>
        <w:pStyle w:val="57"/>
        <w:spacing w:line="560" w:lineRule="exact"/>
        <w:ind w:firstLine="0" w:firstLineChars="0"/>
        <w:contextualSpacing/>
        <w:jc w:val="center"/>
        <w:rPr>
          <w:rFonts w:ascii="方正小标宋简体" w:hAnsi="仿宋_GB2312" w:eastAsia="方正小标宋简体" w:cs="仿宋_GB2312"/>
          <w:sz w:val="44"/>
          <w:szCs w:val="44"/>
          <w:shd w:val="clear" w:color="auto" w:fill="FFFFFF"/>
        </w:rPr>
      </w:pPr>
      <w:r>
        <w:rPr>
          <w:rFonts w:hint="eastAsia" w:ascii="方正小标宋简体" w:hAnsi="仿宋_GB2312" w:eastAsia="方正小标宋简体" w:cs="仿宋_GB2312"/>
          <w:sz w:val="44"/>
          <w:szCs w:val="44"/>
          <w:shd w:val="clear" w:color="auto" w:fill="FFFFFF"/>
        </w:rPr>
        <w:t xml:space="preserve">南阳市“十四五”数字经济和信息化 </w:t>
      </w:r>
    </w:p>
    <w:p>
      <w:pPr>
        <w:pStyle w:val="57"/>
        <w:spacing w:line="560" w:lineRule="exact"/>
        <w:ind w:firstLine="0" w:firstLineChars="0"/>
        <w:contextualSpacing/>
        <w:jc w:val="center"/>
        <w:rPr>
          <w:rFonts w:ascii="方正小标宋简体" w:hAnsi="仿宋_GB2312" w:eastAsia="方正小标宋简体" w:cs="仿宋_GB2312"/>
          <w:sz w:val="44"/>
          <w:szCs w:val="44"/>
          <w:shd w:val="clear" w:color="auto" w:fill="FFFFFF"/>
        </w:rPr>
      </w:pPr>
      <w:r>
        <w:rPr>
          <w:rFonts w:hint="eastAsia" w:ascii="方正小标宋简体" w:hAnsi="仿宋_GB2312" w:eastAsia="方正小标宋简体" w:cs="仿宋_GB2312"/>
          <w:sz w:val="44"/>
          <w:szCs w:val="44"/>
          <w:shd w:val="clear" w:color="auto" w:fill="FFFFFF"/>
        </w:rPr>
        <w:t>发展规划</w:t>
      </w:r>
    </w:p>
    <w:p>
      <w:pPr>
        <w:pStyle w:val="57"/>
        <w:spacing w:line="560" w:lineRule="exact"/>
        <w:ind w:firstLine="880" w:firstLineChars="200"/>
        <w:contextualSpacing/>
        <w:jc w:val="center"/>
        <w:rPr>
          <w:rFonts w:ascii="仿宋_GB2312" w:hAnsi="仿宋_GB2312" w:eastAsia="仿宋_GB2312" w:cs="仿宋_GB2312"/>
          <w:sz w:val="44"/>
          <w:szCs w:val="44"/>
          <w:shd w:val="clear" w:color="auto" w:fill="FFFFFF"/>
        </w:rPr>
      </w:pPr>
    </w:p>
    <w:p>
      <w:pPr>
        <w:pStyle w:val="57"/>
        <w:spacing w:line="560" w:lineRule="exact"/>
        <w:ind w:firstLine="640" w:firstLineChars="200"/>
        <w:contextualSpacing/>
        <w:rPr>
          <w:rFonts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发展数字经济和信息化是贯彻“创新、协调、绿色、开放、共享”五大发展理念的集中体现，是培育发展经济新动能的主要抓手，是推动供给侧结构性改革的重要支撑，是推动地方经济高质量发展的重大举措。“十四五”是南阳经济社会发展的重大战略机遇期，为深入推进</w:t>
      </w:r>
      <w:r>
        <w:rPr>
          <w:rFonts w:ascii="仿宋_GB2312" w:hAnsi="仿宋_GB2312" w:eastAsia="仿宋_GB2312" w:cs="仿宋_GB2312"/>
          <w:szCs w:val="32"/>
          <w:shd w:val="clear" w:color="auto" w:fill="FFFFFF"/>
          <w:lang w:val="en"/>
        </w:rPr>
        <w:t>南阳</w:t>
      </w:r>
      <w:r>
        <w:rPr>
          <w:rFonts w:hint="eastAsia" w:ascii="仿宋_GB2312" w:hAnsi="仿宋_GB2312" w:eastAsia="仿宋_GB2312" w:cs="仿宋_GB2312"/>
          <w:szCs w:val="32"/>
          <w:shd w:val="clear" w:color="auto" w:fill="FFFFFF"/>
        </w:rPr>
        <w:t>数字产业化、产业数字化、数字化治理、新型基础设施和网络信息安全建设，切实形成数据资源驱动产业发展、数字经济引领经济发展、信息化支撑社会发展的新格局，扎实推动南阳经济高质量发展，按照《“十四五”国家信息化规划》《“十四五”大数据产业发展规划》《河南省“十四五”数字经济和信息化发展规划》《南阳市国民经济和社会发展第十四个五年规划和二〇三五年远景目标纲要》要求，结合南阳实际制定本规划。</w:t>
      </w:r>
    </w:p>
    <w:p>
      <w:pPr>
        <w:numPr>
          <w:ilvl w:val="0"/>
          <w:numId w:val="1"/>
        </w:numPr>
        <w:spacing w:line="560" w:lineRule="exact"/>
        <w:ind w:firstLine="640" w:firstLineChars="200"/>
        <w:contextualSpacing/>
        <w:jc w:val="center"/>
        <w:outlineLvl w:val="0"/>
        <w:rPr>
          <w:rFonts w:ascii="黑体" w:hAnsi="黑体" w:eastAsia="黑体" w:cs="黑体"/>
        </w:rPr>
      </w:pPr>
      <w:bookmarkStart w:id="91" w:name="_Toc89345816"/>
      <w:bookmarkStart w:id="92" w:name="_Toc2065"/>
      <w:r>
        <w:rPr>
          <w:rFonts w:hint="eastAsia" w:ascii="黑体" w:hAnsi="黑体" w:eastAsia="黑体" w:cs="黑体"/>
        </w:rPr>
        <w:t xml:space="preserve"> 发展现状和面临形势</w:t>
      </w:r>
      <w:bookmarkEnd w:id="91"/>
      <w:bookmarkEnd w:id="92"/>
    </w:p>
    <w:p>
      <w:pPr>
        <w:spacing w:line="560" w:lineRule="exact"/>
        <w:ind w:firstLine="640" w:firstLineChars="200"/>
        <w:contextualSpacing/>
        <w:jc w:val="center"/>
        <w:outlineLvl w:val="1"/>
        <w:rPr>
          <w:rFonts w:ascii="楷体_GB2312" w:hAnsi="楷体_GB2312" w:eastAsia="楷体_GB2312" w:cs="楷体_GB2312"/>
          <w:bCs/>
        </w:rPr>
      </w:pPr>
      <w:bookmarkStart w:id="93" w:name="_Toc21230"/>
      <w:bookmarkStart w:id="94" w:name="_Toc89345817"/>
      <w:r>
        <w:rPr>
          <w:rFonts w:hint="eastAsia" w:ascii="楷体_GB2312" w:hAnsi="楷体_GB2312" w:eastAsia="楷体_GB2312" w:cs="楷体_GB2312"/>
          <w:bCs/>
        </w:rPr>
        <w:t>第一节</w:t>
      </w:r>
      <w:r>
        <w:rPr>
          <w:rFonts w:hint="eastAsia"/>
        </w:rPr>
        <w:t xml:space="preserve">  </w:t>
      </w:r>
      <w:r>
        <w:rPr>
          <w:rFonts w:hint="eastAsia" w:ascii="楷体_GB2312" w:hAnsi="楷体_GB2312" w:eastAsia="楷体_GB2312" w:cs="楷体_GB2312"/>
          <w:bCs/>
        </w:rPr>
        <w:t>发展基础</w:t>
      </w:r>
      <w:bookmarkEnd w:id="93"/>
      <w:bookmarkEnd w:id="94"/>
    </w:p>
    <w:p>
      <w:pPr>
        <w:pStyle w:val="57"/>
        <w:spacing w:line="560" w:lineRule="exact"/>
        <w:ind w:firstLine="640" w:firstLineChars="200"/>
        <w:contextualSpacing/>
        <w:rPr>
          <w:rFonts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“十三五”以来，</w:t>
      </w:r>
      <w:r>
        <w:rPr>
          <w:rFonts w:hint="eastAsia" w:ascii="仿宋_GB2312" w:hAnsi="仿宋_GB2312" w:cs="仿宋_GB2312"/>
        </w:rPr>
        <w:t>我市</w:t>
      </w:r>
      <w:r>
        <w:rPr>
          <w:rFonts w:hint="eastAsia" w:ascii="仿宋_GB2312" w:hAnsi="仿宋_GB2312" w:eastAsia="仿宋_GB2312" w:cs="仿宋_GB2312"/>
          <w:szCs w:val="32"/>
          <w:shd w:val="clear" w:color="auto" w:fill="FFFFFF"/>
        </w:rPr>
        <w:t>紧紧抓住发展数字经济的大好机遇，积极培育壮大数字经济核心产业，加快传统产业数字化转型，着力发展新业态、新模式，推动数字经济与实体经济深度融合发展，数字经济和信息化呈现良好发展态势，正在成为全市经济社会高质量发展的新引擎。“十三五”末，全市数字经济总量约为700亿元，占GDP比重约为18%，数字经济核心产业规模位于河南省中上游。</w:t>
      </w:r>
    </w:p>
    <w:p>
      <w:pPr>
        <w:tabs>
          <w:tab w:val="left" w:pos="0"/>
        </w:tabs>
        <w:spacing w:line="560" w:lineRule="exact"/>
        <w:ind w:firstLine="640" w:firstLineChars="200"/>
        <w:contextualSpacing/>
        <w:rPr>
          <w:rFonts w:ascii="仿宋_GB2312" w:hAnsi="仿宋_GB2312" w:cs="仿宋_GB2312"/>
          <w:kern w:val="0"/>
        </w:rPr>
      </w:pPr>
      <w:r>
        <w:rPr>
          <w:rFonts w:hint="eastAsia" w:ascii="仿宋_GB2312" w:hAnsi="仿宋_GB2312" w:cs="仿宋_GB2312"/>
        </w:rPr>
        <w:t>数字产业初具规模。</w:t>
      </w:r>
      <w:r>
        <w:rPr>
          <w:rFonts w:hint="eastAsia" w:ascii="仿宋_GB2312" w:hAnsi="仿宋_GB2312" w:cs="仿宋_GB2312"/>
          <w:shd w:val="clear" w:color="auto" w:fill="FFFFFF"/>
        </w:rPr>
        <w:t>“十三五”以来，</w:t>
      </w:r>
      <w:r>
        <w:rPr>
          <w:rFonts w:hint="eastAsia" w:ascii="仿宋_GB2312" w:hAnsi="仿宋_GB2312" w:cs="仿宋_GB2312"/>
        </w:rPr>
        <w:t>我市</w:t>
      </w:r>
      <w:r>
        <w:rPr>
          <w:rFonts w:hint="eastAsia" w:ascii="仿宋_GB2312" w:hAnsi="仿宋_GB2312" w:cs="仿宋_GB2312"/>
          <w:shd w:val="clear" w:color="auto" w:fill="FFFFFF"/>
        </w:rPr>
        <w:t>充分利用互联网的规模优势和应用优势，以产业转型升级、新业态新模式培育、公共服务能力提升为主攻方向，实施“互联网+”行动专项，推动互联网由消费领域向生产领域拓展，大力推进互联网与经济社会各领域深度融合和创新发展。数字产业化、产业数字化深入推进。“十三五”末，以光电信息、软件信息服务为主的数字产业化增加值达80亿元；产业数字化增加值达620亿元，工业互联网、两化融合贯标、数字设备化、电子商务交易等产业数字化大幅提升。</w:t>
      </w:r>
    </w:p>
    <w:p>
      <w:pPr>
        <w:pStyle w:val="4"/>
        <w:spacing w:line="560" w:lineRule="exact"/>
        <w:ind w:firstLine="640" w:firstLineChars="200"/>
        <w:contextualSpacing/>
        <w:rPr>
          <w:rFonts w:ascii="仿宋_GB2312" w:hAnsi="仿宋_GB2312" w:cs="仿宋_GB2312"/>
          <w:shd w:val="clear" w:color="auto" w:fill="FFFFFF"/>
        </w:rPr>
      </w:pPr>
      <w:r>
        <w:rPr>
          <w:rFonts w:hint="eastAsia" w:ascii="仿宋_GB2312" w:hAnsi="仿宋_GB2312" w:cs="仿宋_GB2312"/>
        </w:rPr>
        <w:t>产业呈集聚发展态势。</w:t>
      </w:r>
      <w:r>
        <w:rPr>
          <w:rFonts w:hint="eastAsia" w:ascii="仿宋_GB2312" w:hAnsi="仿宋_GB2312" w:cs="仿宋_GB2312"/>
          <w:shd w:val="clear" w:color="auto" w:fill="FFFFFF"/>
        </w:rPr>
        <w:t>依托南阳白河大数据产业园，联合华为公司成立南阳华为大数据创新中心，运用大数据创新+产业模式引领推动</w:t>
      </w:r>
      <w:r>
        <w:rPr>
          <w:rFonts w:hint="eastAsia" w:ascii="仿宋_GB2312" w:hAnsi="仿宋_GB2312" w:cs="仿宋_GB2312"/>
        </w:rPr>
        <w:t>我市</w:t>
      </w:r>
      <w:r>
        <w:rPr>
          <w:rFonts w:hint="eastAsia" w:ascii="仿宋_GB2312" w:hAnsi="仿宋_GB2312" w:cs="仿宋_GB2312"/>
          <w:shd w:val="clear" w:color="auto" w:fill="FFFFFF"/>
        </w:rPr>
        <w:t>大数据产业发展，招引了一批大数据应用企业入驻产业园区。借南水北调京宛合作之力，共建了中关村E谷（南阳）软件创业基地和信息谷，以大数据、物联网、云计算、移动互联网、人工智能产业为突破口，招引了国内知名企业分享时代、掌中飞天、奇游灵动、润德骥图、奇观技术、玖安天下、赛克艾威等90多家北京、天津等地企业落户基地，为助力南阳数字经济和信息化高质量发展提供了基础。</w:t>
      </w:r>
    </w:p>
    <w:p>
      <w:pPr>
        <w:tabs>
          <w:tab w:val="left" w:pos="0"/>
        </w:tabs>
        <w:spacing w:line="560" w:lineRule="exact"/>
        <w:ind w:firstLine="627" w:firstLineChars="196"/>
        <w:contextualSpacing/>
        <w:rPr>
          <w:rFonts w:ascii="仿宋_GB2312" w:hAnsi="仿宋_GB2312" w:cs="仿宋_GB2312"/>
          <w:shd w:val="clear" w:color="auto" w:fill="FFFFFF"/>
        </w:rPr>
      </w:pPr>
      <w:r>
        <w:rPr>
          <w:rFonts w:hint="eastAsia" w:ascii="仿宋_GB2312" w:hAnsi="仿宋_GB2312" w:cs="仿宋_GB2312"/>
        </w:rPr>
        <w:t>数字应用加速渗透转型。我市</w:t>
      </w:r>
      <w:r>
        <w:rPr>
          <w:rFonts w:hint="eastAsia" w:ascii="仿宋_GB2312" w:hAnsi="仿宋_GB2312" w:cs="仿宋_GB2312"/>
          <w:shd w:val="clear" w:color="auto" w:fill="FFFFFF"/>
        </w:rPr>
        <w:t>电商经济持续保持良好发展势头，获批中国（南阳）跨境电商综合试验区和零售进口试点城市，2020年全市累计实现电子商务交易额2300亿元，涌现出了云防爆、香菜网、聚爱优选、交通约车等一批本土云平台和</w:t>
      </w:r>
      <w:r>
        <w:rPr>
          <w:rFonts w:ascii="仿宋_GB2312" w:hAnsi="仿宋_GB2312" w:cs="仿宋_GB2312"/>
          <w:shd w:val="clear" w:color="auto" w:fill="FFFFFF"/>
        </w:rPr>
        <w:t>APP</w:t>
      </w:r>
      <w:r>
        <w:rPr>
          <w:rFonts w:hint="eastAsia" w:ascii="仿宋_GB2312" w:hAnsi="仿宋_GB2312" w:cs="仿宋_GB2312"/>
          <w:shd w:val="clear" w:color="auto" w:fill="FFFFFF"/>
        </w:rPr>
        <w:t>。数字教育、智慧环保、智慧交通等数字应用不断发展。大力推进智能制造，“十三五”末，全市共建成13家省级智能工厂和30个省级智能车间，完成上云企业4500家。</w:t>
      </w:r>
      <w:r>
        <w:rPr>
          <w:rFonts w:hint="eastAsia" w:ascii="仿宋_GB2312" w:hAnsi="仿宋_GB2312" w:cs="仿宋_GB2312"/>
        </w:rPr>
        <w:t>5G+智能制造、5G+智慧农业（畜牧业）、5G+城市综合治理等</w:t>
      </w:r>
      <w:r>
        <w:rPr>
          <w:rFonts w:hint="eastAsia" w:ascii="仿宋_GB2312" w:hAnsi="仿宋_GB2312" w:cs="仿宋_GB2312"/>
          <w:shd w:val="clear" w:color="auto" w:fill="FFFFFF"/>
        </w:rPr>
        <w:t>场景应用不断推出。</w:t>
      </w:r>
    </w:p>
    <w:p>
      <w:pPr>
        <w:pStyle w:val="4"/>
        <w:spacing w:line="560" w:lineRule="exact"/>
        <w:ind w:firstLine="576" w:firstLineChars="180"/>
        <w:contextualSpacing/>
        <w:rPr>
          <w:rFonts w:ascii="仿宋_GB2312" w:hAnsi="仿宋_GB2312" w:cs="仿宋_GB2312"/>
          <w:shd w:val="clear" w:color="auto" w:fill="FFFFFF"/>
        </w:rPr>
      </w:pPr>
      <w:r>
        <w:rPr>
          <w:rFonts w:hint="eastAsia" w:ascii="仿宋_GB2312" w:hAnsi="仿宋_GB2312" w:cs="仿宋_GB2312"/>
        </w:rPr>
        <w:t>数字化治理能力不断提升。</w:t>
      </w:r>
      <w:r>
        <w:rPr>
          <w:rFonts w:hint="eastAsia" w:ascii="仿宋_GB2312" w:hAnsi="仿宋_GB2312" w:cs="仿宋_GB2312"/>
          <w:shd w:val="clear" w:color="auto" w:fill="FFFFFF"/>
        </w:rPr>
        <w:t>数字技术大规模应用，政府治理水平和能力不断提升，民众满意度和获得感持续增强。数字政府服务高效便捷，建成全市一体化在线政务服务平台、“互联网+监管”平台和贯通省、市、县、乡、村五级的政务服务网</w:t>
      </w:r>
      <w:r>
        <w:rPr>
          <w:rFonts w:hint="eastAsia" w:ascii="仿宋_GB2312" w:hAnsi="仿宋_GB2312" w:cs="仿宋_GB2312"/>
          <w:bCs/>
          <w:shd w:val="clear" w:color="auto" w:fill="FFFFFF"/>
        </w:rPr>
        <w:t>，南阳政务服务移动端上线运行，“最多跑一次”事项实现率达到90%，255个民生事项实现“一证通办”。新型智慧城市建设提速，制定实</w:t>
      </w:r>
      <w:r>
        <w:rPr>
          <w:rFonts w:hint="eastAsia" w:ascii="仿宋_GB2312" w:hAnsi="仿宋_GB2312" w:cs="仿宋_GB2312"/>
          <w:shd w:val="clear" w:color="auto" w:fill="FFFFFF"/>
        </w:rPr>
        <w:t>施了《南阳市加快推进新型智慧城市建设实施方案》，统筹推动全市开展新型智慧城市建设新步伐。数字乡村建设全面推进，建成五级联网的乡村治理数字化平台，培育了一批数字乡村特色小镇，西峡县入选首批国家数字乡村试点地区。数字化治理成效显著，建成了数字城管、“雪亮工程”等数字化治理体系。</w:t>
      </w:r>
    </w:p>
    <w:p>
      <w:pPr>
        <w:spacing w:line="560" w:lineRule="exact"/>
        <w:ind w:firstLine="627" w:firstLineChars="196"/>
        <w:contextualSpacing/>
        <w:rPr>
          <w:rFonts w:ascii="仿宋_GB2312" w:hAnsi="仿宋_GB2312" w:cs="仿宋_GB2312"/>
          <w:shd w:val="clear" w:color="auto" w:fill="FFFFFF"/>
        </w:rPr>
      </w:pPr>
      <w:r>
        <w:rPr>
          <w:rFonts w:hint="eastAsia" w:ascii="仿宋_GB2312" w:hAnsi="仿宋_GB2312" w:cs="仿宋_GB2312"/>
        </w:rPr>
        <w:t>数字基础设施不断完善。</w:t>
      </w:r>
      <w:r>
        <w:rPr>
          <w:rFonts w:hint="eastAsia" w:ascii="仿宋_GB2312" w:hAnsi="仿宋_GB2312" w:cs="仿宋_GB2312"/>
          <w:shd w:val="clear" w:color="auto" w:fill="FFFFFF"/>
        </w:rPr>
        <w:t>“十三五”以来，我市以“宽带中国”示范城市创建为抓手，以建设“宽带南阳”“全光网南阳”为突破口，以提升宽带覆盖范围和宽带速度为目标，大力提升服务质量。“十三五”末，完成了全光网城市建设任务，行政村光纤通达率达到100%，互联网固定宽带普及率达80.1%、移动宽带普及率达74%；城市入户带宽达到200兆，农村入户带宽达到100兆；4G网络实现行政村、20户以上自然村全覆盖，5G基站达到3184个，实现县城以上城区5G网络全覆盖；电子政务外网纵横联通，横向实现市直部门、部分医院、学校打通，纵向实现县（区）、乡镇全部打通。政务系统上云步伐加快，出台《南阳市政务云管理暂行办法》，推动34个部门43个系统完成在政务云上部署。大型数据中心、行业云、信创云等信息基础设施进一步夯实。</w:t>
      </w:r>
    </w:p>
    <w:p>
      <w:pPr>
        <w:spacing w:line="560" w:lineRule="exact"/>
        <w:contextualSpacing/>
        <w:jc w:val="center"/>
        <w:outlineLvl w:val="1"/>
        <w:rPr>
          <w:rFonts w:ascii="楷体_GB2312" w:hAnsi="楷体_GB2312" w:eastAsia="楷体_GB2312" w:cs="楷体_GB2312"/>
          <w:bCs/>
        </w:rPr>
      </w:pPr>
      <w:bookmarkStart w:id="95" w:name="_Toc30426"/>
      <w:bookmarkStart w:id="96" w:name="_Toc89345818"/>
      <w:r>
        <w:rPr>
          <w:rFonts w:hint="eastAsia" w:ascii="楷体_GB2312" w:hAnsi="楷体_GB2312" w:eastAsia="楷体_GB2312" w:cs="楷体_GB2312"/>
          <w:bCs/>
        </w:rPr>
        <w:t>第二节</w:t>
      </w:r>
      <w:r>
        <w:rPr>
          <w:rFonts w:hint="eastAsia"/>
        </w:rPr>
        <w:t xml:space="preserve">  </w:t>
      </w:r>
      <w:r>
        <w:rPr>
          <w:rFonts w:hint="eastAsia" w:ascii="楷体_GB2312" w:hAnsi="楷体_GB2312" w:eastAsia="楷体_GB2312" w:cs="楷体_GB2312"/>
          <w:bCs/>
        </w:rPr>
        <w:t>面临形势</w:t>
      </w:r>
      <w:bookmarkEnd w:id="95"/>
      <w:bookmarkEnd w:id="96"/>
    </w:p>
    <w:p>
      <w:pPr>
        <w:pStyle w:val="57"/>
        <w:spacing w:line="560" w:lineRule="exact"/>
        <w:ind w:firstLine="640" w:firstLineChars="200"/>
        <w:contextualSpacing/>
        <w:rPr>
          <w:rFonts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发展数字经济和推进信息化建设是党中央、国务院全面分析世界经济格局变革新趋势，着眼中国经济社会迈入新阶段做出的重大战略部署。我国数字经济和信息化正在转向深化应用、规范发展、红利释放的新阶段，数字技术快速推动各行业在生产方式、商业模式、管理范式等方面发生深刻变革，数字经济在国民经济中的地位进一步凸显，日益成为推动经济快速增长、包容性增长、可持续增长的强大驱动力。在新发展格局的引领下，各省都在积极布局数字经济和信息化发展，沿海发达城市早已走在前列，省内各地也在加速竞争，周边城市领先优势和赶超势头十分明显。</w:t>
      </w:r>
    </w:p>
    <w:p>
      <w:pPr>
        <w:pStyle w:val="57"/>
        <w:spacing w:line="560" w:lineRule="exact"/>
        <w:ind w:firstLine="640" w:firstLineChars="200"/>
        <w:contextualSpacing/>
        <w:rPr>
          <w:rFonts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“十四五”时期，</w:t>
      </w:r>
      <w:r>
        <w:rPr>
          <w:rFonts w:hint="eastAsia" w:ascii="仿宋_GB2312" w:hAnsi="仿宋_GB2312" w:cs="仿宋_GB2312"/>
        </w:rPr>
        <w:t>我市</w:t>
      </w:r>
      <w:r>
        <w:rPr>
          <w:rFonts w:hint="eastAsia" w:ascii="仿宋_GB2312" w:hAnsi="仿宋_GB2312" w:eastAsia="仿宋_GB2312" w:cs="仿宋_GB2312"/>
          <w:szCs w:val="32"/>
          <w:shd w:val="clear" w:color="auto" w:fill="FFFFFF"/>
        </w:rPr>
        <w:t>正处在转变发展方式、优化经济结构、培育新增长动能的关键时期，加快谋划和发展数字经济，推动数字产业化，促进三大产业数字化融合，加快信息化发展，对</w:t>
      </w:r>
      <w:r>
        <w:rPr>
          <w:rFonts w:hint="eastAsia" w:ascii="仿宋_GB2312" w:hAnsi="仿宋_GB2312" w:cs="仿宋_GB2312"/>
        </w:rPr>
        <w:t>我市</w:t>
      </w:r>
      <w:r>
        <w:rPr>
          <w:rFonts w:hint="eastAsia" w:ascii="仿宋_GB2312" w:hAnsi="仿宋_GB2312" w:eastAsia="仿宋_GB2312" w:cs="仿宋_GB2312"/>
          <w:szCs w:val="32"/>
          <w:shd w:val="clear" w:color="auto" w:fill="FFFFFF"/>
        </w:rPr>
        <w:t>实现经济高质量、跨越式、超常规发展具有十分重要的战略意义和现实意义。当前，</w:t>
      </w:r>
      <w:r>
        <w:rPr>
          <w:rFonts w:hint="eastAsia" w:ascii="仿宋_GB2312" w:hAnsi="仿宋_GB2312" w:cs="仿宋_GB2312"/>
        </w:rPr>
        <w:t>我市</w:t>
      </w:r>
      <w:r>
        <w:rPr>
          <w:rFonts w:hint="eastAsia" w:ascii="仿宋_GB2312" w:hAnsi="仿宋_GB2312" w:eastAsia="仿宋_GB2312" w:cs="仿宋_GB2312"/>
          <w:szCs w:val="32"/>
          <w:shd w:val="clear" w:color="auto" w:fill="FFFFFF"/>
        </w:rPr>
        <w:t>数字经济和信息化发展显现出多重国家战略交汇叠加释放、多元优势积聚后劲动能大幅增强、潜力优势加速转化的阶段性特征，内外部环境较为有利，总体上处于大有作为的重要战略机遇期，必须抢抓机遇、顺势而为，增强紧迫意识，保持战略定力，加强统筹规划，集中优势资源，加快推进数字经济和信息化发展，促进经济转型和产业升级，推动南阳经济向高质量迈进。</w:t>
      </w:r>
    </w:p>
    <w:p>
      <w:pPr>
        <w:spacing w:line="560" w:lineRule="exact"/>
        <w:contextualSpacing/>
        <w:jc w:val="center"/>
        <w:outlineLvl w:val="1"/>
        <w:rPr>
          <w:rFonts w:ascii="楷体_GB2312" w:hAnsi="楷体_GB2312" w:eastAsia="楷体_GB2312" w:cs="楷体_GB2312"/>
          <w:bCs/>
        </w:rPr>
      </w:pPr>
      <w:bookmarkStart w:id="97" w:name="_Toc89345819"/>
      <w:bookmarkStart w:id="98" w:name="_Toc8125"/>
      <w:r>
        <w:rPr>
          <w:rFonts w:hint="eastAsia" w:ascii="楷体_GB2312" w:hAnsi="楷体_GB2312" w:eastAsia="楷体_GB2312" w:cs="楷体_GB2312"/>
          <w:bCs/>
        </w:rPr>
        <w:t>第三节</w:t>
      </w:r>
      <w:r>
        <w:rPr>
          <w:rFonts w:hint="eastAsia"/>
        </w:rPr>
        <w:t xml:space="preserve">  </w:t>
      </w:r>
      <w:r>
        <w:rPr>
          <w:rFonts w:hint="eastAsia" w:ascii="楷体_GB2312" w:hAnsi="楷体_GB2312" w:eastAsia="楷体_GB2312" w:cs="楷体_GB2312"/>
          <w:bCs/>
        </w:rPr>
        <w:t>机遇和挑战</w:t>
      </w:r>
      <w:bookmarkEnd w:id="97"/>
      <w:bookmarkEnd w:id="98"/>
    </w:p>
    <w:p>
      <w:pPr>
        <w:pStyle w:val="57"/>
        <w:spacing w:line="560" w:lineRule="exact"/>
        <w:ind w:firstLine="640" w:firstLineChars="200"/>
        <w:contextualSpacing/>
        <w:rPr>
          <w:rFonts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“十四五”期间，</w:t>
      </w:r>
      <w:r>
        <w:rPr>
          <w:rFonts w:hint="eastAsia" w:ascii="仿宋_GB2312" w:hAnsi="仿宋_GB2312" w:cs="仿宋_GB2312"/>
        </w:rPr>
        <w:t>我市</w:t>
      </w:r>
      <w:r>
        <w:rPr>
          <w:rFonts w:hint="eastAsia" w:ascii="仿宋_GB2312" w:hAnsi="仿宋_GB2312" w:eastAsia="仿宋_GB2312" w:cs="仿宋_GB2312"/>
          <w:szCs w:val="32"/>
          <w:shd w:val="clear" w:color="auto" w:fill="FFFFFF"/>
        </w:rPr>
        <w:t>将奋力打造河南省副中心城市，与信阳、驻马店协作互动，共同建设豫南高效生态经济示范区。发展数字经济是确立</w:t>
      </w:r>
      <w:r>
        <w:rPr>
          <w:rFonts w:hint="eastAsia" w:ascii="仿宋_GB2312" w:hAnsi="仿宋_GB2312" w:cs="仿宋_GB2312"/>
        </w:rPr>
        <w:t>我市</w:t>
      </w:r>
      <w:r>
        <w:rPr>
          <w:rFonts w:hint="eastAsia" w:ascii="仿宋_GB2312" w:hAnsi="仿宋_GB2312" w:eastAsia="仿宋_GB2312" w:cs="仿宋_GB2312"/>
          <w:szCs w:val="32"/>
          <w:shd w:val="clear" w:color="auto" w:fill="FFFFFF"/>
        </w:rPr>
        <w:t>城市地位的重要抓手，是驱动全市经济结构转型升级和经济高质量发展的新动能。南阳气候条件适宜、地质环境稳定、能源保障有力、产业基础较好，适宜数据存储中心、传输中心建设和光电元器件、传感元器件等产业发展，具有发展数字经济得天独厚的优势。</w:t>
      </w:r>
      <w:r>
        <w:rPr>
          <w:rFonts w:hint="eastAsia" w:ascii="仿宋_GB2312" w:hAnsi="仿宋_GB2312" w:cs="仿宋_GB2312"/>
        </w:rPr>
        <w:t>我市</w:t>
      </w:r>
      <w:r>
        <w:rPr>
          <w:rFonts w:hint="eastAsia" w:ascii="仿宋_GB2312" w:hAnsi="仿宋_GB2312" w:eastAsia="仿宋_GB2312" w:cs="仿宋_GB2312"/>
          <w:szCs w:val="32"/>
          <w:shd w:val="clear" w:color="auto" w:fill="FFFFFF"/>
        </w:rPr>
        <w:t>作为全国性综合交通枢纽、商贸服务型国家物流枢纽的功能也日益凸显。</w:t>
      </w:r>
    </w:p>
    <w:p>
      <w:pPr>
        <w:pStyle w:val="57"/>
        <w:spacing w:line="560" w:lineRule="exact"/>
        <w:ind w:firstLine="640" w:firstLineChars="200"/>
        <w:contextualSpacing/>
        <w:rPr>
          <w:rFonts w:ascii="黑体" w:hAnsi="黑体" w:eastAsia="黑体" w:cs="黑体"/>
        </w:rPr>
      </w:pPr>
      <w:r>
        <w:rPr>
          <w:rFonts w:hint="eastAsia" w:ascii="仿宋_GB2312" w:hAnsi="仿宋_GB2312" w:eastAsia="仿宋_GB2312" w:cs="仿宋_GB2312"/>
          <w:szCs w:val="32"/>
          <w:shd w:val="clear" w:color="auto" w:fill="FFFFFF"/>
        </w:rPr>
        <w:t>近年来，</w:t>
      </w:r>
      <w:r>
        <w:rPr>
          <w:rFonts w:hint="eastAsia" w:ascii="仿宋_GB2312" w:hAnsi="仿宋_GB2312" w:cs="仿宋_GB2312"/>
        </w:rPr>
        <w:t>我市</w:t>
      </w:r>
      <w:r>
        <w:rPr>
          <w:rFonts w:hint="eastAsia" w:ascii="仿宋_GB2312" w:hAnsi="仿宋_GB2312" w:eastAsia="仿宋_GB2312" w:cs="仿宋_GB2312"/>
          <w:szCs w:val="32"/>
          <w:shd w:val="clear" w:color="auto" w:fill="FFFFFF"/>
        </w:rPr>
        <w:t>在数字经济发展和信息化建设方面取得了明显成效，但依然面临着诸多挑战：一是新型基础设施支撑能力不足，信息共享、信息联动等数字化程度较低；二是数字产业基础薄弱，软硬件产品的附加值和技术含量普遍不高；三是数字经济和信息化高端人才缺乏，大数据应用创新研究、关键技术产品研发和应用创新能力薄弱；四是信息化支撑能力不强，数字经济产业和信息化发展的政策措施滞后、营商环境欠佳，数字经济和信息化发展仍面临较大的区域竞争压力。</w:t>
      </w:r>
      <w:bookmarkStart w:id="99" w:name="_Toc16527"/>
      <w:bookmarkStart w:id="100" w:name="_Toc89345820"/>
    </w:p>
    <w:p>
      <w:pPr>
        <w:numPr>
          <w:ilvl w:val="0"/>
          <w:numId w:val="2"/>
        </w:numPr>
        <w:spacing w:line="560" w:lineRule="exact"/>
        <w:ind w:firstLine="640" w:firstLineChars="200"/>
        <w:contextualSpacing/>
        <w:jc w:val="center"/>
        <w:outlineLvl w:val="0"/>
        <w:rPr>
          <w:rFonts w:ascii="黑体" w:hAnsi="黑体" w:eastAsia="黑体" w:cs="黑体"/>
        </w:rPr>
      </w:pPr>
      <w:r>
        <w:rPr>
          <w:rFonts w:hint="eastAsia" w:ascii="黑体" w:hAnsi="黑体" w:eastAsia="黑体" w:cs="黑体"/>
        </w:rPr>
        <w:t xml:space="preserve"> 总体要求</w:t>
      </w:r>
      <w:bookmarkEnd w:id="99"/>
      <w:bookmarkEnd w:id="100"/>
    </w:p>
    <w:p>
      <w:pPr>
        <w:spacing w:line="560" w:lineRule="exact"/>
        <w:ind w:firstLine="640" w:firstLineChars="200"/>
        <w:contextualSpacing/>
        <w:jc w:val="center"/>
        <w:outlineLvl w:val="1"/>
        <w:rPr>
          <w:rFonts w:ascii="楷体_GB2312" w:hAnsi="楷体_GB2312" w:eastAsia="楷体_GB2312" w:cs="楷体_GB2312"/>
          <w:bCs/>
        </w:rPr>
      </w:pPr>
      <w:bookmarkStart w:id="101" w:name="_Toc16221"/>
      <w:bookmarkStart w:id="102" w:name="_Toc89345821"/>
      <w:r>
        <w:rPr>
          <w:rFonts w:hint="eastAsia" w:ascii="楷体_GB2312" w:hAnsi="楷体_GB2312" w:eastAsia="楷体_GB2312" w:cs="楷体_GB2312"/>
          <w:bCs/>
        </w:rPr>
        <w:t>第一节  指导思想</w:t>
      </w:r>
      <w:bookmarkEnd w:id="101"/>
      <w:bookmarkEnd w:id="102"/>
    </w:p>
    <w:p>
      <w:pPr>
        <w:pStyle w:val="57"/>
        <w:spacing w:line="560" w:lineRule="exact"/>
        <w:ind w:firstLine="640" w:firstLineChars="200"/>
        <w:contextualSpacing/>
        <w:rPr>
          <w:rFonts w:ascii="仿宋_GB2312" w:hAnsi="仿宋_GB2312" w:eastAsia="仿宋_GB2312" w:cs="仿宋_GB2312"/>
          <w:szCs w:val="32"/>
          <w:shd w:val="clear" w:color="auto" w:fill="FFFFFF"/>
        </w:rPr>
      </w:pPr>
      <w:r>
        <w:rPr>
          <w:rFonts w:hint="eastAsia" w:ascii="仿宋_GB2312" w:hAnsi="仿宋_GB2312" w:eastAsia="仿宋_GB2312" w:cs="仿宋_GB2312"/>
          <w:szCs w:val="32"/>
          <w:shd w:val="clear" w:color="auto" w:fill="FFFFFF"/>
        </w:rPr>
        <w:t>坚持以习近平新时代中国特色社会主义思想为指导，全面落实习近平总书记视察南阳重要讲话和指示精神，认真落实河南省第十一次党代会和南阳市第七次党代会总体要求，以统筹发展数字经济和信息化为主线，坚持“项目为王、产业为基、企业为根、创新为要、转型为纲”的发展理念，着力抓创新、拓开放、强核心、促融合、优治理、保安全，全面推进新型基础设施建设，释放数据要素价值，重点发展数字产业化、产业数字化、治理数字化，完善网络信息安全保障，推动信息化与经济社会全方位深度融合，切实提升群众幸福感、获得感和安全感，奋力打造河南省副中心城市和全国数字经济示范市。</w:t>
      </w:r>
    </w:p>
    <w:p>
      <w:pPr>
        <w:spacing w:line="560" w:lineRule="exact"/>
        <w:contextualSpacing/>
        <w:jc w:val="center"/>
        <w:outlineLvl w:val="1"/>
        <w:rPr>
          <w:rFonts w:ascii="楷体_GB2312" w:hAnsi="楷体_GB2312" w:eastAsia="楷体_GB2312" w:cs="楷体_GB2312"/>
          <w:bCs/>
        </w:rPr>
      </w:pPr>
      <w:bookmarkStart w:id="103" w:name="_Toc17429"/>
      <w:bookmarkStart w:id="104" w:name="_Toc89345822"/>
      <w:r>
        <w:rPr>
          <w:rFonts w:hint="eastAsia" w:ascii="楷体_GB2312" w:hAnsi="楷体_GB2312" w:eastAsia="楷体_GB2312" w:cs="楷体_GB2312"/>
          <w:bCs/>
        </w:rPr>
        <w:t>第二节</w:t>
      </w:r>
      <w:r>
        <w:rPr>
          <w:rFonts w:hint="eastAsia"/>
        </w:rPr>
        <w:t xml:space="preserve">  </w:t>
      </w:r>
      <w:r>
        <w:rPr>
          <w:rFonts w:hint="eastAsia" w:ascii="楷体_GB2312" w:hAnsi="楷体_GB2312" w:eastAsia="楷体_GB2312" w:cs="楷体_GB2312"/>
          <w:bCs/>
        </w:rPr>
        <w:t>基本原则</w:t>
      </w:r>
      <w:bookmarkEnd w:id="103"/>
      <w:bookmarkEnd w:id="104"/>
    </w:p>
    <w:p>
      <w:pPr>
        <w:spacing w:line="560" w:lineRule="exact"/>
        <w:ind w:firstLine="800" w:firstLineChars="250"/>
        <w:contextualSpacing/>
        <w:rPr>
          <w:rFonts w:ascii="仿宋_GB2312" w:hAnsi="仿宋_GB2312" w:cs="仿宋_GB2312"/>
        </w:rPr>
      </w:pPr>
      <w:r>
        <w:rPr>
          <w:rFonts w:hint="eastAsia" w:ascii="仿宋_GB2312" w:hAnsi="仿宋_GB2312" w:cs="仿宋_GB2312"/>
          <w:bCs/>
        </w:rPr>
        <w:t>——科学布局，统筹推进。</w:t>
      </w:r>
      <w:r>
        <w:rPr>
          <w:rFonts w:hint="eastAsia" w:ascii="仿宋_GB2312" w:hAnsi="仿宋_GB2312" w:cs="仿宋_GB2312"/>
        </w:rPr>
        <w:t>坚持前瞻性、系统性发展思维，高举高打，有序推进产业、创新、市场和治理体系建设，构建南阳数字经济发展生态、信息化和信息安全生态。</w:t>
      </w:r>
    </w:p>
    <w:p>
      <w:pPr>
        <w:spacing w:line="560" w:lineRule="exact"/>
        <w:ind w:firstLine="800" w:firstLineChars="250"/>
        <w:contextualSpacing/>
        <w:rPr>
          <w:rFonts w:ascii="仿宋_GB2312" w:hAnsi="仿宋_GB2312" w:cs="仿宋_GB2312"/>
        </w:rPr>
      </w:pPr>
      <w:r>
        <w:rPr>
          <w:rFonts w:hint="eastAsia" w:ascii="仿宋_GB2312" w:hAnsi="仿宋_GB2312" w:cs="仿宋_GB2312"/>
          <w:bCs/>
        </w:rPr>
        <w:t>——创新驱动，示范引领。</w:t>
      </w:r>
      <w:r>
        <w:rPr>
          <w:rFonts w:hint="eastAsia" w:ascii="仿宋_GB2312" w:hAnsi="仿宋_GB2312" w:cs="仿宋_GB2312"/>
        </w:rPr>
        <w:t>深入推进创新驱动发展战略，加快掌握自主知识产权的关键核心技术，提升信息技术尤其是大数据、人工智能等新一代信息技术应用创新能力。</w:t>
      </w:r>
    </w:p>
    <w:p>
      <w:pPr>
        <w:spacing w:line="560" w:lineRule="exact"/>
        <w:ind w:firstLine="800" w:firstLineChars="250"/>
        <w:contextualSpacing/>
        <w:rPr>
          <w:rFonts w:ascii="仿宋_GB2312" w:hAnsi="仿宋_GB2312" w:cs="仿宋_GB2312"/>
        </w:rPr>
      </w:pPr>
      <w:r>
        <w:rPr>
          <w:rFonts w:hint="eastAsia" w:ascii="仿宋_GB2312" w:hAnsi="仿宋_GB2312" w:cs="仿宋_GB2312"/>
          <w:bCs/>
        </w:rPr>
        <w:t>——政府引导，市场主导。</w:t>
      </w:r>
      <w:r>
        <w:rPr>
          <w:rFonts w:hint="eastAsia" w:ascii="仿宋_GB2312" w:hAnsi="仿宋_GB2312" w:cs="仿宋_GB2312"/>
        </w:rPr>
        <w:t>深入推进简政放权、放管结合，优化服务改革，激发各类市场主体的积极性，以市场需求为导向，加快各领域数字产业化和产业数字化培育和应用示范，为数字经济和信息化发展营造良好市场环境。</w:t>
      </w:r>
    </w:p>
    <w:p>
      <w:pPr>
        <w:spacing w:line="560" w:lineRule="exact"/>
        <w:ind w:firstLine="800" w:firstLineChars="250"/>
        <w:contextualSpacing/>
        <w:rPr>
          <w:rFonts w:ascii="仿宋_GB2312" w:hAnsi="仿宋_GB2312" w:cs="仿宋_GB2312"/>
        </w:rPr>
      </w:pPr>
      <w:r>
        <w:rPr>
          <w:rFonts w:hint="eastAsia" w:ascii="仿宋_GB2312" w:hAnsi="仿宋_GB2312" w:cs="仿宋_GB2312"/>
          <w:bCs/>
        </w:rPr>
        <w:t>——开放合作，互利共赢。</w:t>
      </w:r>
      <w:r>
        <w:rPr>
          <w:rFonts w:hint="eastAsia" w:ascii="仿宋_GB2312" w:hAnsi="仿宋_GB2312" w:cs="仿宋_GB2312"/>
        </w:rPr>
        <w:t>树立全球视野和国际化眼光，充分发挥南阳作为全国重要的综合交通枢纽、商贸物流中心等区位优势，共享互通国际和国内技术、人才、产品、市场，利用后发优势，参考发达地区成熟发展经验，实现合作共赢。</w:t>
      </w:r>
    </w:p>
    <w:p>
      <w:pPr>
        <w:spacing w:line="560" w:lineRule="exact"/>
        <w:ind w:firstLine="800" w:firstLineChars="250"/>
        <w:contextualSpacing/>
        <w:rPr>
          <w:rFonts w:ascii="仿宋_GB2312" w:hAnsi="仿宋_GB2312" w:cs="仿宋_GB2312"/>
        </w:rPr>
      </w:pPr>
      <w:r>
        <w:rPr>
          <w:rFonts w:hint="eastAsia" w:ascii="仿宋_GB2312" w:hAnsi="仿宋_GB2312" w:cs="仿宋_GB2312"/>
          <w:bCs/>
        </w:rPr>
        <w:t>——绿色生态，融合发展。</w:t>
      </w:r>
      <w:r>
        <w:rPr>
          <w:rFonts w:hint="eastAsia" w:ascii="仿宋_GB2312" w:hAnsi="仿宋_GB2312" w:cs="仿宋_GB2312"/>
        </w:rPr>
        <w:t>遵循绿色低碳发展要求，坚持可持续发展方式，实现信息化发展与绿色生态发展的有机统一。发挥信息技术在政务、民生及产业数字化、智能化、绿色化深度融合发展中的赋能作用。</w:t>
      </w:r>
    </w:p>
    <w:p>
      <w:pPr>
        <w:spacing w:line="560" w:lineRule="exact"/>
        <w:contextualSpacing/>
        <w:jc w:val="center"/>
        <w:outlineLvl w:val="1"/>
        <w:rPr>
          <w:rFonts w:ascii="楷体_GB2312" w:hAnsi="楷体_GB2312" w:eastAsia="楷体_GB2312" w:cs="楷体_GB2312"/>
          <w:bCs/>
        </w:rPr>
      </w:pPr>
      <w:bookmarkStart w:id="105" w:name="_Toc89345823"/>
      <w:bookmarkStart w:id="106" w:name="_Toc948"/>
      <w:r>
        <w:rPr>
          <w:rFonts w:hint="eastAsia" w:ascii="楷体_GB2312" w:hAnsi="楷体_GB2312" w:eastAsia="楷体_GB2312" w:cs="楷体_GB2312"/>
          <w:bCs/>
        </w:rPr>
        <w:t>第三节</w:t>
      </w:r>
      <w:r>
        <w:rPr>
          <w:rFonts w:hint="eastAsia"/>
        </w:rPr>
        <w:t xml:space="preserve">  </w:t>
      </w:r>
      <w:r>
        <w:rPr>
          <w:rFonts w:hint="eastAsia" w:ascii="楷体_GB2312" w:hAnsi="楷体_GB2312" w:eastAsia="楷体_GB2312" w:cs="楷体_GB2312"/>
          <w:bCs/>
        </w:rPr>
        <w:t>主要目标</w:t>
      </w:r>
      <w:bookmarkEnd w:id="105"/>
      <w:bookmarkEnd w:id="106"/>
    </w:p>
    <w:p>
      <w:pPr>
        <w:spacing w:line="560" w:lineRule="exact"/>
        <w:ind w:firstLine="640" w:firstLineChars="200"/>
        <w:contextualSpacing/>
        <w:rPr>
          <w:rFonts w:ascii="仿宋_GB2312" w:hAnsi="仿宋_GB2312" w:cs="仿宋_GB2312"/>
        </w:rPr>
      </w:pPr>
      <w:r>
        <w:rPr>
          <w:rFonts w:hint="eastAsia" w:ascii="仿宋_GB2312" w:hAnsi="仿宋_GB2312" w:cs="仿宋_GB2312"/>
        </w:rPr>
        <w:t>到2025年，全市数字经济和信息化快速发展，产业集聚态势明显，成为推动我市经济高质量发展的重要动力。数字基础设施支撑能力进一步增强，信息基础设施加快推进，“双千兆”宽带城市初步建成。重点领域数字化转型与融合创新取得较大进展，形成一批特色鲜明、亮点突出的示范应用。</w:t>
      </w:r>
    </w:p>
    <w:p>
      <w:pPr>
        <w:spacing w:line="560" w:lineRule="exact"/>
        <w:ind w:firstLine="640" w:firstLineChars="200"/>
        <w:contextualSpacing/>
        <w:rPr>
          <w:rFonts w:ascii="仿宋_GB2312" w:hAnsi="仿宋_GB2312" w:cs="仿宋_GB2312"/>
        </w:rPr>
      </w:pPr>
      <w:r>
        <w:rPr>
          <w:rFonts w:hint="eastAsia" w:ascii="仿宋_GB2312" w:hAnsi="仿宋_GB2312" w:cs="仿宋_GB2312"/>
          <w:shd w:val="clear" w:color="auto" w:fill="FFFFFF"/>
        </w:rPr>
        <w:t>紧抓数字经济和信息化统筹发展主线，聚焦数字基础设施建设、数据价值体系构建、数字产业化倍增、产业数字化融合、数字化治理进阶和网络空间安全清朗6项主要任务，落实组织领导、政策支持、招商引智、生态营造、监测评价5大保障措施的“165”发展战略，到</w:t>
      </w:r>
      <w:r>
        <w:rPr>
          <w:rFonts w:hint="eastAsia" w:ascii="仿宋_GB2312" w:hAnsi="仿宋_GB2312" w:cs="仿宋_GB2312"/>
        </w:rPr>
        <w:t>2025年，全市数字经济总量力争突破1800亿元，占GDP的比重达到30%。物联网、新型显示和智能终端、虚拟现实等新兴数字产业规模力争突破500亿元，打造1-2个国家级先进制造业集群，成为特色先进制造业中心。制造业、服务业、农业等重要领域数字化转型基本完成，实现各领域数据开放共享和跨领域应用开发，形成全省数字经济核心增长极，建成数据收集、开放、共享样板市。</w:t>
      </w:r>
    </w:p>
    <w:p>
      <w:pPr>
        <w:spacing w:line="560" w:lineRule="exact"/>
        <w:ind w:firstLine="640" w:firstLineChars="200"/>
        <w:contextualSpacing/>
        <w:rPr>
          <w:rFonts w:ascii="仿宋_GB2312" w:hAnsi="仿宋_GB2312" w:cs="仿宋_GB2312"/>
        </w:rPr>
      </w:pPr>
      <w:r>
        <w:rPr>
          <w:rFonts w:hint="eastAsia" w:ascii="仿宋_GB2312" w:hAnsi="仿宋_GB2312" w:cs="仿宋_GB2312"/>
          <w:bCs/>
        </w:rPr>
        <w:t>——优化数据开放和信息化发展新环境。</w:t>
      </w:r>
      <w:r>
        <w:rPr>
          <w:rFonts w:hint="eastAsia" w:ascii="仿宋_GB2312" w:hAnsi="仿宋_GB2312" w:cs="仿宋_GB2312"/>
        </w:rPr>
        <w:t>实现政府数据有序开放共享、政企数据高度融通、数据全面接入，公共信息资源开发利用、知识产权保护等领域加快推进，制约信息化发展的制度障碍和政策瓶颈得到有效化解。</w:t>
      </w:r>
    </w:p>
    <w:p>
      <w:pPr>
        <w:spacing w:line="560" w:lineRule="exact"/>
        <w:ind w:firstLine="643"/>
        <w:contextualSpacing/>
        <w:rPr>
          <w:rFonts w:ascii="仿宋_GB2312" w:hAnsi="仿宋_GB2312" w:cs="仿宋_GB2312"/>
        </w:rPr>
      </w:pPr>
      <w:r>
        <w:rPr>
          <w:rFonts w:hint="eastAsia" w:ascii="仿宋_GB2312" w:hAnsi="仿宋_GB2312" w:cs="仿宋_GB2312"/>
          <w:bCs/>
        </w:rPr>
        <w:t>——数字经济核心产业规模实现大幅增长</w:t>
      </w:r>
      <w:r>
        <w:rPr>
          <w:rFonts w:hint="eastAsia" w:ascii="仿宋_GB2312" w:hAnsi="仿宋_GB2312" w:cs="仿宋_GB2312"/>
        </w:rPr>
        <w:t>。“十四五”期间，数字经济核心产业保持年均15%以上增速，到2025年，全市数字经济核心产业规模力争达到250亿元。打造千亿级电子信息产业集群，推动5G、数字光电、传感器、集成电路等一批新兴产业达到百亿级规模。</w:t>
      </w:r>
    </w:p>
    <w:p>
      <w:pPr>
        <w:spacing w:line="560" w:lineRule="exact"/>
        <w:ind w:firstLine="640" w:firstLineChars="200"/>
        <w:contextualSpacing/>
        <w:rPr>
          <w:rFonts w:ascii="仿宋_GB2312" w:hAnsi="仿宋_GB2312" w:cs="仿宋_GB2312"/>
        </w:rPr>
      </w:pPr>
      <w:r>
        <w:rPr>
          <w:rFonts w:hint="eastAsia" w:ascii="仿宋_GB2312" w:hAnsi="仿宋_GB2312" w:cs="仿宋_GB2312"/>
          <w:bCs/>
        </w:rPr>
        <w:t>——产业与数字化融合发展取得显著成效</w:t>
      </w:r>
      <w:r>
        <w:rPr>
          <w:rFonts w:hint="eastAsia" w:ascii="仿宋_GB2312" w:hAnsi="仿宋_GB2312" w:cs="仿宋_GB2312"/>
        </w:rPr>
        <w:t>。到2025年，规模以上制造业企业数字化改造覆盖率达到55%，建成2-3个工业互联网平台；基本构建南阳市天、空、地一体的农业数字资源系统和数字化农产品质量追溯体系；实现三产与数字化的全面融合，构建南阳特色产业数字化生态体系。</w:t>
      </w:r>
    </w:p>
    <w:p>
      <w:pPr>
        <w:spacing w:line="560" w:lineRule="exact"/>
        <w:ind w:firstLine="640" w:firstLineChars="200"/>
        <w:contextualSpacing/>
        <w:rPr>
          <w:rFonts w:ascii="仿宋_GB2312" w:hAnsi="仿宋_GB2312" w:cs="仿宋_GB2312"/>
        </w:rPr>
      </w:pPr>
      <w:r>
        <w:rPr>
          <w:rFonts w:hint="eastAsia" w:ascii="仿宋_GB2312" w:hAnsi="仿宋_GB2312" w:cs="仿宋_GB2312"/>
          <w:bCs/>
        </w:rPr>
        <w:t>——发展政府数字化治理新模式和新能力</w:t>
      </w:r>
      <w:r>
        <w:rPr>
          <w:rFonts w:hint="eastAsia" w:ascii="仿宋_GB2312" w:hAnsi="仿宋_GB2312" w:cs="仿宋_GB2312"/>
        </w:rPr>
        <w:t>。到2025年，全面实现政务服务信息化和智能化，政务云平台功能完备，以基层综合指挥中心及综合治理、执法监管、便民服务、综合监督平台为依托，打造“城市大脑”，政府数字治理水平明显提升，民生信息化能力有效提高。</w:t>
      </w:r>
    </w:p>
    <w:p>
      <w:pPr>
        <w:spacing w:line="560" w:lineRule="exact"/>
        <w:ind w:firstLine="640" w:firstLineChars="200"/>
        <w:contextualSpacing/>
        <w:rPr>
          <w:rFonts w:ascii="仿宋_GB2312" w:hAnsi="仿宋_GB2312" w:cs="仿宋_GB2312"/>
        </w:rPr>
      </w:pPr>
      <w:r>
        <w:rPr>
          <w:rFonts w:hint="eastAsia" w:ascii="仿宋_GB2312" w:hAnsi="仿宋_GB2312" w:cs="仿宋_GB2312"/>
          <w:bCs/>
        </w:rPr>
        <w:t>——新型基础设施和网络安全设施不断完善。</w:t>
      </w:r>
      <w:r>
        <w:rPr>
          <w:rFonts w:hint="eastAsia" w:ascii="仿宋_GB2312" w:hAnsi="仿宋_GB2312" w:cs="仿宋_GB2312"/>
        </w:rPr>
        <w:t>到2025年，全市5G基站数量达到13500个，实现乡镇以上区域5G网络连续覆盖和重点行政村5G网络全覆盖。建成一批特色鲜明的行业云平台，各类数据资源实现完全的分级共享与开发利用。网络安全保障体系进一步健全，网络安全综合管控能力明显提升。</w:t>
      </w:r>
    </w:p>
    <w:tbl>
      <w:tblPr>
        <w:tblStyle w:val="26"/>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4147"/>
        <w:gridCol w:w="1034"/>
        <w:gridCol w:w="1314"/>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80" w:type="dxa"/>
            <w:gridSpan w:val="5"/>
            <w:vAlign w:val="center"/>
          </w:tcPr>
          <w:p>
            <w:pPr>
              <w:spacing w:line="560" w:lineRule="exact"/>
              <w:contextualSpacing/>
              <w:jc w:val="center"/>
              <w:rPr>
                <w:rFonts w:ascii="黑体" w:hAnsi="黑体" w:eastAsia="黑体" w:cs="黑体"/>
                <w:sz w:val="24"/>
              </w:rPr>
            </w:pPr>
            <w:r>
              <w:rPr>
                <w:rFonts w:hint="eastAsia" w:ascii="黑体" w:hAnsi="黑体" w:eastAsia="黑体" w:cs="黑体"/>
                <w:sz w:val="28"/>
                <w:szCs w:val="28"/>
              </w:rPr>
              <w:t>表1：南阳市数字经济和信息化“十四五”发展目标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2" w:type="dxa"/>
            <w:vAlign w:val="center"/>
          </w:tcPr>
          <w:p>
            <w:pPr>
              <w:spacing w:line="240" w:lineRule="exact"/>
              <w:contextualSpacing/>
              <w:jc w:val="center"/>
              <w:rPr>
                <w:rFonts w:ascii="黑体" w:hAnsi="黑体" w:eastAsia="黑体" w:cs="黑体"/>
                <w:sz w:val="24"/>
              </w:rPr>
            </w:pPr>
            <w:r>
              <w:rPr>
                <w:rFonts w:hint="eastAsia" w:ascii="黑体" w:hAnsi="黑体" w:eastAsia="黑体" w:cs="黑体"/>
                <w:sz w:val="24"/>
              </w:rPr>
              <w:t>类  别</w:t>
            </w:r>
          </w:p>
        </w:tc>
        <w:tc>
          <w:tcPr>
            <w:tcW w:w="4147" w:type="dxa"/>
            <w:vAlign w:val="center"/>
          </w:tcPr>
          <w:p>
            <w:pPr>
              <w:spacing w:line="240" w:lineRule="exact"/>
              <w:contextualSpacing/>
              <w:jc w:val="center"/>
              <w:rPr>
                <w:rFonts w:ascii="黑体" w:hAnsi="黑体" w:eastAsia="黑体" w:cs="黑体"/>
                <w:sz w:val="24"/>
              </w:rPr>
            </w:pPr>
            <w:r>
              <w:rPr>
                <w:rFonts w:hint="eastAsia" w:ascii="黑体" w:hAnsi="黑体" w:eastAsia="黑体" w:cs="黑体"/>
                <w:sz w:val="24"/>
              </w:rPr>
              <w:t>指  标</w:t>
            </w:r>
          </w:p>
        </w:tc>
        <w:tc>
          <w:tcPr>
            <w:tcW w:w="1034" w:type="dxa"/>
            <w:vAlign w:val="center"/>
          </w:tcPr>
          <w:p>
            <w:pPr>
              <w:spacing w:line="240" w:lineRule="exact"/>
              <w:contextualSpacing/>
              <w:jc w:val="center"/>
              <w:rPr>
                <w:rFonts w:ascii="黑体" w:hAnsi="黑体" w:eastAsia="黑体" w:cs="黑体"/>
                <w:sz w:val="24"/>
              </w:rPr>
            </w:pPr>
            <w:r>
              <w:rPr>
                <w:rFonts w:hint="eastAsia" w:ascii="黑体" w:hAnsi="黑体" w:eastAsia="黑体" w:cs="黑体"/>
                <w:sz w:val="24"/>
              </w:rPr>
              <w:t>单  位</w:t>
            </w:r>
          </w:p>
        </w:tc>
        <w:tc>
          <w:tcPr>
            <w:tcW w:w="1314" w:type="dxa"/>
            <w:vAlign w:val="center"/>
          </w:tcPr>
          <w:p>
            <w:pPr>
              <w:spacing w:line="240" w:lineRule="exact"/>
              <w:contextualSpacing/>
              <w:jc w:val="center"/>
              <w:rPr>
                <w:rFonts w:ascii="黑体" w:hAnsi="黑体" w:eastAsia="黑体" w:cs="黑体"/>
                <w:sz w:val="24"/>
              </w:rPr>
            </w:pPr>
            <w:r>
              <w:rPr>
                <w:rFonts w:hint="eastAsia" w:ascii="黑体" w:hAnsi="黑体" w:eastAsia="黑体" w:cs="黑体"/>
                <w:sz w:val="24"/>
              </w:rPr>
              <w:t>2020年</w:t>
            </w:r>
          </w:p>
        </w:tc>
        <w:tc>
          <w:tcPr>
            <w:tcW w:w="1303" w:type="dxa"/>
            <w:vAlign w:val="center"/>
          </w:tcPr>
          <w:p>
            <w:pPr>
              <w:spacing w:line="240" w:lineRule="exact"/>
              <w:contextualSpacing/>
              <w:jc w:val="center"/>
              <w:rPr>
                <w:rFonts w:ascii="黑体" w:hAnsi="黑体" w:eastAsia="黑体" w:cs="黑体"/>
                <w:sz w:val="24"/>
              </w:rPr>
            </w:pPr>
            <w:r>
              <w:rPr>
                <w:rFonts w:hint="eastAsia" w:ascii="黑体" w:hAnsi="黑体" w:eastAsia="黑体" w:cs="黑体"/>
                <w:sz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2" w:type="dxa"/>
            <w:vMerge w:val="restart"/>
            <w:vAlign w:val="center"/>
          </w:tcPr>
          <w:p>
            <w:pPr>
              <w:spacing w:line="240" w:lineRule="exact"/>
              <w:contextualSpacing/>
              <w:jc w:val="center"/>
              <w:rPr>
                <w:rFonts w:ascii="仿宋_GB2312" w:hAnsi="仿宋_GB2312" w:cs="仿宋_GB2312"/>
                <w:bCs/>
                <w:sz w:val="24"/>
              </w:rPr>
            </w:pPr>
            <w:r>
              <w:rPr>
                <w:rFonts w:hint="eastAsia" w:ascii="仿宋_GB2312" w:hAnsi="仿宋_GB2312" w:cs="仿宋_GB2312"/>
                <w:bCs/>
                <w:sz w:val="24"/>
              </w:rPr>
              <w:t>数字产业化</w:t>
            </w:r>
          </w:p>
        </w:tc>
        <w:tc>
          <w:tcPr>
            <w:tcW w:w="4147" w:type="dxa"/>
            <w:vAlign w:val="center"/>
          </w:tcPr>
          <w:p>
            <w:pPr>
              <w:spacing w:line="240" w:lineRule="exact"/>
              <w:contextualSpacing/>
              <w:rPr>
                <w:rFonts w:ascii="仿宋_GB2312" w:hAnsi="仿宋_GB2312" w:cs="仿宋_GB2312"/>
                <w:sz w:val="24"/>
              </w:rPr>
            </w:pPr>
            <w:r>
              <w:rPr>
                <w:rFonts w:hint="eastAsia" w:ascii="仿宋_GB2312" w:hAnsi="仿宋_GB2312" w:cs="仿宋_GB2312"/>
                <w:sz w:val="24"/>
              </w:rPr>
              <w:t>数字经济核心产业增加值占GDP比重</w:t>
            </w:r>
          </w:p>
        </w:tc>
        <w:tc>
          <w:tcPr>
            <w:tcW w:w="1034" w:type="dxa"/>
            <w:vAlign w:val="center"/>
          </w:tcPr>
          <w:p>
            <w:pPr>
              <w:spacing w:line="240" w:lineRule="exact"/>
              <w:ind w:firstLine="240" w:firstLineChars="100"/>
              <w:contextualSpacing/>
              <w:rPr>
                <w:rFonts w:ascii="仿宋_GB2312" w:hAnsi="仿宋_GB2312" w:cs="仿宋_GB2312"/>
                <w:sz w:val="24"/>
              </w:rPr>
            </w:pPr>
            <w:r>
              <w:rPr>
                <w:rFonts w:hint="eastAsia" w:ascii="仿宋_GB2312" w:hAnsi="仿宋_GB2312" w:cs="仿宋_GB2312"/>
                <w:sz w:val="24"/>
              </w:rPr>
              <w:t>%</w:t>
            </w:r>
          </w:p>
        </w:tc>
        <w:tc>
          <w:tcPr>
            <w:tcW w:w="1314"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2</w:t>
            </w:r>
          </w:p>
        </w:tc>
        <w:tc>
          <w:tcPr>
            <w:tcW w:w="1303"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2" w:type="dxa"/>
            <w:vMerge w:val="continue"/>
            <w:vAlign w:val="center"/>
          </w:tcPr>
          <w:p>
            <w:pPr>
              <w:spacing w:line="240" w:lineRule="exact"/>
              <w:contextualSpacing/>
              <w:jc w:val="center"/>
              <w:rPr>
                <w:rFonts w:ascii="仿宋_GB2312" w:hAnsi="仿宋_GB2312" w:cs="仿宋_GB2312"/>
                <w:bCs/>
                <w:sz w:val="24"/>
              </w:rPr>
            </w:pPr>
          </w:p>
        </w:tc>
        <w:tc>
          <w:tcPr>
            <w:tcW w:w="4147" w:type="dxa"/>
            <w:vAlign w:val="center"/>
          </w:tcPr>
          <w:p>
            <w:pPr>
              <w:spacing w:line="240" w:lineRule="exact"/>
              <w:contextualSpacing/>
              <w:jc w:val="distribute"/>
              <w:rPr>
                <w:rFonts w:ascii="仿宋_GB2312" w:hAnsi="仿宋_GB2312" w:cs="仿宋_GB2312"/>
                <w:sz w:val="24"/>
              </w:rPr>
            </w:pPr>
            <w:r>
              <w:rPr>
                <w:rFonts w:hint="eastAsia" w:ascii="仿宋_GB2312" w:hAnsi="仿宋_GB2312" w:cs="仿宋_GB2312"/>
                <w:spacing w:val="-20"/>
                <w:sz w:val="24"/>
              </w:rPr>
              <w:t>规模以上电子信息制造业主营业务收入</w:t>
            </w:r>
          </w:p>
        </w:tc>
        <w:tc>
          <w:tcPr>
            <w:tcW w:w="1034" w:type="dxa"/>
            <w:vAlign w:val="center"/>
          </w:tcPr>
          <w:p>
            <w:pPr>
              <w:spacing w:line="240" w:lineRule="exact"/>
              <w:ind w:firstLine="240" w:firstLineChars="100"/>
              <w:contextualSpacing/>
              <w:rPr>
                <w:rFonts w:ascii="仿宋_GB2312" w:hAnsi="仿宋_GB2312" w:cs="仿宋_GB2312"/>
                <w:sz w:val="24"/>
              </w:rPr>
            </w:pPr>
            <w:r>
              <w:rPr>
                <w:rFonts w:hint="eastAsia" w:ascii="仿宋_GB2312" w:hAnsi="仿宋_GB2312" w:cs="仿宋_GB2312"/>
                <w:sz w:val="24"/>
              </w:rPr>
              <w:t>亿元</w:t>
            </w:r>
          </w:p>
        </w:tc>
        <w:tc>
          <w:tcPr>
            <w:tcW w:w="1314" w:type="dxa"/>
            <w:vAlign w:val="center"/>
          </w:tcPr>
          <w:p>
            <w:pPr>
              <w:spacing w:line="240" w:lineRule="exact"/>
              <w:ind w:firstLine="240" w:firstLineChars="100"/>
              <w:contextualSpacing/>
              <w:jc w:val="center"/>
              <w:rPr>
                <w:rFonts w:ascii="仿宋_GB2312" w:hAnsi="仿宋_GB2312" w:cs="仿宋_GB2312"/>
                <w:sz w:val="24"/>
              </w:rPr>
            </w:pPr>
            <w:r>
              <w:rPr>
                <w:rFonts w:ascii="仿宋_GB2312" w:hAnsi="仿宋_GB2312" w:cs="仿宋_GB2312"/>
                <w:sz w:val="24"/>
                <w:lang w:val="en"/>
              </w:rPr>
              <w:t>200</w:t>
            </w:r>
          </w:p>
        </w:tc>
        <w:tc>
          <w:tcPr>
            <w:tcW w:w="1303" w:type="dxa"/>
            <w:vAlign w:val="center"/>
          </w:tcPr>
          <w:p>
            <w:pPr>
              <w:spacing w:line="240" w:lineRule="exact"/>
              <w:ind w:firstLine="240" w:firstLineChars="100"/>
              <w:contextualSpacing/>
              <w:jc w:val="center"/>
              <w:rPr>
                <w:rFonts w:ascii="仿宋_GB2312" w:hAnsi="仿宋_GB2312" w:cs="仿宋_GB2312"/>
                <w:sz w:val="24"/>
              </w:rPr>
            </w:pPr>
            <w:r>
              <w:rPr>
                <w:rFonts w:ascii="仿宋_GB2312" w:hAnsi="仿宋_GB2312" w:cs="仿宋_GB2312"/>
                <w:sz w:val="24"/>
                <w:lang w:val="e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2" w:type="dxa"/>
            <w:vMerge w:val="continue"/>
            <w:vAlign w:val="center"/>
          </w:tcPr>
          <w:p>
            <w:pPr>
              <w:spacing w:line="240" w:lineRule="exact"/>
              <w:contextualSpacing/>
              <w:jc w:val="center"/>
              <w:rPr>
                <w:rFonts w:ascii="仿宋_GB2312" w:hAnsi="仿宋_GB2312" w:cs="仿宋_GB2312"/>
                <w:bCs/>
                <w:sz w:val="24"/>
              </w:rPr>
            </w:pPr>
          </w:p>
        </w:tc>
        <w:tc>
          <w:tcPr>
            <w:tcW w:w="4147" w:type="dxa"/>
            <w:vAlign w:val="center"/>
          </w:tcPr>
          <w:p>
            <w:pPr>
              <w:spacing w:line="240" w:lineRule="exact"/>
              <w:contextualSpacing/>
              <w:rPr>
                <w:rFonts w:ascii="仿宋_GB2312" w:hAnsi="仿宋_GB2312" w:cs="仿宋_GB2312"/>
                <w:sz w:val="24"/>
              </w:rPr>
            </w:pPr>
            <w:r>
              <w:rPr>
                <w:rFonts w:hint="eastAsia" w:ascii="仿宋_GB2312" w:hAnsi="仿宋_GB2312" w:cs="仿宋_GB2312"/>
                <w:sz w:val="24"/>
              </w:rPr>
              <w:t>软件和信息服务业主营业务收入</w:t>
            </w:r>
          </w:p>
        </w:tc>
        <w:tc>
          <w:tcPr>
            <w:tcW w:w="1034" w:type="dxa"/>
            <w:vAlign w:val="center"/>
          </w:tcPr>
          <w:p>
            <w:pPr>
              <w:spacing w:line="240" w:lineRule="exact"/>
              <w:ind w:firstLine="240" w:firstLineChars="100"/>
              <w:contextualSpacing/>
              <w:rPr>
                <w:rFonts w:ascii="仿宋_GB2312" w:hAnsi="仿宋_GB2312" w:cs="仿宋_GB2312"/>
                <w:sz w:val="24"/>
              </w:rPr>
            </w:pPr>
            <w:r>
              <w:rPr>
                <w:rFonts w:hint="eastAsia" w:ascii="仿宋_GB2312" w:hAnsi="仿宋_GB2312" w:cs="仿宋_GB2312"/>
                <w:sz w:val="24"/>
              </w:rPr>
              <w:t>亿元</w:t>
            </w:r>
          </w:p>
        </w:tc>
        <w:tc>
          <w:tcPr>
            <w:tcW w:w="1314"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10</w:t>
            </w:r>
          </w:p>
        </w:tc>
        <w:tc>
          <w:tcPr>
            <w:tcW w:w="1303"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2" w:type="dxa"/>
            <w:vMerge w:val="restart"/>
            <w:vAlign w:val="center"/>
          </w:tcPr>
          <w:p>
            <w:pPr>
              <w:spacing w:line="240" w:lineRule="exact"/>
              <w:contextualSpacing/>
              <w:jc w:val="center"/>
              <w:rPr>
                <w:rFonts w:ascii="仿宋_GB2312" w:hAnsi="仿宋_GB2312" w:cs="仿宋_GB2312"/>
                <w:bCs/>
                <w:sz w:val="24"/>
              </w:rPr>
            </w:pPr>
            <w:r>
              <w:rPr>
                <w:rFonts w:hint="eastAsia" w:ascii="仿宋_GB2312" w:hAnsi="仿宋_GB2312" w:cs="仿宋_GB2312"/>
                <w:bCs/>
                <w:sz w:val="24"/>
              </w:rPr>
              <w:t>产业数字化</w:t>
            </w:r>
          </w:p>
        </w:tc>
        <w:tc>
          <w:tcPr>
            <w:tcW w:w="4147" w:type="dxa"/>
            <w:vAlign w:val="center"/>
          </w:tcPr>
          <w:p>
            <w:pPr>
              <w:spacing w:line="240" w:lineRule="exact"/>
              <w:contextualSpacing/>
              <w:rPr>
                <w:rFonts w:ascii="仿宋_GB2312" w:hAnsi="仿宋_GB2312" w:cs="仿宋_GB2312"/>
                <w:sz w:val="24"/>
              </w:rPr>
            </w:pPr>
            <w:r>
              <w:rPr>
                <w:rFonts w:hint="eastAsia" w:ascii="仿宋_GB2312" w:hAnsi="仿宋_GB2312" w:cs="仿宋_GB2312"/>
                <w:sz w:val="24"/>
              </w:rPr>
              <w:t>产业数字化增加值</w:t>
            </w:r>
          </w:p>
        </w:tc>
        <w:tc>
          <w:tcPr>
            <w:tcW w:w="1034" w:type="dxa"/>
            <w:vAlign w:val="center"/>
          </w:tcPr>
          <w:p>
            <w:pPr>
              <w:spacing w:line="240" w:lineRule="exact"/>
              <w:ind w:firstLine="240" w:firstLineChars="100"/>
              <w:contextualSpacing/>
              <w:rPr>
                <w:rFonts w:ascii="仿宋_GB2312" w:hAnsi="仿宋_GB2312" w:cs="仿宋_GB2312"/>
                <w:sz w:val="24"/>
              </w:rPr>
            </w:pPr>
            <w:r>
              <w:rPr>
                <w:rFonts w:hint="eastAsia" w:ascii="仿宋_GB2312" w:hAnsi="仿宋_GB2312" w:cs="仿宋_GB2312"/>
                <w:sz w:val="24"/>
              </w:rPr>
              <w:t>亿元</w:t>
            </w:r>
          </w:p>
        </w:tc>
        <w:tc>
          <w:tcPr>
            <w:tcW w:w="1314"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620</w:t>
            </w:r>
          </w:p>
        </w:tc>
        <w:tc>
          <w:tcPr>
            <w:tcW w:w="1303" w:type="dxa"/>
            <w:vAlign w:val="center"/>
          </w:tcPr>
          <w:p>
            <w:pPr>
              <w:spacing w:line="240" w:lineRule="exact"/>
              <w:ind w:firstLine="240" w:firstLineChars="100"/>
              <w:contextualSpacing/>
              <w:jc w:val="center"/>
              <w:rPr>
                <w:rFonts w:ascii="仿宋_GB2312" w:hAnsi="仿宋_GB2312" w:cs="仿宋_GB2312"/>
                <w:sz w:val="24"/>
              </w:rPr>
            </w:pPr>
            <w:r>
              <w:rPr>
                <w:rFonts w:ascii="仿宋_GB2312" w:hAnsi="仿宋_GB2312" w:cs="仿宋_GB2312"/>
                <w:sz w:val="24"/>
                <w:lang w:val="e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2" w:type="dxa"/>
            <w:vMerge w:val="continue"/>
            <w:vAlign w:val="center"/>
          </w:tcPr>
          <w:p>
            <w:pPr>
              <w:spacing w:line="240" w:lineRule="exact"/>
              <w:contextualSpacing/>
              <w:jc w:val="center"/>
              <w:rPr>
                <w:rFonts w:ascii="仿宋_GB2312" w:hAnsi="仿宋_GB2312" w:cs="仿宋_GB2312"/>
                <w:bCs/>
                <w:sz w:val="24"/>
              </w:rPr>
            </w:pPr>
          </w:p>
        </w:tc>
        <w:tc>
          <w:tcPr>
            <w:tcW w:w="4147" w:type="dxa"/>
            <w:vAlign w:val="center"/>
          </w:tcPr>
          <w:p>
            <w:pPr>
              <w:spacing w:line="240" w:lineRule="exact"/>
              <w:contextualSpacing/>
              <w:rPr>
                <w:rFonts w:ascii="仿宋_GB2312" w:hAnsi="仿宋_GB2312" w:cs="仿宋_GB2312"/>
                <w:sz w:val="24"/>
              </w:rPr>
            </w:pPr>
            <w:r>
              <w:rPr>
                <w:rFonts w:hint="eastAsia" w:ascii="仿宋_GB2312" w:hAnsi="仿宋_GB2312" w:cs="仿宋_GB2312"/>
                <w:sz w:val="24"/>
              </w:rPr>
              <w:t>上云企业数量</w:t>
            </w:r>
          </w:p>
        </w:tc>
        <w:tc>
          <w:tcPr>
            <w:tcW w:w="1034" w:type="dxa"/>
            <w:vAlign w:val="center"/>
          </w:tcPr>
          <w:p>
            <w:pPr>
              <w:spacing w:line="240" w:lineRule="exact"/>
              <w:ind w:firstLine="240" w:firstLineChars="100"/>
              <w:contextualSpacing/>
              <w:rPr>
                <w:rFonts w:ascii="仿宋_GB2312" w:hAnsi="仿宋_GB2312" w:cs="仿宋_GB2312"/>
                <w:sz w:val="24"/>
              </w:rPr>
            </w:pPr>
            <w:r>
              <w:rPr>
                <w:rFonts w:hint="eastAsia" w:ascii="仿宋_GB2312" w:hAnsi="仿宋_GB2312" w:cs="仿宋_GB2312"/>
                <w:sz w:val="24"/>
              </w:rPr>
              <w:t>家</w:t>
            </w:r>
          </w:p>
        </w:tc>
        <w:tc>
          <w:tcPr>
            <w:tcW w:w="1314"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3500</w:t>
            </w:r>
          </w:p>
        </w:tc>
        <w:tc>
          <w:tcPr>
            <w:tcW w:w="1303"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2" w:type="dxa"/>
            <w:vMerge w:val="continue"/>
            <w:vAlign w:val="center"/>
          </w:tcPr>
          <w:p>
            <w:pPr>
              <w:spacing w:line="240" w:lineRule="exact"/>
              <w:contextualSpacing/>
              <w:jc w:val="center"/>
              <w:rPr>
                <w:rFonts w:ascii="仿宋_GB2312" w:hAnsi="仿宋_GB2312" w:cs="仿宋_GB2312"/>
                <w:bCs/>
                <w:sz w:val="24"/>
              </w:rPr>
            </w:pPr>
          </w:p>
        </w:tc>
        <w:tc>
          <w:tcPr>
            <w:tcW w:w="4147" w:type="dxa"/>
            <w:vAlign w:val="center"/>
          </w:tcPr>
          <w:p>
            <w:pPr>
              <w:spacing w:line="240" w:lineRule="exact"/>
              <w:contextualSpacing/>
              <w:rPr>
                <w:rFonts w:ascii="仿宋_GB2312" w:hAnsi="仿宋_GB2312" w:cs="仿宋_GB2312"/>
                <w:sz w:val="24"/>
              </w:rPr>
            </w:pPr>
            <w:r>
              <w:rPr>
                <w:rFonts w:hint="eastAsia" w:ascii="仿宋_GB2312" w:hAnsi="仿宋_GB2312" w:cs="仿宋_GB2312"/>
                <w:sz w:val="24"/>
              </w:rPr>
              <w:t>两化融合发展指数</w:t>
            </w:r>
          </w:p>
        </w:tc>
        <w:tc>
          <w:tcPr>
            <w:tcW w:w="1034" w:type="dxa"/>
            <w:vAlign w:val="center"/>
          </w:tcPr>
          <w:p>
            <w:pPr>
              <w:spacing w:line="240" w:lineRule="exact"/>
              <w:ind w:firstLine="240" w:firstLineChars="100"/>
              <w:contextualSpacing/>
              <w:rPr>
                <w:rFonts w:ascii="仿宋_GB2312" w:hAnsi="仿宋_GB2312" w:cs="仿宋_GB2312"/>
                <w:sz w:val="24"/>
              </w:rPr>
            </w:pPr>
            <w:r>
              <w:rPr>
                <w:rFonts w:hint="eastAsia" w:ascii="仿宋_GB2312" w:hAnsi="仿宋_GB2312" w:cs="仿宋_GB2312"/>
                <w:sz w:val="24"/>
              </w:rPr>
              <w:t>--</w:t>
            </w:r>
          </w:p>
        </w:tc>
        <w:tc>
          <w:tcPr>
            <w:tcW w:w="1314"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53</w:t>
            </w:r>
          </w:p>
        </w:tc>
        <w:tc>
          <w:tcPr>
            <w:tcW w:w="1303" w:type="dxa"/>
            <w:vAlign w:val="center"/>
          </w:tcPr>
          <w:p>
            <w:pPr>
              <w:spacing w:line="240" w:lineRule="exact"/>
              <w:ind w:firstLine="210" w:firstLineChars="100"/>
              <w:contextualSpacing/>
              <w:jc w:val="center"/>
              <w:rPr>
                <w:rFonts w:ascii="仿宋_GB2312" w:hAnsi="仿宋_GB2312" w:cs="仿宋_GB2312"/>
                <w:sz w:val="24"/>
              </w:rPr>
            </w:pPr>
            <w:r>
              <w:rPr>
                <w:rFonts w:hint="eastAsia" w:ascii="仿宋_GB2312" w:hAnsi="仿宋_GB2312" w:cs="仿宋_GB2312"/>
                <w:sz w:val="21"/>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2" w:type="dxa"/>
            <w:vMerge w:val="continue"/>
            <w:vAlign w:val="center"/>
          </w:tcPr>
          <w:p>
            <w:pPr>
              <w:spacing w:line="240" w:lineRule="exact"/>
              <w:contextualSpacing/>
              <w:jc w:val="center"/>
              <w:rPr>
                <w:rFonts w:ascii="仿宋_GB2312" w:hAnsi="仿宋_GB2312" w:cs="仿宋_GB2312"/>
                <w:bCs/>
                <w:sz w:val="24"/>
              </w:rPr>
            </w:pPr>
          </w:p>
        </w:tc>
        <w:tc>
          <w:tcPr>
            <w:tcW w:w="4147" w:type="dxa"/>
            <w:vAlign w:val="center"/>
          </w:tcPr>
          <w:p>
            <w:pPr>
              <w:spacing w:line="240" w:lineRule="exact"/>
              <w:contextualSpacing/>
              <w:rPr>
                <w:rFonts w:ascii="仿宋_GB2312" w:hAnsi="仿宋_GB2312" w:cs="仿宋_GB2312"/>
                <w:sz w:val="24"/>
              </w:rPr>
            </w:pPr>
            <w:r>
              <w:rPr>
                <w:rFonts w:hint="eastAsia" w:ascii="仿宋_GB2312" w:hAnsi="仿宋_GB2312" w:cs="仿宋_GB2312"/>
                <w:sz w:val="24"/>
              </w:rPr>
              <w:t>规模以上工业企业生产设备数字化率</w:t>
            </w:r>
          </w:p>
        </w:tc>
        <w:tc>
          <w:tcPr>
            <w:tcW w:w="1034" w:type="dxa"/>
            <w:vAlign w:val="center"/>
          </w:tcPr>
          <w:p>
            <w:pPr>
              <w:spacing w:line="240" w:lineRule="exact"/>
              <w:ind w:firstLine="240" w:firstLineChars="100"/>
              <w:contextualSpacing/>
              <w:rPr>
                <w:rFonts w:ascii="仿宋_GB2312" w:hAnsi="仿宋_GB2312" w:cs="仿宋_GB2312"/>
                <w:sz w:val="24"/>
              </w:rPr>
            </w:pPr>
            <w:r>
              <w:rPr>
                <w:rFonts w:hint="eastAsia" w:ascii="仿宋_GB2312" w:hAnsi="仿宋_GB2312" w:cs="仿宋_GB2312"/>
                <w:sz w:val="24"/>
              </w:rPr>
              <w:t>%</w:t>
            </w:r>
          </w:p>
        </w:tc>
        <w:tc>
          <w:tcPr>
            <w:tcW w:w="1314"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40</w:t>
            </w:r>
          </w:p>
        </w:tc>
        <w:tc>
          <w:tcPr>
            <w:tcW w:w="1303"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2" w:type="dxa"/>
            <w:vMerge w:val="continue"/>
            <w:vAlign w:val="center"/>
          </w:tcPr>
          <w:p>
            <w:pPr>
              <w:spacing w:line="240" w:lineRule="exact"/>
              <w:contextualSpacing/>
              <w:jc w:val="center"/>
              <w:rPr>
                <w:rFonts w:ascii="仿宋_GB2312" w:hAnsi="仿宋_GB2312" w:cs="仿宋_GB2312"/>
                <w:bCs/>
                <w:sz w:val="24"/>
              </w:rPr>
            </w:pPr>
          </w:p>
        </w:tc>
        <w:tc>
          <w:tcPr>
            <w:tcW w:w="4147" w:type="dxa"/>
            <w:vAlign w:val="center"/>
          </w:tcPr>
          <w:p>
            <w:pPr>
              <w:spacing w:line="240" w:lineRule="exact"/>
              <w:contextualSpacing/>
              <w:rPr>
                <w:rFonts w:ascii="仿宋_GB2312" w:hAnsi="仿宋_GB2312" w:cs="仿宋_GB2312"/>
                <w:sz w:val="24"/>
              </w:rPr>
            </w:pPr>
            <w:r>
              <w:rPr>
                <w:rFonts w:hint="eastAsia" w:ascii="仿宋_GB2312" w:hAnsi="仿宋_GB2312" w:cs="仿宋_GB2312"/>
                <w:sz w:val="24"/>
              </w:rPr>
              <w:t>规模以上工业企业关键工序数控化率</w:t>
            </w:r>
          </w:p>
        </w:tc>
        <w:tc>
          <w:tcPr>
            <w:tcW w:w="1034" w:type="dxa"/>
            <w:vAlign w:val="center"/>
          </w:tcPr>
          <w:p>
            <w:pPr>
              <w:spacing w:line="240" w:lineRule="exact"/>
              <w:ind w:firstLine="240" w:firstLineChars="100"/>
              <w:contextualSpacing/>
              <w:rPr>
                <w:rFonts w:ascii="仿宋_GB2312" w:hAnsi="仿宋_GB2312" w:cs="仿宋_GB2312"/>
                <w:sz w:val="24"/>
              </w:rPr>
            </w:pPr>
            <w:r>
              <w:rPr>
                <w:rFonts w:hint="eastAsia" w:ascii="仿宋_GB2312" w:hAnsi="仿宋_GB2312" w:cs="仿宋_GB2312"/>
                <w:sz w:val="24"/>
              </w:rPr>
              <w:t>%</w:t>
            </w:r>
          </w:p>
        </w:tc>
        <w:tc>
          <w:tcPr>
            <w:tcW w:w="1314"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45</w:t>
            </w:r>
          </w:p>
        </w:tc>
        <w:tc>
          <w:tcPr>
            <w:tcW w:w="1303" w:type="dxa"/>
            <w:vAlign w:val="center"/>
          </w:tcPr>
          <w:p>
            <w:pPr>
              <w:spacing w:line="240" w:lineRule="exact"/>
              <w:ind w:firstLine="210" w:firstLineChars="100"/>
              <w:contextualSpacing/>
              <w:jc w:val="center"/>
              <w:rPr>
                <w:rFonts w:ascii="仿宋_GB2312" w:hAnsi="仿宋_GB2312" w:cs="仿宋_GB2312"/>
                <w:sz w:val="24"/>
              </w:rPr>
            </w:pPr>
            <w:r>
              <w:rPr>
                <w:rFonts w:hint="eastAsia" w:ascii="仿宋_GB2312" w:hAnsi="仿宋_GB2312" w:cs="仿宋_GB2312"/>
                <w:sz w:val="21"/>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2" w:type="dxa"/>
            <w:vMerge w:val="continue"/>
            <w:vAlign w:val="center"/>
          </w:tcPr>
          <w:p>
            <w:pPr>
              <w:spacing w:line="240" w:lineRule="exact"/>
              <w:contextualSpacing/>
              <w:jc w:val="center"/>
              <w:rPr>
                <w:rFonts w:ascii="仿宋_GB2312" w:hAnsi="仿宋_GB2312" w:cs="仿宋_GB2312"/>
                <w:bCs/>
                <w:sz w:val="24"/>
              </w:rPr>
            </w:pPr>
          </w:p>
        </w:tc>
        <w:tc>
          <w:tcPr>
            <w:tcW w:w="4147" w:type="dxa"/>
            <w:vAlign w:val="center"/>
          </w:tcPr>
          <w:p>
            <w:pPr>
              <w:spacing w:line="240" w:lineRule="exact"/>
              <w:contextualSpacing/>
              <w:rPr>
                <w:rFonts w:ascii="仿宋_GB2312" w:hAnsi="仿宋_GB2312" w:cs="仿宋_GB2312"/>
                <w:sz w:val="24"/>
              </w:rPr>
            </w:pPr>
            <w:r>
              <w:rPr>
                <w:rFonts w:hint="eastAsia" w:ascii="仿宋_GB2312" w:hAnsi="仿宋_GB2312" w:cs="仿宋_GB2312"/>
                <w:sz w:val="24"/>
              </w:rPr>
              <w:t>电子商务交易额</w:t>
            </w:r>
          </w:p>
        </w:tc>
        <w:tc>
          <w:tcPr>
            <w:tcW w:w="1034" w:type="dxa"/>
            <w:vAlign w:val="center"/>
          </w:tcPr>
          <w:p>
            <w:pPr>
              <w:spacing w:line="240" w:lineRule="exact"/>
              <w:ind w:firstLine="240" w:firstLineChars="100"/>
              <w:contextualSpacing/>
              <w:rPr>
                <w:rFonts w:ascii="仿宋_GB2312" w:hAnsi="仿宋_GB2312" w:cs="仿宋_GB2312"/>
                <w:sz w:val="24"/>
              </w:rPr>
            </w:pPr>
            <w:r>
              <w:rPr>
                <w:rFonts w:hint="eastAsia" w:ascii="仿宋_GB2312" w:hAnsi="仿宋_GB2312" w:cs="仿宋_GB2312"/>
                <w:sz w:val="24"/>
              </w:rPr>
              <w:t>亿元</w:t>
            </w:r>
          </w:p>
        </w:tc>
        <w:tc>
          <w:tcPr>
            <w:tcW w:w="1314"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2336.9</w:t>
            </w:r>
          </w:p>
        </w:tc>
        <w:tc>
          <w:tcPr>
            <w:tcW w:w="1303"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2" w:type="dxa"/>
            <w:vMerge w:val="restart"/>
            <w:vAlign w:val="center"/>
          </w:tcPr>
          <w:p>
            <w:pPr>
              <w:spacing w:line="240" w:lineRule="exact"/>
              <w:contextualSpacing/>
              <w:jc w:val="center"/>
              <w:rPr>
                <w:rFonts w:ascii="仿宋_GB2312" w:hAnsi="仿宋_GB2312" w:cs="仿宋_GB2312"/>
                <w:bCs/>
                <w:sz w:val="24"/>
              </w:rPr>
            </w:pPr>
            <w:r>
              <w:rPr>
                <w:rFonts w:hint="eastAsia" w:ascii="仿宋_GB2312" w:hAnsi="仿宋_GB2312" w:cs="仿宋_GB2312"/>
                <w:bCs/>
                <w:sz w:val="24"/>
              </w:rPr>
              <w:t>治理数字化</w:t>
            </w:r>
          </w:p>
        </w:tc>
        <w:tc>
          <w:tcPr>
            <w:tcW w:w="4147" w:type="dxa"/>
            <w:vAlign w:val="center"/>
          </w:tcPr>
          <w:p>
            <w:pPr>
              <w:spacing w:line="240" w:lineRule="exact"/>
              <w:contextualSpacing/>
              <w:rPr>
                <w:rFonts w:ascii="仿宋_GB2312" w:hAnsi="仿宋_GB2312" w:cs="仿宋_GB2312"/>
                <w:sz w:val="24"/>
              </w:rPr>
            </w:pPr>
            <w:r>
              <w:rPr>
                <w:rFonts w:hint="eastAsia" w:ascii="仿宋_GB2312" w:hAnsi="仿宋_GB2312" w:cs="仿宋_GB2312"/>
                <w:sz w:val="24"/>
              </w:rPr>
              <w:t>“宛快办”注册用户数</w:t>
            </w:r>
          </w:p>
        </w:tc>
        <w:tc>
          <w:tcPr>
            <w:tcW w:w="1034" w:type="dxa"/>
            <w:vAlign w:val="center"/>
          </w:tcPr>
          <w:p>
            <w:pPr>
              <w:spacing w:line="240" w:lineRule="exact"/>
              <w:ind w:firstLine="240" w:firstLineChars="100"/>
              <w:contextualSpacing/>
              <w:rPr>
                <w:rFonts w:ascii="仿宋_GB2312" w:hAnsi="仿宋_GB2312" w:cs="仿宋_GB2312"/>
                <w:sz w:val="24"/>
              </w:rPr>
            </w:pPr>
            <w:r>
              <w:rPr>
                <w:rFonts w:hint="eastAsia" w:ascii="仿宋_GB2312" w:hAnsi="仿宋_GB2312" w:cs="仿宋_GB2312"/>
                <w:sz w:val="24"/>
              </w:rPr>
              <w:t>万户</w:t>
            </w:r>
          </w:p>
        </w:tc>
        <w:tc>
          <w:tcPr>
            <w:tcW w:w="1314"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300.72</w:t>
            </w:r>
          </w:p>
        </w:tc>
        <w:tc>
          <w:tcPr>
            <w:tcW w:w="1303"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2" w:type="dxa"/>
            <w:vMerge w:val="continue"/>
            <w:vAlign w:val="center"/>
          </w:tcPr>
          <w:p>
            <w:pPr>
              <w:spacing w:line="240" w:lineRule="exact"/>
              <w:contextualSpacing/>
              <w:jc w:val="center"/>
              <w:rPr>
                <w:rFonts w:ascii="仿宋_GB2312" w:hAnsi="仿宋_GB2312" w:cs="仿宋_GB2312"/>
                <w:bCs/>
                <w:sz w:val="24"/>
              </w:rPr>
            </w:pPr>
          </w:p>
        </w:tc>
        <w:tc>
          <w:tcPr>
            <w:tcW w:w="4147" w:type="dxa"/>
            <w:vAlign w:val="center"/>
          </w:tcPr>
          <w:p>
            <w:pPr>
              <w:spacing w:line="240" w:lineRule="exact"/>
              <w:contextualSpacing/>
              <w:rPr>
                <w:rFonts w:ascii="仿宋_GB2312" w:hAnsi="仿宋_GB2312" w:cs="仿宋_GB2312"/>
                <w:sz w:val="24"/>
              </w:rPr>
            </w:pPr>
            <w:r>
              <w:rPr>
                <w:rFonts w:hint="eastAsia" w:ascii="仿宋_GB2312" w:hAnsi="仿宋_GB2312" w:cs="仿宋_GB2312"/>
                <w:sz w:val="24"/>
              </w:rPr>
              <w:t>依申请政务服务办件“一网通办”率</w:t>
            </w:r>
          </w:p>
        </w:tc>
        <w:tc>
          <w:tcPr>
            <w:tcW w:w="1034" w:type="dxa"/>
            <w:vAlign w:val="center"/>
          </w:tcPr>
          <w:p>
            <w:pPr>
              <w:spacing w:line="240" w:lineRule="exact"/>
              <w:ind w:firstLine="240" w:firstLineChars="100"/>
              <w:contextualSpacing/>
              <w:rPr>
                <w:rFonts w:ascii="仿宋_GB2312" w:hAnsi="仿宋_GB2312" w:cs="仿宋_GB2312"/>
                <w:sz w:val="24"/>
              </w:rPr>
            </w:pPr>
            <w:r>
              <w:rPr>
                <w:rFonts w:hint="eastAsia" w:ascii="仿宋_GB2312" w:hAnsi="仿宋_GB2312" w:cs="仿宋_GB2312"/>
                <w:sz w:val="24"/>
              </w:rPr>
              <w:t>%</w:t>
            </w:r>
          </w:p>
        </w:tc>
        <w:tc>
          <w:tcPr>
            <w:tcW w:w="1314"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100</w:t>
            </w:r>
          </w:p>
        </w:tc>
        <w:tc>
          <w:tcPr>
            <w:tcW w:w="1303"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2" w:type="dxa"/>
            <w:vMerge w:val="continue"/>
            <w:vAlign w:val="center"/>
          </w:tcPr>
          <w:p>
            <w:pPr>
              <w:spacing w:line="240" w:lineRule="exact"/>
              <w:contextualSpacing/>
              <w:jc w:val="center"/>
              <w:rPr>
                <w:rFonts w:ascii="仿宋_GB2312" w:hAnsi="仿宋_GB2312" w:cs="仿宋_GB2312"/>
                <w:bCs/>
                <w:sz w:val="24"/>
              </w:rPr>
            </w:pPr>
          </w:p>
        </w:tc>
        <w:tc>
          <w:tcPr>
            <w:tcW w:w="4147" w:type="dxa"/>
            <w:vAlign w:val="center"/>
          </w:tcPr>
          <w:p>
            <w:pPr>
              <w:spacing w:line="240" w:lineRule="exact"/>
              <w:contextualSpacing/>
              <w:rPr>
                <w:rFonts w:ascii="仿宋_GB2312" w:hAnsi="仿宋_GB2312" w:cs="仿宋_GB2312"/>
                <w:sz w:val="24"/>
              </w:rPr>
            </w:pPr>
            <w:r>
              <w:rPr>
                <w:rFonts w:hint="eastAsia" w:ascii="仿宋_GB2312" w:hAnsi="仿宋_GB2312" w:cs="仿宋_GB2312"/>
                <w:sz w:val="24"/>
              </w:rPr>
              <w:t>“一网通管”事件办结率</w:t>
            </w:r>
          </w:p>
        </w:tc>
        <w:tc>
          <w:tcPr>
            <w:tcW w:w="1034" w:type="dxa"/>
            <w:vAlign w:val="center"/>
          </w:tcPr>
          <w:p>
            <w:pPr>
              <w:spacing w:line="240" w:lineRule="exact"/>
              <w:ind w:firstLine="240" w:firstLineChars="100"/>
              <w:contextualSpacing/>
              <w:rPr>
                <w:rFonts w:ascii="仿宋_GB2312" w:hAnsi="仿宋_GB2312" w:cs="仿宋_GB2312"/>
                <w:sz w:val="24"/>
              </w:rPr>
            </w:pPr>
            <w:r>
              <w:rPr>
                <w:rFonts w:hint="eastAsia" w:ascii="仿宋_GB2312" w:hAnsi="仿宋_GB2312" w:cs="仿宋_GB2312"/>
                <w:sz w:val="24"/>
              </w:rPr>
              <w:t>%</w:t>
            </w:r>
          </w:p>
        </w:tc>
        <w:tc>
          <w:tcPr>
            <w:tcW w:w="1314"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99.17</w:t>
            </w:r>
          </w:p>
        </w:tc>
        <w:tc>
          <w:tcPr>
            <w:tcW w:w="1303"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2" w:type="dxa"/>
            <w:vMerge w:val="continue"/>
            <w:vAlign w:val="center"/>
          </w:tcPr>
          <w:p>
            <w:pPr>
              <w:spacing w:line="240" w:lineRule="exact"/>
              <w:contextualSpacing/>
              <w:jc w:val="center"/>
              <w:rPr>
                <w:rFonts w:ascii="仿宋_GB2312" w:hAnsi="仿宋_GB2312" w:cs="仿宋_GB2312"/>
                <w:bCs/>
                <w:sz w:val="24"/>
              </w:rPr>
            </w:pPr>
          </w:p>
        </w:tc>
        <w:tc>
          <w:tcPr>
            <w:tcW w:w="4147" w:type="dxa"/>
            <w:vAlign w:val="center"/>
          </w:tcPr>
          <w:p>
            <w:pPr>
              <w:spacing w:line="240" w:lineRule="exact"/>
              <w:contextualSpacing/>
              <w:rPr>
                <w:rFonts w:ascii="仿宋_GB2312" w:hAnsi="仿宋_GB2312" w:cs="仿宋_GB2312"/>
                <w:sz w:val="24"/>
              </w:rPr>
            </w:pPr>
            <w:r>
              <w:rPr>
                <w:rFonts w:hint="eastAsia" w:ascii="仿宋_GB2312" w:hAnsi="仿宋_GB2312" w:cs="仿宋_GB2312"/>
                <w:sz w:val="24"/>
              </w:rPr>
              <w:t>公共数据归集率</w:t>
            </w:r>
          </w:p>
        </w:tc>
        <w:tc>
          <w:tcPr>
            <w:tcW w:w="1034" w:type="dxa"/>
            <w:vAlign w:val="center"/>
          </w:tcPr>
          <w:p>
            <w:pPr>
              <w:spacing w:line="240" w:lineRule="exact"/>
              <w:ind w:firstLine="240" w:firstLineChars="100"/>
              <w:contextualSpacing/>
              <w:rPr>
                <w:rFonts w:ascii="仿宋_GB2312" w:hAnsi="仿宋_GB2312" w:cs="仿宋_GB2312"/>
                <w:sz w:val="24"/>
              </w:rPr>
            </w:pPr>
            <w:r>
              <w:rPr>
                <w:rFonts w:hint="eastAsia" w:ascii="仿宋_GB2312" w:hAnsi="仿宋_GB2312" w:cs="仿宋_GB2312"/>
                <w:sz w:val="24"/>
              </w:rPr>
              <w:t>%</w:t>
            </w:r>
          </w:p>
        </w:tc>
        <w:tc>
          <w:tcPr>
            <w:tcW w:w="1314"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62.5</w:t>
            </w:r>
          </w:p>
        </w:tc>
        <w:tc>
          <w:tcPr>
            <w:tcW w:w="1303"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2" w:type="dxa"/>
            <w:vMerge w:val="restart"/>
            <w:vAlign w:val="center"/>
          </w:tcPr>
          <w:p>
            <w:pPr>
              <w:spacing w:line="240" w:lineRule="exact"/>
              <w:contextualSpacing/>
              <w:jc w:val="center"/>
              <w:rPr>
                <w:rFonts w:ascii="仿宋_GB2312" w:hAnsi="仿宋_GB2312" w:cs="仿宋_GB2312"/>
                <w:bCs/>
                <w:sz w:val="24"/>
              </w:rPr>
            </w:pPr>
            <w:r>
              <w:rPr>
                <w:rFonts w:hint="eastAsia" w:ascii="仿宋_GB2312" w:hAnsi="仿宋_GB2312" w:cs="仿宋_GB2312"/>
                <w:bCs/>
                <w:sz w:val="24"/>
              </w:rPr>
              <w:t>新型基础设施</w:t>
            </w:r>
          </w:p>
        </w:tc>
        <w:tc>
          <w:tcPr>
            <w:tcW w:w="4147" w:type="dxa"/>
            <w:vAlign w:val="center"/>
          </w:tcPr>
          <w:p>
            <w:pPr>
              <w:spacing w:line="240" w:lineRule="exact"/>
              <w:contextualSpacing/>
              <w:rPr>
                <w:rFonts w:ascii="仿宋_GB2312" w:hAnsi="仿宋_GB2312" w:cs="仿宋_GB2312"/>
                <w:sz w:val="24"/>
              </w:rPr>
            </w:pPr>
            <w:r>
              <w:rPr>
                <w:rFonts w:hint="eastAsia" w:ascii="仿宋_GB2312" w:hAnsi="仿宋_GB2312" w:cs="仿宋_GB2312"/>
                <w:sz w:val="24"/>
              </w:rPr>
              <w:t>5G用户普及率</w:t>
            </w:r>
          </w:p>
        </w:tc>
        <w:tc>
          <w:tcPr>
            <w:tcW w:w="1034" w:type="dxa"/>
            <w:vAlign w:val="center"/>
          </w:tcPr>
          <w:p>
            <w:pPr>
              <w:spacing w:line="240" w:lineRule="exact"/>
              <w:ind w:firstLine="240" w:firstLineChars="100"/>
              <w:contextualSpacing/>
              <w:rPr>
                <w:rFonts w:ascii="仿宋_GB2312" w:hAnsi="仿宋_GB2312" w:cs="仿宋_GB2312"/>
                <w:sz w:val="24"/>
              </w:rPr>
            </w:pPr>
            <w:r>
              <w:rPr>
                <w:rFonts w:hint="eastAsia" w:ascii="仿宋_GB2312" w:hAnsi="仿宋_GB2312" w:cs="仿宋_GB2312"/>
                <w:sz w:val="24"/>
              </w:rPr>
              <w:t>%</w:t>
            </w:r>
          </w:p>
        </w:tc>
        <w:tc>
          <w:tcPr>
            <w:tcW w:w="1314"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8</w:t>
            </w:r>
          </w:p>
        </w:tc>
        <w:tc>
          <w:tcPr>
            <w:tcW w:w="1303"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2" w:type="dxa"/>
            <w:vMerge w:val="continue"/>
            <w:vAlign w:val="center"/>
          </w:tcPr>
          <w:p>
            <w:pPr>
              <w:spacing w:line="240" w:lineRule="exact"/>
              <w:ind w:firstLine="240" w:firstLineChars="100"/>
              <w:contextualSpacing/>
              <w:rPr>
                <w:rFonts w:ascii="仿宋_GB2312" w:hAnsi="仿宋_GB2312" w:cs="仿宋_GB2312"/>
                <w:sz w:val="24"/>
              </w:rPr>
            </w:pPr>
          </w:p>
        </w:tc>
        <w:tc>
          <w:tcPr>
            <w:tcW w:w="4147" w:type="dxa"/>
            <w:vAlign w:val="center"/>
          </w:tcPr>
          <w:p>
            <w:pPr>
              <w:spacing w:line="240" w:lineRule="exact"/>
              <w:contextualSpacing/>
              <w:rPr>
                <w:rFonts w:ascii="仿宋_GB2312" w:hAnsi="仿宋_GB2312" w:cs="仿宋_GB2312"/>
                <w:sz w:val="24"/>
              </w:rPr>
            </w:pPr>
            <w:r>
              <w:rPr>
                <w:rFonts w:hint="eastAsia" w:ascii="仿宋_GB2312" w:hAnsi="仿宋_GB2312" w:cs="仿宋_GB2312"/>
                <w:sz w:val="24"/>
              </w:rPr>
              <w:t>光纤入户用户占比</w:t>
            </w:r>
          </w:p>
        </w:tc>
        <w:tc>
          <w:tcPr>
            <w:tcW w:w="1034" w:type="dxa"/>
            <w:vAlign w:val="center"/>
          </w:tcPr>
          <w:p>
            <w:pPr>
              <w:spacing w:line="240" w:lineRule="exact"/>
              <w:ind w:firstLine="240" w:firstLineChars="100"/>
              <w:contextualSpacing/>
              <w:rPr>
                <w:rFonts w:ascii="仿宋_GB2312" w:hAnsi="仿宋_GB2312" w:cs="仿宋_GB2312"/>
                <w:sz w:val="24"/>
              </w:rPr>
            </w:pPr>
            <w:r>
              <w:rPr>
                <w:rFonts w:hint="eastAsia" w:ascii="仿宋_GB2312" w:hAnsi="仿宋_GB2312" w:cs="仿宋_GB2312"/>
                <w:sz w:val="24"/>
              </w:rPr>
              <w:t>%</w:t>
            </w:r>
          </w:p>
        </w:tc>
        <w:tc>
          <w:tcPr>
            <w:tcW w:w="1314"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97.7</w:t>
            </w:r>
          </w:p>
        </w:tc>
        <w:tc>
          <w:tcPr>
            <w:tcW w:w="1303"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2" w:type="dxa"/>
            <w:vMerge w:val="continue"/>
            <w:vAlign w:val="center"/>
          </w:tcPr>
          <w:p>
            <w:pPr>
              <w:spacing w:line="240" w:lineRule="exact"/>
              <w:ind w:firstLine="240" w:firstLineChars="100"/>
              <w:contextualSpacing/>
              <w:rPr>
                <w:rFonts w:ascii="仿宋_GB2312" w:hAnsi="仿宋_GB2312" w:cs="仿宋_GB2312"/>
                <w:sz w:val="24"/>
              </w:rPr>
            </w:pPr>
          </w:p>
        </w:tc>
        <w:tc>
          <w:tcPr>
            <w:tcW w:w="4147" w:type="dxa"/>
            <w:vAlign w:val="center"/>
          </w:tcPr>
          <w:p>
            <w:pPr>
              <w:spacing w:line="240" w:lineRule="exact"/>
              <w:contextualSpacing/>
              <w:rPr>
                <w:rFonts w:ascii="仿宋_GB2312" w:hAnsi="仿宋_GB2312" w:cs="仿宋_GB2312"/>
                <w:sz w:val="24"/>
              </w:rPr>
            </w:pPr>
            <w:r>
              <w:rPr>
                <w:rFonts w:hint="eastAsia" w:ascii="仿宋_GB2312" w:hAnsi="仿宋_GB2312" w:cs="仿宋_GB2312"/>
                <w:sz w:val="24"/>
              </w:rPr>
              <w:t>年度户均移动互联网使用流量</w:t>
            </w:r>
          </w:p>
        </w:tc>
        <w:tc>
          <w:tcPr>
            <w:tcW w:w="1034"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GB</w:t>
            </w:r>
          </w:p>
        </w:tc>
        <w:tc>
          <w:tcPr>
            <w:tcW w:w="1314"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108</w:t>
            </w:r>
          </w:p>
        </w:tc>
        <w:tc>
          <w:tcPr>
            <w:tcW w:w="1303"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2" w:type="dxa"/>
            <w:vMerge w:val="continue"/>
            <w:vAlign w:val="center"/>
          </w:tcPr>
          <w:p>
            <w:pPr>
              <w:spacing w:line="240" w:lineRule="exact"/>
              <w:ind w:firstLine="240" w:firstLineChars="100"/>
              <w:contextualSpacing/>
              <w:rPr>
                <w:rFonts w:ascii="仿宋_GB2312" w:hAnsi="仿宋_GB2312" w:cs="仿宋_GB2312"/>
                <w:sz w:val="24"/>
              </w:rPr>
            </w:pPr>
          </w:p>
        </w:tc>
        <w:tc>
          <w:tcPr>
            <w:tcW w:w="4147" w:type="dxa"/>
            <w:vAlign w:val="center"/>
          </w:tcPr>
          <w:p>
            <w:pPr>
              <w:spacing w:line="240" w:lineRule="exact"/>
              <w:contextualSpacing/>
              <w:rPr>
                <w:rFonts w:ascii="仿宋_GB2312" w:hAnsi="仿宋_GB2312" w:cs="仿宋_GB2312"/>
                <w:sz w:val="24"/>
              </w:rPr>
            </w:pPr>
            <w:r>
              <w:rPr>
                <w:rFonts w:hint="eastAsia" w:ascii="仿宋_GB2312" w:hAnsi="仿宋_GB2312" w:cs="仿宋_GB2312"/>
                <w:sz w:val="24"/>
              </w:rPr>
              <w:t>城市家庭宽带接入能力</w:t>
            </w:r>
          </w:p>
        </w:tc>
        <w:tc>
          <w:tcPr>
            <w:tcW w:w="1034"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Mbps</w:t>
            </w:r>
          </w:p>
        </w:tc>
        <w:tc>
          <w:tcPr>
            <w:tcW w:w="1314"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200</w:t>
            </w:r>
          </w:p>
        </w:tc>
        <w:tc>
          <w:tcPr>
            <w:tcW w:w="1303"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&gt;1000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2" w:type="dxa"/>
            <w:vMerge w:val="continue"/>
            <w:vAlign w:val="center"/>
          </w:tcPr>
          <w:p>
            <w:pPr>
              <w:spacing w:line="240" w:lineRule="exact"/>
              <w:ind w:firstLine="240" w:firstLineChars="100"/>
              <w:contextualSpacing/>
              <w:rPr>
                <w:rFonts w:ascii="仿宋_GB2312" w:hAnsi="仿宋_GB2312" w:cs="仿宋_GB2312"/>
                <w:sz w:val="24"/>
              </w:rPr>
            </w:pPr>
          </w:p>
        </w:tc>
        <w:tc>
          <w:tcPr>
            <w:tcW w:w="4147" w:type="dxa"/>
            <w:vAlign w:val="center"/>
          </w:tcPr>
          <w:p>
            <w:pPr>
              <w:spacing w:line="240" w:lineRule="exact"/>
              <w:contextualSpacing/>
              <w:rPr>
                <w:rFonts w:ascii="仿宋_GB2312" w:hAnsi="仿宋_GB2312" w:cs="仿宋_GB2312"/>
                <w:sz w:val="24"/>
              </w:rPr>
            </w:pPr>
            <w:r>
              <w:rPr>
                <w:rFonts w:hint="eastAsia" w:ascii="仿宋_GB2312" w:hAnsi="仿宋_GB2312" w:cs="仿宋_GB2312"/>
                <w:sz w:val="24"/>
              </w:rPr>
              <w:t>农村家庭宽带接入能力</w:t>
            </w:r>
          </w:p>
        </w:tc>
        <w:tc>
          <w:tcPr>
            <w:tcW w:w="1034"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Mbps</w:t>
            </w:r>
          </w:p>
        </w:tc>
        <w:tc>
          <w:tcPr>
            <w:tcW w:w="1314"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100</w:t>
            </w:r>
          </w:p>
        </w:tc>
        <w:tc>
          <w:tcPr>
            <w:tcW w:w="1303"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&gt;200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2" w:type="dxa"/>
            <w:vMerge w:val="continue"/>
            <w:vAlign w:val="center"/>
          </w:tcPr>
          <w:p>
            <w:pPr>
              <w:spacing w:line="240" w:lineRule="exact"/>
              <w:ind w:firstLine="240" w:firstLineChars="100"/>
              <w:contextualSpacing/>
              <w:rPr>
                <w:rFonts w:ascii="仿宋_GB2312" w:hAnsi="仿宋_GB2312" w:cs="仿宋_GB2312"/>
                <w:sz w:val="24"/>
              </w:rPr>
            </w:pPr>
          </w:p>
        </w:tc>
        <w:tc>
          <w:tcPr>
            <w:tcW w:w="4147" w:type="dxa"/>
            <w:vAlign w:val="center"/>
          </w:tcPr>
          <w:p>
            <w:pPr>
              <w:spacing w:line="240" w:lineRule="exact"/>
              <w:contextualSpacing/>
              <w:rPr>
                <w:rFonts w:ascii="仿宋_GB2312" w:hAnsi="仿宋_GB2312" w:cs="仿宋_GB2312"/>
                <w:sz w:val="24"/>
              </w:rPr>
            </w:pPr>
            <w:r>
              <w:rPr>
                <w:rFonts w:hint="eastAsia" w:ascii="仿宋_GB2312" w:hAnsi="仿宋_GB2312" w:cs="仿宋_GB2312"/>
                <w:sz w:val="24"/>
              </w:rPr>
              <w:t>数据中心机架数</w:t>
            </w:r>
          </w:p>
        </w:tc>
        <w:tc>
          <w:tcPr>
            <w:tcW w:w="1034"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架</w:t>
            </w:r>
          </w:p>
        </w:tc>
        <w:tc>
          <w:tcPr>
            <w:tcW w:w="1314"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1000</w:t>
            </w:r>
          </w:p>
        </w:tc>
        <w:tc>
          <w:tcPr>
            <w:tcW w:w="1303" w:type="dxa"/>
            <w:vAlign w:val="center"/>
          </w:tcPr>
          <w:p>
            <w:pPr>
              <w:spacing w:line="240" w:lineRule="exact"/>
              <w:ind w:firstLine="240" w:firstLineChars="100"/>
              <w:contextualSpacing/>
              <w:jc w:val="center"/>
              <w:rPr>
                <w:rFonts w:ascii="仿宋_GB2312" w:hAnsi="仿宋_GB2312" w:cs="仿宋_GB2312"/>
                <w:sz w:val="24"/>
              </w:rPr>
            </w:pPr>
            <w:r>
              <w:rPr>
                <w:rFonts w:hint="eastAsia" w:ascii="仿宋_GB2312" w:hAnsi="仿宋_GB2312" w:cs="仿宋_GB2312"/>
                <w:sz w:val="24"/>
              </w:rPr>
              <w:t>5000</w:t>
            </w:r>
          </w:p>
        </w:tc>
      </w:tr>
    </w:tbl>
    <w:p>
      <w:pPr>
        <w:spacing w:line="560" w:lineRule="exact"/>
        <w:contextualSpacing/>
        <w:jc w:val="center"/>
        <w:outlineLvl w:val="1"/>
        <w:rPr>
          <w:rFonts w:ascii="楷体_GB2312" w:hAnsi="楷体_GB2312" w:eastAsia="楷体_GB2312" w:cs="楷体_GB2312"/>
          <w:bCs/>
        </w:rPr>
      </w:pPr>
      <w:bookmarkStart w:id="107" w:name="_Toc89345824"/>
      <w:bookmarkStart w:id="108" w:name="_Toc10224"/>
      <w:r>
        <w:rPr>
          <w:rFonts w:hint="eastAsia" w:ascii="楷体_GB2312" w:hAnsi="楷体_GB2312" w:eastAsia="楷体_GB2312" w:cs="楷体_GB2312"/>
          <w:bCs/>
        </w:rPr>
        <w:t>第四节</w:t>
      </w:r>
      <w:r>
        <w:rPr>
          <w:rFonts w:hint="eastAsia"/>
        </w:rPr>
        <w:t xml:space="preserve">  </w:t>
      </w:r>
      <w:r>
        <w:rPr>
          <w:rFonts w:hint="eastAsia" w:ascii="楷体_GB2312" w:hAnsi="楷体_GB2312" w:eastAsia="楷体_GB2312" w:cs="楷体_GB2312"/>
          <w:bCs/>
        </w:rPr>
        <w:t>产业布局</w:t>
      </w:r>
      <w:bookmarkEnd w:id="107"/>
      <w:bookmarkEnd w:id="108"/>
    </w:p>
    <w:p>
      <w:pPr>
        <w:spacing w:line="560" w:lineRule="exact"/>
        <w:ind w:firstLine="640" w:firstLineChars="200"/>
        <w:contextualSpacing/>
        <w:rPr>
          <w:rFonts w:ascii="仿宋_GB2312" w:hAnsi="仿宋_GB2312" w:cs="仿宋_GB2312"/>
        </w:rPr>
      </w:pPr>
      <w:r>
        <w:rPr>
          <w:rFonts w:hint="eastAsia" w:ascii="仿宋_GB2312" w:hAnsi="仿宋_GB2312" w:cs="仿宋_GB2312"/>
        </w:rPr>
        <w:t>统筹抓好传统产业转型升级、新兴产业培育壮大、未来产业谋划布局，全面提升制造业核心竞争力，加快推动制造业绿色低碳转型跨越发展，为我市全面建成河南省副中心城市提供有力支撑。到2025年，我市基本形成“一核两翼多点”的数字经济和信息化发展格局。</w:t>
      </w:r>
    </w:p>
    <w:p>
      <w:pPr>
        <w:pStyle w:val="4"/>
        <w:spacing w:line="520" w:lineRule="exact"/>
        <w:ind w:firstLine="640" w:firstLineChars="200"/>
        <w:contextualSpacing/>
        <w:rPr>
          <w:rFonts w:ascii="仿宋_GB2312" w:hAnsi="仿宋_GB2312" w:cs="仿宋_GB2312"/>
        </w:rPr>
      </w:pPr>
      <w:r>
        <w:rPr>
          <w:rFonts w:hint="eastAsia" w:ascii="仿宋_GB2312" w:hAnsi="仿宋_GB2312" w:cs="仿宋_GB2312"/>
        </w:rPr>
        <w:t>“一核”是指以南阳高新技术产业开发区为核心，布局光电、大数据、物联网、软件和信息技术服务等产业，引领全市数字经济发展。</w:t>
      </w:r>
    </w:p>
    <w:p>
      <w:pPr>
        <w:pStyle w:val="4"/>
        <w:spacing w:line="520" w:lineRule="exact"/>
        <w:ind w:firstLine="640" w:firstLineChars="200"/>
        <w:contextualSpacing/>
        <w:rPr>
          <w:rFonts w:ascii="仿宋_GB2312" w:hAnsi="仿宋_GB2312" w:cs="仿宋_GB2312"/>
        </w:rPr>
      </w:pPr>
      <w:r>
        <w:rPr>
          <w:rFonts w:hint="eastAsia" w:ascii="仿宋_GB2312" w:hAnsi="仿宋_GB2312" w:cs="仿宋_GB2312"/>
        </w:rPr>
        <w:t>“两翼”是指以南阳经济技术开发区（白河大数据产业园）、卧龙区先进制造业开发区为重点区域，布局光电、</w:t>
      </w:r>
      <w:r>
        <w:rPr>
          <w:rFonts w:hint="eastAsia" w:ascii="仿宋_GB2312" w:hAnsi="仿宋_GB2312" w:cs="仿宋_GB2312"/>
          <w:bCs/>
        </w:rPr>
        <w:t>5G</w:t>
      </w:r>
      <w:r>
        <w:rPr>
          <w:rFonts w:hint="eastAsia" w:ascii="仿宋_GB2312" w:hAnsi="仿宋_GB2312" w:cs="仿宋_GB2312"/>
        </w:rPr>
        <w:t>、新型智能终端、智能制造等新兴产业，以及人工智能、区块链等未来产业。</w:t>
      </w:r>
    </w:p>
    <w:p>
      <w:pPr>
        <w:pStyle w:val="4"/>
        <w:spacing w:line="520" w:lineRule="exact"/>
        <w:ind w:firstLine="640" w:firstLineChars="200"/>
        <w:contextualSpacing/>
        <w:rPr>
          <w:rFonts w:ascii="黑体" w:hAnsi="黑体" w:eastAsia="黑体" w:cs="黑体"/>
        </w:rPr>
      </w:pPr>
      <w:r>
        <w:rPr>
          <w:rFonts w:hint="eastAsia" w:ascii="仿宋_GB2312" w:hAnsi="仿宋_GB2312" w:cs="仿宋_GB2312"/>
        </w:rPr>
        <w:t>“多点”是指围绕其他各县（市、区）</w:t>
      </w:r>
      <w:r>
        <w:rPr>
          <w:rFonts w:hint="eastAsia" w:ascii="仿宋_GB2312" w:hAnsi="仿宋_GB2312" w:cs="仿宋_GB2312"/>
          <w:bCs/>
        </w:rPr>
        <w:t>加快推进数字化转型，助力传统产业升级，重点布局光电、5G、</w:t>
      </w:r>
      <w:r>
        <w:rPr>
          <w:rFonts w:hint="eastAsia" w:ascii="仿宋_GB2312" w:hAnsi="仿宋_GB2312" w:cs="仿宋_GB2312"/>
        </w:rPr>
        <w:t>智能终端、智能制造、智能传感器、软件服务等产业。</w:t>
      </w:r>
      <w:bookmarkStart w:id="109" w:name="_Toc89345825"/>
      <w:bookmarkStart w:id="110" w:name="_Toc27814"/>
    </w:p>
    <w:p>
      <w:pPr>
        <w:numPr>
          <w:ilvl w:val="0"/>
          <w:numId w:val="3"/>
        </w:numPr>
        <w:spacing w:line="520" w:lineRule="exact"/>
        <w:ind w:firstLine="640" w:firstLineChars="200"/>
        <w:contextualSpacing/>
        <w:jc w:val="center"/>
        <w:outlineLvl w:val="0"/>
        <w:rPr>
          <w:rFonts w:ascii="黑体" w:hAnsi="黑体" w:eastAsia="黑体" w:cs="黑体"/>
        </w:rPr>
      </w:pPr>
      <w:r>
        <w:rPr>
          <w:rFonts w:hint="eastAsia" w:ascii="黑体" w:hAnsi="黑体" w:eastAsia="黑体" w:cs="黑体"/>
        </w:rPr>
        <w:t xml:space="preserve"> 建设新型基础设施，增强高效支撑能力</w:t>
      </w:r>
      <w:bookmarkEnd w:id="109"/>
      <w:bookmarkEnd w:id="110"/>
    </w:p>
    <w:p>
      <w:pPr>
        <w:spacing w:line="520" w:lineRule="exact"/>
        <w:ind w:firstLine="640" w:firstLineChars="200"/>
        <w:contextualSpacing/>
        <w:jc w:val="center"/>
        <w:outlineLvl w:val="1"/>
        <w:rPr>
          <w:rFonts w:ascii="楷体_GB2312" w:hAnsi="楷体_GB2312" w:eastAsia="楷体_GB2312" w:cs="楷体_GB2312"/>
          <w:bCs/>
        </w:rPr>
      </w:pPr>
      <w:bookmarkStart w:id="111" w:name="_Toc78374504"/>
      <w:bookmarkStart w:id="112" w:name="_Toc89345826"/>
      <w:bookmarkStart w:id="113" w:name="_Toc14899"/>
      <w:r>
        <w:rPr>
          <w:rFonts w:hint="eastAsia" w:ascii="楷体_GB2312" w:hAnsi="楷体_GB2312" w:eastAsia="楷体_GB2312" w:cs="楷体_GB2312"/>
          <w:bCs/>
        </w:rPr>
        <w:t>第一节  全面升级</w:t>
      </w:r>
      <w:bookmarkEnd w:id="111"/>
      <w:r>
        <w:rPr>
          <w:rFonts w:hint="eastAsia" w:ascii="楷体_GB2312" w:hAnsi="楷体_GB2312" w:eastAsia="楷体_GB2312" w:cs="楷体_GB2312"/>
          <w:bCs/>
        </w:rPr>
        <w:t>网络基础设施</w:t>
      </w:r>
      <w:bookmarkEnd w:id="112"/>
      <w:bookmarkEnd w:id="113"/>
    </w:p>
    <w:p>
      <w:pPr>
        <w:pStyle w:val="4"/>
        <w:spacing w:line="520" w:lineRule="exact"/>
        <w:ind w:firstLine="640" w:firstLineChars="200"/>
        <w:contextualSpacing/>
        <w:rPr>
          <w:rFonts w:ascii="楷体_GB2312" w:hAnsi="楷体_GB2312" w:eastAsia="楷体_GB2312" w:cs="楷体_GB2312"/>
          <w:bCs/>
        </w:rPr>
      </w:pPr>
      <w:r>
        <w:rPr>
          <w:rFonts w:hint="eastAsia" w:ascii="仿宋_GB2312" w:hAnsi="仿宋_GB2312" w:cs="仿宋_GB2312"/>
        </w:rPr>
        <w:t>推进“全光网南阳2.0”，扩容升级互联网骨干网、城域网宽带，构建覆盖全市的高速光纤宽带网络，提升固定宽带家庭和移动宽带用户普及率，实现偏远地区网络深度全覆盖。开展“双千兆”建</w:t>
      </w:r>
      <w:r>
        <w:rPr>
          <w:rFonts w:hint="eastAsia" w:ascii="仿宋_GB2312" w:hAnsi="仿宋_GB2312" w:cs="仿宋_GB2312"/>
          <w:bCs/>
        </w:rPr>
        <w:t>设工程，推进城市新建小区实现千兆光纤到户，加快推进既有小区光纤“百升千”改造，大力推进百兆“光纤入村”建设工作和村村通光纤工程。加快实施5G网络新建工程和室内分布系统工程，深化共建共享，</w:t>
      </w:r>
      <w:r>
        <w:rPr>
          <w:rFonts w:hint="eastAsia" w:ascii="仿宋_GB2312" w:hAnsi="仿宋_GB2312" w:cs="仿宋_GB2312"/>
        </w:rPr>
        <w:t>实现乡镇以上区域5G网络连续覆盖，实现重点行政村5G网络全覆盖。</w:t>
      </w:r>
      <w:r>
        <w:rPr>
          <w:rFonts w:hint="eastAsia" w:ascii="仿宋_GB2312" w:hAnsi="仿宋_GB2312" w:cs="仿宋_GB2312"/>
          <w:bCs/>
        </w:rPr>
        <w:t>大力推进窄带物联网（NB-IoT）技术业务测试和商用部署，充分挖掘感知设施部署场景、应用模式和管理模式。重点推进智能抄表、智慧楼宇、市政物联、交通物流、广域物联、工业物联等应用场景的感知设施部署，建设物联网统一接入平台，推动感知设备接入、集中管理和感知数据共享利用。加快互联网协议第六版（IP</w:t>
      </w:r>
      <w:r>
        <w:rPr>
          <w:rFonts w:hint="eastAsia" w:ascii="仿宋_GB2312" w:hAnsi="仿宋_GB2312" w:cs="仿宋_GB2312"/>
          <w:bCs/>
          <w:lang w:val="en-US"/>
        </w:rPr>
        <w:t>v</w:t>
      </w:r>
      <w:r>
        <w:rPr>
          <w:rFonts w:hint="eastAsia" w:ascii="仿宋_GB2312" w:hAnsi="仿宋_GB2312" w:cs="仿宋_GB2312"/>
          <w:bCs/>
        </w:rPr>
        <w:t>6）规模部署，推动宽带网络系统演进升级，完成运营商超大型数据中心、电子政务外网骨干网、市政务云等IP</w:t>
      </w:r>
      <w:r>
        <w:rPr>
          <w:rFonts w:hint="eastAsia" w:ascii="仿宋_GB2312" w:hAnsi="仿宋_GB2312" w:cs="仿宋_GB2312"/>
          <w:bCs/>
          <w:lang w:val="en-US"/>
        </w:rPr>
        <w:t>v</w:t>
      </w:r>
      <w:r>
        <w:rPr>
          <w:rFonts w:hint="eastAsia" w:ascii="仿宋_GB2312" w:hAnsi="仿宋_GB2312" w:cs="仿宋_GB2312"/>
          <w:bCs/>
        </w:rPr>
        <w:t>6改造和行业云应用示范平台、云产品改造。提前探索卫星、天地一体、6G等未来网络技术设施的可行性。</w:t>
      </w:r>
      <w:bookmarkStart w:id="114" w:name="_Toc11952"/>
      <w:bookmarkStart w:id="115" w:name="_Toc89345827"/>
    </w:p>
    <w:p>
      <w:pPr>
        <w:numPr>
          <w:ilvl w:val="0"/>
          <w:numId w:val="4"/>
        </w:numPr>
        <w:spacing w:line="520" w:lineRule="exact"/>
        <w:ind w:firstLine="640" w:firstLineChars="200"/>
        <w:contextualSpacing/>
        <w:jc w:val="center"/>
        <w:outlineLvl w:val="1"/>
        <w:rPr>
          <w:rFonts w:ascii="楷体_GB2312" w:hAnsi="楷体_GB2312" w:eastAsia="楷体_GB2312" w:cs="楷体_GB2312"/>
          <w:bCs/>
        </w:rPr>
      </w:pPr>
      <w:r>
        <w:rPr>
          <w:rFonts w:hint="eastAsia" w:ascii="楷体_GB2312" w:hAnsi="楷体_GB2312" w:eastAsia="楷体_GB2312" w:cs="楷体_GB2312"/>
          <w:bCs/>
        </w:rPr>
        <w:t xml:space="preserve"> 统筹推进数据中心建设</w:t>
      </w:r>
      <w:bookmarkEnd w:id="114"/>
      <w:bookmarkEnd w:id="115"/>
    </w:p>
    <w:p>
      <w:pPr>
        <w:pStyle w:val="4"/>
        <w:spacing w:line="520" w:lineRule="exact"/>
        <w:ind w:firstLine="640" w:firstLineChars="200"/>
        <w:contextualSpacing/>
      </w:pPr>
      <w:r>
        <w:rPr>
          <w:rFonts w:hint="eastAsia" w:ascii="仿宋_GB2312" w:hAnsi="仿宋_GB2312" w:cs="仿宋_GB2312"/>
          <w:bCs/>
        </w:rPr>
        <w:t>推进数据中心科学布局、集约建设、绿色发展，聚焦质量提升，加快数据中心从存储型向计算型转变。引导规范政务、行业、企业数据中心（IDC）分层级建设，打造区域性数据中心、存储中心，探索建设市级数据中心。鼓励运营商开展云计算数据中心改造，建设发展低时延、高附加值、产业链带动作用明显的一级节能数据中心。支持联通公司“东数西算”南阳节点建设。着力提升全市智慧城市云数据中心承载能力，积极完善南召曙光云计算大数据中心、淅川云灾备数据中心工程。积极推广云计算和绿色低碳技术在数据中心应用，降低数据基础设施能耗。支持软件和信息技术服务企业加速向云计算转型，发展云计算产品、服务和解决方案，培育一批有技术实力和业务规模的云计算企业。</w:t>
      </w:r>
    </w:p>
    <w:p>
      <w:pPr>
        <w:numPr>
          <w:ilvl w:val="0"/>
          <w:numId w:val="4"/>
        </w:numPr>
        <w:spacing w:line="520" w:lineRule="exact"/>
        <w:ind w:firstLine="640" w:firstLineChars="200"/>
        <w:contextualSpacing/>
        <w:jc w:val="center"/>
        <w:outlineLvl w:val="1"/>
        <w:rPr>
          <w:rFonts w:ascii="楷体_GB2312" w:hAnsi="楷体_GB2312" w:eastAsia="楷体_GB2312" w:cs="楷体_GB2312"/>
          <w:bCs/>
        </w:rPr>
      </w:pPr>
      <w:bookmarkStart w:id="116" w:name="_Toc89345828"/>
      <w:bookmarkStart w:id="117" w:name="_Toc26938"/>
      <w:r>
        <w:rPr>
          <w:rFonts w:hint="eastAsia" w:ascii="楷体_GB2312" w:hAnsi="楷体_GB2312" w:eastAsia="楷体_GB2312" w:cs="楷体_GB2312"/>
          <w:bCs/>
        </w:rPr>
        <w:t xml:space="preserve"> 有序引导基础设施智能升级</w:t>
      </w:r>
      <w:bookmarkEnd w:id="116"/>
      <w:bookmarkEnd w:id="117"/>
    </w:p>
    <w:p>
      <w:pPr>
        <w:pStyle w:val="4"/>
        <w:spacing w:line="520" w:lineRule="exact"/>
        <w:ind w:firstLine="640" w:firstLineChars="200"/>
        <w:contextualSpacing/>
      </w:pPr>
      <w:r>
        <w:rPr>
          <w:rFonts w:hint="eastAsia" w:ascii="仿宋_GB2312" w:hAnsi="仿宋_GB2312" w:cs="仿宋_GB2312"/>
          <w:bCs/>
        </w:rPr>
        <w:t>推动交通、仓储物流、能源设施、环保设施等城乡基础设施信息化、智能化改造。加快推进加氢站、智能电网、智能化油气设施建设，打造一批智慧环保、智慧国土、智慧水利、智慧林业、智慧园林应用场景。谋划布局互联网医院、县域医共体、互联网教育、电子商务平台、数字孪生体等融合基础设施。推进智能充电设施普及，实施信息化管理，依托省级充电智能服务平台建设市级充电设施公共信息智能服务平台，运用大数据技术优化充电管理，实现充电服务体系的持续优化。</w:t>
      </w:r>
    </w:p>
    <w:p>
      <w:pPr>
        <w:spacing w:line="520" w:lineRule="exact"/>
        <w:contextualSpacing/>
        <w:jc w:val="center"/>
        <w:outlineLvl w:val="1"/>
        <w:rPr>
          <w:rFonts w:ascii="楷体_GB2312" w:hAnsi="楷体_GB2312" w:eastAsia="楷体_GB2312" w:cs="楷体_GB2312"/>
          <w:bCs/>
        </w:rPr>
      </w:pPr>
      <w:bookmarkStart w:id="118" w:name="_Toc89345829"/>
      <w:bookmarkStart w:id="119" w:name="_Toc9034"/>
      <w:r>
        <w:rPr>
          <w:rFonts w:hint="eastAsia" w:ascii="楷体_GB2312" w:hAnsi="楷体_GB2312" w:eastAsia="楷体_GB2312" w:cs="楷体_GB2312"/>
          <w:bCs/>
        </w:rPr>
        <w:t>第四节</w:t>
      </w:r>
      <w:r>
        <w:rPr>
          <w:rFonts w:hint="eastAsia"/>
        </w:rPr>
        <w:t xml:space="preserve">  </w:t>
      </w:r>
      <w:r>
        <w:rPr>
          <w:rFonts w:hint="eastAsia" w:ascii="楷体_GB2312" w:hAnsi="楷体_GB2312" w:eastAsia="楷体_GB2312" w:cs="楷体_GB2312"/>
          <w:bCs/>
        </w:rPr>
        <w:t>布局创新基础设施和平台</w:t>
      </w:r>
      <w:bookmarkEnd w:id="118"/>
      <w:bookmarkEnd w:id="119"/>
    </w:p>
    <w:p>
      <w:pPr>
        <w:pStyle w:val="4"/>
        <w:spacing w:line="520" w:lineRule="exact"/>
        <w:ind w:firstLine="640" w:firstLineChars="200"/>
        <w:contextualSpacing/>
        <w:rPr>
          <w:rFonts w:ascii="仿宋_GB2312" w:hAnsi="仿宋_GB2312" w:cs="仿宋_GB2312"/>
          <w:bCs/>
        </w:rPr>
      </w:pPr>
      <w:r>
        <w:rPr>
          <w:rFonts w:hint="eastAsia" w:ascii="仿宋_GB2312" w:hAnsi="仿宋_GB2312" w:cs="仿宋_GB2312"/>
          <w:bCs/>
        </w:rPr>
        <w:t>充分发挥我市软件产业技术创新联盟优势，推进大数据产学研合作，抓好现有新一代信息技术研发机构建设。在新型显示和智能终端、智能传感器、新一代人工智能、5G等领域，联合南阳师范学院、南阳理工学院、河南工业职业技术学院等驻宛高校和职校、中科院计算所大数据研究院（南阳）等科研机构、优势企业等新建一批工程（技术）研究中心、企业技术中心、技术创新中心、重点实验室等创新平台和实验平台。建设一批制造业与互联网融合双创基地、专业化众创空间等新型孵化载体，推进数字经济成果落地转化。引进国内龙头企业和知名科研机构在我市布局建设数字经济创新中心。通过培育创业主体，布局创新平台，增强对外科技交流合作，加大科技金融支持与投入等措施，保障生物、光学、电机、新能源等领域的重大科技顺利攻关。</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tcPr>
          <w:p>
            <w:pPr>
              <w:pStyle w:val="2"/>
              <w:ind w:firstLine="640"/>
              <w:jc w:val="center"/>
              <w:rPr>
                <w:rFonts w:ascii="仿宋_GB2312" w:hAnsi="仿宋_GB2312" w:cs="仿宋_GB2312"/>
                <w:lang w:eastAsia="zh-Hans"/>
              </w:rPr>
            </w:pPr>
            <w:r>
              <w:br w:type="page"/>
            </w:r>
            <w:r>
              <w:rPr>
                <w:rFonts w:hint="eastAsia" w:ascii="黑体" w:hAnsi="黑体" w:eastAsia="黑体" w:cs="黑体"/>
                <w:sz w:val="28"/>
                <w:szCs w:val="28"/>
              </w:rPr>
              <w:t>专栏1：新型基础设施建设与完善工程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0" w:hRule="atLeast"/>
          <w:jc w:val="center"/>
        </w:trPr>
        <w:tc>
          <w:tcPr>
            <w:tcW w:w="8522" w:type="dxa"/>
          </w:tcPr>
          <w:p>
            <w:pPr>
              <w:spacing w:line="340" w:lineRule="exact"/>
              <w:ind w:firstLine="480" w:firstLineChars="200"/>
              <w:contextualSpacing/>
              <w:rPr>
                <w:rFonts w:ascii="仿宋_GB2312" w:hAnsi="仿宋_GB2312" w:cs="仿宋_GB2312"/>
                <w:sz w:val="24"/>
              </w:rPr>
            </w:pPr>
            <w:r>
              <w:rPr>
                <w:rFonts w:hint="eastAsia" w:ascii="楷体" w:hAnsi="楷体" w:eastAsia="楷体" w:cs="楷体"/>
                <w:bCs/>
                <w:sz w:val="24"/>
              </w:rPr>
              <w:t>网络基础设施。</w:t>
            </w:r>
            <w:r>
              <w:rPr>
                <w:rFonts w:hint="eastAsia" w:ascii="仿宋_GB2312" w:hAnsi="仿宋_GB2312" w:cs="仿宋_GB2312"/>
                <w:sz w:val="24"/>
              </w:rPr>
              <w:t>推进全市4G、5G基站统筹布局与集约化建设，提升城乡5G基站和网络覆盖能力，加速推进5G部署力度和普及化。建设千兆示范城市，打造“千兆到户、万兆到企、百米光接入”。到2025年，实现乡镇以上区域5G网络连续覆盖，实现重点行政村5G网络全覆盖，5G用户普及率达到60%，打造全省5G应用示范城市。</w:t>
            </w:r>
          </w:p>
          <w:p>
            <w:pPr>
              <w:spacing w:line="340" w:lineRule="exact"/>
              <w:ind w:firstLine="480" w:firstLineChars="200"/>
              <w:contextualSpacing/>
              <w:rPr>
                <w:rFonts w:ascii="仿宋_GB2312" w:hAnsi="仿宋_GB2312" w:cs="仿宋_GB2312"/>
                <w:sz w:val="24"/>
              </w:rPr>
            </w:pPr>
            <w:r>
              <w:rPr>
                <w:rFonts w:hint="eastAsia" w:ascii="楷体" w:hAnsi="楷体" w:eastAsia="楷体" w:cs="楷体"/>
                <w:bCs/>
                <w:sz w:val="24"/>
              </w:rPr>
              <w:t>数据基础设施。</w:t>
            </w:r>
            <w:r>
              <w:rPr>
                <w:rFonts w:hint="eastAsia" w:ascii="仿宋_GB2312" w:hAnsi="仿宋_GB2312" w:cs="仿宋_GB2312"/>
                <w:sz w:val="24"/>
              </w:rPr>
              <w:t>积极推进中关村E谷软件基地北京润德骥图科技有限公司南阳市数据中心、牧原股份数据湖云计算中心、南阳鸭河电厂大数据中心落地建设。推进联通公司“东数西算”南阳节点建设。</w:t>
            </w:r>
          </w:p>
          <w:p>
            <w:pPr>
              <w:spacing w:line="340" w:lineRule="exact"/>
              <w:ind w:firstLine="480" w:firstLineChars="200"/>
              <w:contextualSpacing/>
              <w:rPr>
                <w:rFonts w:ascii="仿宋_GB2312" w:hAnsi="仿宋_GB2312" w:cs="仿宋_GB2312"/>
                <w:bCs/>
                <w:sz w:val="24"/>
              </w:rPr>
            </w:pPr>
            <w:r>
              <w:rPr>
                <w:rFonts w:hint="eastAsia" w:ascii="楷体" w:hAnsi="楷体" w:eastAsia="楷体" w:cs="楷体"/>
                <w:bCs/>
                <w:sz w:val="24"/>
              </w:rPr>
              <w:t>融合基础设施。</w:t>
            </w:r>
            <w:r>
              <w:rPr>
                <w:rFonts w:hint="eastAsia" w:ascii="仿宋_GB2312" w:hAnsi="仿宋_GB2312" w:cs="仿宋_GB2312"/>
                <w:sz w:val="24"/>
              </w:rPr>
              <w:t>完善物联网关键感知、智能传输、智能信息处理、安全技术等核心要素，建立集成感知、传输、智能信息处理功能的物联网感知平台，为工业互联网和智慧城市发展提供关键基础设施支撑。积极推进国家物联网节点、超算中心等项目，打造国家数据枢纽。进一步推动交通、仓储物流、能源设施、环保设施、城乡基础公共服务设施、生活设施等传统基础设施的智能化改造。</w:t>
            </w:r>
          </w:p>
          <w:p>
            <w:pPr>
              <w:spacing w:line="340" w:lineRule="exact"/>
              <w:ind w:firstLine="480" w:firstLineChars="200"/>
              <w:contextualSpacing/>
              <w:rPr>
                <w:rFonts w:ascii="仿宋_GB2312" w:hAnsi="仿宋_GB2312" w:cs="仿宋_GB2312"/>
                <w:sz w:val="24"/>
              </w:rPr>
            </w:pPr>
            <w:r>
              <w:rPr>
                <w:rFonts w:hint="eastAsia" w:ascii="楷体" w:hAnsi="楷体" w:eastAsia="楷体" w:cs="楷体"/>
                <w:bCs/>
                <w:sz w:val="24"/>
              </w:rPr>
              <w:t>创新基础设施。</w:t>
            </w:r>
            <w:r>
              <w:rPr>
                <w:rFonts w:hint="eastAsia" w:ascii="仿宋_GB2312" w:hAnsi="仿宋_GB2312" w:cs="仿宋_GB2312"/>
                <w:sz w:val="24"/>
              </w:rPr>
              <w:t>建设数字经济创新中心、大数据工程（技术）研究中心、企业技术中心、技术创新中心、重点实验室等。</w:t>
            </w:r>
            <w:r>
              <w:rPr>
                <w:rFonts w:hint="eastAsia" w:ascii="仿宋_GB2312" w:hAnsi="仿宋_GB2312" w:cs="仿宋_GB2312"/>
                <w:sz w:val="24"/>
                <w:lang w:val="en"/>
              </w:rPr>
              <w:t>积极争取成立清华大学南阳创新研究院。推进河南省数字光电产业研究院建设。</w:t>
            </w:r>
            <w:r>
              <w:rPr>
                <w:rFonts w:hint="eastAsia" w:ascii="仿宋_GB2312" w:hAnsi="仿宋_GB2312" w:cs="仿宋_GB2312"/>
                <w:sz w:val="24"/>
              </w:rPr>
              <w:t>加快中交国通公路工程技术有限公司公路质量安全环保大数据开发与应用工程研究中心建设。规划建设南阳科技城、科创走廊，做强南阳中关村E谷等创新创业中心，创建一批众创空间、孵化器，高标准建设中关村智慧岛。发挥河南中科院南阳科技成果转化分中心作用，</w:t>
            </w:r>
            <w:r>
              <w:rPr>
                <w:rFonts w:hint="eastAsia" w:ascii="仿宋_GB2312" w:hAnsi="仿宋_GB2312" w:cs="仿宋_GB2312"/>
                <w:sz w:val="24"/>
                <w:lang w:val="en"/>
              </w:rPr>
              <w:t>高标准建设中光学集团河南省先进光学与功能镀膜中试基地</w:t>
            </w:r>
            <w:r>
              <w:rPr>
                <w:rFonts w:hint="eastAsia" w:ascii="仿宋_GB2312" w:hAnsi="仿宋_GB2312" w:cs="仿宋_GB2312"/>
                <w:sz w:val="24"/>
              </w:rPr>
              <w:t>。大力引进知名高校、科研院所在宛设立分校分院和研发机构，打造中部地区重要的科技成果孵化转化基地。</w:t>
            </w:r>
          </w:p>
        </w:tc>
      </w:tr>
    </w:tbl>
    <w:p>
      <w:pPr>
        <w:spacing w:line="560" w:lineRule="exact"/>
        <w:ind w:firstLine="640" w:firstLineChars="200"/>
        <w:contextualSpacing/>
        <w:jc w:val="center"/>
        <w:outlineLvl w:val="0"/>
        <w:rPr>
          <w:rFonts w:ascii="楷体_GB2312" w:hAnsi="楷体_GB2312" w:eastAsia="楷体_GB2312" w:cs="楷体_GB2312"/>
          <w:bCs/>
        </w:rPr>
      </w:pPr>
      <w:bookmarkStart w:id="120" w:name="_Toc89345830"/>
      <w:bookmarkStart w:id="121" w:name="_Toc25346"/>
      <w:r>
        <w:rPr>
          <w:rFonts w:hint="eastAsia" w:ascii="黑体" w:hAnsi="黑体" w:eastAsia="黑体" w:cs="黑体"/>
        </w:rPr>
        <w:t>第四章  培育开放数据生态，探索数据赋能</w:t>
      </w:r>
      <w:bookmarkEnd w:id="120"/>
      <w:bookmarkEnd w:id="121"/>
      <w:r>
        <w:rPr>
          <w:rFonts w:hint="eastAsia" w:ascii="黑体" w:hAnsi="黑体" w:eastAsia="黑体" w:cs="黑体"/>
        </w:rPr>
        <w:t>路径</w:t>
      </w:r>
      <w:bookmarkStart w:id="122" w:name="_Toc6487"/>
      <w:bookmarkStart w:id="123" w:name="_Toc89345831"/>
    </w:p>
    <w:p>
      <w:pPr>
        <w:spacing w:line="560" w:lineRule="exact"/>
        <w:ind w:firstLine="640" w:firstLineChars="200"/>
        <w:contextualSpacing/>
        <w:jc w:val="center"/>
        <w:outlineLvl w:val="1"/>
        <w:rPr>
          <w:rFonts w:ascii="楷体_GB2312" w:hAnsi="楷体_GB2312" w:eastAsia="楷体_GB2312" w:cs="楷体_GB2312"/>
          <w:bCs/>
        </w:rPr>
      </w:pPr>
      <w:r>
        <w:rPr>
          <w:rFonts w:hint="eastAsia" w:ascii="楷体_GB2312" w:hAnsi="楷体_GB2312" w:eastAsia="楷体_GB2312" w:cs="楷体_GB2312"/>
          <w:bCs/>
        </w:rPr>
        <w:t>第一节  加快数据资源开放共享</w:t>
      </w:r>
      <w:bookmarkEnd w:id="122"/>
      <w:bookmarkEnd w:id="123"/>
    </w:p>
    <w:p>
      <w:pPr>
        <w:pStyle w:val="4"/>
        <w:spacing w:line="560" w:lineRule="exact"/>
        <w:ind w:firstLine="640" w:firstLineChars="200"/>
        <w:contextualSpacing/>
        <w:rPr>
          <w:rFonts w:ascii="楷体_GB2312" w:hAnsi="楷体_GB2312" w:eastAsia="楷体_GB2312" w:cs="楷体_GB2312"/>
          <w:bCs/>
        </w:rPr>
      </w:pPr>
      <w:r>
        <w:rPr>
          <w:rFonts w:hint="eastAsia" w:ascii="仿宋_GB2312" w:hAnsi="仿宋_GB2312" w:cs="仿宋_GB2312"/>
          <w:shd w:val="clear" w:color="auto" w:fill="FFFFFF"/>
        </w:rPr>
        <w:t>基于南阳政务数据中台，建设高质量政务数据资源池</w:t>
      </w:r>
      <w:r>
        <w:rPr>
          <w:rFonts w:hint="eastAsia" w:ascii="仿宋_GB2312" w:hAnsi="仿宋_GB2312" w:cs="仿宋_GB2312"/>
          <w:bCs/>
          <w:shd w:val="clear" w:color="auto" w:fill="FFFFFF"/>
        </w:rPr>
        <w:t>，鼓励有条件的行业和组织建设行业、经济、社会数据资源库，推进各类数据资源池的融合对接，建设行业级、区域级的“数据字典”，完善市级数据资源池体系，加强与省级数据资源池的有效衔接。</w:t>
      </w:r>
      <w:r>
        <w:rPr>
          <w:rFonts w:hint="eastAsia" w:ascii="仿宋_GB2312" w:hAnsi="仿宋_GB2312" w:cs="仿宋_GB2312"/>
          <w:shd w:val="clear" w:color="auto" w:fill="FFFFFF"/>
        </w:rPr>
        <w:t>强化数据统筹管理</w:t>
      </w:r>
      <w:r>
        <w:rPr>
          <w:rFonts w:hint="eastAsia" w:ascii="仿宋_GB2312" w:hAnsi="仿宋_GB2312" w:cs="仿宋_GB2312"/>
          <w:bCs/>
          <w:shd w:val="clear" w:color="auto" w:fill="FFFFFF"/>
        </w:rPr>
        <w:t>，推进市数据资源汇集。</w:t>
      </w:r>
      <w:r>
        <w:rPr>
          <w:rFonts w:hint="eastAsia" w:ascii="仿宋_GB2312" w:hAnsi="仿宋_GB2312" w:cs="仿宋_GB2312"/>
          <w:shd w:val="clear" w:color="auto" w:fill="FFFFFF"/>
        </w:rPr>
        <w:t>扩大数据共享开放，建立数据服务、数据运营与数据开放机制。打造“人</w:t>
      </w:r>
      <w:r>
        <w:rPr>
          <w:rFonts w:hint="eastAsia" w:ascii="仿宋_GB2312" w:hAnsi="仿宋_GB2312" w:cs="仿宋_GB2312"/>
          <w:bCs/>
          <w:shd w:val="clear" w:color="auto" w:fill="FFFFFF"/>
        </w:rPr>
        <w:t>才</w:t>
      </w:r>
      <w:r>
        <w:rPr>
          <w:rFonts w:hint="eastAsia" w:ascii="仿宋_GB2312" w:hAnsi="仿宋_GB2312" w:cs="仿宋_GB2312"/>
          <w:shd w:val="clear" w:color="auto" w:fill="FFFFFF"/>
        </w:rPr>
        <w:t>＋标准＋流程＋技术”的大数据治理体系，采用可视化、模块化的数据治理平台全面提升数据治理能力，探索数据资源开发利用模式，</w:t>
      </w:r>
      <w:r>
        <w:rPr>
          <w:rFonts w:hint="eastAsia"/>
          <w:bCs/>
          <w:shd w:val="clear" w:color="auto" w:fill="FFFFFF"/>
        </w:rPr>
        <w:t>加强</w:t>
      </w:r>
      <w:r>
        <w:rPr>
          <w:rFonts w:hint="eastAsia" w:ascii="仿宋_GB2312" w:hAnsi="仿宋_GB2312" w:cs="仿宋_GB2312"/>
          <w:shd w:val="clear" w:color="auto" w:fill="FFFFFF"/>
        </w:rPr>
        <w:t>对产品、市场和经济运行的动态监控、预测预警。加速重点行业和领域大数据开放行动，制定相关数据分级指南。鼓励行业主管部门、行业组织、研究机构广泛参与，推动构建以企业为主体的产业大数据公共服务平台，承担行业大数据资源整合汇集、数据交易、产业生态构建等工作，实现行业数据资源的流动、共享，提升对中小企业</w:t>
      </w:r>
      <w:r>
        <w:rPr>
          <w:rFonts w:hint="eastAsia" w:ascii="仿宋_GB2312" w:hAnsi="仿宋_GB2312" w:cs="仿宋_GB2312"/>
          <w:bCs/>
          <w:shd w:val="clear" w:color="auto" w:fill="FFFFFF"/>
        </w:rPr>
        <w:t>及民生</w:t>
      </w:r>
      <w:r>
        <w:rPr>
          <w:rFonts w:hint="eastAsia" w:ascii="仿宋_GB2312" w:hAnsi="仿宋_GB2312" w:cs="仿宋_GB2312"/>
          <w:shd w:val="clear" w:color="auto" w:fill="FFFFFF"/>
        </w:rPr>
        <w:t>的服务能力。</w:t>
      </w:r>
      <w:bookmarkStart w:id="124" w:name="_Toc6221"/>
      <w:bookmarkStart w:id="125" w:name="_Toc89345832"/>
    </w:p>
    <w:p>
      <w:pPr>
        <w:spacing w:line="560" w:lineRule="exact"/>
        <w:contextualSpacing/>
        <w:jc w:val="center"/>
        <w:outlineLvl w:val="1"/>
        <w:rPr>
          <w:rFonts w:ascii="楷体_GB2312" w:hAnsi="楷体_GB2312" w:eastAsia="楷体_GB2312" w:cs="楷体_GB2312"/>
          <w:bCs/>
        </w:rPr>
      </w:pPr>
      <w:r>
        <w:rPr>
          <w:rFonts w:hint="eastAsia" w:ascii="楷体_GB2312" w:hAnsi="楷体_GB2312" w:eastAsia="楷体_GB2312" w:cs="楷体_GB2312"/>
          <w:bCs/>
        </w:rPr>
        <w:t>第二节 着力培育大数据核心产业</w:t>
      </w:r>
      <w:bookmarkEnd w:id="124"/>
      <w:bookmarkEnd w:id="125"/>
    </w:p>
    <w:p>
      <w:pPr>
        <w:pStyle w:val="4"/>
        <w:spacing w:line="560" w:lineRule="exact"/>
        <w:ind w:firstLine="640" w:firstLineChars="200"/>
        <w:contextualSpacing/>
        <w:rPr>
          <w:rFonts w:ascii="楷体_GB2312" w:hAnsi="楷体_GB2312" w:eastAsia="楷体_GB2312" w:cs="楷体_GB2312"/>
          <w:bCs/>
        </w:rPr>
      </w:pPr>
      <w:r>
        <w:rPr>
          <w:rFonts w:hint="eastAsia" w:ascii="仿宋_GB2312" w:hAnsi="仿宋_GB2312" w:cs="仿宋_GB2312"/>
          <w:shd w:val="clear" w:color="auto" w:fill="FFFFFF"/>
        </w:rPr>
        <w:t>围绕数据全生命周期各阶段需求，发展数据采集、清洗、分析、</w:t>
      </w:r>
      <w:r>
        <w:rPr>
          <w:rFonts w:hint="eastAsia" w:ascii="仿宋_GB2312" w:hAnsi="仿宋_GB2312" w:cs="仿宋_GB2312"/>
          <w:bCs/>
          <w:shd w:val="clear" w:color="auto" w:fill="FFFFFF"/>
        </w:rPr>
        <w:t>挖掘、</w:t>
      </w:r>
      <w:r>
        <w:rPr>
          <w:rFonts w:hint="eastAsia" w:ascii="仿宋_GB2312" w:hAnsi="仿宋_GB2312" w:cs="仿宋_GB2312"/>
          <w:shd w:val="clear" w:color="auto" w:fill="FFFFFF"/>
        </w:rPr>
        <w:t>交易等技术服务，</w:t>
      </w:r>
      <w:r>
        <w:rPr>
          <w:shd w:val="clear" w:color="auto" w:fill="FFFFFF"/>
        </w:rPr>
        <w:t>支持开展大数据测试认证、体验、实训等公共服务，</w:t>
      </w:r>
      <w:r>
        <w:rPr>
          <w:rFonts w:hint="eastAsia" w:ascii="仿宋_GB2312" w:hAnsi="仿宋_GB2312" w:cs="仿宋_GB2312"/>
          <w:shd w:val="clear" w:color="auto" w:fill="FFFFFF"/>
        </w:rPr>
        <w:t>吸引带动行业大数据应用企业集聚，建设</w:t>
      </w:r>
      <w:r>
        <w:rPr>
          <w:shd w:val="clear" w:color="auto" w:fill="FFFFFF"/>
        </w:rPr>
        <w:t>特色化差异化</w:t>
      </w:r>
      <w:r>
        <w:rPr>
          <w:rFonts w:hint="eastAsia" w:ascii="仿宋_GB2312" w:hAnsi="仿宋_GB2312" w:cs="仿宋_GB2312"/>
          <w:shd w:val="clear" w:color="auto" w:fill="FFFFFF"/>
        </w:rPr>
        <w:t>区域大数据加工服务产业集群。鼓励大数据产业园建设发展，构建“采、存、治、研、教、用”为一体的大数据产业链发展创新区域。</w:t>
      </w:r>
      <w:r>
        <w:rPr>
          <w:shd w:val="clear" w:color="auto" w:fill="FFFFFF"/>
        </w:rPr>
        <w:t>发挥龙头企业示范主体作用，鼓励龙头企业为中小企业提供数据、算法、算力等资源，推动大中小企业融通发展和产业链上下游协同创新。</w:t>
      </w:r>
      <w:r>
        <w:rPr>
          <w:rFonts w:hint="eastAsia" w:ascii="仿宋_GB2312" w:hAnsi="仿宋_GB2312" w:cs="仿宋_GB2312"/>
          <w:shd w:val="clear" w:color="auto" w:fill="FFFFFF"/>
        </w:rPr>
        <w:t>推动政府各部门、企业与</w:t>
      </w:r>
      <w:r>
        <w:rPr>
          <w:rFonts w:hint="eastAsia" w:ascii="仿宋_GB2312" w:hAnsi="仿宋_GB2312" w:cs="仿宋_GB2312"/>
          <w:shd w:val="clear" w:color="auto" w:fill="FFFFFF"/>
          <w:lang w:val="en-US"/>
        </w:rPr>
        <w:t>南阳大数据研究院、</w:t>
      </w:r>
      <w:r>
        <w:rPr>
          <w:rFonts w:hint="eastAsia" w:ascii="仿宋_GB2312" w:hAnsi="仿宋_GB2312" w:cs="仿宋_GB2312"/>
          <w:shd w:val="clear" w:color="auto" w:fill="FFFFFF"/>
        </w:rPr>
        <w:t>中科院计算所大数据研究院（南阳）大数据应用技术实验室等研究机构</w:t>
      </w:r>
      <w:r>
        <w:rPr>
          <w:rFonts w:hint="eastAsia" w:ascii="仿宋_GB2312" w:hAnsi="仿宋_GB2312" w:cs="仿宋_GB2312"/>
          <w:bCs/>
          <w:shd w:val="clear" w:color="auto" w:fill="FFFFFF"/>
        </w:rPr>
        <w:t>及相关驻宛</w:t>
      </w:r>
      <w:r>
        <w:rPr>
          <w:rFonts w:hint="eastAsia" w:ascii="仿宋_GB2312" w:hAnsi="仿宋_GB2312" w:cs="仿宋_GB2312"/>
          <w:shd w:val="clear" w:color="auto" w:fill="FFFFFF"/>
        </w:rPr>
        <w:t>高校、大数据企业间的合作，通过项目建设、购买服务、联合运营等方式，在智慧城市、环保、交通物流、金融、信息化等领域落地一批大数据项目。建立科技创新服务平台和创新服务中心，</w:t>
      </w:r>
      <w:r>
        <w:rPr>
          <w:rFonts w:hint="eastAsia" w:ascii="仿宋_GB2312" w:hAnsi="仿宋_GB2312" w:cs="仿宋_GB2312"/>
          <w:bCs/>
          <w:shd w:val="clear" w:color="auto" w:fill="FFFFFF"/>
        </w:rPr>
        <w:t>培育</w:t>
      </w:r>
      <w:r>
        <w:rPr>
          <w:rFonts w:hint="eastAsia" w:ascii="仿宋_GB2312" w:hAnsi="仿宋_GB2312" w:cs="仿宋_GB2312"/>
          <w:shd w:val="clear" w:color="auto" w:fill="FFFFFF"/>
        </w:rPr>
        <w:t>人工智能、数字孪生、</w:t>
      </w:r>
      <w:r>
        <w:rPr>
          <w:rFonts w:hint="eastAsia" w:ascii="仿宋_GB2312" w:hAnsi="仿宋_GB2312" w:cs="仿宋_GB2312"/>
          <w:shd w:val="clear" w:color="auto" w:fill="FFFFFF"/>
          <w:lang w:val="en-US"/>
        </w:rPr>
        <w:t>数据中台</w:t>
      </w:r>
      <w:r>
        <w:rPr>
          <w:rFonts w:hint="eastAsia" w:ascii="仿宋_GB2312" w:hAnsi="仿宋_GB2312" w:cs="仿宋_GB2312"/>
          <w:shd w:val="clear" w:color="auto" w:fill="FFFFFF"/>
        </w:rPr>
        <w:t>等创新能力，促进大数据科研成果在本地进行转化、转移和孵化。发展政务数据存储服务，争取省级数据资源库入驻，为中原城市群提供政务数据异地灾</w:t>
      </w:r>
      <w:r>
        <w:rPr>
          <w:rFonts w:hint="eastAsia" w:ascii="仿宋_GB2312" w:hAnsi="仿宋_GB2312" w:cs="仿宋_GB2312"/>
          <w:bCs/>
          <w:shd w:val="clear" w:color="auto" w:fill="FFFFFF"/>
        </w:rPr>
        <w:t>备</w:t>
      </w:r>
      <w:r>
        <w:rPr>
          <w:rFonts w:hint="eastAsia" w:ascii="仿宋_GB2312" w:hAnsi="仿宋_GB2312" w:cs="仿宋_GB2312"/>
          <w:shd w:val="clear" w:color="auto" w:fill="FFFFFF"/>
        </w:rPr>
        <w:t>服务。着力发展数据安全产业，引导企业在安全产品研发、技术咨询、服务运维、测试认证、安全培训等领域做精做专。</w:t>
      </w:r>
      <w:bookmarkStart w:id="126" w:name="_Toc28215"/>
      <w:bookmarkStart w:id="127" w:name="_Toc78374535"/>
      <w:bookmarkStart w:id="128" w:name="_Toc89345833"/>
    </w:p>
    <w:p>
      <w:pPr>
        <w:spacing w:line="560" w:lineRule="exact"/>
        <w:contextualSpacing/>
        <w:jc w:val="center"/>
        <w:outlineLvl w:val="1"/>
        <w:rPr>
          <w:rFonts w:ascii="楷体_GB2312" w:hAnsi="楷体_GB2312" w:eastAsia="楷体_GB2312" w:cs="楷体_GB2312"/>
          <w:bCs/>
        </w:rPr>
      </w:pPr>
      <w:r>
        <w:rPr>
          <w:rFonts w:hint="eastAsia" w:ascii="楷体_GB2312" w:hAnsi="楷体_GB2312" w:eastAsia="楷体_GB2312" w:cs="楷体_GB2312"/>
          <w:bCs/>
        </w:rPr>
        <w:t>第三节 创新大数据服务模式</w:t>
      </w:r>
      <w:bookmarkEnd w:id="126"/>
      <w:bookmarkEnd w:id="127"/>
      <w:bookmarkEnd w:id="128"/>
    </w:p>
    <w:p>
      <w:pPr>
        <w:pStyle w:val="4"/>
        <w:spacing w:line="560" w:lineRule="exact"/>
        <w:ind w:firstLine="640" w:firstLineChars="200"/>
        <w:contextualSpacing/>
        <w:rPr>
          <w:rFonts w:ascii="仿宋_GB2312" w:hAnsi="仿宋_GB2312" w:cs="仿宋_GB2312"/>
          <w:shd w:val="clear" w:color="auto" w:fill="FFFFFF"/>
        </w:rPr>
      </w:pPr>
      <w:r>
        <w:rPr>
          <w:rFonts w:hint="eastAsia" w:ascii="仿宋_GB2312" w:hAnsi="仿宋_GB2312" w:cs="仿宋_GB2312"/>
          <w:shd w:val="clear" w:color="auto" w:fill="FFFFFF"/>
        </w:rPr>
        <w:t>加快培育数据即服务新模式和新业态，提升大数据服务能力，降低大数据应用门槛和成本。推进大数据与云计算服务模式融合，促进海量数据、大规模分布式计算和智能数据分析等公共云计算服务发展，提升第三方大数据技术服务能力。支持跨区域、跨部门、跨行业</w:t>
      </w:r>
      <w:r>
        <w:rPr>
          <w:rFonts w:hint="eastAsia"/>
          <w:bCs/>
          <w:shd w:val="clear" w:color="auto" w:fill="FFFFFF"/>
        </w:rPr>
        <w:t>数据驱动的产融合作</w:t>
      </w:r>
      <w:r>
        <w:rPr>
          <w:rFonts w:hint="eastAsia" w:ascii="仿宋_GB2312" w:hAnsi="仿宋_GB2312" w:cs="仿宋_GB2312"/>
          <w:shd w:val="clear" w:color="auto" w:fill="FFFFFF"/>
        </w:rPr>
        <w:t>和协同创新，建设一批政务民生、绿色农业、中药康养、装备制造、新能源等产业大数据应用创新</w:t>
      </w:r>
      <w:r>
        <w:rPr>
          <w:rFonts w:hint="eastAsia"/>
          <w:bCs/>
          <w:shd w:val="clear" w:color="auto" w:fill="FFFFFF"/>
        </w:rPr>
        <w:t>推广</w:t>
      </w:r>
      <w:r>
        <w:rPr>
          <w:rFonts w:hint="eastAsia" w:ascii="仿宋_GB2312" w:hAnsi="仿宋_GB2312" w:cs="仿宋_GB2312"/>
          <w:shd w:val="clear" w:color="auto" w:fill="FFFFFF"/>
        </w:rPr>
        <w:t>中心，推动大数据服务与各相关行业深度结合，培育面向垂直领域的大数据服务模式，推进企业、高校和科研院所共同探索大数据创新的新模式。支持具备条件的数据运营单位探索数据确权、定价、交易的机制和模式，开展数据要素价值化试点，尝试建立数据价值化试验基地。</w:t>
      </w:r>
    </w:p>
    <w:p>
      <w:pPr>
        <w:pStyle w:val="2"/>
        <w:ind w:firstLine="640"/>
        <w:rPr>
          <w:shd w:val="clear" w:color="auto" w:fill="FFFFFF"/>
          <w:lang w:val="zh-CN" w:bidi="zh-CN"/>
        </w:rPr>
      </w:pPr>
      <w:r>
        <w:rPr>
          <w:shd w:val="clear" w:color="auto" w:fill="FFFFFF"/>
        </w:rPr>
        <w:br w:type="page"/>
      </w:r>
    </w:p>
    <w:p>
      <w:pPr>
        <w:pStyle w:val="4"/>
        <w:spacing w:line="560" w:lineRule="exact"/>
        <w:ind w:firstLine="640" w:firstLineChars="200"/>
        <w:contextualSpacing/>
        <w:rPr>
          <w:rFonts w:ascii="仿宋_GB2312" w:hAnsi="仿宋_GB2312" w:cs="仿宋_GB2312"/>
          <w:shd w:val="clear" w:color="auto" w:fill="FFFFFF"/>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496"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仿宋_GB2312" w:hAnsi="仿宋_GB2312" w:cs="仿宋_GB2312"/>
                <w:sz w:val="24"/>
              </w:rPr>
            </w:pPr>
            <w:r>
              <w:rPr>
                <w:rFonts w:hint="eastAsia" w:ascii="黑体" w:hAnsi="黑体" w:eastAsia="黑体" w:cs="黑体"/>
                <w:sz w:val="28"/>
                <w:szCs w:val="28"/>
              </w:rPr>
              <w:t>专栏2：南阳大数据产业生态培育工程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0" w:hRule="atLeast"/>
          <w:jc w:val="center"/>
        </w:trPr>
        <w:tc>
          <w:tcPr>
            <w:tcW w:w="849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contextualSpacing/>
              <w:jc w:val="left"/>
              <w:rPr>
                <w:rFonts w:ascii="仿宋_GB2312" w:hAnsi="仿宋_GB2312" w:cs="仿宋_GB2312"/>
                <w:bCs/>
                <w:sz w:val="24"/>
              </w:rPr>
            </w:pPr>
            <w:r>
              <w:rPr>
                <w:rFonts w:hint="eastAsia" w:ascii="楷体" w:hAnsi="楷体" w:eastAsia="楷体" w:cs="楷体"/>
                <w:bCs/>
                <w:sz w:val="24"/>
              </w:rPr>
              <w:t>加快大数据产业集聚发展。</w:t>
            </w:r>
            <w:r>
              <w:rPr>
                <w:rFonts w:hint="eastAsia" w:ascii="仿宋_GB2312" w:hAnsi="仿宋_GB2312" w:cs="仿宋_GB2312"/>
                <w:sz w:val="24"/>
              </w:rPr>
              <w:t>依托中关村E谷（南阳）软件创新创业基地、南阳市中关村信息谷创新中心，进一步加强京宛项目交流对接，强化以商招商，促成大数据企业落户和项目落地。依托与华为公司合作建设的南阳白河大数据产业园，加大产业扶持力度，进一步发挥“云服务和大数据产业发展专项资金”的引领作用，支持企业将基础设施、业务系统、设备产品向云端迁移，加快“云+智能”融合，着力打造5G+大数据产业高地。支持牧原集团全球生猪养殖肉食品数字平台、卧龙综合保税区独立数字产业功能综合体等重点项目建设。在南水北调保护区域内建设大数据小镇，在南召县、西峡县、桐柏县等矿业资源丰富的县域建设矿业大数据产业园，在西峡县、内乡县、镇平县等县域建设文旅大数据产业园，在唐河县、淅川县等县域建设大数据中心和灾备中心。</w:t>
            </w:r>
          </w:p>
          <w:p>
            <w:pPr>
              <w:spacing w:line="400" w:lineRule="exact"/>
              <w:ind w:firstLine="480" w:firstLineChars="200"/>
              <w:contextualSpacing/>
              <w:jc w:val="left"/>
              <w:rPr>
                <w:rFonts w:ascii="仿宋_GB2312" w:hAnsi="仿宋_GB2312" w:cs="仿宋_GB2312"/>
                <w:sz w:val="24"/>
              </w:rPr>
            </w:pPr>
            <w:r>
              <w:rPr>
                <w:rFonts w:hint="eastAsia" w:ascii="楷体" w:hAnsi="楷体" w:eastAsia="楷体" w:cs="楷体"/>
                <w:bCs/>
                <w:sz w:val="24"/>
              </w:rPr>
              <w:t>推进大数据产业链式发展。</w:t>
            </w:r>
            <w:r>
              <w:rPr>
                <w:rFonts w:hint="eastAsia" w:ascii="仿宋_GB2312" w:hAnsi="仿宋_GB2312" w:cs="仿宋_GB2312"/>
                <w:sz w:val="24"/>
              </w:rPr>
              <w:t>深入落实国家大数据（河南）综合试验区的各项优惠政策，依托大数据技术进行精准招商，坚持大力引进与加快培育并重，推动大数据龙头企业及行业优势企业做大做强，吸引上下游企业集聚落地、链式发展，全面提升产业链现代化水平，形成大企业引领、中小企业配套的大数据产业生态体系。</w:t>
            </w:r>
          </w:p>
          <w:p>
            <w:pPr>
              <w:spacing w:line="400" w:lineRule="exact"/>
              <w:ind w:firstLine="480" w:firstLineChars="200"/>
              <w:contextualSpacing/>
              <w:jc w:val="left"/>
              <w:rPr>
                <w:rFonts w:ascii="仿宋_GB2312" w:hAnsi="仿宋_GB2312" w:cs="仿宋_GB2312"/>
                <w:bCs/>
                <w:sz w:val="24"/>
              </w:rPr>
            </w:pPr>
            <w:r>
              <w:rPr>
                <w:rFonts w:hint="eastAsia" w:ascii="楷体" w:hAnsi="楷体" w:eastAsia="楷体" w:cs="楷体"/>
                <w:bCs/>
                <w:sz w:val="24"/>
              </w:rPr>
              <w:t>推进产业大数据应用创新。</w:t>
            </w:r>
            <w:r>
              <w:rPr>
                <w:rFonts w:hint="eastAsia" w:ascii="仿宋_GB2312" w:hAnsi="仿宋_GB2312" w:cs="仿宋_GB2312"/>
                <w:sz w:val="24"/>
              </w:rPr>
              <w:t>围绕重点产业优先推动数据汇聚，建立产业数据主题库。结合南阳特色产业、重点产业打造一批“大数据+产业”试点，支持建设一批产业大数据创新中心，推动企业、高校和科研院所建立联盟，推进应用示范推广和专业人才培养引进，促进研究成果转化。支持南阳大数据应用技术实验室等研究机构、高校学院等积极探索大数据发展的前沿方向与发展趋势，结合南阳特色搭建城市发展、人才培养、产城融合协同发展的“政、产、学、研、创、用”一体化的大数据产业发展平台，推动大数据技术在经济社会各领域的应用。</w:t>
            </w:r>
          </w:p>
        </w:tc>
      </w:tr>
    </w:tbl>
    <w:p>
      <w:pPr>
        <w:spacing w:line="560" w:lineRule="exact"/>
        <w:ind w:left="640" w:leftChars="200"/>
        <w:contextualSpacing/>
        <w:jc w:val="center"/>
        <w:outlineLvl w:val="0"/>
        <w:rPr>
          <w:rFonts w:ascii="黑体" w:hAnsi="黑体" w:eastAsia="黑体" w:cs="黑体"/>
        </w:rPr>
      </w:pPr>
      <w:bookmarkStart w:id="129" w:name="_Toc89345834"/>
      <w:bookmarkStart w:id="130" w:name="_Toc2565"/>
      <w:r>
        <w:rPr>
          <w:rFonts w:hint="eastAsia" w:ascii="黑体" w:hAnsi="黑体" w:eastAsia="黑体" w:cs="黑体"/>
        </w:rPr>
        <w:t>第五章 发展数字核心产业，筑牢数字强市根基</w:t>
      </w:r>
      <w:bookmarkEnd w:id="129"/>
      <w:bookmarkEnd w:id="130"/>
    </w:p>
    <w:p>
      <w:pPr>
        <w:spacing w:line="560" w:lineRule="exact"/>
        <w:ind w:firstLine="640" w:firstLineChars="200"/>
        <w:contextualSpacing/>
        <w:jc w:val="center"/>
        <w:outlineLvl w:val="1"/>
        <w:rPr>
          <w:rFonts w:ascii="楷体_GB2312" w:hAnsi="楷体_GB2312" w:eastAsia="楷体_GB2312" w:cs="楷体_GB2312"/>
          <w:bCs/>
        </w:rPr>
      </w:pPr>
      <w:bookmarkStart w:id="131" w:name="_Toc89345835"/>
      <w:bookmarkStart w:id="132" w:name="_Toc23598"/>
      <w:r>
        <w:rPr>
          <w:rFonts w:hint="eastAsia" w:ascii="楷体_GB2312" w:hAnsi="楷体_GB2312" w:eastAsia="楷体_GB2312" w:cs="楷体_GB2312"/>
          <w:bCs/>
        </w:rPr>
        <w:t>第一节  提升壮大优势新兴产业</w:t>
      </w:r>
      <w:bookmarkEnd w:id="131"/>
      <w:bookmarkEnd w:id="132"/>
    </w:p>
    <w:p>
      <w:pPr>
        <w:spacing w:line="560" w:lineRule="exact"/>
        <w:ind w:firstLine="640" w:firstLineChars="200"/>
        <w:contextualSpacing/>
        <w:rPr>
          <w:rFonts w:ascii="仿宋_GB2312" w:hAnsi="仿宋_GB2312" w:cs="仿宋_GB2312"/>
          <w:bCs/>
        </w:rPr>
      </w:pPr>
      <w:r>
        <w:rPr>
          <w:rFonts w:hint="eastAsia" w:ascii="仿宋_GB2312" w:hAnsi="仿宋_GB2312" w:cs="仿宋_GB2312"/>
          <w:bCs/>
          <w:kern w:val="0"/>
        </w:rPr>
        <w:t>1.光电产业。</w:t>
      </w:r>
      <w:r>
        <w:rPr>
          <w:rFonts w:hint="eastAsia" w:ascii="仿宋_GB2312" w:hAnsi="仿宋_GB2312" w:cs="仿宋_GB2312"/>
        </w:rPr>
        <w:t>强力推进光电产业集群发展，大力突破纳米光学、功能镀膜、数字微显示等基础前沿与关键核心技术。依托南阳光电国家高新技术产业化基地，打造功能薄膜产业基地、光显示产业基地、微纳光学产业基地、智能安防与军用光学产业基地等产业基地。充分挖掘在光感知、光成像、光显示、光通讯、光显微、光照明、光能源、光存储、光互联等领域的产业化、拓展化、综合化应用，加快实现规模化量产。围绕移动互联网、物联网、人工智能、虚拟现实等新兴产业，以光学功能镀膜、光学元组件、光敏感元器件、光学镜头、光机为重点，依托链主企业建立光电产业联盟。创建光电产业原创技术策源地，培育、拉伸数字光电产业链，建设产品检测、集采、物流等公共服务平台，做强光学元器件，做优车载显示、光电侦查组部件，做大光学功能薄膜产品及镀膜装备，打造中国“膜都”“光电产业谷”。</w:t>
      </w:r>
    </w:p>
    <w:p>
      <w:pPr>
        <w:spacing w:line="560" w:lineRule="exact"/>
        <w:ind w:firstLine="640" w:firstLineChars="200"/>
        <w:contextualSpacing/>
        <w:rPr>
          <w:rFonts w:ascii="仿宋_GB2312" w:hAnsi="仿宋_GB2312" w:cs="仿宋_GB2312"/>
          <w:bCs/>
        </w:rPr>
      </w:pPr>
      <w:r>
        <w:rPr>
          <w:rFonts w:hint="eastAsia" w:ascii="仿宋_GB2312" w:hAnsi="仿宋_GB2312" w:cs="仿宋_GB2312"/>
          <w:bCs/>
        </w:rPr>
        <w:t>2.</w:t>
      </w:r>
      <w:r>
        <w:rPr>
          <w:rFonts w:hint="eastAsia" w:ascii="仿宋_GB2312" w:hAnsi="仿宋_GB2312" w:cs="仿宋_GB2312"/>
          <w:bCs/>
          <w:lang w:eastAsia="zh-Hans"/>
        </w:rPr>
        <w:t>新型显示和智能终端</w:t>
      </w:r>
      <w:r>
        <w:rPr>
          <w:rFonts w:hint="eastAsia" w:ascii="仿宋_GB2312" w:hAnsi="仿宋_GB2312" w:cs="仿宋_GB2312"/>
          <w:bCs/>
        </w:rPr>
        <w:t>。</w:t>
      </w:r>
      <w:r>
        <w:rPr>
          <w:rFonts w:hint="eastAsia" w:ascii="仿宋_GB2312" w:hAnsi="仿宋_GB2312" w:cs="仿宋_GB2312"/>
          <w:shd w:val="clear" w:color="auto" w:fill="FFFFFF"/>
        </w:rPr>
        <w:t>把握新型显示和智能终端产业发展趋势，坚持“龙头带动、屏端联动、集群配套、链式延伸”，重点发展数字投影机、AR-HUD抬头显示系统、智能眼镜、超高清视频显示、高性能光学镜头、高世代薄膜晶体管液晶显示器（TFT-LCD）、大尺寸有源矩阵有机发光二极体（AMOLED）面板、中小尺寸柔性折叠屏、</w:t>
      </w:r>
      <w:r>
        <w:rPr>
          <w:rFonts w:hint="eastAsia" w:ascii="仿宋_GB2312" w:hAnsi="仿宋_GB2312" w:cs="仿宋_GB2312"/>
        </w:rPr>
        <w:t>车载影像显示器件</w:t>
      </w:r>
      <w:r>
        <w:rPr>
          <w:rFonts w:hint="eastAsia" w:ascii="仿宋_GB2312" w:hAnsi="仿宋_GB2312" w:cs="仿宋_GB2312"/>
          <w:shd w:val="clear" w:color="auto" w:fill="FFFFFF"/>
        </w:rPr>
        <w:t>、可穿戴智能设备、智能仪器仪表等关键产品。围绕生产制造、文化教育、医疗健康、娱乐消费等领域智能化发展需求，积极发展基于5G技术的数字影音、智能家居、智能安防、智能可穿戴设备、虚拟现实（AR）/增强现实（VR）等新型智能终端产品，形成与全省产业链相匹配的产业集群。</w:t>
      </w:r>
    </w:p>
    <w:p>
      <w:pPr>
        <w:spacing w:line="560" w:lineRule="exact"/>
        <w:ind w:firstLine="640" w:firstLineChars="200"/>
        <w:contextualSpacing/>
        <w:rPr>
          <w:rFonts w:ascii="楷体_GB2312" w:hAnsi="楷体_GB2312" w:eastAsia="楷体_GB2312" w:cs="楷体_GB2312"/>
          <w:bCs/>
        </w:rPr>
      </w:pPr>
      <w:r>
        <w:rPr>
          <w:rFonts w:hint="eastAsia" w:ascii="仿宋_GB2312" w:hAnsi="仿宋_GB2312" w:cs="仿宋_GB2312"/>
          <w:bCs/>
        </w:rPr>
        <w:t>3.智能传感器产业。</w:t>
      </w:r>
      <w:r>
        <w:rPr>
          <w:rFonts w:hint="eastAsia" w:ascii="仿宋_GB2312" w:hAnsi="仿宋_GB2312" w:cs="仿宋_GB2312"/>
        </w:rPr>
        <w:t>聚焦智能家居、智能安防、智慧消防、智慧医疗、智能交通、智能装备、消费电子等重点应用领域</w:t>
      </w:r>
      <w:r>
        <w:rPr>
          <w:rFonts w:hint="eastAsia" w:ascii="仿宋_GB2312" w:hAnsi="仿宋_GB2312" w:cs="仿宋_GB2312"/>
          <w:bCs/>
        </w:rPr>
        <w:t>，做强智能终端传感器，重点打造智能传感器材料、智能传感器系统、智能传感器终端产业链环节和产业集群。</w:t>
      </w:r>
      <w:r>
        <w:rPr>
          <w:rFonts w:hint="eastAsia" w:ascii="仿宋_GB2312" w:hAnsi="仿宋_GB2312" w:cs="仿宋_GB2312"/>
        </w:rPr>
        <w:t>立足热释电红外传感器、可见光传感器、防爆仪表、火焰传感器、压力传感器、温度传感器、气体传感器等主导产品，聚焦市场需求，</w:t>
      </w:r>
      <w:r>
        <w:rPr>
          <w:rFonts w:hint="eastAsia" w:ascii="仿宋_GB2312" w:hAnsi="仿宋_GB2312" w:cs="仿宋_GB2312"/>
          <w:kern w:val="0"/>
        </w:rPr>
        <w:t>加快智能传感器在重点领域推广应用</w:t>
      </w:r>
      <w:r>
        <w:rPr>
          <w:rFonts w:hint="eastAsia" w:ascii="仿宋_GB2312" w:hAnsi="仿宋_GB2312" w:cs="仿宋_GB2312"/>
        </w:rPr>
        <w:t>。搭建核心共性技术协同创新平台，支持重点企业深化交流合作，依托技术创新服务平台，加大研发投入，着力优化制造工艺，提高产品性能，加速向智能化、微型化、多功能化演进。推动形成智能传感器材料、设备、设计、制造、封装、测试、系统集成和重点应用产业链。</w:t>
      </w:r>
      <w:bookmarkStart w:id="133" w:name="_Toc89345836"/>
      <w:bookmarkStart w:id="134" w:name="_Toc14954"/>
    </w:p>
    <w:p>
      <w:pPr>
        <w:spacing w:line="560" w:lineRule="exact"/>
        <w:contextualSpacing/>
        <w:jc w:val="center"/>
        <w:outlineLvl w:val="1"/>
        <w:rPr>
          <w:rFonts w:ascii="楷体_GB2312" w:hAnsi="楷体_GB2312" w:eastAsia="楷体_GB2312" w:cs="楷体_GB2312"/>
          <w:bCs/>
        </w:rPr>
      </w:pPr>
      <w:r>
        <w:rPr>
          <w:rFonts w:hint="eastAsia" w:ascii="楷体_GB2312" w:hAnsi="楷体_GB2312" w:eastAsia="楷体_GB2312" w:cs="楷体_GB2312"/>
          <w:bCs/>
        </w:rPr>
        <w:t>第二节 补强延展关键新兴产业</w:t>
      </w:r>
      <w:bookmarkEnd w:id="133"/>
      <w:bookmarkEnd w:id="134"/>
    </w:p>
    <w:p>
      <w:pPr>
        <w:spacing w:line="560" w:lineRule="exact"/>
        <w:ind w:firstLine="640" w:firstLineChars="200"/>
        <w:contextualSpacing/>
        <w:rPr>
          <w:rFonts w:ascii="仿宋_GB2312" w:hAnsi="仿宋_GB2312" w:cs="仿宋_GB2312"/>
        </w:rPr>
      </w:pPr>
      <w:r>
        <w:rPr>
          <w:rFonts w:hint="eastAsia" w:ascii="仿宋_GB2312" w:hAnsi="仿宋_GB2312" w:cs="仿宋_GB2312"/>
        </w:rPr>
        <w:t>1. 5G产业。设立5G产业发展引导基金，加快推进5G基础设施建设，搭建5G创新平台，构建“网络、应用、平台、产业”一体化的5G创新应用环境。围绕5G智能终端设备延链、补链，大力发展潜望式手机棱镜、窄带滤光片、中大尺寸盖板、摄像头盖板、手机摄像头镜片、智能终端结构件等5G智能终端元器件产业。聚焦5G智能终端产业，引进一批重点企业，探索与国内重点行业龙头企业合作。支持企业建设基于5G无线网络技术并具有行业先进水平的智能工厂、智能车间。深入推进5G赋能千行百业，推动生产方式、生活方式和治理方式升级，在重点领域树立标杆5G应用场景。</w:t>
      </w:r>
      <w:r>
        <w:rPr>
          <w:rFonts w:hint="eastAsia" w:ascii="仿宋_GB2312" w:hAnsi="仿宋_GB2312" w:cs="仿宋_GB2312"/>
          <w:shd w:val="clear" w:color="auto" w:fill="FFFFFF"/>
        </w:rPr>
        <w:t>积极拓展5G+智能制造、5G+智慧医疗、5G+智慧城市、5G+智慧农业、5G+智慧文旅、5G+智慧广电等应用场景，</w:t>
      </w:r>
      <w:r>
        <w:rPr>
          <w:rFonts w:hint="eastAsia" w:ascii="仿宋_GB2312" w:hAnsi="仿宋_GB2312" w:cs="仿宋_GB2312"/>
        </w:rPr>
        <w:t>大力推进牧原5G智慧养殖项目、卧龙岗景区智慧旅游项目、南阳博物</w:t>
      </w:r>
      <w:r>
        <w:rPr>
          <w:rFonts w:hint="eastAsia" w:ascii="仿宋_GB2312" w:hAnsi="仿宋_GB2312" w:cs="仿宋_GB2312"/>
          <w:shd w:val="clear" w:color="auto" w:fill="FFFFFF"/>
        </w:rPr>
        <w:t>馆5G示范项目、南阳油田“5G+物联网+智慧油田”等本地标杆示范项目建设。</w:t>
      </w:r>
    </w:p>
    <w:p>
      <w:pPr>
        <w:spacing w:line="560" w:lineRule="exact"/>
        <w:ind w:firstLine="627" w:firstLineChars="196"/>
        <w:contextualSpacing/>
        <w:rPr>
          <w:rFonts w:ascii="仿宋_GB2312" w:hAnsi="仿宋_GB2312" w:cs="仿宋_GB2312"/>
        </w:rPr>
      </w:pPr>
      <w:r>
        <w:rPr>
          <w:rFonts w:hint="eastAsia" w:ascii="仿宋_GB2312" w:hAnsi="仿宋_GB2312" w:cs="仿宋_GB2312"/>
        </w:rPr>
        <w:t>2.软件和信息技术服务业。面向政务、金融、医疗、教育、文娱动漫等行业需求，有组织、有计划地引进与培育软件与大数据企业。围绕省、市及周边工业重点领域，引进、培育一批面向研发设计、生产制造、经营管理、可追溯等环节的新型工业应用软件和解决方案提供商。依托南阳软件产业技术创新战略联盟、南阳理工学院、南阳师范学院等驻宛高校人才优势和技术优势，支持本地企业、研究机构联合开展各类行业应用设备、产品的配套软件、配套信息化管理系统、嵌入式操作系统及软件的研发，加快推广市场成熟的国产软件、操作系统、数据库、中间件等基础软件和信息管理软件产品和应用。</w:t>
      </w:r>
    </w:p>
    <w:p>
      <w:pPr>
        <w:spacing w:line="560" w:lineRule="exact"/>
        <w:ind w:firstLine="627" w:firstLineChars="196"/>
        <w:contextualSpacing/>
        <w:rPr>
          <w:rFonts w:hAnsi="Times New Roman Regular" w:cs="Times New Roman Regular"/>
        </w:rPr>
      </w:pPr>
      <w:r>
        <w:rPr>
          <w:rFonts w:hint="eastAsia" w:ascii="仿宋_GB2312" w:hAnsi="仿宋_GB2312" w:cs="仿宋_GB2312"/>
        </w:rPr>
        <w:t>3.网络安全产业。</w:t>
      </w:r>
      <w:r>
        <w:rPr>
          <w:rFonts w:hint="eastAsia" w:hAnsi="Times New Roman Regular" w:cs="Times New Roman Regular"/>
          <w:lang w:eastAsia="zh-Hans"/>
        </w:rPr>
        <w:t>建立产学研用一体化网络安全产业生态体系，</w:t>
      </w:r>
      <w:r>
        <w:rPr>
          <w:rFonts w:hAnsi="Times New Roman Regular" w:cs="Times New Roman Regular"/>
        </w:rPr>
        <w:t>支持</w:t>
      </w:r>
      <w:r>
        <w:rPr>
          <w:rFonts w:hint="eastAsia" w:hAnsi="Times New Roman Regular" w:cs="Times New Roman Regular"/>
        </w:rPr>
        <w:t>优势</w:t>
      </w:r>
      <w:r>
        <w:rPr>
          <w:rFonts w:hAnsi="Times New Roman Regular" w:cs="Times New Roman Regular"/>
        </w:rPr>
        <w:t>企业建设</w:t>
      </w:r>
      <w:r>
        <w:rPr>
          <w:rFonts w:hint="eastAsia" w:hAnsi="Times New Roman Regular" w:cs="Times New Roman Regular"/>
        </w:rPr>
        <w:t>网络安全创新研发</w:t>
      </w:r>
      <w:r>
        <w:rPr>
          <w:rFonts w:hAnsi="Times New Roman Regular" w:cs="Times New Roman Regular"/>
        </w:rPr>
        <w:t>平台</w:t>
      </w:r>
      <w:r>
        <w:rPr>
          <w:rFonts w:hAnsi="Times New Roman Regular" w:cs="Times New Roman Regular"/>
          <w:lang w:eastAsia="zh-Hans"/>
        </w:rPr>
        <w:t>，</w:t>
      </w:r>
      <w:r>
        <w:rPr>
          <w:rFonts w:hint="eastAsia" w:hAnsi="Times New Roman Regular" w:cs="Times New Roman Regular"/>
        </w:rPr>
        <w:t>加强</w:t>
      </w:r>
      <w:r>
        <w:rPr>
          <w:rFonts w:hAnsi="Times New Roman Regular" w:cs="Times New Roman Regular"/>
          <w:lang w:eastAsia="zh-Hans"/>
        </w:rPr>
        <w:t>与</w:t>
      </w:r>
      <w:r>
        <w:rPr>
          <w:rFonts w:hint="eastAsia" w:hAnsi="Times New Roman Regular" w:cs="Times New Roman Regular"/>
        </w:rPr>
        <w:t>驻宛高校、科研机构</w:t>
      </w:r>
      <w:r>
        <w:rPr>
          <w:rFonts w:hAnsi="Times New Roman Regular" w:cs="Times New Roman Regular"/>
          <w:lang w:eastAsia="zh-Hans"/>
        </w:rPr>
        <w:t>合作</w:t>
      </w:r>
      <w:r>
        <w:rPr>
          <w:rFonts w:hint="eastAsia" w:hAnsi="Times New Roman Regular" w:cs="Times New Roman Regular"/>
        </w:rPr>
        <w:t>，发展</w:t>
      </w:r>
      <w:r>
        <w:rPr>
          <w:rFonts w:hAnsi="Times New Roman Regular" w:cs="Times New Roman Regular"/>
        </w:rPr>
        <w:t>安全态势感知、网络主动防御、大数据安全、</w:t>
      </w:r>
      <w:r>
        <w:rPr>
          <w:rFonts w:hint="eastAsia" w:hAnsi="Times New Roman Regular" w:cs="Times New Roman Regular"/>
        </w:rPr>
        <w:t>信息加密</w:t>
      </w:r>
      <w:r>
        <w:rPr>
          <w:rFonts w:hAnsi="Times New Roman Regular" w:cs="Times New Roman Regular"/>
        </w:rPr>
        <w:t>等</w:t>
      </w:r>
      <w:r>
        <w:rPr>
          <w:rFonts w:hint="eastAsia" w:hAnsi="Times New Roman Regular" w:cs="Times New Roman Regular"/>
        </w:rPr>
        <w:t>优势</w:t>
      </w:r>
      <w:r>
        <w:rPr>
          <w:rFonts w:hAnsi="Times New Roman Regular" w:cs="Times New Roman Regular"/>
        </w:rPr>
        <w:t>技术</w:t>
      </w:r>
      <w:r>
        <w:rPr>
          <w:rFonts w:hint="eastAsia" w:hAnsi="Times New Roman Regular" w:cs="Times New Roman Regular"/>
        </w:rPr>
        <w:t>，推广国产化网络安全和信息安全产品和服务，</w:t>
      </w:r>
      <w:r>
        <w:rPr>
          <w:rFonts w:hAnsi="Times New Roman Regular" w:cs="Times New Roman Regular"/>
        </w:rPr>
        <w:t>吸引带动产业链</w:t>
      </w:r>
      <w:r>
        <w:rPr>
          <w:rFonts w:hint="eastAsia" w:hAnsi="Times New Roman Regular" w:cs="Times New Roman Regular"/>
        </w:rPr>
        <w:t>相关</w:t>
      </w:r>
      <w:r>
        <w:rPr>
          <w:rFonts w:hAnsi="Times New Roman Regular" w:cs="Times New Roman Regular"/>
        </w:rPr>
        <w:t>企业集聚发展。</w:t>
      </w:r>
    </w:p>
    <w:p>
      <w:pPr>
        <w:spacing w:line="560" w:lineRule="exact"/>
        <w:ind w:firstLine="640" w:firstLineChars="200"/>
        <w:contextualSpacing/>
        <w:jc w:val="center"/>
        <w:outlineLvl w:val="1"/>
        <w:rPr>
          <w:rFonts w:ascii="楷体_GB2312" w:hAnsi="楷体_GB2312" w:eastAsia="楷体_GB2312" w:cs="楷体_GB2312"/>
          <w:bCs/>
        </w:rPr>
      </w:pPr>
      <w:bookmarkStart w:id="135" w:name="_Toc89345837"/>
      <w:bookmarkStart w:id="136" w:name="_Toc4415"/>
      <w:r>
        <w:rPr>
          <w:rFonts w:hint="eastAsia" w:ascii="楷体_GB2312" w:hAnsi="楷体_GB2312" w:eastAsia="楷体_GB2312" w:cs="楷体_GB2312"/>
          <w:bCs/>
        </w:rPr>
        <w:t>第三节  谋篇布局前沿未来产业</w:t>
      </w:r>
      <w:bookmarkEnd w:id="135"/>
      <w:bookmarkEnd w:id="136"/>
    </w:p>
    <w:p>
      <w:pPr>
        <w:spacing w:line="560" w:lineRule="exact"/>
        <w:ind w:firstLine="640" w:firstLineChars="200"/>
        <w:contextualSpacing/>
        <w:rPr>
          <w:rFonts w:ascii="仿宋_GB2312" w:hAnsi="仿宋_GB2312" w:cs="仿宋_GB2312"/>
        </w:rPr>
      </w:pPr>
      <w:r>
        <w:rPr>
          <w:rFonts w:hint="eastAsia" w:ascii="仿宋_GB2312" w:hAnsi="仿宋_GB2312" w:cs="仿宋_GB2312"/>
        </w:rPr>
        <w:t>1</w:t>
      </w:r>
      <w:bookmarkStart w:id="137" w:name="_Toc78374534"/>
      <w:r>
        <w:rPr>
          <w:rFonts w:hint="eastAsia" w:ascii="仿宋_GB2312" w:hAnsi="仿宋_GB2312" w:cs="仿宋_GB2312"/>
        </w:rPr>
        <w:t>.</w:t>
      </w:r>
      <w:bookmarkEnd w:id="137"/>
      <w:r>
        <w:rPr>
          <w:rFonts w:hint="eastAsia" w:ascii="仿宋_GB2312" w:hAnsi="仿宋_GB2312" w:cs="仿宋_GB2312"/>
        </w:rPr>
        <w:t>人工智能产业。设立人工智能产业发展与应用专项基金，支持人工智能基础理论及关键核心技术研发与产业化，重点攻关自然语言处理、语音交互、图像识别、视频识别、物体和场景识别等关键技术，发展人工智能产业。支持智能信息安全技术攻关和产业化，重点研究人工智能系统中隐私保护、数据加密、信息隐藏等关键技术。推动人工智能技术在社会经济中融合应用，在制造、物流、医疗、教育、环保、政务等领域开展示范引导。</w:t>
      </w:r>
    </w:p>
    <w:p>
      <w:pPr>
        <w:spacing w:line="560" w:lineRule="exact"/>
        <w:ind w:firstLine="627" w:firstLineChars="196"/>
        <w:contextualSpacing/>
        <w:rPr>
          <w:rFonts w:ascii="仿宋_GB2312" w:hAnsi="仿宋_GB2312" w:cs="仿宋_GB2312"/>
          <w:lang w:eastAsia="zh-Hans"/>
        </w:rPr>
      </w:pPr>
      <w:r>
        <w:rPr>
          <w:rFonts w:hint="eastAsia" w:ascii="仿宋_GB2312" w:hAnsi="仿宋_GB2312" w:cs="仿宋_GB2312"/>
        </w:rPr>
        <w:t>2.</w:t>
      </w:r>
      <w:r>
        <w:rPr>
          <w:rFonts w:hint="eastAsia" w:ascii="仿宋_GB2312" w:hAnsi="仿宋_GB2312" w:cs="仿宋_GB2312"/>
          <w:shd w:val="clear" w:color="auto" w:fill="FFFFFF"/>
        </w:rPr>
        <w:t>区块链。</w:t>
      </w:r>
      <w:r>
        <w:rPr>
          <w:rFonts w:hint="eastAsia" w:ascii="仿宋_GB2312" w:hAnsi="仿宋_GB2312" w:cs="仿宋_GB2312"/>
        </w:rPr>
        <w:t>积极培育建设</w:t>
      </w:r>
      <w:r>
        <w:rPr>
          <w:rFonts w:hint="eastAsia" w:ascii="仿宋_GB2312" w:hAnsi="仿宋_GB2312" w:cs="仿宋_GB2312"/>
          <w:lang w:eastAsia="zh-Hans"/>
        </w:rPr>
        <w:t>区块链产业园区、孵化器、实训基地、本土区块链龙头企业和研究机构，加快发展企业联盟链、私有链</w:t>
      </w:r>
      <w:r>
        <w:rPr>
          <w:rFonts w:hint="eastAsia" w:ascii="仿宋_GB2312" w:hAnsi="仿宋_GB2312" w:cs="仿宋_GB2312"/>
        </w:rPr>
        <w:t>。</w:t>
      </w:r>
      <w:r>
        <w:rPr>
          <w:rFonts w:hint="eastAsia" w:ascii="仿宋_GB2312" w:hAnsi="仿宋_GB2312" w:cs="仿宋_GB2312"/>
          <w:lang w:eastAsia="zh-Hans"/>
        </w:rPr>
        <w:t>推进区块链技术在金融、数据交易</w:t>
      </w:r>
      <w:r>
        <w:rPr>
          <w:rFonts w:hint="eastAsia" w:ascii="仿宋_GB2312" w:hAnsi="仿宋_GB2312" w:cs="仿宋_GB2312"/>
        </w:rPr>
        <w:t>、</w:t>
      </w:r>
      <w:r>
        <w:rPr>
          <w:rFonts w:hint="eastAsia" w:ascii="仿宋_GB2312" w:hAnsi="仿宋_GB2312" w:cs="仿宋_GB2312"/>
          <w:lang w:eastAsia="zh-Hans"/>
        </w:rPr>
        <w:t>信息保护、溯源、政务、物流等领域应用。</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522" w:type="dxa"/>
          </w:tcPr>
          <w:p>
            <w:pPr>
              <w:spacing w:line="360" w:lineRule="exact"/>
              <w:contextualSpacing/>
              <w:jc w:val="center"/>
              <w:rPr>
                <w:rFonts w:ascii="仿宋_GB2312" w:hAnsi="仿宋_GB2312" w:cs="仿宋_GB2312"/>
                <w:lang w:eastAsia="zh-Hans"/>
              </w:rPr>
            </w:pPr>
            <w:r>
              <w:rPr>
                <w:rFonts w:hint="eastAsia" w:ascii="黑体" w:hAnsi="黑体" w:eastAsia="黑体" w:cs="黑体"/>
                <w:sz w:val="28"/>
                <w:szCs w:val="28"/>
              </w:rPr>
              <w:t>专栏3：数字经济关键优势产业发展工程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360" w:lineRule="exact"/>
              <w:ind w:firstLine="480" w:firstLineChars="200"/>
              <w:contextualSpacing/>
              <w:rPr>
                <w:rFonts w:ascii="仿宋_GB2312" w:hAnsi="仿宋_GB2312" w:cs="仿宋_GB2312"/>
                <w:bCs/>
                <w:sz w:val="24"/>
              </w:rPr>
            </w:pPr>
            <w:r>
              <w:rPr>
                <w:rFonts w:hint="eastAsia" w:ascii="楷体" w:hAnsi="楷体" w:eastAsia="楷体" w:cs="楷体"/>
                <w:bCs/>
                <w:sz w:val="24"/>
              </w:rPr>
              <w:t>数字光电。</w:t>
            </w:r>
            <w:r>
              <w:rPr>
                <w:rFonts w:hint="eastAsia" w:ascii="仿宋_GB2312" w:hAnsi="仿宋_GB2312" w:cs="仿宋_GB2312"/>
                <w:sz w:val="24"/>
              </w:rPr>
              <w:t>建设一批光电产业园区，形成南阳光电产业聚集区。以光学元件、敏感元器件为基础，光电组件、部件为核心，整机及系统集成服务为发展方向，着力延伸产业链条，壮大产业规模。重点发展高性能镜片、透镜、棱镜、镜头、模组、AR/VR核心器件、光电传感器等光电产品。力争光电产业链企业达到230家以上，培育5家光电龙头企业。</w:t>
            </w:r>
          </w:p>
          <w:p>
            <w:pPr>
              <w:spacing w:line="360" w:lineRule="exact"/>
              <w:ind w:firstLine="480" w:firstLineChars="200"/>
              <w:contextualSpacing/>
              <w:rPr>
                <w:rFonts w:ascii="仿宋_GB2312" w:hAnsi="仿宋_GB2312" w:cs="仿宋_GB2312"/>
                <w:sz w:val="24"/>
              </w:rPr>
            </w:pPr>
            <w:r>
              <w:rPr>
                <w:rFonts w:hint="eastAsia" w:ascii="楷体" w:hAnsi="楷体" w:eastAsia="楷体" w:cs="楷体"/>
                <w:bCs/>
                <w:sz w:val="24"/>
              </w:rPr>
              <w:t>新型显示和智能终端。</w:t>
            </w:r>
            <w:r>
              <w:rPr>
                <w:rFonts w:hint="eastAsia" w:ascii="仿宋_GB2312" w:hAnsi="仿宋_GB2312" w:cs="仿宋_GB2312"/>
                <w:sz w:val="24"/>
              </w:rPr>
              <w:t>重点开发LED和激光光源模组、光学引擎、高清视音频电路、专用机壳及零组件模具，支持投影机、光学拼接大屏、智能投影电视、影院放映机等投影显示产品产业化。建设高新技术开发区智能终端生产制造基地，重点发展车载影像显示、环境监测、智能安防等智能终端。</w:t>
            </w:r>
          </w:p>
          <w:p>
            <w:pPr>
              <w:spacing w:line="360" w:lineRule="exact"/>
              <w:ind w:firstLine="480" w:firstLineChars="200"/>
              <w:contextualSpacing/>
              <w:rPr>
                <w:rFonts w:ascii="仿宋_GB2312" w:hAnsi="仿宋_GB2312" w:cs="仿宋_GB2312"/>
                <w:sz w:val="24"/>
              </w:rPr>
            </w:pPr>
            <w:r>
              <w:rPr>
                <w:rFonts w:hint="eastAsia" w:ascii="楷体" w:hAnsi="楷体" w:eastAsia="楷体" w:cs="楷体"/>
                <w:bCs/>
                <w:sz w:val="24"/>
              </w:rPr>
              <w:t>物联网传感器。</w:t>
            </w:r>
            <w:r>
              <w:rPr>
                <w:rFonts w:hint="eastAsia" w:ascii="仿宋_GB2312" w:hAnsi="仿宋_GB2312" w:cs="仿宋_GB2312"/>
                <w:sz w:val="24"/>
              </w:rPr>
              <w:t>支持中光学及其他本地重点光学加工企业研发生产菲涅尔透镜、红外滤光片等高性能红外传感器配套光学元件。推动森霸传感科技股份有限公司智能红外传感器技术在医学、军事、空间技术和环境工程等领域的应用，提高科技成果转化。</w:t>
            </w:r>
          </w:p>
          <w:p>
            <w:pPr>
              <w:spacing w:line="360" w:lineRule="exact"/>
              <w:ind w:firstLine="480" w:firstLineChars="200"/>
              <w:contextualSpacing/>
              <w:rPr>
                <w:rFonts w:ascii="仿宋_GB2312" w:hAnsi="仿宋_GB2312" w:cs="仿宋_GB2312"/>
                <w:sz w:val="24"/>
              </w:rPr>
            </w:pPr>
            <w:r>
              <w:rPr>
                <w:rFonts w:hint="eastAsia" w:ascii="楷体" w:hAnsi="楷体" w:eastAsia="楷体" w:cs="楷体"/>
                <w:bCs/>
                <w:sz w:val="24"/>
              </w:rPr>
              <w:t>5G。</w:t>
            </w:r>
            <w:r>
              <w:rPr>
                <w:rFonts w:hint="eastAsia" w:ascii="仿宋_GB2312" w:hAnsi="仿宋_GB2312" w:cs="仿宋_GB2312"/>
                <w:sz w:val="24"/>
              </w:rPr>
              <w:t>布局建设5G产业应用创新中心。提升南阳师范学院“河南省毫米波无线通信射频前端及天线工程研究中心”建设水平。</w:t>
            </w:r>
          </w:p>
          <w:p>
            <w:pPr>
              <w:spacing w:line="360" w:lineRule="exact"/>
              <w:ind w:firstLine="480" w:firstLineChars="200"/>
              <w:contextualSpacing/>
              <w:rPr>
                <w:rFonts w:ascii="仿宋_GB2312" w:hAnsi="仿宋_GB2312" w:cs="仿宋_GB2312"/>
                <w:sz w:val="24"/>
              </w:rPr>
            </w:pPr>
            <w:r>
              <w:rPr>
                <w:rFonts w:hint="eastAsia" w:ascii="楷体" w:hAnsi="楷体" w:eastAsia="楷体" w:cs="楷体"/>
                <w:bCs/>
                <w:sz w:val="24"/>
              </w:rPr>
              <w:t>软件和大数据。</w:t>
            </w:r>
            <w:r>
              <w:rPr>
                <w:rFonts w:hint="eastAsia" w:ascii="仿宋_GB2312" w:hAnsi="仿宋_GB2312" w:cs="仿宋_GB2312"/>
                <w:sz w:val="24"/>
              </w:rPr>
              <w:t>依托南阳中关村E谷软件创新创业基地和南阳华为大数据中心，积极引进软件开发企业，提升软件开发水平。推动中科院计算所南阳大数据实验室等本地企业与驻宛高校、研究机构以及大数据企业合作。</w:t>
            </w:r>
          </w:p>
          <w:p>
            <w:pPr>
              <w:spacing w:line="360" w:lineRule="exact"/>
              <w:ind w:firstLine="480" w:firstLineChars="200"/>
              <w:contextualSpacing/>
              <w:rPr>
                <w:rFonts w:ascii="仿宋_GB2312" w:hAnsi="仿宋_GB2312" w:cs="仿宋_GB2312"/>
              </w:rPr>
            </w:pPr>
            <w:r>
              <w:rPr>
                <w:rFonts w:hint="eastAsia" w:ascii="楷体" w:hAnsi="楷体" w:eastAsia="楷体" w:cs="楷体"/>
                <w:bCs/>
                <w:sz w:val="24"/>
              </w:rPr>
              <w:t>人工智能。</w:t>
            </w:r>
            <w:r>
              <w:rPr>
                <w:rFonts w:hint="eastAsia" w:ascii="仿宋_GB2312" w:hAnsi="仿宋_GB2312" w:cs="仿宋_GB2312"/>
                <w:sz w:val="24"/>
              </w:rPr>
              <w:t>大力发展防爆消防机器人，着力发展康复机器人、工业机器人、饲喂机器人等智能产品。围绕“人工智能+”交通、医疗、金融、制造、教育等领域，打造一批人工智能深度应用场景，在制造、装备、金融、家居等重点行业和领域开展人工智能应用试点示范。</w:t>
            </w:r>
          </w:p>
        </w:tc>
      </w:tr>
    </w:tbl>
    <w:p>
      <w:pPr>
        <w:spacing w:line="560" w:lineRule="exact"/>
        <w:ind w:left="640" w:leftChars="200"/>
        <w:contextualSpacing/>
        <w:jc w:val="center"/>
        <w:outlineLvl w:val="1"/>
        <w:rPr>
          <w:rFonts w:ascii="楷体_GB2312" w:hAnsi="楷体_GB2312" w:eastAsia="楷体_GB2312" w:cs="楷体_GB2312"/>
          <w:bCs/>
        </w:rPr>
      </w:pPr>
      <w:bookmarkStart w:id="138" w:name="_Toc10520"/>
      <w:bookmarkStart w:id="139" w:name="_Toc89345838"/>
      <w:r>
        <w:rPr>
          <w:rFonts w:hint="eastAsia" w:ascii="楷体_GB2312" w:hAnsi="楷体_GB2312" w:eastAsia="楷体_GB2312" w:cs="楷体_GB2312"/>
          <w:bCs/>
        </w:rPr>
        <w:t>第四节 大力发展平台经济</w:t>
      </w:r>
      <w:bookmarkEnd w:id="138"/>
      <w:bookmarkEnd w:id="139"/>
    </w:p>
    <w:p>
      <w:pPr>
        <w:spacing w:line="560" w:lineRule="exact"/>
        <w:ind w:firstLine="627" w:firstLineChars="196"/>
        <w:contextualSpacing/>
        <w:rPr>
          <w:rFonts w:ascii="仿宋_GB2312" w:hAnsi="仿宋_GB2312" w:cs="仿宋_GB2312"/>
          <w:lang w:eastAsia="zh-Hans"/>
        </w:rPr>
      </w:pPr>
      <w:r>
        <w:rPr>
          <w:rFonts w:hint="eastAsia" w:ascii="仿宋_GB2312" w:hAnsi="仿宋_GB2312" w:cs="仿宋_GB2312"/>
        </w:rPr>
        <w:t>1.培育平台经济新业态。</w:t>
      </w:r>
      <w:r>
        <w:rPr>
          <w:rFonts w:hint="eastAsia" w:ascii="仿宋_GB2312" w:hAnsi="仿宋_GB2312" w:cs="仿宋_GB2312"/>
          <w:lang w:eastAsia="zh-Hans"/>
        </w:rPr>
        <w:t>推动工业企业探索协同制造、柔性制造、个性化定制的商业模式和适用场景。探索共享服务和无人化服务等智能产品和商业模式。支持创造条件吸引龙头平</w:t>
      </w:r>
      <w:r>
        <w:rPr>
          <w:rFonts w:hint="eastAsia" w:ascii="仿宋_GB2312" w:hAnsi="仿宋_GB2312" w:cs="仿宋_GB2312"/>
        </w:rPr>
        <w:t>台</w:t>
      </w:r>
      <w:r>
        <w:rPr>
          <w:rFonts w:hint="eastAsia" w:ascii="仿宋_GB2312" w:hAnsi="仿宋_GB2312" w:cs="仿宋_GB2312"/>
          <w:lang w:eastAsia="zh-Hans"/>
        </w:rPr>
        <w:t>企业落地，鼓励有条件的传统企业向平台型企业转型，图绕社交、交易、产业发展等引进培育一批平台经济企业。</w:t>
      </w:r>
    </w:p>
    <w:p>
      <w:pPr>
        <w:pStyle w:val="4"/>
        <w:spacing w:line="560" w:lineRule="exact"/>
        <w:ind w:firstLine="627" w:firstLineChars="196"/>
        <w:contextualSpacing/>
        <w:rPr>
          <w:rFonts w:ascii="仿宋_GB2312" w:hAnsi="仿宋_GB2312" w:cs="仿宋_GB2312"/>
          <w:lang w:eastAsia="zh-Hans"/>
        </w:rPr>
      </w:pPr>
      <w:r>
        <w:rPr>
          <w:rFonts w:hint="eastAsia" w:ascii="仿宋_GB2312" w:hAnsi="仿宋_GB2312" w:cs="仿宋_GB2312"/>
          <w:lang w:eastAsia="zh-Hans"/>
        </w:rPr>
        <w:t>2</w:t>
      </w:r>
      <w:r>
        <w:rPr>
          <w:rFonts w:hint="eastAsia" w:ascii="仿宋_GB2312" w:hAnsi="仿宋_GB2312" w:cs="仿宋_GB2312"/>
        </w:rPr>
        <w:t>.探索政企</w:t>
      </w:r>
      <w:r>
        <w:rPr>
          <w:rFonts w:hint="eastAsia" w:ascii="仿宋_GB2312" w:hAnsi="仿宋_GB2312" w:cs="仿宋_GB2312"/>
          <w:lang w:eastAsia="zh-Hans"/>
        </w:rPr>
        <w:t>数据融通发展</w:t>
      </w:r>
      <w:r>
        <w:rPr>
          <w:rFonts w:hint="eastAsia" w:ascii="仿宋_GB2312" w:hAnsi="仿宋_GB2312" w:cs="仿宋_GB2312"/>
        </w:rPr>
        <w:t>。</w:t>
      </w:r>
      <w:r>
        <w:rPr>
          <w:rFonts w:hint="eastAsia" w:ascii="仿宋_GB2312" w:hAnsi="仿宋_GB2312" w:cs="仿宋_GB2312"/>
          <w:lang w:eastAsia="zh-Hans"/>
        </w:rPr>
        <w:t>鼓励平台企业打造“数据中台”，支持基于城市数据大脑、政务云等</w:t>
      </w:r>
      <w:r>
        <w:rPr>
          <w:rFonts w:hint="eastAsia" w:ascii="仿宋_GB2312" w:hAnsi="仿宋_GB2312" w:cs="仿宋_GB2312"/>
        </w:rPr>
        <w:t>探索政务</w:t>
      </w:r>
      <w:r>
        <w:rPr>
          <w:rFonts w:hint="eastAsia" w:ascii="仿宋_GB2312" w:hAnsi="仿宋_GB2312" w:cs="仿宋_GB2312"/>
          <w:lang w:eastAsia="zh-Hans"/>
        </w:rPr>
        <w:t>数据与平台企业数据互通机制，研究政务数据向平</w:t>
      </w:r>
      <w:r>
        <w:rPr>
          <w:rFonts w:hint="eastAsia" w:ascii="仿宋_GB2312" w:hAnsi="仿宋_GB2312" w:cs="仿宋_GB2312"/>
          <w:bCs/>
        </w:rPr>
        <w:t>台</w:t>
      </w:r>
      <w:r>
        <w:rPr>
          <w:rFonts w:hint="eastAsia" w:ascii="仿宋_GB2312" w:hAnsi="仿宋_GB2312" w:cs="仿宋_GB2312"/>
          <w:lang w:eastAsia="zh-Hans"/>
        </w:rPr>
        <w:t>企业有序开放机制和模式</w:t>
      </w:r>
      <w:r>
        <w:rPr>
          <w:rFonts w:hint="eastAsia" w:ascii="仿宋_GB2312" w:hAnsi="仿宋_GB2312" w:cs="仿宋_GB2312"/>
          <w:bCs/>
        </w:rPr>
        <w:t>，</w:t>
      </w:r>
      <w:r>
        <w:rPr>
          <w:rFonts w:hint="eastAsia" w:ascii="仿宋_GB2312" w:hAnsi="仿宋_GB2312" w:cs="仿宋_GB2312"/>
          <w:lang w:eastAsia="zh-Hans"/>
        </w:rPr>
        <w:t>加大政府数据的推广应用，推进重点区域电信、交通、物流、文旅、住宿、餐饮、安全、健康等领域的数据统一调度。</w:t>
      </w:r>
    </w:p>
    <w:p>
      <w:pPr>
        <w:spacing w:line="560" w:lineRule="exact"/>
        <w:ind w:firstLine="640" w:firstLineChars="200"/>
        <w:contextualSpacing/>
        <w:rPr>
          <w:rFonts w:ascii="仿宋_GB2312" w:hAnsi="仿宋_GB2312" w:cs="仿宋_GB2312"/>
          <w:lang w:eastAsia="zh-Hans"/>
        </w:rPr>
      </w:pPr>
      <w:r>
        <w:rPr>
          <w:rFonts w:hint="eastAsia" w:ascii="仿宋_GB2312" w:hAnsi="仿宋_GB2312" w:cs="仿宋_GB2312"/>
        </w:rPr>
        <w:t>3.构建平台监管新模式。</w:t>
      </w:r>
      <w:r>
        <w:rPr>
          <w:rFonts w:hint="eastAsia" w:ascii="仿宋_GB2312" w:hAnsi="仿宋_GB2312" w:cs="仿宋_GB2312"/>
          <w:lang w:eastAsia="zh-Hans"/>
        </w:rPr>
        <w:t>建立平台企业监管机制，明确平台责任，强化平台企业治理，引导平台经营者切实担负数据安全和隐私保护、商品质量保障、劳动保护等方面责任。保护数字经济领域市场主体合法权益，规范各类市场行为。</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400" w:lineRule="exact"/>
              <w:contextualSpacing/>
              <w:jc w:val="center"/>
              <w:rPr>
                <w:rFonts w:ascii="仿宋_GB2312" w:hAnsi="仿宋_GB2312" w:cs="仿宋_GB2312"/>
                <w:lang w:eastAsia="zh-Hans"/>
              </w:rPr>
            </w:pPr>
            <w:r>
              <w:rPr>
                <w:rFonts w:hint="eastAsia" w:ascii="黑体" w:hAnsi="黑体" w:eastAsia="黑体" w:cs="黑体"/>
                <w:sz w:val="28"/>
                <w:szCs w:val="28"/>
              </w:rPr>
              <w:t>专栏4：大力发展平台经济新模式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交易平台</w:t>
            </w:r>
            <w:r>
              <w:rPr>
                <w:rFonts w:hint="eastAsia" w:ascii="楷体" w:hAnsi="楷体" w:eastAsia="楷体" w:cs="楷体"/>
                <w:sz w:val="24"/>
              </w:rPr>
              <w:t>。</w:t>
            </w:r>
            <w:r>
              <w:rPr>
                <w:rFonts w:hint="eastAsia" w:ascii="仿宋_GB2312" w:hAnsi="仿宋_GB2312" w:cs="仿宋_GB2312"/>
                <w:sz w:val="24"/>
              </w:rPr>
              <w:t>建设乡村振兴数字化平台、文旅在线平台等交易平台，发展在线支付、移动支付、刷脸支付等金融支付新形态，引进培育在线交易运营平台企业、金融支付平台企业，发展在线交易产业生态链。</w:t>
            </w:r>
          </w:p>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社交平台。</w:t>
            </w:r>
            <w:r>
              <w:rPr>
                <w:rFonts w:hint="eastAsia" w:ascii="仿宋_GB2312" w:hAnsi="仿宋_GB2312" w:cs="仿宋_GB2312"/>
                <w:sz w:val="24"/>
              </w:rPr>
              <w:t>加快引进成熟社交平台，发展短视频和直播产业，推广“直播+”等新模式，重点支持市内优质农产品走出去。</w:t>
            </w:r>
          </w:p>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电商平台。</w:t>
            </w:r>
            <w:r>
              <w:rPr>
                <w:rFonts w:hint="eastAsia" w:ascii="仿宋_GB2312" w:hAnsi="仿宋_GB2312" w:cs="仿宋_GB2312"/>
                <w:sz w:val="24"/>
              </w:rPr>
              <w:t>推进“聚爱优选”“香菜网”等电商平台发展壮大。在餐饮、出行购物、生鲜、菜篮子等生活服务领域引进培育一批平台企业。在政府、教育，医疗等民生领城发展一批平台服务和运营企业，完善政企数据融通模式。</w:t>
            </w:r>
          </w:p>
        </w:tc>
      </w:tr>
    </w:tbl>
    <w:p>
      <w:pPr>
        <w:numPr>
          <w:ilvl w:val="0"/>
          <w:numId w:val="5"/>
        </w:numPr>
        <w:spacing w:line="560" w:lineRule="exact"/>
        <w:ind w:firstLine="640" w:firstLineChars="200"/>
        <w:contextualSpacing/>
        <w:jc w:val="center"/>
        <w:outlineLvl w:val="0"/>
        <w:rPr>
          <w:rFonts w:ascii="黑体" w:hAnsi="黑体" w:eastAsia="黑体" w:cs="黑体"/>
        </w:rPr>
      </w:pPr>
      <w:bookmarkStart w:id="140" w:name="_Toc89345839"/>
      <w:bookmarkStart w:id="141" w:name="_Toc31151"/>
      <w:r>
        <w:rPr>
          <w:rFonts w:hint="eastAsia" w:ascii="黑体" w:hAnsi="黑体" w:eastAsia="黑体" w:cs="黑体"/>
        </w:rPr>
        <w:t xml:space="preserve"> 加快构建产业互联网，大力推动产业数字化</w:t>
      </w:r>
    </w:p>
    <w:bookmarkEnd w:id="140"/>
    <w:bookmarkEnd w:id="141"/>
    <w:p>
      <w:pPr>
        <w:spacing w:line="560" w:lineRule="exact"/>
        <w:ind w:firstLine="640" w:firstLineChars="200"/>
        <w:contextualSpacing/>
        <w:jc w:val="center"/>
        <w:outlineLvl w:val="1"/>
        <w:rPr>
          <w:rFonts w:ascii="楷体_GB2312" w:hAnsi="楷体_GB2312" w:eastAsia="楷体_GB2312" w:cs="楷体_GB2312"/>
          <w:bCs/>
        </w:rPr>
      </w:pPr>
      <w:bookmarkStart w:id="142" w:name="_Toc89345840"/>
      <w:bookmarkStart w:id="143" w:name="_Toc14321"/>
      <w:r>
        <w:rPr>
          <w:rFonts w:hint="eastAsia" w:ascii="楷体_GB2312" w:hAnsi="楷体_GB2312" w:eastAsia="楷体_GB2312" w:cs="楷体_GB2312"/>
          <w:bCs/>
        </w:rPr>
        <w:t>第一节  全面推进制造业数字化转型</w:t>
      </w:r>
      <w:bookmarkEnd w:id="142"/>
      <w:bookmarkEnd w:id="143"/>
    </w:p>
    <w:p>
      <w:pPr>
        <w:spacing w:line="560" w:lineRule="exact"/>
        <w:ind w:firstLine="627" w:firstLineChars="196"/>
        <w:contextualSpacing/>
        <w:rPr>
          <w:rFonts w:ascii="仿宋_GB2312" w:hAnsi="仿宋_GB2312" w:cs="仿宋_GB2312"/>
          <w:lang w:eastAsia="zh-Hans"/>
        </w:rPr>
      </w:pPr>
      <w:r>
        <w:rPr>
          <w:rFonts w:hint="eastAsia" w:ascii="仿宋_GB2312" w:hAnsi="仿宋_GB2312" w:cs="仿宋_GB2312"/>
          <w:lang w:eastAsia="zh-Hans"/>
        </w:rPr>
        <w:t>大力实施“工业立市、兴工强市”战略，加快推动</w:t>
      </w:r>
      <w:r>
        <w:rPr>
          <w:rFonts w:hint="eastAsia" w:ascii="仿宋_GB2312" w:hAnsi="仿宋_GB2312" w:cs="仿宋_GB2312"/>
        </w:rPr>
        <w:t>我</w:t>
      </w:r>
      <w:r>
        <w:rPr>
          <w:rFonts w:hint="eastAsia" w:ascii="仿宋_GB2312" w:hAnsi="仿宋_GB2312" w:cs="仿宋_GB2312"/>
          <w:lang w:eastAsia="zh-Hans"/>
        </w:rPr>
        <w:t>市制造业高质量发展。深入开展“千企升级”行动，实施大企业大集团培育“头雁计划”、单项冠军企业培育登高计划、科技型中小企业培育倍增计划、企业上市倍增计划等</w:t>
      </w:r>
      <w:r>
        <w:rPr>
          <w:rFonts w:hint="eastAsia" w:ascii="仿宋_GB2312" w:hAnsi="仿宋_GB2312" w:cs="仿宋_GB2312"/>
        </w:rPr>
        <w:t>。推动企业加快数字化转型，</w:t>
      </w:r>
      <w:r>
        <w:rPr>
          <w:rFonts w:hint="eastAsia" w:ascii="仿宋_GB2312" w:hAnsi="仿宋_GB2312" w:cs="仿宋_GB2312"/>
          <w:lang w:eastAsia="zh-Hans"/>
        </w:rPr>
        <w:t>提升创新创造能力，促进科技成果加快转化。努力打造一批具有核心竞争力的品牌产品、品牌工程、品牌企业。</w:t>
      </w:r>
    </w:p>
    <w:p>
      <w:pPr>
        <w:spacing w:line="560" w:lineRule="exact"/>
        <w:ind w:firstLine="640" w:firstLineChars="200"/>
        <w:contextualSpacing/>
        <w:rPr>
          <w:rFonts w:ascii="仿宋_GB2312" w:hAnsi="仿宋_GB2312" w:cs="仿宋_GB2312"/>
          <w:lang w:eastAsia="zh-Hans"/>
        </w:rPr>
      </w:pPr>
      <w:r>
        <w:rPr>
          <w:rFonts w:hint="eastAsia" w:ascii="仿宋_GB2312" w:hAnsi="仿宋_GB2312" w:cs="仿宋_GB2312"/>
        </w:rPr>
        <w:t>1.深度实施制造业智能化改造。</w:t>
      </w:r>
      <w:r>
        <w:rPr>
          <w:rFonts w:hint="eastAsia" w:ascii="仿宋_GB2312" w:hAnsi="仿宋_GB2312" w:cs="仿宋_GB2312"/>
          <w:lang w:eastAsia="zh-Hans"/>
        </w:rPr>
        <w:t>深化互联网、大数据、云计算、人工智能等新一代信息技术和制造业融合发展，分产业、分阶段“量身”制定与产业发展实际相匹配的智能化改造推进行动，加速企业向信息化、数字化、</w:t>
      </w:r>
      <w:r>
        <w:rPr>
          <w:rFonts w:hint="eastAsia" w:ascii="仿宋_GB2312" w:hAnsi="仿宋_GB2312" w:cs="仿宋_GB2312"/>
        </w:rPr>
        <w:t>智能</w:t>
      </w:r>
      <w:r>
        <w:rPr>
          <w:rFonts w:hint="eastAsia" w:ascii="仿宋_GB2312" w:hAnsi="仿宋_GB2312" w:cs="仿宋_GB2312"/>
          <w:lang w:eastAsia="zh-Hans"/>
        </w:rPr>
        <w:t>化、绿色化转型。全力支持企业根据自身情况建设智能</w:t>
      </w:r>
      <w:r>
        <w:rPr>
          <w:rFonts w:hint="eastAsia" w:ascii="仿宋_GB2312" w:hAnsi="仿宋_GB2312" w:cs="仿宋_GB2312"/>
        </w:rPr>
        <w:t>化</w:t>
      </w:r>
      <w:r>
        <w:rPr>
          <w:rFonts w:hint="eastAsia" w:ascii="仿宋_GB2312" w:hAnsi="仿宋_GB2312" w:cs="仿宋_GB2312"/>
          <w:lang w:eastAsia="zh-Hans"/>
        </w:rPr>
        <w:t>生产线、智能车间、智能工厂，有序开展传统工业集体转型升级。在重点行业或重点企业实施“机器换人、设备换芯、生产换线、企业上云”计划，引导制造业产业链提升智能化水平和生产效率。推动生产、管理、营销各环节智能化建设，逐步实现生产系统智能化、制造营销协同化、上下游企业融合化。支持打造智能制造公共服务平台，推进智能制造基础软硬件产品、</w:t>
      </w:r>
      <w:r>
        <w:rPr>
          <w:rFonts w:hint="eastAsia" w:ascii="仿宋_GB2312" w:hAnsi="仿宋_GB2312" w:cs="仿宋_GB2312"/>
        </w:rPr>
        <w:t>高端</w:t>
      </w:r>
      <w:r>
        <w:rPr>
          <w:rFonts w:hint="eastAsia" w:ascii="仿宋_GB2312" w:hAnsi="仿宋_GB2312" w:cs="仿宋_GB2312"/>
          <w:lang w:eastAsia="zh-Hans"/>
        </w:rPr>
        <w:t>智能装备的研发和产业化，提升智能制造支撑能力。</w:t>
      </w:r>
      <w:r>
        <w:rPr>
          <w:rFonts w:hint="eastAsia" w:ascii="仿宋_GB2312" w:hAnsi="仿宋_GB2312" w:cs="仿宋_GB2312"/>
        </w:rPr>
        <w:t>“十四五”期间，</w:t>
      </w:r>
      <w:r>
        <w:rPr>
          <w:rFonts w:hint="eastAsia" w:ascii="仿宋_GB2312" w:hAnsi="仿宋_GB2312" w:cs="仿宋_GB2312"/>
          <w:shd w:val="clear" w:color="auto" w:fill="FFFFFF"/>
        </w:rPr>
        <w:t>全市实施智能化改造的企业新增500家，新增省级智能工厂15家、省级智能车间30个。</w:t>
      </w:r>
    </w:p>
    <w:p>
      <w:pPr>
        <w:spacing w:line="560" w:lineRule="exact"/>
        <w:ind w:firstLine="640" w:firstLineChars="200"/>
        <w:contextualSpacing/>
        <w:rPr>
          <w:rFonts w:ascii="仿宋_GB2312" w:hAnsi="仿宋_GB2312" w:cs="仿宋_GB2312"/>
          <w:lang w:eastAsia="zh-Hans"/>
        </w:rPr>
      </w:pPr>
      <w:r>
        <w:rPr>
          <w:rFonts w:hint="eastAsia" w:ascii="仿宋_GB2312" w:hAnsi="仿宋_GB2312" w:cs="仿宋_GB2312"/>
        </w:rPr>
        <w:t>2.</w:t>
      </w:r>
      <w:r>
        <w:rPr>
          <w:rFonts w:hint="eastAsia" w:ascii="仿宋_GB2312" w:hAnsi="仿宋_GB2312" w:cs="仿宋_GB2312"/>
          <w:bCs/>
        </w:rPr>
        <w:t>培育工业互联网平台。</w:t>
      </w:r>
      <w:r>
        <w:rPr>
          <w:rFonts w:hint="eastAsia" w:ascii="仿宋_GB2312" w:hAnsi="仿宋_GB2312" w:cs="仿宋_GB2312"/>
          <w:lang w:eastAsia="zh-Hans"/>
        </w:rPr>
        <w:t>推动开展工业互联网平台与服务建设专项行动。围绕</w:t>
      </w:r>
      <w:r>
        <w:rPr>
          <w:rFonts w:hint="eastAsia" w:ascii="仿宋_GB2312" w:hAnsi="仿宋_GB2312" w:cs="仿宋_GB2312"/>
        </w:rPr>
        <w:t>我市</w:t>
      </w:r>
      <w:r>
        <w:rPr>
          <w:rFonts w:hint="eastAsia" w:ascii="仿宋_GB2312" w:hAnsi="仿宋_GB2312" w:cs="仿宋_GB2312"/>
          <w:lang w:eastAsia="zh-Hans"/>
        </w:rPr>
        <w:t>重点行业，孵化一批行业级、区域级工业互联网平台；围绕龙头企业上下游产业链生态圈数字化、网络化、智能化发展需求，</w:t>
      </w:r>
      <w:r>
        <w:rPr>
          <w:rFonts w:hint="eastAsia" w:ascii="仿宋_GB2312" w:hAnsi="仿宋_GB2312" w:cs="仿宋_GB2312"/>
        </w:rPr>
        <w:t>力争</w:t>
      </w:r>
      <w:r>
        <w:rPr>
          <w:rFonts w:hint="eastAsia" w:ascii="仿宋_GB2312" w:hAnsi="仿宋_GB2312" w:cs="仿宋_GB2312"/>
          <w:lang w:eastAsia="zh-Hans"/>
        </w:rPr>
        <w:t>培育一批企业级工业互联网平台。</w:t>
      </w:r>
      <w:r>
        <w:rPr>
          <w:rFonts w:hint="eastAsia" w:ascii="仿宋_GB2312" w:hAnsi="仿宋_GB2312" w:cs="仿宋_GB2312"/>
        </w:rPr>
        <w:t>推进</w:t>
      </w:r>
      <w:r>
        <w:rPr>
          <w:rFonts w:hint="eastAsia" w:ascii="仿宋_GB2312" w:hAnsi="仿宋_GB2312" w:cs="仿宋_GB2312"/>
          <w:lang w:eastAsia="zh-Hans"/>
        </w:rPr>
        <w:t>二级节点平台标识解析以及工业互联网大数据中心建设，推进企业上云、工业APP培育。坚持综合平台、行业平台建设“双路突破”，面向制造企业提供各种类型的信息技术资源和服务，加快推进制造业重点行业覆盖。</w:t>
      </w:r>
    </w:p>
    <w:p>
      <w:pPr>
        <w:spacing w:line="560" w:lineRule="exact"/>
        <w:ind w:firstLine="640" w:firstLineChars="200"/>
        <w:contextualSpacing/>
        <w:rPr>
          <w:rFonts w:ascii="仿宋_GB2312" w:hAnsi="仿宋_GB2312" w:cs="仿宋_GB2312"/>
          <w:lang w:eastAsia="zh-Hans"/>
        </w:rPr>
      </w:pPr>
      <w:r>
        <w:rPr>
          <w:rFonts w:hint="eastAsia" w:ascii="仿宋_GB2312" w:hAnsi="仿宋_GB2312" w:cs="仿宋_GB2312"/>
          <w:bCs/>
        </w:rPr>
        <w:t>3.</w:t>
      </w:r>
      <w:r>
        <w:rPr>
          <w:rFonts w:hint="eastAsia" w:ascii="仿宋_GB2312" w:hAnsi="仿宋_GB2312" w:cs="仿宋_GB2312"/>
        </w:rPr>
        <w:t>布局智能化试点示范园区建设。</w:t>
      </w:r>
      <w:r>
        <w:rPr>
          <w:rFonts w:hint="eastAsia" w:ascii="仿宋_GB2312" w:hAnsi="仿宋_GB2312" w:cs="仿宋_GB2312"/>
          <w:lang w:eastAsia="zh-Hans"/>
        </w:rPr>
        <w:t>积极推动</w:t>
      </w:r>
      <w:r>
        <w:rPr>
          <w:rFonts w:hint="eastAsia" w:ascii="仿宋_GB2312" w:hAnsi="仿宋_GB2312" w:cs="仿宋_GB2312"/>
        </w:rPr>
        <w:t>南阳经济技术开发区、淅川县先进制造业开发区</w:t>
      </w:r>
      <w:r>
        <w:rPr>
          <w:rFonts w:hint="eastAsia" w:ascii="仿宋_GB2312" w:hAnsi="仿宋_GB2312" w:cs="仿宋_GB2312"/>
          <w:lang w:eastAsia="zh-Hans"/>
        </w:rPr>
        <w:t>申报智能化示范园区试点。开展智能制造示范试点，重点围绕生物能源、信息材料、纺织服装、食品加工等流程制造领域，依托运营商的物联网、专网覆盖能力和大数据、云计算、边缘计算新兴技术集成能力，开展智能工厂试点示范建设，全面提升企业的资源配置、生产管理和智能决策水平。在汽车零部件、电力电器、光电元器件等离散制造领域，组织开展数字化车间试点示范建设，推进装备智能化升级、工艺流程改造、基础数据共享等试点应用。</w:t>
      </w:r>
    </w:p>
    <w:p>
      <w:pPr>
        <w:spacing w:line="560" w:lineRule="exact"/>
        <w:ind w:firstLine="640" w:firstLineChars="200"/>
        <w:contextualSpacing/>
        <w:rPr>
          <w:rFonts w:ascii="仿宋_GB2312" w:hAnsi="仿宋_GB2312" w:cs="仿宋_GB2312"/>
          <w:lang w:eastAsia="zh-Hans"/>
        </w:rPr>
      </w:pPr>
      <w:r>
        <w:rPr>
          <w:rFonts w:hint="eastAsia" w:ascii="仿宋_GB2312" w:hAnsi="仿宋_GB2312" w:cs="仿宋_GB2312"/>
          <w:bCs/>
          <w:kern w:val="0"/>
        </w:rPr>
        <w:t>4.实施企业“上云”计划。</w:t>
      </w:r>
      <w:r>
        <w:rPr>
          <w:rFonts w:hint="eastAsia" w:ascii="仿宋_GB2312" w:hAnsi="仿宋_GB2312" w:cs="仿宋_GB2312"/>
          <w:lang w:eastAsia="zh-Hans"/>
        </w:rPr>
        <w:t>深入贯彻国家《关于推进“上云用数赋智”行动培育新经济发展实施方案》要求，结合优秀企业的上云经验，以传统产业数字化为方向，推进信息技术与制造业深度融合，推动万家企业“上云用数赋智”，引导企业将基础设施、业务系统、设备产品向云端迁移，帮助企业降低信息化建设成本和门槛，努力实现</w:t>
      </w:r>
      <w:r>
        <w:rPr>
          <w:rFonts w:hint="eastAsia" w:ascii="仿宋_GB2312" w:hAnsi="仿宋_GB2312" w:cs="仿宋_GB2312"/>
        </w:rPr>
        <w:t>全市</w:t>
      </w:r>
      <w:r>
        <w:rPr>
          <w:rFonts w:hint="eastAsia" w:ascii="仿宋_GB2312" w:hAnsi="仿宋_GB2312" w:cs="仿宋_GB2312"/>
          <w:lang w:eastAsia="zh-Hans"/>
        </w:rPr>
        <w:t>工业领域由智能化改造向智能制造转变。重点鼓励中小企业业务系统向云端迁移。通过财税支持、政府购买服务等方式，支持企业上云，支持企业信息化基础能力建设，实现两化融合高质量发展。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spacing w:line="400" w:lineRule="exact"/>
              <w:contextualSpacing/>
              <w:jc w:val="center"/>
              <w:rPr>
                <w:rFonts w:ascii="仿宋_GB2312" w:hAnsi="仿宋_GB2312" w:cs="仿宋_GB2312"/>
                <w:lang w:eastAsia="zh-Hans"/>
              </w:rPr>
            </w:pPr>
            <w:r>
              <w:rPr>
                <w:rFonts w:hint="eastAsia" w:ascii="黑体" w:hAnsi="黑体" w:eastAsia="黑体" w:cs="黑体"/>
                <w:sz w:val="28"/>
                <w:szCs w:val="28"/>
              </w:rPr>
              <w:t>专栏5：工业互联网平台建设应用工程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工业互联网平台。</w:t>
            </w:r>
            <w:r>
              <w:rPr>
                <w:rFonts w:hint="eastAsia" w:ascii="仿宋_GB2312" w:hAnsi="仿宋_GB2312" w:cs="仿宋_GB2312"/>
                <w:sz w:val="24"/>
              </w:rPr>
              <w:t>在装备制造、电子信息、汽车制造、材料制造、食品加工等产业领域建设一批行业性工业互联网平台，培育1个跨行业、跨领域的省级、国家级工业互联网平台。支持防爆云平台建设国家级工业互联网平台。</w:t>
            </w:r>
          </w:p>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企业上云。</w:t>
            </w:r>
            <w:r>
              <w:rPr>
                <w:rFonts w:hint="eastAsia" w:ascii="仿宋_GB2312" w:hAnsi="仿宋_GB2312" w:cs="仿宋_GB2312"/>
                <w:sz w:val="24"/>
              </w:rPr>
              <w:t>深入开展中小企业“上云上平台”行动，推动万家中小企业业务系统向平台迁移。持续推进企业“上云用数赋智”，降低企业信息化成本和门槛，推动中小企业数字化转型进程。推进中小企业业务流程规范化、标准化，与龙头企业实现计划、技术、采购和质量的协同，实现大企业建平台和中小企业用平台双向迭代，促进大中小企业融合融通发展。</w:t>
            </w:r>
          </w:p>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工业互联网标识解析体系。</w:t>
            </w:r>
            <w:r>
              <w:rPr>
                <w:rFonts w:hint="eastAsia" w:ascii="仿宋_GB2312" w:hAnsi="仿宋_GB2312" w:cs="仿宋_GB2312"/>
                <w:sz w:val="24"/>
              </w:rPr>
              <w:t>“十四五”期间，争取建设工业互联网标识解析二级节点，并在光电信息、装备制造、食品等领域部署企业级节点。</w:t>
            </w:r>
          </w:p>
        </w:tc>
      </w:tr>
    </w:tbl>
    <w:p>
      <w:pPr>
        <w:numPr>
          <w:ilvl w:val="0"/>
          <w:numId w:val="6"/>
        </w:numPr>
        <w:spacing w:line="560" w:lineRule="exact"/>
        <w:ind w:firstLine="640" w:firstLineChars="200"/>
        <w:contextualSpacing/>
        <w:jc w:val="center"/>
        <w:outlineLvl w:val="1"/>
        <w:rPr>
          <w:rFonts w:ascii="楷体_GB2312" w:hAnsi="楷体_GB2312" w:eastAsia="楷体_GB2312" w:cs="楷体_GB2312"/>
          <w:bCs/>
        </w:rPr>
      </w:pPr>
      <w:bookmarkStart w:id="144" w:name="_Toc17353"/>
      <w:bookmarkStart w:id="145" w:name="_Toc89345841"/>
      <w:r>
        <w:rPr>
          <w:rFonts w:hint="eastAsia" w:ascii="楷体_GB2312" w:hAnsi="楷体_GB2312" w:eastAsia="楷体_GB2312" w:cs="楷体_GB2312"/>
          <w:bCs/>
        </w:rPr>
        <w:t xml:space="preserve"> 提升现代服务业数字化转型</w:t>
      </w:r>
      <w:bookmarkEnd w:id="144"/>
      <w:bookmarkEnd w:id="145"/>
    </w:p>
    <w:p>
      <w:pPr>
        <w:spacing w:line="560" w:lineRule="exact"/>
        <w:ind w:firstLine="640" w:firstLineChars="200"/>
        <w:contextualSpacing/>
        <w:rPr>
          <w:rFonts w:ascii="仿宋_GB2312" w:hAnsi="仿宋_GB2312" w:cs="仿宋_GB2312"/>
          <w:lang w:eastAsia="zh-Hans"/>
        </w:rPr>
      </w:pPr>
      <w:r>
        <w:rPr>
          <w:rFonts w:hint="eastAsia" w:ascii="仿宋_GB2312" w:hAnsi="仿宋_GB2312" w:cs="仿宋_GB2312"/>
        </w:rPr>
        <w:t>1.推进电子商务转型升级。</w:t>
      </w:r>
      <w:r>
        <w:rPr>
          <w:rFonts w:hint="eastAsia" w:ascii="仿宋_GB2312" w:hAnsi="仿宋_GB2312" w:cs="仿宋_GB2312"/>
          <w:lang w:eastAsia="zh-Hans"/>
        </w:rPr>
        <w:t>推动特色产业与电商融合发展，引进和培育有影响力的电子商务平台，开展国家级、省级电子商务示范基地、示范企业创建。推进电子商务与快递物流协同发展，认定一批市级电商物流示范园，加快电商物流提质增效、转型发展。支持卧龙</w:t>
      </w:r>
      <w:r>
        <w:rPr>
          <w:rFonts w:hint="eastAsia" w:ascii="仿宋_GB2312" w:hAnsi="仿宋_GB2312" w:cs="仿宋_GB2312"/>
        </w:rPr>
        <w:t>综合保税区</w:t>
      </w:r>
      <w:r>
        <w:rPr>
          <w:rFonts w:hint="eastAsia" w:ascii="仿宋_GB2312" w:hAnsi="仿宋_GB2312" w:cs="仿宋_GB2312"/>
          <w:lang w:eastAsia="zh-Hans"/>
        </w:rPr>
        <w:t>建设要素完善的跨境电商集聚区。</w:t>
      </w:r>
    </w:p>
    <w:p>
      <w:pPr>
        <w:spacing w:line="560" w:lineRule="exact"/>
        <w:ind w:firstLine="640" w:firstLineChars="200"/>
        <w:contextualSpacing/>
        <w:rPr>
          <w:rFonts w:ascii="仿宋_GB2312" w:hAnsi="仿宋_GB2312" w:cs="仿宋_GB2312"/>
          <w:lang w:eastAsia="zh-Hans"/>
        </w:rPr>
      </w:pPr>
      <w:r>
        <w:rPr>
          <w:rFonts w:hint="eastAsia" w:ascii="仿宋_GB2312" w:hAnsi="仿宋_GB2312" w:cs="仿宋_GB2312"/>
        </w:rPr>
        <w:t>2.打造智慧物流新形象。</w:t>
      </w:r>
      <w:r>
        <w:rPr>
          <w:rFonts w:hint="eastAsia" w:ascii="仿宋_GB2312" w:hAnsi="仿宋_GB2312" w:cs="仿宋_GB2312"/>
          <w:lang w:eastAsia="zh-Hans"/>
        </w:rPr>
        <w:t>推进人工智能、大数据、5G等新一代信息技术在物流产业中推广应用，鼓励龙头企业联合产业链上下游企业建立智慧化物流云平台，实施数字化运营，开展无人机、无人车、社区智能快递柜等智能化物流作业，全面提高物流作业效率和智能化水平，促进社交电商、智慧零售等“宅经济”发展，提升</w:t>
      </w:r>
      <w:r>
        <w:rPr>
          <w:rFonts w:hint="eastAsia" w:ascii="仿宋_GB2312" w:hAnsi="仿宋_GB2312" w:cs="仿宋_GB2312"/>
        </w:rPr>
        <w:t>“副中心城市”</w:t>
      </w:r>
      <w:r>
        <w:rPr>
          <w:rFonts w:hint="eastAsia" w:ascii="仿宋_GB2312" w:hAnsi="仿宋_GB2312" w:cs="仿宋_GB2312"/>
          <w:lang w:eastAsia="zh-Hans"/>
        </w:rPr>
        <w:t>“全国性综合交通枢纽城市”等物流保障能力</w:t>
      </w:r>
      <w:r>
        <w:rPr>
          <w:rFonts w:hint="eastAsia" w:ascii="仿宋_GB2312" w:hAnsi="仿宋_GB2312" w:cs="仿宋_GB2312"/>
        </w:rPr>
        <w:t>，为加快构建“1+3+N”三级物流体系提供强力支撑</w:t>
      </w:r>
      <w:r>
        <w:rPr>
          <w:rFonts w:hint="eastAsia" w:ascii="仿宋_GB2312" w:hAnsi="仿宋_GB2312" w:cs="仿宋_GB2312"/>
          <w:lang w:eastAsia="zh-Hans"/>
        </w:rPr>
        <w:t>。</w:t>
      </w:r>
    </w:p>
    <w:p>
      <w:pPr>
        <w:spacing w:line="560" w:lineRule="exact"/>
        <w:ind w:firstLine="640" w:firstLineChars="200"/>
        <w:contextualSpacing/>
        <w:rPr>
          <w:rFonts w:ascii="仿宋_GB2312" w:hAnsi="仿宋_GB2312" w:cs="仿宋_GB2312"/>
          <w:lang w:eastAsia="zh-Hans"/>
        </w:rPr>
      </w:pPr>
      <w:r>
        <w:rPr>
          <w:rFonts w:hint="eastAsia" w:ascii="仿宋_GB2312" w:hAnsi="仿宋_GB2312" w:cs="仿宋_GB2312"/>
        </w:rPr>
        <w:t>3.超前布局发展新零售。</w:t>
      </w:r>
      <w:r>
        <w:rPr>
          <w:rFonts w:hint="eastAsia" w:ascii="仿宋_GB2312" w:hAnsi="仿宋_GB2312" w:cs="仿宋_GB2312"/>
          <w:lang w:eastAsia="zh-Hans"/>
        </w:rPr>
        <w:t>建设新零售创新创业服务平台，发展分享经济、订制包销、社交电商等模式，加大图像识别、生物识别、射频识别等技术融合应用</w:t>
      </w:r>
      <w:r>
        <w:rPr>
          <w:rFonts w:hint="eastAsia" w:ascii="仿宋_GB2312" w:hAnsi="仿宋_GB2312" w:cs="仿宋_GB2312"/>
        </w:rPr>
        <w:t>，</w:t>
      </w:r>
      <w:r>
        <w:rPr>
          <w:rFonts w:hint="eastAsia" w:ascii="仿宋_GB2312" w:hAnsi="仿宋_GB2312" w:cs="仿宋_GB2312"/>
          <w:lang w:eastAsia="zh-Hans"/>
        </w:rPr>
        <w:t>打造智能化、无人化、数字化等形式的新零售业态，发展“无人零售”“无接触超市”“无接触配送智能售餐机”等非接触式经济。加强新零售与智能制造、旅游、游戏、影视、文创等产业的融合发展，着力推动新零售向线下生活服务、文体健康等领域拓展，为生活服务业打造线上平台。推进末端网点和示范项目建设，鼓励将智能快递柜与信报箱、生鲜投递柜、无人货柜等物流末端功能整合，鼓励食品企业建设新零售网点，鼓励新零售示范街区建设，打造新零售业态集聚区和发展示范区。</w:t>
      </w:r>
    </w:p>
    <w:p>
      <w:pPr>
        <w:pStyle w:val="4"/>
        <w:spacing w:line="560" w:lineRule="exact"/>
        <w:ind w:firstLine="640" w:firstLineChars="200"/>
        <w:contextualSpacing/>
        <w:rPr>
          <w:rFonts w:ascii="仿宋_GB2312" w:hAnsi="仿宋_GB2312" w:cs="仿宋_GB2312"/>
          <w:lang w:eastAsia="zh-Hans"/>
        </w:rPr>
      </w:pPr>
      <w:r>
        <w:rPr>
          <w:rFonts w:hint="eastAsia" w:ascii="仿宋_GB2312" w:hAnsi="仿宋_GB2312" w:cs="仿宋_GB2312"/>
        </w:rPr>
        <w:t>4.全面赋能文化创意产业。</w:t>
      </w:r>
      <w:r>
        <w:rPr>
          <w:rFonts w:hint="eastAsia" w:ascii="仿宋_GB2312" w:hAnsi="仿宋_GB2312" w:cs="仿宋_GB2312"/>
          <w:lang w:eastAsia="zh-Hans"/>
        </w:rPr>
        <w:t>加快培育新型文化企业、文化业态、文化消费模式，全面繁荣新闻出版、广播影视、文艺创作</w:t>
      </w:r>
      <w:r>
        <w:rPr>
          <w:rFonts w:hint="eastAsia" w:ascii="仿宋_GB2312" w:hAnsi="仿宋_GB2312" w:cs="仿宋_GB2312"/>
        </w:rPr>
        <w:t>、文物展示</w:t>
      </w:r>
      <w:r>
        <w:rPr>
          <w:rFonts w:hint="eastAsia" w:ascii="仿宋_GB2312" w:hAnsi="仿宋_GB2312" w:cs="仿宋_GB2312"/>
          <w:lang w:eastAsia="zh-Hans"/>
        </w:rPr>
        <w:t>等文化事业，促进工艺美术、精品演艺、网络文化</w:t>
      </w:r>
      <w:r>
        <w:rPr>
          <w:rFonts w:hint="eastAsia" w:ascii="仿宋_GB2312" w:hAnsi="仿宋_GB2312" w:cs="仿宋_GB2312"/>
        </w:rPr>
        <w:t>、展览展示</w:t>
      </w:r>
      <w:r>
        <w:rPr>
          <w:rFonts w:hint="eastAsia" w:ascii="仿宋_GB2312" w:hAnsi="仿宋_GB2312" w:cs="仿宋_GB2312"/>
          <w:lang w:eastAsia="zh-Hans"/>
        </w:rPr>
        <w:t>等创新发展，推广基于5G、人工智能、虚拟现实、大数据等技术的新一代沉浸式体验消费，建设一批文化创意创业基地，打造全链条文创产业。结合</w:t>
      </w:r>
      <w:r>
        <w:rPr>
          <w:rFonts w:hint="eastAsia" w:ascii="仿宋_GB2312" w:hAnsi="仿宋_GB2312" w:cs="仿宋_GB2312"/>
        </w:rPr>
        <w:t>我市</w:t>
      </w:r>
      <w:r>
        <w:rPr>
          <w:rFonts w:hint="eastAsia" w:ascii="仿宋_GB2312" w:hAnsi="仿宋_GB2312" w:cs="仿宋_GB2312"/>
          <w:lang w:eastAsia="zh-Hans"/>
        </w:rPr>
        <w:t>资源和产业发展基础，推进新一代信息技术赋能动漫游戏、电子竞技</w:t>
      </w:r>
      <w:r>
        <w:rPr>
          <w:rFonts w:hint="eastAsia" w:ascii="仿宋_GB2312" w:hAnsi="仿宋_GB2312" w:cs="仿宋_GB2312"/>
        </w:rPr>
        <w:t>、</w:t>
      </w:r>
      <w:r>
        <w:rPr>
          <w:rFonts w:hint="eastAsia" w:ascii="仿宋_GB2312" w:hAnsi="仿宋_GB2312" w:cs="仿宋_GB2312"/>
          <w:lang w:eastAsia="zh-Hans"/>
        </w:rPr>
        <w:t>云VR游戏、网络视听、文化会展等文创产业。</w:t>
      </w:r>
    </w:p>
    <w:p>
      <w:pPr>
        <w:spacing w:line="560" w:lineRule="exact"/>
        <w:ind w:firstLine="640" w:firstLineChars="200"/>
        <w:contextualSpacing/>
        <w:rPr>
          <w:rFonts w:ascii="仿宋_GB2312" w:hAnsi="仿宋_GB2312" w:cs="仿宋_GB2312"/>
          <w:lang w:eastAsia="zh-Hans"/>
        </w:rPr>
      </w:pPr>
      <w:r>
        <w:rPr>
          <w:rFonts w:hint="eastAsia" w:ascii="仿宋_GB2312" w:hAnsi="仿宋_GB2312" w:cs="仿宋_GB2312"/>
        </w:rPr>
        <w:t>5.加快建设数字康养体系。</w:t>
      </w:r>
      <w:r>
        <w:rPr>
          <w:rFonts w:hint="eastAsia" w:ascii="仿宋_GB2312" w:hAnsi="仿宋_GB2312" w:cs="仿宋_GB2312"/>
          <w:lang w:eastAsia="zh-Hans"/>
        </w:rPr>
        <w:t>鼓励新一代信息技术和康养产业融合发展，研究建立数字化康养服务体系，创新服务模式，丰富智慧康养应用，实现康养服务资源的有效调配，</w:t>
      </w:r>
      <w:r>
        <w:rPr>
          <w:rFonts w:hint="eastAsia" w:ascii="仿宋_GB2312" w:hAnsi="仿宋_GB2312" w:cs="仿宋_GB2312"/>
        </w:rPr>
        <w:t>助力</w:t>
      </w:r>
      <w:r>
        <w:rPr>
          <w:rFonts w:hint="eastAsia" w:ascii="仿宋_GB2312" w:hAnsi="仿宋_GB2312" w:cs="仿宋_GB2312"/>
          <w:lang w:eastAsia="zh-Hans"/>
        </w:rPr>
        <w:t>服务质量</w:t>
      </w:r>
      <w:r>
        <w:rPr>
          <w:rFonts w:hint="eastAsia" w:ascii="仿宋_GB2312" w:hAnsi="仿宋_GB2312" w:cs="仿宋_GB2312"/>
        </w:rPr>
        <w:t>、</w:t>
      </w:r>
      <w:r>
        <w:rPr>
          <w:rFonts w:hint="eastAsia" w:ascii="仿宋_GB2312" w:hAnsi="仿宋_GB2312" w:cs="仿宋_GB2312"/>
          <w:lang w:eastAsia="zh-Hans"/>
        </w:rPr>
        <w:t>效率</w:t>
      </w:r>
      <w:r>
        <w:rPr>
          <w:rFonts w:hint="eastAsia" w:ascii="仿宋_GB2312" w:hAnsi="仿宋_GB2312" w:cs="仿宋_GB2312"/>
        </w:rPr>
        <w:t>、</w:t>
      </w:r>
      <w:r>
        <w:rPr>
          <w:rFonts w:hint="eastAsia" w:ascii="仿宋_GB2312" w:hAnsi="仿宋_GB2312" w:cs="仿宋_GB2312"/>
          <w:lang w:eastAsia="zh-Hans"/>
        </w:rPr>
        <w:t>水平快速提升。引导社会资本建设科技康养智慧信息平台，支持企业开发智能养老设备、智能适老器具、智能康复机器人等，深入挖掘健康养老大数据资源价值，重点为老年人提供便捷、精准、高效的健康养老服务，打造数字化高端智能养老社区、福利院、养老院。围绕张仲景健康文化产业园建设，开展数字康养试点示范专项行动，打造中医康养示范基地，着力培育全省乃至全国“数字康养”服务创新区、引领区和示范区。</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522" w:type="dxa"/>
          </w:tcPr>
          <w:p>
            <w:pPr>
              <w:spacing w:line="400" w:lineRule="exact"/>
              <w:contextualSpacing/>
              <w:jc w:val="center"/>
              <w:rPr>
                <w:rFonts w:ascii="仿宋_GB2312" w:hAnsi="仿宋_GB2312" w:cs="仿宋_GB2312"/>
                <w:lang w:eastAsia="zh-Hans"/>
              </w:rPr>
            </w:pPr>
            <w:r>
              <w:rPr>
                <w:rFonts w:hint="eastAsia" w:ascii="黑体" w:hAnsi="黑体" w:eastAsia="黑体" w:cs="黑体"/>
                <w:sz w:val="28"/>
                <w:szCs w:val="28"/>
              </w:rPr>
              <w:t>专栏6：电商物流智慧化建设工程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8522" w:type="dxa"/>
          </w:tcPr>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跨境电商。</w:t>
            </w:r>
            <w:r>
              <w:rPr>
                <w:rFonts w:hint="eastAsia" w:ascii="仿宋_GB2312" w:hAnsi="仿宋_GB2312" w:cs="仿宋_GB2312"/>
                <w:sz w:val="24"/>
              </w:rPr>
              <w:t>推进南阳跨境电子商务综合试验区建设，提升完善南阳跨境电子商务综合试验区综合服务平台功能。加快布局跨境电子商务产业园和公共海外仓，深化与丝绸之路沿线国家和地区在数字经济领域的合作。</w:t>
            </w:r>
          </w:p>
          <w:p>
            <w:pPr>
              <w:spacing w:line="400" w:lineRule="exact"/>
              <w:ind w:firstLine="480" w:firstLineChars="200"/>
              <w:contextualSpacing/>
              <w:jc w:val="distribute"/>
              <w:rPr>
                <w:rFonts w:ascii="仿宋_GB2312" w:hAnsi="仿宋_GB2312" w:cs="仿宋_GB2312"/>
                <w:sz w:val="24"/>
              </w:rPr>
            </w:pPr>
            <w:r>
              <w:rPr>
                <w:rFonts w:hint="eastAsia" w:ascii="楷体" w:hAnsi="楷体" w:eastAsia="楷体" w:cs="楷体"/>
                <w:bCs/>
                <w:sz w:val="24"/>
              </w:rPr>
              <w:t>数字化物流园区。</w:t>
            </w:r>
            <w:r>
              <w:rPr>
                <w:rFonts w:hint="eastAsia" w:ascii="仿宋_GB2312" w:hAnsi="仿宋_GB2312" w:cs="仿宋_GB2312"/>
                <w:sz w:val="24"/>
              </w:rPr>
              <w:t>加快内乡牧原智慧物流园、南阳万邦厚疆农产品批发市场项目建设。重点提升南阳商贸服务型国家物流枢纽和邓州、唐河区域物流枢纽智</w:t>
            </w:r>
            <w:r>
              <w:rPr>
                <w:rFonts w:hint="eastAsia" w:ascii="仿宋_GB2312" w:hAnsi="仿宋_GB2312" w:cs="仿宋_GB2312"/>
                <w:spacing w:val="-20"/>
                <w:sz w:val="24"/>
              </w:rPr>
              <w:t>能化水平。加快南阳东森医药、桐柏今达电商等4个省级示范物流园区数字化升级。</w:t>
            </w:r>
          </w:p>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多式联运。</w:t>
            </w:r>
            <w:r>
              <w:rPr>
                <w:rFonts w:hint="eastAsia" w:ascii="仿宋_GB2312" w:hAnsi="仿宋_GB2312" w:cs="仿宋_GB2312"/>
                <w:sz w:val="24"/>
              </w:rPr>
              <w:t>实施多式联运示范工程，支持示范工程企业建设多式联运综合信息服务平台，引导企业开放枢纽场站、运力调配、班线计划等数据资源，提升铁水、公铁、公水、空陆等联运智能化水平。“十四五”期间，力争全市A级以上物流企业达到20家、5A级实现零的突破，打造中部水陆集散中心、全国重要物流枢纽。</w:t>
            </w:r>
          </w:p>
        </w:tc>
      </w:tr>
    </w:tbl>
    <w:p>
      <w:pPr>
        <w:numPr>
          <w:ilvl w:val="0"/>
          <w:numId w:val="6"/>
        </w:numPr>
        <w:spacing w:line="560" w:lineRule="exact"/>
        <w:ind w:left="640" w:leftChars="200" w:firstLine="640" w:firstLineChars="200"/>
        <w:contextualSpacing/>
        <w:jc w:val="center"/>
        <w:outlineLvl w:val="1"/>
        <w:rPr>
          <w:rFonts w:ascii="楷体_GB2312" w:hAnsi="楷体_GB2312" w:eastAsia="楷体_GB2312" w:cs="楷体_GB2312"/>
          <w:bCs/>
        </w:rPr>
      </w:pPr>
      <w:bookmarkStart w:id="146" w:name="_Toc89345842"/>
      <w:bookmarkStart w:id="147" w:name="_Toc2135"/>
      <w:r>
        <w:rPr>
          <w:rFonts w:hint="eastAsia" w:ascii="楷体_GB2312" w:hAnsi="楷体_GB2312" w:eastAsia="楷体_GB2312" w:cs="楷体_GB2312"/>
          <w:bCs/>
        </w:rPr>
        <w:t xml:space="preserve"> 加快农业数字化转型</w:t>
      </w:r>
      <w:bookmarkEnd w:id="146"/>
      <w:bookmarkEnd w:id="147"/>
    </w:p>
    <w:p>
      <w:pPr>
        <w:spacing w:line="560" w:lineRule="exact"/>
        <w:ind w:firstLine="800" w:firstLineChars="250"/>
        <w:contextualSpacing/>
        <w:rPr>
          <w:rFonts w:ascii="仿宋_GB2312" w:hAnsi="仿宋_GB2312" w:cs="仿宋_GB2312"/>
          <w:lang w:eastAsia="zh-Hans"/>
        </w:rPr>
      </w:pPr>
      <w:r>
        <w:rPr>
          <w:rFonts w:hint="eastAsia" w:ascii="仿宋_GB2312" w:hAnsi="仿宋_GB2312" w:cs="仿宋_GB2312"/>
          <w:bCs/>
        </w:rPr>
        <w:t>1.</w:t>
      </w:r>
      <w:r>
        <w:rPr>
          <w:rFonts w:hint="eastAsia" w:ascii="仿宋_GB2312" w:hAnsi="仿宋_GB2312" w:cs="仿宋_GB2312"/>
        </w:rPr>
        <w:t>智慧农业。</w:t>
      </w:r>
      <w:r>
        <w:rPr>
          <w:rFonts w:hint="eastAsia" w:ascii="仿宋_GB2312" w:hAnsi="仿宋_GB2312" w:cs="仿宋_GB2312"/>
          <w:lang w:eastAsia="zh-Hans"/>
        </w:rPr>
        <w:t>加快物联网、大数据、云计算、北斗等</w:t>
      </w:r>
      <w:r>
        <w:rPr>
          <w:rFonts w:hint="eastAsia" w:ascii="仿宋_GB2312" w:hAnsi="仿宋_GB2312" w:cs="仿宋_GB2312"/>
        </w:rPr>
        <w:t>新一代</w:t>
      </w:r>
      <w:r>
        <w:rPr>
          <w:rFonts w:hint="eastAsia" w:ascii="仿宋_GB2312" w:hAnsi="仿宋_GB2312" w:cs="仿宋_GB2312"/>
          <w:lang w:eastAsia="zh-Hans"/>
        </w:rPr>
        <w:t>信息技术与农业深度融合，通过农业数字化，促进乡村振兴。以精准化种养、可视化管理、可追溯监管为重点，大力发展智慧农业</w:t>
      </w:r>
      <w:r>
        <w:rPr>
          <w:rFonts w:hint="eastAsia" w:ascii="仿宋_GB2312" w:hAnsi="仿宋_GB2312" w:cs="仿宋_GB2312"/>
        </w:rPr>
        <w:t>、智慧畜牧业、农业物联网</w:t>
      </w:r>
      <w:r>
        <w:rPr>
          <w:rFonts w:hint="eastAsia" w:ascii="仿宋_GB2312" w:hAnsi="仿宋_GB2312" w:cs="仿宋_GB2312"/>
          <w:lang w:eastAsia="zh-Hans"/>
        </w:rPr>
        <w:t>，建设一批数字农业产业园、智慧养殖场、智能农业车间。加快智慧农机发展，加强大中型、智能化、复合型农业机械应用。依托现代农业示范区，加快推广农业设施智能控制、大田“四情”监测、水肥药一体化智能灌溉等应用。在农产品生产领域，加快智能传感器、智能农机装备、自主作业系统、智能温室等技术应用，推动农产品精准化种植、可视化管理、智能化储运</w:t>
      </w:r>
      <w:r>
        <w:rPr>
          <w:rFonts w:hint="eastAsia" w:ascii="仿宋_GB2312" w:hAnsi="仿宋_GB2312" w:cs="仿宋_GB2312"/>
        </w:rPr>
        <w:t>。</w:t>
      </w:r>
      <w:r>
        <w:rPr>
          <w:rFonts w:hint="eastAsia" w:ascii="仿宋_GB2312" w:hAnsi="仿宋_GB2312" w:cs="仿宋_GB2312"/>
          <w:lang w:eastAsia="zh-Hans"/>
        </w:rPr>
        <w:t>在农产品加工领域，加快</w:t>
      </w:r>
      <w:r>
        <w:rPr>
          <w:rFonts w:hint="eastAsia" w:ascii="仿宋_GB2312" w:hAnsi="仿宋_GB2312" w:cs="仿宋_GB2312"/>
        </w:rPr>
        <w:t>射频识别（</w:t>
      </w:r>
      <w:r>
        <w:rPr>
          <w:rFonts w:hint="eastAsia" w:ascii="仿宋_GB2312" w:hAnsi="仿宋_GB2312" w:cs="仿宋_GB2312"/>
          <w:lang w:eastAsia="zh-Hans"/>
        </w:rPr>
        <w:t>RFID</w:t>
      </w:r>
      <w:r>
        <w:rPr>
          <w:rFonts w:hint="eastAsia" w:ascii="仿宋_GB2312" w:hAnsi="仿宋_GB2312" w:cs="仿宋_GB2312"/>
        </w:rPr>
        <w:t>）</w:t>
      </w:r>
      <w:r>
        <w:rPr>
          <w:rFonts w:hint="eastAsia" w:ascii="仿宋_GB2312" w:hAnsi="仿宋_GB2312" w:cs="仿宋_GB2312"/>
          <w:lang w:eastAsia="zh-Hans"/>
        </w:rPr>
        <w:t>技术、条形码技术、可追溯技术、配送监管系统等技术应用，加强农产品“三品一标”和质量安全可追溯体系建设，推动农产品从田地到市场再到终端用户的全过程可追溯。</w:t>
      </w:r>
    </w:p>
    <w:p>
      <w:pPr>
        <w:spacing w:line="560" w:lineRule="exact"/>
        <w:ind w:firstLine="800" w:firstLineChars="250"/>
        <w:contextualSpacing/>
        <w:rPr>
          <w:rFonts w:ascii="仿宋_GB2312" w:hAnsi="仿宋_GB2312" w:cs="仿宋_GB2312"/>
        </w:rPr>
      </w:pPr>
      <w:r>
        <w:rPr>
          <w:rFonts w:hint="eastAsia" w:ascii="仿宋_GB2312" w:hAnsi="仿宋_GB2312" w:cs="仿宋_GB2312"/>
          <w:bCs/>
        </w:rPr>
        <w:t>2.农产品储运和销售。</w:t>
      </w:r>
      <w:r>
        <w:rPr>
          <w:rFonts w:hint="eastAsia" w:ascii="仿宋_GB2312" w:hAnsi="仿宋_GB2312" w:cs="仿宋_GB2312"/>
          <w:lang w:eastAsia="zh-Hans"/>
        </w:rPr>
        <w:t>建设农产品经营、储运、流通网络，完善乡村电商站点服务功能，加快乡村物流资源整合，加快推进数字乡村智慧服务应用普及。支持推广村播、“短视频+网红”等新型营销模式，完善农产品网络销售体系</w:t>
      </w:r>
      <w:r>
        <w:rPr>
          <w:rFonts w:hint="eastAsia" w:ascii="仿宋_GB2312" w:hAnsi="仿宋_GB2312" w:cs="仿宋_GB2312"/>
        </w:rPr>
        <w:t>，</w:t>
      </w:r>
      <w:r>
        <w:rPr>
          <w:rFonts w:hint="eastAsia" w:ascii="仿宋_GB2312" w:hAnsi="仿宋_GB2312" w:cs="仿宋_GB2312"/>
          <w:lang w:eastAsia="zh-Hans"/>
        </w:rPr>
        <w:t>健全农产品产销一体化信息系统。推动淅川县“互联网+农产品”出村进城工程试点县建设</w:t>
      </w:r>
      <w:r>
        <w:rPr>
          <w:rFonts w:hint="eastAsia" w:ascii="仿宋_GB2312" w:hAnsi="仿宋_GB2312" w:cs="仿宋_GB2312"/>
        </w:rPr>
        <w:t>，鼓励其他县开展</w:t>
      </w:r>
      <w:r>
        <w:rPr>
          <w:rFonts w:hint="eastAsia" w:ascii="仿宋_GB2312" w:hAnsi="仿宋_GB2312" w:cs="仿宋_GB2312"/>
          <w:lang w:eastAsia="zh-Hans"/>
        </w:rPr>
        <w:t>“互联网+农产品”出村进城</w:t>
      </w:r>
      <w:r>
        <w:rPr>
          <w:rFonts w:hint="eastAsia" w:ascii="仿宋_GB2312" w:hAnsi="仿宋_GB2312" w:cs="仿宋_GB2312"/>
        </w:rPr>
        <w:t>试点。</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spacing w:line="400" w:lineRule="exact"/>
              <w:contextualSpacing/>
              <w:jc w:val="center"/>
              <w:rPr>
                <w:rFonts w:ascii="仿宋_GB2312" w:hAnsi="仿宋_GB2312" w:cs="仿宋_GB2312"/>
                <w:lang w:eastAsia="zh-Hans"/>
              </w:rPr>
            </w:pPr>
            <w:r>
              <w:rPr>
                <w:rFonts w:hint="eastAsia" w:ascii="黑体" w:hAnsi="黑体" w:eastAsia="黑体" w:cs="黑体"/>
                <w:sz w:val="28"/>
                <w:szCs w:val="28"/>
              </w:rPr>
              <w:t>专栏7：农业数字化提质工程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数字农业示范工程。</w:t>
            </w:r>
            <w:r>
              <w:rPr>
                <w:rFonts w:hint="eastAsia" w:ascii="仿宋_GB2312" w:hAnsi="仿宋_GB2312" w:cs="仿宋_GB2312"/>
                <w:sz w:val="24"/>
              </w:rPr>
              <w:t>实施“一村九园”（数字村庄、数字田园、数字果园、数字菜园、数字茶园、数字菌园、数字药园、数字花园、数字牧场、数字渔场）数字农业示范工程，围绕大田种植、畜禽养殖、林特产品等领域，规划建设数字农业产业园，提升农业数字化管理。依托现代农业示范区，加快推广设施农业智能控制、大田“四情”监测、水肥药一体化智能灌溉等应用。依托牧原股份、科尔沁等骨干企业，在内乡县、新野县等地建立精准养殖试点，推进绿色养殖饲喂、环控、采集、粪污利用等智能化。</w:t>
            </w:r>
          </w:p>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优势特色产业数字化。</w:t>
            </w:r>
            <w:r>
              <w:rPr>
                <w:rFonts w:hint="eastAsia" w:ascii="仿宋_GB2312" w:hAnsi="仿宋_GB2312" w:cs="仿宋_GB2312"/>
                <w:sz w:val="24"/>
              </w:rPr>
              <w:t>聚焦花、药、果、菌、茶“五特”经济，围绕肉食、粮油制品、食用菌、中药材、林产品、果蔬、乳制品、酒业等八大产业集群，抓好“粮头食尾”“农头工尾”，持续推进产业数字化应用。</w:t>
            </w:r>
          </w:p>
          <w:p>
            <w:pPr>
              <w:spacing w:line="400" w:lineRule="exact"/>
              <w:ind w:firstLine="480" w:firstLineChars="200"/>
              <w:contextualSpacing/>
              <w:rPr>
                <w:rFonts w:ascii="仿宋_GB2312" w:hAnsi="仿宋_GB2312" w:cs="仿宋_GB2312"/>
              </w:rPr>
            </w:pPr>
            <w:r>
              <w:rPr>
                <w:rFonts w:hint="eastAsia" w:ascii="楷体" w:hAnsi="楷体" w:eastAsia="楷体" w:cs="楷体"/>
                <w:bCs/>
                <w:sz w:val="24"/>
              </w:rPr>
              <w:t>“互联网+农业”新业态。</w:t>
            </w:r>
            <w:r>
              <w:rPr>
                <w:rFonts w:hint="eastAsia" w:ascii="仿宋_GB2312" w:hAnsi="仿宋_GB2312" w:cs="仿宋_GB2312"/>
                <w:sz w:val="24"/>
                <w:lang w:eastAsia="zh-Hans"/>
              </w:rPr>
              <w:t>加快发展休闲农业、康养农业、创意农业、农村电商、乡村旅游和智慧绿色乡村等新业态，推动一</w:t>
            </w:r>
            <w:r>
              <w:rPr>
                <w:rFonts w:hint="eastAsia" w:ascii="仿宋_GB2312" w:hAnsi="仿宋_GB2312" w:cs="仿宋_GB2312"/>
                <w:sz w:val="24"/>
              </w:rPr>
              <w:t>、</w:t>
            </w:r>
            <w:r>
              <w:rPr>
                <w:rFonts w:hint="eastAsia" w:ascii="仿宋_GB2312" w:hAnsi="仿宋_GB2312" w:cs="仿宋_GB2312"/>
                <w:sz w:val="24"/>
                <w:lang w:eastAsia="zh-Hans"/>
              </w:rPr>
              <w:t>二</w:t>
            </w:r>
            <w:r>
              <w:rPr>
                <w:rFonts w:hint="eastAsia" w:ascii="仿宋_GB2312" w:hAnsi="仿宋_GB2312" w:cs="仿宋_GB2312"/>
                <w:sz w:val="24"/>
              </w:rPr>
              <w:t>、</w:t>
            </w:r>
            <w:r>
              <w:rPr>
                <w:rFonts w:hint="eastAsia" w:ascii="仿宋_GB2312" w:hAnsi="仿宋_GB2312" w:cs="仿宋_GB2312"/>
                <w:sz w:val="24"/>
                <w:lang w:eastAsia="zh-Hans"/>
              </w:rPr>
              <w:t>三产融合发展。</w:t>
            </w:r>
          </w:p>
        </w:tc>
      </w:tr>
    </w:tbl>
    <w:p>
      <w:pPr>
        <w:numPr>
          <w:ilvl w:val="0"/>
          <w:numId w:val="5"/>
        </w:numPr>
        <w:spacing w:line="560" w:lineRule="exact"/>
        <w:ind w:left="640" w:leftChars="200" w:firstLine="640" w:firstLineChars="200"/>
        <w:contextualSpacing/>
        <w:jc w:val="center"/>
        <w:outlineLvl w:val="0"/>
        <w:rPr>
          <w:rFonts w:ascii="黑体" w:hAnsi="黑体" w:eastAsia="黑体" w:cs="黑体"/>
        </w:rPr>
      </w:pPr>
      <w:bookmarkStart w:id="148" w:name="_Toc89345843"/>
      <w:bookmarkStart w:id="149" w:name="_Toc3740"/>
      <w:r>
        <w:rPr>
          <w:rFonts w:hint="eastAsia" w:ascii="黑体" w:hAnsi="黑体" w:eastAsia="黑体" w:cs="黑体"/>
        </w:rPr>
        <w:t xml:space="preserve"> 全面推进数字治理，构建智慧便捷</w:t>
      </w:r>
      <w:bookmarkEnd w:id="148"/>
      <w:bookmarkEnd w:id="149"/>
      <w:r>
        <w:rPr>
          <w:rFonts w:hint="eastAsia" w:ascii="黑体" w:hAnsi="黑体" w:eastAsia="黑体" w:cs="黑体"/>
        </w:rPr>
        <w:t>体系</w:t>
      </w:r>
    </w:p>
    <w:p>
      <w:pPr>
        <w:spacing w:line="560" w:lineRule="exact"/>
        <w:ind w:firstLine="640" w:firstLineChars="200"/>
        <w:contextualSpacing/>
        <w:jc w:val="center"/>
        <w:outlineLvl w:val="1"/>
        <w:rPr>
          <w:rFonts w:ascii="楷体_GB2312" w:hAnsi="楷体_GB2312" w:eastAsia="楷体_GB2312" w:cs="楷体_GB2312"/>
          <w:bCs/>
        </w:rPr>
      </w:pPr>
      <w:bookmarkStart w:id="150" w:name="_Toc7023"/>
      <w:bookmarkStart w:id="151" w:name="_Toc89345844"/>
      <w:r>
        <w:rPr>
          <w:rFonts w:hint="eastAsia" w:ascii="楷体_GB2312" w:hAnsi="楷体_GB2312" w:eastAsia="楷体_GB2312" w:cs="楷体_GB2312"/>
          <w:bCs/>
        </w:rPr>
        <w:t>第一节  全面建设数字政府</w:t>
      </w:r>
      <w:bookmarkEnd w:id="150"/>
      <w:bookmarkEnd w:id="151"/>
    </w:p>
    <w:p>
      <w:pPr>
        <w:spacing w:line="560" w:lineRule="exact"/>
        <w:ind w:firstLine="640" w:firstLineChars="200"/>
        <w:contextualSpacing/>
        <w:rPr>
          <w:rFonts w:ascii="仿宋_GB2312" w:hAnsi="仿宋_GB2312" w:cs="仿宋_GB2312"/>
          <w:lang w:eastAsia="zh-Hans"/>
        </w:rPr>
      </w:pPr>
      <w:r>
        <w:rPr>
          <w:rFonts w:hint="eastAsia" w:ascii="仿宋_GB2312" w:hAnsi="仿宋_GB2312" w:cs="仿宋_GB2312"/>
          <w:lang w:eastAsia="zh-Hans"/>
        </w:rPr>
        <w:t>强化数字政府建设对数字经济发展的引领作用</w:t>
      </w:r>
      <w:r>
        <w:rPr>
          <w:rFonts w:hint="eastAsia" w:ascii="仿宋_GB2312" w:hAnsi="仿宋_GB2312" w:cs="仿宋_GB2312"/>
        </w:rPr>
        <w:t>，</w:t>
      </w:r>
      <w:r>
        <w:rPr>
          <w:rFonts w:hint="eastAsia" w:ascii="仿宋_GB2312" w:hAnsi="仿宋_GB2312" w:cs="仿宋_GB2312"/>
          <w:lang w:eastAsia="zh-Hans"/>
        </w:rPr>
        <w:t>树立“用数据说话、用数据决策、用数据管理、用数据创新”的思维和理念，以“社会需求”为方向，以“技术驱动”为牵引，以“城市大脑”建设为载体</w:t>
      </w:r>
      <w:r>
        <w:rPr>
          <w:rFonts w:hint="eastAsia" w:ascii="仿宋_GB2312" w:hAnsi="仿宋_GB2312" w:cs="仿宋_GB2312"/>
        </w:rPr>
        <w:t>，</w:t>
      </w:r>
      <w:r>
        <w:rPr>
          <w:rFonts w:hint="eastAsia" w:ascii="仿宋_GB2312" w:hAnsi="仿宋_GB2312" w:cs="仿宋_GB2312"/>
          <w:lang w:eastAsia="zh-Hans"/>
        </w:rPr>
        <w:t>以政务信息资源整合和开放共享为主线，强化政府智能决策和分析能力，不断优化完善政府组织架构，打造“政务服务高效便捷、技术支撑敏捷智慧、组织架构协同灵活”的数字政府体系架构，构建以数据为驱动的新型政务服务运行模式，建成全省领先的数字政府“南阳范本”。</w:t>
      </w:r>
    </w:p>
    <w:p>
      <w:pPr>
        <w:spacing w:line="560" w:lineRule="exact"/>
        <w:ind w:firstLine="640" w:firstLineChars="200"/>
        <w:contextualSpacing/>
        <w:rPr>
          <w:rFonts w:ascii="仿宋_GB2312" w:hAnsi="仿宋_GB2312" w:cs="仿宋_GB2312"/>
          <w:lang w:eastAsia="zh-Hans"/>
        </w:rPr>
      </w:pPr>
      <w:r>
        <w:rPr>
          <w:rFonts w:hint="eastAsia" w:ascii="仿宋_GB2312" w:hAnsi="仿宋_GB2312" w:cs="仿宋_GB2312"/>
        </w:rPr>
        <w:t>1.加快建设数字政府基础设施。</w:t>
      </w:r>
      <w:r>
        <w:rPr>
          <w:rFonts w:hint="eastAsia" w:ascii="仿宋_GB2312" w:hAnsi="仿宋_GB2312" w:cs="仿宋_GB2312"/>
          <w:lang w:eastAsia="zh-Hans"/>
        </w:rPr>
        <w:t>优化全市电子政务外网，加快推进政务专网整合，开展政务云</w:t>
      </w:r>
      <w:r>
        <w:rPr>
          <w:rFonts w:hint="eastAsia" w:ascii="仿宋_GB2312" w:hAnsi="仿宋_GB2312" w:cs="仿宋_GB2312"/>
        </w:rPr>
        <w:t>“</w:t>
      </w:r>
      <w:r>
        <w:rPr>
          <w:rFonts w:hint="eastAsia" w:ascii="仿宋_GB2312" w:hAnsi="仿宋_GB2312" w:cs="仿宋_GB2312"/>
          <w:lang w:eastAsia="zh-Hans"/>
        </w:rPr>
        <w:t>同城双活</w:t>
      </w:r>
      <w:r>
        <w:rPr>
          <w:rFonts w:hint="eastAsia" w:ascii="仿宋_GB2312" w:hAnsi="仿宋_GB2312" w:cs="仿宋_GB2312"/>
        </w:rPr>
        <w:t>”数据中心</w:t>
      </w:r>
      <w:r>
        <w:rPr>
          <w:rFonts w:hint="eastAsia" w:ascii="仿宋_GB2312" w:hAnsi="仿宋_GB2312" w:cs="仿宋_GB2312"/>
          <w:lang w:eastAsia="zh-Hans"/>
        </w:rPr>
        <w:t>、异地灾备中心建设，积极探索自主创新</w:t>
      </w:r>
      <w:r>
        <w:rPr>
          <w:rFonts w:hint="eastAsia" w:ascii="仿宋_GB2312" w:hAnsi="仿宋_GB2312" w:cs="仿宋_GB2312"/>
        </w:rPr>
        <w:t>、</w:t>
      </w:r>
      <w:r>
        <w:rPr>
          <w:rFonts w:hint="eastAsia" w:ascii="仿宋_GB2312" w:hAnsi="仿宋_GB2312" w:cs="仿宋_GB2312"/>
          <w:lang w:eastAsia="zh-Hans"/>
        </w:rPr>
        <w:t>安全可控的信创云搭建。推进南阳市大数据中心建设，丰富基础库、主题库、专题库建设，推动数据共享</w:t>
      </w:r>
      <w:r>
        <w:rPr>
          <w:rFonts w:hint="eastAsia" w:ascii="仿宋_GB2312" w:hAnsi="仿宋_GB2312" w:cs="仿宋_GB2312"/>
        </w:rPr>
        <w:t>、数据交换</w:t>
      </w:r>
      <w:r>
        <w:rPr>
          <w:rFonts w:hint="eastAsia" w:ascii="仿宋_GB2312" w:hAnsi="仿宋_GB2312" w:cs="仿宋_GB2312"/>
          <w:lang w:eastAsia="zh-Hans"/>
        </w:rPr>
        <w:t>、数据治理能力提升，完善数据资源体系构建。</w:t>
      </w:r>
      <w:bookmarkStart w:id="152" w:name="_Hlk73108000"/>
      <w:r>
        <w:rPr>
          <w:rFonts w:hint="eastAsia" w:ascii="仿宋_GB2312" w:hAnsi="仿宋_GB2312" w:cs="仿宋_GB2312"/>
          <w:lang w:eastAsia="zh-Hans"/>
        </w:rPr>
        <w:t>构建一体化政务协同办公体系，提升政府内部办公效率，建好用好“13710”督办平台。以基础设施、数据资源、公共支撑三大体系为能力底座，以南阳</w:t>
      </w:r>
      <w:r>
        <w:rPr>
          <w:rFonts w:hint="eastAsia" w:ascii="仿宋_GB2312" w:hAnsi="仿宋_GB2312" w:cs="仿宋_GB2312"/>
        </w:rPr>
        <w:t>“城市大脑”</w:t>
      </w:r>
      <w:r>
        <w:rPr>
          <w:rFonts w:hint="eastAsia" w:ascii="仿宋_GB2312" w:hAnsi="仿宋_GB2312" w:cs="仿宋_GB2312"/>
          <w:lang w:eastAsia="zh-Hans"/>
        </w:rPr>
        <w:t>为关键引擎，围绕政务服务、社会治理、营商环境、行政决策、公共服务、产业经济六大领域建立应用生态，实现大屏、电脑、手机/PAD、自助终端、实体大厅等多个服务界面数据同源、N端协同、跨端共享。对接省级统建支撑系统，完善电子档案、智能客服等市级公共支撑平台建设，布局政务服务领域的物联网平台，制定统一的数据汇聚、开放共享标准和接口，健全数据、应用、服务等标准规范体系，初步具备数据分析能力，构建南阳市数字政府运维体系。</w:t>
      </w:r>
    </w:p>
    <w:bookmarkEnd w:id="152"/>
    <w:p>
      <w:pPr>
        <w:spacing w:line="560" w:lineRule="exact"/>
        <w:ind w:firstLine="643"/>
        <w:contextualSpacing/>
        <w:rPr>
          <w:rFonts w:ascii="仿宋_GB2312" w:hAnsi="仿宋_GB2312" w:cs="仿宋_GB2312"/>
          <w:lang w:eastAsia="zh-Hans"/>
        </w:rPr>
      </w:pPr>
      <w:r>
        <w:rPr>
          <w:rFonts w:hint="eastAsia" w:ascii="仿宋_GB2312" w:hAnsi="仿宋_GB2312" w:cs="仿宋_GB2312"/>
        </w:rPr>
        <w:t>2.建设南阳“城市大脑”。</w:t>
      </w:r>
      <w:r>
        <w:rPr>
          <w:rFonts w:hint="eastAsia" w:ascii="仿宋_GB2312" w:hAnsi="仿宋_GB2312" w:cs="仿宋_GB2312"/>
          <w:lang w:eastAsia="zh-Hans"/>
        </w:rPr>
        <w:t>打造南阳信息化综合指挥中心，实现市域全景式感知、泛在关联、深度分析、科学决策、联动指挥一体化的决策支撑体系。采用大数据、区块链、人工智能等技术手段，各类系统有序接入、协同联动，多源数据高效整合、深度共享，以南阳市综合运行监测系统为抓手，对市域范围内城乡发展、社会运行、产业经济、生态环保、应急管理、综治等领域展开全局实时分析和综合监测，有效辅助决策，提高社会治理精细化程度和“互联网+监管”水平。</w:t>
      </w:r>
    </w:p>
    <w:p>
      <w:pPr>
        <w:spacing w:line="560" w:lineRule="exact"/>
        <w:ind w:firstLine="640" w:firstLineChars="200"/>
        <w:contextualSpacing/>
        <w:rPr>
          <w:rFonts w:ascii="楷体_GB2312" w:hAnsi="楷体_GB2312" w:eastAsia="楷体_GB2312" w:cs="楷体_GB2312"/>
          <w:bCs/>
        </w:rPr>
      </w:pPr>
      <w:r>
        <w:rPr>
          <w:rFonts w:hint="eastAsia" w:ascii="仿宋_GB2312" w:hAnsi="仿宋_GB2312" w:cs="仿宋_GB2312"/>
          <w:bCs/>
        </w:rPr>
        <w:t>3.提升政务服务能力。</w:t>
      </w:r>
      <w:r>
        <w:rPr>
          <w:rFonts w:hint="eastAsia" w:ascii="仿宋_GB2312" w:hAnsi="仿宋_GB2312" w:cs="仿宋_GB2312"/>
          <w:lang w:eastAsia="zh-Hans"/>
        </w:rPr>
        <w:t>围绕政务服务“一网通办”目标，协同省政务服务平台推进跨省通办、省内通办，加速推进政务服务事项标准化、流程优化和“一件事”主题集成。深化提升“互联网+政务服务”，打造好用易用的南阳政务APP，全面推广“宛快办”APP，提供高效便捷政务服务，努力打造无证明城市。拓宽线上办事渠道，提供线上线下、多端融通的服务模式，便利弱势群体，消除数字鸿沟，当好服务企业和群众的“金牌店小二”，全方位提高企业及群众办事体验和获得感。建设惠企服务平台，实现“千企千面”个性服务，提高缴费纳税便利度，优化金融信贷环境，增加政策透明度，精准推送政策信息，提高法治服务保障水平，建立常态化营商环境评价机制。</w:t>
      </w:r>
      <w:bookmarkStart w:id="153" w:name="_Toc89345845"/>
      <w:bookmarkStart w:id="154" w:name="_Toc966"/>
    </w:p>
    <w:p>
      <w:pPr>
        <w:numPr>
          <w:ilvl w:val="0"/>
          <w:numId w:val="7"/>
        </w:numPr>
        <w:spacing w:line="560" w:lineRule="exact"/>
        <w:ind w:firstLine="640" w:firstLineChars="200"/>
        <w:contextualSpacing/>
        <w:jc w:val="center"/>
        <w:outlineLvl w:val="1"/>
        <w:rPr>
          <w:rFonts w:ascii="楷体_GB2312" w:hAnsi="楷体_GB2312" w:eastAsia="楷体_GB2312" w:cs="楷体_GB2312"/>
          <w:bCs/>
        </w:rPr>
      </w:pPr>
      <w:r>
        <w:rPr>
          <w:rFonts w:hint="eastAsia" w:ascii="楷体_GB2312" w:hAnsi="楷体_GB2312" w:eastAsia="楷体_GB2312" w:cs="楷体_GB2312"/>
          <w:bCs/>
        </w:rPr>
        <w:t xml:space="preserve"> 推进新型智慧城市建设</w:t>
      </w:r>
      <w:bookmarkEnd w:id="153"/>
      <w:bookmarkEnd w:id="154"/>
    </w:p>
    <w:p>
      <w:pPr>
        <w:spacing w:line="560" w:lineRule="exact"/>
        <w:ind w:firstLine="640" w:firstLineChars="200"/>
        <w:contextualSpacing/>
        <w:rPr>
          <w:rFonts w:ascii="仿宋_GB2312" w:hAnsi="仿宋_GB2312" w:cs="仿宋_GB2312"/>
          <w:lang w:eastAsia="zh-Hans"/>
        </w:rPr>
      </w:pPr>
      <w:r>
        <w:rPr>
          <w:rFonts w:hint="eastAsia" w:ascii="仿宋_GB2312" w:hAnsi="仿宋_GB2312" w:cs="仿宋_GB2312"/>
          <w:lang w:eastAsia="zh-Hans"/>
        </w:rPr>
        <w:t>推进新型智慧城市建设，开展智能化创新应用，提升城市综合管理服务水平。支持中心城区率先建设城市信息模型平台（CIM）、时空大数据平台等，打牢数字孪生城市发展根基。推动标准化、规范化智慧小区建设，集成社区服务和管理功能的一体化智慧社区。加快推进5G、人工智能、互联网、物联网、大数据等新一代</w:t>
      </w:r>
      <w:r>
        <w:rPr>
          <w:rFonts w:hint="eastAsia" w:ascii="仿宋_GB2312" w:hAnsi="仿宋_GB2312" w:cs="仿宋_GB2312"/>
        </w:rPr>
        <w:t>信息</w:t>
      </w:r>
      <w:r>
        <w:rPr>
          <w:rFonts w:hint="eastAsia" w:ascii="仿宋_GB2312" w:hAnsi="仿宋_GB2312" w:cs="仿宋_GB2312"/>
          <w:lang w:eastAsia="zh-Hans"/>
        </w:rPr>
        <w:t>技术在公共服务领域的布局和应用，提高公共服务的数字化水平，实现城市公共服务的数字化、智能化，打造“数字生态”南阳样板。</w:t>
      </w:r>
    </w:p>
    <w:p>
      <w:pPr>
        <w:spacing w:line="560" w:lineRule="exact"/>
        <w:ind w:firstLine="640" w:firstLineChars="200"/>
        <w:contextualSpacing/>
        <w:rPr>
          <w:rFonts w:ascii="仿宋_GB2312" w:hAnsi="仿宋_GB2312" w:cs="仿宋_GB2312"/>
          <w:lang w:eastAsia="zh-Hans"/>
        </w:rPr>
      </w:pPr>
      <w:r>
        <w:rPr>
          <w:rFonts w:hint="eastAsia" w:ascii="仿宋_GB2312" w:hAnsi="仿宋_GB2312" w:cs="仿宋_GB2312"/>
        </w:rPr>
        <w:t>1.智慧医疗。</w:t>
      </w:r>
      <w:r>
        <w:rPr>
          <w:rFonts w:hint="eastAsia" w:ascii="仿宋_GB2312" w:hAnsi="仿宋_GB2312" w:cs="仿宋_GB2312"/>
          <w:lang w:eastAsia="zh-Hans"/>
        </w:rPr>
        <w:t>加快推进区域医疗机构的互联互通和数据共享，建立便捷化的医疗服务体系、人性化的健康管理服务体系、高效化的信息支撑体系、常态化的信息安全体系。依托信息化手段打造县域医共体、城市医联体。推进人口全覆盖、生命全过程、工作全天候的健康信息服务体系打造，完善覆盖全市城乡居民并动态更新的全员人口信息、电子健康档案、电子病历和基础资源数据数据库。加快推进市级全民健康信息平台建设，发展“智慧医疗”“互联网+健康”等工程建设，实施全市基层医疗卫生机构管理信息系统的云上建设，加快建立健全电子居民健康卡应用体系，构建线上线下结合的医疗健康等新型服务模式，推动医疗卫生与养老服务融合发展。</w:t>
      </w:r>
    </w:p>
    <w:p>
      <w:pPr>
        <w:spacing w:line="560" w:lineRule="exact"/>
        <w:ind w:firstLine="640" w:firstLineChars="200"/>
        <w:contextualSpacing/>
        <w:rPr>
          <w:rFonts w:ascii="仿宋_GB2312" w:hAnsi="仿宋_GB2312" w:cs="仿宋_GB2312"/>
        </w:rPr>
      </w:pPr>
      <w:r>
        <w:rPr>
          <w:rFonts w:hint="eastAsia" w:ascii="仿宋_GB2312" w:hAnsi="仿宋_GB2312" w:cs="仿宋_GB2312"/>
        </w:rPr>
        <w:t>2.智慧教育。</w:t>
      </w:r>
      <w:r>
        <w:rPr>
          <w:rFonts w:hint="eastAsia" w:ascii="仿宋_GB2312" w:hAnsi="仿宋_GB2312" w:cs="仿宋_GB2312"/>
          <w:lang w:eastAsia="zh-Hans"/>
        </w:rPr>
        <w:t>依据《南阳教育现代化2035》，继续加快推进</w:t>
      </w:r>
      <w:r>
        <w:rPr>
          <w:rFonts w:hint="eastAsia" w:ascii="仿宋_GB2312" w:hAnsi="仿宋_GB2312" w:cs="仿宋_GB2312"/>
          <w:bCs/>
        </w:rPr>
        <w:t>我市</w:t>
      </w:r>
      <w:r>
        <w:rPr>
          <w:rFonts w:hint="eastAsia" w:ascii="仿宋_GB2312" w:hAnsi="仿宋_GB2312" w:cs="仿宋_GB2312"/>
          <w:lang w:eastAsia="zh-Hans"/>
        </w:rPr>
        <w:t>教育信息化创新发展。积极推进市级基础教育信息资源云平台建设，并与省级平台实现资源互联互通，实现省级及本地优质教育资源共享共用，提高</w:t>
      </w:r>
      <w:r>
        <w:rPr>
          <w:rFonts w:hint="eastAsia" w:ascii="仿宋_GB2312" w:hAnsi="仿宋_GB2312" w:cs="仿宋_GB2312"/>
          <w:bCs/>
        </w:rPr>
        <w:t>我市</w:t>
      </w:r>
      <w:r>
        <w:rPr>
          <w:rFonts w:hint="eastAsia" w:ascii="仿宋_GB2312" w:hAnsi="仿宋_GB2312" w:cs="仿宋_GB2312"/>
          <w:lang w:eastAsia="zh-Hans"/>
        </w:rPr>
        <w:t>教育教学质量，推动义务教育均衡发展，促进教学公平。</w:t>
      </w:r>
      <w:r>
        <w:rPr>
          <w:rFonts w:hint="eastAsia" w:ascii="仿宋_GB2312" w:hAnsi="仿宋_GB2312" w:cs="仿宋_GB2312"/>
          <w:lang w:bidi="ar"/>
        </w:rPr>
        <w:t>开展大数据支撑下的教育治理能力优化行动，建立教育数据目录体系，</w:t>
      </w:r>
      <w:r>
        <w:rPr>
          <w:rFonts w:hint="eastAsia" w:ascii="仿宋_GB2312" w:hAnsi="仿宋_GB2312" w:cs="仿宋_GB2312"/>
          <w:lang w:eastAsia="zh-Hans"/>
        </w:rPr>
        <w:t>积极完善</w:t>
      </w:r>
      <w:r>
        <w:rPr>
          <w:rFonts w:hint="eastAsia" w:ascii="仿宋_GB2312" w:hAnsi="仿宋_GB2312" w:cs="仿宋_GB2312"/>
          <w:bCs/>
        </w:rPr>
        <w:t>我市</w:t>
      </w:r>
      <w:r>
        <w:rPr>
          <w:rFonts w:hint="eastAsia" w:ascii="仿宋_GB2312" w:hAnsi="仿宋_GB2312" w:cs="仿宋_GB2312"/>
          <w:lang w:eastAsia="zh-Hans"/>
        </w:rPr>
        <w:t>教育大数据主题库，推进跨部门、跨层级教育数据的交换与共享，为</w:t>
      </w:r>
      <w:r>
        <w:rPr>
          <w:rFonts w:hint="eastAsia" w:ascii="仿宋_GB2312" w:hAnsi="仿宋_GB2312" w:cs="仿宋_GB2312"/>
        </w:rPr>
        <w:t>全市</w:t>
      </w:r>
      <w:r>
        <w:rPr>
          <w:rFonts w:hint="eastAsia" w:ascii="仿宋_GB2312" w:hAnsi="仿宋_GB2312" w:cs="仿宋_GB2312"/>
          <w:lang w:eastAsia="zh-Hans"/>
        </w:rPr>
        <w:t>教育治理能力优化、教育决策支持提供支撑，优化教育管理，促进教育决策科学化。</w:t>
      </w:r>
      <w:r>
        <w:rPr>
          <w:rFonts w:hint="eastAsia" w:ascii="仿宋_GB2312" w:hAnsi="仿宋_GB2312" w:cs="仿宋_GB2312"/>
          <w:szCs w:val="36"/>
          <w:lang w:bidi="ar"/>
        </w:rPr>
        <w:t>提升教师教育信息化素养，加强教育信息化专业人才队伍建设。</w:t>
      </w:r>
      <w:r>
        <w:rPr>
          <w:rFonts w:hint="eastAsia" w:ascii="仿宋_GB2312" w:hAnsi="仿宋_GB2312" w:cs="仿宋_GB2312"/>
          <w:lang w:bidi="ar"/>
        </w:rPr>
        <w:t>以重点培育教育信息化2.0示范县（区）、省级数字校园建设标杆校为依托，</w:t>
      </w:r>
      <w:r>
        <w:rPr>
          <w:rFonts w:hint="eastAsia" w:ascii="仿宋_GB2312" w:hAnsi="仿宋_GB2312" w:cs="仿宋_GB2312"/>
          <w:lang w:eastAsia="zh-Hans"/>
        </w:rPr>
        <w:t>进一步推动数字校园建设，探索在信息化条件下实现差异化教学、个性化学习、精细化管理、智能化服务的典型途径。</w:t>
      </w:r>
      <w:r>
        <w:rPr>
          <w:rFonts w:hint="eastAsia" w:ascii="仿宋_GB2312" w:hAnsi="仿宋_GB2312" w:cs="仿宋_GB2312"/>
          <w:lang w:bidi="ar"/>
        </w:rPr>
        <w:t>运用物联感知、大数据、人工智能、新一代通信、虚拟现实、增强现实技术等，分步建设智慧型教学、教研与管理综合服务为一体的平台。</w:t>
      </w:r>
    </w:p>
    <w:p>
      <w:pPr>
        <w:spacing w:line="560" w:lineRule="exact"/>
        <w:ind w:firstLine="640" w:firstLineChars="200"/>
        <w:contextualSpacing/>
        <w:rPr>
          <w:rFonts w:ascii="仿宋_GB2312" w:hAnsi="仿宋_GB2312" w:cs="仿宋_GB2312"/>
          <w:lang w:eastAsia="zh-Hans"/>
        </w:rPr>
      </w:pPr>
      <w:r>
        <w:rPr>
          <w:rFonts w:hint="eastAsia" w:ascii="仿宋_GB2312" w:hAnsi="仿宋_GB2312" w:cs="仿宋_GB2312"/>
        </w:rPr>
        <w:t>3.</w:t>
      </w:r>
      <w:r>
        <w:rPr>
          <w:rFonts w:hint="eastAsia" w:ascii="仿宋_GB2312" w:hAnsi="仿宋_GB2312" w:cs="仿宋_GB2312"/>
          <w:bCs/>
        </w:rPr>
        <w:t>智慧环保。</w:t>
      </w:r>
      <w:r>
        <w:rPr>
          <w:rFonts w:hint="eastAsia" w:ascii="仿宋_GB2312" w:hAnsi="仿宋_GB2312" w:cs="仿宋_GB2312"/>
          <w:lang w:eastAsia="zh-Hans"/>
        </w:rPr>
        <w:t>建设全市统一环境监测平台，进一步完善各类监测站点布局，增加环境质量自动监测站点数量，推广无人机侦测、激光雷达监测、城市移动空气监测等应用，优化采集流程，扩大动态监控范围，提升完善大气环境质量、水环境质量和土壤环境质量三大监测管理系统，实现生态环境自动化、智能化监管。建立排污口电子化平台，实现对全市排污口的</w:t>
      </w:r>
      <w:r>
        <w:rPr>
          <w:rFonts w:hint="eastAsia" w:ascii="仿宋_GB2312" w:hAnsi="仿宋_GB2312" w:cs="仿宋_GB2312"/>
        </w:rPr>
        <w:t>智慧</w:t>
      </w:r>
      <w:r>
        <w:rPr>
          <w:rFonts w:hint="eastAsia" w:ascii="仿宋_GB2312" w:hAnsi="仿宋_GB2312" w:cs="仿宋_GB2312"/>
          <w:lang w:eastAsia="zh-Hans"/>
        </w:rPr>
        <w:t>化管控。建设智慧水务管控平台，对城市水资源配置、二次供水管理、水系综合治理等建立长效运行监测机制。依托政务数据共享交换平台，推进相关部门生态环境监测数据共享。建设企业环境信用评价综合管理系统，加强对企事单位生态环境信用数据的采集分析，完善企事单位生态环境信息公开，并将企业生态环境信用记录纳入全市统一信用信息平台。</w:t>
      </w:r>
    </w:p>
    <w:p>
      <w:pPr>
        <w:spacing w:line="560" w:lineRule="exact"/>
        <w:ind w:firstLine="640" w:firstLineChars="200"/>
        <w:contextualSpacing/>
        <w:rPr>
          <w:rFonts w:ascii="仿宋_GB2312" w:hAnsi="仿宋_GB2312" w:cs="仿宋_GB2312"/>
          <w:bCs/>
        </w:rPr>
      </w:pPr>
      <w:r>
        <w:rPr>
          <w:rFonts w:hint="eastAsia" w:ascii="仿宋_GB2312" w:hAnsi="仿宋_GB2312" w:cs="仿宋_GB2312"/>
          <w:bCs/>
        </w:rPr>
        <w:t>4.智慧文旅。</w:t>
      </w:r>
      <w:r>
        <w:rPr>
          <w:rFonts w:hint="eastAsia" w:ascii="仿宋_GB2312" w:hAnsi="仿宋_GB2312" w:cs="仿宋_GB2312"/>
          <w:bCs/>
          <w:lang w:eastAsia="zh-Hans"/>
        </w:rPr>
        <w:t>适应信息化时代需</w:t>
      </w:r>
      <w:r>
        <w:rPr>
          <w:rFonts w:hint="eastAsia" w:ascii="仿宋_GB2312" w:hAnsi="仿宋_GB2312" w:cs="仿宋_GB2312"/>
          <w:bCs/>
        </w:rPr>
        <w:t>求</w:t>
      </w:r>
      <w:r>
        <w:rPr>
          <w:rFonts w:hint="eastAsia" w:ascii="仿宋_GB2312" w:hAnsi="仿宋_GB2312" w:cs="仿宋_GB2312"/>
          <w:bCs/>
          <w:lang w:eastAsia="zh-Hans"/>
        </w:rPr>
        <w:t>，大力推进A级景区、星级酒店、图书馆、博物馆、纪念馆、艺术馆等文旅接待场所的智慧化</w:t>
      </w:r>
      <w:r>
        <w:rPr>
          <w:rFonts w:hint="eastAsia" w:ascii="仿宋_GB2312" w:hAnsi="仿宋_GB2312" w:cs="仿宋_GB2312"/>
          <w:bCs/>
        </w:rPr>
        <w:t>建设</w:t>
      </w:r>
      <w:r>
        <w:rPr>
          <w:rFonts w:hint="eastAsia" w:ascii="仿宋_GB2312" w:hAnsi="仿宋_GB2312" w:cs="仿宋_GB2312"/>
          <w:bCs/>
          <w:lang w:eastAsia="zh-Hans"/>
        </w:rPr>
        <w:t>，打造一批钻</w:t>
      </w:r>
      <w:r>
        <w:rPr>
          <w:rFonts w:hint="eastAsia" w:ascii="仿宋_GB2312" w:hAnsi="仿宋_GB2312" w:cs="仿宋_GB2312"/>
          <w:bCs/>
        </w:rPr>
        <w:t>级</w:t>
      </w:r>
      <w:r>
        <w:rPr>
          <w:rFonts w:hint="eastAsia" w:ascii="仿宋_GB2312" w:hAnsi="仿宋_GB2312" w:cs="仿宋_GB2312"/>
          <w:bCs/>
          <w:lang w:eastAsia="zh-Hans"/>
        </w:rPr>
        <w:t>智慧景区，推动文旅产业转型升级。建设智慧旅游综合监管平台，</w:t>
      </w:r>
      <w:r>
        <w:rPr>
          <w:rFonts w:hint="eastAsia" w:ascii="仿宋_GB2312" w:hAnsi="仿宋_GB2312" w:cs="仿宋_GB2312"/>
          <w:bCs/>
        </w:rPr>
        <w:t>加强</w:t>
      </w:r>
      <w:r>
        <w:rPr>
          <w:rFonts w:hint="eastAsia" w:ascii="仿宋_GB2312" w:hAnsi="仿宋_GB2312" w:cs="仿宋_GB2312"/>
          <w:bCs/>
          <w:lang w:eastAsia="zh-Hans"/>
        </w:rPr>
        <w:t>对旅游产业的信息化监测和大数据分析，提升旅游市场营销和旅游行业管理的信息化水平，开展旅游信息线上服务和旅游产品整合营销</w:t>
      </w:r>
      <w:r>
        <w:rPr>
          <w:rFonts w:hint="eastAsia" w:ascii="仿宋_GB2312" w:hAnsi="仿宋_GB2312" w:cs="仿宋_GB2312"/>
          <w:bCs/>
        </w:rPr>
        <w:t>，扩大南阳旅游对外知名度和市场占有率。</w:t>
      </w:r>
      <w:r>
        <w:rPr>
          <w:rFonts w:hint="eastAsia" w:ascii="仿宋_GB2312" w:hAnsi="仿宋_GB2312" w:cs="仿宋_GB2312"/>
          <w:bCs/>
          <w:lang w:eastAsia="zh-Hans"/>
        </w:rPr>
        <w:t>运用5G、VR/AR、人工智能等现代信息化手段，积极开发数字化旅游产品，对</w:t>
      </w:r>
      <w:r>
        <w:rPr>
          <w:rFonts w:hint="eastAsia" w:ascii="仿宋_GB2312" w:hAnsi="仿宋_GB2312" w:cs="仿宋_GB2312"/>
          <w:bCs/>
        </w:rPr>
        <w:t>我市</w:t>
      </w:r>
      <w:r>
        <w:rPr>
          <w:rFonts w:hint="eastAsia" w:ascii="仿宋_GB2312" w:hAnsi="仿宋_GB2312" w:cs="仿宋_GB2312"/>
          <w:bCs/>
          <w:lang w:eastAsia="zh-Hans"/>
        </w:rPr>
        <w:t>历史文化、自然风光、民俗风情</w:t>
      </w:r>
      <w:r>
        <w:rPr>
          <w:rFonts w:hint="eastAsia" w:ascii="仿宋_GB2312" w:hAnsi="仿宋_GB2312" w:cs="仿宋_GB2312"/>
          <w:bCs/>
        </w:rPr>
        <w:t>、美丽乡村</w:t>
      </w:r>
      <w:r>
        <w:rPr>
          <w:rFonts w:hint="eastAsia" w:ascii="仿宋_GB2312" w:hAnsi="仿宋_GB2312" w:cs="仿宋_GB2312"/>
          <w:bCs/>
          <w:lang w:eastAsia="zh-Hans"/>
        </w:rPr>
        <w:t>等进行全面展示，提升游客的旅游体验，进一步</w:t>
      </w:r>
      <w:r>
        <w:rPr>
          <w:rFonts w:hint="eastAsia" w:ascii="仿宋_GB2312" w:hAnsi="仿宋_GB2312" w:cs="仿宋_GB2312"/>
          <w:bCs/>
        </w:rPr>
        <w:t>提升乡村振兴。</w:t>
      </w:r>
    </w:p>
    <w:p>
      <w:pPr>
        <w:pStyle w:val="4"/>
        <w:spacing w:line="560" w:lineRule="exact"/>
        <w:ind w:firstLine="640" w:firstLineChars="200"/>
        <w:contextualSpacing/>
        <w:rPr>
          <w:rFonts w:ascii="仿宋_GB2312" w:hAnsi="仿宋_GB2312" w:cs="仿宋_GB2312"/>
          <w:lang w:eastAsia="zh-Hans"/>
        </w:rPr>
      </w:pPr>
      <w:r>
        <w:rPr>
          <w:rFonts w:hint="eastAsia" w:ascii="仿宋_GB2312" w:hAnsi="仿宋_GB2312" w:cs="仿宋_GB2312"/>
        </w:rPr>
        <w:t>5.智慧社区。</w:t>
      </w:r>
      <w:r>
        <w:rPr>
          <w:rFonts w:hint="eastAsia" w:ascii="仿宋_GB2312" w:hAnsi="仿宋_GB2312" w:cs="仿宋_GB2312"/>
          <w:lang w:eastAsia="zh-Hans"/>
        </w:rPr>
        <w:t>积极推进智慧社区建设，创新线上线下联动服务模式，开展社区网格化管理、健康养老、智慧生活圈、智能安防、智慧停车、智能快递柜等智慧应用。推进社区数据采集、基层党建、养老服务、物业管理服务、家政服务、住房租赁、协商自治等各项业务服务信息化管理。推进部署不同层级、不同部门、分散孤立、用途单一的各类社区信息系统统一向社区一站式办理平台迁移或集成。在健康医疗、家政服务、养老服务、特殊人群服务、社区安防、智能家居、远程抄表、社区物流等领域，为市民提供“实时在线”的个性化服务，形成线上线下相结合的社区服务新模式。</w:t>
      </w:r>
    </w:p>
    <w:p>
      <w:pPr>
        <w:pStyle w:val="4"/>
        <w:spacing w:line="560" w:lineRule="exact"/>
        <w:ind w:firstLine="640" w:firstLineChars="200"/>
        <w:contextualSpacing/>
        <w:rPr>
          <w:rFonts w:ascii="仿宋_GB2312" w:hAnsi="仿宋_GB2312" w:cs="仿宋_GB2312"/>
        </w:rPr>
      </w:pPr>
      <w:r>
        <w:rPr>
          <w:rFonts w:hint="eastAsia" w:ascii="仿宋_GB2312" w:hAnsi="仿宋_GB2312" w:cs="仿宋_GB2312"/>
        </w:rPr>
        <w:t>6.智慧交通。</w:t>
      </w:r>
      <w:r>
        <w:rPr>
          <w:rFonts w:hint="eastAsia" w:ascii="仿宋_GB2312" w:hAnsi="仿宋_GB2312" w:cs="仿宋_GB2312"/>
          <w:lang w:eastAsia="zh-Hans"/>
        </w:rPr>
        <w:t>打造涵盖电子警察、车辆管理、流量控制、交通疏导、协调指挥、应急调度等功能的</w:t>
      </w:r>
      <w:r>
        <w:rPr>
          <w:rFonts w:hint="eastAsia" w:ascii="仿宋_GB2312" w:hAnsi="仿宋_GB2312" w:cs="仿宋_GB2312"/>
        </w:rPr>
        <w:t>综合交通运输监管平台</w:t>
      </w:r>
      <w:r>
        <w:rPr>
          <w:rFonts w:hint="eastAsia" w:ascii="仿宋_GB2312" w:hAnsi="仿宋_GB2312" w:cs="仿宋_GB2312"/>
          <w:lang w:eastAsia="zh-Hans"/>
        </w:rPr>
        <w:t>。加强自适应交通信号灯、交通智能感知系统等在交通领域的应用。逐步整合交通运行数据、视频监控资源、运营商数据和互联网数据，综合评估路网运行状态，自动研判交通态势和交通事件。建设交通信息服务平台，提供电子导图、电子支付、出行信息、实时公交、安全信息等服务。建设包含停车资源管理、停车信息监控、数据统计分析等功能的智慧停车平台，实现停车信息互联互通、停车资源使用情况实时监控，为公众提供停车信息发布、查询、预约、实时引导、车位搜寻、智能支付结算等停车全流程服务。</w:t>
      </w:r>
      <w:r>
        <w:rPr>
          <w:rFonts w:hint="eastAsia" w:ascii="仿宋_GB2312" w:hAnsi="仿宋_GB2312" w:cs="仿宋_GB2312"/>
        </w:rPr>
        <w:t>积极谋划城市轨道交通。</w:t>
      </w:r>
    </w:p>
    <w:p>
      <w:pPr>
        <w:pStyle w:val="4"/>
        <w:spacing w:line="560" w:lineRule="exact"/>
        <w:ind w:firstLine="640" w:firstLineChars="200"/>
        <w:contextualSpacing/>
        <w:rPr>
          <w:rFonts w:ascii="仿宋_GB2312" w:hAnsi="仿宋_GB2312" w:cs="仿宋_GB2312"/>
          <w:lang w:eastAsia="zh-Hans"/>
        </w:rPr>
      </w:pPr>
      <w:r>
        <w:rPr>
          <w:rFonts w:hint="eastAsia" w:ascii="仿宋_GB2312" w:hAnsi="仿宋_GB2312" w:cs="仿宋_GB2312"/>
        </w:rPr>
        <w:t>7.智慧城管。</w:t>
      </w:r>
      <w:r>
        <w:rPr>
          <w:rFonts w:hint="eastAsia" w:ascii="仿宋_GB2312" w:hAnsi="仿宋_GB2312" w:cs="仿宋_GB2312"/>
          <w:lang w:eastAsia="zh-Hans"/>
        </w:rPr>
        <w:t>综合利用各类监测监控手段，完善综合性城市管理数据库。加强大数据、人工智能等技术应用，实现对城市管理全要素、全时段、全方位的智能化识别，提升城市管理问题智能化发现能力和城市运行状态自动感知能力。升级现有数字城管系统，拓展完善功能，建设集市政设施管理、市容环境卫生、园林绿化管理、城市管理决策等于一体的综合业务系统，实现城市管理要素、城市管理过程、城市管理决策等全方位的数字化与智慧化。优化城市管理网格化流程，推进相关业务数据共享和执法联通，实现城市部件、事件、法人等信息与空间地理信息叠加应用，提升城市管理执法精准性，打造全市管理一盘棋、指挥调度一条龙的新模式。</w:t>
      </w:r>
    </w:p>
    <w:p>
      <w:pPr>
        <w:pStyle w:val="4"/>
        <w:spacing w:line="560" w:lineRule="exact"/>
        <w:ind w:firstLine="640" w:firstLineChars="200"/>
        <w:contextualSpacing/>
        <w:rPr>
          <w:rFonts w:ascii="仿宋_GB2312" w:hAnsi="仿宋_GB2312" w:cs="仿宋_GB2312"/>
          <w:lang w:eastAsia="zh-Hans"/>
        </w:rPr>
      </w:pPr>
      <w:r>
        <w:rPr>
          <w:rFonts w:hint="eastAsia" w:ascii="仿宋_GB2312" w:hAnsi="仿宋_GB2312" w:cs="仿宋_GB2312"/>
        </w:rPr>
        <w:t>8.智慧公安。</w:t>
      </w:r>
      <w:r>
        <w:rPr>
          <w:rFonts w:hint="eastAsia" w:ascii="仿宋_GB2312" w:hAnsi="仿宋_GB2312" w:cs="仿宋_GB2312"/>
          <w:lang w:eastAsia="zh-Hans"/>
        </w:rPr>
        <w:t>进一步深化优化“雪亮工程”，推进公共安全视频监控系统建设、联网和应用，对重点公共区域、行业领域、街道社区等重要部位新建、改建高清摄像机数量，加强人员流动、餐饮住宿、商场超市、人员聚集场所等监控监测。汇聚全市视频数据、政务数据、企业数据、互联网数据，在公共安全视频监控资源共享功能的基础上，拓展综治信息管理平台，加强信息化统计管理。健全“社会治理中心+网格化+信息化”治理体系，完善多元排查化解和联动调解机制。</w:t>
      </w:r>
    </w:p>
    <w:p>
      <w:pPr>
        <w:pStyle w:val="4"/>
        <w:spacing w:line="560" w:lineRule="exact"/>
        <w:ind w:firstLine="640" w:firstLineChars="200"/>
        <w:contextualSpacing/>
        <w:rPr>
          <w:rFonts w:ascii="仿宋_GB2312" w:hAnsi="仿宋_GB2312" w:cs="仿宋_GB2312"/>
          <w:lang w:eastAsia="zh-Hans"/>
        </w:rPr>
      </w:pPr>
      <w:r>
        <w:rPr>
          <w:rFonts w:hint="eastAsia" w:ascii="仿宋_GB2312" w:hAnsi="仿宋_GB2312" w:cs="仿宋_GB2312"/>
        </w:rPr>
        <w:t>9.智慧应急。</w:t>
      </w:r>
      <w:r>
        <w:rPr>
          <w:rFonts w:hint="eastAsia" w:ascii="仿宋_GB2312" w:hAnsi="仿宋_GB2312" w:cs="仿宋_GB2312"/>
          <w:lang w:eastAsia="zh-Hans"/>
        </w:rPr>
        <w:t>部署市辖区内应急指挥信息网、物联感知网、卫星通信网、无线通信网络节点，横向打通与市各级公安、</w:t>
      </w:r>
      <w:r>
        <w:rPr>
          <w:rFonts w:hint="eastAsia" w:ascii="仿宋_GB2312" w:hAnsi="仿宋_GB2312" w:cs="仿宋_GB2312"/>
        </w:rPr>
        <w:t>城市管理</w:t>
      </w:r>
      <w:r>
        <w:rPr>
          <w:rFonts w:hint="eastAsia" w:ascii="仿宋_GB2312" w:hAnsi="仿宋_GB2312" w:cs="仿宋_GB2312"/>
          <w:lang w:eastAsia="zh-Hans"/>
        </w:rPr>
        <w:t>、交通运输、气象、</w:t>
      </w:r>
      <w:r>
        <w:rPr>
          <w:rFonts w:hint="eastAsia" w:ascii="仿宋_GB2312" w:hAnsi="仿宋_GB2312" w:cs="仿宋_GB2312"/>
        </w:rPr>
        <w:t>住房城乡建设</w:t>
      </w:r>
      <w:r>
        <w:rPr>
          <w:rFonts w:hint="eastAsia" w:ascii="仿宋_GB2312" w:hAnsi="仿宋_GB2312" w:cs="仿宋_GB2312"/>
          <w:lang w:eastAsia="zh-Hans"/>
        </w:rPr>
        <w:t>、自然资源、生态环境、水利、卫生健康、消防救援、地震减灾、矿山等相关监测数据的互联互通，纵向与省、县级应急系统的指挥联动。构建综合应急管理指挥体系，接入并调用国家应急管理部、省应急管理厅的指挥救援、预警监测、决策支持、监督管理等大数据支撑系统，依托政务云平台，建设市应急管理指挥大厅，为市级应急管理工作提供综合研判、事故灾害预警、指挥辅助等基础支撑。</w:t>
      </w:r>
    </w:p>
    <w:p>
      <w:pPr>
        <w:spacing w:line="560" w:lineRule="exact"/>
        <w:ind w:firstLine="640" w:firstLineChars="200"/>
        <w:contextualSpacing/>
        <w:rPr>
          <w:rFonts w:ascii="仿宋_GB2312" w:hAnsi="仿宋_GB2312" w:cs="仿宋_GB2312"/>
          <w:lang w:eastAsia="zh-Hans"/>
        </w:rPr>
      </w:pPr>
      <w:r>
        <w:rPr>
          <w:rFonts w:hint="eastAsia" w:ascii="仿宋_GB2312" w:hAnsi="仿宋_GB2312" w:cs="仿宋_GB2312"/>
        </w:rPr>
        <w:t>10.数字市场监管。</w:t>
      </w:r>
      <w:r>
        <w:rPr>
          <w:rFonts w:hint="eastAsia" w:ascii="仿宋_GB2312" w:hAnsi="仿宋_GB2312" w:cs="仿宋_GB2312"/>
          <w:lang w:eastAsia="zh-Hans"/>
        </w:rPr>
        <w:t>完善全市商业信用体系建设，加强事中事后监管，依托市政务云平台建设市场监管综合信息平台，实现平台信息数据同步向上推送至省级平台，市级数据共享交换平台和公共信用信息平台同步。建设网络交易监管信息系统，加快全市网络市场主体、电商平台等网络主体行为监管信息归集，加强企业市场监管信息的大数据分析建设，实现网络交易监管信息推送、投诉举报和业务申请、业务办理精准告知、监管任务执行、执法办案监管、联合惩戒、重点事件跟踪反馈、统计分析、可视化展示等功能。</w:t>
      </w:r>
    </w:p>
    <w:p>
      <w:pPr>
        <w:spacing w:line="560" w:lineRule="exact"/>
        <w:ind w:firstLine="640" w:firstLineChars="200"/>
        <w:contextualSpacing/>
        <w:rPr>
          <w:rFonts w:ascii="仿宋_GB2312" w:hAnsi="仿宋_GB2312" w:cs="仿宋_GB2312"/>
          <w:lang w:eastAsia="zh-Hans"/>
        </w:rPr>
      </w:pPr>
      <w:bookmarkStart w:id="155" w:name="_Toc78374520"/>
      <w:r>
        <w:rPr>
          <w:rFonts w:hint="eastAsia" w:ascii="仿宋_GB2312" w:hAnsi="仿宋_GB2312" w:cs="仿宋_GB2312"/>
        </w:rPr>
        <w:t>11.智慧社保</w:t>
      </w:r>
      <w:bookmarkEnd w:id="155"/>
      <w:r>
        <w:rPr>
          <w:rFonts w:hint="eastAsia" w:ascii="仿宋_GB2312" w:hAnsi="仿宋_GB2312" w:cs="仿宋_GB2312"/>
        </w:rPr>
        <w:t>。</w:t>
      </w:r>
      <w:r>
        <w:rPr>
          <w:rFonts w:hint="eastAsia" w:ascii="仿宋_GB2312" w:hAnsi="仿宋_GB2312" w:cs="仿宋_GB2312"/>
          <w:lang w:eastAsia="zh-Hans"/>
        </w:rPr>
        <w:t>整合养老、失业、工伤、医疗保险等人力资源基础信息，建设覆盖全市、面向市民多领域广泛使用的便民服务体系与运行管理机制。推进社会养老助残信息服务体系建设，搭建为老服务信息平台，提供一站式为老服务。通过市场化手段搭建智慧助残平台，完善残疾人信息管理，为残疾人提供康复、出行、就业培训等个性化定制服务。加快人力资源市场信息化建设，推动人才档案电子化，完善人力资源市场供求分析、失业监测及失业预警机制。建立完善社会信用体系，健全信用信息综合服务平台。推进电子证照与公共信用管理信息系统的利用，促进政府部门间证照共享和互认。建立完善企业信用信息，引导企业在生产经营管理活动中守信履约和诚信自律。推进金融业统一征信平台建设。</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400" w:lineRule="exact"/>
              <w:contextualSpacing/>
              <w:jc w:val="center"/>
              <w:rPr>
                <w:rFonts w:ascii="仿宋_GB2312" w:hAnsi="仿宋_GB2312" w:cs="仿宋_GB2312"/>
                <w:lang w:eastAsia="zh-Hans"/>
              </w:rPr>
            </w:pPr>
            <w:r>
              <w:rPr>
                <w:rFonts w:hint="eastAsia" w:ascii="黑体" w:hAnsi="黑体" w:eastAsia="黑体" w:cs="黑体"/>
                <w:sz w:val="28"/>
                <w:szCs w:val="28"/>
              </w:rPr>
              <w:t>专栏8：新型智慧城市提质工程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智慧医疗。</w:t>
            </w:r>
            <w:r>
              <w:rPr>
                <w:rFonts w:hint="eastAsia" w:ascii="仿宋_GB2312" w:hAnsi="仿宋_GB2312" w:cs="仿宋_GB2312"/>
                <w:sz w:val="24"/>
              </w:rPr>
              <w:t>加快市县区域全民健康信息平台升级改造。推进南阳市中心医院、南阳市骨科医院、方城县人民医院“智慧医院”试点建设，推动5G在移动急救、远程会诊、远程护理等场景的示范应用。推进县域医共体、城市医联体信息化建设。</w:t>
            </w:r>
          </w:p>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智慧教育。</w:t>
            </w:r>
            <w:r>
              <w:rPr>
                <w:rFonts w:hint="eastAsia" w:ascii="仿宋_GB2312" w:hAnsi="仿宋_GB2312" w:cs="仿宋_GB2312"/>
                <w:sz w:val="24"/>
              </w:rPr>
              <w:t>加快中小学数字校园建设和高等院校智能化学习环境建设。以“三个课堂”（专递课堂、名师课堂、名校网络课堂）为重点，丰富基础教育数字资源体系。到2022年底完成“南阳市基础教育资源云平台”建设。</w:t>
            </w:r>
          </w:p>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智慧环保。</w:t>
            </w:r>
            <w:r>
              <w:rPr>
                <w:rFonts w:hint="eastAsia" w:ascii="仿宋_GB2312" w:hAnsi="仿宋_GB2312" w:cs="仿宋_GB2312"/>
                <w:sz w:val="24"/>
              </w:rPr>
              <w:t>开展智慧环保建设，建设重点污染源在线监测、视频监控、智能预警等设施，开展生态环境数据资源数据联网建设。</w:t>
            </w:r>
          </w:p>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智慧文旅。</w:t>
            </w:r>
            <w:r>
              <w:rPr>
                <w:rFonts w:hint="eastAsia" w:ascii="仿宋_GB2312" w:hAnsi="仿宋_GB2312" w:cs="仿宋_GB2312"/>
                <w:sz w:val="24"/>
              </w:rPr>
              <w:t>加快老界岭国家级旅游度假区、南阳古城文化园区、卧龙岗文化旅游产业园等景区智能化建设，打造智慧化景区。建设南阳智慧旅游大数据平台，推进旅游治理体系和治理能力现代化。充分利用网络传媒发展南阳各类特色文化，依托数字网络和融媒体技术，推出线上“云展览”。打造1至2家文博场馆数字化体验系统，开发“一部手机游南阳”微信小程序。</w:t>
            </w:r>
          </w:p>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智慧社区。</w:t>
            </w:r>
            <w:r>
              <w:rPr>
                <w:rFonts w:hint="eastAsia" w:ascii="仿宋_GB2312" w:hAnsi="仿宋_GB2312" w:cs="仿宋_GB2312"/>
                <w:sz w:val="24"/>
              </w:rPr>
              <w:t>开展智慧小区试点，推进小区智能安防、流动人员管理、停车服务、邮件快件存放等智慧化应用。</w:t>
            </w:r>
          </w:p>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智慧城管。</w:t>
            </w:r>
            <w:r>
              <w:rPr>
                <w:rFonts w:hint="eastAsia" w:ascii="仿宋_GB2312" w:hAnsi="仿宋_GB2312" w:cs="仿宋_GB2312"/>
                <w:sz w:val="24"/>
              </w:rPr>
              <w:t>建设南阳智慧城管数据服务中心（城管大脑）数据库，开展市政公用设施运行管理、市容环境卫生管理、园林绿化管理、城市管理执法等方面的行业应用升级。</w:t>
            </w:r>
          </w:p>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智慧水利。</w:t>
            </w:r>
            <w:r>
              <w:rPr>
                <w:rFonts w:hint="eastAsia" w:ascii="仿宋_GB2312" w:hAnsi="仿宋_GB2312" w:cs="仿宋_GB2312"/>
                <w:sz w:val="24"/>
              </w:rPr>
              <w:t>在输水、调蓄、配管网等领域引入或升级信息化检测、传感、采集、传输等基础设施，监控设备运行情况，对检测数据进行分析和管理，并对异常情况进行预警预报。搭建南阳南水北调配套工程数据分析业务应用系统。</w:t>
            </w:r>
          </w:p>
        </w:tc>
      </w:tr>
    </w:tbl>
    <w:p>
      <w:pPr>
        <w:spacing w:line="560" w:lineRule="exact"/>
        <w:contextualSpacing/>
        <w:jc w:val="center"/>
        <w:outlineLvl w:val="1"/>
      </w:pPr>
      <w:bookmarkStart w:id="156" w:name="_Toc89345846"/>
      <w:bookmarkStart w:id="157" w:name="_Toc5437"/>
      <w:r>
        <w:rPr>
          <w:rFonts w:hint="eastAsia" w:ascii="楷体_GB2312" w:hAnsi="楷体_GB2312" w:eastAsia="楷体_GB2312" w:cs="楷体_GB2312"/>
          <w:bCs/>
        </w:rPr>
        <w:t>第三节 深入推进乡村数字化治理</w:t>
      </w:r>
      <w:bookmarkEnd w:id="156"/>
      <w:bookmarkEnd w:id="157"/>
    </w:p>
    <w:p>
      <w:pPr>
        <w:spacing w:line="560" w:lineRule="exact"/>
        <w:ind w:firstLine="640" w:firstLineChars="200"/>
        <w:contextualSpacing/>
        <w:rPr>
          <w:rFonts w:ascii="仿宋_GB2312" w:hAnsi="仿宋_GB2312" w:cs="仿宋_GB2312"/>
        </w:rPr>
      </w:pPr>
      <w:r>
        <w:rPr>
          <w:rFonts w:hint="eastAsia" w:ascii="仿宋_GB2312" w:hAnsi="仿宋_GB2312" w:cs="仿宋_GB2312"/>
          <w:bCs/>
        </w:rPr>
        <w:t>1.推动农村网络设施建设。</w:t>
      </w:r>
      <w:r>
        <w:rPr>
          <w:rFonts w:hint="eastAsia" w:ascii="仿宋_GB2312" w:hAnsi="仿宋_GB2312" w:cs="仿宋_GB2312"/>
          <w:bCs/>
          <w:lang w:eastAsia="zh-Hans"/>
        </w:rPr>
        <w:t>加快县域内交通物流、水电气网、广播通信等基础设施一体化发展，</w:t>
      </w:r>
      <w:r>
        <w:rPr>
          <w:rFonts w:hint="eastAsia" w:ascii="仿宋_GB2312" w:hAnsi="仿宋_GB2312" w:cs="仿宋_GB2312"/>
        </w:rPr>
        <w:t>实现乡镇以上区域5G网络连续覆盖，实现重点行政村5G网络全覆盖。</w:t>
      </w:r>
      <w:r>
        <w:rPr>
          <w:rFonts w:hint="eastAsia" w:ascii="仿宋_GB2312" w:hAnsi="仿宋_GB2312" w:cs="仿宋_GB2312"/>
          <w:lang w:eastAsia="zh-Hans"/>
        </w:rPr>
        <w:t>加快农村新型基础设施建设，加快应用数字化技术手段优化乡村治理方式，建设基于时空信息的数字乡村云平台，整合农业、自然资源、气象、水利、交通、文旅等相关数据，服务于乡村数字化治理。</w:t>
      </w:r>
    </w:p>
    <w:p>
      <w:pPr>
        <w:spacing w:line="560" w:lineRule="exact"/>
        <w:ind w:firstLine="640" w:firstLineChars="200"/>
        <w:contextualSpacing/>
        <w:rPr>
          <w:rFonts w:ascii="仿宋_GB2312" w:hAnsi="仿宋_GB2312" w:cs="仿宋_GB2312"/>
        </w:rPr>
      </w:pPr>
      <w:r>
        <w:rPr>
          <w:rFonts w:hint="eastAsia" w:ascii="仿宋_GB2312" w:hAnsi="仿宋_GB2312" w:cs="仿宋_GB2312"/>
          <w:bCs/>
        </w:rPr>
        <w:t>2.推进乡村数字化治理。</w:t>
      </w:r>
      <w:r>
        <w:rPr>
          <w:rFonts w:hint="eastAsia" w:ascii="仿宋_GB2312" w:hAnsi="仿宋_GB2312" w:cs="仿宋_GB2312"/>
          <w:bCs/>
          <w:lang w:eastAsia="zh-Hans"/>
        </w:rPr>
        <w:t>整合服务乡村</w:t>
      </w:r>
      <w:r>
        <w:rPr>
          <w:rFonts w:hint="eastAsia" w:ascii="仿宋_GB2312" w:hAnsi="仿宋_GB2312" w:cs="仿宋_GB2312"/>
          <w:lang w:eastAsia="zh-Hans"/>
        </w:rPr>
        <w:t>数字化</w:t>
      </w:r>
      <w:r>
        <w:rPr>
          <w:rFonts w:hint="eastAsia" w:ascii="仿宋_GB2312" w:hAnsi="仿宋_GB2312" w:cs="仿宋_GB2312"/>
          <w:bCs/>
          <w:lang w:eastAsia="zh-Hans"/>
        </w:rPr>
        <w:t>治理各项数据资源，建立健全乡村数字化治理体系，提升乡村数字化治理能力。</w:t>
      </w:r>
      <w:r>
        <w:rPr>
          <w:rFonts w:hint="eastAsia" w:ascii="仿宋_GB2312" w:hAnsi="仿宋_GB2312" w:cs="仿宋_GB2312"/>
          <w:lang w:eastAsia="zh-Hans"/>
        </w:rPr>
        <w:t>鼓励各县</w:t>
      </w:r>
      <w:r>
        <w:rPr>
          <w:rFonts w:hint="eastAsia" w:ascii="仿宋_GB2312" w:hAnsi="仿宋_GB2312" w:cs="仿宋_GB2312"/>
        </w:rPr>
        <w:t>（</w:t>
      </w:r>
      <w:r>
        <w:rPr>
          <w:rFonts w:hint="eastAsia" w:ascii="仿宋_GB2312" w:hAnsi="仿宋_GB2312" w:cs="仿宋_GB2312"/>
          <w:lang w:eastAsia="zh-Hans"/>
        </w:rPr>
        <w:t>区</w:t>
      </w:r>
      <w:r>
        <w:rPr>
          <w:rFonts w:hint="eastAsia" w:ascii="仿宋_GB2312" w:hAnsi="仿宋_GB2312" w:cs="仿宋_GB2312"/>
        </w:rPr>
        <w:t>）</w:t>
      </w:r>
      <w:r>
        <w:rPr>
          <w:rFonts w:hint="eastAsia" w:ascii="仿宋_GB2312" w:hAnsi="仿宋_GB2312" w:cs="仿宋_GB2312"/>
          <w:lang w:eastAsia="zh-Hans"/>
        </w:rPr>
        <w:t>、乡镇基于市级云平台搭建集乡村政务网络、数据归集共享、治理决策、产权交易等集成的具备乡镇特色的数字化治理平台，开发农民用掌上平台，推进“最多跑一次”向乡村社区延伸，</w:t>
      </w:r>
      <w:r>
        <w:rPr>
          <w:rFonts w:hint="eastAsia" w:ascii="仿宋_GB2312" w:hAnsi="仿宋_GB2312" w:cs="仿宋_GB2312"/>
        </w:rPr>
        <w:t>加快</w:t>
      </w:r>
      <w:r>
        <w:rPr>
          <w:rFonts w:hint="eastAsia" w:ascii="仿宋_GB2312" w:hAnsi="仿宋_GB2312" w:cs="仿宋_GB2312"/>
          <w:lang w:eastAsia="zh-Hans"/>
        </w:rPr>
        <w:t>电子政务外网向行政村延伸。重点实施农村污水、空气、生活垃圾等数字化治理工程，逐步推进农村环境治理数字化。将大数据与乡村振兴深度融合，</w:t>
      </w:r>
      <w:r>
        <w:rPr>
          <w:rFonts w:hint="eastAsia" w:ascii="仿宋_GB2312" w:hAnsi="仿宋_GB2312" w:cs="仿宋_GB2312"/>
        </w:rPr>
        <w:t>全面深入</w:t>
      </w:r>
      <w:r>
        <w:rPr>
          <w:rFonts w:hint="eastAsia" w:ascii="仿宋_GB2312" w:hAnsi="仿宋_GB2312" w:cs="仿宋_GB2312"/>
          <w:lang w:eastAsia="zh-Hans"/>
        </w:rPr>
        <w:t>推进乡村振兴战略。</w:t>
      </w:r>
    </w:p>
    <w:p>
      <w:pPr>
        <w:spacing w:line="560" w:lineRule="exact"/>
        <w:ind w:firstLine="640" w:firstLineChars="200"/>
        <w:contextualSpacing/>
        <w:rPr>
          <w:rFonts w:ascii="仿宋_GB2312" w:hAnsi="仿宋_GB2312" w:cs="仿宋_GB2312"/>
          <w:lang w:eastAsia="zh-Hans"/>
        </w:rPr>
      </w:pPr>
      <w:r>
        <w:rPr>
          <w:rFonts w:hint="eastAsia" w:ascii="仿宋_GB2312" w:hAnsi="仿宋_GB2312" w:cs="仿宋_GB2312"/>
        </w:rPr>
        <w:t>3.提升农民生活服务数字化。</w:t>
      </w:r>
      <w:r>
        <w:rPr>
          <w:rFonts w:hint="eastAsia" w:ascii="仿宋_GB2312" w:hAnsi="仿宋_GB2312" w:cs="仿宋_GB2312"/>
          <w:lang w:eastAsia="zh-Hans"/>
        </w:rPr>
        <w:t>结合</w:t>
      </w:r>
      <w:r>
        <w:rPr>
          <w:rFonts w:hint="eastAsia" w:ascii="仿宋_GB2312" w:hAnsi="仿宋_GB2312" w:cs="仿宋_GB2312"/>
        </w:rPr>
        <w:t>“宛快办”</w:t>
      </w:r>
      <w:r>
        <w:rPr>
          <w:rFonts w:hint="eastAsia" w:ascii="仿宋_GB2312" w:hAnsi="仿宋_GB2312" w:cs="仿宋_GB2312"/>
          <w:lang w:eastAsia="zh-Hans"/>
        </w:rPr>
        <w:t>，打造农民数字生活服务平台，建立网上服务点，深入推进“互联网+乡村教育”和“互联网+基层医疗”，实现便民服务数字化。多渠道提高农民数字化素养，开展农民数字技能培训，培养农民学网懂网用网能力和数字技术应用人才</w:t>
      </w:r>
      <w:r>
        <w:rPr>
          <w:rFonts w:hint="eastAsia" w:ascii="仿宋_GB2312" w:hAnsi="仿宋_GB2312" w:cs="仿宋_GB2312"/>
        </w:rPr>
        <w:t>，</w:t>
      </w:r>
      <w:r>
        <w:rPr>
          <w:rFonts w:hint="eastAsia" w:ascii="仿宋_GB2312" w:hAnsi="仿宋_GB2312" w:cs="仿宋_GB2312"/>
          <w:lang w:eastAsia="zh-Hans"/>
        </w:rPr>
        <w:t>提升农民生活服务数字化能力。大力推动教育、医疗、文化等公共服务资源向农村延伸，加快城乡基本公共服务均等化。</w:t>
      </w:r>
    </w:p>
    <w:p>
      <w:pPr>
        <w:spacing w:line="560" w:lineRule="exact"/>
        <w:ind w:firstLine="640" w:firstLineChars="200"/>
        <w:contextualSpacing/>
        <w:rPr>
          <w:rFonts w:ascii="仿宋_GB2312" w:hAnsi="仿宋_GB2312" w:cs="仿宋_GB2312"/>
          <w:bCs/>
        </w:rPr>
      </w:pPr>
      <w:r>
        <w:rPr>
          <w:rFonts w:hint="eastAsia" w:ascii="仿宋_GB2312" w:hAnsi="仿宋_GB2312" w:cs="仿宋_GB2312"/>
          <w:bCs/>
        </w:rPr>
        <w:t>4.推进数字乡村建设示范。</w:t>
      </w:r>
      <w:r>
        <w:rPr>
          <w:rFonts w:hint="eastAsia" w:ascii="仿宋_GB2312" w:hAnsi="仿宋_GB2312" w:cs="仿宋_GB2312"/>
          <w:lang w:eastAsia="zh-Hans"/>
        </w:rPr>
        <w:t>继续深入实施乡村振兴行动，建设农业农村现代化示范区，实现农业高质高效、乡村宜居宜业、农民富裕富足，在农业农村现代化上走在全国前列。加快推进信息化进村入户示范，对已经建成的80%以上的益农信息社开展提质增效，促进可持续运营。</w:t>
      </w:r>
      <w:r>
        <w:rPr>
          <w:rFonts w:hint="eastAsia" w:ascii="仿宋_GB2312" w:hAnsi="仿宋_GB2312" w:cs="仿宋_GB2312"/>
          <w:bCs/>
          <w:lang w:eastAsia="zh-Hans"/>
        </w:rPr>
        <w:t>加快推进县域商业体系建设，构建县、乡、村流通网络。实施乡村数字化治理专项</w:t>
      </w:r>
      <w:r>
        <w:rPr>
          <w:rFonts w:hint="eastAsia" w:ascii="仿宋_GB2312" w:hAnsi="仿宋_GB2312" w:cs="仿宋_GB2312"/>
          <w:bCs/>
        </w:rPr>
        <w:t>工程</w:t>
      </w:r>
      <w:r>
        <w:rPr>
          <w:rFonts w:hint="eastAsia" w:ascii="仿宋_GB2312" w:hAnsi="仿宋_GB2312" w:cs="仿宋_GB2312"/>
          <w:bCs/>
          <w:lang w:eastAsia="zh-Hans"/>
        </w:rPr>
        <w:t>，支持有条件的乡村争取国家级“数字乡村”试点。</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tcPr>
          <w:p>
            <w:pPr>
              <w:spacing w:line="400" w:lineRule="exact"/>
              <w:contextualSpacing/>
              <w:jc w:val="center"/>
              <w:rPr>
                <w:rFonts w:ascii="仿宋_GB2312" w:hAnsi="仿宋_GB2312" w:cs="仿宋_GB2312"/>
                <w:bCs/>
                <w:spacing w:val="-4"/>
                <w:sz w:val="24"/>
              </w:rPr>
            </w:pPr>
            <w:r>
              <w:rPr>
                <w:rFonts w:hint="eastAsia" w:ascii="黑体" w:hAnsi="黑体" w:eastAsia="黑体" w:cs="黑体"/>
                <w:sz w:val="28"/>
                <w:szCs w:val="28"/>
              </w:rPr>
              <w:t>专栏9：数字乡村治理体系完善工程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治理体系。</w:t>
            </w:r>
            <w:r>
              <w:rPr>
                <w:rFonts w:hint="eastAsia" w:ascii="仿宋_GB2312" w:hAnsi="仿宋_GB2312" w:cs="仿宋_GB2312"/>
                <w:sz w:val="24"/>
              </w:rPr>
              <w:t>整合基层社会治理资源，建设农业农村大数据服务平台，构建网格化管理、精细化服务、信息化支撑、开放共享的基层管理服务体系。推进社会工作服务站乡镇全覆盖，推进涉农服务事项一窗口办理、一站式服务。推动各地益农社汇聚农业农经、气象水利、文化教育等涉农服务资源和公共服务资源，打造“乡村综合服务网络”。</w:t>
            </w:r>
          </w:p>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生态环境。</w:t>
            </w:r>
            <w:r>
              <w:rPr>
                <w:rFonts w:hint="eastAsia" w:ascii="仿宋_GB2312" w:hAnsi="仿宋_GB2312" w:cs="仿宋_GB2312"/>
                <w:sz w:val="24"/>
              </w:rPr>
              <w:t>建立完善农业生物资源、农产品产地环境、农业面源污染监测体系，推动乡镇环境空气质量自动监测站点全覆盖，营造环境舒适的农村人居环境，建设美丽乡村。</w:t>
            </w:r>
          </w:p>
          <w:p>
            <w:pPr>
              <w:spacing w:line="400" w:lineRule="exact"/>
              <w:ind w:firstLine="480" w:firstLineChars="200"/>
              <w:contextualSpacing/>
              <w:rPr>
                <w:rFonts w:ascii="仿宋_GB2312" w:hAnsi="仿宋_GB2312" w:cs="仿宋_GB2312"/>
              </w:rPr>
            </w:pPr>
            <w:r>
              <w:rPr>
                <w:rFonts w:hint="eastAsia" w:ascii="楷体" w:hAnsi="楷体" w:eastAsia="楷体" w:cs="楷体"/>
                <w:bCs/>
                <w:sz w:val="24"/>
              </w:rPr>
              <w:t>试点示范。</w:t>
            </w:r>
            <w:r>
              <w:rPr>
                <w:rFonts w:hint="eastAsia" w:ascii="仿宋_GB2312" w:hAnsi="仿宋_GB2312" w:cs="仿宋_GB2312"/>
                <w:sz w:val="24"/>
              </w:rPr>
              <w:t>加快西峡县国家数字乡村试点地区试点示范建设工作，推进内乡县、镇平县创建省级“数字乡村示范县”，鼓励其他县积极参与试点示范建设。</w:t>
            </w:r>
          </w:p>
        </w:tc>
      </w:tr>
    </w:tbl>
    <w:p>
      <w:pPr>
        <w:numPr>
          <w:ilvl w:val="0"/>
          <w:numId w:val="5"/>
        </w:numPr>
        <w:spacing w:line="560" w:lineRule="exact"/>
        <w:ind w:left="640" w:leftChars="200" w:firstLine="640" w:firstLineChars="200"/>
        <w:contextualSpacing/>
        <w:jc w:val="center"/>
        <w:outlineLvl w:val="0"/>
        <w:rPr>
          <w:rFonts w:ascii="黑体" w:hAnsi="黑体" w:eastAsia="黑体" w:cs="黑体"/>
        </w:rPr>
      </w:pPr>
      <w:bookmarkStart w:id="158" w:name="_Toc89345847"/>
      <w:bookmarkStart w:id="159" w:name="_Toc23698"/>
      <w:r>
        <w:rPr>
          <w:rFonts w:hint="eastAsia" w:ascii="黑体" w:hAnsi="黑体" w:eastAsia="黑体" w:cs="黑体"/>
        </w:rPr>
        <w:t xml:space="preserve"> 加强网信安全保障，营造可靠发展环境</w:t>
      </w:r>
      <w:bookmarkEnd w:id="158"/>
      <w:bookmarkEnd w:id="159"/>
    </w:p>
    <w:p>
      <w:pPr>
        <w:spacing w:line="560" w:lineRule="exact"/>
        <w:ind w:firstLine="640" w:firstLineChars="200"/>
        <w:contextualSpacing/>
        <w:jc w:val="center"/>
        <w:outlineLvl w:val="1"/>
        <w:rPr>
          <w:rFonts w:ascii="楷体_GB2312" w:hAnsi="楷体_GB2312" w:eastAsia="楷体_GB2312" w:cs="楷体_GB2312"/>
          <w:bCs/>
        </w:rPr>
      </w:pPr>
      <w:bookmarkStart w:id="160" w:name="_Toc16855"/>
      <w:bookmarkStart w:id="161" w:name="_Toc89345848"/>
      <w:bookmarkStart w:id="162" w:name="_Toc78374537"/>
      <w:r>
        <w:rPr>
          <w:rFonts w:hint="eastAsia" w:ascii="楷体_GB2312" w:hAnsi="楷体_GB2312" w:eastAsia="楷体_GB2312" w:cs="楷体_GB2312"/>
          <w:bCs/>
        </w:rPr>
        <w:t>第一节</w:t>
      </w:r>
      <w:r>
        <w:rPr>
          <w:rFonts w:hint="eastAsia"/>
        </w:rPr>
        <w:t xml:space="preserve">  </w:t>
      </w:r>
      <w:r>
        <w:rPr>
          <w:rFonts w:hint="eastAsia" w:ascii="楷体_GB2312" w:hAnsi="楷体_GB2312" w:eastAsia="楷体_GB2312" w:cs="楷体_GB2312"/>
          <w:bCs/>
        </w:rPr>
        <w:t>完善网络安全体系能力建设</w:t>
      </w:r>
      <w:bookmarkEnd w:id="160"/>
      <w:bookmarkEnd w:id="161"/>
    </w:p>
    <w:bookmarkEnd w:id="162"/>
    <w:p>
      <w:pPr>
        <w:spacing w:line="560" w:lineRule="exact"/>
        <w:ind w:firstLine="640" w:firstLineChars="200"/>
        <w:contextualSpacing/>
        <w:rPr>
          <w:rFonts w:ascii="楷体_GB2312" w:hAnsi="楷体_GB2312" w:eastAsia="楷体_GB2312" w:cs="楷体_GB2312"/>
          <w:bCs/>
        </w:rPr>
      </w:pPr>
      <w:r>
        <w:rPr>
          <w:rFonts w:hint="eastAsia" w:ascii="仿宋_GB2312" w:hAnsi="仿宋_GB2312" w:cs="仿宋_GB2312"/>
          <w:lang w:eastAsia="zh-Hans"/>
        </w:rPr>
        <w:t>推动信息安全与信息化同步规划、同步建设、同步运行。加强法律法规政策引导，落实数字安全责任制，建立关键信息基础设施产品与服务安全审查制度，对关键信息基础设施产品与服务进行分类审查、检测和管理</w:t>
      </w:r>
      <w:r>
        <w:rPr>
          <w:rFonts w:hint="eastAsia" w:ascii="仿宋_GB2312" w:hAnsi="仿宋_GB2312" w:cs="仿宋_GB2312"/>
        </w:rPr>
        <w:t>，确保信息产品技术自主安全可控</w:t>
      </w:r>
      <w:r>
        <w:rPr>
          <w:rFonts w:hint="eastAsia" w:ascii="仿宋_GB2312" w:hAnsi="仿宋_GB2312" w:cs="仿宋_GB2312"/>
          <w:lang w:eastAsia="zh-Hans"/>
        </w:rPr>
        <w:t>。完善网络安全工作统筹协调机制，整合现有信息安全监测平台，协同各方进行多维度安全监测，建设城市级信息安全监测预警和态势感知平台。构建全时空、立体化网络安全态势感知系统和智能化市域互联网管控系统，完善关键信息基础设施等级保护制度，全面提升网络信息安全水平。</w:t>
      </w:r>
      <w:bookmarkStart w:id="163" w:name="_Toc5351"/>
      <w:bookmarkStart w:id="164" w:name="_Toc89345849"/>
    </w:p>
    <w:p>
      <w:pPr>
        <w:spacing w:line="560" w:lineRule="exact"/>
        <w:contextualSpacing/>
        <w:jc w:val="center"/>
        <w:outlineLvl w:val="1"/>
        <w:rPr>
          <w:rFonts w:ascii="楷体_GB2312" w:hAnsi="楷体_GB2312" w:eastAsia="楷体_GB2312" w:cs="楷体_GB2312"/>
          <w:bCs/>
        </w:rPr>
      </w:pPr>
      <w:r>
        <w:rPr>
          <w:rFonts w:hint="eastAsia" w:ascii="楷体_GB2312" w:hAnsi="楷体_GB2312" w:eastAsia="楷体_GB2312" w:cs="楷体_GB2312"/>
          <w:bCs/>
        </w:rPr>
        <w:t>第二节</w:t>
      </w:r>
      <w:r>
        <w:rPr>
          <w:rFonts w:hint="eastAsia"/>
        </w:rPr>
        <w:t xml:space="preserve">  </w:t>
      </w:r>
      <w:r>
        <w:rPr>
          <w:rFonts w:hint="eastAsia" w:ascii="楷体_GB2312" w:hAnsi="楷体_GB2312" w:eastAsia="楷体_GB2312" w:cs="楷体_GB2312"/>
          <w:bCs/>
        </w:rPr>
        <w:t>筑牢基础设施安全保障能力</w:t>
      </w:r>
      <w:bookmarkEnd w:id="163"/>
      <w:bookmarkEnd w:id="164"/>
    </w:p>
    <w:p>
      <w:pPr>
        <w:spacing w:line="560" w:lineRule="exact"/>
        <w:ind w:firstLine="640" w:firstLineChars="200"/>
        <w:contextualSpacing/>
        <w:rPr>
          <w:rFonts w:ascii="楷体_GB2312" w:hAnsi="楷体_GB2312" w:eastAsia="楷体_GB2312" w:cs="楷体_GB2312"/>
          <w:bCs/>
        </w:rPr>
      </w:pPr>
      <w:r>
        <w:rPr>
          <w:rFonts w:hint="eastAsia" w:ascii="仿宋_GB2312" w:hAnsi="仿宋_GB2312" w:cs="仿宋_GB2312"/>
          <w:lang w:eastAsia="zh-Hans"/>
        </w:rPr>
        <w:t>加强金融、能源、交通、水利、通信、广电等领域关键信息基础设施和数据资源的安全保护，明确关键基础设施的安全防护责任。开展关键信息基础设施网络安全隐患自查。支持科研机构、关键基础设施运营单位、厂商和安全企业推进关键信息基础设施安全实验室建设。结合重点行业和新兴行业的典型基础设施控制系统特征，建设安全测试床和模拟仿真环境，从工业设备安全、网络安全、应用安全、边界安全等方面保证关键基础设施设备、数据和系统的安全。推动企业和第三方机构创新云安全服务模式，强化云安全服务。</w:t>
      </w:r>
      <w:bookmarkStart w:id="165" w:name="_Toc13577"/>
      <w:bookmarkStart w:id="166" w:name="_Toc89345850"/>
    </w:p>
    <w:p>
      <w:pPr>
        <w:spacing w:line="560" w:lineRule="exact"/>
        <w:contextualSpacing/>
        <w:jc w:val="center"/>
        <w:outlineLvl w:val="1"/>
        <w:rPr>
          <w:rFonts w:ascii="楷体_GB2312" w:hAnsi="楷体_GB2312" w:eastAsia="楷体_GB2312" w:cs="楷体_GB2312"/>
          <w:bCs/>
        </w:rPr>
      </w:pPr>
      <w:r>
        <w:rPr>
          <w:rFonts w:hint="eastAsia" w:ascii="楷体_GB2312" w:hAnsi="楷体_GB2312" w:eastAsia="楷体_GB2312" w:cs="楷体_GB2312"/>
          <w:bCs/>
        </w:rPr>
        <w:t>第三节</w:t>
      </w:r>
      <w:r>
        <w:rPr>
          <w:rFonts w:hint="eastAsia"/>
        </w:rPr>
        <w:t xml:space="preserve">  </w:t>
      </w:r>
      <w:r>
        <w:rPr>
          <w:rFonts w:hint="eastAsia" w:ascii="楷体_GB2312" w:hAnsi="楷体_GB2312" w:eastAsia="楷体_GB2312" w:cs="楷体_GB2312"/>
          <w:bCs/>
        </w:rPr>
        <w:t>依法加强数据信息安全管理</w:t>
      </w:r>
      <w:bookmarkEnd w:id="165"/>
      <w:bookmarkEnd w:id="166"/>
    </w:p>
    <w:p>
      <w:pPr>
        <w:spacing w:line="560" w:lineRule="exact"/>
        <w:ind w:firstLine="640" w:firstLineChars="200"/>
        <w:contextualSpacing/>
        <w:rPr>
          <w:rFonts w:ascii="楷体_GB2312" w:hAnsi="楷体_GB2312" w:eastAsia="楷体_GB2312" w:cs="楷体_GB2312"/>
          <w:bCs/>
        </w:rPr>
      </w:pPr>
      <w:r>
        <w:rPr>
          <w:rFonts w:hint="eastAsia" w:ascii="仿宋_GB2312" w:hAnsi="仿宋_GB2312" w:cs="仿宋_GB2312"/>
          <w:lang w:eastAsia="zh-Hans"/>
        </w:rPr>
        <w:t>建立数据分级分类管理制度，对数据全生命周期安全保密管理，提高数据安全保护能力和个人</w:t>
      </w:r>
      <w:r>
        <w:rPr>
          <w:rFonts w:hint="eastAsia" w:ascii="仿宋_GB2312" w:hAnsi="仿宋_GB2312" w:cs="仿宋_GB2312"/>
        </w:rPr>
        <w:t>信息</w:t>
      </w:r>
      <w:r>
        <w:rPr>
          <w:rFonts w:hint="eastAsia" w:ascii="仿宋_GB2312" w:hAnsi="仿宋_GB2312" w:cs="仿宋_GB2312"/>
          <w:lang w:eastAsia="zh-Hans"/>
        </w:rPr>
        <w:t>保护力度。建立完善网络空间诚信体系，健全信用信息综合服务平台，严格规范搜集和分析运用个人信息的行为。强化互联网内容安全管理，加强网络内容建设，加强对互联网舆情的收集、分析和掌控。</w:t>
      </w:r>
      <w:bookmarkStart w:id="167" w:name="_Toc78374539"/>
      <w:r>
        <w:rPr>
          <w:rFonts w:hint="eastAsia" w:ascii="仿宋_GB2312" w:hAnsi="仿宋_GB2312" w:cs="仿宋_GB2312"/>
          <w:lang w:eastAsia="zh-Hans"/>
        </w:rPr>
        <w:t>完善网络法规和管理制度，依法打击利用互联网进行的各种违法犯罪活动，推动网络管理、网络运用、网络服务在法治轨道上健康运行。</w:t>
      </w:r>
      <w:bookmarkEnd w:id="167"/>
      <w:bookmarkStart w:id="168" w:name="_Toc25313"/>
      <w:bookmarkStart w:id="169" w:name="_Toc78374538"/>
      <w:bookmarkStart w:id="170" w:name="_Toc89345851"/>
    </w:p>
    <w:p>
      <w:pPr>
        <w:spacing w:line="560" w:lineRule="exact"/>
        <w:contextualSpacing/>
        <w:jc w:val="center"/>
        <w:outlineLvl w:val="1"/>
        <w:rPr>
          <w:rFonts w:ascii="楷体_GB2312" w:hAnsi="楷体_GB2312" w:eastAsia="楷体_GB2312" w:cs="楷体_GB2312"/>
          <w:bCs/>
        </w:rPr>
      </w:pPr>
      <w:r>
        <w:rPr>
          <w:rFonts w:hint="eastAsia" w:ascii="楷体_GB2312" w:hAnsi="楷体_GB2312" w:eastAsia="楷体_GB2312" w:cs="楷体_GB2312"/>
          <w:bCs/>
        </w:rPr>
        <w:t>第四节</w:t>
      </w:r>
      <w:r>
        <w:rPr>
          <w:rFonts w:hint="eastAsia"/>
        </w:rPr>
        <w:t xml:space="preserve">  </w:t>
      </w:r>
      <w:r>
        <w:rPr>
          <w:rFonts w:hint="eastAsia" w:ascii="楷体_GB2312" w:hAnsi="楷体_GB2312" w:eastAsia="楷体_GB2312" w:cs="楷体_GB2312"/>
          <w:bCs/>
        </w:rPr>
        <w:t>推进信息安全应急体系建设</w:t>
      </w:r>
      <w:bookmarkEnd w:id="168"/>
      <w:bookmarkEnd w:id="169"/>
      <w:bookmarkEnd w:id="170"/>
    </w:p>
    <w:p>
      <w:pPr>
        <w:spacing w:line="560" w:lineRule="exact"/>
        <w:ind w:firstLine="640" w:firstLineChars="200"/>
        <w:contextualSpacing/>
        <w:rPr>
          <w:rFonts w:ascii="黑体" w:hAnsi="黑体" w:eastAsia="黑体" w:cs="黑体"/>
        </w:rPr>
      </w:pPr>
      <w:r>
        <w:rPr>
          <w:rFonts w:hint="eastAsia" w:ascii="仿宋_GB2312" w:hAnsi="仿宋_GB2312" w:cs="仿宋_GB2312"/>
          <w:lang w:eastAsia="zh-Hans"/>
        </w:rPr>
        <w:t>研究建立网络安全风险信息共享机制，明确行业主管部门、科研机构、关键信息基础设施运营单位、设备生产厂商、安全企业等各方职责。落实各单位应急管理职能，升级市互联网应急调度指挥中心，提升城市信息安全应急响应及处置能力。完善信息安全应急防范基础设施，建成集应急专家、企业、设备、产品等信息于一体的应急资源信息库</w:t>
      </w:r>
      <w:r>
        <w:rPr>
          <w:rFonts w:hint="eastAsia" w:ascii="仿宋_GB2312" w:hAnsi="仿宋_GB2312" w:cs="仿宋_GB2312"/>
        </w:rPr>
        <w:t>。</w:t>
      </w:r>
      <w:bookmarkStart w:id="171" w:name="_Toc24592"/>
      <w:bookmarkStart w:id="172" w:name="_Toc89345852"/>
    </w:p>
    <w:p>
      <w:pPr>
        <w:spacing w:line="560" w:lineRule="exact"/>
        <w:contextualSpacing/>
        <w:jc w:val="center"/>
        <w:outlineLvl w:val="0"/>
        <w:rPr>
          <w:rFonts w:ascii="黑体" w:hAnsi="黑体" w:eastAsia="黑体" w:cs="黑体"/>
        </w:rPr>
      </w:pPr>
      <w:r>
        <w:rPr>
          <w:rFonts w:hint="eastAsia" w:ascii="黑体" w:hAnsi="黑体" w:eastAsia="黑体" w:cs="黑体"/>
        </w:rPr>
        <w:t>第九章 保障措施</w:t>
      </w:r>
      <w:bookmarkEnd w:id="171"/>
      <w:bookmarkEnd w:id="172"/>
    </w:p>
    <w:p>
      <w:pPr>
        <w:spacing w:line="560" w:lineRule="exact"/>
        <w:ind w:firstLine="640" w:firstLineChars="200"/>
        <w:contextualSpacing/>
        <w:jc w:val="center"/>
        <w:outlineLvl w:val="1"/>
        <w:rPr>
          <w:rFonts w:ascii="楷体_GB2312" w:hAnsi="楷体_GB2312" w:eastAsia="楷体_GB2312" w:cs="楷体_GB2312"/>
          <w:bCs/>
        </w:rPr>
      </w:pPr>
      <w:bookmarkStart w:id="173" w:name="_Toc89345853"/>
      <w:bookmarkStart w:id="174" w:name="_Toc13"/>
      <w:r>
        <w:rPr>
          <w:rFonts w:hint="eastAsia" w:ascii="楷体_GB2312" w:hAnsi="楷体_GB2312" w:eastAsia="楷体_GB2312" w:cs="楷体_GB2312"/>
          <w:bCs/>
        </w:rPr>
        <w:t>第一节  强化组织领导</w:t>
      </w:r>
      <w:bookmarkEnd w:id="173"/>
      <w:bookmarkEnd w:id="174"/>
    </w:p>
    <w:p>
      <w:pPr>
        <w:spacing w:line="560" w:lineRule="exact"/>
        <w:ind w:firstLine="640" w:firstLineChars="200"/>
        <w:contextualSpacing/>
        <w:rPr>
          <w:rFonts w:ascii="仿宋_GB2312" w:hAnsi="仿宋_GB2312" w:cs="仿宋_GB2312"/>
          <w:bCs/>
          <w:shd w:val="clear" w:color="auto" w:fill="FFFFFF"/>
        </w:rPr>
      </w:pPr>
      <w:r>
        <w:rPr>
          <w:rFonts w:hint="eastAsia" w:ascii="仿宋_GB2312" w:hAnsi="仿宋_GB2312" w:cs="仿宋_GB2312"/>
          <w:bCs/>
          <w:shd w:val="clear" w:color="auto" w:fill="FFFFFF"/>
        </w:rPr>
        <w:t>充分发挥“数字南阳”建设专项小组对数字经济和信息化发展的牵总协调作用，统筹推进本地区数字经济发展政策制定，协调解决推进</w:t>
      </w:r>
      <w:r>
        <w:rPr>
          <w:rFonts w:hint="eastAsia" w:ascii="仿宋_GB2312" w:hAnsi="仿宋_GB2312" w:cs="仿宋_GB2312"/>
          <w:lang w:eastAsia="zh-Hans"/>
        </w:rPr>
        <w:t>过程</w:t>
      </w:r>
      <w:r>
        <w:rPr>
          <w:rFonts w:hint="eastAsia" w:ascii="仿宋_GB2312" w:hAnsi="仿宋_GB2312" w:cs="仿宋_GB2312"/>
          <w:bCs/>
          <w:shd w:val="clear" w:color="auto" w:fill="FFFFFF"/>
        </w:rPr>
        <w:t>中存在的重要问题，推进重大转型项目的落地实施。建立市领导为产业链链长、有关单位按分工负责的工作推进机制。推行产业联盟盟长制，由龙头企业负责人担任盟长。建立健全跨县区、跨行业、跨部门的统筹协调机制，统筹各级各部门力量，协调解决重大问题，形成全市上下协同推进数字经济和信息化发展的工作格局。推动各部门和区县制定本部门推进数字经济和信息化发展的实施方案。</w:t>
      </w:r>
    </w:p>
    <w:p>
      <w:pPr>
        <w:spacing w:line="560" w:lineRule="exact"/>
        <w:contextualSpacing/>
        <w:jc w:val="center"/>
        <w:outlineLvl w:val="1"/>
        <w:rPr>
          <w:rFonts w:ascii="楷体_GB2312" w:hAnsi="楷体_GB2312" w:eastAsia="楷体_GB2312" w:cs="楷体_GB2312"/>
          <w:bCs/>
        </w:rPr>
      </w:pPr>
      <w:bookmarkStart w:id="175" w:name="_Toc89345854"/>
      <w:bookmarkStart w:id="176" w:name="_Toc5734"/>
      <w:r>
        <w:rPr>
          <w:rFonts w:hint="eastAsia" w:ascii="楷体_GB2312" w:hAnsi="楷体_GB2312" w:eastAsia="楷体_GB2312" w:cs="楷体_GB2312"/>
          <w:bCs/>
        </w:rPr>
        <w:t>第二节 加大政策支持</w:t>
      </w:r>
      <w:bookmarkEnd w:id="175"/>
      <w:bookmarkEnd w:id="176"/>
    </w:p>
    <w:p>
      <w:pPr>
        <w:spacing w:line="560" w:lineRule="exact"/>
        <w:ind w:firstLine="627" w:firstLineChars="196"/>
        <w:contextualSpacing/>
        <w:rPr>
          <w:rFonts w:ascii="仿宋_GB2312" w:hAnsi="仿宋_GB2312" w:cs="仿宋_GB2312"/>
          <w:bCs/>
          <w:shd w:val="clear" w:color="auto" w:fill="FFFFFF"/>
        </w:rPr>
      </w:pPr>
      <w:r>
        <w:rPr>
          <w:rFonts w:hint="eastAsia" w:ascii="仿宋_GB2312" w:hAnsi="仿宋_GB2312" w:cs="仿宋_GB2312"/>
          <w:bCs/>
          <w:shd w:val="clear" w:color="auto" w:fill="FFFFFF"/>
        </w:rPr>
        <w:t>落实财政支持企业科技创新贴息资金、科技创新券发放和兑现、支持科技创新政策清单、科技成果转化专项资金管理办法等系列政策。学习借鉴先进地区在土地使用、金融支持、招商引智等方面的成功经验，研究制定加快数字经济核心区建设的若干意见，完善要素保障。制定和完善信息化建设、大数据开发利用、数字经济、互联网“双创”等政策措施，推出一系列地方性法规和规章制度。统筹专项资金，支持信息基础设施建设、数字经济和信息化示范工程、重大项目、关键技术、人才培养等。鼓励社会各类风险投资和股权投资基金进入数字经济和信息化发展领域。出台具有针对性的需求侧引导政策，鼓励消费行为向线上转移，加速推动消费模式与商业模式的线上线下融合发展，培育新的经济增长点。</w:t>
      </w:r>
    </w:p>
    <w:p>
      <w:pPr>
        <w:spacing w:line="560" w:lineRule="exact"/>
        <w:contextualSpacing/>
        <w:jc w:val="center"/>
        <w:outlineLvl w:val="1"/>
        <w:rPr>
          <w:rFonts w:ascii="楷体_GB2312" w:hAnsi="楷体_GB2312" w:eastAsia="楷体_GB2312" w:cs="楷体_GB2312"/>
          <w:bCs/>
        </w:rPr>
      </w:pPr>
      <w:bookmarkStart w:id="177" w:name="_Toc31131"/>
      <w:bookmarkStart w:id="178" w:name="_Toc89345855"/>
      <w:r>
        <w:rPr>
          <w:rFonts w:hint="eastAsia" w:ascii="楷体_GB2312" w:hAnsi="楷体_GB2312" w:eastAsia="楷体_GB2312" w:cs="楷体_GB2312"/>
          <w:bCs/>
        </w:rPr>
        <w:t>第三节 强化招商引智</w:t>
      </w:r>
      <w:bookmarkEnd w:id="177"/>
      <w:bookmarkEnd w:id="178"/>
    </w:p>
    <w:p>
      <w:pPr>
        <w:spacing w:line="560" w:lineRule="exact"/>
        <w:ind w:firstLine="627" w:firstLineChars="196"/>
        <w:contextualSpacing/>
        <w:rPr>
          <w:rFonts w:ascii="楷体_GB2312" w:hAnsi="楷体_GB2312" w:eastAsia="楷体_GB2312" w:cs="楷体_GB2312"/>
          <w:bCs/>
        </w:rPr>
      </w:pPr>
      <w:r>
        <w:rPr>
          <w:rFonts w:hint="eastAsia" w:ascii="仿宋_GB2312" w:hAnsi="仿宋_GB2312" w:cs="仿宋_GB2312"/>
          <w:bCs/>
          <w:shd w:val="clear" w:color="auto" w:fill="FFFFFF"/>
        </w:rPr>
        <w:t>创新招商方式，深入开展产业链招商、基金招商、股权招商、市场招商、科研招商、行业协会招商、以商招商，吸引更多优质项目落地南阳。借助中国（郑州）产业转移对接会、豫沪产业合作、京宛合作等平台积极引进战略投资者。常态化开展“万人助万企”活动，重点引进一批国内外知名龙头企业及配套企业。建立、完善、做实企业家协会、企业联合会和行业协会，加强企业家队伍建设。加强与国内知名企业、科研机构、各大高校的战略合作，深入实施“产学研用”联合人才培养机制。依托“诸葛英才计划”，引进一批高端人才和创新团队，落实子女教育、住房等方面保障措施。支持大中专院校、企业、科研机构建设人才实训基地，培育技术型人才和应用创新型人才。鼓励企业采取兼职、短期聘用、有偿服务等方式，吸引各类人才来宛创业。</w:t>
      </w:r>
      <w:bookmarkStart w:id="179" w:name="_Toc89345856"/>
      <w:bookmarkStart w:id="180" w:name="_Toc432"/>
    </w:p>
    <w:p>
      <w:pPr>
        <w:spacing w:line="560" w:lineRule="exact"/>
        <w:contextualSpacing/>
        <w:jc w:val="center"/>
        <w:outlineLvl w:val="1"/>
        <w:rPr>
          <w:rFonts w:ascii="楷体_GB2312" w:hAnsi="楷体_GB2312" w:eastAsia="楷体_GB2312" w:cs="楷体_GB2312"/>
          <w:bCs/>
        </w:rPr>
      </w:pPr>
      <w:r>
        <w:rPr>
          <w:rFonts w:hint="eastAsia" w:ascii="楷体_GB2312" w:hAnsi="楷体_GB2312" w:eastAsia="楷体_GB2312" w:cs="楷体_GB2312"/>
          <w:bCs/>
        </w:rPr>
        <w:t>第四节 营造发展氛围</w:t>
      </w:r>
      <w:bookmarkEnd w:id="179"/>
      <w:bookmarkEnd w:id="180"/>
    </w:p>
    <w:p>
      <w:pPr>
        <w:spacing w:line="560" w:lineRule="exact"/>
        <w:ind w:firstLine="627" w:firstLineChars="196"/>
        <w:contextualSpacing/>
        <w:rPr>
          <w:rFonts w:ascii="楷体_GB2312" w:hAnsi="楷体_GB2312" w:eastAsia="楷体_GB2312" w:cs="楷体_GB2312"/>
          <w:bCs/>
        </w:rPr>
      </w:pPr>
      <w:r>
        <w:rPr>
          <w:rFonts w:hint="eastAsia" w:ascii="仿宋_GB2312" w:hAnsi="仿宋_GB2312" w:cs="仿宋_GB2312"/>
          <w:bCs/>
          <w:shd w:val="clear" w:color="auto" w:fill="FFFFFF"/>
        </w:rPr>
        <w:t>秉持亲商、安商、富商理念，积极构建“亲”“清”新型政商关系，建立各级党政“一把手”与企业家谈心交流机制。打造办事不求人的高效率政务环境，打造低成本的要素保障环境，打造公平公正的法治环境，着力营造制造业高质量发展浓厚氛围。破除民间投资进入数字经济和信息化领域发展的政策障碍，打破“玻璃门”“弹簧门”等现象。加强知识产权保护，加强政策宣传和舆论引导，面向政府、行业、企业开展数字经济和信息化专题讲座和培训。积极与京津冀、长三角、珠三角地区开展深层次交流合作，定期举办数字经济领域高端论坛、行业展会，进一步营造数字经济和信息化发展的浓厚氛围。</w:t>
      </w:r>
      <w:bookmarkStart w:id="181" w:name="_Toc9986"/>
      <w:bookmarkStart w:id="182" w:name="_Toc78374543"/>
      <w:bookmarkStart w:id="183" w:name="_Toc89345857"/>
    </w:p>
    <w:p>
      <w:pPr>
        <w:spacing w:line="560" w:lineRule="exact"/>
        <w:contextualSpacing/>
        <w:jc w:val="center"/>
        <w:outlineLvl w:val="1"/>
        <w:rPr>
          <w:rFonts w:ascii="楷体_GB2312" w:hAnsi="楷体_GB2312" w:eastAsia="楷体_GB2312" w:cs="楷体_GB2312"/>
          <w:bCs/>
        </w:rPr>
      </w:pPr>
      <w:r>
        <w:rPr>
          <w:rFonts w:hint="eastAsia" w:ascii="楷体_GB2312" w:hAnsi="楷体_GB2312" w:eastAsia="楷体_GB2312" w:cs="楷体_GB2312"/>
          <w:bCs/>
        </w:rPr>
        <w:t>第五节 加强监测评价</w:t>
      </w:r>
      <w:bookmarkEnd w:id="181"/>
      <w:bookmarkEnd w:id="182"/>
      <w:bookmarkEnd w:id="183"/>
    </w:p>
    <w:p>
      <w:pPr>
        <w:spacing w:line="560" w:lineRule="exact"/>
        <w:ind w:firstLine="640" w:firstLineChars="200"/>
        <w:contextualSpacing/>
        <w:rPr>
          <w:rFonts w:ascii="宋体" w:hAnsi="宋体" w:cs="宋体"/>
          <w:bCs/>
          <w:sz w:val="36"/>
          <w:szCs w:val="36"/>
        </w:rPr>
      </w:pPr>
      <w:r>
        <w:rPr>
          <w:rFonts w:hint="eastAsia" w:ascii="仿宋_GB2312" w:hAnsi="仿宋_GB2312" w:cs="仿宋_GB2312"/>
          <w:bCs/>
          <w:shd w:val="clear" w:color="auto" w:fill="FFFFFF"/>
        </w:rPr>
        <w:t>建立数字经济和信息化规划监测评价指标体系，组织好规划实施的跟踪监测，科学指导评价各部门、各县（区)的信息化发展水平、规划实施效果和政策措施落实情况。按期组织开展数字经济和信息化规划实施情况的年度评价、中期评估和总结评估，充分借助第三方评估机构等专业资源，适时开展第三方评估。以纳入规划的主要指标、主要任务和重大项目为主要抓手，及时发现问题，解决问题，确保规划目标任务顺利完成。</w:t>
      </w:r>
    </w:p>
    <w:p>
      <w:pPr>
        <w:widowControl/>
        <w:jc w:val="left"/>
        <w:rPr>
          <w:rFonts w:ascii="方正小标宋简体" w:hAnsi="方正小标宋简体" w:eastAsia="方正小标宋简体" w:cs="方正小标宋简体"/>
          <w:sz w:val="44"/>
          <w:szCs w:val="44"/>
        </w:rPr>
      </w:pPr>
      <w:bookmarkStart w:id="184" w:name="_Toc29906"/>
      <w:bookmarkStart w:id="185" w:name="_Toc20322"/>
      <w:bookmarkStart w:id="186" w:name="_Toc25206"/>
      <w:r>
        <w:rPr>
          <w:rFonts w:ascii="方正小标宋简体" w:hAnsi="方正小标宋简体" w:eastAsia="方正小标宋简体" w:cs="方正小标宋简体"/>
          <w:sz w:val="44"/>
          <w:szCs w:val="44"/>
        </w:rPr>
        <w:br w:type="page"/>
      </w:r>
    </w:p>
    <w:p>
      <w:pPr>
        <w:spacing w:line="560" w:lineRule="exact"/>
        <w:contextualSpacing/>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南阳市“十四五”战略性新兴产业和</w:t>
      </w:r>
    </w:p>
    <w:p>
      <w:pPr>
        <w:spacing w:line="560" w:lineRule="exact"/>
        <w:contextualSpacing/>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未来产业发展规划</w:t>
      </w:r>
    </w:p>
    <w:p>
      <w:pPr>
        <w:pStyle w:val="4"/>
        <w:spacing w:line="560" w:lineRule="exact"/>
        <w:ind w:firstLine="320"/>
        <w:contextualSpacing/>
        <w:rPr>
          <w:rFonts w:ascii="仿宋" w:hAnsi="仿宋" w:eastAsia="仿宋"/>
          <w:bCs/>
        </w:rPr>
      </w:pPr>
    </w:p>
    <w:p>
      <w:pPr>
        <w:pStyle w:val="4"/>
        <w:spacing w:line="560" w:lineRule="exact"/>
        <w:ind w:left="119" w:firstLine="640" w:firstLineChars="200"/>
        <w:contextualSpacing/>
        <w:rPr>
          <w:rFonts w:ascii="黑体" w:hAnsi="黑体" w:cs="黑体"/>
        </w:rPr>
      </w:pPr>
      <w:r>
        <w:rPr>
          <w:rFonts w:hint="eastAsia" w:ascii="仿宋_GB2312" w:hAnsi="仿宋_GB2312" w:cs="仿宋_GB2312"/>
          <w:bCs/>
        </w:rPr>
        <w:t>战略性新兴产业是以重大技术突破和重大发展需求为基础，对经济社会全局和长远发展具有重大引领带动作用的产业，是抢占未来竞争制高点、实现引领型发展的关键。未来产业是衡量一个国家科技创新和综合实力的重要标志。“十四五”时期，我市将处于动力转换、结构优化的关键阶段，加快发展战略性新兴产业、谋篇布局未来产业，对我市培育新动能、发展新经济、抢占未来发展制高点具有重要意义。大力培育和发展战略性新兴产业和未来产业，是推动制造业高质量发展、提升我市战略位势的重要举措，是加快建设现代化产业体系、全面塑造发展新优势的有力支撑，更是建设“工业强市”、应对新一轮科技变革的重大战略抉择。根据《河南省“十四五”战略性新兴产业和未来产业发展规划》《南阳市国民经济和社会发展第十四个五年规划和二</w:t>
      </w:r>
      <w:r>
        <w:rPr>
          <w:rFonts w:hint="eastAsia" w:ascii="宋体" w:hAnsi="宋体" w:eastAsia="宋体" w:cs="宋体"/>
          <w:bCs/>
        </w:rPr>
        <w:t>〇</w:t>
      </w:r>
      <w:r>
        <w:rPr>
          <w:rFonts w:hint="eastAsia" w:ascii="仿宋_GB2312" w:hAnsi="仿宋_GB2312" w:cs="仿宋_GB2312"/>
          <w:bCs/>
        </w:rPr>
        <w:t>三五年远景目标纲要》制定本规划。</w:t>
      </w:r>
      <w:bookmarkEnd w:id="184"/>
      <w:bookmarkEnd w:id="185"/>
      <w:bookmarkEnd w:id="186"/>
      <w:bookmarkStart w:id="187" w:name="_Toc686540798"/>
    </w:p>
    <w:p>
      <w:pPr>
        <w:pStyle w:val="6"/>
        <w:numPr>
          <w:ilvl w:val="0"/>
          <w:numId w:val="8"/>
        </w:numPr>
        <w:spacing w:line="560" w:lineRule="exact"/>
        <w:ind w:firstLine="640"/>
        <w:contextualSpacing/>
        <w:jc w:val="center"/>
      </w:pPr>
      <w:r>
        <w:rPr>
          <w:rFonts w:hint="eastAsia" w:ascii="黑体" w:hAnsi="黑体" w:cs="黑体"/>
        </w:rPr>
        <w:t xml:space="preserve"> 发展现状和面临形势</w:t>
      </w:r>
      <w:bookmarkEnd w:id="187"/>
    </w:p>
    <w:p>
      <w:pPr>
        <w:pStyle w:val="7"/>
        <w:spacing w:line="560" w:lineRule="exact"/>
        <w:ind w:firstLine="640" w:firstLineChars="200"/>
        <w:contextualSpacing/>
        <w:jc w:val="center"/>
        <w:rPr>
          <w:b w:val="0"/>
        </w:rPr>
      </w:pPr>
      <w:bookmarkStart w:id="188" w:name="_Toc29591"/>
      <w:bookmarkStart w:id="189" w:name="_Toc20664"/>
      <w:bookmarkStart w:id="190" w:name="_Toc28113"/>
      <w:bookmarkStart w:id="191" w:name="_Toc710053499"/>
      <w:r>
        <w:rPr>
          <w:rFonts w:hint="eastAsia" w:ascii="楷体" w:hAnsi="楷体" w:eastAsia="楷体" w:cs="楷体"/>
          <w:b w:val="0"/>
        </w:rPr>
        <w:t>第一节</w:t>
      </w:r>
      <w:r>
        <w:rPr>
          <w:rFonts w:hint="eastAsia" w:ascii="楷体" w:hAnsi="楷体" w:cs="楷体"/>
          <w:b w:val="0"/>
        </w:rPr>
        <w:t xml:space="preserve">  </w:t>
      </w:r>
      <w:r>
        <w:rPr>
          <w:rFonts w:hint="eastAsia" w:ascii="楷体" w:hAnsi="楷体" w:eastAsia="楷体" w:cs="楷体"/>
          <w:b w:val="0"/>
        </w:rPr>
        <w:t>发展</w:t>
      </w:r>
      <w:bookmarkEnd w:id="188"/>
      <w:bookmarkEnd w:id="189"/>
      <w:bookmarkEnd w:id="190"/>
      <w:r>
        <w:rPr>
          <w:rFonts w:hint="eastAsia" w:ascii="楷体" w:hAnsi="楷体" w:eastAsia="楷体" w:cs="楷体"/>
          <w:b w:val="0"/>
        </w:rPr>
        <w:t>现状</w:t>
      </w:r>
      <w:bookmarkEnd w:id="191"/>
    </w:p>
    <w:p>
      <w:pPr>
        <w:spacing w:line="560" w:lineRule="exact"/>
        <w:ind w:firstLine="640" w:firstLineChars="200"/>
        <w:contextualSpacing/>
        <w:rPr>
          <w:rFonts w:ascii="仿宋_GB2312" w:hAnsi="仿宋_GB2312" w:cs="仿宋_GB2312"/>
        </w:rPr>
      </w:pPr>
      <w:r>
        <w:rPr>
          <w:rFonts w:hint="eastAsia" w:ascii="仿宋_GB2312" w:hAnsi="仿宋_GB2312" w:cs="仿宋_GB2312"/>
        </w:rPr>
        <w:t>“十三五”时期，</w:t>
      </w:r>
      <w:r>
        <w:rPr>
          <w:rFonts w:hint="eastAsia" w:ascii="仿宋_GB2312" w:hAnsi="仿宋_GB2312" w:cs="仿宋_GB2312"/>
          <w:bCs/>
        </w:rPr>
        <w:t>我市</w:t>
      </w:r>
      <w:r>
        <w:rPr>
          <w:rFonts w:hint="eastAsia" w:ascii="仿宋_GB2312" w:hAnsi="仿宋_GB2312" w:cs="仿宋_GB2312"/>
        </w:rPr>
        <w:t>坚持不懈实施创新驱动发展战略，持续优化产业发展环境，培育壮大了一批特色明显、发展潜力大的优质企业，形成了电子信息、生物等产业集群，推动战略性新兴产业实现规模化、高端化、集聚化发展，战略性新兴产业已成为</w:t>
      </w:r>
      <w:r>
        <w:rPr>
          <w:rFonts w:hint="eastAsia" w:ascii="仿宋_GB2312" w:hAnsi="仿宋_GB2312" w:cs="仿宋_GB2312"/>
          <w:bCs/>
        </w:rPr>
        <w:t>我市</w:t>
      </w:r>
      <w:r>
        <w:rPr>
          <w:rFonts w:hint="eastAsia" w:ascii="仿宋_GB2312" w:hAnsi="仿宋_GB2312" w:cs="仿宋_GB2312"/>
        </w:rPr>
        <w:t>新旧动能接续转换的有力支撑。</w:t>
      </w:r>
    </w:p>
    <w:p>
      <w:pPr>
        <w:spacing w:line="560" w:lineRule="exact"/>
        <w:ind w:firstLine="627" w:firstLineChars="196"/>
        <w:contextualSpacing/>
        <w:rPr>
          <w:rFonts w:ascii="仿宋_GB2312" w:hAnsi="仿宋_GB2312" w:cs="仿宋_GB2312"/>
        </w:rPr>
      </w:pPr>
      <w:r>
        <w:rPr>
          <w:rFonts w:hint="eastAsia" w:ascii="仿宋" w:hAnsi="仿宋" w:eastAsia="仿宋" w:cs="仿宋"/>
          <w:bCs/>
        </w:rPr>
        <w:t>产业规模快速增长。</w:t>
      </w:r>
      <w:r>
        <w:rPr>
          <w:rFonts w:hint="eastAsia" w:ascii="仿宋_GB2312" w:hAnsi="仿宋_GB2312" w:cs="仿宋_GB2312"/>
        </w:rPr>
        <w:t>“十三五”时期，全市战略性新兴产业呈现快速发展态势，产业规模不断扩大，从2016年的约550亿元到2020年的约800亿元，年均增速约10%，与全省增速持平。战略性新兴产业增加值增长12.3%。2020年，规模以上战略新兴产业增加值同比增长8.3%，占全部规模以上工业的比重为36.6%，较上年提高9.2个百分点，高新技术产业增加值年均增速达到12%。高新技术正在成为支撑</w:t>
      </w:r>
      <w:r>
        <w:rPr>
          <w:rFonts w:hint="eastAsia" w:ascii="仿宋_GB2312" w:hAnsi="仿宋_GB2312" w:cs="仿宋_GB2312"/>
          <w:bCs/>
        </w:rPr>
        <w:t>我市</w:t>
      </w:r>
      <w:r>
        <w:rPr>
          <w:rFonts w:hint="eastAsia" w:ascii="仿宋_GB2312" w:hAnsi="仿宋_GB2312" w:cs="仿宋_GB2312"/>
        </w:rPr>
        <w:t>高质量发展的强大动力。</w:t>
      </w:r>
    </w:p>
    <w:p>
      <w:pPr>
        <w:spacing w:line="560" w:lineRule="exact"/>
        <w:ind w:firstLine="627" w:firstLineChars="196"/>
        <w:contextualSpacing/>
        <w:rPr>
          <w:rFonts w:ascii="仿宋_GB2312" w:hAnsi="仿宋_GB2312" w:cs="仿宋_GB2312"/>
        </w:rPr>
      </w:pPr>
      <w:r>
        <w:rPr>
          <w:rFonts w:hint="eastAsia" w:ascii="仿宋" w:hAnsi="仿宋" w:eastAsia="仿宋" w:cs="仿宋"/>
          <w:bCs/>
        </w:rPr>
        <w:t>产业结构不断优化。</w:t>
      </w:r>
      <w:r>
        <w:rPr>
          <w:rFonts w:hint="eastAsia" w:ascii="仿宋_GB2312" w:hAnsi="仿宋_GB2312" w:cs="仿宋_GB2312"/>
        </w:rPr>
        <w:t>“十三五”时期，全市战略性新兴产业对经济增长的贡献逐年增大，占全市规模以上工业增加值的27.4%。2020年，规模以上高新技术产业增加值同比增长10.4%，占全部规模以上工业的比重为57.1%。其中，电子信息、生物医药、新材料、新能源四大产业拉动全市规模以上工业增加值增速4.2个百分点。战略性新兴产业拉动全市规模以上工业增加值增速2.8个百分点，贡献率达到64.8%。</w:t>
      </w:r>
    </w:p>
    <w:p>
      <w:pPr>
        <w:spacing w:line="560" w:lineRule="exact"/>
        <w:ind w:firstLine="627" w:firstLineChars="196"/>
        <w:contextualSpacing/>
        <w:rPr>
          <w:rFonts w:ascii="仿宋_GB2312" w:hAnsi="仿宋_GB2312" w:cs="仿宋_GB2312"/>
        </w:rPr>
      </w:pPr>
      <w:r>
        <w:rPr>
          <w:rFonts w:hint="eastAsia" w:ascii="仿宋" w:hAnsi="仿宋" w:eastAsia="仿宋" w:cs="仿宋"/>
          <w:bCs/>
        </w:rPr>
        <w:t>创新能力日益增强。</w:t>
      </w:r>
      <w:r>
        <w:rPr>
          <w:rFonts w:hint="eastAsia" w:ascii="仿宋_GB2312" w:hAnsi="仿宋_GB2312" w:cs="仿宋_GB2312"/>
        </w:rPr>
        <w:t>“十三五”期间，全市累计实施省、市重大科技专项33个，省级以上科技项目469项，市级重大科技专项20项，争取省重大科技专项11个、科技成果转化项目114项、科技领军人才项目6项，攻克了一批重大技术难题和关键技术瓶颈，提升了企业的核心竞争力，推动了全市产业技术升级和转型发展。</w:t>
      </w:r>
    </w:p>
    <w:p>
      <w:pPr>
        <w:spacing w:line="560" w:lineRule="exact"/>
        <w:ind w:firstLine="627" w:firstLineChars="196"/>
        <w:contextualSpacing/>
        <w:rPr>
          <w:rFonts w:ascii="仿宋_GB2312" w:hAnsi="仿宋_GB2312" w:cs="仿宋_GB2312"/>
        </w:rPr>
      </w:pPr>
      <w:r>
        <w:rPr>
          <w:rFonts w:hint="eastAsia" w:ascii="仿宋" w:hAnsi="仿宋" w:eastAsia="仿宋" w:cs="仿宋"/>
          <w:bCs/>
        </w:rPr>
        <w:t>平台建设持续深入。</w:t>
      </w:r>
      <w:r>
        <w:rPr>
          <w:rFonts w:hint="eastAsia" w:ascii="仿宋_GB2312" w:hAnsi="仿宋_GB2312" w:cs="仿宋_GB2312"/>
        </w:rPr>
        <w:t>“十三五”期间，全市共建成国家级企业技术中心3家、省级企业技术中心62家、市级企业技术中心66家、省级工程研究中心33家。组建省级产业技术创新战略联盟3个、市级产业技术创新战略联盟29个。新培育国家重点实验室1家、省新型研发机构1家、省院士工作站4家、省重点实验室4家、省工程技术研究中心185家，基本实现省级以上研发平台大中型科技型企业的全覆盖。</w:t>
      </w:r>
    </w:p>
    <w:p>
      <w:pPr>
        <w:spacing w:line="560" w:lineRule="exact"/>
        <w:ind w:firstLine="627" w:firstLineChars="196"/>
        <w:contextualSpacing/>
        <w:rPr>
          <w:rFonts w:ascii="仿宋_GB2312" w:hAnsi="仿宋_GB2312" w:cs="仿宋_GB2312"/>
        </w:rPr>
      </w:pPr>
      <w:r>
        <w:rPr>
          <w:rFonts w:hint="eastAsia" w:ascii="仿宋" w:hAnsi="仿宋" w:eastAsia="仿宋" w:cs="仿宋"/>
          <w:bCs/>
        </w:rPr>
        <w:t>企业实力逐步提升。</w:t>
      </w:r>
      <w:r>
        <w:rPr>
          <w:rFonts w:hint="eastAsia" w:ascii="仿宋_GB2312" w:hAnsi="仿宋_GB2312" w:cs="仿宋_GB2312"/>
        </w:rPr>
        <w:t>“十三五”时期，新培育创新引领型后备企业151家，高新技术企业达到264家，提前实现翻两番。省创新型龙头企业动态保持在9家（全省共100家）；省节能减排科技创新示范企业达到36家；累计培育科技型中小企业1130家；评选出具有区域引领力的科技创新示范企业98家。</w:t>
      </w:r>
    </w:p>
    <w:p>
      <w:pPr>
        <w:spacing w:line="560" w:lineRule="exact"/>
        <w:ind w:firstLine="627" w:firstLineChars="196"/>
        <w:contextualSpacing/>
      </w:pPr>
      <w:r>
        <w:rPr>
          <w:rFonts w:hint="eastAsia" w:ascii="仿宋" w:hAnsi="仿宋" w:eastAsia="仿宋" w:cs="仿宋"/>
          <w:bCs/>
        </w:rPr>
        <w:t>集聚效应愈发凸显。</w:t>
      </w:r>
      <w:r>
        <w:rPr>
          <w:rFonts w:hint="eastAsia" w:ascii="仿宋_GB2312" w:hAnsi="仿宋_GB2312" w:cs="仿宋_GB2312"/>
        </w:rPr>
        <w:t>“十三五”时期，产业集聚发展势头良好，形成了以新能源产业为主的南阳经济技术开发区、以光电信息产业为主的卧龙区先进制造业开发区和南阳高新技术产业开发区、以信息软件产业为主的中关村e谷软件产业园、以生物酵素产业为主的华扬龙生产业园、以智能农机装备产业为主的唐河农机产业园。</w:t>
      </w:r>
      <w:bookmarkStart w:id="192" w:name="_Toc1779529377"/>
    </w:p>
    <w:p>
      <w:pPr>
        <w:pStyle w:val="7"/>
        <w:numPr>
          <w:ilvl w:val="0"/>
          <w:numId w:val="9"/>
        </w:numPr>
        <w:spacing w:line="560" w:lineRule="exact"/>
        <w:contextualSpacing/>
        <w:jc w:val="center"/>
        <w:rPr>
          <w:rFonts w:ascii="楷体" w:hAnsi="楷体" w:eastAsia="楷体" w:cs="楷体"/>
          <w:b w:val="0"/>
        </w:rPr>
      </w:pPr>
      <w:r>
        <w:rPr>
          <w:rFonts w:hint="eastAsia" w:ascii="楷体" w:hAnsi="楷体" w:cs="楷体"/>
          <w:b w:val="0"/>
        </w:rPr>
        <w:t xml:space="preserve"> </w:t>
      </w:r>
      <w:r>
        <w:rPr>
          <w:rFonts w:hint="eastAsia" w:ascii="楷体" w:hAnsi="楷体" w:eastAsia="楷体" w:cs="楷体"/>
          <w:b w:val="0"/>
        </w:rPr>
        <w:t>面临形势</w:t>
      </w:r>
      <w:bookmarkEnd w:id="192"/>
    </w:p>
    <w:p>
      <w:pPr>
        <w:spacing w:line="560" w:lineRule="exact"/>
        <w:ind w:firstLine="640" w:firstLineChars="200"/>
        <w:contextualSpacing/>
        <w:rPr>
          <w:rFonts w:ascii="仿宋_GB2312" w:hAnsi="仿宋_GB2312" w:cs="仿宋_GB2312"/>
        </w:rPr>
      </w:pPr>
      <w:r>
        <w:rPr>
          <w:rFonts w:hint="eastAsia" w:ascii="仿宋" w:hAnsi="仿宋" w:eastAsia="仿宋" w:cs="仿宋"/>
          <w:bCs/>
        </w:rPr>
        <w:t>从全球看，战略性新兴产业和未来产业将逐渐成为推动全球经济复苏和增长的主要动力。</w:t>
      </w:r>
      <w:r>
        <w:rPr>
          <w:rFonts w:hint="eastAsia" w:ascii="仿宋_GB2312" w:hAnsi="仿宋_GB2312" w:cs="仿宋_GB2312"/>
        </w:rPr>
        <w:t>“十四五”时期，战略性新兴产业将带动全球产业链和价值链的重构，引领全球创新经济发展进入新时代。电子信息产品市场规模将保持稳定增长，以智能化为特征的应用需求的带动性逐渐显现；生物、新材料、智能装备等领域推动传统工业体系分化重组；新能源成为实现“碳达峰，碳中和”的必然路径。“十四五”时期，未来产业将依托新科技、引领新需求、创造新动力、拓展新空间。</w:t>
      </w:r>
    </w:p>
    <w:p>
      <w:pPr>
        <w:spacing w:line="560" w:lineRule="exact"/>
        <w:ind w:firstLine="640" w:firstLineChars="200"/>
        <w:contextualSpacing/>
        <w:rPr>
          <w:rFonts w:ascii="仿宋_GB2312" w:hAnsi="仿宋_GB2312" w:cs="仿宋_GB2312"/>
        </w:rPr>
      </w:pPr>
      <w:r>
        <w:rPr>
          <w:rFonts w:hint="eastAsia" w:ascii="仿宋" w:hAnsi="仿宋" w:eastAsia="仿宋" w:cs="仿宋"/>
          <w:bCs/>
        </w:rPr>
        <w:t>从全国看，战略性新兴产业和未来产业将成为引领高质量发展的重要力量。</w:t>
      </w:r>
      <w:r>
        <w:rPr>
          <w:rFonts w:hint="eastAsia" w:ascii="仿宋_GB2312" w:hAnsi="仿宋_GB2312" w:cs="仿宋_GB2312"/>
        </w:rPr>
        <w:t>面向“十四五”以及更长远的周期，战略性新兴产业和未来产业是破解经济社会发展不平衡、不充分难题的关键产业。经济高质量发展对战略性新兴产业提出了新要求，强大的国内市场和产业结构转型升级将对战略性新兴产业提供重要支撑，以应用促发展，满足居民消费新需求是产业下一步发展的重点方向。量子通信、合成生物、基因编辑等未来信息技术、未来生物技术、未来能源技术有可能产生颠覆性创新，有潜力形成具备引领性、规模性、超前性的未来产业。</w:t>
      </w:r>
    </w:p>
    <w:p>
      <w:pPr>
        <w:spacing w:line="560" w:lineRule="exact"/>
        <w:ind w:firstLine="640" w:firstLineChars="200"/>
        <w:contextualSpacing/>
        <w:rPr>
          <w:rFonts w:ascii="仿宋_GB2312" w:hAnsi="仿宋_GB2312" w:cs="仿宋_GB2312"/>
        </w:rPr>
      </w:pPr>
      <w:r>
        <w:rPr>
          <w:rFonts w:hint="eastAsia" w:ascii="仿宋" w:hAnsi="仿宋" w:eastAsia="仿宋"/>
          <w:bCs/>
        </w:rPr>
        <w:t>从河南省看，</w:t>
      </w:r>
      <w:r>
        <w:rPr>
          <w:rFonts w:hint="eastAsia" w:ascii="仿宋" w:hAnsi="仿宋" w:eastAsia="仿宋" w:cs="仿宋"/>
          <w:bCs/>
        </w:rPr>
        <w:t>战略性新兴产业和未来产业将</w:t>
      </w:r>
      <w:r>
        <w:rPr>
          <w:rFonts w:hint="eastAsia" w:ascii="仿宋" w:hAnsi="仿宋" w:eastAsia="仿宋"/>
          <w:bCs/>
        </w:rPr>
        <w:t>成为全省打造中西部创新高地的重要引擎。</w:t>
      </w:r>
      <w:r>
        <w:rPr>
          <w:rFonts w:hint="eastAsia" w:ascii="仿宋_GB2312" w:hAnsi="仿宋_GB2312" w:cs="仿宋_GB2312"/>
        </w:rPr>
        <w:t>“十四五”是全省</w:t>
      </w:r>
      <w:r>
        <w:rPr>
          <w:rFonts w:ascii="仿宋_GB2312" w:hAnsi="仿宋_GB2312" w:cs="仿宋_GB2312"/>
        </w:rPr>
        <w:t>推动高质量发展、加快由大到强的转型攻坚期</w:t>
      </w:r>
      <w:r>
        <w:rPr>
          <w:rFonts w:hint="eastAsia" w:ascii="仿宋_GB2312" w:hAnsi="仿宋_GB2312" w:cs="仿宋_GB2312"/>
        </w:rPr>
        <w:t>。</w:t>
      </w:r>
      <w:r>
        <w:rPr>
          <w:rFonts w:ascii="仿宋_GB2312" w:hAnsi="仿宋_GB2312" w:cs="仿宋_GB2312"/>
        </w:rPr>
        <w:t>大力培育发展战略性新兴产业、谋篇布局未来产业既是推动制造业高质量发展、提升</w:t>
      </w:r>
      <w:r>
        <w:rPr>
          <w:rFonts w:hint="eastAsia" w:ascii="仿宋_GB2312" w:hAnsi="仿宋_GB2312" w:cs="仿宋_GB2312"/>
        </w:rPr>
        <w:t>全</w:t>
      </w:r>
      <w:r>
        <w:rPr>
          <w:rFonts w:ascii="仿宋_GB2312" w:hAnsi="仿宋_GB2312" w:cs="仿宋_GB2312"/>
        </w:rPr>
        <w:t>省战略位势的重要举措，也是加快建设现代化经济体系、全面塑造发展新优势的有力支撑，更是建设现代化强省、应对全球变革与挑战的重大战略抉择。</w:t>
      </w:r>
    </w:p>
    <w:p>
      <w:pPr>
        <w:spacing w:line="560" w:lineRule="exact"/>
        <w:ind w:firstLine="640" w:firstLineChars="200"/>
        <w:contextualSpacing/>
        <w:rPr>
          <w:rFonts w:ascii="仿宋_GB2312" w:hAnsi="仿宋_GB2312" w:cs="仿宋_GB2312"/>
        </w:rPr>
      </w:pPr>
      <w:r>
        <w:rPr>
          <w:rFonts w:hint="eastAsia" w:ascii="仿宋_GB2312" w:hAnsi="仿宋_GB2312" w:cs="仿宋_GB2312"/>
        </w:rPr>
        <w:t>全省将全力推进战略性新兴产业跨越发展工程，以新型显示和智能终端、生物医药、节能环保、新能源及网联汽车、新一代人工智能、网络安全、尼龙新材料、智能装备、智能传感器、5G等10个新兴产业链为主体，增强产业链主导能力，推动产业链向高端环节延伸，构筑产业竞争优势。超前布局量子信息、氢能与储能、类脑智能、未来网络等未来产业，力争在若干前沿领域实现重大突破，培育形成一批引领能力强、经济效益好、具备核心竞争力的未来产业链群。</w:t>
      </w:r>
    </w:p>
    <w:p>
      <w:pPr>
        <w:spacing w:line="560" w:lineRule="exact"/>
        <w:ind w:firstLine="640" w:firstLineChars="200"/>
        <w:contextualSpacing/>
        <w:rPr>
          <w:rFonts w:ascii="仿宋_GB2312" w:hAnsi="仿宋_GB2312" w:cs="仿宋_GB2312"/>
        </w:rPr>
      </w:pPr>
      <w:r>
        <w:rPr>
          <w:rFonts w:hint="eastAsia" w:ascii="仿宋" w:hAnsi="仿宋" w:eastAsia="仿宋"/>
          <w:bCs/>
        </w:rPr>
        <w:t>从南阳市看，</w:t>
      </w:r>
      <w:r>
        <w:rPr>
          <w:rFonts w:hint="eastAsia" w:ascii="仿宋" w:hAnsi="仿宋" w:eastAsia="仿宋" w:cs="仿宋"/>
          <w:bCs/>
        </w:rPr>
        <w:t>战略性新兴产业和未来产业将</w:t>
      </w:r>
      <w:r>
        <w:rPr>
          <w:rFonts w:hint="eastAsia" w:ascii="仿宋" w:hAnsi="仿宋" w:eastAsia="仿宋"/>
          <w:bCs/>
        </w:rPr>
        <w:t>成为</w:t>
      </w:r>
      <w:r>
        <w:rPr>
          <w:rFonts w:hint="eastAsia" w:ascii="仿宋" w:hAnsi="仿宋" w:eastAsia="仿宋" w:cs="仿宋"/>
          <w:bCs/>
        </w:rPr>
        <w:t>推动全市产业结构转型升级</w:t>
      </w:r>
      <w:r>
        <w:rPr>
          <w:rFonts w:hint="eastAsia" w:ascii="仿宋" w:hAnsi="仿宋" w:eastAsia="仿宋"/>
          <w:bCs/>
        </w:rPr>
        <w:t>的重要生力军。</w:t>
      </w:r>
      <w:r>
        <w:rPr>
          <w:rFonts w:hint="eastAsia" w:ascii="仿宋_GB2312" w:hAnsi="仿宋_GB2312" w:cs="仿宋_GB2312"/>
        </w:rPr>
        <w:t>从“十二五”到“十三五”期间，</w:t>
      </w:r>
      <w:r>
        <w:rPr>
          <w:rFonts w:hint="eastAsia" w:ascii="仿宋_GB2312" w:hAnsi="仿宋_GB2312" w:cs="仿宋_GB2312"/>
          <w:bCs/>
        </w:rPr>
        <w:t>我市</w:t>
      </w:r>
      <w:r>
        <w:rPr>
          <w:rFonts w:hint="eastAsia" w:ascii="仿宋_GB2312" w:hAnsi="仿宋_GB2312" w:cs="仿宋_GB2312"/>
        </w:rPr>
        <w:t>将电子信息、生物医药、新材料、新能源、智能装备产业列入战略性新兴产业发展规划。经过10多年的发展，光电信息、生物医药、新材料等产业取得了长足的进步，已具备一定产业规模，形成产业集聚发展态势。</w:t>
      </w:r>
    </w:p>
    <w:p>
      <w:pPr>
        <w:spacing w:line="560" w:lineRule="exact"/>
        <w:ind w:firstLine="640" w:firstLineChars="200"/>
        <w:contextualSpacing/>
        <w:rPr>
          <w:rFonts w:ascii="仿宋_GB2312" w:hAnsi="仿宋_GB2312" w:cs="仿宋_GB2312"/>
        </w:rPr>
      </w:pPr>
      <w:r>
        <w:rPr>
          <w:rFonts w:hint="eastAsia" w:ascii="仿宋_GB2312" w:hAnsi="仿宋_GB2312" w:cs="仿宋_GB2312"/>
        </w:rPr>
        <w:t>面对旧力渐弱、新力渐强的分水岭，只有在破解结构性矛盾上聚焦发力，大力发展战略性新兴产业，突破发展未来产业，才能全面迈向高质量发展的轨道。</w:t>
      </w:r>
    </w:p>
    <w:p>
      <w:pPr>
        <w:spacing w:line="560" w:lineRule="exact"/>
        <w:ind w:firstLine="640" w:firstLineChars="200"/>
        <w:contextualSpacing/>
      </w:pPr>
      <w:r>
        <w:rPr>
          <w:rFonts w:hint="eastAsia" w:ascii="仿宋_GB2312" w:hAnsi="仿宋_GB2312" w:cs="仿宋_GB2312"/>
        </w:rPr>
        <w:t>总体来看，“十四五”时期是我市战略性新兴产业和未来产业发展的关键期和攻坚期。加快发展战略性新兴产业和未来产业攸关高质量发展大局，必须将其作为经济发展工作的重中之重，集中资源要素加快推进。</w:t>
      </w:r>
    </w:p>
    <w:p>
      <w:pPr>
        <w:pStyle w:val="6"/>
        <w:numPr>
          <w:ilvl w:val="0"/>
          <w:numId w:val="8"/>
        </w:numPr>
        <w:spacing w:line="560" w:lineRule="exact"/>
        <w:ind w:firstLine="640"/>
        <w:contextualSpacing/>
        <w:jc w:val="center"/>
        <w:rPr>
          <w:rFonts w:ascii="黑体" w:hAnsi="黑体" w:cs="黑体"/>
        </w:rPr>
      </w:pPr>
      <w:bookmarkStart w:id="193" w:name="_Toc31723"/>
      <w:bookmarkStart w:id="194" w:name="_Toc7050"/>
      <w:bookmarkStart w:id="195" w:name="_Toc2624"/>
      <w:bookmarkStart w:id="196" w:name="_Toc1188490619"/>
      <w:r>
        <w:rPr>
          <w:rFonts w:hint="eastAsia" w:ascii="黑体" w:hAnsi="黑体" w:cs="黑体"/>
        </w:rPr>
        <w:t xml:space="preserve"> 总体</w:t>
      </w:r>
      <w:bookmarkEnd w:id="193"/>
      <w:bookmarkEnd w:id="194"/>
      <w:bookmarkEnd w:id="195"/>
      <w:r>
        <w:rPr>
          <w:rFonts w:hint="eastAsia" w:ascii="黑体" w:hAnsi="黑体" w:cs="黑体"/>
        </w:rPr>
        <w:t>要求</w:t>
      </w:r>
      <w:bookmarkEnd w:id="196"/>
    </w:p>
    <w:p>
      <w:pPr>
        <w:pStyle w:val="7"/>
        <w:spacing w:line="560" w:lineRule="exact"/>
        <w:ind w:firstLine="640" w:firstLineChars="200"/>
        <w:contextualSpacing/>
        <w:jc w:val="center"/>
        <w:rPr>
          <w:b w:val="0"/>
        </w:rPr>
      </w:pPr>
      <w:bookmarkStart w:id="197" w:name="_Toc831737696"/>
      <w:r>
        <w:rPr>
          <w:rFonts w:hint="eastAsia" w:ascii="楷体" w:hAnsi="楷体" w:eastAsia="楷体" w:cs="楷体"/>
          <w:b w:val="0"/>
        </w:rPr>
        <w:t>第一节  指导思想</w:t>
      </w:r>
      <w:bookmarkEnd w:id="197"/>
    </w:p>
    <w:p>
      <w:pPr>
        <w:spacing w:line="560" w:lineRule="exact"/>
        <w:ind w:firstLine="627" w:firstLineChars="196"/>
        <w:contextualSpacing/>
        <w:rPr>
          <w:rFonts w:ascii="楷体" w:hAnsi="楷体" w:cs="楷体"/>
        </w:rPr>
      </w:pPr>
      <w:r>
        <w:rPr>
          <w:rFonts w:hint="eastAsia" w:ascii="仿宋_GB2312" w:hAnsi="仿宋_GB2312" w:cs="仿宋_GB2312"/>
        </w:rPr>
        <w:t>坚持以习近平新时代中国特色社会主义思想为指导，全面贯彻习近平总书记视察南阳重要讲话精神，认真落实河南省第十一次党代会和南阳市第七次党代会精神，以市场需求为导向，坚持“项目为王、产业为基、企业为根、创新为要、转型为纲”的发展理念，着力抓创新、强主体、育集群、促融合、拓开放、优生态、提能级，构建“优势+成长+未来”战略性新兴产业和未来产业体系，壮大发展电子信息、生物两大优势产业，加快发展新材料、新能源、智能装备、节能环保四大成长产业，培育发展人工智能、生命健康、前沿新材料、氢能及新型储能四大未来产业，努力建设省内一流、具有较强竞争力的战略性新兴产业基地，为奋力打造河南省副中心城市提供强大支撑。</w:t>
      </w:r>
      <w:bookmarkStart w:id="198" w:name="_Toc6017"/>
      <w:bookmarkStart w:id="199" w:name="_Toc1274544492"/>
      <w:bookmarkStart w:id="200" w:name="_Toc26174"/>
      <w:bookmarkStart w:id="201" w:name="_Toc2265"/>
    </w:p>
    <w:p>
      <w:pPr>
        <w:pStyle w:val="7"/>
        <w:spacing w:line="560" w:lineRule="exact"/>
        <w:contextualSpacing/>
        <w:jc w:val="center"/>
        <w:rPr>
          <w:b w:val="0"/>
        </w:rPr>
      </w:pPr>
      <w:r>
        <w:rPr>
          <w:rFonts w:hint="eastAsia" w:ascii="楷体" w:hAnsi="楷体" w:eastAsia="楷体" w:cs="楷体"/>
          <w:b w:val="0"/>
        </w:rPr>
        <w:t>第二节 基本原则</w:t>
      </w:r>
      <w:bookmarkEnd w:id="198"/>
      <w:bookmarkEnd w:id="199"/>
      <w:bookmarkEnd w:id="200"/>
      <w:bookmarkEnd w:id="201"/>
    </w:p>
    <w:p>
      <w:pPr>
        <w:spacing w:line="560" w:lineRule="exact"/>
        <w:ind w:firstLine="627" w:firstLineChars="196"/>
        <w:contextualSpacing/>
        <w:rPr>
          <w:rFonts w:ascii="仿宋_GB2312" w:hAnsi="仿宋_GB2312" w:cs="仿宋_GB2312"/>
        </w:rPr>
      </w:pPr>
      <w:r>
        <w:rPr>
          <w:rFonts w:hint="eastAsia" w:ascii="仿宋" w:hAnsi="仿宋" w:eastAsia="仿宋"/>
        </w:rPr>
        <w:t>——坚持创新驱动。</w:t>
      </w:r>
      <w:r>
        <w:rPr>
          <w:rFonts w:hint="eastAsia" w:ascii="仿宋_GB2312" w:hAnsi="仿宋_GB2312" w:cs="仿宋_GB2312"/>
        </w:rPr>
        <w:t>强化集成创新和引进消化吸收再创新，着力突破产业发展关键核心技术，加快新技术、新产品产业化。深化科技创新体制机制改革，推动创新成果加速转移转化，增强创新创业活力和动力。</w:t>
      </w:r>
    </w:p>
    <w:p>
      <w:pPr>
        <w:spacing w:line="560" w:lineRule="exact"/>
        <w:ind w:firstLine="627" w:firstLineChars="196"/>
        <w:contextualSpacing/>
        <w:rPr>
          <w:rFonts w:ascii="仿宋_GB2312" w:hAnsi="仿宋_GB2312" w:cs="仿宋_GB2312"/>
        </w:rPr>
      </w:pPr>
      <w:r>
        <w:rPr>
          <w:rFonts w:hint="eastAsia" w:ascii="仿宋" w:hAnsi="仿宋" w:eastAsia="仿宋"/>
        </w:rPr>
        <w:t>——坚持企业主体。</w:t>
      </w:r>
      <w:r>
        <w:rPr>
          <w:rFonts w:hint="eastAsia" w:ascii="仿宋_GB2312" w:hAnsi="仿宋_GB2312" w:cs="仿宋_GB2312"/>
        </w:rPr>
        <w:t>充分发挥市场在资源配置中的决定性作用，强化企业在创新中的主体地位和主导作用，引导企业加大研发投入，提升创新能力。更好地发挥政府作用，营造创新创业良好生态。</w:t>
      </w:r>
    </w:p>
    <w:p>
      <w:pPr>
        <w:spacing w:line="560" w:lineRule="exact"/>
        <w:ind w:firstLine="627" w:firstLineChars="196"/>
        <w:contextualSpacing/>
        <w:rPr>
          <w:rFonts w:ascii="仿宋_GB2312" w:hAnsi="仿宋_GB2312" w:cs="仿宋_GB2312"/>
        </w:rPr>
      </w:pPr>
      <w:r>
        <w:rPr>
          <w:rFonts w:hint="eastAsia" w:ascii="仿宋" w:hAnsi="仿宋" w:eastAsia="仿宋"/>
        </w:rPr>
        <w:t>——坚持重点突破。</w:t>
      </w:r>
      <w:r>
        <w:rPr>
          <w:rFonts w:hint="eastAsia" w:ascii="仿宋_GB2312" w:hAnsi="仿宋_GB2312" w:cs="仿宋_GB2312"/>
        </w:rPr>
        <w:t>瞄准产业有基础、市场前景广、技术最前沿、带动能力强的重点领域和关键环节，集聚要素资源，强化核心技术攻关和引进，迅速做大产业规模，抢占市场先机，带动战略性新兴产业整体提升。</w:t>
      </w:r>
    </w:p>
    <w:p>
      <w:pPr>
        <w:spacing w:line="560" w:lineRule="exact"/>
        <w:ind w:firstLine="627" w:firstLineChars="196"/>
        <w:contextualSpacing/>
      </w:pPr>
      <w:r>
        <w:rPr>
          <w:rFonts w:hint="eastAsia" w:ascii="仿宋" w:hAnsi="仿宋" w:eastAsia="仿宋"/>
        </w:rPr>
        <w:t>——坚持需求引领。</w:t>
      </w:r>
      <w:r>
        <w:rPr>
          <w:rFonts w:hint="eastAsia" w:ascii="仿宋_GB2312" w:hAnsi="仿宋_GB2312" w:cs="仿宋_GB2312"/>
        </w:rPr>
        <w:t>构建内循环产业体系，着眼于补短板、强供给，加强需求侧管理，加快发展新技术、新产品、新业态、新模式，提高供给结构对需求结构的适应性，培育新消费，发展新产业。</w:t>
      </w:r>
    </w:p>
    <w:p>
      <w:pPr>
        <w:spacing w:line="560" w:lineRule="exact"/>
        <w:ind w:firstLine="627" w:firstLineChars="196"/>
        <w:contextualSpacing/>
        <w:rPr>
          <w:rFonts w:ascii="仿宋_GB2312" w:hAnsi="仿宋_GB2312" w:cs="仿宋_GB2312"/>
        </w:rPr>
      </w:pPr>
      <w:r>
        <w:rPr>
          <w:rFonts w:hint="eastAsia" w:ascii="仿宋" w:hAnsi="仿宋" w:eastAsia="仿宋"/>
        </w:rPr>
        <w:t>——坚持开放合作。坚</w:t>
      </w:r>
      <w:r>
        <w:rPr>
          <w:rFonts w:hint="eastAsia" w:ascii="仿宋_GB2312" w:hAnsi="仿宋_GB2312" w:cs="仿宋_GB2312"/>
        </w:rPr>
        <w:t>持对内开放与对外开放双重并举，立足自身优势深化与周边地区产业合作，携手打造经济发展新增长极，积极承接国内外产业转移，利用国际国内两个市场、两种资源提升产业发展能级。</w:t>
      </w:r>
    </w:p>
    <w:p>
      <w:pPr>
        <w:pStyle w:val="7"/>
        <w:spacing w:line="560" w:lineRule="exact"/>
        <w:contextualSpacing/>
        <w:jc w:val="center"/>
        <w:rPr>
          <w:b w:val="0"/>
        </w:rPr>
      </w:pPr>
      <w:bookmarkStart w:id="202" w:name="_Toc24780"/>
      <w:bookmarkStart w:id="203" w:name="_Toc346701983"/>
      <w:bookmarkStart w:id="204" w:name="_Toc5004"/>
      <w:bookmarkStart w:id="205" w:name="_Toc15213"/>
      <w:r>
        <w:rPr>
          <w:rFonts w:hint="eastAsia" w:ascii="楷体" w:hAnsi="楷体" w:eastAsia="楷体" w:cs="楷体"/>
          <w:b w:val="0"/>
        </w:rPr>
        <w:t>第三节 发展目标</w:t>
      </w:r>
      <w:bookmarkEnd w:id="202"/>
      <w:bookmarkEnd w:id="203"/>
      <w:bookmarkEnd w:id="204"/>
      <w:bookmarkEnd w:id="205"/>
    </w:p>
    <w:p>
      <w:pPr>
        <w:spacing w:line="560" w:lineRule="exact"/>
        <w:ind w:firstLine="640" w:firstLineChars="200"/>
        <w:contextualSpacing/>
        <w:rPr>
          <w:rFonts w:ascii="仿宋_GB2312" w:hAnsi="仿宋_GB2312" w:cs="仿宋_GB2312"/>
        </w:rPr>
      </w:pPr>
      <w:r>
        <w:rPr>
          <w:rFonts w:hint="eastAsia" w:ascii="仿宋_GB2312" w:hAnsi="仿宋_GB2312" w:cs="仿宋_GB2312"/>
        </w:rPr>
        <w:t>到2025年，全市战略性新兴产业规模显著提高，综合实力持续增强，未来产业初步显现。基本形成具有自主技术支撑的新兴产业体系，重点领域取得实质性突破，培育一批具有核心竞争力、带动作用强的骨干企业，形成一批具有区域竞争力的战略性新兴产业集群，成为引领全市高质量发展的主导力量。</w:t>
      </w:r>
    </w:p>
    <w:p>
      <w:pPr>
        <w:spacing w:line="560" w:lineRule="exact"/>
        <w:ind w:firstLine="640" w:firstLineChars="200"/>
        <w:contextualSpacing/>
        <w:rPr>
          <w:rFonts w:ascii="仿宋_GB2312" w:hAnsi="仿宋_GB2312" w:cs="仿宋_GB2312"/>
        </w:rPr>
      </w:pPr>
      <w:r>
        <w:rPr>
          <w:rFonts w:hint="eastAsia" w:ascii="仿宋" w:hAnsi="仿宋" w:eastAsia="仿宋"/>
        </w:rPr>
        <w:t>——</w:t>
      </w:r>
      <w:r>
        <w:rPr>
          <w:rFonts w:hint="eastAsia" w:ascii="仿宋" w:hAnsi="仿宋" w:eastAsia="仿宋"/>
          <w:bCs/>
        </w:rPr>
        <w:t>产业规模持续壮大。</w:t>
      </w:r>
      <w:r>
        <w:rPr>
          <w:rFonts w:hint="eastAsia" w:ascii="仿宋_GB2312" w:hAnsi="仿宋_GB2312" w:cs="仿宋_GB2312"/>
        </w:rPr>
        <w:t>到2025年，全市战略性新兴产业规模力争达到3000亿元，年均增速25%以上。战略性新兴产业增加值增速高于规模以上工业增加值5个百分点左右。</w:t>
      </w:r>
    </w:p>
    <w:p>
      <w:pPr>
        <w:spacing w:line="560" w:lineRule="exact"/>
        <w:ind w:firstLine="640" w:firstLineChars="200"/>
        <w:contextualSpacing/>
        <w:rPr>
          <w:rFonts w:ascii="仿宋_GB2312" w:hAnsi="仿宋_GB2312" w:cs="仿宋_GB2312"/>
        </w:rPr>
      </w:pPr>
      <w:r>
        <w:rPr>
          <w:rFonts w:hint="eastAsia" w:ascii="仿宋" w:hAnsi="仿宋" w:eastAsia="仿宋"/>
        </w:rPr>
        <w:t>——</w:t>
      </w:r>
      <w:r>
        <w:rPr>
          <w:rFonts w:hint="eastAsia" w:ascii="仿宋" w:hAnsi="仿宋" w:eastAsia="仿宋"/>
          <w:bCs/>
        </w:rPr>
        <w:t>产业结构不断优化。</w:t>
      </w:r>
      <w:r>
        <w:rPr>
          <w:rFonts w:hint="eastAsia" w:ascii="仿宋_GB2312" w:hAnsi="仿宋_GB2312" w:cs="仿宋_GB2312"/>
        </w:rPr>
        <w:t>到2025年，全市战略性新兴产业增加值占规模以上工业比重达到35%，未来产业取得重大突破，电子信息、生物、新材料、新能源等产业成为拉动全市经济发展的新动能。</w:t>
      </w:r>
    </w:p>
    <w:p>
      <w:pPr>
        <w:pStyle w:val="4"/>
        <w:spacing w:line="560" w:lineRule="exact"/>
        <w:ind w:firstLine="579" w:firstLineChars="181"/>
        <w:contextualSpacing/>
        <w:rPr>
          <w:rFonts w:ascii="仿宋_GB2312" w:hAnsi="仿宋_GB2312" w:cs="仿宋_GB2312"/>
          <w:bCs/>
        </w:rPr>
      </w:pPr>
      <w:r>
        <w:rPr>
          <w:rFonts w:hint="eastAsia" w:ascii="仿宋" w:hAnsi="仿宋" w:eastAsia="仿宋"/>
        </w:rPr>
        <w:t>——</w:t>
      </w:r>
      <w:r>
        <w:rPr>
          <w:rFonts w:hint="eastAsia" w:ascii="仿宋" w:hAnsi="仿宋" w:eastAsia="仿宋"/>
          <w:bCs/>
        </w:rPr>
        <w:t>创新能力大幅提高。</w:t>
      </w:r>
      <w:r>
        <w:rPr>
          <w:rFonts w:hint="eastAsia" w:ascii="仿宋_GB2312" w:hAnsi="仿宋_GB2312" w:cs="仿宋_GB2312"/>
        </w:rPr>
        <w:t>到2025年，全市战略性新兴产业领域重点企业研发投入占主营业务收入比重达到5%。新建省级以上研发平台100个，集中攻克一批关键领域的产业共性技术和“卡脖子”技术，产业链整体效能显著提升，重大科技成果集成、转化能力大幅提高</w:t>
      </w:r>
      <w:r>
        <w:rPr>
          <w:rFonts w:hint="eastAsia" w:ascii="仿宋_GB2312" w:hAnsi="仿宋_GB2312" w:cs="仿宋_GB2312"/>
          <w:bCs/>
        </w:rPr>
        <w:t>，重点领域创新能力跻身国内前列。</w:t>
      </w:r>
    </w:p>
    <w:p>
      <w:pPr>
        <w:pStyle w:val="4"/>
        <w:spacing w:line="560" w:lineRule="exact"/>
        <w:ind w:firstLine="624" w:firstLineChars="195"/>
        <w:contextualSpacing/>
        <w:rPr>
          <w:rFonts w:ascii="仿宋_GB2312" w:hAnsi="仿宋_GB2312" w:cs="仿宋_GB2312"/>
          <w:bCs/>
        </w:rPr>
      </w:pPr>
      <w:r>
        <w:rPr>
          <w:rFonts w:hint="eastAsia" w:ascii="仿宋" w:hAnsi="仿宋" w:eastAsia="仿宋"/>
        </w:rPr>
        <w:t>——</w:t>
      </w:r>
      <w:r>
        <w:rPr>
          <w:rFonts w:hint="eastAsia" w:ascii="仿宋" w:hAnsi="仿宋" w:eastAsia="仿宋"/>
          <w:bCs/>
        </w:rPr>
        <w:t>龙头企业培育取得显著进展</w:t>
      </w:r>
      <w:r>
        <w:rPr>
          <w:rFonts w:hint="eastAsia" w:ascii="仿宋_GB2312" w:hAnsi="仿宋_GB2312" w:cs="仿宋_GB2312"/>
          <w:bCs/>
        </w:rPr>
        <w:t>。到2025年，全市培育形成</w:t>
      </w:r>
      <w:r>
        <w:rPr>
          <w:rFonts w:hint="eastAsia" w:ascii="仿宋_GB2312" w:hAnsi="仿宋_GB2312" w:cs="仿宋_GB2312"/>
          <w:lang w:val="en-US"/>
        </w:rPr>
        <w:t>3</w:t>
      </w:r>
      <w:r>
        <w:rPr>
          <w:rFonts w:hint="eastAsia" w:ascii="仿宋_GB2312" w:hAnsi="仿宋_GB2312" w:cs="仿宋_GB2312"/>
          <w:bCs/>
        </w:rPr>
        <w:t>家以上年主营业务收入超1</w:t>
      </w:r>
      <w:r>
        <w:rPr>
          <w:rFonts w:ascii="仿宋_GB2312" w:hAnsi="仿宋_GB2312" w:cs="仿宋_GB2312"/>
          <w:bCs/>
        </w:rPr>
        <w:t>00</w:t>
      </w:r>
      <w:r>
        <w:rPr>
          <w:rFonts w:hint="eastAsia" w:ascii="仿宋_GB2312" w:hAnsi="仿宋_GB2312" w:cs="仿宋_GB2312"/>
          <w:bCs/>
        </w:rPr>
        <w:t>亿元、</w:t>
      </w:r>
      <w:r>
        <w:rPr>
          <w:rFonts w:hint="eastAsia" w:ascii="仿宋_GB2312" w:hAnsi="仿宋_GB2312" w:cs="仿宋_GB2312"/>
          <w:lang w:val="en-US"/>
        </w:rPr>
        <w:t>10</w:t>
      </w:r>
      <w:r>
        <w:rPr>
          <w:rFonts w:hint="eastAsia" w:ascii="仿宋_GB2312" w:hAnsi="仿宋_GB2312" w:cs="仿宋_GB2312"/>
        </w:rPr>
        <w:t>家以上年主营业务收入超</w:t>
      </w:r>
      <w:r>
        <w:rPr>
          <w:rFonts w:hint="eastAsia" w:ascii="仿宋_GB2312" w:hAnsi="仿宋_GB2312" w:cs="仿宋_GB2312"/>
          <w:lang w:val="en-US"/>
        </w:rPr>
        <w:t>5</w:t>
      </w:r>
      <w:r>
        <w:rPr>
          <w:rFonts w:ascii="仿宋_GB2312" w:hAnsi="仿宋_GB2312" w:cs="仿宋_GB2312"/>
        </w:rPr>
        <w:t>0</w:t>
      </w:r>
      <w:r>
        <w:rPr>
          <w:rFonts w:hint="eastAsia" w:ascii="仿宋_GB2312" w:hAnsi="仿宋_GB2312" w:cs="仿宋_GB2312"/>
        </w:rPr>
        <w:t>亿元、</w:t>
      </w:r>
      <w:r>
        <w:rPr>
          <w:rFonts w:hint="eastAsia" w:ascii="仿宋_GB2312" w:hAnsi="仿宋_GB2312" w:cs="仿宋_GB2312"/>
          <w:lang w:val="en-US"/>
        </w:rPr>
        <w:t>5</w:t>
      </w:r>
      <w:r>
        <w:rPr>
          <w:rFonts w:hint="eastAsia" w:ascii="仿宋_GB2312" w:hAnsi="仿宋_GB2312" w:cs="仿宋_GB2312"/>
          <w:bCs/>
        </w:rPr>
        <w:t>0家以上年主营业务收入超10亿元、</w:t>
      </w:r>
      <w:r>
        <w:rPr>
          <w:rFonts w:hint="eastAsia" w:ascii="仿宋_GB2312" w:hAnsi="仿宋_GB2312" w:cs="仿宋_GB2312"/>
          <w:lang w:val="en-US"/>
        </w:rPr>
        <w:t>2</w:t>
      </w:r>
      <w:r>
        <w:rPr>
          <w:rFonts w:ascii="仿宋_GB2312" w:hAnsi="仿宋_GB2312" w:cs="仿宋_GB2312"/>
          <w:bCs/>
        </w:rPr>
        <w:t>00</w:t>
      </w:r>
      <w:r>
        <w:rPr>
          <w:rFonts w:hint="eastAsia" w:ascii="仿宋_GB2312" w:hAnsi="仿宋_GB2312" w:cs="仿宋_GB2312"/>
          <w:bCs/>
        </w:rPr>
        <w:t>家以上年主营业务收入超1亿元的战略性新兴产业企业集团，带动形成一批产业链较为完善、特色鲜明、市场竞争力较强的新兴产业集群。</w:t>
      </w:r>
    </w:p>
    <w:p>
      <w:pPr>
        <w:pStyle w:val="4"/>
        <w:spacing w:line="560" w:lineRule="exact"/>
        <w:ind w:firstLine="624" w:firstLineChars="195"/>
        <w:contextualSpacing/>
        <w:rPr>
          <w:rFonts w:ascii="仿宋_GB2312" w:hAnsi="仿宋_GB2312" w:cs="仿宋_GB2312"/>
          <w:bCs/>
        </w:rPr>
      </w:pPr>
      <w:r>
        <w:rPr>
          <w:rFonts w:hint="eastAsia" w:ascii="仿宋" w:hAnsi="仿宋" w:eastAsia="仿宋"/>
        </w:rPr>
        <w:t>——</w:t>
      </w:r>
      <w:r>
        <w:rPr>
          <w:rFonts w:hint="eastAsia" w:ascii="仿宋" w:hAnsi="仿宋" w:eastAsia="仿宋"/>
          <w:bCs/>
        </w:rPr>
        <w:t>产业集群培育取得明显成效。</w:t>
      </w:r>
      <w:r>
        <w:rPr>
          <w:rFonts w:hint="eastAsia" w:ascii="仿宋_GB2312" w:hAnsi="仿宋_GB2312" w:cs="仿宋_GB2312"/>
          <w:bCs/>
        </w:rPr>
        <w:t>到2025年，建成</w:t>
      </w:r>
      <w:r>
        <w:rPr>
          <w:rFonts w:hint="eastAsia" w:ascii="仿宋_GB2312" w:hAnsi="仿宋_GB2312" w:cs="仿宋_GB2312"/>
          <w:lang w:val="en-US"/>
        </w:rPr>
        <w:t>9</w:t>
      </w:r>
      <w:r>
        <w:rPr>
          <w:rFonts w:hint="eastAsia" w:ascii="仿宋_GB2312" w:hAnsi="仿宋_GB2312" w:cs="仿宋_GB2312"/>
          <w:bCs/>
        </w:rPr>
        <w:t>个左右战略性新兴产业和未来产业园区，成为省内战略性新兴产业和未来产业发展新高地。</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5582"/>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5000" w:type="pct"/>
            <w:gridSpan w:val="3"/>
            <w:vAlign w:val="center"/>
          </w:tcPr>
          <w:p>
            <w:pPr>
              <w:pStyle w:val="4"/>
              <w:spacing w:line="400" w:lineRule="exact"/>
              <w:ind w:left="0" w:firstLine="0" w:firstLineChars="0"/>
              <w:contextualSpacing/>
              <w:jc w:val="center"/>
              <w:rPr>
                <w:rFonts w:ascii="仿宋" w:hAnsi="仿宋" w:eastAsia="仿宋"/>
                <w:bCs/>
              </w:rPr>
            </w:pPr>
            <w:r>
              <w:rPr>
                <w:rFonts w:hint="eastAsia" w:ascii="黑体" w:hAnsi="黑体" w:eastAsia="黑体" w:cs="黑体"/>
                <w:bCs/>
                <w:sz w:val="28"/>
                <w:szCs w:val="28"/>
              </w:rPr>
              <w:t>南阳市“十四五”战略性新兴产业发展目标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0" w:type="pct"/>
            <w:gridSpan w:val="2"/>
          </w:tcPr>
          <w:p>
            <w:pPr>
              <w:pStyle w:val="4"/>
              <w:spacing w:line="400" w:lineRule="exact"/>
              <w:ind w:firstLine="240"/>
              <w:contextualSpacing/>
              <w:jc w:val="center"/>
              <w:rPr>
                <w:rFonts w:ascii="黑体" w:hAnsi="黑体" w:eastAsia="黑体" w:cs="黑体"/>
                <w:sz w:val="24"/>
                <w:szCs w:val="24"/>
              </w:rPr>
            </w:pPr>
            <w:r>
              <w:rPr>
                <w:rFonts w:hint="eastAsia" w:ascii="黑体" w:hAnsi="黑体" w:eastAsia="黑体" w:cs="黑体"/>
                <w:sz w:val="24"/>
                <w:szCs w:val="24"/>
              </w:rPr>
              <w:t>指</w:t>
            </w:r>
            <w:r>
              <w:rPr>
                <w:rFonts w:hint="eastAsia" w:ascii="黑体" w:hAnsi="黑体" w:eastAsia="黑体" w:cs="黑体"/>
                <w:sz w:val="24"/>
                <w:szCs w:val="24"/>
                <w:lang w:val="en-US"/>
              </w:rPr>
              <w:t xml:space="preserve"> </w:t>
            </w:r>
            <w:r>
              <w:rPr>
                <w:rFonts w:hint="eastAsia" w:ascii="黑体" w:hAnsi="黑体" w:eastAsia="黑体" w:cs="黑体"/>
                <w:sz w:val="24"/>
                <w:szCs w:val="24"/>
              </w:rPr>
              <w:t>标</w:t>
            </w:r>
          </w:p>
        </w:tc>
        <w:tc>
          <w:tcPr>
            <w:tcW w:w="820" w:type="pct"/>
          </w:tcPr>
          <w:p>
            <w:pPr>
              <w:pStyle w:val="4"/>
              <w:spacing w:line="400" w:lineRule="exact"/>
              <w:ind w:firstLine="240"/>
              <w:contextualSpacing/>
              <w:jc w:val="center"/>
              <w:rPr>
                <w:rFonts w:ascii="黑体" w:hAnsi="黑体" w:eastAsia="黑体" w:cs="黑体"/>
                <w:sz w:val="24"/>
                <w:szCs w:val="24"/>
              </w:rPr>
            </w:pPr>
            <w:r>
              <w:rPr>
                <w:rFonts w:hint="eastAsia" w:ascii="黑体" w:hAnsi="黑体" w:eastAsia="黑体" w:cs="黑体"/>
                <w:sz w:val="24"/>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restart"/>
            <w:vAlign w:val="center"/>
          </w:tcPr>
          <w:p>
            <w:pPr>
              <w:pStyle w:val="4"/>
              <w:spacing w:line="400" w:lineRule="exact"/>
              <w:ind w:firstLine="240"/>
              <w:contextualSpacing/>
              <w:jc w:val="center"/>
              <w:rPr>
                <w:rFonts w:ascii="仿宋_GB2312" w:hAnsi="仿宋_GB2312" w:cs="仿宋_GB2312"/>
                <w:bCs/>
                <w:sz w:val="24"/>
                <w:szCs w:val="24"/>
              </w:rPr>
            </w:pPr>
            <w:r>
              <w:rPr>
                <w:rFonts w:hint="eastAsia" w:ascii="仿宋_GB2312" w:hAnsi="仿宋_GB2312" w:cs="仿宋_GB2312"/>
                <w:bCs/>
                <w:sz w:val="24"/>
                <w:szCs w:val="24"/>
              </w:rPr>
              <w:t>产业规模</w:t>
            </w:r>
          </w:p>
        </w:tc>
        <w:tc>
          <w:tcPr>
            <w:tcW w:w="3119" w:type="pct"/>
          </w:tcPr>
          <w:p>
            <w:pPr>
              <w:pStyle w:val="4"/>
              <w:spacing w:line="400" w:lineRule="exact"/>
              <w:ind w:firstLine="240"/>
              <w:contextualSpacing/>
              <w:jc w:val="center"/>
              <w:rPr>
                <w:rFonts w:ascii="仿宋_GB2312" w:hAnsi="仿宋_GB2312" w:cs="仿宋_GB2312"/>
                <w:bCs/>
                <w:sz w:val="24"/>
                <w:szCs w:val="24"/>
              </w:rPr>
            </w:pPr>
            <w:r>
              <w:rPr>
                <w:rFonts w:hint="eastAsia" w:ascii="仿宋_GB2312" w:hAnsi="仿宋_GB2312" w:cs="仿宋_GB2312"/>
                <w:bCs/>
                <w:sz w:val="24"/>
                <w:szCs w:val="24"/>
              </w:rPr>
              <w:t>战略性新兴产业产值（亿元）</w:t>
            </w:r>
          </w:p>
        </w:tc>
        <w:tc>
          <w:tcPr>
            <w:tcW w:w="820" w:type="pct"/>
          </w:tcPr>
          <w:p>
            <w:pPr>
              <w:pStyle w:val="4"/>
              <w:spacing w:line="400" w:lineRule="exact"/>
              <w:ind w:firstLine="240"/>
              <w:contextualSpacing/>
              <w:jc w:val="center"/>
              <w:rPr>
                <w:rFonts w:ascii="仿宋_GB2312" w:hAnsi="仿宋_GB2312" w:cs="仿宋_GB2312"/>
                <w:bCs/>
                <w:sz w:val="24"/>
                <w:szCs w:val="24"/>
              </w:rPr>
            </w:pPr>
            <w:r>
              <w:rPr>
                <w:rFonts w:hint="eastAsia" w:ascii="仿宋_GB2312" w:hAnsi="仿宋_GB2312" w:cs="仿宋_GB2312"/>
                <w:bCs/>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vAlign w:val="center"/>
          </w:tcPr>
          <w:p>
            <w:pPr>
              <w:pStyle w:val="4"/>
              <w:spacing w:line="400" w:lineRule="exact"/>
              <w:ind w:firstLine="240"/>
              <w:contextualSpacing/>
              <w:jc w:val="center"/>
              <w:rPr>
                <w:rFonts w:ascii="仿宋_GB2312" w:hAnsi="仿宋_GB2312" w:cs="仿宋_GB2312"/>
                <w:bCs/>
                <w:sz w:val="24"/>
                <w:szCs w:val="24"/>
              </w:rPr>
            </w:pPr>
          </w:p>
        </w:tc>
        <w:tc>
          <w:tcPr>
            <w:tcW w:w="3119" w:type="pct"/>
          </w:tcPr>
          <w:p>
            <w:pPr>
              <w:pStyle w:val="4"/>
              <w:spacing w:line="400" w:lineRule="exact"/>
              <w:ind w:firstLine="240"/>
              <w:contextualSpacing/>
              <w:jc w:val="center"/>
              <w:rPr>
                <w:rFonts w:ascii="仿宋_GB2312" w:hAnsi="仿宋_GB2312" w:cs="仿宋_GB2312"/>
                <w:bCs/>
                <w:sz w:val="24"/>
                <w:szCs w:val="24"/>
              </w:rPr>
            </w:pPr>
            <w:r>
              <w:rPr>
                <w:rFonts w:hint="eastAsia" w:ascii="仿宋_GB2312" w:hAnsi="仿宋_GB2312" w:cs="仿宋_GB2312"/>
                <w:bCs/>
                <w:sz w:val="24"/>
                <w:szCs w:val="24"/>
              </w:rPr>
              <w:t>战略性新兴产业年均增速（%）</w:t>
            </w:r>
          </w:p>
        </w:tc>
        <w:tc>
          <w:tcPr>
            <w:tcW w:w="820" w:type="pct"/>
          </w:tcPr>
          <w:p>
            <w:pPr>
              <w:pStyle w:val="4"/>
              <w:spacing w:line="400" w:lineRule="exact"/>
              <w:ind w:firstLine="240"/>
              <w:contextualSpacing/>
              <w:jc w:val="center"/>
              <w:rPr>
                <w:rFonts w:ascii="仿宋_GB2312" w:hAnsi="仿宋_GB2312" w:cs="仿宋_GB2312"/>
                <w:bCs/>
                <w:sz w:val="24"/>
                <w:szCs w:val="24"/>
              </w:rPr>
            </w:pPr>
            <w:r>
              <w:rPr>
                <w:rFonts w:hint="eastAsia" w:ascii="仿宋_GB2312" w:hAnsi="仿宋_GB2312" w:cs="仿宋_GB2312"/>
                <w:bCs/>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vAlign w:val="center"/>
          </w:tcPr>
          <w:p>
            <w:pPr>
              <w:pStyle w:val="4"/>
              <w:spacing w:line="400" w:lineRule="exact"/>
              <w:ind w:firstLine="240"/>
              <w:contextualSpacing/>
              <w:jc w:val="center"/>
              <w:rPr>
                <w:rFonts w:ascii="仿宋_GB2312" w:hAnsi="仿宋_GB2312" w:cs="仿宋_GB2312"/>
                <w:bCs/>
                <w:sz w:val="24"/>
                <w:szCs w:val="24"/>
              </w:rPr>
            </w:pPr>
          </w:p>
        </w:tc>
        <w:tc>
          <w:tcPr>
            <w:tcW w:w="3119" w:type="pct"/>
          </w:tcPr>
          <w:p>
            <w:pPr>
              <w:pStyle w:val="4"/>
              <w:spacing w:line="400" w:lineRule="exact"/>
              <w:ind w:firstLine="240"/>
              <w:contextualSpacing/>
              <w:jc w:val="center"/>
              <w:rPr>
                <w:rFonts w:ascii="仿宋_GB2312" w:hAnsi="仿宋_GB2312" w:cs="仿宋_GB2312"/>
                <w:bCs/>
                <w:sz w:val="24"/>
                <w:szCs w:val="24"/>
              </w:rPr>
            </w:pPr>
            <w:r>
              <w:rPr>
                <w:rFonts w:hint="eastAsia" w:ascii="仿宋_GB2312" w:hAnsi="仿宋_GB2312" w:cs="仿宋_GB2312"/>
                <w:bCs/>
                <w:sz w:val="24"/>
                <w:szCs w:val="24"/>
              </w:rPr>
              <w:t>战略性新兴产业增加值增速高于规模以上工业增加值（%）</w:t>
            </w:r>
          </w:p>
        </w:tc>
        <w:tc>
          <w:tcPr>
            <w:tcW w:w="820" w:type="pct"/>
          </w:tcPr>
          <w:p>
            <w:pPr>
              <w:pStyle w:val="4"/>
              <w:spacing w:line="400" w:lineRule="exact"/>
              <w:ind w:firstLine="240"/>
              <w:contextualSpacing/>
              <w:jc w:val="center"/>
              <w:rPr>
                <w:rFonts w:ascii="仿宋_GB2312" w:hAnsi="仿宋_GB2312" w:cs="仿宋_GB2312"/>
                <w:bCs/>
                <w:sz w:val="24"/>
                <w:szCs w:val="24"/>
              </w:rPr>
            </w:pPr>
            <w:r>
              <w:rPr>
                <w:rFonts w:hint="eastAsia" w:ascii="仿宋_GB2312" w:hAnsi="仿宋_GB2312" w:cs="仿宋_GB2312"/>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Align w:val="center"/>
          </w:tcPr>
          <w:p>
            <w:pPr>
              <w:pStyle w:val="4"/>
              <w:spacing w:line="400" w:lineRule="exact"/>
              <w:ind w:firstLine="240"/>
              <w:contextualSpacing/>
              <w:jc w:val="center"/>
              <w:rPr>
                <w:rFonts w:ascii="仿宋_GB2312" w:hAnsi="仿宋_GB2312" w:cs="仿宋_GB2312"/>
                <w:bCs/>
                <w:sz w:val="24"/>
                <w:szCs w:val="24"/>
              </w:rPr>
            </w:pPr>
            <w:r>
              <w:rPr>
                <w:rFonts w:hint="eastAsia" w:ascii="仿宋_GB2312" w:hAnsi="仿宋_GB2312" w:cs="仿宋_GB2312"/>
                <w:bCs/>
                <w:sz w:val="24"/>
                <w:szCs w:val="24"/>
              </w:rPr>
              <w:t>产业结构</w:t>
            </w:r>
          </w:p>
        </w:tc>
        <w:tc>
          <w:tcPr>
            <w:tcW w:w="3119" w:type="pct"/>
          </w:tcPr>
          <w:p>
            <w:pPr>
              <w:pStyle w:val="4"/>
              <w:spacing w:line="400" w:lineRule="exact"/>
              <w:ind w:firstLine="240"/>
              <w:contextualSpacing/>
              <w:jc w:val="center"/>
              <w:rPr>
                <w:rFonts w:ascii="仿宋_GB2312" w:hAnsi="仿宋_GB2312" w:cs="仿宋_GB2312"/>
                <w:bCs/>
                <w:sz w:val="24"/>
                <w:szCs w:val="24"/>
              </w:rPr>
            </w:pPr>
            <w:r>
              <w:rPr>
                <w:rFonts w:hint="eastAsia" w:ascii="仿宋_GB2312" w:hAnsi="仿宋_GB2312" w:cs="仿宋_GB2312"/>
                <w:bCs/>
                <w:sz w:val="24"/>
                <w:szCs w:val="24"/>
              </w:rPr>
              <w:t>战略性新兴产业增加值占规模以上工业比重（%）</w:t>
            </w:r>
          </w:p>
        </w:tc>
        <w:tc>
          <w:tcPr>
            <w:tcW w:w="820" w:type="pct"/>
          </w:tcPr>
          <w:p>
            <w:pPr>
              <w:pStyle w:val="4"/>
              <w:spacing w:line="400" w:lineRule="exact"/>
              <w:ind w:firstLine="240"/>
              <w:contextualSpacing/>
              <w:jc w:val="center"/>
              <w:rPr>
                <w:rFonts w:ascii="仿宋_GB2312" w:hAnsi="仿宋_GB2312" w:cs="仿宋_GB2312"/>
                <w:bCs/>
                <w:sz w:val="24"/>
                <w:szCs w:val="24"/>
              </w:rPr>
            </w:pPr>
            <w:r>
              <w:rPr>
                <w:rFonts w:hint="eastAsia" w:ascii="仿宋_GB2312" w:hAnsi="仿宋_GB2312" w:cs="仿宋_GB2312"/>
                <w:bCs/>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restart"/>
            <w:vAlign w:val="center"/>
          </w:tcPr>
          <w:p>
            <w:pPr>
              <w:pStyle w:val="4"/>
              <w:spacing w:line="400" w:lineRule="exact"/>
              <w:ind w:firstLine="240"/>
              <w:contextualSpacing/>
              <w:jc w:val="center"/>
              <w:rPr>
                <w:rFonts w:ascii="仿宋_GB2312" w:hAnsi="仿宋_GB2312" w:cs="仿宋_GB2312"/>
                <w:bCs/>
                <w:sz w:val="24"/>
                <w:szCs w:val="24"/>
              </w:rPr>
            </w:pPr>
            <w:r>
              <w:rPr>
                <w:rFonts w:hint="eastAsia" w:ascii="仿宋_GB2312" w:hAnsi="仿宋_GB2312" w:cs="仿宋_GB2312"/>
                <w:bCs/>
                <w:sz w:val="24"/>
                <w:szCs w:val="24"/>
              </w:rPr>
              <w:t>创新能力</w:t>
            </w:r>
          </w:p>
        </w:tc>
        <w:tc>
          <w:tcPr>
            <w:tcW w:w="3119" w:type="pct"/>
          </w:tcPr>
          <w:p>
            <w:pPr>
              <w:pStyle w:val="4"/>
              <w:spacing w:line="400" w:lineRule="exact"/>
              <w:ind w:firstLine="240"/>
              <w:contextualSpacing/>
              <w:jc w:val="center"/>
              <w:rPr>
                <w:rFonts w:ascii="仿宋_GB2312" w:hAnsi="仿宋_GB2312" w:cs="仿宋_GB2312"/>
                <w:bCs/>
                <w:sz w:val="24"/>
                <w:szCs w:val="24"/>
              </w:rPr>
            </w:pPr>
            <w:r>
              <w:rPr>
                <w:rFonts w:hint="eastAsia" w:ascii="仿宋_GB2312" w:hAnsi="仿宋_GB2312" w:cs="仿宋_GB2312"/>
                <w:bCs/>
                <w:sz w:val="24"/>
                <w:szCs w:val="24"/>
              </w:rPr>
              <w:t>战略性新兴产业领域重点企业研究开发投入占销售收入比重（%）</w:t>
            </w:r>
          </w:p>
        </w:tc>
        <w:tc>
          <w:tcPr>
            <w:tcW w:w="820" w:type="pct"/>
          </w:tcPr>
          <w:p>
            <w:pPr>
              <w:pStyle w:val="4"/>
              <w:spacing w:line="400" w:lineRule="exact"/>
              <w:ind w:firstLine="240"/>
              <w:contextualSpacing/>
              <w:jc w:val="center"/>
              <w:rPr>
                <w:rFonts w:ascii="仿宋_GB2312" w:hAnsi="仿宋_GB2312" w:cs="仿宋_GB2312"/>
                <w:bCs/>
                <w:sz w:val="24"/>
                <w:szCs w:val="24"/>
              </w:rPr>
            </w:pPr>
            <w:r>
              <w:rPr>
                <w:rFonts w:hint="eastAsia" w:ascii="仿宋_GB2312" w:hAnsi="仿宋_GB2312" w:cs="仿宋_GB2312"/>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vAlign w:val="center"/>
          </w:tcPr>
          <w:p>
            <w:pPr>
              <w:pStyle w:val="4"/>
              <w:spacing w:line="400" w:lineRule="exact"/>
              <w:ind w:firstLine="240"/>
              <w:contextualSpacing/>
              <w:jc w:val="center"/>
              <w:rPr>
                <w:rFonts w:ascii="仿宋_GB2312" w:hAnsi="仿宋_GB2312" w:cs="仿宋_GB2312"/>
                <w:bCs/>
                <w:sz w:val="24"/>
                <w:szCs w:val="24"/>
              </w:rPr>
            </w:pPr>
          </w:p>
        </w:tc>
        <w:tc>
          <w:tcPr>
            <w:tcW w:w="3119" w:type="pct"/>
          </w:tcPr>
          <w:p>
            <w:pPr>
              <w:pStyle w:val="4"/>
              <w:spacing w:line="400" w:lineRule="exact"/>
              <w:ind w:firstLine="240"/>
              <w:contextualSpacing/>
              <w:jc w:val="center"/>
              <w:rPr>
                <w:rFonts w:ascii="仿宋_GB2312" w:hAnsi="仿宋_GB2312" w:cs="仿宋_GB2312"/>
                <w:bCs/>
                <w:sz w:val="24"/>
                <w:szCs w:val="24"/>
              </w:rPr>
            </w:pPr>
            <w:r>
              <w:rPr>
                <w:rFonts w:hint="eastAsia" w:ascii="仿宋_GB2312" w:hAnsi="仿宋_GB2312" w:cs="仿宋_GB2312"/>
                <w:bCs/>
                <w:sz w:val="24"/>
                <w:szCs w:val="24"/>
              </w:rPr>
              <w:t>新建省级以上研发平台（个）</w:t>
            </w:r>
          </w:p>
        </w:tc>
        <w:tc>
          <w:tcPr>
            <w:tcW w:w="820" w:type="pct"/>
          </w:tcPr>
          <w:p>
            <w:pPr>
              <w:pStyle w:val="4"/>
              <w:spacing w:line="400" w:lineRule="exact"/>
              <w:ind w:firstLine="240"/>
              <w:contextualSpacing/>
              <w:jc w:val="center"/>
              <w:rPr>
                <w:rFonts w:ascii="仿宋_GB2312" w:hAnsi="仿宋_GB2312" w:cs="仿宋_GB2312"/>
                <w:bCs/>
                <w:sz w:val="24"/>
                <w:szCs w:val="24"/>
              </w:rPr>
            </w:pPr>
            <w:r>
              <w:rPr>
                <w:rFonts w:hint="eastAsia" w:ascii="仿宋_GB2312" w:hAnsi="仿宋_GB2312" w:cs="仿宋_GB2312"/>
                <w:bCs/>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vAlign w:val="center"/>
          </w:tcPr>
          <w:p>
            <w:pPr>
              <w:pStyle w:val="4"/>
              <w:spacing w:line="400" w:lineRule="exact"/>
              <w:ind w:firstLine="240"/>
              <w:contextualSpacing/>
              <w:jc w:val="center"/>
              <w:rPr>
                <w:rFonts w:ascii="仿宋_GB2312" w:hAnsi="仿宋_GB2312" w:cs="仿宋_GB2312"/>
                <w:bCs/>
                <w:sz w:val="24"/>
                <w:szCs w:val="24"/>
              </w:rPr>
            </w:pPr>
          </w:p>
        </w:tc>
        <w:tc>
          <w:tcPr>
            <w:tcW w:w="3119" w:type="pct"/>
          </w:tcPr>
          <w:p>
            <w:pPr>
              <w:pStyle w:val="4"/>
              <w:spacing w:line="400" w:lineRule="exact"/>
              <w:ind w:firstLine="240"/>
              <w:contextualSpacing/>
              <w:jc w:val="center"/>
              <w:rPr>
                <w:rFonts w:ascii="仿宋_GB2312" w:hAnsi="仿宋_GB2312" w:cs="仿宋_GB2312"/>
                <w:bCs/>
                <w:sz w:val="24"/>
                <w:szCs w:val="24"/>
              </w:rPr>
            </w:pPr>
            <w:r>
              <w:rPr>
                <w:rFonts w:hint="eastAsia" w:ascii="仿宋_GB2312" w:hAnsi="仿宋_GB2312" w:cs="仿宋_GB2312"/>
                <w:bCs/>
                <w:sz w:val="24"/>
                <w:szCs w:val="24"/>
              </w:rPr>
              <w:t>其中：国家级（个）</w:t>
            </w:r>
          </w:p>
        </w:tc>
        <w:tc>
          <w:tcPr>
            <w:tcW w:w="820" w:type="pct"/>
          </w:tcPr>
          <w:p>
            <w:pPr>
              <w:pStyle w:val="4"/>
              <w:spacing w:line="400" w:lineRule="exact"/>
              <w:ind w:firstLine="240"/>
              <w:contextualSpacing/>
              <w:jc w:val="center"/>
              <w:rPr>
                <w:rFonts w:ascii="仿宋_GB2312" w:hAnsi="仿宋_GB2312" w:cs="仿宋_GB2312"/>
                <w:bCs/>
                <w:sz w:val="24"/>
                <w:szCs w:val="24"/>
              </w:rPr>
            </w:pPr>
            <w:r>
              <w:rPr>
                <w:rFonts w:hint="eastAsia" w:ascii="仿宋_GB2312" w:hAnsi="仿宋_GB2312" w:cs="仿宋_GB2312"/>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vAlign w:val="center"/>
          </w:tcPr>
          <w:p>
            <w:pPr>
              <w:pStyle w:val="4"/>
              <w:spacing w:line="400" w:lineRule="exact"/>
              <w:ind w:firstLine="240"/>
              <w:contextualSpacing/>
              <w:jc w:val="center"/>
              <w:rPr>
                <w:rFonts w:ascii="仿宋_GB2312" w:hAnsi="仿宋_GB2312" w:cs="仿宋_GB2312"/>
                <w:bCs/>
                <w:sz w:val="24"/>
                <w:szCs w:val="24"/>
              </w:rPr>
            </w:pPr>
          </w:p>
        </w:tc>
        <w:tc>
          <w:tcPr>
            <w:tcW w:w="3119" w:type="pct"/>
          </w:tcPr>
          <w:p>
            <w:pPr>
              <w:pStyle w:val="4"/>
              <w:spacing w:line="400" w:lineRule="exact"/>
              <w:ind w:firstLine="240"/>
              <w:contextualSpacing/>
              <w:jc w:val="center"/>
              <w:rPr>
                <w:rFonts w:ascii="仿宋_GB2312" w:hAnsi="仿宋_GB2312" w:cs="仿宋_GB2312"/>
                <w:bCs/>
                <w:sz w:val="24"/>
                <w:szCs w:val="24"/>
              </w:rPr>
            </w:pPr>
            <w:r>
              <w:rPr>
                <w:rFonts w:hint="eastAsia" w:ascii="仿宋_GB2312" w:hAnsi="仿宋_GB2312" w:cs="仿宋_GB2312"/>
                <w:bCs/>
                <w:sz w:val="24"/>
                <w:szCs w:val="24"/>
              </w:rPr>
              <w:t>每万人发明专利拥有量（件）</w:t>
            </w:r>
          </w:p>
        </w:tc>
        <w:tc>
          <w:tcPr>
            <w:tcW w:w="820" w:type="pct"/>
          </w:tcPr>
          <w:p>
            <w:pPr>
              <w:pStyle w:val="4"/>
              <w:spacing w:line="400" w:lineRule="exact"/>
              <w:ind w:firstLine="240"/>
              <w:contextualSpacing/>
              <w:jc w:val="center"/>
              <w:rPr>
                <w:rFonts w:ascii="仿宋_GB2312" w:hAnsi="仿宋_GB2312" w:cs="仿宋_GB2312"/>
                <w:bCs/>
                <w:sz w:val="24"/>
                <w:szCs w:val="24"/>
              </w:rPr>
            </w:pPr>
            <w:r>
              <w:rPr>
                <w:rFonts w:hint="eastAsia" w:ascii="仿宋_GB2312" w:hAnsi="仿宋_GB2312" w:cs="仿宋_GB2312"/>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restart"/>
            <w:vAlign w:val="center"/>
          </w:tcPr>
          <w:p>
            <w:pPr>
              <w:pStyle w:val="4"/>
              <w:spacing w:line="400" w:lineRule="exact"/>
              <w:ind w:firstLine="240"/>
              <w:contextualSpacing/>
              <w:jc w:val="center"/>
              <w:rPr>
                <w:rFonts w:ascii="仿宋_GB2312" w:hAnsi="仿宋_GB2312" w:cs="仿宋_GB2312"/>
                <w:bCs/>
                <w:sz w:val="24"/>
                <w:szCs w:val="24"/>
              </w:rPr>
            </w:pPr>
            <w:r>
              <w:rPr>
                <w:rFonts w:hint="eastAsia" w:ascii="仿宋_GB2312" w:hAnsi="仿宋_GB2312" w:cs="仿宋_GB2312"/>
                <w:bCs/>
                <w:sz w:val="24"/>
                <w:szCs w:val="24"/>
              </w:rPr>
              <w:t>企业实力</w:t>
            </w:r>
          </w:p>
        </w:tc>
        <w:tc>
          <w:tcPr>
            <w:tcW w:w="3119" w:type="pct"/>
          </w:tcPr>
          <w:p>
            <w:pPr>
              <w:pStyle w:val="4"/>
              <w:spacing w:line="400" w:lineRule="exact"/>
              <w:ind w:firstLine="240"/>
              <w:contextualSpacing/>
              <w:jc w:val="center"/>
              <w:rPr>
                <w:rFonts w:ascii="仿宋_GB2312" w:hAnsi="仿宋_GB2312" w:cs="仿宋_GB2312"/>
                <w:bCs/>
                <w:sz w:val="24"/>
                <w:szCs w:val="24"/>
              </w:rPr>
            </w:pPr>
            <w:r>
              <w:rPr>
                <w:rFonts w:hint="eastAsia" w:ascii="仿宋_GB2312" w:hAnsi="仿宋_GB2312" w:cs="仿宋_GB2312"/>
                <w:bCs/>
                <w:sz w:val="24"/>
                <w:szCs w:val="24"/>
              </w:rPr>
              <w:t>年主营业务收入超百亿企业（家）</w:t>
            </w:r>
          </w:p>
        </w:tc>
        <w:tc>
          <w:tcPr>
            <w:tcW w:w="820" w:type="pct"/>
          </w:tcPr>
          <w:p>
            <w:pPr>
              <w:pStyle w:val="4"/>
              <w:spacing w:line="400" w:lineRule="exact"/>
              <w:ind w:firstLine="240"/>
              <w:contextualSpacing/>
              <w:jc w:val="center"/>
              <w:rPr>
                <w:rFonts w:ascii="仿宋_GB2312" w:hAnsi="仿宋_GB2312" w:cs="仿宋_GB2312"/>
                <w:bCs/>
                <w:sz w:val="24"/>
                <w:szCs w:val="24"/>
                <w:lang w:val="en-US"/>
              </w:rPr>
            </w:pPr>
            <w:r>
              <w:rPr>
                <w:rFonts w:hint="eastAsia" w:ascii="仿宋_GB2312" w:hAnsi="仿宋_GB2312" w:cs="仿宋_GB2312"/>
                <w:sz w:val="24"/>
                <w:szCs w:val="24"/>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vAlign w:val="center"/>
          </w:tcPr>
          <w:p>
            <w:pPr>
              <w:pStyle w:val="4"/>
              <w:spacing w:line="400" w:lineRule="exact"/>
              <w:ind w:firstLine="240"/>
              <w:contextualSpacing/>
              <w:jc w:val="center"/>
              <w:rPr>
                <w:rFonts w:ascii="仿宋_GB2312" w:hAnsi="仿宋_GB2312" w:cs="仿宋_GB2312"/>
                <w:bCs/>
                <w:sz w:val="24"/>
                <w:szCs w:val="24"/>
              </w:rPr>
            </w:pPr>
          </w:p>
        </w:tc>
        <w:tc>
          <w:tcPr>
            <w:tcW w:w="3119" w:type="pct"/>
          </w:tcPr>
          <w:p>
            <w:pPr>
              <w:pStyle w:val="4"/>
              <w:spacing w:line="400" w:lineRule="exact"/>
              <w:ind w:firstLine="240"/>
              <w:contextualSpacing/>
              <w:jc w:val="center"/>
              <w:rPr>
                <w:rFonts w:ascii="仿宋_GB2312" w:hAnsi="仿宋_GB2312" w:cs="仿宋_GB2312"/>
                <w:bCs/>
                <w:sz w:val="24"/>
                <w:szCs w:val="24"/>
              </w:rPr>
            </w:pPr>
            <w:r>
              <w:rPr>
                <w:rFonts w:hint="eastAsia" w:ascii="仿宋_GB2312" w:hAnsi="仿宋_GB2312" w:cs="仿宋_GB2312"/>
                <w:bCs/>
                <w:sz w:val="24"/>
                <w:szCs w:val="24"/>
              </w:rPr>
              <w:t>年主营业务收入超五十亿企业（家）</w:t>
            </w:r>
          </w:p>
        </w:tc>
        <w:tc>
          <w:tcPr>
            <w:tcW w:w="820" w:type="pct"/>
          </w:tcPr>
          <w:p>
            <w:pPr>
              <w:pStyle w:val="4"/>
              <w:spacing w:line="400" w:lineRule="exact"/>
              <w:ind w:firstLine="240"/>
              <w:contextualSpacing/>
              <w:jc w:val="center"/>
              <w:rPr>
                <w:rFonts w:ascii="仿宋_GB2312" w:hAnsi="仿宋_GB2312" w:cs="仿宋_GB2312"/>
                <w:bCs/>
                <w:sz w:val="24"/>
                <w:szCs w:val="24"/>
              </w:rPr>
            </w:pPr>
            <w:r>
              <w:rPr>
                <w:rFonts w:hint="eastAsia" w:ascii="仿宋_GB2312" w:hAnsi="仿宋_GB2312" w:cs="仿宋_GB2312"/>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vAlign w:val="center"/>
          </w:tcPr>
          <w:p>
            <w:pPr>
              <w:pStyle w:val="4"/>
              <w:spacing w:line="400" w:lineRule="exact"/>
              <w:ind w:firstLine="240"/>
              <w:contextualSpacing/>
              <w:jc w:val="center"/>
              <w:rPr>
                <w:rFonts w:ascii="仿宋_GB2312" w:hAnsi="仿宋_GB2312" w:cs="仿宋_GB2312"/>
                <w:bCs/>
                <w:sz w:val="24"/>
                <w:szCs w:val="24"/>
              </w:rPr>
            </w:pPr>
          </w:p>
        </w:tc>
        <w:tc>
          <w:tcPr>
            <w:tcW w:w="3119" w:type="pct"/>
          </w:tcPr>
          <w:p>
            <w:pPr>
              <w:pStyle w:val="4"/>
              <w:spacing w:line="400" w:lineRule="exact"/>
              <w:ind w:firstLine="240"/>
              <w:contextualSpacing/>
              <w:jc w:val="center"/>
              <w:rPr>
                <w:rFonts w:ascii="仿宋_GB2312" w:hAnsi="仿宋_GB2312" w:cs="仿宋_GB2312"/>
                <w:bCs/>
                <w:sz w:val="24"/>
                <w:szCs w:val="24"/>
              </w:rPr>
            </w:pPr>
            <w:r>
              <w:rPr>
                <w:rFonts w:hint="eastAsia" w:ascii="仿宋_GB2312" w:hAnsi="仿宋_GB2312" w:cs="仿宋_GB2312"/>
                <w:sz w:val="24"/>
                <w:szCs w:val="24"/>
              </w:rPr>
              <w:t>年主营业务收入超十亿企业（家）</w:t>
            </w:r>
          </w:p>
        </w:tc>
        <w:tc>
          <w:tcPr>
            <w:tcW w:w="820" w:type="pct"/>
          </w:tcPr>
          <w:p>
            <w:pPr>
              <w:pStyle w:val="4"/>
              <w:spacing w:line="400" w:lineRule="exact"/>
              <w:ind w:firstLine="240"/>
              <w:contextualSpacing/>
              <w:jc w:val="center"/>
              <w:rPr>
                <w:rFonts w:ascii="仿宋_GB2312" w:hAnsi="仿宋_GB2312" w:cs="仿宋_GB2312"/>
                <w:bCs/>
                <w:sz w:val="24"/>
                <w:szCs w:val="24"/>
                <w:lang w:val="en-US"/>
              </w:rPr>
            </w:pPr>
            <w:r>
              <w:rPr>
                <w:rFonts w:hint="eastAsia" w:ascii="仿宋_GB2312" w:hAnsi="仿宋_GB2312" w:cs="仿宋_GB2312"/>
                <w:sz w:val="24"/>
                <w:szCs w:val="24"/>
                <w:lang w:val="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pct"/>
            <w:vMerge w:val="continue"/>
            <w:vAlign w:val="center"/>
          </w:tcPr>
          <w:p>
            <w:pPr>
              <w:pStyle w:val="4"/>
              <w:spacing w:line="400" w:lineRule="exact"/>
              <w:ind w:firstLine="240"/>
              <w:contextualSpacing/>
              <w:jc w:val="center"/>
              <w:rPr>
                <w:rFonts w:ascii="仿宋_GB2312" w:hAnsi="仿宋_GB2312" w:cs="仿宋_GB2312"/>
                <w:bCs/>
                <w:sz w:val="24"/>
                <w:szCs w:val="24"/>
              </w:rPr>
            </w:pPr>
          </w:p>
        </w:tc>
        <w:tc>
          <w:tcPr>
            <w:tcW w:w="3119" w:type="pct"/>
          </w:tcPr>
          <w:p>
            <w:pPr>
              <w:pStyle w:val="4"/>
              <w:spacing w:line="400" w:lineRule="exact"/>
              <w:ind w:firstLine="240"/>
              <w:contextualSpacing/>
              <w:jc w:val="center"/>
              <w:rPr>
                <w:rFonts w:ascii="仿宋_GB2312" w:hAnsi="仿宋_GB2312" w:cs="仿宋_GB2312"/>
                <w:bCs/>
                <w:sz w:val="24"/>
                <w:szCs w:val="24"/>
              </w:rPr>
            </w:pPr>
            <w:r>
              <w:rPr>
                <w:rFonts w:hint="eastAsia" w:ascii="仿宋_GB2312" w:hAnsi="仿宋_GB2312" w:cs="仿宋_GB2312"/>
                <w:bCs/>
                <w:sz w:val="24"/>
                <w:szCs w:val="24"/>
              </w:rPr>
              <w:t>年主营业务收入超一亿企业（家）</w:t>
            </w:r>
          </w:p>
        </w:tc>
        <w:tc>
          <w:tcPr>
            <w:tcW w:w="820" w:type="pct"/>
          </w:tcPr>
          <w:p>
            <w:pPr>
              <w:pStyle w:val="4"/>
              <w:spacing w:line="400" w:lineRule="exact"/>
              <w:ind w:firstLine="240"/>
              <w:contextualSpacing/>
              <w:jc w:val="center"/>
              <w:rPr>
                <w:rFonts w:ascii="仿宋_GB2312" w:hAnsi="仿宋_GB2312" w:cs="仿宋_GB2312"/>
                <w:bCs/>
                <w:sz w:val="24"/>
                <w:szCs w:val="24"/>
              </w:rPr>
            </w:pPr>
            <w:r>
              <w:rPr>
                <w:rFonts w:hint="eastAsia" w:ascii="仿宋_GB2312" w:hAnsi="仿宋_GB2312" w:cs="仿宋_GB2312"/>
                <w:sz w:val="24"/>
                <w:szCs w:val="24"/>
                <w:lang w:val="en-US"/>
              </w:rPr>
              <w:t>2</w:t>
            </w:r>
            <w:r>
              <w:rPr>
                <w:rFonts w:hint="eastAsia" w:ascii="仿宋_GB2312" w:hAnsi="仿宋_GB2312" w:cs="仿宋_GB2312"/>
                <w:bCs/>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061" w:type="pct"/>
            <w:vAlign w:val="center"/>
          </w:tcPr>
          <w:p>
            <w:pPr>
              <w:pStyle w:val="4"/>
              <w:spacing w:line="400" w:lineRule="exact"/>
              <w:ind w:firstLine="240"/>
              <w:contextualSpacing/>
              <w:jc w:val="center"/>
              <w:rPr>
                <w:rFonts w:ascii="仿宋_GB2312" w:hAnsi="仿宋_GB2312" w:cs="仿宋_GB2312"/>
                <w:bCs/>
                <w:sz w:val="24"/>
                <w:szCs w:val="24"/>
              </w:rPr>
            </w:pPr>
            <w:r>
              <w:rPr>
                <w:rFonts w:hint="eastAsia" w:ascii="仿宋_GB2312" w:hAnsi="仿宋_GB2312" w:cs="仿宋_GB2312"/>
                <w:bCs/>
                <w:sz w:val="24"/>
                <w:szCs w:val="24"/>
              </w:rPr>
              <w:t>园区数量</w:t>
            </w:r>
          </w:p>
        </w:tc>
        <w:tc>
          <w:tcPr>
            <w:tcW w:w="3119" w:type="pct"/>
          </w:tcPr>
          <w:p>
            <w:pPr>
              <w:pStyle w:val="4"/>
              <w:spacing w:line="400" w:lineRule="exact"/>
              <w:ind w:firstLine="240"/>
              <w:contextualSpacing/>
              <w:jc w:val="center"/>
              <w:rPr>
                <w:rFonts w:ascii="仿宋_GB2312" w:hAnsi="仿宋_GB2312" w:cs="仿宋_GB2312"/>
                <w:bCs/>
                <w:sz w:val="24"/>
                <w:szCs w:val="24"/>
              </w:rPr>
            </w:pPr>
            <w:r>
              <w:rPr>
                <w:rFonts w:hint="eastAsia" w:ascii="仿宋_GB2312" w:hAnsi="仿宋_GB2312" w:cs="仿宋_GB2312"/>
                <w:bCs/>
                <w:sz w:val="24"/>
                <w:szCs w:val="24"/>
              </w:rPr>
              <w:t>战略性新兴产业和未来产业园（个）</w:t>
            </w:r>
          </w:p>
        </w:tc>
        <w:tc>
          <w:tcPr>
            <w:tcW w:w="820" w:type="pct"/>
          </w:tcPr>
          <w:p>
            <w:pPr>
              <w:pStyle w:val="4"/>
              <w:spacing w:line="400" w:lineRule="exact"/>
              <w:ind w:firstLine="240"/>
              <w:contextualSpacing/>
              <w:jc w:val="center"/>
              <w:rPr>
                <w:rFonts w:ascii="仿宋_GB2312" w:hAnsi="仿宋_GB2312" w:cs="仿宋_GB2312"/>
                <w:bCs/>
                <w:sz w:val="24"/>
                <w:szCs w:val="24"/>
                <w:lang w:val="en-US"/>
              </w:rPr>
            </w:pPr>
            <w:r>
              <w:rPr>
                <w:rFonts w:hint="eastAsia" w:ascii="仿宋_GB2312" w:hAnsi="仿宋_GB2312" w:cs="仿宋_GB2312"/>
                <w:sz w:val="24"/>
                <w:szCs w:val="24"/>
                <w:lang w:val="en-US"/>
              </w:rPr>
              <w:t>9</w:t>
            </w:r>
          </w:p>
        </w:tc>
      </w:tr>
    </w:tbl>
    <w:p>
      <w:pPr>
        <w:pStyle w:val="6"/>
        <w:numPr>
          <w:ilvl w:val="0"/>
          <w:numId w:val="10"/>
        </w:numPr>
        <w:spacing w:line="560" w:lineRule="exact"/>
        <w:ind w:firstLine="640"/>
        <w:contextualSpacing/>
        <w:jc w:val="center"/>
      </w:pPr>
      <w:bookmarkStart w:id="206" w:name="_Toc684773995"/>
      <w:r>
        <w:rPr>
          <w:rFonts w:hint="eastAsia" w:ascii="黑体" w:hAnsi="黑体" w:cs="黑体"/>
        </w:rPr>
        <w:t xml:space="preserve"> 构建“优势+成长+未来”产业体系</w:t>
      </w:r>
      <w:bookmarkEnd w:id="206"/>
    </w:p>
    <w:p>
      <w:pPr>
        <w:snapToGrid w:val="0"/>
        <w:spacing w:line="560" w:lineRule="exact"/>
        <w:ind w:firstLine="640" w:firstLineChars="200"/>
        <w:contextualSpacing/>
      </w:pPr>
      <w:r>
        <w:rPr>
          <w:rFonts w:hint="eastAsia" w:ascii="仿宋_GB2312" w:hAnsi="仿宋_GB2312" w:cs="仿宋_GB2312"/>
        </w:rPr>
        <w:t>深入实施创新驱动发展战略，构建我市“优势+成长+未来”战略性新兴产业和未来产业体系。“优势”即壮大发展电子信息、生物两大优势产业，“成长”即加快发展新材料、新能源、智能装备、节能环保四大成长产业，“未来”即培育发展人工智能、生命健康、前沿新材料、氢能及新型储能四大未来产业。着力提升产业基础能力，促进新旧动能加快接续转换。</w:t>
      </w:r>
    </w:p>
    <w:p>
      <w:pPr>
        <w:pStyle w:val="7"/>
        <w:spacing w:line="560" w:lineRule="exact"/>
        <w:contextualSpacing/>
        <w:jc w:val="center"/>
        <w:rPr>
          <w:rFonts w:ascii="楷体" w:hAnsi="楷体" w:eastAsia="楷体" w:cs="楷体"/>
          <w:b w:val="0"/>
        </w:rPr>
      </w:pPr>
      <w:bookmarkStart w:id="207" w:name="_Toc1472445639"/>
      <w:bookmarkStart w:id="208" w:name="_Toc2057"/>
      <w:bookmarkStart w:id="209" w:name="_Toc29871"/>
      <w:bookmarkStart w:id="210" w:name="_Toc5787"/>
      <w:r>
        <w:rPr>
          <w:rFonts w:hint="eastAsia" w:ascii="楷体" w:hAnsi="楷体" w:eastAsia="楷体" w:cs="楷体"/>
          <w:b w:val="0"/>
        </w:rPr>
        <w:t>第一节</w:t>
      </w:r>
      <w:r>
        <w:rPr>
          <w:rFonts w:hint="eastAsia"/>
        </w:rPr>
        <w:t xml:space="preserve">  </w:t>
      </w:r>
      <w:r>
        <w:rPr>
          <w:rFonts w:hint="eastAsia" w:ascii="楷体" w:hAnsi="楷体" w:eastAsia="楷体" w:cs="楷体"/>
          <w:b w:val="0"/>
        </w:rPr>
        <w:t>壮大发展两大优势产业</w:t>
      </w:r>
      <w:bookmarkEnd w:id="207"/>
    </w:p>
    <w:p>
      <w:pPr>
        <w:spacing w:line="560" w:lineRule="exact"/>
        <w:ind w:firstLine="640" w:firstLineChars="200"/>
        <w:contextualSpacing/>
        <w:rPr>
          <w:rFonts w:ascii="仿宋_GB2312" w:hAnsi="仿宋_GB2312" w:cs="仿宋_GB2312"/>
        </w:rPr>
      </w:pPr>
      <w:bookmarkStart w:id="211" w:name="_Toc847627369"/>
      <w:r>
        <w:rPr>
          <w:rStyle w:val="47"/>
          <w:rFonts w:hint="eastAsia" w:ascii="仿宋_GB2312" w:hAnsi="仿宋_GB2312" w:eastAsia="仿宋_GB2312" w:cs="仿宋_GB2312"/>
          <w:b w:val="0"/>
        </w:rPr>
        <w:t>1.电子信息产业</w:t>
      </w:r>
      <w:bookmarkEnd w:id="208"/>
      <w:bookmarkEnd w:id="209"/>
      <w:bookmarkEnd w:id="210"/>
      <w:bookmarkEnd w:id="211"/>
      <w:bookmarkStart w:id="212" w:name="_Toc429390785"/>
      <w:r>
        <w:rPr>
          <w:rStyle w:val="47"/>
          <w:rFonts w:hint="eastAsia" w:ascii="仿宋_GB2312" w:hAnsi="仿宋_GB2312" w:eastAsia="仿宋_GB2312" w:cs="仿宋_GB2312"/>
          <w:b w:val="0"/>
        </w:rPr>
        <w:t>。</w:t>
      </w:r>
      <w:r>
        <w:rPr>
          <w:rFonts w:hint="eastAsia" w:ascii="仿宋_GB2312" w:hAnsi="仿宋_GB2312" w:cs="仿宋_GB2312"/>
        </w:rPr>
        <w:t>紧跟全球电子信息产业变革和产业链重构趋势，积极落实网络强国、数字中国等国家重大战略，聚焦光学元组件、光电信息材料、光电器件、智能传感器、集成电路等细分领域，依托链主企业建立光电产业联盟，加快科技成果转化，聚焦强链补链延链，深化开放合作，促进光电产业向长链条、多领域、宽应用方向发展。到2025年，力争电子信息产业规模突破1000亿元，成为河南省有影响力的光电产业基地和重要电子产业新兴承接地，打造南阳数字光电产业谷。</w:t>
      </w:r>
    </w:p>
    <w:p>
      <w:pPr>
        <w:snapToGrid w:val="0"/>
        <w:spacing w:line="560" w:lineRule="exact"/>
        <w:ind w:firstLine="640" w:firstLineChars="200"/>
        <w:contextualSpacing/>
        <w:rPr>
          <w:rFonts w:ascii="仿宋_GB2312" w:hAnsi="仿宋_GB2312" w:cs="仿宋_GB2312"/>
        </w:rPr>
      </w:pPr>
      <w:r>
        <w:rPr>
          <w:rStyle w:val="47"/>
          <w:rFonts w:hint="eastAsia" w:ascii="仿宋_GB2312" w:hAnsi="仿宋_GB2312" w:eastAsia="仿宋_GB2312" w:cs="仿宋_GB2312"/>
          <w:b w:val="0"/>
        </w:rPr>
        <w:t>（1）光学元组件</w:t>
      </w:r>
      <w:bookmarkEnd w:id="212"/>
      <w:bookmarkStart w:id="213" w:name="_Toc429390786"/>
      <w:r>
        <w:rPr>
          <w:rStyle w:val="47"/>
          <w:rFonts w:hint="eastAsia" w:ascii="仿宋_GB2312" w:hAnsi="仿宋_GB2312" w:eastAsia="仿宋_GB2312" w:cs="仿宋_GB2312"/>
          <w:b w:val="0"/>
        </w:rPr>
        <w:t>。</w:t>
      </w:r>
      <w:r>
        <w:rPr>
          <w:rFonts w:hint="eastAsia" w:ascii="仿宋_GB2312" w:hAnsi="仿宋_GB2312" w:cs="仿宋_GB2312"/>
        </w:rPr>
        <w:t>依托中光学集团、翊轩光电、凯鑫光电、镀邦光电等骨干企业，重点发展超短焦非球面镜头、黑光镜头、高性能棱镜、激光光源模组、与激光光源匹配的光学引擎、车载光学镜片、功能镀膜产品等光学元组件。提升新型光源整机设计、系统散热技术、图像处理技术、微纳光学技术和高光效投影技术，进行超硬薄膜、超宽带低反射薄膜、电致变色薄膜、强激光、红外薄膜、光学镀膜、金属镀膜等关键技术研究。发展光波导器件和投影机等终端产品。引进指纹模组、手机用变倍棱镜模组、监控模组、虹膜识别模组、AR(增强现实技术)棱镜模组等高端下游产品，建成国内外有影响力的光学元组件基地。</w:t>
      </w:r>
      <w:bookmarkEnd w:id="213"/>
    </w:p>
    <w:p>
      <w:pPr>
        <w:snapToGrid w:val="0"/>
        <w:spacing w:line="560" w:lineRule="exact"/>
        <w:ind w:firstLine="640" w:firstLineChars="200"/>
        <w:contextualSpacing/>
        <w:rPr>
          <w:rFonts w:ascii="仿宋_GB2312" w:hAnsi="仿宋_GB2312" w:cs="仿宋_GB2312"/>
        </w:rPr>
      </w:pPr>
      <w:r>
        <w:rPr>
          <w:rStyle w:val="47"/>
          <w:rFonts w:hint="eastAsia" w:ascii="仿宋_GB2312" w:hAnsi="仿宋_GB2312" w:eastAsia="仿宋_GB2312" w:cs="仿宋_GB2312"/>
          <w:b w:val="0"/>
        </w:rPr>
        <w:t>（2）光电信息材料</w:t>
      </w:r>
      <w:bookmarkStart w:id="214" w:name="_Toc429390788"/>
      <w:r>
        <w:rPr>
          <w:rStyle w:val="47"/>
          <w:rFonts w:hint="eastAsia" w:ascii="仿宋_GB2312" w:hAnsi="仿宋_GB2312" w:eastAsia="仿宋_GB2312" w:cs="仿宋_GB2312"/>
          <w:b w:val="0"/>
        </w:rPr>
        <w:t>。</w:t>
      </w:r>
      <w:r>
        <w:rPr>
          <w:rFonts w:hint="eastAsia" w:ascii="仿宋_GB2312" w:hAnsi="仿宋_GB2312" w:cs="仿宋_GB2312"/>
        </w:rPr>
        <w:t>依托乐凯华光等骨干企业，重点发展阴图型热敏CTP（计算机直接制版技术）版材、阳图型CTP版材和紫激光CTP版材，加快发展TP-G免处理热敏CTP版材、PV-G低化学处理紫激光版等绿色版材。提升PS（预涂感光版）版基、铝精箔、紫激光CTP版、免化学处理CTP版生产技术以及超薄柔性版、柔性树脂版，银盐PCB（印刷电路板）胶片、重氮PCB胶片、干法医用胶片技术，进行电子纸、OLED（有机发光二极体）光源等显示材料生产技术研究，建成国内外有影响力的印刷电子新材料基地。</w:t>
      </w:r>
      <w:bookmarkEnd w:id="214"/>
    </w:p>
    <w:p>
      <w:pPr>
        <w:snapToGrid w:val="0"/>
        <w:spacing w:line="560" w:lineRule="exact"/>
        <w:ind w:firstLine="640" w:firstLineChars="200"/>
        <w:contextualSpacing/>
        <w:rPr>
          <w:rFonts w:ascii="仿宋_GB2312" w:hAnsi="仿宋_GB2312" w:cs="仿宋_GB2312"/>
        </w:rPr>
      </w:pPr>
      <w:r>
        <w:rPr>
          <w:rStyle w:val="47"/>
          <w:rFonts w:hint="eastAsia" w:ascii="仿宋_GB2312" w:hAnsi="仿宋_GB2312" w:eastAsia="仿宋_GB2312" w:cs="仿宋_GB2312"/>
          <w:b w:val="0"/>
        </w:rPr>
        <w:t>（3）智能传感器。</w:t>
      </w:r>
      <w:r>
        <w:rPr>
          <w:rFonts w:hint="eastAsia" w:ascii="仿宋_GB2312" w:hAnsi="仿宋_GB2312" w:cs="仿宋_GB2312"/>
        </w:rPr>
        <w:t>依托南阳凯鑫光电、翊轩光电等骨干企业，重点发展集成红外传感器、高梯度功率压敏电阻、表贴耳麦、表贴电磁元件等光电器件新产品，巩固在红外传感器、光敏电阻、压敏电阻等领域的产业优势。依托森霸传感科技股份有限公司，聚焦智能家居、智能安防、智慧消防及医疗、汽车等重点应用领域，围绕智能传感器产业链协同升级和产业生态完善，搭建核心共性技术协同创新平台，重点突破远红外传感、压力传感、气体传感等关键核心技术，推动形成智能传感器材料、设备、设计、制造、封装、测试、系统集成和重点应用产业链，打造具有国内影响力的传感器基地。</w:t>
      </w:r>
    </w:p>
    <w:p>
      <w:pPr>
        <w:snapToGrid w:val="0"/>
        <w:spacing w:line="560" w:lineRule="exact"/>
        <w:ind w:firstLine="640" w:firstLineChars="200"/>
        <w:contextualSpacing/>
      </w:pPr>
      <w:r>
        <w:rPr>
          <w:rStyle w:val="47"/>
          <w:rFonts w:hint="eastAsia" w:ascii="仿宋_GB2312" w:hAnsi="仿宋_GB2312" w:eastAsia="仿宋_GB2312" w:cs="仿宋_GB2312"/>
          <w:b w:val="0"/>
        </w:rPr>
        <w:t>（4）集成电路。</w:t>
      </w:r>
      <w:r>
        <w:rPr>
          <w:rFonts w:hint="eastAsia" w:ascii="仿宋_GB2312" w:hAnsi="仿宋_GB2312" w:cs="仿宋_GB2312"/>
          <w:bCs/>
        </w:rPr>
        <w:t>主动对接国内半导体集成电路产业高地，吸引国内外集成电路企业建设研发、生产和运营中心。重点支持设计开发存储控制芯片、显示驱动芯片、工业控制芯片、传感器芯片、射频识别芯片、汽车电子芯片等面广量大的集成电路产品；大力发展大尺寸单晶硅抛光片、电子级高纯硅材料、区熔硅单晶、碳化硅、氮化镓、砷化镓等半导体材料产品，推进新型敏感材料、复合功能材料研发及产业化。重点支持高密度三维系统集成技术研发，突破圆片级封装、系统级封装、硅通孔封装、三维封装、电力电子功率器件封装、真空封装等关键技术。建设完善电子设计自动化工具服务、芯片测试与验证服务、多项目晶圆服务、教育培训服务、知识产权核库等公共服务平台，提高支撑企业发展的公共服务能力，将高新区打造成为半导体集成电路龙头企业、研发机构、服务平台等各类要素集聚的产业高地。</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96" w:type="dxa"/>
            <w:tcBorders>
              <w:top w:val="single" w:color="auto" w:sz="4" w:space="0"/>
              <w:left w:val="single" w:color="auto" w:sz="4" w:space="0"/>
              <w:bottom w:val="single" w:color="auto" w:sz="4" w:space="0"/>
              <w:right w:val="single" w:color="auto" w:sz="4" w:space="0"/>
            </w:tcBorders>
          </w:tcPr>
          <w:p>
            <w:pPr>
              <w:spacing w:line="400" w:lineRule="exact"/>
              <w:contextualSpacing/>
              <w:jc w:val="center"/>
              <w:rPr>
                <w:rFonts w:ascii="仿宋_GB2312" w:hAnsi="仿宋_GB2312" w:cs="仿宋_GB2312"/>
                <w:sz w:val="24"/>
              </w:rPr>
            </w:pPr>
            <w:r>
              <w:rPr>
                <w:rFonts w:hint="eastAsia" w:ascii="Times New Roman" w:hAnsi="Times New Roman" w:eastAsia="黑体"/>
                <w:sz w:val="28"/>
                <w:szCs w:val="28"/>
              </w:rPr>
              <w:t>专栏1：电子信息产业重大项目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96"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光学元组件：</w:t>
            </w:r>
            <w:r>
              <w:rPr>
                <w:rFonts w:hint="eastAsia" w:ascii="仿宋_GB2312" w:hAnsi="仿宋_GB2312" w:cs="仿宋_GB2312"/>
                <w:sz w:val="24"/>
              </w:rPr>
              <w:t>重点打造南阳光电产业谷。</w:t>
            </w:r>
            <w:r>
              <w:rPr>
                <w:rFonts w:hint="eastAsia" w:ascii="仿宋_GB2312" w:hAnsi="仿宋_GB2312" w:cs="仿宋_GB2312"/>
                <w:sz w:val="24"/>
                <w:lang w:eastAsia="zh-Hans"/>
              </w:rPr>
              <w:t>依托中光学集团，建设微纳光学器件工程化研究与微型光学元件规模化生产线建设项目、高精度确定性光学元件加工及组件开发项目、透镜智能化升级改造项目、透镜镜片生产线自动化改造项目、蓝玻璃IRCF贴合线生产线扩产项目</w:t>
            </w:r>
            <w:r>
              <w:rPr>
                <w:rFonts w:hint="eastAsia" w:ascii="仿宋_GB2312" w:hAnsi="仿宋_GB2312" w:cs="仿宋_GB2312"/>
                <w:sz w:val="24"/>
              </w:rPr>
              <w:t>、</w:t>
            </w:r>
            <w:r>
              <w:rPr>
                <w:rFonts w:hint="eastAsia" w:ascii="仿宋_GB2312" w:hAnsi="仿宋_GB2312" w:cs="仿宋_GB2312"/>
                <w:sz w:val="24"/>
                <w:lang w:eastAsia="zh-Hans"/>
              </w:rPr>
              <w:t>等离子喷涂靶材生产线扩产项目</w:t>
            </w:r>
            <w:r>
              <w:rPr>
                <w:rFonts w:hint="eastAsia" w:ascii="仿宋_GB2312" w:hAnsi="仿宋_GB2312" w:cs="仿宋_GB2312"/>
                <w:sz w:val="24"/>
              </w:rPr>
              <w:t>等项目</w:t>
            </w:r>
            <w:r>
              <w:rPr>
                <w:rFonts w:hint="eastAsia" w:ascii="仿宋_GB2312" w:hAnsi="仿宋_GB2312" w:cs="仿宋_GB2312"/>
                <w:sz w:val="24"/>
                <w:lang w:eastAsia="zh-Hans"/>
              </w:rPr>
              <w:t>，将</w:t>
            </w:r>
            <w:r>
              <w:rPr>
                <w:rFonts w:hint="eastAsia" w:ascii="仿宋_GB2312" w:hAnsi="仿宋_GB2312" w:cs="仿宋_GB2312"/>
                <w:sz w:val="24"/>
              </w:rPr>
              <w:t>中光学集团打造成为全球最大的光学元器件制造业企业。积极推进镀邦光电产业园和高新区光电新城项目建设。</w:t>
            </w:r>
          </w:p>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光电信息材料：</w:t>
            </w:r>
            <w:r>
              <w:rPr>
                <w:rFonts w:hint="eastAsia" w:ascii="仿宋_GB2312" w:hAnsi="仿宋_GB2312" w:cs="仿宋_GB2312"/>
                <w:sz w:val="24"/>
              </w:rPr>
              <w:t>推进</w:t>
            </w:r>
            <w:r>
              <w:rPr>
                <w:rFonts w:hint="eastAsia" w:ascii="仿宋_GB2312" w:hAnsi="仿宋_GB2312" w:cs="仿宋_GB2312"/>
                <w:sz w:val="24"/>
                <w:lang w:eastAsia="zh-Hans"/>
              </w:rPr>
              <w:t>乐凯华光</w:t>
            </w:r>
            <w:r>
              <w:rPr>
                <w:rFonts w:hint="eastAsia" w:ascii="仿宋_GB2312" w:hAnsi="仿宋_GB2312" w:cs="仿宋_GB2312"/>
                <w:sz w:val="24"/>
              </w:rPr>
              <w:t>“退城入园”</w:t>
            </w:r>
            <w:r>
              <w:rPr>
                <w:rFonts w:hint="eastAsia" w:ascii="仿宋_GB2312" w:hAnsi="仿宋_GB2312" w:cs="仿宋_GB2312"/>
                <w:sz w:val="24"/>
                <w:lang w:eastAsia="zh-Hans"/>
              </w:rPr>
              <w:t>，加大环保型免处理CTP版材生产线投资建设力度，建设数字柔版生产线，提高数字柔版产销规模，加快高阻隔膜产业化进程，建设高阻隔膜基材生产线及应用生产线。</w:t>
            </w:r>
            <w:r>
              <w:rPr>
                <w:rFonts w:hint="eastAsia" w:ascii="仿宋_GB2312" w:hAnsi="仿宋_GB2312" w:cs="仿宋_GB2312"/>
                <w:sz w:val="24"/>
              </w:rPr>
              <w:t>推进南阳柯丽尔竖屏项目建设。</w:t>
            </w:r>
          </w:p>
          <w:p>
            <w:pPr>
              <w:spacing w:line="400" w:lineRule="exact"/>
              <w:ind w:firstLine="480" w:firstLineChars="200"/>
              <w:contextualSpacing/>
              <w:rPr>
                <w:rFonts w:ascii="仿宋_GB2312" w:hAnsi="仿宋_GB2312" w:cs="仿宋_GB2312"/>
                <w:bCs/>
                <w:spacing w:val="-4"/>
                <w:sz w:val="24"/>
              </w:rPr>
            </w:pPr>
            <w:r>
              <w:rPr>
                <w:rFonts w:hint="eastAsia" w:ascii="楷体" w:hAnsi="楷体" w:eastAsia="楷体" w:cs="楷体"/>
                <w:bCs/>
                <w:sz w:val="24"/>
              </w:rPr>
              <w:t>智能传感器：</w:t>
            </w:r>
            <w:r>
              <w:rPr>
                <w:rFonts w:hint="eastAsia" w:ascii="仿宋_GB2312" w:hAnsi="仿宋_GB2312" w:cs="仿宋_GB2312"/>
                <w:sz w:val="24"/>
              </w:rPr>
              <w:t>加快南阳智能制造北斗科创园建设、推进</w:t>
            </w:r>
            <w:r>
              <w:rPr>
                <w:rFonts w:hint="eastAsia" w:ascii="仿宋_GB2312" w:hAnsi="仿宋_GB2312" w:cs="仿宋_GB2312"/>
                <w:sz w:val="24"/>
                <w:lang w:eastAsia="zh-Hans"/>
              </w:rPr>
              <w:t>社旗县传感器产业园项目一期厂房面积达到40万平方米左右，达到年产各类传感器30亿件（套）</w:t>
            </w:r>
            <w:r>
              <w:rPr>
                <w:rFonts w:hint="eastAsia" w:ascii="仿宋_GB2312" w:hAnsi="仿宋_GB2312" w:cs="仿宋_GB2312"/>
                <w:sz w:val="24"/>
              </w:rPr>
              <w:t>，</w:t>
            </w:r>
            <w:r>
              <w:rPr>
                <w:rFonts w:hint="eastAsia" w:ascii="仿宋_GB2312" w:hAnsi="仿宋_GB2312" w:cs="仿宋_GB2312"/>
                <w:sz w:val="24"/>
                <w:lang w:eastAsia="zh-Hans"/>
              </w:rPr>
              <w:t>传感器配套产品年产10亿件（套）。</w:t>
            </w:r>
            <w:r>
              <w:rPr>
                <w:rFonts w:hint="eastAsia" w:ascii="仿宋_GB2312" w:hAnsi="仿宋_GB2312" w:cs="仿宋_GB2312"/>
                <w:sz w:val="24"/>
              </w:rPr>
              <w:t>招引维感汽车传感器有限公司，投资50亿元建设唐河精密传感器产业园，生产光电传感器、制动传感器、流量传感器、位移传感器等产品。</w:t>
            </w:r>
          </w:p>
        </w:tc>
      </w:tr>
    </w:tbl>
    <w:p>
      <w:pPr>
        <w:spacing w:line="560" w:lineRule="exact"/>
        <w:ind w:firstLine="640" w:firstLineChars="200"/>
        <w:contextualSpacing/>
        <w:rPr>
          <w:rFonts w:ascii="仿宋" w:hAnsi="仿宋" w:eastAsia="仿宋"/>
          <w:bCs/>
        </w:rPr>
      </w:pPr>
      <w:bookmarkStart w:id="215" w:name="_Toc833237248"/>
      <w:bookmarkStart w:id="216" w:name="_Toc6351"/>
      <w:bookmarkStart w:id="217" w:name="_Toc31522"/>
      <w:bookmarkStart w:id="218" w:name="_Toc31741"/>
      <w:r>
        <w:rPr>
          <w:rStyle w:val="47"/>
          <w:rFonts w:hint="eastAsia"/>
          <w:b w:val="0"/>
        </w:rPr>
        <w:t>2.生物产业</w:t>
      </w:r>
      <w:bookmarkEnd w:id="215"/>
      <w:bookmarkEnd w:id="216"/>
      <w:bookmarkEnd w:id="217"/>
      <w:bookmarkEnd w:id="218"/>
      <w:r>
        <w:rPr>
          <w:rStyle w:val="47"/>
          <w:rFonts w:hint="eastAsia"/>
          <w:b w:val="0"/>
        </w:rPr>
        <w:t>。</w:t>
      </w:r>
      <w:r>
        <w:rPr>
          <w:rFonts w:hint="eastAsia" w:ascii="仿宋" w:hAnsi="仿宋" w:eastAsia="仿宋"/>
          <w:bCs/>
        </w:rPr>
        <w:t>紧跟全球生物产业与制造业、数字产业融合发展趋势，积极贯彻“生物经济”“生物安全”等发展理念，聚焦生化制药、现代中医药、艾草、高端医疗器械、生物农业等细分领域，逐渐完善生物产业链。到2025年，力争生物产业规模突破1000亿元，</w:t>
      </w:r>
      <w:bookmarkStart w:id="219" w:name="_Toc429390780"/>
      <w:r>
        <w:rPr>
          <w:rFonts w:hint="eastAsia" w:ascii="仿宋" w:hAnsi="仿宋" w:eastAsia="仿宋"/>
          <w:bCs/>
        </w:rPr>
        <w:t>努力打造中部地区现代中药产业基地，重要的原料药生产基地、西药制剂生产基地、医疗器械生产基地、医药物流中心。</w:t>
      </w:r>
    </w:p>
    <w:p>
      <w:pPr>
        <w:spacing w:line="560" w:lineRule="exact"/>
        <w:ind w:firstLine="640" w:firstLineChars="200"/>
        <w:contextualSpacing/>
        <w:rPr>
          <w:rFonts w:ascii="仿宋_GB2312" w:hAnsi="仿宋_GB2312" w:cs="仿宋_GB2312"/>
        </w:rPr>
      </w:pPr>
      <w:r>
        <w:rPr>
          <w:rFonts w:hint="eastAsia" w:ascii="仿宋" w:hAnsi="仿宋" w:eastAsia="仿宋"/>
        </w:rPr>
        <w:t>（1）生化制药。</w:t>
      </w:r>
      <w:r>
        <w:rPr>
          <w:rFonts w:hint="eastAsia" w:ascii="仿宋_GB2312" w:hAnsi="仿宋_GB2312" w:cs="仿宋_GB2312"/>
        </w:rPr>
        <w:t>依托启泰制药、蓝图制药等企业，在抗感染、抗肿瘤、解热镇痛、心脑血管系统和防治神经性疾病等领域的优势，加大新药自主创新力度，鼓励研制具有自主知识产权的小分子化合物。巩固普康恒旺药业大宗原料药市场，重点发展小品种原料药，支持原料药企业提升装备水平，积极采用酶化合成、生物转化、结晶技术等共性技术，提高原料药生产工艺和质量水平。在此基础上做好补链，重点发展血液制品、生物酶制剂、治疗性基因工程药物等优势品种，鼓励和支持企业在疫苗、重组蛋白类药物和单克隆抗体等生物药新兴领域产品的研发及产业化。</w:t>
      </w:r>
    </w:p>
    <w:p>
      <w:pPr>
        <w:spacing w:line="560" w:lineRule="exact"/>
        <w:ind w:firstLine="640" w:firstLineChars="200"/>
        <w:contextualSpacing/>
        <w:rPr>
          <w:rFonts w:ascii="仿宋_GB2312" w:hAnsi="仿宋_GB2312" w:cs="仿宋_GB2312"/>
        </w:rPr>
      </w:pPr>
      <w:r>
        <w:rPr>
          <w:rFonts w:hint="eastAsia" w:ascii="仿宋" w:hAnsi="仿宋" w:eastAsia="仿宋"/>
        </w:rPr>
        <w:t>（2）现代中医药。</w:t>
      </w:r>
      <w:r>
        <w:rPr>
          <w:rFonts w:hint="eastAsia" w:ascii="仿宋_GB2312" w:hAnsi="仿宋_GB2312" w:cs="仿宋_GB2312"/>
        </w:rPr>
        <w:t>依托仲景宛西制药、福森药业、利欣制药、全宇制药、度帮生物、宛东药业等骨干企业，重点选择一批仲景经方、名医名方、民间偏方验方进行中药的二次开发，重点发展抗病毒、心脑血管、抗肿瘤、抗抑郁、抗艾滋病、补益类等六大类中药产品复方制剂。加大中药新药验方的研制和关键生产技术攻关，大力开展中药配方颗粒研发，发展符合炮制规范、经现代制药工艺技术制成的单味颗粒，做强六味地黄丸、小儿清热宁颗粒、小柴胡口服液、通络祛痛膏等优势中成药，发展中医药合成药剂，开拓药用植物资源新领域、新途径，积极开展以中药为基源的保健品、日用品、化妆品、功能性食品的开发</w:t>
      </w:r>
      <w:bookmarkEnd w:id="219"/>
      <w:r>
        <w:rPr>
          <w:rFonts w:hint="eastAsia" w:ascii="仿宋_GB2312" w:hAnsi="仿宋_GB2312" w:cs="仿宋_GB2312"/>
        </w:rPr>
        <w:t>。以国家中医药改革综合试验区建设为载体，积极推进中医药标准化、中医药教研协同创新、中医药产业创新、互联网+中医药服务、中医治未病等工程，打造中医药强市。实施宛药振兴计划，规划建设中医药产业“硅谷”，推动种植、加工、仓储物流、新型中药研发、医疗器械制造同步发力。</w:t>
      </w:r>
    </w:p>
    <w:p>
      <w:pPr>
        <w:pStyle w:val="4"/>
        <w:spacing w:line="560" w:lineRule="exact"/>
        <w:ind w:firstLine="640" w:firstLineChars="200"/>
        <w:contextualSpacing/>
        <w:rPr>
          <w:rFonts w:ascii="仿宋" w:hAnsi="仿宋" w:eastAsia="仿宋" w:cs="仿宋"/>
        </w:rPr>
      </w:pPr>
      <w:r>
        <w:rPr>
          <w:rFonts w:hint="eastAsia" w:ascii="仿宋" w:hAnsi="仿宋" w:eastAsia="仿宋"/>
          <w:bCs/>
        </w:rPr>
        <w:t>（3）艾草。</w:t>
      </w:r>
      <w:r>
        <w:rPr>
          <w:rFonts w:hint="eastAsia" w:ascii="仿宋_GB2312" w:hAnsi="仿宋_GB2312" w:cs="仿宋_GB2312"/>
        </w:rPr>
        <w:t>以艾草深加工为重点，整合资源，打造龙头企业，增强行业引领带动作用。围绕艾草加工的各个领域开展技术攻关，研究解决艾草产业发展中的关键技术难题，促进科技成果转化。建立具有较强研究开发功能的艾草技术研发中心、重点实验室。建设艾草资源样本库、生物信息数据库，打造全国艾草研究、研发、繁育、基因储备示范基地。制定产品标准、规范传统产品应用。鼓励企业通过“互联网+”模式，实现精深加工艾产品质量可追溯，利用互联网商业平台实现艾产品精深加工及产品的网络营销。构建艾草高端产品精深加工产业体系，建设产品安全加工平台、电子商务平台，链接金融、期货、展会、博览、商贸、物流等相关服务业。搭建全国性和国际性的艾草产品精深加工合作交流平台，鼓励企业在艾草加工领域形成产</w:t>
      </w:r>
      <w:r>
        <w:rPr>
          <w:rFonts w:hint="eastAsia" w:ascii="仿宋" w:hAnsi="仿宋" w:eastAsia="仿宋" w:cs="仿宋"/>
        </w:rPr>
        <w:t>业化发展集群。</w:t>
      </w:r>
    </w:p>
    <w:p>
      <w:pPr>
        <w:pStyle w:val="4"/>
        <w:spacing w:line="560" w:lineRule="exact"/>
        <w:ind w:firstLine="736" w:firstLineChars="230"/>
        <w:contextualSpacing/>
        <w:rPr>
          <w:rFonts w:ascii="仿宋_GB2312" w:hAnsi="仿宋_GB2312" w:cs="仿宋_GB2312"/>
          <w:bCs/>
        </w:rPr>
      </w:pPr>
      <w:r>
        <w:rPr>
          <w:rFonts w:hint="eastAsia" w:ascii="仿宋" w:hAnsi="仿宋" w:eastAsia="仿宋"/>
          <w:bCs/>
        </w:rPr>
        <w:t>（4）高端医疗器械。</w:t>
      </w:r>
      <w:r>
        <w:rPr>
          <w:rFonts w:hint="eastAsia" w:ascii="仿宋_GB2312" w:hAnsi="仿宋_GB2312" w:cs="仿宋_GB2312"/>
          <w:bCs/>
        </w:rPr>
        <w:t>依托汇博医疗、迈松医疗、久康医疗等骨干企业，重点研发新型生化分析仪、化学发光免疫分析仪、分子诊断分析仪等高性能医学诊疗设备，可降解快速止血材料、医用粘接剂等生物医学材料，以及智能家庭保健器械、医用康复机器人、高端影像设备、微生物诊断试剂、全方位远程医疗服务平台和终端设备等，扩大心电监护仪、睡眠呼吸监测设备等产品竞争优势，推动便携式医疗器械、医用耗材产品发展，研究开发智能化、低成本的结构替代、功能代偿、技能训练等康复辅具。招引国内知名医疗器械企业和项目，发展可穿戴设备、高端超声成像设备、5G互联网医疗器械、医用机器人。</w:t>
      </w:r>
    </w:p>
    <w:p>
      <w:pPr>
        <w:pStyle w:val="4"/>
        <w:spacing w:line="560" w:lineRule="exact"/>
        <w:ind w:firstLine="736" w:firstLineChars="230"/>
        <w:contextualSpacing/>
        <w:rPr>
          <w:rFonts w:ascii="仿宋_GB2312" w:hAnsi="仿宋_GB2312" w:cs="仿宋_GB2312"/>
          <w:bCs/>
        </w:rPr>
      </w:pPr>
      <w:r>
        <w:rPr>
          <w:rFonts w:hint="eastAsia" w:ascii="仿宋" w:hAnsi="仿宋" w:eastAsia="仿宋"/>
        </w:rPr>
        <w:t>（5）生物农业。</w:t>
      </w:r>
      <w:r>
        <w:rPr>
          <w:rFonts w:hint="eastAsia" w:ascii="仿宋_GB2312" w:hAnsi="仿宋_GB2312" w:cs="仿宋_GB2312"/>
          <w:bCs/>
        </w:rPr>
        <w:t>依托顺天科技，重点突破烟碱等植物源生物杀虫剂和茄尼醇等医药中间体关键的核心生产技术，促进生物农药、生物医药中间体、生物肥料、生物饲料等绿色农用生物产品的发展，快速推进其产业化进程。依托华牧生物，大力发展动植物病虫害防控新技术，创制一批新型动物疫苗、生物兽药、植物新农药等重大产品，重点提升高致病性猪蓝耳病疫苗、禽流感三联四联灭活疫苗、绿色农药、植保专用药剂、生物兽药等兽用疫苗、酶制剂、抗菌肽、生物复合肥等优势产品。依托南阳恒利康生物科技，利用我市丰富的林果业，大力发展生物酵素。积极发展畜牧新品种，开发基因工程育种技术及种苗组织培养技术，促进生物农业的快速发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6" w:type="dxa"/>
            <w:tcBorders>
              <w:top w:val="single" w:color="auto" w:sz="4" w:space="0"/>
              <w:left w:val="single" w:color="auto" w:sz="4" w:space="0"/>
              <w:bottom w:val="single" w:color="auto" w:sz="4" w:space="0"/>
              <w:right w:val="single" w:color="auto" w:sz="4" w:space="0"/>
            </w:tcBorders>
          </w:tcPr>
          <w:p>
            <w:pPr>
              <w:spacing w:line="560" w:lineRule="exact"/>
              <w:contextualSpacing/>
              <w:jc w:val="center"/>
              <w:rPr>
                <w:rFonts w:ascii="仿宋_GB2312" w:hAnsi="仿宋_GB2312" w:cs="仿宋_GB2312"/>
                <w:sz w:val="24"/>
              </w:rPr>
            </w:pPr>
            <w:r>
              <w:rPr>
                <w:rFonts w:hint="eastAsia" w:ascii="黑体" w:hAnsi="黑体" w:eastAsia="黑体" w:cs="黑体"/>
                <w:sz w:val="28"/>
                <w:szCs w:val="28"/>
              </w:rPr>
              <w:t>专栏2：生物产业重大项目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9" w:hRule="atLeast"/>
          <w:jc w:val="center"/>
        </w:trPr>
        <w:tc>
          <w:tcPr>
            <w:tcW w:w="8496" w:type="dxa"/>
            <w:tcBorders>
              <w:top w:val="single" w:color="auto" w:sz="4" w:space="0"/>
              <w:left w:val="single" w:color="auto" w:sz="4" w:space="0"/>
              <w:right w:val="single" w:color="auto" w:sz="4" w:space="0"/>
            </w:tcBorders>
          </w:tcPr>
          <w:p>
            <w:pPr>
              <w:spacing w:line="320" w:lineRule="exact"/>
              <w:ind w:firstLine="480" w:firstLineChars="200"/>
              <w:contextualSpacing/>
            </w:pPr>
            <w:r>
              <w:rPr>
                <w:rFonts w:hint="eastAsia" w:ascii="楷体" w:hAnsi="楷体" w:eastAsia="楷体" w:cs="楷体"/>
                <w:bCs/>
                <w:sz w:val="24"/>
              </w:rPr>
              <w:t>生化制药：</w:t>
            </w:r>
            <w:r>
              <w:rPr>
                <w:rFonts w:hint="eastAsia" w:ascii="仿宋_GB2312" w:hAnsi="仿宋_GB2312" w:cs="仿宋_GB2312"/>
                <w:sz w:val="24"/>
                <w:lang w:eastAsia="zh-Hans"/>
              </w:rPr>
              <w:t>依托启泰制药、普康恒旺等骨干企业，建设启泰制药创新药物工业园</w:t>
            </w:r>
            <w:r>
              <w:rPr>
                <w:rFonts w:hint="eastAsia" w:ascii="仿宋_GB2312" w:hAnsi="仿宋_GB2312" w:cs="仿宋_GB2312"/>
                <w:sz w:val="24"/>
              </w:rPr>
              <w:t>，依托</w:t>
            </w:r>
            <w:r>
              <w:rPr>
                <w:rFonts w:hint="eastAsia" w:ascii="仿宋_GB2312" w:hAnsi="仿宋_GB2312" w:cs="仿宋_GB2312"/>
                <w:sz w:val="24"/>
                <w:lang w:eastAsia="zh-Hans"/>
              </w:rPr>
              <w:t>牧原</w:t>
            </w:r>
            <w:r>
              <w:rPr>
                <w:rFonts w:hint="eastAsia" w:ascii="仿宋_GB2312" w:hAnsi="仿宋_GB2312" w:cs="仿宋_GB2312"/>
                <w:sz w:val="24"/>
              </w:rPr>
              <w:t>公司建设</w:t>
            </w:r>
            <w:r>
              <w:rPr>
                <w:rFonts w:hint="eastAsia" w:ascii="仿宋_GB2312" w:hAnsi="仿宋_GB2312" w:cs="仿宋_GB2312"/>
                <w:sz w:val="24"/>
                <w:lang w:eastAsia="zh-Hans"/>
              </w:rPr>
              <w:t>生物制药现代化产业园</w:t>
            </w:r>
            <w:r>
              <w:rPr>
                <w:rFonts w:hint="eastAsia" w:ascii="仿宋_GB2312" w:hAnsi="仿宋_GB2312" w:cs="仿宋_GB2312"/>
                <w:sz w:val="24"/>
              </w:rPr>
              <w:t>。推进建设</w:t>
            </w:r>
            <w:r>
              <w:rPr>
                <w:rFonts w:hint="eastAsia" w:ascii="仿宋_GB2312" w:hAnsi="仿宋_GB2312" w:cs="仿宋_GB2312"/>
                <w:sz w:val="24"/>
                <w:lang w:eastAsia="zh-Hans"/>
              </w:rPr>
              <w:t>普康恒旺药业年产</w:t>
            </w:r>
            <w:r>
              <w:rPr>
                <w:rFonts w:hint="eastAsia" w:ascii="仿宋_GB2312" w:hAnsi="仿宋_GB2312" w:cs="仿宋_GB2312"/>
                <w:sz w:val="24"/>
              </w:rPr>
              <w:t>420</w:t>
            </w:r>
            <w:r>
              <w:rPr>
                <w:rFonts w:hint="eastAsia" w:ascii="仿宋_GB2312" w:hAnsi="仿宋_GB2312" w:cs="仿宋_GB2312"/>
                <w:sz w:val="24"/>
                <w:lang w:eastAsia="zh-Hans"/>
              </w:rPr>
              <w:t>吨玻尿酸项目、利欣药业利欣健康产业研发中心项目</w:t>
            </w:r>
            <w:r>
              <w:rPr>
                <w:rFonts w:hint="eastAsia" w:ascii="仿宋_GB2312" w:hAnsi="仿宋_GB2312" w:cs="仿宋_GB2312"/>
                <w:sz w:val="24"/>
              </w:rPr>
              <w:t>、河南兴华生物制品扩产项目等。</w:t>
            </w:r>
          </w:p>
          <w:p>
            <w:pPr>
              <w:spacing w:line="320" w:lineRule="exact"/>
              <w:ind w:firstLine="480" w:firstLineChars="200"/>
              <w:contextualSpacing/>
              <w:rPr>
                <w:rFonts w:ascii="仿宋_GB2312" w:hAnsi="仿宋_GB2312" w:cs="仿宋_GB2312"/>
                <w:sz w:val="24"/>
              </w:rPr>
            </w:pPr>
            <w:r>
              <w:rPr>
                <w:rFonts w:hint="eastAsia" w:ascii="楷体" w:hAnsi="楷体" w:eastAsia="楷体" w:cs="楷体"/>
                <w:bCs/>
                <w:sz w:val="24"/>
              </w:rPr>
              <w:t>现代中医药：</w:t>
            </w:r>
            <w:r>
              <w:rPr>
                <w:rFonts w:hint="eastAsia" w:ascii="仿宋_GB2312" w:hAnsi="仿宋_GB2312" w:cs="仿宋_GB2312"/>
                <w:sz w:val="24"/>
              </w:rPr>
              <w:t>在高新区布局建设南阳中医药现代产业园。推进</w:t>
            </w:r>
            <w:r>
              <w:rPr>
                <w:rFonts w:hint="eastAsia" w:ascii="仿宋_GB2312" w:hAnsi="仿宋_GB2312" w:cs="仿宋_GB2312"/>
                <w:sz w:val="24"/>
                <w:lang w:eastAsia="zh-Hans"/>
              </w:rPr>
              <w:t>建设仲景宛西制药年产1000万瓶精制丸</w:t>
            </w:r>
            <w:r>
              <w:rPr>
                <w:rFonts w:hint="eastAsia" w:ascii="仿宋_GB2312" w:hAnsi="仿宋_GB2312" w:cs="仿宋_GB2312"/>
                <w:sz w:val="24"/>
              </w:rPr>
              <w:t>剂智能化生产线建设项目、河南</w:t>
            </w:r>
            <w:r>
              <w:rPr>
                <w:rFonts w:hint="eastAsia" w:ascii="仿宋_GB2312" w:hAnsi="仿宋_GB2312" w:cs="仿宋_GB2312"/>
                <w:sz w:val="24"/>
                <w:lang w:eastAsia="zh-Hans"/>
              </w:rPr>
              <w:t>芝元堂药业年产5000吨中药配方颗粒项目、</w:t>
            </w:r>
            <w:r>
              <w:rPr>
                <w:rFonts w:hint="eastAsia" w:ascii="仿宋_GB2312" w:hAnsi="仿宋_GB2312" w:cs="仿宋_GB2312"/>
                <w:sz w:val="24"/>
              </w:rPr>
              <w:t>南阳文医堂药业年产5000吨中药饮片项目、</w:t>
            </w:r>
            <w:r>
              <w:rPr>
                <w:rFonts w:hint="eastAsia" w:ascii="仿宋_GB2312" w:hAnsi="仿宋_GB2312" w:cs="仿宋_GB2312"/>
                <w:sz w:val="24"/>
                <w:lang w:eastAsia="zh-Hans"/>
              </w:rPr>
              <w:t>度帮中药叶黄素片</w:t>
            </w:r>
            <w:r>
              <w:rPr>
                <w:rFonts w:hint="eastAsia" w:ascii="仿宋_GB2312" w:hAnsi="仿宋_GB2312" w:cs="仿宋_GB2312"/>
                <w:sz w:val="24"/>
              </w:rPr>
              <w:t>和</w:t>
            </w:r>
            <w:r>
              <w:rPr>
                <w:rFonts w:hint="eastAsia" w:ascii="仿宋_GB2312" w:hAnsi="仿宋_GB2312" w:cs="仿宋_GB2312"/>
                <w:sz w:val="24"/>
                <w:lang w:eastAsia="zh-Hans"/>
              </w:rPr>
              <w:t>中药药用薯蓣皂苷深加工项目、淅川汉世本草3万亩中药材丹参种植暨提取深加工项目</w:t>
            </w:r>
            <w:r>
              <w:rPr>
                <w:rFonts w:hint="eastAsia" w:ascii="仿宋_GB2312" w:hAnsi="仿宋_GB2312" w:cs="仿宋_GB2312"/>
                <w:sz w:val="24"/>
              </w:rPr>
              <w:t>等。推动扩大联源生物石斛、白芨、黄精等中药种植规模。</w:t>
            </w:r>
          </w:p>
          <w:p>
            <w:pPr>
              <w:spacing w:line="320" w:lineRule="exact"/>
              <w:ind w:firstLine="480" w:firstLineChars="200"/>
              <w:contextualSpacing/>
              <w:rPr>
                <w:rFonts w:ascii="仿宋_GB2312" w:hAnsi="仿宋_GB2312" w:cs="仿宋_GB2312"/>
                <w:bCs/>
                <w:sz w:val="24"/>
              </w:rPr>
            </w:pPr>
            <w:r>
              <w:rPr>
                <w:rFonts w:hint="eastAsia" w:ascii="楷体" w:hAnsi="楷体" w:eastAsia="楷体" w:cs="楷体"/>
                <w:bCs/>
                <w:sz w:val="24"/>
              </w:rPr>
              <w:t>艾草：</w:t>
            </w:r>
            <w:r>
              <w:rPr>
                <w:rFonts w:hint="eastAsia" w:ascii="仿宋_GB2312" w:hAnsi="仿宋_GB2312" w:cs="仿宋_GB2312"/>
                <w:sz w:val="24"/>
              </w:rPr>
              <w:t>推进建设</w:t>
            </w:r>
            <w:r>
              <w:rPr>
                <w:rFonts w:hint="eastAsia" w:ascii="仿宋_GB2312" w:hAnsi="仿宋_GB2312" w:cs="仿宋_GB2312"/>
                <w:sz w:val="24"/>
                <w:lang w:eastAsia="zh-Hans"/>
              </w:rPr>
              <w:t>社旗县</w:t>
            </w:r>
            <w:r>
              <w:rPr>
                <w:rFonts w:hint="eastAsia" w:ascii="仿宋_GB2312" w:hAnsi="仿宋_GB2312" w:cs="仿宋_GB2312"/>
                <w:sz w:val="24"/>
              </w:rPr>
              <w:t>国医仲景艾草产业园项目、南阳卧龙艾草产业园项目、卧龙保税区出口艾制品产业园项目、南召艾草产业园项目、南阳仲源艾草健康产业园项目，艾草资源保护及生态种植基地建设项目、艾草种质资源圃建设及育种应用项目，艾灸智能设备项目，艾草产品精深加工中心建设项目，艾草健康生态旅游综合体建设项目。</w:t>
            </w:r>
          </w:p>
          <w:p>
            <w:pPr>
              <w:spacing w:line="320" w:lineRule="exact"/>
              <w:ind w:firstLine="480" w:firstLineChars="200"/>
              <w:contextualSpacing/>
              <w:rPr>
                <w:rFonts w:ascii="仿宋_GB2312" w:hAnsi="仿宋_GB2312" w:cs="仿宋_GB2312"/>
                <w:sz w:val="24"/>
              </w:rPr>
            </w:pPr>
            <w:r>
              <w:rPr>
                <w:rFonts w:hint="eastAsia" w:ascii="楷体" w:hAnsi="楷体" w:eastAsia="楷体" w:cs="楷体"/>
                <w:bCs/>
                <w:sz w:val="24"/>
              </w:rPr>
              <w:t>高端医疗器械：</w:t>
            </w:r>
            <w:r>
              <w:rPr>
                <w:rFonts w:hint="eastAsia" w:ascii="仿宋_GB2312" w:hAnsi="仿宋_GB2312" w:cs="仿宋_GB2312"/>
                <w:sz w:val="24"/>
              </w:rPr>
              <w:t>推进汇博医疗生物敷料生产车间建设项目、迈松医疗“心、肺、脑”病症诊疗设备建设项目、久康医疗医用试剂建设项目等。</w:t>
            </w:r>
          </w:p>
          <w:p>
            <w:pPr>
              <w:spacing w:line="320" w:lineRule="exact"/>
              <w:ind w:firstLine="480" w:firstLineChars="200"/>
              <w:contextualSpacing/>
              <w:rPr>
                <w:rFonts w:ascii="仿宋_GB2312" w:hAnsi="仿宋_GB2312" w:cs="仿宋_GB2312"/>
                <w:sz w:val="24"/>
              </w:rPr>
            </w:pPr>
            <w:r>
              <w:rPr>
                <w:rFonts w:hint="eastAsia" w:ascii="楷体" w:hAnsi="楷体" w:eastAsia="楷体" w:cs="楷体"/>
                <w:bCs/>
                <w:sz w:val="24"/>
              </w:rPr>
              <w:t>生物农业：</w:t>
            </w:r>
            <w:r>
              <w:rPr>
                <w:rFonts w:hint="eastAsia" w:ascii="仿宋_GB2312" w:hAnsi="仿宋_GB2312" w:cs="仿宋_GB2312"/>
                <w:sz w:val="24"/>
              </w:rPr>
              <w:t>推进社旗县顺天生物科技园建设，大力发展烟碱等植物源生物杀虫剂和茄尼醇等医药中间体。鼓励华牧公司开展植保专用药剂、生物兽药等兽用疫苗的研发和生产。扩大建设南阳恒利康生物科技生物年产20万吨植物酵素和300吨益生菌现代化生产线项目。</w:t>
            </w:r>
          </w:p>
          <w:p>
            <w:pPr>
              <w:spacing w:line="320" w:lineRule="exact"/>
              <w:ind w:firstLine="480" w:firstLineChars="200"/>
              <w:contextualSpacing/>
              <w:rPr>
                <w:rFonts w:ascii="仿宋_GB2312" w:hAnsi="仿宋_GB2312" w:cs="仿宋_GB2312"/>
                <w:bCs/>
                <w:spacing w:val="-4"/>
                <w:sz w:val="24"/>
              </w:rPr>
            </w:pPr>
            <w:r>
              <w:rPr>
                <w:rFonts w:hint="eastAsia" w:ascii="楷体" w:hAnsi="楷体" w:eastAsia="楷体" w:cs="楷体"/>
                <w:bCs/>
                <w:sz w:val="24"/>
              </w:rPr>
              <w:t>中医药公共服务平台：</w:t>
            </w:r>
            <w:r>
              <w:rPr>
                <w:rFonts w:hint="eastAsia" w:ascii="仿宋_GB2312" w:hAnsi="仿宋_GB2312" w:cs="仿宋_GB2312"/>
                <w:sz w:val="24"/>
              </w:rPr>
              <w:t>建立现代中药研发公共服务平台，为全市中医药企业提供技术咨询、检验检测、产品认证、成果转化等提供一条龙服务，推进南阳市现代中药全产业链发展。支持南阳农业科学院等联合建立以“八大宛药”为核心的“张仲景中草药种质资源库”和南阳师范学院“南阳艾种质与基因资源库”。</w:t>
            </w:r>
          </w:p>
        </w:tc>
      </w:tr>
    </w:tbl>
    <w:p>
      <w:pPr>
        <w:pStyle w:val="7"/>
        <w:spacing w:line="560" w:lineRule="exact"/>
        <w:contextualSpacing/>
        <w:jc w:val="center"/>
        <w:rPr>
          <w:rFonts w:ascii="仿宋_GB2312" w:hAnsi="仿宋_GB2312" w:cs="仿宋_GB2312"/>
          <w:b w:val="0"/>
        </w:rPr>
      </w:pPr>
      <w:bookmarkStart w:id="220" w:name="_Toc1993028789"/>
      <w:r>
        <w:rPr>
          <w:rFonts w:hint="eastAsia" w:ascii="楷体" w:hAnsi="楷体" w:eastAsia="楷体" w:cs="楷体"/>
          <w:b w:val="0"/>
        </w:rPr>
        <w:t>第二节</w:t>
      </w:r>
      <w:r>
        <w:rPr>
          <w:rFonts w:hint="eastAsia"/>
        </w:rPr>
        <w:t xml:space="preserve">  </w:t>
      </w:r>
      <w:r>
        <w:rPr>
          <w:rFonts w:hint="eastAsia" w:ascii="楷体" w:hAnsi="楷体" w:eastAsia="楷体" w:cs="楷体"/>
          <w:b w:val="0"/>
        </w:rPr>
        <w:t>加快发展四大成长产业</w:t>
      </w:r>
      <w:bookmarkEnd w:id="220"/>
    </w:p>
    <w:p>
      <w:pPr>
        <w:spacing w:line="560" w:lineRule="exact"/>
        <w:ind w:firstLine="640" w:firstLineChars="200"/>
        <w:contextualSpacing/>
        <w:rPr>
          <w:rFonts w:ascii="仿宋_GB2312" w:hAnsi="仿宋_GB2312" w:cs="仿宋_GB2312"/>
        </w:rPr>
      </w:pPr>
      <w:bookmarkStart w:id="221" w:name="_Toc310756284"/>
      <w:r>
        <w:rPr>
          <w:rStyle w:val="47"/>
          <w:rFonts w:hint="eastAsia"/>
          <w:b w:val="0"/>
        </w:rPr>
        <w:t>1.新材料产业</w:t>
      </w:r>
      <w:bookmarkEnd w:id="221"/>
      <w:r>
        <w:rPr>
          <w:rStyle w:val="47"/>
          <w:rFonts w:hint="eastAsia"/>
          <w:b w:val="0"/>
        </w:rPr>
        <w:t>。</w:t>
      </w:r>
      <w:r>
        <w:rPr>
          <w:rFonts w:hint="eastAsia" w:ascii="仿宋_GB2312" w:hAnsi="仿宋_GB2312" w:cs="仿宋_GB2312"/>
        </w:rPr>
        <w:t>紧跟全球新材料产业绿色化、低碳化、精细化、节约化发展趋势，积极落实新材料强国发展战略，瞄准节能环保、航空航天、医疗器械等市场发展需求，聚焦超硬材料、冶金功能材料、新型功能材料等细分领域，加大产业链上下游企业招引力度，完善产业协作网络，逐步打造完整的新材料产业链，提高产业集中度，逐步形成产业集群。到2025年，力争新材料产业规模突破300亿元，建成全省重要的新材料生产基地。</w:t>
      </w:r>
    </w:p>
    <w:p>
      <w:pPr>
        <w:spacing w:line="560" w:lineRule="exact"/>
        <w:ind w:firstLine="640" w:firstLineChars="200"/>
        <w:contextualSpacing/>
        <w:rPr>
          <w:rFonts w:ascii="仿宋_GB2312" w:hAnsi="仿宋_GB2312" w:cs="仿宋_GB2312"/>
        </w:rPr>
      </w:pPr>
      <w:r>
        <w:rPr>
          <w:rFonts w:hint="eastAsia" w:ascii="仿宋" w:hAnsi="仿宋" w:eastAsia="仿宋"/>
        </w:rPr>
        <w:t>（1）超硬材料。</w:t>
      </w:r>
      <w:r>
        <w:rPr>
          <w:rFonts w:hint="eastAsia" w:ascii="仿宋_GB2312" w:hAnsi="仿宋_GB2312" w:cs="仿宋_GB2312"/>
        </w:rPr>
        <w:t>依托中南钻石等龙头骨干企业，做优合成芯柱、合金顶锤、六面定压机、叶腊石制品等基础部件，做强工业金刚石、培育级金刚石、砂轮磨削片等产业，重点开发人造金刚石单晶、立方氮化硼单晶、人造金刚石聚晶复合片、立方氮化硼聚晶复合片、人造金刚石微粉、高精度超硬磨具、专用生产设备和检测仪器等新产品。重点研究和突破大颗粒金刚石及立方氮化硼规模化生产技术，高品级钻石制备技术，金刚石镀覆技术，超硬磨具用高精度金刚石加工工具生产技术。聚焦超硬材料产业下游，进一步延伸超硬材料工具、珠宝首饰、磨削设备制造等产业。围绕方城县超硬材料产业园，把我市建设成为国内外有影响力的超硬材料产研基地。</w:t>
      </w:r>
    </w:p>
    <w:p>
      <w:pPr>
        <w:spacing w:line="560" w:lineRule="exact"/>
        <w:ind w:firstLine="640" w:firstLineChars="200"/>
        <w:contextualSpacing/>
      </w:pPr>
      <w:r>
        <w:rPr>
          <w:rFonts w:hint="eastAsia" w:ascii="仿宋" w:hAnsi="仿宋" w:eastAsia="仿宋"/>
        </w:rPr>
        <w:t>（2）冶金功能材料。</w:t>
      </w:r>
      <w:r>
        <w:rPr>
          <w:rFonts w:hint="eastAsia" w:ascii="仿宋_GB2312" w:hAnsi="仿宋_GB2312" w:cs="仿宋_GB2312"/>
        </w:rPr>
        <w:t>依托西保集团、通宇公司、龙成特种材料公司等骨干企业，重点开发各种特殊钢种专用冶金功能材料产品，满足不同钢种冶炼需求，重点研究节能环保、可持续利用的冶金功能材料生产技术，通过技术创新提高产品附加值，推动产品结构升级，把我市建设成国内最大、具有国内领先水平的冶金功能材料产业基地。</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6" w:type="dxa"/>
            <w:tcBorders>
              <w:top w:val="single" w:color="auto" w:sz="4" w:space="0"/>
              <w:left w:val="single" w:color="auto" w:sz="4" w:space="0"/>
              <w:bottom w:val="single" w:color="auto" w:sz="4" w:space="0"/>
              <w:right w:val="single" w:color="auto" w:sz="4" w:space="0"/>
            </w:tcBorders>
          </w:tcPr>
          <w:p>
            <w:pPr>
              <w:spacing w:line="400" w:lineRule="exact"/>
              <w:contextualSpacing/>
              <w:jc w:val="center"/>
              <w:rPr>
                <w:rFonts w:ascii="仿宋_GB2312" w:hAnsi="仿宋_GB2312" w:cs="仿宋_GB2312"/>
                <w:sz w:val="24"/>
              </w:rPr>
            </w:pPr>
            <w:r>
              <w:rPr>
                <w:rFonts w:hint="eastAsia" w:ascii="Times New Roman" w:hAnsi="Times New Roman" w:eastAsia="黑体"/>
                <w:sz w:val="28"/>
                <w:szCs w:val="28"/>
              </w:rPr>
              <w:t>专栏3：新材料产业重大项目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96"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超硬材料：</w:t>
            </w:r>
            <w:r>
              <w:rPr>
                <w:rFonts w:hint="eastAsia" w:ascii="仿宋_GB2312" w:hAnsi="仿宋_GB2312" w:cs="仿宋_GB2312"/>
                <w:sz w:val="24"/>
              </w:rPr>
              <w:t>重点建设中南钻石有限公司培育级金刚石扩建项目、河南神州灵山新材料有限公司叶腊石项目、中晶（河南）钻石科技有限公司年生产12亿克拉金刚石及系列制品项目</w:t>
            </w:r>
            <w:r>
              <w:rPr>
                <w:rFonts w:hint="eastAsia" w:ascii="仿宋_GB2312" w:hAnsi="仿宋_GB2312" w:cs="仿宋_GB2312"/>
                <w:sz w:val="24"/>
                <w:lang w:eastAsia="zh-Hans"/>
              </w:rPr>
              <w:t>、</w:t>
            </w:r>
            <w:r>
              <w:rPr>
                <w:rFonts w:hint="eastAsia" w:ascii="仿宋_GB2312" w:hAnsi="仿宋_GB2312" w:cs="仿宋_GB2312"/>
                <w:sz w:val="24"/>
              </w:rPr>
              <w:t>河南博森新材料科技有限公司人造金刚石项目</w:t>
            </w:r>
            <w:r>
              <w:rPr>
                <w:rFonts w:hint="eastAsia" w:ascii="仿宋_GB2312" w:hAnsi="仿宋_GB2312" w:cs="仿宋_GB2312"/>
                <w:sz w:val="24"/>
                <w:lang w:eastAsia="zh-Hans"/>
              </w:rPr>
              <w:t>、</w:t>
            </w:r>
            <w:r>
              <w:rPr>
                <w:rFonts w:hint="eastAsia" w:ascii="仿宋_GB2312" w:hAnsi="仿宋_GB2312" w:cs="仿宋_GB2312"/>
                <w:sz w:val="24"/>
              </w:rPr>
              <w:t>河南佑开磨具有限公司砂轮项目</w:t>
            </w:r>
            <w:r>
              <w:rPr>
                <w:rFonts w:hint="eastAsia" w:ascii="仿宋_GB2312" w:hAnsi="仿宋_GB2312" w:cs="仿宋_GB2312"/>
                <w:sz w:val="24"/>
                <w:lang w:eastAsia="zh-Hans"/>
              </w:rPr>
              <w:t>、</w:t>
            </w:r>
            <w:r>
              <w:rPr>
                <w:rFonts w:hint="eastAsia" w:ascii="仿宋_GB2312" w:hAnsi="仿宋_GB2312" w:cs="仿宋_GB2312"/>
                <w:sz w:val="24"/>
              </w:rPr>
              <w:t>中线（河南）新材料科技有限公司金刚石线具项目</w:t>
            </w:r>
            <w:r>
              <w:rPr>
                <w:rFonts w:hint="eastAsia" w:ascii="仿宋_GB2312" w:hAnsi="仿宋_GB2312" w:cs="仿宋_GB2312"/>
                <w:sz w:val="24"/>
                <w:lang w:eastAsia="zh-Hans"/>
              </w:rPr>
              <w:t>、</w:t>
            </w:r>
            <w:r>
              <w:rPr>
                <w:rFonts w:hint="eastAsia" w:ascii="仿宋_GB2312" w:hAnsi="仿宋_GB2312" w:cs="仿宋_GB2312"/>
                <w:sz w:val="24"/>
              </w:rPr>
              <w:t>河南三元新材料有限公司白刚玉项目等。</w:t>
            </w:r>
          </w:p>
          <w:p>
            <w:pPr>
              <w:spacing w:line="400" w:lineRule="exact"/>
              <w:ind w:firstLine="480" w:firstLineChars="200"/>
              <w:contextualSpacing/>
              <w:rPr>
                <w:rFonts w:ascii="仿宋_GB2312" w:hAnsi="仿宋_GB2312" w:cs="仿宋_GB2312"/>
                <w:bCs/>
                <w:spacing w:val="-4"/>
                <w:sz w:val="24"/>
              </w:rPr>
            </w:pPr>
            <w:r>
              <w:rPr>
                <w:rFonts w:hint="eastAsia" w:ascii="楷体" w:hAnsi="楷体" w:eastAsia="楷体" w:cs="楷体"/>
                <w:bCs/>
                <w:sz w:val="24"/>
              </w:rPr>
              <w:t>冶金功能材料：</w:t>
            </w:r>
            <w:r>
              <w:rPr>
                <w:rFonts w:hint="eastAsia" w:ascii="仿宋_GB2312" w:hAnsi="仿宋_GB2312" w:cs="仿宋_GB2312"/>
                <w:sz w:val="24"/>
                <w:lang w:eastAsia="zh-Hans"/>
              </w:rPr>
              <w:t>依托西保集团伏牛山高温熔料项目，建设高品质优特钢用高温熔料生产线10条，实现年产不同品种新型熔料产品20万吨。</w:t>
            </w:r>
            <w:r>
              <w:rPr>
                <w:rFonts w:hint="eastAsia" w:ascii="仿宋_GB2312" w:hAnsi="仿宋_GB2312" w:cs="仿宋_GB2312"/>
                <w:sz w:val="24"/>
              </w:rPr>
              <w:t>建设龙成特种材料公司结晶器铜板制备项目。</w:t>
            </w:r>
          </w:p>
        </w:tc>
      </w:tr>
    </w:tbl>
    <w:p>
      <w:pPr>
        <w:tabs>
          <w:tab w:val="left" w:pos="1363"/>
        </w:tabs>
        <w:spacing w:line="560" w:lineRule="exact"/>
        <w:ind w:firstLine="640" w:firstLineChars="200"/>
        <w:contextualSpacing/>
        <w:jc w:val="left"/>
        <w:rPr>
          <w:rFonts w:ascii="仿宋_GB2312" w:hAnsi="仿宋_GB2312" w:cs="仿宋_GB2312"/>
        </w:rPr>
      </w:pPr>
      <w:bookmarkStart w:id="222" w:name="_Toc5820"/>
      <w:bookmarkStart w:id="223" w:name="_Toc10605"/>
      <w:bookmarkStart w:id="224" w:name="_Toc66873138"/>
      <w:bookmarkStart w:id="225" w:name="_Toc22728"/>
      <w:r>
        <w:rPr>
          <w:rStyle w:val="47"/>
          <w:rFonts w:hint="eastAsia"/>
          <w:b w:val="0"/>
        </w:rPr>
        <w:t>2.新能源产业</w:t>
      </w:r>
      <w:bookmarkEnd w:id="222"/>
      <w:bookmarkEnd w:id="223"/>
      <w:bookmarkEnd w:id="224"/>
      <w:bookmarkEnd w:id="225"/>
      <w:r>
        <w:rPr>
          <w:rStyle w:val="47"/>
          <w:rFonts w:hint="eastAsia"/>
          <w:b w:val="0"/>
        </w:rPr>
        <w:t>。</w:t>
      </w:r>
      <w:r>
        <w:rPr>
          <w:rFonts w:hint="eastAsia" w:ascii="仿宋_GB2312" w:hAnsi="仿宋_GB2312" w:cs="仿宋_GB2312"/>
        </w:rPr>
        <w:t>紧跟全球能源产业绿色化、低碳化、高效化发展趋势，积极落实“碳达峰，碳中和”等国家重大战略，聚焦新能源装备、新能源电池、新能源汽车零部件等细分领域，推动新能源产业多元化发展，打造南阳特色新能源产业链，逐步形成点多面广、门类齐全的新能源产业集群。到2025年，力争新能源产业规模突破300亿元，建成全省重要的新能源产业基地。</w:t>
      </w:r>
    </w:p>
    <w:p>
      <w:pPr>
        <w:pStyle w:val="4"/>
        <w:spacing w:line="560" w:lineRule="exact"/>
        <w:ind w:firstLine="579" w:firstLineChars="181"/>
        <w:contextualSpacing/>
        <w:rPr>
          <w:rFonts w:ascii="仿宋_GB2312" w:hAnsi="仿宋_GB2312" w:cs="仿宋_GB2312"/>
          <w:bCs/>
        </w:rPr>
      </w:pPr>
      <w:r>
        <w:rPr>
          <w:rFonts w:hint="eastAsia" w:ascii="仿宋" w:hAnsi="仿宋" w:eastAsia="仿宋"/>
          <w:bCs/>
        </w:rPr>
        <w:t>（1）新能源装备。</w:t>
      </w:r>
      <w:r>
        <w:rPr>
          <w:rFonts w:hint="eastAsia" w:ascii="仿宋_GB2312" w:hAnsi="仿宋_GB2312" w:cs="仿宋_GB2312"/>
          <w:bCs/>
        </w:rPr>
        <w:t>依托卧龙防爆、瑞发水电、金冠电气、微特电机等龙头骨干企业，开发各类新能源装备配套产品。积极引进晶硅生产企业，重点发展先进晶硅电池技术，提升薄膜太阳能电池效率，推动高效率、低成本的太阳能利用新技术产业化。开发太阳能智能节能装置，积极运用大数据、物联网技术，提高太阳能节能效果。加强风电装备和风电运行控制研发，以发展风电成套机组组装为突破口，带动发电机、轴承、齿轮箱、叶片等风电关键零部件发展，在资源条件较好的地方建设大型风电基地。</w:t>
      </w:r>
    </w:p>
    <w:p>
      <w:pPr>
        <w:pStyle w:val="4"/>
        <w:spacing w:line="560" w:lineRule="exact"/>
        <w:ind w:firstLine="579" w:firstLineChars="181"/>
        <w:contextualSpacing/>
        <w:rPr>
          <w:rFonts w:ascii="仿宋_GB2312" w:hAnsi="仿宋_GB2312" w:cs="仿宋_GB2312"/>
          <w:bCs/>
        </w:rPr>
      </w:pPr>
      <w:r>
        <w:rPr>
          <w:rFonts w:hint="eastAsia" w:ascii="仿宋" w:hAnsi="仿宋" w:eastAsia="仿宋"/>
          <w:bCs/>
        </w:rPr>
        <w:t>（2）新能源电池。</w:t>
      </w:r>
      <w:r>
        <w:rPr>
          <w:rFonts w:hint="eastAsia" w:ascii="仿宋_GB2312" w:hAnsi="仿宋_GB2312" w:cs="仿宋_GB2312"/>
          <w:bCs/>
        </w:rPr>
        <w:t>依托海宏科技等骨干企业，加快发展电池新材料、电池设计、高性能热管理系统和电池管理系统，实现锂离子电池技术升级。围绕新能源、集成电路、电子元器件等发展需求，重点发展高容量/高电压正级材料、高容量负极材料、高熔点隔膜、高电压电解液等电池新材料。积极引进和发展氢燃料电池、锂硫电池、金属空气电池、全固态锂离子电池等下一代动力电池。</w:t>
      </w:r>
    </w:p>
    <w:p>
      <w:pPr>
        <w:pStyle w:val="4"/>
        <w:spacing w:line="560" w:lineRule="exact"/>
        <w:ind w:firstLine="579" w:firstLineChars="181"/>
        <w:contextualSpacing/>
        <w:rPr>
          <w:rFonts w:ascii="仿宋_GB2312" w:hAnsi="仿宋_GB2312" w:cs="仿宋_GB2312"/>
          <w:bCs/>
        </w:rPr>
      </w:pPr>
      <w:r>
        <w:rPr>
          <w:rFonts w:hint="eastAsia" w:ascii="仿宋" w:hAnsi="仿宋" w:eastAsia="仿宋"/>
          <w:bCs/>
        </w:rPr>
        <w:t>（3）新能源汽车零部件。</w:t>
      </w:r>
      <w:r>
        <w:rPr>
          <w:rFonts w:hint="eastAsia" w:ascii="仿宋_GB2312" w:hAnsi="仿宋_GB2312" w:cs="仿宋_GB2312"/>
          <w:bCs/>
        </w:rPr>
        <w:t>依托南阳飞龙、淅减公司等龙头骨干企业，加强关键技术突破，重点发展电子水泵、电动泵、热管理控制阀、真空泵、减震器、中控系统、电机等新能源汽车零部件。加大招引力度，重点发展底盘控制与安全系统、车身电子控制系统等。</w:t>
      </w:r>
    </w:p>
    <w:p>
      <w:pPr>
        <w:spacing w:line="560" w:lineRule="exact"/>
        <w:ind w:firstLine="640" w:firstLineChars="200"/>
        <w:contextualSpacing/>
        <w:rPr>
          <w:rFonts w:ascii="仿宋_GB2312" w:hAnsi="仿宋_GB2312" w:cs="仿宋_GB2312"/>
          <w:bCs/>
        </w:rPr>
      </w:pPr>
      <w:r>
        <w:rPr>
          <w:rFonts w:hint="eastAsia" w:ascii="仿宋" w:hAnsi="仿宋" w:eastAsia="仿宋"/>
          <w:bCs/>
        </w:rPr>
        <w:t>（4）新能源多元化发展。</w:t>
      </w:r>
      <w:r>
        <w:rPr>
          <w:rFonts w:hint="eastAsia" w:ascii="仿宋_GB2312" w:hAnsi="仿宋_GB2312" w:cs="仿宋_GB2312"/>
          <w:bCs/>
        </w:rPr>
        <w:t>大力推进秸秆、生活垃圾、有机废弃物等能源开发和利用。加强地热能规模利用，推进地热供暖设备规模化、产业化，促进地热能供暖行业模式取得新突破。加快建设智能电网、微电网、分布式能源，构建适应能源互联网的基础支撑技术体系，促进“互联网+”智慧能源建设。</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6" w:type="dxa"/>
            <w:tcBorders>
              <w:top w:val="single" w:color="auto" w:sz="4" w:space="0"/>
              <w:left w:val="single" w:color="auto" w:sz="4" w:space="0"/>
              <w:bottom w:val="single" w:color="auto" w:sz="4" w:space="0"/>
              <w:right w:val="single" w:color="auto" w:sz="4" w:space="0"/>
            </w:tcBorders>
          </w:tcPr>
          <w:p>
            <w:pPr>
              <w:spacing w:line="400" w:lineRule="exact"/>
              <w:contextualSpacing/>
              <w:jc w:val="center"/>
              <w:rPr>
                <w:rFonts w:ascii="仿宋_GB2312" w:hAnsi="仿宋_GB2312" w:cs="仿宋_GB2312"/>
                <w:sz w:val="24"/>
              </w:rPr>
            </w:pPr>
            <w:r>
              <w:rPr>
                <w:rFonts w:hint="eastAsia" w:ascii="黑体" w:hAnsi="黑体" w:eastAsia="黑体" w:cs="黑体"/>
                <w:sz w:val="28"/>
                <w:szCs w:val="28"/>
              </w:rPr>
              <w:t>专栏4：新能源产业重大项目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96"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contextualSpacing/>
              <w:rPr>
                <w:rFonts w:ascii="仿宋_GB2312" w:hAnsi="仿宋_GB2312" w:cs="仿宋_GB2312"/>
                <w:sz w:val="24"/>
                <w:szCs w:val="24"/>
              </w:rPr>
            </w:pPr>
            <w:r>
              <w:rPr>
                <w:rFonts w:hint="eastAsia" w:ascii="楷体" w:hAnsi="楷体" w:eastAsia="楷体" w:cs="楷体"/>
                <w:bCs/>
                <w:sz w:val="24"/>
              </w:rPr>
              <w:t>新能源装备：</w:t>
            </w:r>
            <w:r>
              <w:rPr>
                <w:rFonts w:hint="eastAsia" w:ascii="仿宋_GB2312" w:hAnsi="仿宋_GB2312" w:cs="仿宋_GB2312"/>
                <w:sz w:val="24"/>
                <w:szCs w:val="24"/>
                <w:lang w:eastAsia="zh-Hans"/>
              </w:rPr>
              <w:t>重点建设新能源装备产业园。推进建设卧龙电气高效节能电机产业化项目（二期）、卧龙电气高端装备用大型节能电机及驱动控制系统产业化项目、瑞发高效智能永磁驱动系统研发与应用项目、瑞发高压电机绝缘体系升级技术改造项目等</w:t>
            </w:r>
            <w:r>
              <w:rPr>
                <w:rFonts w:hint="eastAsia" w:ascii="仿宋_GB2312" w:hAnsi="仿宋_GB2312" w:cs="仿宋_GB2312"/>
                <w:sz w:val="24"/>
                <w:szCs w:val="24"/>
              </w:rPr>
              <w:t>。</w:t>
            </w:r>
          </w:p>
          <w:p>
            <w:pPr>
              <w:spacing w:line="400" w:lineRule="exact"/>
              <w:ind w:firstLine="480" w:firstLineChars="200"/>
              <w:contextualSpacing/>
              <w:rPr>
                <w:rFonts w:ascii="仿宋_GB2312" w:hAnsi="仿宋_GB2312" w:cs="仿宋_GB2312"/>
                <w:sz w:val="24"/>
                <w:szCs w:val="24"/>
                <w:lang w:eastAsia="zh-Hans"/>
              </w:rPr>
            </w:pPr>
            <w:r>
              <w:rPr>
                <w:rFonts w:hint="eastAsia" w:ascii="楷体" w:hAnsi="楷体" w:eastAsia="楷体" w:cs="楷体"/>
                <w:bCs/>
                <w:sz w:val="24"/>
              </w:rPr>
              <w:t>新能源电池：</w:t>
            </w:r>
            <w:r>
              <w:rPr>
                <w:rFonts w:hint="eastAsia" w:ascii="仿宋_GB2312" w:hAnsi="仿宋_GB2312" w:cs="仿宋_GB2312"/>
                <w:sz w:val="24"/>
                <w:szCs w:val="24"/>
              </w:rPr>
              <w:t>重点</w:t>
            </w:r>
            <w:r>
              <w:rPr>
                <w:rFonts w:hint="eastAsia" w:ascii="仿宋_GB2312" w:hAnsi="仿宋_GB2312" w:cs="仿宋_GB2312"/>
                <w:sz w:val="24"/>
                <w:szCs w:val="24"/>
                <w:lang w:eastAsia="zh-Hans"/>
              </w:rPr>
              <w:t>建设海宏科技新能源锂电池扩能建设项目、淅川金阳储能科技有限公司储能电池项目、威斯顿新能源科技有限公司年产7000万只小动力圆柱锂电池生产项目、荣阳实业（南阳）有限公司新能源汽车锂电池电极端板生产线建设项目</w:t>
            </w:r>
            <w:r>
              <w:rPr>
                <w:rFonts w:hint="eastAsia" w:ascii="仿宋_GB2312" w:hAnsi="仿宋_GB2312" w:cs="仿宋_GB2312"/>
                <w:sz w:val="24"/>
                <w:szCs w:val="24"/>
              </w:rPr>
              <w:t>等</w:t>
            </w:r>
            <w:r>
              <w:rPr>
                <w:rFonts w:hint="eastAsia" w:ascii="仿宋_GB2312" w:hAnsi="仿宋_GB2312" w:cs="仿宋_GB2312"/>
                <w:sz w:val="24"/>
                <w:szCs w:val="24"/>
                <w:lang w:eastAsia="zh-Hans"/>
              </w:rPr>
              <w:t>。</w:t>
            </w:r>
          </w:p>
          <w:p>
            <w:pPr>
              <w:spacing w:line="400" w:lineRule="exact"/>
              <w:ind w:firstLine="480" w:firstLineChars="200"/>
              <w:contextualSpacing/>
              <w:rPr>
                <w:rFonts w:ascii="仿宋_GB2312" w:hAnsi="仿宋_GB2312" w:cs="仿宋_GB2312"/>
                <w:bCs/>
                <w:spacing w:val="-4"/>
                <w:sz w:val="24"/>
              </w:rPr>
            </w:pPr>
            <w:r>
              <w:rPr>
                <w:rFonts w:hint="eastAsia" w:ascii="楷体" w:hAnsi="楷体" w:eastAsia="楷体" w:cs="楷体"/>
                <w:bCs/>
                <w:sz w:val="24"/>
                <w:lang w:eastAsia="zh-Hans"/>
              </w:rPr>
              <w:t>新能源汽车零部件：</w:t>
            </w:r>
            <w:r>
              <w:rPr>
                <w:rFonts w:hint="eastAsia" w:ascii="仿宋_GB2312" w:hAnsi="仿宋_GB2312" w:cs="仿宋_GB2312"/>
                <w:sz w:val="24"/>
                <w:szCs w:val="24"/>
                <w:lang w:eastAsia="zh-Hans"/>
              </w:rPr>
              <w:t>重点建设世卓世嘉科技有限公司新能源电动汽车配件生产线项目、华纬弹簧有限公司高精度新能源汽车悬架弹簧智能化生产线项目、淅减汽车减振器有限公司自适应阻尼减振器系统（ADS）正向开发及产业化应用项目、淅减汽车减振器有限公司中意车辆智能底盘悬架及其部件研发及产业化项目等。</w:t>
            </w:r>
          </w:p>
        </w:tc>
      </w:tr>
    </w:tbl>
    <w:p>
      <w:pPr>
        <w:spacing w:line="560" w:lineRule="exact"/>
        <w:ind w:firstLine="640" w:firstLineChars="200"/>
        <w:contextualSpacing/>
        <w:rPr>
          <w:rFonts w:ascii="仿宋_GB2312" w:hAnsi="仿宋_GB2312" w:cs="仿宋_GB2312"/>
        </w:rPr>
      </w:pPr>
      <w:bookmarkStart w:id="226" w:name="_Toc12681"/>
      <w:bookmarkStart w:id="227" w:name="_Toc6967"/>
      <w:bookmarkStart w:id="228" w:name="_Toc898885178"/>
      <w:bookmarkStart w:id="229" w:name="_Toc29020"/>
      <w:r>
        <w:rPr>
          <w:rStyle w:val="47"/>
          <w:rFonts w:hint="eastAsia"/>
          <w:b w:val="0"/>
        </w:rPr>
        <w:t>3.智能装备产业</w:t>
      </w:r>
      <w:bookmarkEnd w:id="226"/>
      <w:bookmarkEnd w:id="227"/>
      <w:bookmarkEnd w:id="228"/>
      <w:bookmarkEnd w:id="229"/>
      <w:r>
        <w:rPr>
          <w:rStyle w:val="47"/>
          <w:rFonts w:hint="eastAsia"/>
          <w:b w:val="0"/>
        </w:rPr>
        <w:t>。</w:t>
      </w:r>
      <w:r>
        <w:rPr>
          <w:rFonts w:hint="eastAsia"/>
        </w:rPr>
        <w:t xml:space="preserve"> </w:t>
      </w:r>
      <w:r>
        <w:rPr>
          <w:rFonts w:hint="eastAsia" w:ascii="仿宋_GB2312" w:hAnsi="仿宋_GB2312" w:cs="仿宋_GB2312"/>
        </w:rPr>
        <w:t>紧跟全球智能装备智能化、精密化、绿色化发展趋势，积极落实制造强国等国家重大战略，聚焦防爆装备、油气钻井装备、输变电装备、农牧装备、专用成套装备等细分领域，推动研发技术与生产能力及产品向高端攀升，带动配套产业优化升级，形成以先进制造园区及一批龙头企业为主、带动配套中小企业协调并进的智能装备产业集群。到2025年，力争智能装备产业规模突破300亿元，成为南阳高技术产业发展增长极。</w:t>
      </w:r>
    </w:p>
    <w:p>
      <w:pPr>
        <w:pStyle w:val="4"/>
        <w:spacing w:line="560" w:lineRule="exact"/>
        <w:ind w:firstLine="736" w:firstLineChars="230"/>
        <w:contextualSpacing/>
        <w:rPr>
          <w:rFonts w:ascii="仿宋_GB2312" w:hAnsi="仿宋_GB2312" w:cs="仿宋_GB2312"/>
        </w:rPr>
      </w:pPr>
      <w:r>
        <w:rPr>
          <w:rFonts w:hint="eastAsia" w:ascii="仿宋" w:hAnsi="仿宋" w:eastAsia="仿宋"/>
          <w:bCs/>
        </w:rPr>
        <w:t>（1）防爆装备。</w:t>
      </w:r>
      <w:r>
        <w:rPr>
          <w:rFonts w:hint="eastAsia" w:ascii="仿宋_GB2312" w:hAnsi="仿宋_GB2312" w:cs="仿宋_GB2312"/>
        </w:rPr>
        <w:t>依托卧龙电气南阳防爆集团等龙头骨干企业，发挥防爆研究所技术优势，向节能环保、智能成套、模块集成、特专方向发展，重点开发防爆电机、电动/发电机、轻型发电机、防爆风机、防爆电器，加快发展防爆消防机器人、防爆机器人、矿用机器人、应急机器人，把南阳市建设成为国内外有影响力的防爆产业基地。</w:t>
      </w:r>
    </w:p>
    <w:p>
      <w:pPr>
        <w:pStyle w:val="4"/>
        <w:spacing w:line="560" w:lineRule="exact"/>
        <w:ind w:firstLine="640" w:firstLineChars="200"/>
        <w:contextualSpacing/>
        <w:rPr>
          <w:rFonts w:ascii="仿宋" w:hAnsi="仿宋" w:eastAsia="仿宋"/>
          <w:bCs/>
        </w:rPr>
      </w:pPr>
      <w:r>
        <w:rPr>
          <w:rFonts w:hint="eastAsia" w:ascii="仿宋" w:hAnsi="仿宋" w:eastAsia="仿宋"/>
          <w:bCs/>
        </w:rPr>
        <w:t>（2）油气钻井装备。</w:t>
      </w:r>
      <w:r>
        <w:rPr>
          <w:rFonts w:hint="eastAsia" w:ascii="仿宋_GB2312" w:hAnsi="仿宋_GB2312" w:cs="仿宋_GB2312"/>
          <w:bCs/>
        </w:rPr>
        <w:t>依托南阳二机集团，突破国家油气勘探开发关键核心技术，研发高端、特种领域油气装备。积极开辟海洋水下装备及其它海洋装备新领域。以技术和市场为驱动，推进新老油气装备产品的智能化、数字化、绿色化，加速产品和技术升级。加快拓展工程服务、技术服务、检测服务、维修服务等增值服务业务，由装备制造商向以油气业务为主的跨界发展的高端装备制造商、系统集成与服务商转型。</w:t>
      </w:r>
    </w:p>
    <w:p>
      <w:pPr>
        <w:pStyle w:val="4"/>
        <w:spacing w:line="560" w:lineRule="exact"/>
        <w:ind w:firstLine="640" w:firstLineChars="200"/>
        <w:contextualSpacing/>
        <w:rPr>
          <w:rFonts w:ascii="仿宋_GB2312" w:hAnsi="仿宋_GB2312" w:cs="仿宋_GB2312"/>
          <w:bCs/>
        </w:rPr>
      </w:pPr>
      <w:r>
        <w:rPr>
          <w:rFonts w:hint="eastAsia" w:ascii="仿宋" w:hAnsi="仿宋" w:eastAsia="仿宋"/>
        </w:rPr>
        <w:t>（3）输变电装备。</w:t>
      </w:r>
      <w:r>
        <w:rPr>
          <w:rFonts w:hint="eastAsia" w:ascii="仿宋_GB2312" w:hAnsi="仿宋_GB2312" w:cs="仿宋_GB2312"/>
          <w:bCs/>
        </w:rPr>
        <w:t>依托金冠电气、中祥电子等骨干企业，在避雷器领域，完善和提高特高压交流线路型避雷器、直流线路型避雷器、柔性直流系统用避雷器等产品的功能与性能。研究和开发交直流系统用可控避雷器、线路防雷绝缘子、多层片式压敏电阻、阻尼电阻、灭磁电阻、线性电阻等产品。围绕电阻片在超高梯度、低功耗、高能量吸收能力、侧面绝缘性能提升、多功能压敏等方面开展研究。在智能配网领域，提升产品的一二次深度融合和智能化水平，提供传动设备的远程状态检测及其远程协助的数字化服务。</w:t>
      </w:r>
    </w:p>
    <w:p>
      <w:pPr>
        <w:pStyle w:val="4"/>
        <w:spacing w:line="560" w:lineRule="exact"/>
        <w:ind w:firstLine="640" w:firstLineChars="200"/>
        <w:contextualSpacing/>
        <w:rPr>
          <w:rFonts w:ascii="仿宋_GB2312" w:hAnsi="仿宋_GB2312" w:cs="仿宋_GB2312"/>
          <w:bCs/>
        </w:rPr>
      </w:pPr>
      <w:r>
        <w:rPr>
          <w:rFonts w:hint="eastAsia" w:ascii="仿宋" w:hAnsi="仿宋" w:eastAsia="仿宋"/>
        </w:rPr>
        <w:t>（4）农牧装备。</w:t>
      </w:r>
      <w:r>
        <w:rPr>
          <w:rFonts w:hint="eastAsia" w:ascii="仿宋_GB2312" w:hAnsi="仿宋_GB2312" w:cs="仿宋_GB2312"/>
          <w:bCs/>
        </w:rPr>
        <w:t>依托亚澳（南阳）农机等骨干企业，支持建设国家农机装备创新中心，加快发展大型高效拖拉机及其复式作业机具、大型高效联合收割机、高效专用农机和农用无人机、农林生态植保器械等高端农业装备。依托南商农牧等骨干企业，重点发展育肥、保育、妊娠、哺乳等环节智能化饲喂器，加强与知名科研院所和高校开展畜牧养殖技术合作，致力发展成为畜牧养殖全套解决方案提供商。依托牧原智能科技等企业，重点发展饲喂机器人、智慧农业设备、智能畜牧机械、智能农副食品加工专用设备、智能饲料生产专用设备。</w:t>
      </w:r>
    </w:p>
    <w:p>
      <w:pPr>
        <w:pStyle w:val="4"/>
        <w:spacing w:line="560" w:lineRule="exact"/>
        <w:ind w:firstLine="640" w:firstLineChars="200"/>
        <w:contextualSpacing/>
      </w:pPr>
      <w:r>
        <w:rPr>
          <w:rFonts w:hint="eastAsia" w:ascii="仿宋" w:hAnsi="仿宋" w:eastAsia="仿宋"/>
          <w:bCs/>
        </w:rPr>
        <w:t>（5）专用成套装备。</w:t>
      </w:r>
      <w:r>
        <w:rPr>
          <w:rFonts w:hint="eastAsia" w:ascii="仿宋_GB2312" w:hAnsi="仿宋_GB2312" w:cs="仿宋_GB2312"/>
          <w:bCs/>
        </w:rPr>
        <w:t>依托南阳清水科技优质镀膜设备制造技术，积极发展各类真空镀膜设备，进一步扩大产能。加快发展车身自动化焊装、专用智能化生产线、厂内智能物流等智能成套装备，推动纺织服装、食品、轻工、化工、电子等产业示范应用试点建设，发展具有信息自感知、智慧自决策、精准自控制的专用智能制造装备。大力发展高速精密重载轴承、高速精密齿轮传动装置、伺服控制机构、液压气密元件及系统、智能仪器仪表等关键零部件。</w:t>
      </w:r>
    </w:p>
    <w:p>
      <w:pPr>
        <w:spacing w:line="560" w:lineRule="exact"/>
        <w:contextualSpacing/>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6" w:type="dxa"/>
            <w:tcBorders>
              <w:top w:val="single" w:color="auto" w:sz="4" w:space="0"/>
              <w:left w:val="single" w:color="auto" w:sz="4" w:space="0"/>
              <w:bottom w:val="single" w:color="auto" w:sz="4" w:space="0"/>
              <w:right w:val="single" w:color="auto" w:sz="4" w:space="0"/>
            </w:tcBorders>
          </w:tcPr>
          <w:p>
            <w:pPr>
              <w:spacing w:line="400" w:lineRule="exact"/>
              <w:contextualSpacing/>
              <w:jc w:val="center"/>
              <w:rPr>
                <w:rFonts w:ascii="仿宋_GB2312" w:hAnsi="仿宋_GB2312" w:cs="仿宋_GB2312"/>
                <w:sz w:val="24"/>
              </w:rPr>
            </w:pPr>
            <w:r>
              <w:rPr>
                <w:rFonts w:hint="eastAsia" w:ascii="Times New Roman" w:hAnsi="Times New Roman" w:eastAsia="黑体"/>
                <w:sz w:val="28"/>
                <w:szCs w:val="28"/>
              </w:rPr>
              <w:t>专栏5：智能装备产业重大项目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6"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contextualSpacing/>
              <w:rPr>
                <w:rFonts w:ascii="仿宋_GB2312" w:hAnsi="仿宋_GB2312" w:cs="仿宋_GB2312"/>
                <w:sz w:val="24"/>
                <w:lang w:eastAsia="zh-Hans"/>
              </w:rPr>
            </w:pPr>
            <w:r>
              <w:rPr>
                <w:rFonts w:hint="eastAsia" w:ascii="楷体" w:hAnsi="楷体" w:eastAsia="楷体" w:cs="楷体"/>
                <w:bCs/>
                <w:sz w:val="24"/>
              </w:rPr>
              <w:t>防爆装备：</w:t>
            </w:r>
            <w:r>
              <w:rPr>
                <w:rFonts w:hint="eastAsia" w:ascii="仿宋_GB2312" w:hAnsi="仿宋_GB2312" w:cs="仿宋_GB2312"/>
                <w:sz w:val="24"/>
              </w:rPr>
              <w:t>重点建设高新区防爆装备产业园。推进</w:t>
            </w:r>
            <w:r>
              <w:rPr>
                <w:rFonts w:hint="eastAsia" w:ascii="仿宋_GB2312" w:hAnsi="仿宋_GB2312" w:cs="仿宋_GB2312"/>
                <w:sz w:val="24"/>
                <w:lang w:eastAsia="zh-Hans"/>
              </w:rPr>
              <w:t>卧龙电气南阳防爆集团高效节能电机产业化项目（二期）、高端装备用大型节能电机及驱动控制系统产业化项目、国家级检测试验中心项目、大容量高速电机关键技术研究及产业化项目、清洁能源装备高端电机及驱动系统智化项目</w:t>
            </w:r>
            <w:r>
              <w:rPr>
                <w:rFonts w:hint="eastAsia" w:ascii="仿宋_GB2312" w:hAnsi="仿宋_GB2312" w:cs="仿宋_GB2312"/>
                <w:sz w:val="24"/>
              </w:rPr>
              <w:t>等</w:t>
            </w:r>
            <w:r>
              <w:rPr>
                <w:rFonts w:hint="eastAsia" w:ascii="仿宋_GB2312" w:hAnsi="仿宋_GB2312" w:cs="仿宋_GB2312"/>
                <w:sz w:val="24"/>
                <w:lang w:eastAsia="zh-Hans"/>
              </w:rPr>
              <w:t>。</w:t>
            </w:r>
          </w:p>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油气钻井装备：</w:t>
            </w:r>
            <w:r>
              <w:rPr>
                <w:rFonts w:hint="eastAsia" w:ascii="仿宋_GB2312" w:hAnsi="仿宋_GB2312" w:cs="仿宋_GB2312"/>
                <w:sz w:val="24"/>
              </w:rPr>
              <w:t>重点推进南阳二机集团</w:t>
            </w:r>
            <w:r>
              <w:rPr>
                <w:rFonts w:hint="eastAsia" w:ascii="仿宋_GB2312" w:hAnsi="仿宋_GB2312" w:cs="仿宋_GB2312"/>
                <w:sz w:val="24"/>
                <w:lang w:eastAsia="zh-Hans"/>
              </w:rPr>
              <w:t>总投资2亿元智能工厂建设</w:t>
            </w:r>
            <w:r>
              <w:rPr>
                <w:rFonts w:hint="eastAsia" w:ascii="仿宋_GB2312" w:hAnsi="仿宋_GB2312" w:cs="仿宋_GB2312"/>
                <w:sz w:val="24"/>
              </w:rPr>
              <w:t>项目、龙升瑞科年产30台套多通道光纤光栅传感探测系统项目、南阳瑞格年产1000套页岩气钻探用泥浆压力精准控制阀项目等。</w:t>
            </w:r>
          </w:p>
          <w:p>
            <w:pPr>
              <w:spacing w:line="400" w:lineRule="exact"/>
              <w:ind w:firstLine="480" w:firstLineChars="200"/>
              <w:contextualSpacing/>
              <w:rPr>
                <w:rFonts w:ascii="仿宋_GB2312" w:hAnsi="仿宋_GB2312" w:cs="仿宋_GB2312"/>
                <w:bCs/>
                <w:spacing w:val="-4"/>
                <w:sz w:val="24"/>
              </w:rPr>
            </w:pPr>
            <w:r>
              <w:rPr>
                <w:rFonts w:hint="eastAsia" w:ascii="楷体" w:hAnsi="楷体" w:eastAsia="楷体" w:cs="楷体"/>
                <w:bCs/>
                <w:sz w:val="24"/>
              </w:rPr>
              <w:t>专用成套装备：</w:t>
            </w:r>
            <w:r>
              <w:rPr>
                <w:rFonts w:hint="eastAsia" w:ascii="仿宋_GB2312" w:hAnsi="仿宋_GB2312" w:cs="仿宋_GB2312"/>
                <w:sz w:val="24"/>
              </w:rPr>
              <w:t>重点建设</w:t>
            </w:r>
            <w:r>
              <w:rPr>
                <w:rFonts w:hint="eastAsia" w:ascii="仿宋_GB2312" w:hAnsi="仿宋_GB2312" w:cs="仿宋_GB2312"/>
                <w:sz w:val="24"/>
                <w:lang w:eastAsia="zh-Hans"/>
              </w:rPr>
              <w:t>南阳清</w:t>
            </w:r>
            <w:r>
              <w:rPr>
                <w:rFonts w:hint="eastAsia" w:ascii="仿宋_GB2312" w:hAnsi="仿宋_GB2312" w:cs="仿宋_GB2312"/>
                <w:sz w:val="24"/>
              </w:rPr>
              <w:t>水科技有限公司大型镀膜装备研发及产业化项目、中科华强全自动漏缝板研发及产业化项目等，推进建设鸭河工区智能装备产业园。</w:t>
            </w:r>
          </w:p>
        </w:tc>
      </w:tr>
    </w:tbl>
    <w:p>
      <w:pPr>
        <w:spacing w:line="560" w:lineRule="exact"/>
        <w:ind w:firstLine="640" w:firstLineChars="200"/>
        <w:contextualSpacing/>
        <w:rPr>
          <w:rFonts w:ascii="仿宋_GB2312" w:hAnsi="仿宋_GB2312" w:cs="仿宋_GB2312"/>
        </w:rPr>
      </w:pPr>
      <w:bookmarkStart w:id="230" w:name="_Toc777838603"/>
      <w:r>
        <w:rPr>
          <w:rStyle w:val="47"/>
          <w:rFonts w:hint="eastAsia"/>
          <w:b w:val="0"/>
        </w:rPr>
        <w:t>4.节能环保产业</w:t>
      </w:r>
      <w:bookmarkEnd w:id="230"/>
      <w:r>
        <w:rPr>
          <w:rStyle w:val="47"/>
          <w:rFonts w:hint="eastAsia"/>
          <w:b w:val="0"/>
        </w:rPr>
        <w:t>。</w:t>
      </w:r>
      <w:r>
        <w:rPr>
          <w:rFonts w:hint="eastAsia" w:ascii="仿宋_GB2312" w:hAnsi="仿宋_GB2312" w:cs="仿宋_GB2312"/>
        </w:rPr>
        <w:t>紧跟全球节能环保产业绿色化发展趋势，积极落实循环经济等国家重大战略，大力发展高效节能装备、先进环保装备和材料等细分领域，提升产业链上游装备产品发展水平，扩大中游工程项目规模，做强下游服务产业，构建产业间耦合、上下游衔接、技术先进的节能环保产业链。到2025年，力争节能环保产业规模突破100亿元。</w:t>
      </w:r>
    </w:p>
    <w:p>
      <w:pPr>
        <w:pStyle w:val="4"/>
        <w:spacing w:line="560" w:lineRule="exact"/>
        <w:ind w:left="0" w:firstLine="640" w:firstLineChars="200"/>
        <w:contextualSpacing/>
        <w:rPr>
          <w:rFonts w:ascii="仿宋_GB2312" w:hAnsi="仿宋_GB2312" w:cs="仿宋_GB2312"/>
          <w:bCs/>
        </w:rPr>
      </w:pPr>
      <w:r>
        <w:rPr>
          <w:rFonts w:hint="eastAsia" w:ascii="仿宋" w:hAnsi="仿宋" w:eastAsia="仿宋"/>
          <w:bCs/>
        </w:rPr>
        <w:t>（1）高效节能装备。</w:t>
      </w:r>
      <w:r>
        <w:rPr>
          <w:rFonts w:hint="eastAsia" w:ascii="仿宋_GB2312" w:hAnsi="仿宋_GB2312" w:cs="仿宋_GB2312"/>
          <w:bCs/>
        </w:rPr>
        <w:t>依托南阳高新技术产业开发区、南阳新能源经济技术开发区，加快突破高效节能电机技术，重点发展高效电机、节能型变压器、非晶合金变压器等等节能电气产品。加快研发高效节能环保锅炉、大型高效盘式过滤机、余热余压发电利用设备和高效复合型冷却（凝）设备等成套装备产品及关键零部件，推进节能家电、节能照明等绿色消费产品开发与产业化。依托西峡环碧环保工程设备有限公司和河南双鑫消防环保设备公司，重点发展脱硫、脱硝等大气污染治理装备、节能通风设备。</w:t>
      </w:r>
    </w:p>
    <w:p>
      <w:pPr>
        <w:pStyle w:val="4"/>
        <w:spacing w:line="560" w:lineRule="exact"/>
        <w:ind w:left="119" w:firstLine="640" w:firstLineChars="200"/>
        <w:contextualSpacing/>
        <w:rPr>
          <w:rFonts w:ascii="仿宋_GB2312" w:hAnsi="仿宋_GB2312" w:cs="仿宋_GB2312"/>
          <w:bCs/>
        </w:rPr>
      </w:pPr>
      <w:r>
        <w:rPr>
          <w:rFonts w:hint="eastAsia" w:ascii="仿宋" w:hAnsi="仿宋" w:eastAsia="仿宋"/>
          <w:bCs/>
        </w:rPr>
        <w:t>（2）先进环保装备和材料。</w:t>
      </w:r>
      <w:r>
        <w:rPr>
          <w:rFonts w:hint="eastAsia" w:ascii="仿宋_GB2312" w:hAnsi="仿宋_GB2312" w:cs="仿宋_GB2312"/>
          <w:bCs/>
        </w:rPr>
        <w:t>依托唐河县先进制造业开发区和宛东新城，重点发展生活垃圾清扫、收集、压缩等环卫无害化处置装备以及自动化清粪设备、城镇生活污水处理一体化装置、污泥一体化智能好氧发酵装置。依托南阳市美宝环保设备有限公司、河南洁达环保投资有限公司和河南古德尼迪克环保科技有限公司，重点发展废水治理设备及在线监测设备等。推进节能环保领域产业技术创新联盟建设，推动节能环保技术研发、转化、应用。加强科技创新平台建设，开展节能环保产业技术攻坚。支持河南华泰新材料科技股份有限公司大力发展泡沫混凝土和南阳市寅兴实业有限公司轻质节能保温材料等装配式建筑产品。</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6" w:type="dxa"/>
            <w:tcBorders>
              <w:top w:val="single" w:color="auto" w:sz="4" w:space="0"/>
              <w:left w:val="single" w:color="auto" w:sz="4" w:space="0"/>
              <w:bottom w:val="single" w:color="auto" w:sz="4" w:space="0"/>
              <w:right w:val="single" w:color="auto" w:sz="4" w:space="0"/>
            </w:tcBorders>
          </w:tcPr>
          <w:p>
            <w:pPr>
              <w:spacing w:line="500" w:lineRule="exact"/>
              <w:contextualSpacing/>
              <w:jc w:val="center"/>
              <w:rPr>
                <w:rFonts w:ascii="仿宋_GB2312" w:hAnsi="仿宋_GB2312" w:cs="仿宋_GB2312"/>
                <w:sz w:val="24"/>
              </w:rPr>
            </w:pPr>
            <w:r>
              <w:rPr>
                <w:rFonts w:hint="eastAsia" w:ascii="Times New Roman" w:hAnsi="Times New Roman" w:eastAsia="黑体"/>
                <w:sz w:val="28"/>
                <w:szCs w:val="28"/>
              </w:rPr>
              <w:t>专栏6：节能环保产业重大项目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6" w:type="dxa"/>
            <w:tcBorders>
              <w:top w:val="single" w:color="auto" w:sz="4" w:space="0"/>
              <w:left w:val="single" w:color="auto" w:sz="4" w:space="0"/>
              <w:bottom w:val="single" w:color="auto" w:sz="4" w:space="0"/>
              <w:right w:val="single" w:color="auto" w:sz="4" w:space="0"/>
            </w:tcBorders>
          </w:tcPr>
          <w:p>
            <w:pPr>
              <w:spacing w:line="500" w:lineRule="exact"/>
              <w:ind w:firstLine="480" w:firstLineChars="200"/>
              <w:contextualSpacing/>
              <w:rPr>
                <w:rFonts w:ascii="仿宋_GB2312" w:hAnsi="仿宋_GB2312" w:cs="仿宋_GB2312"/>
                <w:sz w:val="24"/>
                <w:lang w:eastAsia="zh-Hans"/>
              </w:rPr>
            </w:pPr>
            <w:r>
              <w:rPr>
                <w:rFonts w:hint="eastAsia" w:ascii="楷体" w:hAnsi="楷体" w:eastAsia="楷体" w:cs="楷体"/>
                <w:bCs/>
                <w:sz w:val="24"/>
              </w:rPr>
              <w:t>高效节能装备：</w:t>
            </w:r>
            <w:r>
              <w:rPr>
                <w:rFonts w:hint="eastAsia" w:ascii="仿宋_GB2312" w:hAnsi="仿宋_GB2312" w:cs="仿宋_GB2312"/>
                <w:sz w:val="24"/>
              </w:rPr>
              <w:t>重点</w:t>
            </w:r>
            <w:r>
              <w:rPr>
                <w:rFonts w:hint="eastAsia" w:ascii="仿宋_GB2312" w:hAnsi="仿宋_GB2312" w:cs="仿宋_GB2312"/>
                <w:sz w:val="24"/>
                <w:lang w:eastAsia="zh-Hans"/>
              </w:rPr>
              <w:t>建设卧龙电气南阳防爆集团高效节能电机及控制系统检测试验中心项目、双鑫消防环保二期技术改造项目、汉冶特钢50MW煤气发电能源综合利用项目</w:t>
            </w:r>
            <w:r>
              <w:rPr>
                <w:rFonts w:hint="eastAsia" w:ascii="仿宋_GB2312" w:hAnsi="仿宋_GB2312" w:cs="仿宋_GB2312"/>
                <w:sz w:val="24"/>
              </w:rPr>
              <w:t>等</w:t>
            </w:r>
            <w:r>
              <w:rPr>
                <w:rFonts w:hint="eastAsia" w:ascii="仿宋_GB2312" w:hAnsi="仿宋_GB2312" w:cs="仿宋_GB2312"/>
                <w:sz w:val="24"/>
                <w:lang w:eastAsia="zh-Hans"/>
              </w:rPr>
              <w:t>。</w:t>
            </w:r>
          </w:p>
          <w:p>
            <w:pPr>
              <w:spacing w:line="500" w:lineRule="exact"/>
              <w:ind w:firstLine="480" w:firstLineChars="200"/>
              <w:contextualSpacing/>
              <w:rPr>
                <w:rFonts w:ascii="仿宋_GB2312" w:hAnsi="仿宋_GB2312" w:cs="仿宋_GB2312"/>
                <w:bCs/>
                <w:spacing w:val="-4"/>
                <w:sz w:val="24"/>
              </w:rPr>
            </w:pPr>
            <w:r>
              <w:rPr>
                <w:rFonts w:hint="eastAsia" w:ascii="楷体" w:hAnsi="楷体" w:eastAsia="楷体" w:cs="楷体"/>
                <w:bCs/>
                <w:sz w:val="24"/>
              </w:rPr>
              <w:t>先进环保装备和材料：</w:t>
            </w:r>
            <w:r>
              <w:rPr>
                <w:rFonts w:hint="eastAsia" w:ascii="仿宋_GB2312" w:hAnsi="仿宋_GB2312" w:cs="仿宋_GB2312"/>
                <w:sz w:val="24"/>
              </w:rPr>
              <w:t>重点</w:t>
            </w:r>
            <w:r>
              <w:rPr>
                <w:rFonts w:hint="eastAsia" w:ascii="仿宋_GB2312" w:hAnsi="仿宋_GB2312" w:cs="仿宋_GB2312"/>
                <w:sz w:val="24"/>
                <w:lang w:eastAsia="zh-Hans"/>
              </w:rPr>
              <w:t>建设</w:t>
            </w:r>
            <w:r>
              <w:rPr>
                <w:rFonts w:hint="eastAsia" w:ascii="仿宋_GB2312" w:hAnsi="仿宋_GB2312" w:cs="仿宋_GB2312"/>
                <w:sz w:val="24"/>
              </w:rPr>
              <w:t>南阳中德产业园、</w:t>
            </w:r>
            <w:r>
              <w:rPr>
                <w:rFonts w:hint="eastAsia" w:ascii="仿宋_GB2312" w:hAnsi="仿宋_GB2312" w:cs="仿宋_GB2312"/>
                <w:sz w:val="24"/>
                <w:lang w:eastAsia="zh-Hans"/>
              </w:rPr>
              <w:t>洁达环保智慧环保研究中心及装备制造建设项目、美宝环保智能过滤泵净水环保设备建设项目、康卫（集团）分拣废五金、废玻璃、废纸、费机电、废塑料建设项目、颜鸿再生新能源废旧轮胎再生综合利用建设项目</w:t>
            </w:r>
            <w:r>
              <w:rPr>
                <w:rFonts w:hint="eastAsia" w:ascii="仿宋_GB2312" w:hAnsi="仿宋_GB2312" w:cs="仿宋_GB2312"/>
                <w:sz w:val="24"/>
              </w:rPr>
              <w:t>等</w:t>
            </w:r>
            <w:r>
              <w:rPr>
                <w:rFonts w:hint="eastAsia" w:ascii="仿宋_GB2312" w:hAnsi="仿宋_GB2312" w:cs="仿宋_GB2312"/>
                <w:sz w:val="24"/>
                <w:lang w:eastAsia="zh-Hans"/>
              </w:rPr>
              <w:t>。</w:t>
            </w:r>
          </w:p>
        </w:tc>
      </w:tr>
    </w:tbl>
    <w:p>
      <w:pPr>
        <w:pStyle w:val="7"/>
        <w:spacing w:line="560" w:lineRule="exact"/>
        <w:contextualSpacing/>
        <w:jc w:val="center"/>
        <w:rPr>
          <w:b w:val="0"/>
        </w:rPr>
      </w:pPr>
      <w:bookmarkStart w:id="231" w:name="_Toc1447180697"/>
      <w:r>
        <w:rPr>
          <w:rFonts w:hint="eastAsia" w:ascii="楷体" w:hAnsi="楷体" w:eastAsia="楷体" w:cs="楷体"/>
          <w:b w:val="0"/>
        </w:rPr>
        <w:t>第三节</w:t>
      </w:r>
      <w:r>
        <w:rPr>
          <w:rFonts w:hint="eastAsia"/>
        </w:rPr>
        <w:t xml:space="preserve">  </w:t>
      </w:r>
      <w:r>
        <w:rPr>
          <w:rFonts w:hint="eastAsia" w:ascii="楷体" w:hAnsi="楷体" w:eastAsia="楷体" w:cs="楷体"/>
          <w:b w:val="0"/>
        </w:rPr>
        <w:t>培育发展四大未来产业</w:t>
      </w:r>
      <w:bookmarkEnd w:id="231"/>
    </w:p>
    <w:p>
      <w:pPr>
        <w:pStyle w:val="4"/>
        <w:spacing w:line="560" w:lineRule="exact"/>
        <w:ind w:firstLine="736" w:firstLineChars="230"/>
        <w:contextualSpacing/>
        <w:rPr>
          <w:rFonts w:ascii="仿宋_GB2312" w:hAnsi="仿宋_GB2312" w:cs="仿宋_GB2312"/>
          <w:bCs/>
        </w:rPr>
      </w:pPr>
      <w:r>
        <w:rPr>
          <w:rFonts w:hint="eastAsia" w:ascii="仿宋_GB2312" w:hAnsi="仿宋_GB2312" w:cs="仿宋_GB2312"/>
          <w:bCs/>
        </w:rPr>
        <w:t>紧跟全球未来产业智能化、数字化、绿色化发展趋势，积极落实国家关于未来产业的相关政策和精神，实施“未来产业引领”计划，推进未来产业重点领域科技创新和产业化。到2025年，在人工智能、生命健康、前沿新材料、氢能及新型储能等领域，谋篇布局一批引领能力强、经济效益好、具备核心竞争力的未来产业。</w:t>
      </w:r>
      <w:bookmarkStart w:id="232" w:name="_Toc1328469285"/>
    </w:p>
    <w:p>
      <w:pPr>
        <w:pStyle w:val="4"/>
        <w:spacing w:line="560" w:lineRule="exact"/>
        <w:ind w:left="0" w:firstLine="640" w:firstLineChars="200"/>
        <w:contextualSpacing/>
        <w:rPr>
          <w:rFonts w:ascii="仿宋_GB2312" w:hAnsi="仿宋_GB2312" w:cs="仿宋_GB2312"/>
        </w:rPr>
      </w:pPr>
      <w:r>
        <w:rPr>
          <w:rStyle w:val="47"/>
          <w:rFonts w:hint="eastAsia"/>
          <w:b w:val="0"/>
          <w:lang w:val="en-US"/>
        </w:rPr>
        <w:t>1.</w:t>
      </w:r>
      <w:r>
        <w:rPr>
          <w:rStyle w:val="47"/>
          <w:rFonts w:hint="eastAsia"/>
          <w:b w:val="0"/>
        </w:rPr>
        <w:t>人工智能产业</w:t>
      </w:r>
      <w:bookmarkEnd w:id="232"/>
      <w:r>
        <w:rPr>
          <w:rStyle w:val="47"/>
          <w:rFonts w:hint="eastAsia"/>
          <w:b w:val="0"/>
        </w:rPr>
        <w:t>。</w:t>
      </w:r>
      <w:r>
        <w:rPr>
          <w:rFonts w:hint="eastAsia" w:ascii="仿宋_GB2312" w:hAnsi="仿宋_GB2312" w:cs="仿宋_GB2312"/>
        </w:rPr>
        <w:t>重点发展面向网络化、智能化、融合化的智能可穿戴设备、智能电视、智能家居、数字影音等新型智能终端产品，加快发展智能车载、智能医疗健康、智能仪表等行业应用智能终端。深化人工智能前沿基础理论研究，突破机器视觉、机器学习、自然语言处理等一批关键共性技术，促进创新成果产业化。</w:t>
      </w:r>
      <w:bookmarkStart w:id="233" w:name="_Toc829682641"/>
    </w:p>
    <w:p>
      <w:pPr>
        <w:pStyle w:val="4"/>
        <w:spacing w:line="560" w:lineRule="exact"/>
        <w:ind w:left="0" w:firstLine="640" w:firstLineChars="200"/>
        <w:contextualSpacing/>
        <w:rPr>
          <w:rFonts w:ascii="仿宋_GB2312" w:hAnsi="仿宋_GB2312" w:cs="仿宋_GB2312"/>
          <w:bCs/>
        </w:rPr>
      </w:pPr>
      <w:r>
        <w:rPr>
          <w:rStyle w:val="47"/>
          <w:rFonts w:hint="eastAsia"/>
          <w:b w:val="0"/>
          <w:lang w:val="en-US"/>
        </w:rPr>
        <w:t>2.生命健康产业</w:t>
      </w:r>
      <w:bookmarkEnd w:id="233"/>
      <w:r>
        <w:rPr>
          <w:rStyle w:val="47"/>
          <w:rFonts w:hint="eastAsia"/>
          <w:b w:val="0"/>
          <w:lang w:val="en-US"/>
        </w:rPr>
        <w:t>。</w:t>
      </w:r>
      <w:r>
        <w:rPr>
          <w:rFonts w:hint="eastAsia" w:ascii="仿宋_GB2312" w:hAnsi="仿宋_GB2312" w:cs="仿宋_GB2312"/>
          <w:bCs/>
        </w:rPr>
        <w:t>在创新药领域，重点突破CRO（合同研发外包服务机构）、CMO（合同加工外包服务商）、CDMO（合同定制加工外包服务商）、基因测序等方向关键技术，加快开发应用一批自主可控、填补空白的重大成果和产品。在合成生物领域，重点突破基因编辑、定向进化等关键技术，推动在农业（化肥、饲料）、食品（食品添加剂/防腐剂、肉制品/乳制品）、工业（化工原料、生物燃料、可再生能源）、生物医疗（医药中间体/原料）等领域的应用。积极与国内优势科教单位合作开展相关技术与成果的转化和产业化。</w:t>
      </w:r>
    </w:p>
    <w:p>
      <w:pPr>
        <w:spacing w:line="560" w:lineRule="exact"/>
        <w:ind w:firstLine="640" w:firstLineChars="200"/>
        <w:contextualSpacing/>
        <w:rPr>
          <w:rFonts w:ascii="仿宋_GB2312" w:hAnsi="仿宋_GB2312" w:cs="仿宋_GB2312"/>
        </w:rPr>
      </w:pPr>
      <w:bookmarkStart w:id="234" w:name="_Toc317623836"/>
      <w:r>
        <w:rPr>
          <w:rStyle w:val="47"/>
          <w:rFonts w:hint="eastAsia"/>
          <w:b w:val="0"/>
        </w:rPr>
        <w:t>3.前沿新材料产业</w:t>
      </w:r>
      <w:bookmarkEnd w:id="234"/>
      <w:r>
        <w:rPr>
          <w:rStyle w:val="47"/>
          <w:rFonts w:hint="eastAsia"/>
          <w:b w:val="0"/>
        </w:rPr>
        <w:t>。</w:t>
      </w:r>
      <w:r>
        <w:rPr>
          <w:rFonts w:hint="eastAsia" w:ascii="仿宋_GB2312" w:hAnsi="仿宋_GB2312" w:cs="仿宋_GB2312"/>
        </w:rPr>
        <w:t>重点推动以新一代材料形成新一代技术装备，提升先进制造水平。突破先进金属材料、高性能纤维、生物基材料、石墨烯等关键技术。</w:t>
      </w:r>
      <w:r>
        <w:rPr>
          <w:rFonts w:hint="eastAsia" w:ascii="仿宋_GB2312" w:hAnsi="仿宋_GB2312" w:cs="仿宋_GB2312"/>
          <w:lang w:eastAsia="zh-Hans"/>
        </w:rPr>
        <w:t>加大与国内外先进功能材料企业科技合作与交流，提升先进功能材料产业的整体创新发展能力和核心竞争力。</w:t>
      </w:r>
      <w:r>
        <w:rPr>
          <w:rFonts w:hint="eastAsia" w:ascii="仿宋_GB2312" w:hAnsi="仿宋_GB2312" w:cs="仿宋_GB2312"/>
        </w:rPr>
        <w:t>加强先进功能材料制造技术的引进力度，注重引进技术的系统化集成及再创新。加大对环境友好和可循环、可降解的生物基新材料的技术研发投入，打造全省领先的生物基新材料产业生态。</w:t>
      </w:r>
    </w:p>
    <w:p>
      <w:pPr>
        <w:spacing w:line="560" w:lineRule="exact"/>
        <w:ind w:firstLine="640" w:firstLineChars="200"/>
        <w:contextualSpacing/>
      </w:pPr>
      <w:bookmarkStart w:id="235" w:name="_Toc673420192"/>
      <w:r>
        <w:rPr>
          <w:rStyle w:val="47"/>
          <w:rFonts w:hint="eastAsia"/>
          <w:b w:val="0"/>
        </w:rPr>
        <w:t>4.氢能及新型储能产业</w:t>
      </w:r>
      <w:bookmarkEnd w:id="235"/>
      <w:r>
        <w:rPr>
          <w:rStyle w:val="47"/>
          <w:rFonts w:hint="eastAsia"/>
          <w:b w:val="0"/>
        </w:rPr>
        <w:t>。</w:t>
      </w:r>
      <w:r>
        <w:rPr>
          <w:rFonts w:hint="eastAsia" w:ascii="仿宋_GB2312" w:hAnsi="仿宋_GB2312" w:cs="仿宋_GB2312"/>
          <w:bCs/>
        </w:rPr>
        <w:t>加强氢能技术研发应用，培育氢能产储运用产业链条。重点建设高效智能氢气输送管网和加（液）氢站，推动氢燃料在城市公交、厢式物流等商用车及通信基站备用电源等领域示范应用。加快推进氢能生产、储运、加氢站等基础设施建设。坚持储能技术多元化，重点突破材料、单元、模块、系统等领域关键技术，加快实现核心技术自主化，推动新型储能从商业化初期向规模化发展转变。</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6" w:type="dxa"/>
            <w:tcBorders>
              <w:top w:val="single" w:color="auto" w:sz="4" w:space="0"/>
              <w:left w:val="single" w:color="auto" w:sz="4" w:space="0"/>
              <w:bottom w:val="single" w:color="auto" w:sz="4" w:space="0"/>
              <w:right w:val="single" w:color="auto" w:sz="4" w:space="0"/>
            </w:tcBorders>
          </w:tcPr>
          <w:p>
            <w:pPr>
              <w:spacing w:line="400" w:lineRule="exact"/>
              <w:contextualSpacing/>
              <w:jc w:val="center"/>
              <w:rPr>
                <w:rFonts w:ascii="仿宋_GB2312" w:hAnsi="仿宋_GB2312" w:cs="仿宋_GB2312"/>
                <w:sz w:val="24"/>
              </w:rPr>
            </w:pPr>
            <w:r>
              <w:rPr>
                <w:rFonts w:hint="eastAsia" w:ascii="Times New Roman" w:hAnsi="Times New Roman" w:eastAsia="黑体"/>
                <w:sz w:val="28"/>
                <w:szCs w:val="28"/>
              </w:rPr>
              <w:t>专栏7：未来产业重大项目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96"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人工智能：</w:t>
            </w:r>
            <w:r>
              <w:rPr>
                <w:rFonts w:hint="eastAsia" w:ascii="仿宋_GB2312" w:hAnsi="仿宋_GB2312" w:cs="仿宋_GB2312"/>
                <w:sz w:val="24"/>
              </w:rPr>
              <w:t>积极推动建设智能制造云平台、智能医疗开放协同创新平台，组建南阳市人工智能产业技术研究院等新型研发机构。扩大南阳防爆研究所“一车两人”消防机器人产能，进一步提高智能化水平。加快建设迈松医疗可拆卸组合多功能消毒机器人、希迪克年产2000套智能康复设备等项目。</w:t>
            </w:r>
          </w:p>
          <w:p>
            <w:pPr>
              <w:spacing w:line="400" w:lineRule="exact"/>
              <w:ind w:firstLine="480" w:firstLineChars="200"/>
              <w:contextualSpacing/>
              <w:rPr>
                <w:rFonts w:ascii="仿宋_GB2312" w:hAnsi="仿宋_GB2312" w:cs="仿宋_GB2312"/>
                <w:sz w:val="24"/>
                <w:lang w:eastAsia="zh-Hans"/>
              </w:rPr>
            </w:pPr>
            <w:r>
              <w:rPr>
                <w:rFonts w:hint="eastAsia" w:ascii="楷体" w:hAnsi="楷体" w:eastAsia="楷体" w:cs="楷体"/>
                <w:bCs/>
                <w:sz w:val="24"/>
              </w:rPr>
              <w:t>生命健康：</w:t>
            </w:r>
            <w:r>
              <w:rPr>
                <w:rFonts w:hint="eastAsia" w:ascii="仿宋_GB2312" w:hAnsi="仿宋_GB2312" w:cs="仿宋_GB2312"/>
                <w:sz w:val="24"/>
              </w:rPr>
              <w:t>在高新区围绕CRO、CMO、CDMO、基因测序等方向引入博济医药、太龙医药等创新药研发制造企业入驻。围绕合成生物领域加强同国内重点高校和实验室的研发合作。推动南阳中心医院与河南大学共建河南省食管癌分子诊断与治疗工程研究中心、南阳医学高等专科学校第一附属医院联合北京汉氏联合生物技术股份有限公司组建河南省干细胞治疗糖尿病工程研究中心等研发平台的建设。</w:t>
            </w:r>
          </w:p>
          <w:p>
            <w:pPr>
              <w:spacing w:line="400" w:lineRule="exact"/>
              <w:ind w:firstLine="480" w:firstLineChars="200"/>
              <w:contextualSpacing/>
              <w:rPr>
                <w:rFonts w:ascii="仿宋_GB2312" w:hAnsi="仿宋_GB2312" w:cs="仿宋_GB2312"/>
                <w:sz w:val="24"/>
                <w:lang w:eastAsia="zh-Hans"/>
              </w:rPr>
            </w:pPr>
            <w:r>
              <w:rPr>
                <w:rFonts w:hint="eastAsia" w:ascii="楷体" w:hAnsi="楷体" w:eastAsia="楷体" w:cs="楷体"/>
                <w:bCs/>
                <w:sz w:val="24"/>
              </w:rPr>
              <w:t>前沿新材料：</w:t>
            </w:r>
            <w:r>
              <w:rPr>
                <w:rFonts w:hint="eastAsia" w:ascii="仿宋_GB2312" w:hAnsi="仿宋_GB2312" w:cs="仿宋_GB2312"/>
                <w:sz w:val="24"/>
              </w:rPr>
              <w:t>引进一批石墨烯应用产业化重点项目，</w:t>
            </w:r>
            <w:r>
              <w:rPr>
                <w:rFonts w:hint="eastAsia" w:ascii="仿宋_GB2312" w:hAnsi="仿宋_GB2312" w:cs="仿宋_GB2312"/>
                <w:sz w:val="24"/>
                <w:lang w:eastAsia="zh-Hans"/>
              </w:rPr>
              <w:t>建设一批前沿新材料中试验证基地和应用示范平台。</w:t>
            </w:r>
          </w:p>
          <w:p>
            <w:pPr>
              <w:spacing w:line="400" w:lineRule="exact"/>
              <w:ind w:firstLine="480" w:firstLineChars="200"/>
              <w:contextualSpacing/>
              <w:rPr>
                <w:rFonts w:ascii="仿宋_GB2312" w:hAnsi="仿宋_GB2312" w:cs="仿宋_GB2312"/>
                <w:bCs/>
                <w:spacing w:val="-4"/>
                <w:sz w:val="24"/>
              </w:rPr>
            </w:pPr>
            <w:r>
              <w:rPr>
                <w:rFonts w:hint="eastAsia" w:ascii="仿宋_GB2312" w:hAnsi="仿宋_GB2312" w:cs="仿宋_GB2312"/>
                <w:bCs/>
                <w:sz w:val="24"/>
              </w:rPr>
              <w:t>氢能及新型储能：</w:t>
            </w:r>
            <w:r>
              <w:rPr>
                <w:rFonts w:hint="eastAsia" w:ascii="仿宋_GB2312" w:hAnsi="仿宋_GB2312" w:cs="仿宋_GB2312"/>
                <w:sz w:val="24"/>
              </w:rPr>
              <w:t>在官庄工区布局建设氢能产业园，引进一批配置储能的系统友好型新能源电站项目。</w:t>
            </w:r>
          </w:p>
        </w:tc>
      </w:tr>
    </w:tbl>
    <w:p>
      <w:pPr>
        <w:pStyle w:val="6"/>
        <w:spacing w:line="560" w:lineRule="exact"/>
        <w:ind w:firstLine="0" w:firstLineChars="0"/>
        <w:contextualSpacing/>
        <w:jc w:val="center"/>
      </w:pPr>
      <w:bookmarkStart w:id="236" w:name="_Toc2124320507"/>
      <w:bookmarkStart w:id="237" w:name="_Toc13173"/>
      <w:bookmarkStart w:id="238" w:name="_Toc23758"/>
      <w:bookmarkStart w:id="239" w:name="_Toc10557"/>
      <w:r>
        <w:rPr>
          <w:rFonts w:hint="eastAsia" w:ascii="黑体" w:hAnsi="黑体" w:cs="黑体"/>
          <w:bCs/>
          <w:szCs w:val="32"/>
        </w:rPr>
        <w:t>第四章 空间布局</w:t>
      </w:r>
      <w:bookmarkEnd w:id="236"/>
    </w:p>
    <w:p>
      <w:pPr>
        <w:spacing w:line="560" w:lineRule="exact"/>
        <w:ind w:firstLine="640" w:firstLineChars="200"/>
        <w:contextualSpacing/>
        <w:rPr>
          <w:rFonts w:ascii="仿宋_GB2312" w:hAnsi="仿宋_GB2312" w:cs="仿宋_GB2312"/>
          <w:bCs/>
        </w:rPr>
      </w:pPr>
      <w:r>
        <w:rPr>
          <w:rFonts w:hint="eastAsia" w:ascii="仿宋_GB2312" w:hAnsi="仿宋_GB2312" w:cs="仿宋_GB2312"/>
          <w:bCs/>
        </w:rPr>
        <w:t>大力推进产业基础高级化和产业链条现代化，打造一批千亿百亿级产业链集群，不断提高经济质量效益和核心竞争力，打造标志性制造业高地。突出“特色化、集聚化、高端化、创新化”，重点建设和布局一批科技含量高、创新活力足、辐射带动强的战略性新兴产业和未来产业园区。</w:t>
      </w:r>
    </w:p>
    <w:p>
      <w:pPr>
        <w:pStyle w:val="7"/>
        <w:spacing w:line="560" w:lineRule="exact"/>
        <w:contextualSpacing/>
        <w:jc w:val="center"/>
        <w:rPr>
          <w:b w:val="0"/>
        </w:rPr>
      </w:pPr>
      <w:bookmarkStart w:id="240" w:name="_Toc1852510482"/>
      <w:r>
        <w:rPr>
          <w:rFonts w:hint="eastAsia" w:ascii="楷体" w:hAnsi="楷体" w:eastAsia="楷体" w:cs="楷体"/>
          <w:b w:val="0"/>
        </w:rPr>
        <w:t>第一节 产业主要布局</w:t>
      </w:r>
      <w:bookmarkEnd w:id="240"/>
    </w:p>
    <w:p>
      <w:pPr>
        <w:spacing w:line="560" w:lineRule="exact"/>
        <w:ind w:firstLine="640" w:firstLineChars="200"/>
        <w:contextualSpacing/>
        <w:rPr>
          <w:rFonts w:ascii="仿宋_GB2312" w:hAnsi="仿宋_GB2312" w:cs="仿宋_GB2312"/>
          <w:bCs/>
        </w:rPr>
      </w:pPr>
      <w:r>
        <w:rPr>
          <w:rFonts w:hint="eastAsia" w:ascii="仿宋_GB2312" w:hAnsi="仿宋_GB2312" w:cs="仿宋_GB2312"/>
          <w:bCs/>
        </w:rPr>
        <w:t>依托我市现有资源，充分发挥各县（区）比较优势，合理配置各类要素资源，统筹优化全市战略性新兴产业和未来产业发展格局。</w:t>
      </w:r>
    </w:p>
    <w:p>
      <w:pPr>
        <w:pBdr>
          <w:top w:val="single" w:color="auto" w:sz="4" w:space="1"/>
          <w:left w:val="single" w:color="auto" w:sz="4" w:space="4"/>
          <w:bottom w:val="single" w:color="auto" w:sz="4" w:space="1"/>
          <w:right w:val="single" w:color="auto" w:sz="4" w:space="4"/>
          <w:between w:val="single" w:color="auto" w:sz="4" w:space="1"/>
        </w:pBdr>
        <w:spacing w:line="400" w:lineRule="exact"/>
        <w:contextualSpacing/>
        <w:jc w:val="center"/>
        <w:rPr>
          <w:rFonts w:ascii="Times New Roman" w:hAnsi="Times New Roman" w:eastAsia="黑体"/>
          <w:sz w:val="28"/>
          <w:szCs w:val="28"/>
        </w:rPr>
      </w:pPr>
      <w:r>
        <w:rPr>
          <w:rFonts w:hint="eastAsia" w:ascii="Times New Roman" w:hAnsi="Times New Roman" w:eastAsia="黑体"/>
          <w:sz w:val="28"/>
          <w:szCs w:val="28"/>
        </w:rPr>
        <w:t>产业布局</w:t>
      </w:r>
    </w:p>
    <w:p>
      <w:pPr>
        <w:pBdr>
          <w:top w:val="single" w:color="auto" w:sz="4" w:space="1"/>
          <w:left w:val="single" w:color="auto" w:sz="4" w:space="4"/>
          <w:bottom w:val="single" w:color="auto" w:sz="4" w:space="1"/>
          <w:right w:val="single" w:color="auto" w:sz="4" w:space="4"/>
        </w:pBdr>
        <w:spacing w:line="400" w:lineRule="exact"/>
        <w:ind w:firstLine="480" w:firstLineChars="200"/>
        <w:contextualSpacing/>
        <w:rPr>
          <w:rFonts w:ascii="仿宋_GB2312" w:hAnsi="仿宋_GB2312" w:cs="仿宋_GB2312"/>
          <w:bCs/>
          <w:sz w:val="24"/>
          <w:szCs w:val="24"/>
        </w:rPr>
      </w:pPr>
      <w:r>
        <w:rPr>
          <w:rFonts w:hint="eastAsia" w:ascii="楷体" w:hAnsi="楷体" w:eastAsia="楷体" w:cs="楷体"/>
          <w:bCs/>
          <w:sz w:val="24"/>
          <w:szCs w:val="24"/>
        </w:rPr>
        <w:t>电子信息产业：</w:t>
      </w:r>
      <w:r>
        <w:rPr>
          <w:rFonts w:hint="eastAsia" w:ascii="Times New Roman" w:hAnsi="Times New Roman" w:cs="仿宋_GB2312"/>
          <w:sz w:val="24"/>
          <w:szCs w:val="24"/>
        </w:rPr>
        <w:t>主要布局在南阳高新技术产业开发区、卧龙区先进制造业开发区等。</w:t>
      </w:r>
    </w:p>
    <w:p>
      <w:pPr>
        <w:pBdr>
          <w:top w:val="single" w:color="auto" w:sz="4" w:space="1"/>
          <w:left w:val="single" w:color="auto" w:sz="4" w:space="4"/>
          <w:bottom w:val="single" w:color="auto" w:sz="4" w:space="1"/>
          <w:right w:val="single" w:color="auto" w:sz="4" w:space="4"/>
        </w:pBdr>
        <w:spacing w:line="400" w:lineRule="exact"/>
        <w:ind w:firstLine="480" w:firstLineChars="200"/>
        <w:contextualSpacing/>
        <w:rPr>
          <w:rFonts w:ascii="Times New Roman" w:hAnsi="Times New Roman" w:cs="仿宋_GB2312"/>
          <w:sz w:val="24"/>
          <w:szCs w:val="24"/>
        </w:rPr>
      </w:pPr>
      <w:r>
        <w:rPr>
          <w:rFonts w:hint="eastAsia" w:ascii="楷体" w:hAnsi="楷体" w:eastAsia="楷体" w:cs="楷体"/>
          <w:bCs/>
          <w:sz w:val="24"/>
          <w:szCs w:val="24"/>
        </w:rPr>
        <w:t>生物产业：</w:t>
      </w:r>
      <w:r>
        <w:rPr>
          <w:rFonts w:hint="eastAsia" w:ascii="Times New Roman" w:hAnsi="Times New Roman" w:cs="仿宋_GB2312"/>
          <w:sz w:val="24"/>
          <w:szCs w:val="24"/>
        </w:rPr>
        <w:t>主要布局在南阳高新技术产业开发区、南阳经济技术开发区、西峡县先进制造业开发区、淅川县先进制造业开发区、方城县先进制造业开发区、南召县先进制造业开发区等。</w:t>
      </w:r>
    </w:p>
    <w:p>
      <w:pPr>
        <w:pBdr>
          <w:top w:val="single" w:color="auto" w:sz="4" w:space="1"/>
          <w:left w:val="single" w:color="auto" w:sz="4" w:space="4"/>
          <w:bottom w:val="single" w:color="auto" w:sz="4" w:space="1"/>
          <w:right w:val="single" w:color="auto" w:sz="4" w:space="4"/>
        </w:pBdr>
        <w:spacing w:line="400" w:lineRule="exact"/>
        <w:ind w:firstLine="480" w:firstLineChars="200"/>
        <w:contextualSpacing/>
        <w:rPr>
          <w:rFonts w:ascii="Times New Roman" w:hAnsi="Times New Roman" w:cs="仿宋_GB2312"/>
          <w:sz w:val="24"/>
          <w:szCs w:val="24"/>
        </w:rPr>
      </w:pPr>
      <w:r>
        <w:rPr>
          <w:rFonts w:hint="eastAsia" w:ascii="楷体" w:hAnsi="楷体" w:eastAsia="楷体" w:cs="楷体"/>
          <w:bCs/>
          <w:sz w:val="24"/>
          <w:szCs w:val="24"/>
        </w:rPr>
        <w:t>新材料产业：</w:t>
      </w:r>
      <w:r>
        <w:rPr>
          <w:rFonts w:hint="eastAsia" w:ascii="Times New Roman" w:hAnsi="Times New Roman" w:cs="仿宋_GB2312"/>
          <w:sz w:val="24"/>
          <w:szCs w:val="24"/>
        </w:rPr>
        <w:t>主要布局在南阳经济技术开发区、方城县先进制造业开发区、邓州市先进制造业开发区等。</w:t>
      </w:r>
    </w:p>
    <w:p>
      <w:pPr>
        <w:pBdr>
          <w:top w:val="single" w:color="auto" w:sz="4" w:space="1"/>
          <w:left w:val="single" w:color="auto" w:sz="4" w:space="4"/>
          <w:bottom w:val="single" w:color="auto" w:sz="4" w:space="1"/>
          <w:right w:val="single" w:color="auto" w:sz="4" w:space="4"/>
        </w:pBdr>
        <w:spacing w:line="400" w:lineRule="exact"/>
        <w:ind w:firstLine="480" w:firstLineChars="200"/>
        <w:contextualSpacing/>
        <w:rPr>
          <w:rFonts w:ascii="Times New Roman" w:hAnsi="Times New Roman" w:cs="仿宋_GB2312"/>
          <w:sz w:val="24"/>
          <w:szCs w:val="24"/>
        </w:rPr>
      </w:pPr>
      <w:r>
        <w:rPr>
          <w:rFonts w:hint="eastAsia" w:ascii="楷体" w:hAnsi="楷体" w:eastAsia="楷体" w:cs="楷体"/>
          <w:bCs/>
          <w:sz w:val="24"/>
          <w:szCs w:val="24"/>
        </w:rPr>
        <w:t>新能源产业：</w:t>
      </w:r>
      <w:r>
        <w:rPr>
          <w:rFonts w:hint="eastAsia" w:ascii="Times New Roman" w:hAnsi="Times New Roman" w:cs="仿宋_GB2312"/>
          <w:sz w:val="24"/>
          <w:szCs w:val="24"/>
        </w:rPr>
        <w:t>主要布局在南阳经济技术开发区、卧龙区先进制造业开发区、唐河县先进制造业开发区等。</w:t>
      </w:r>
    </w:p>
    <w:p>
      <w:pPr>
        <w:pBdr>
          <w:top w:val="single" w:color="auto" w:sz="4" w:space="1"/>
          <w:left w:val="single" w:color="auto" w:sz="4" w:space="4"/>
          <w:bottom w:val="single" w:color="auto" w:sz="4" w:space="1"/>
          <w:right w:val="single" w:color="auto" w:sz="4" w:space="4"/>
        </w:pBdr>
        <w:spacing w:line="400" w:lineRule="exact"/>
        <w:ind w:firstLine="480" w:firstLineChars="200"/>
        <w:contextualSpacing/>
        <w:rPr>
          <w:rFonts w:ascii="Times New Roman" w:hAnsi="Times New Roman" w:cs="仿宋_GB2312"/>
          <w:sz w:val="24"/>
          <w:szCs w:val="24"/>
        </w:rPr>
      </w:pPr>
      <w:r>
        <w:rPr>
          <w:rFonts w:hint="eastAsia" w:ascii="楷体" w:hAnsi="楷体" w:eastAsia="楷体" w:cs="楷体"/>
          <w:bCs/>
          <w:sz w:val="24"/>
          <w:szCs w:val="24"/>
        </w:rPr>
        <w:t>智能装备产业：</w:t>
      </w:r>
      <w:r>
        <w:rPr>
          <w:rFonts w:hint="eastAsia" w:ascii="Times New Roman" w:hAnsi="Times New Roman" w:cs="仿宋_GB2312"/>
          <w:sz w:val="24"/>
          <w:szCs w:val="24"/>
        </w:rPr>
        <w:t>主要布局在南阳高新技术产业开发区、卧龙区先进制造业开发区、西峡县先进制造业开发区、内乡县先进制造业开发区、唐河县先进制造业开发区、新野县先进制造业开发区等。</w:t>
      </w:r>
    </w:p>
    <w:p>
      <w:pPr>
        <w:pStyle w:val="7"/>
        <w:spacing w:line="560" w:lineRule="exact"/>
        <w:contextualSpacing/>
        <w:jc w:val="center"/>
        <w:rPr>
          <w:b w:val="0"/>
        </w:rPr>
      </w:pPr>
      <w:bookmarkStart w:id="241" w:name="_Toc550270066"/>
      <w:r>
        <w:rPr>
          <w:rFonts w:hint="eastAsia" w:ascii="楷体" w:hAnsi="楷体" w:eastAsia="楷体" w:cs="楷体"/>
          <w:b w:val="0"/>
        </w:rPr>
        <w:t>第二节 重点产业园区</w:t>
      </w:r>
      <w:bookmarkEnd w:id="241"/>
    </w:p>
    <w:p>
      <w:pPr>
        <w:spacing w:line="560" w:lineRule="exact"/>
        <w:ind w:firstLine="640" w:firstLineChars="200"/>
        <w:contextualSpacing/>
        <w:rPr>
          <w:rFonts w:ascii="仿宋_GB2312" w:hAnsi="仿宋_GB2312" w:cs="仿宋_GB2312"/>
          <w:bCs/>
        </w:rPr>
      </w:pPr>
      <w:r>
        <w:rPr>
          <w:rFonts w:hint="eastAsia" w:ascii="仿宋_GB2312" w:hAnsi="仿宋_GB2312" w:cs="仿宋_GB2312"/>
          <w:bCs/>
        </w:rPr>
        <w:t>以科技成果与产业深度融合为主方向，按照体现特色原则，积极建设和布局新兴产业和未来产业园区，加快培育特色产业集群。通过坚持市级统筹和挖掘地方特色优势相结合，持续加强电子信息、中医药、智能农牧、传感器、超硬材料、人工智能等领域集群建设和布局，通过“点线面”精准发力，打造一批优势特色产业集群，赋能南阳高质量发展。</w:t>
      </w:r>
    </w:p>
    <w:tbl>
      <w:tblPr>
        <w:tblStyle w:val="26"/>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465"/>
        <w:gridCol w:w="1979"/>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683" w:type="dxa"/>
            <w:gridSpan w:val="4"/>
            <w:vAlign w:val="center"/>
          </w:tcPr>
          <w:p>
            <w:pPr>
              <w:pStyle w:val="4"/>
              <w:spacing w:line="400" w:lineRule="exact"/>
              <w:ind w:firstLine="280"/>
              <w:contextualSpacing/>
              <w:jc w:val="center"/>
              <w:rPr>
                <w:rFonts w:ascii="黑体" w:hAnsi="黑体" w:eastAsia="黑体" w:cs="黑体"/>
                <w:sz w:val="28"/>
                <w:szCs w:val="28"/>
              </w:rPr>
            </w:pPr>
            <w:r>
              <w:rPr>
                <w:rFonts w:hint="eastAsia" w:ascii="黑体" w:hAnsi="黑体" w:eastAsia="黑体" w:cs="黑体"/>
                <w:sz w:val="28"/>
                <w:szCs w:val="28"/>
              </w:rPr>
              <w:t>南阳市“十四五”战略性新兴产业和未来产业重点产业园区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Align w:val="center"/>
          </w:tcPr>
          <w:p>
            <w:pPr>
              <w:pStyle w:val="4"/>
              <w:spacing w:line="400" w:lineRule="exact"/>
              <w:ind w:firstLine="0" w:firstLineChars="0"/>
              <w:contextualSpacing/>
              <w:jc w:val="center"/>
              <w:rPr>
                <w:rFonts w:ascii="黑体" w:hAnsi="黑体" w:eastAsia="黑体" w:cs="黑体"/>
                <w:bCs/>
                <w:sz w:val="24"/>
                <w:szCs w:val="24"/>
              </w:rPr>
            </w:pPr>
            <w:r>
              <w:rPr>
                <w:rFonts w:hint="eastAsia" w:ascii="黑体" w:hAnsi="黑体" w:eastAsia="黑体" w:cs="黑体"/>
                <w:bCs/>
                <w:sz w:val="24"/>
                <w:szCs w:val="24"/>
              </w:rPr>
              <w:t>性质</w:t>
            </w:r>
          </w:p>
        </w:tc>
        <w:tc>
          <w:tcPr>
            <w:tcW w:w="3465" w:type="dxa"/>
            <w:vAlign w:val="center"/>
          </w:tcPr>
          <w:p>
            <w:pPr>
              <w:pStyle w:val="4"/>
              <w:spacing w:line="400" w:lineRule="exact"/>
              <w:ind w:firstLine="240"/>
              <w:contextualSpacing/>
              <w:jc w:val="center"/>
              <w:rPr>
                <w:rFonts w:ascii="黑体" w:hAnsi="黑体" w:eastAsia="黑体" w:cs="黑体"/>
                <w:bCs/>
                <w:sz w:val="24"/>
                <w:szCs w:val="24"/>
              </w:rPr>
            </w:pPr>
            <w:r>
              <w:rPr>
                <w:rFonts w:hint="eastAsia" w:ascii="黑体" w:hAnsi="黑体" w:eastAsia="黑体" w:cs="黑体"/>
                <w:bCs/>
                <w:sz w:val="24"/>
                <w:szCs w:val="24"/>
              </w:rPr>
              <w:t>所在开发区</w:t>
            </w:r>
          </w:p>
        </w:tc>
        <w:tc>
          <w:tcPr>
            <w:tcW w:w="1979" w:type="dxa"/>
            <w:vAlign w:val="center"/>
          </w:tcPr>
          <w:p>
            <w:pPr>
              <w:pStyle w:val="4"/>
              <w:spacing w:line="400" w:lineRule="exact"/>
              <w:ind w:firstLine="240"/>
              <w:contextualSpacing/>
              <w:jc w:val="center"/>
              <w:rPr>
                <w:rFonts w:ascii="黑体" w:hAnsi="黑体" w:eastAsia="黑体" w:cs="黑体"/>
                <w:bCs/>
                <w:sz w:val="24"/>
                <w:szCs w:val="24"/>
              </w:rPr>
            </w:pPr>
            <w:r>
              <w:rPr>
                <w:rFonts w:hint="eastAsia" w:ascii="黑体" w:hAnsi="黑体" w:eastAsia="黑体" w:cs="黑体"/>
                <w:bCs/>
                <w:sz w:val="24"/>
                <w:szCs w:val="24"/>
              </w:rPr>
              <w:t>重点产业</w:t>
            </w:r>
          </w:p>
        </w:tc>
        <w:tc>
          <w:tcPr>
            <w:tcW w:w="2446" w:type="dxa"/>
            <w:vAlign w:val="center"/>
          </w:tcPr>
          <w:p>
            <w:pPr>
              <w:pStyle w:val="4"/>
              <w:spacing w:line="400" w:lineRule="exact"/>
              <w:ind w:firstLine="240"/>
              <w:contextualSpacing/>
              <w:jc w:val="center"/>
              <w:rPr>
                <w:rFonts w:ascii="黑体" w:hAnsi="黑体" w:eastAsia="黑体" w:cs="黑体"/>
                <w:bCs/>
                <w:sz w:val="24"/>
                <w:szCs w:val="24"/>
              </w:rPr>
            </w:pPr>
            <w:r>
              <w:rPr>
                <w:rFonts w:hint="eastAsia" w:ascii="黑体" w:hAnsi="黑体" w:eastAsia="黑体" w:cs="黑体"/>
                <w:bCs/>
                <w:sz w:val="24"/>
                <w:szCs w:val="24"/>
              </w:rPr>
              <w:t>承载园区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Merge w:val="restart"/>
            <w:vAlign w:val="center"/>
          </w:tcPr>
          <w:p>
            <w:pPr>
              <w:pStyle w:val="4"/>
              <w:spacing w:line="400" w:lineRule="exact"/>
              <w:ind w:left="0" w:firstLine="0" w:firstLineChars="0"/>
              <w:contextualSpacing/>
              <w:jc w:val="center"/>
              <w:rPr>
                <w:rFonts w:ascii="仿宋_GB2312" w:hAnsi="仿宋_GB2312" w:cs="仿宋_GB2312"/>
                <w:sz w:val="24"/>
                <w:szCs w:val="24"/>
              </w:rPr>
            </w:pPr>
            <w:r>
              <w:rPr>
                <w:rFonts w:hint="eastAsia" w:ascii="仿宋_GB2312" w:hAnsi="仿宋_GB2312" w:cs="仿宋_GB2312"/>
                <w:sz w:val="24"/>
                <w:szCs w:val="24"/>
              </w:rPr>
              <w:t>建</w:t>
            </w:r>
          </w:p>
          <w:p>
            <w:pPr>
              <w:pStyle w:val="4"/>
              <w:spacing w:line="400" w:lineRule="exact"/>
              <w:ind w:left="0" w:firstLine="0" w:firstLineChars="0"/>
              <w:contextualSpacing/>
              <w:jc w:val="center"/>
              <w:rPr>
                <w:rFonts w:ascii="仿宋_GB2312" w:hAnsi="仿宋_GB2312" w:cs="仿宋_GB2312"/>
                <w:sz w:val="24"/>
                <w:szCs w:val="24"/>
              </w:rPr>
            </w:pPr>
            <w:r>
              <w:rPr>
                <w:rFonts w:hint="eastAsia" w:ascii="仿宋_GB2312" w:hAnsi="仿宋_GB2312" w:cs="仿宋_GB2312"/>
                <w:sz w:val="24"/>
                <w:szCs w:val="24"/>
              </w:rPr>
              <w:t>设</w:t>
            </w:r>
          </w:p>
        </w:tc>
        <w:tc>
          <w:tcPr>
            <w:tcW w:w="3465" w:type="dxa"/>
          </w:tcPr>
          <w:p>
            <w:pPr>
              <w:pStyle w:val="4"/>
              <w:spacing w:line="400" w:lineRule="exact"/>
              <w:ind w:firstLine="240"/>
              <w:contextualSpacing/>
              <w:jc w:val="center"/>
              <w:rPr>
                <w:rFonts w:ascii="仿宋_GB2312" w:hAnsi="仿宋_GB2312" w:cs="仿宋_GB2312"/>
                <w:sz w:val="24"/>
                <w:szCs w:val="24"/>
              </w:rPr>
            </w:pPr>
            <w:r>
              <w:rPr>
                <w:rFonts w:hint="eastAsia" w:ascii="仿宋_GB2312" w:hAnsi="仿宋_GB2312" w:cs="仿宋_GB2312"/>
                <w:sz w:val="24"/>
                <w:szCs w:val="24"/>
              </w:rPr>
              <w:t>南阳高新技术产业开发区</w:t>
            </w:r>
          </w:p>
        </w:tc>
        <w:tc>
          <w:tcPr>
            <w:tcW w:w="1979" w:type="dxa"/>
          </w:tcPr>
          <w:p>
            <w:pPr>
              <w:pStyle w:val="4"/>
              <w:spacing w:line="400" w:lineRule="exact"/>
              <w:ind w:firstLine="240"/>
              <w:contextualSpacing/>
              <w:jc w:val="center"/>
              <w:rPr>
                <w:rFonts w:ascii="仿宋_GB2312" w:hAnsi="仿宋_GB2312" w:cs="仿宋_GB2312"/>
                <w:sz w:val="24"/>
                <w:szCs w:val="24"/>
              </w:rPr>
            </w:pPr>
            <w:r>
              <w:rPr>
                <w:rFonts w:hint="eastAsia" w:ascii="仿宋_GB2312" w:hAnsi="仿宋_GB2312" w:cs="仿宋_GB2312"/>
                <w:sz w:val="24"/>
                <w:szCs w:val="24"/>
              </w:rPr>
              <w:t>电子信息</w:t>
            </w:r>
          </w:p>
        </w:tc>
        <w:tc>
          <w:tcPr>
            <w:tcW w:w="2446" w:type="dxa"/>
          </w:tcPr>
          <w:p>
            <w:pPr>
              <w:pStyle w:val="4"/>
              <w:spacing w:line="400" w:lineRule="exact"/>
              <w:ind w:firstLine="240"/>
              <w:contextualSpacing/>
              <w:jc w:val="center"/>
              <w:rPr>
                <w:rFonts w:ascii="仿宋_GB2312" w:hAnsi="仿宋_GB2312" w:cs="仿宋_GB2312"/>
                <w:sz w:val="24"/>
                <w:szCs w:val="24"/>
              </w:rPr>
            </w:pPr>
            <w:r>
              <w:rPr>
                <w:rFonts w:hint="eastAsia" w:ascii="仿宋_GB2312" w:hAnsi="仿宋_GB2312" w:cs="仿宋_GB2312"/>
                <w:sz w:val="24"/>
                <w:szCs w:val="24"/>
              </w:rPr>
              <w:t>电子信息产业园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Merge w:val="continue"/>
            <w:vAlign w:val="center"/>
          </w:tcPr>
          <w:p>
            <w:pPr>
              <w:pStyle w:val="4"/>
              <w:spacing w:line="400" w:lineRule="exact"/>
              <w:ind w:firstLine="240"/>
              <w:contextualSpacing/>
              <w:jc w:val="center"/>
              <w:rPr>
                <w:rFonts w:ascii="仿宋_GB2312" w:hAnsi="仿宋_GB2312" w:cs="仿宋_GB2312"/>
                <w:sz w:val="24"/>
                <w:szCs w:val="24"/>
              </w:rPr>
            </w:pPr>
          </w:p>
        </w:tc>
        <w:tc>
          <w:tcPr>
            <w:tcW w:w="3465" w:type="dxa"/>
          </w:tcPr>
          <w:p>
            <w:pPr>
              <w:pStyle w:val="4"/>
              <w:spacing w:line="400" w:lineRule="exact"/>
              <w:ind w:firstLine="240"/>
              <w:contextualSpacing/>
              <w:jc w:val="center"/>
              <w:rPr>
                <w:rFonts w:ascii="仿宋_GB2312" w:hAnsi="仿宋_GB2312" w:cs="仿宋_GB2312"/>
                <w:sz w:val="24"/>
                <w:szCs w:val="24"/>
              </w:rPr>
            </w:pPr>
            <w:r>
              <w:rPr>
                <w:rFonts w:hint="eastAsia" w:ascii="仿宋_GB2312" w:hAnsi="仿宋_GB2312" w:cs="仿宋_GB2312"/>
                <w:sz w:val="24"/>
                <w:szCs w:val="24"/>
              </w:rPr>
              <w:t>唐河县先进制造业开发区</w:t>
            </w:r>
          </w:p>
        </w:tc>
        <w:tc>
          <w:tcPr>
            <w:tcW w:w="1979" w:type="dxa"/>
          </w:tcPr>
          <w:p>
            <w:pPr>
              <w:pStyle w:val="4"/>
              <w:spacing w:line="400" w:lineRule="exact"/>
              <w:ind w:firstLine="240"/>
              <w:contextualSpacing/>
              <w:jc w:val="center"/>
              <w:rPr>
                <w:rFonts w:ascii="仿宋_GB2312" w:hAnsi="仿宋_GB2312" w:cs="仿宋_GB2312"/>
                <w:sz w:val="24"/>
                <w:szCs w:val="24"/>
              </w:rPr>
            </w:pPr>
            <w:r>
              <w:rPr>
                <w:rFonts w:hint="eastAsia" w:ascii="仿宋_GB2312" w:hAnsi="仿宋_GB2312" w:cs="仿宋_GB2312"/>
                <w:sz w:val="24"/>
                <w:szCs w:val="24"/>
              </w:rPr>
              <w:t>智能农牧装备</w:t>
            </w:r>
          </w:p>
        </w:tc>
        <w:tc>
          <w:tcPr>
            <w:tcW w:w="2446" w:type="dxa"/>
          </w:tcPr>
          <w:p>
            <w:pPr>
              <w:pStyle w:val="4"/>
              <w:spacing w:line="400" w:lineRule="exact"/>
              <w:ind w:firstLine="240"/>
              <w:contextualSpacing/>
              <w:jc w:val="center"/>
              <w:rPr>
                <w:rFonts w:ascii="仿宋_GB2312" w:hAnsi="仿宋_GB2312" w:cs="仿宋_GB2312"/>
                <w:sz w:val="24"/>
                <w:szCs w:val="24"/>
              </w:rPr>
            </w:pPr>
            <w:r>
              <w:rPr>
                <w:rFonts w:hint="eastAsia" w:ascii="仿宋_GB2312" w:hAnsi="仿宋_GB2312" w:cs="仿宋_GB2312"/>
                <w:sz w:val="24"/>
                <w:szCs w:val="24"/>
              </w:rPr>
              <w:t>智能农牧装备产业园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Merge w:val="continue"/>
            <w:vAlign w:val="center"/>
          </w:tcPr>
          <w:p>
            <w:pPr>
              <w:pStyle w:val="4"/>
              <w:spacing w:line="400" w:lineRule="exact"/>
              <w:ind w:firstLine="240"/>
              <w:contextualSpacing/>
              <w:jc w:val="center"/>
              <w:rPr>
                <w:rFonts w:ascii="仿宋_GB2312" w:hAnsi="仿宋_GB2312" w:cs="仿宋_GB2312"/>
                <w:sz w:val="24"/>
                <w:szCs w:val="24"/>
              </w:rPr>
            </w:pPr>
          </w:p>
        </w:tc>
        <w:tc>
          <w:tcPr>
            <w:tcW w:w="3465" w:type="dxa"/>
          </w:tcPr>
          <w:p>
            <w:pPr>
              <w:pStyle w:val="4"/>
              <w:spacing w:line="400" w:lineRule="exact"/>
              <w:ind w:firstLine="240"/>
              <w:contextualSpacing/>
              <w:jc w:val="center"/>
              <w:rPr>
                <w:rFonts w:ascii="仿宋_GB2312" w:hAnsi="仿宋_GB2312" w:cs="仿宋_GB2312"/>
                <w:sz w:val="24"/>
                <w:szCs w:val="24"/>
              </w:rPr>
            </w:pPr>
            <w:r>
              <w:rPr>
                <w:rFonts w:hint="eastAsia" w:ascii="仿宋_GB2312" w:hAnsi="仿宋_GB2312" w:cs="仿宋_GB2312"/>
                <w:sz w:val="24"/>
                <w:szCs w:val="24"/>
              </w:rPr>
              <w:t>社旗县先进制造业开发区</w:t>
            </w:r>
          </w:p>
        </w:tc>
        <w:tc>
          <w:tcPr>
            <w:tcW w:w="1979" w:type="dxa"/>
          </w:tcPr>
          <w:p>
            <w:pPr>
              <w:pStyle w:val="4"/>
              <w:spacing w:line="400" w:lineRule="exact"/>
              <w:ind w:firstLine="240"/>
              <w:contextualSpacing/>
              <w:jc w:val="center"/>
              <w:rPr>
                <w:rFonts w:ascii="仿宋_GB2312" w:hAnsi="仿宋_GB2312" w:cs="仿宋_GB2312"/>
                <w:sz w:val="24"/>
                <w:szCs w:val="24"/>
              </w:rPr>
            </w:pPr>
            <w:r>
              <w:rPr>
                <w:rFonts w:hint="eastAsia" w:ascii="仿宋_GB2312" w:hAnsi="仿宋_GB2312" w:cs="仿宋_GB2312"/>
                <w:sz w:val="24"/>
                <w:szCs w:val="24"/>
              </w:rPr>
              <w:t>传感器</w:t>
            </w:r>
          </w:p>
        </w:tc>
        <w:tc>
          <w:tcPr>
            <w:tcW w:w="2446" w:type="dxa"/>
          </w:tcPr>
          <w:p>
            <w:pPr>
              <w:pStyle w:val="4"/>
              <w:spacing w:line="400" w:lineRule="exact"/>
              <w:ind w:firstLine="240"/>
              <w:contextualSpacing/>
              <w:jc w:val="center"/>
              <w:rPr>
                <w:rFonts w:ascii="仿宋_GB2312" w:hAnsi="仿宋_GB2312" w:cs="仿宋_GB2312"/>
                <w:sz w:val="24"/>
                <w:szCs w:val="24"/>
              </w:rPr>
            </w:pPr>
            <w:r>
              <w:rPr>
                <w:rFonts w:hint="eastAsia" w:ascii="仿宋_GB2312" w:hAnsi="仿宋_GB2312" w:cs="仿宋_GB2312"/>
                <w:sz w:val="24"/>
                <w:szCs w:val="24"/>
              </w:rPr>
              <w:t>传感器产业园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Merge w:val="continue"/>
            <w:vAlign w:val="center"/>
          </w:tcPr>
          <w:p>
            <w:pPr>
              <w:pStyle w:val="4"/>
              <w:spacing w:line="400" w:lineRule="exact"/>
              <w:ind w:firstLine="240"/>
              <w:contextualSpacing/>
              <w:jc w:val="center"/>
              <w:rPr>
                <w:rFonts w:ascii="仿宋_GB2312" w:hAnsi="仿宋_GB2312" w:cs="仿宋_GB2312"/>
                <w:sz w:val="24"/>
                <w:szCs w:val="24"/>
              </w:rPr>
            </w:pPr>
          </w:p>
        </w:tc>
        <w:tc>
          <w:tcPr>
            <w:tcW w:w="3465" w:type="dxa"/>
          </w:tcPr>
          <w:p>
            <w:pPr>
              <w:pStyle w:val="4"/>
              <w:spacing w:line="400" w:lineRule="exact"/>
              <w:ind w:firstLine="240"/>
              <w:contextualSpacing/>
              <w:jc w:val="center"/>
              <w:rPr>
                <w:rFonts w:ascii="仿宋_GB2312" w:hAnsi="仿宋_GB2312" w:cs="仿宋_GB2312"/>
                <w:sz w:val="24"/>
                <w:szCs w:val="24"/>
              </w:rPr>
            </w:pPr>
            <w:r>
              <w:rPr>
                <w:rFonts w:hint="eastAsia" w:ascii="仿宋_GB2312" w:hAnsi="仿宋_GB2312" w:cs="仿宋_GB2312"/>
                <w:sz w:val="24"/>
                <w:szCs w:val="24"/>
              </w:rPr>
              <w:t>方城县先进制造业开发区</w:t>
            </w:r>
          </w:p>
        </w:tc>
        <w:tc>
          <w:tcPr>
            <w:tcW w:w="1979" w:type="dxa"/>
          </w:tcPr>
          <w:p>
            <w:pPr>
              <w:pStyle w:val="4"/>
              <w:spacing w:line="400" w:lineRule="exact"/>
              <w:ind w:firstLine="240"/>
              <w:contextualSpacing/>
              <w:jc w:val="center"/>
              <w:rPr>
                <w:rFonts w:ascii="仿宋_GB2312" w:hAnsi="仿宋_GB2312" w:cs="仿宋_GB2312"/>
                <w:sz w:val="24"/>
                <w:szCs w:val="24"/>
              </w:rPr>
            </w:pPr>
            <w:r>
              <w:rPr>
                <w:rFonts w:hint="eastAsia" w:ascii="仿宋_GB2312" w:hAnsi="仿宋_GB2312" w:cs="仿宋_GB2312"/>
                <w:sz w:val="24"/>
                <w:szCs w:val="24"/>
              </w:rPr>
              <w:t>生物医药</w:t>
            </w:r>
          </w:p>
        </w:tc>
        <w:tc>
          <w:tcPr>
            <w:tcW w:w="2446" w:type="dxa"/>
          </w:tcPr>
          <w:p>
            <w:pPr>
              <w:pStyle w:val="4"/>
              <w:spacing w:line="400" w:lineRule="exact"/>
              <w:ind w:firstLine="240"/>
              <w:contextualSpacing/>
              <w:jc w:val="center"/>
              <w:rPr>
                <w:rFonts w:ascii="仿宋_GB2312" w:hAnsi="仿宋_GB2312" w:cs="仿宋_GB2312"/>
                <w:sz w:val="24"/>
                <w:szCs w:val="24"/>
              </w:rPr>
            </w:pPr>
            <w:r>
              <w:rPr>
                <w:rFonts w:hint="eastAsia" w:ascii="仿宋_GB2312" w:hAnsi="仿宋_GB2312" w:cs="仿宋_GB2312"/>
                <w:sz w:val="24"/>
                <w:szCs w:val="24"/>
              </w:rPr>
              <w:t>动保产业园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Merge w:val="continue"/>
            <w:vAlign w:val="center"/>
          </w:tcPr>
          <w:p>
            <w:pPr>
              <w:pStyle w:val="4"/>
              <w:spacing w:line="400" w:lineRule="exact"/>
              <w:ind w:firstLine="240"/>
              <w:contextualSpacing/>
              <w:jc w:val="center"/>
              <w:rPr>
                <w:rFonts w:ascii="仿宋_GB2312" w:hAnsi="仿宋_GB2312" w:cs="仿宋_GB2312"/>
                <w:sz w:val="24"/>
                <w:szCs w:val="24"/>
              </w:rPr>
            </w:pPr>
          </w:p>
        </w:tc>
        <w:tc>
          <w:tcPr>
            <w:tcW w:w="3465" w:type="dxa"/>
          </w:tcPr>
          <w:p>
            <w:pPr>
              <w:pStyle w:val="4"/>
              <w:spacing w:line="400" w:lineRule="exact"/>
              <w:ind w:firstLine="240"/>
              <w:contextualSpacing/>
              <w:jc w:val="center"/>
              <w:rPr>
                <w:rFonts w:ascii="仿宋_GB2312" w:hAnsi="仿宋_GB2312" w:cs="仿宋_GB2312"/>
                <w:sz w:val="24"/>
                <w:szCs w:val="24"/>
              </w:rPr>
            </w:pPr>
            <w:r>
              <w:rPr>
                <w:rFonts w:hint="eastAsia" w:ascii="仿宋_GB2312" w:hAnsi="仿宋_GB2312" w:cs="仿宋_GB2312"/>
                <w:sz w:val="24"/>
                <w:szCs w:val="24"/>
              </w:rPr>
              <w:t>南阳官庄先进制造业开发区</w:t>
            </w:r>
          </w:p>
        </w:tc>
        <w:tc>
          <w:tcPr>
            <w:tcW w:w="1979" w:type="dxa"/>
          </w:tcPr>
          <w:p>
            <w:pPr>
              <w:pStyle w:val="4"/>
              <w:spacing w:line="400" w:lineRule="exact"/>
              <w:ind w:firstLine="240"/>
              <w:contextualSpacing/>
              <w:jc w:val="center"/>
              <w:rPr>
                <w:rFonts w:ascii="仿宋_GB2312" w:hAnsi="仿宋_GB2312" w:cs="仿宋_GB2312"/>
                <w:sz w:val="24"/>
                <w:szCs w:val="24"/>
              </w:rPr>
            </w:pPr>
            <w:r>
              <w:rPr>
                <w:rFonts w:hint="eastAsia" w:ascii="仿宋_GB2312" w:hAnsi="仿宋_GB2312" w:cs="仿宋_GB2312"/>
                <w:sz w:val="24"/>
                <w:szCs w:val="24"/>
              </w:rPr>
              <w:t>生物和新医药</w:t>
            </w:r>
          </w:p>
        </w:tc>
        <w:tc>
          <w:tcPr>
            <w:tcW w:w="2446" w:type="dxa"/>
          </w:tcPr>
          <w:p>
            <w:pPr>
              <w:pStyle w:val="4"/>
              <w:spacing w:line="400" w:lineRule="exact"/>
              <w:ind w:firstLine="240"/>
              <w:contextualSpacing/>
              <w:jc w:val="center"/>
              <w:rPr>
                <w:rFonts w:ascii="仿宋_GB2312" w:hAnsi="仿宋_GB2312" w:cs="仿宋_GB2312"/>
                <w:sz w:val="24"/>
                <w:szCs w:val="24"/>
              </w:rPr>
            </w:pPr>
            <w:r>
              <w:rPr>
                <w:rFonts w:hint="eastAsia" w:ascii="仿宋_GB2312" w:hAnsi="仿宋_GB2312" w:cs="仿宋_GB2312"/>
                <w:sz w:val="24"/>
                <w:szCs w:val="24"/>
              </w:rPr>
              <w:t>新医药产业园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3" w:type="dxa"/>
            <w:vMerge w:val="continue"/>
            <w:vAlign w:val="center"/>
          </w:tcPr>
          <w:p>
            <w:pPr>
              <w:pStyle w:val="4"/>
              <w:spacing w:line="400" w:lineRule="exact"/>
              <w:ind w:firstLine="240"/>
              <w:contextualSpacing/>
              <w:jc w:val="center"/>
              <w:rPr>
                <w:rFonts w:ascii="仿宋_GB2312" w:hAnsi="仿宋_GB2312" w:cs="仿宋_GB2312"/>
                <w:sz w:val="24"/>
                <w:szCs w:val="24"/>
              </w:rPr>
            </w:pPr>
          </w:p>
        </w:tc>
        <w:tc>
          <w:tcPr>
            <w:tcW w:w="3465" w:type="dxa"/>
          </w:tcPr>
          <w:p>
            <w:pPr>
              <w:pStyle w:val="4"/>
              <w:spacing w:line="400" w:lineRule="exact"/>
              <w:ind w:firstLine="0" w:firstLineChars="0"/>
              <w:contextualSpacing/>
              <w:jc w:val="center"/>
              <w:rPr>
                <w:rFonts w:ascii="仿宋_GB2312" w:hAnsi="仿宋_GB2312" w:cs="仿宋_GB2312"/>
                <w:sz w:val="24"/>
                <w:szCs w:val="24"/>
                <w:lang w:val="en-US" w:bidi="ar-SA"/>
              </w:rPr>
            </w:pPr>
            <w:r>
              <w:rPr>
                <w:rFonts w:hint="eastAsia" w:ascii="仿宋_GB2312" w:hAnsi="仿宋_GB2312" w:cs="仿宋_GB2312"/>
                <w:sz w:val="24"/>
                <w:szCs w:val="24"/>
              </w:rPr>
              <w:t>桐柏县先进制造业开发区</w:t>
            </w:r>
          </w:p>
        </w:tc>
        <w:tc>
          <w:tcPr>
            <w:tcW w:w="1979" w:type="dxa"/>
          </w:tcPr>
          <w:p>
            <w:pPr>
              <w:pStyle w:val="4"/>
              <w:spacing w:line="400" w:lineRule="exact"/>
              <w:ind w:firstLine="0" w:firstLineChars="0"/>
              <w:contextualSpacing/>
              <w:jc w:val="center"/>
              <w:rPr>
                <w:rFonts w:ascii="仿宋_GB2312" w:hAnsi="仿宋_GB2312" w:cs="仿宋_GB2312"/>
                <w:sz w:val="24"/>
                <w:szCs w:val="24"/>
                <w:lang w:val="en-US" w:bidi="ar-SA"/>
              </w:rPr>
            </w:pPr>
            <w:r>
              <w:rPr>
                <w:rFonts w:hint="eastAsia" w:ascii="仿宋_GB2312" w:hAnsi="仿宋_GB2312" w:cs="仿宋_GB2312"/>
                <w:sz w:val="24"/>
                <w:szCs w:val="24"/>
              </w:rPr>
              <w:t>医药中间体</w:t>
            </w:r>
          </w:p>
        </w:tc>
        <w:tc>
          <w:tcPr>
            <w:tcW w:w="2446" w:type="dxa"/>
          </w:tcPr>
          <w:p>
            <w:pPr>
              <w:pStyle w:val="4"/>
              <w:spacing w:line="400" w:lineRule="exact"/>
              <w:ind w:firstLine="0" w:firstLineChars="0"/>
              <w:contextualSpacing/>
              <w:jc w:val="center"/>
              <w:rPr>
                <w:rFonts w:ascii="仿宋_GB2312" w:hAnsi="仿宋_GB2312" w:cs="仿宋_GB2312"/>
                <w:sz w:val="24"/>
                <w:szCs w:val="24"/>
                <w:lang w:val="en-US" w:bidi="ar-SA"/>
              </w:rPr>
            </w:pPr>
            <w:r>
              <w:rPr>
                <w:rFonts w:hint="eastAsia" w:ascii="仿宋_GB2312" w:hAnsi="仿宋_GB2312" w:cs="仿宋_GB2312"/>
                <w:sz w:val="24"/>
                <w:szCs w:val="24"/>
              </w:rPr>
              <w:t>新医药产业园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93" w:type="dxa"/>
            <w:vMerge w:val="continue"/>
            <w:vAlign w:val="center"/>
          </w:tcPr>
          <w:p>
            <w:pPr>
              <w:pStyle w:val="4"/>
              <w:spacing w:line="400" w:lineRule="exact"/>
              <w:ind w:firstLine="240"/>
              <w:contextualSpacing/>
              <w:jc w:val="center"/>
              <w:rPr>
                <w:rFonts w:ascii="仿宋_GB2312" w:hAnsi="仿宋_GB2312" w:cs="仿宋_GB2312"/>
                <w:sz w:val="24"/>
                <w:szCs w:val="24"/>
              </w:rPr>
            </w:pPr>
          </w:p>
        </w:tc>
        <w:tc>
          <w:tcPr>
            <w:tcW w:w="3465" w:type="dxa"/>
          </w:tcPr>
          <w:p>
            <w:pPr>
              <w:pStyle w:val="4"/>
              <w:spacing w:line="400" w:lineRule="exact"/>
              <w:ind w:firstLine="0" w:firstLineChars="0"/>
              <w:contextualSpacing/>
              <w:jc w:val="center"/>
              <w:rPr>
                <w:rFonts w:ascii="仿宋_GB2312" w:hAnsi="仿宋_GB2312" w:cs="仿宋_GB2312"/>
                <w:sz w:val="24"/>
                <w:szCs w:val="24"/>
                <w:lang w:val="en-US" w:bidi="ar-SA"/>
              </w:rPr>
            </w:pPr>
            <w:r>
              <w:rPr>
                <w:rFonts w:hint="eastAsia" w:ascii="仿宋_GB2312" w:hAnsi="仿宋_GB2312" w:cs="仿宋_GB2312"/>
                <w:sz w:val="24"/>
                <w:szCs w:val="24"/>
              </w:rPr>
              <w:t>方城县先进制造业开发区</w:t>
            </w:r>
          </w:p>
        </w:tc>
        <w:tc>
          <w:tcPr>
            <w:tcW w:w="1979" w:type="dxa"/>
          </w:tcPr>
          <w:p>
            <w:pPr>
              <w:pStyle w:val="4"/>
              <w:spacing w:line="400" w:lineRule="exact"/>
              <w:ind w:firstLine="0" w:firstLineChars="0"/>
              <w:contextualSpacing/>
              <w:jc w:val="center"/>
              <w:rPr>
                <w:rFonts w:ascii="仿宋_GB2312" w:hAnsi="仿宋_GB2312" w:cs="仿宋_GB2312"/>
                <w:sz w:val="24"/>
                <w:szCs w:val="24"/>
                <w:lang w:val="en-US" w:bidi="ar-SA"/>
              </w:rPr>
            </w:pPr>
            <w:r>
              <w:rPr>
                <w:rFonts w:hint="eastAsia" w:ascii="仿宋_GB2312" w:hAnsi="仿宋_GB2312" w:cs="仿宋_GB2312"/>
                <w:sz w:val="24"/>
                <w:szCs w:val="24"/>
              </w:rPr>
              <w:t>超硬材料</w:t>
            </w:r>
          </w:p>
        </w:tc>
        <w:tc>
          <w:tcPr>
            <w:tcW w:w="2446" w:type="dxa"/>
          </w:tcPr>
          <w:p>
            <w:pPr>
              <w:pStyle w:val="4"/>
              <w:spacing w:line="400" w:lineRule="exact"/>
              <w:ind w:firstLine="0" w:firstLineChars="0"/>
              <w:contextualSpacing/>
              <w:jc w:val="center"/>
              <w:rPr>
                <w:rFonts w:ascii="仿宋_GB2312" w:hAnsi="仿宋_GB2312" w:cs="仿宋_GB2312"/>
                <w:sz w:val="24"/>
                <w:szCs w:val="24"/>
                <w:lang w:val="en-US" w:bidi="ar-SA"/>
              </w:rPr>
            </w:pPr>
            <w:r>
              <w:rPr>
                <w:rFonts w:hint="eastAsia" w:ascii="仿宋_GB2312" w:hAnsi="仿宋_GB2312" w:cs="仿宋_GB2312"/>
                <w:sz w:val="24"/>
                <w:szCs w:val="24"/>
              </w:rPr>
              <w:t>超硬材料产业园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Merge w:val="restart"/>
            <w:vAlign w:val="center"/>
          </w:tcPr>
          <w:p>
            <w:pPr>
              <w:pStyle w:val="4"/>
              <w:spacing w:line="400" w:lineRule="exact"/>
              <w:ind w:firstLine="0" w:firstLineChars="0"/>
              <w:contextualSpacing/>
              <w:jc w:val="center"/>
              <w:rPr>
                <w:rFonts w:ascii="仿宋_GB2312" w:hAnsi="仿宋_GB2312" w:cs="仿宋_GB2312"/>
                <w:sz w:val="24"/>
                <w:szCs w:val="24"/>
              </w:rPr>
            </w:pPr>
            <w:r>
              <w:rPr>
                <w:rFonts w:hint="eastAsia" w:ascii="仿宋_GB2312" w:hAnsi="仿宋_GB2312" w:cs="仿宋_GB2312"/>
                <w:sz w:val="24"/>
                <w:szCs w:val="24"/>
              </w:rPr>
              <w:t>布局</w:t>
            </w:r>
          </w:p>
        </w:tc>
        <w:tc>
          <w:tcPr>
            <w:tcW w:w="3465" w:type="dxa"/>
          </w:tcPr>
          <w:p>
            <w:pPr>
              <w:pStyle w:val="4"/>
              <w:spacing w:line="400" w:lineRule="exact"/>
              <w:ind w:firstLine="240"/>
              <w:contextualSpacing/>
              <w:jc w:val="center"/>
              <w:rPr>
                <w:rFonts w:ascii="仿宋_GB2312" w:hAnsi="仿宋_GB2312" w:cs="仿宋_GB2312"/>
                <w:sz w:val="24"/>
                <w:szCs w:val="24"/>
              </w:rPr>
            </w:pPr>
            <w:r>
              <w:rPr>
                <w:rFonts w:hint="eastAsia" w:ascii="仿宋_GB2312" w:hAnsi="仿宋_GB2312" w:cs="仿宋_GB2312"/>
                <w:sz w:val="24"/>
                <w:szCs w:val="24"/>
              </w:rPr>
              <w:t>南阳高新技术产业开发区</w:t>
            </w:r>
          </w:p>
        </w:tc>
        <w:tc>
          <w:tcPr>
            <w:tcW w:w="1979" w:type="dxa"/>
          </w:tcPr>
          <w:p>
            <w:pPr>
              <w:pStyle w:val="4"/>
              <w:spacing w:line="400" w:lineRule="exact"/>
              <w:ind w:firstLine="240"/>
              <w:contextualSpacing/>
              <w:jc w:val="center"/>
              <w:rPr>
                <w:rFonts w:ascii="仿宋_GB2312" w:hAnsi="仿宋_GB2312" w:cs="仿宋_GB2312"/>
                <w:sz w:val="24"/>
                <w:szCs w:val="24"/>
              </w:rPr>
            </w:pPr>
            <w:r>
              <w:rPr>
                <w:rFonts w:hint="eastAsia" w:ascii="仿宋_GB2312" w:hAnsi="仿宋_GB2312" w:cs="仿宋_GB2312"/>
                <w:sz w:val="24"/>
                <w:szCs w:val="24"/>
              </w:rPr>
              <w:t>中医药</w:t>
            </w:r>
          </w:p>
        </w:tc>
        <w:tc>
          <w:tcPr>
            <w:tcW w:w="2446" w:type="dxa"/>
          </w:tcPr>
          <w:p>
            <w:pPr>
              <w:pStyle w:val="4"/>
              <w:spacing w:line="400" w:lineRule="exact"/>
              <w:ind w:firstLine="240"/>
              <w:contextualSpacing/>
              <w:jc w:val="center"/>
              <w:rPr>
                <w:rFonts w:ascii="仿宋_GB2312" w:hAnsi="仿宋_GB2312" w:cs="仿宋_GB2312"/>
                <w:sz w:val="24"/>
                <w:szCs w:val="24"/>
              </w:rPr>
            </w:pPr>
            <w:r>
              <w:rPr>
                <w:rFonts w:hint="eastAsia" w:ascii="仿宋_GB2312" w:hAnsi="仿宋_GB2312" w:cs="仿宋_GB2312"/>
                <w:sz w:val="24"/>
                <w:szCs w:val="24"/>
              </w:rPr>
              <w:t>中医药产业园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3" w:type="dxa"/>
            <w:vMerge w:val="continue"/>
          </w:tcPr>
          <w:p>
            <w:pPr>
              <w:pStyle w:val="4"/>
              <w:spacing w:line="400" w:lineRule="exact"/>
              <w:ind w:firstLine="240"/>
              <w:contextualSpacing/>
              <w:jc w:val="center"/>
              <w:rPr>
                <w:rFonts w:ascii="仿宋_GB2312" w:hAnsi="仿宋_GB2312" w:cs="仿宋_GB2312"/>
                <w:sz w:val="24"/>
                <w:szCs w:val="24"/>
              </w:rPr>
            </w:pPr>
          </w:p>
        </w:tc>
        <w:tc>
          <w:tcPr>
            <w:tcW w:w="3465" w:type="dxa"/>
          </w:tcPr>
          <w:p>
            <w:pPr>
              <w:pStyle w:val="4"/>
              <w:spacing w:line="400" w:lineRule="exact"/>
              <w:ind w:firstLine="240"/>
              <w:contextualSpacing/>
              <w:jc w:val="center"/>
              <w:rPr>
                <w:rFonts w:ascii="仿宋_GB2312" w:hAnsi="仿宋_GB2312" w:cs="仿宋_GB2312"/>
                <w:sz w:val="24"/>
                <w:szCs w:val="24"/>
              </w:rPr>
            </w:pPr>
            <w:r>
              <w:rPr>
                <w:rFonts w:hint="eastAsia" w:ascii="仿宋_GB2312" w:hAnsi="仿宋_GB2312" w:cs="仿宋_GB2312"/>
                <w:sz w:val="24"/>
                <w:szCs w:val="24"/>
              </w:rPr>
              <w:t>新建先进制造业开发区（宛城官庄间</w:t>
            </w:r>
            <w:r>
              <w:rPr>
                <w:rFonts w:hint="eastAsia" w:ascii="仿宋_GB2312" w:hAnsi="仿宋_GB2312" w:cs="仿宋_GB2312"/>
                <w:sz w:val="24"/>
                <w:szCs w:val="24"/>
                <w:lang w:val="en-US"/>
              </w:rPr>
              <w:t>200-300平方公里</w:t>
            </w:r>
            <w:r>
              <w:rPr>
                <w:rFonts w:hint="eastAsia" w:ascii="仿宋_GB2312" w:hAnsi="仿宋_GB2312" w:cs="仿宋_GB2312"/>
                <w:sz w:val="24"/>
                <w:szCs w:val="24"/>
              </w:rPr>
              <w:t>）</w:t>
            </w:r>
          </w:p>
        </w:tc>
        <w:tc>
          <w:tcPr>
            <w:tcW w:w="1979" w:type="dxa"/>
            <w:vAlign w:val="center"/>
          </w:tcPr>
          <w:p>
            <w:pPr>
              <w:pStyle w:val="4"/>
              <w:spacing w:line="400" w:lineRule="exact"/>
              <w:ind w:firstLine="480" w:firstLineChars="200"/>
              <w:contextualSpacing/>
              <w:rPr>
                <w:rFonts w:ascii="仿宋_GB2312" w:hAnsi="仿宋_GB2312" w:cs="仿宋_GB2312"/>
                <w:sz w:val="24"/>
                <w:szCs w:val="24"/>
              </w:rPr>
            </w:pPr>
            <w:r>
              <w:rPr>
                <w:rFonts w:hint="eastAsia" w:ascii="仿宋_GB2312" w:hAnsi="仿宋_GB2312" w:cs="仿宋_GB2312"/>
                <w:sz w:val="24"/>
                <w:szCs w:val="24"/>
              </w:rPr>
              <w:t>未来产业</w:t>
            </w:r>
          </w:p>
        </w:tc>
        <w:tc>
          <w:tcPr>
            <w:tcW w:w="2446" w:type="dxa"/>
            <w:vAlign w:val="center"/>
          </w:tcPr>
          <w:p>
            <w:pPr>
              <w:pStyle w:val="4"/>
              <w:spacing w:line="400" w:lineRule="exact"/>
              <w:ind w:firstLine="480" w:firstLineChars="200"/>
              <w:contextualSpacing/>
              <w:rPr>
                <w:rFonts w:ascii="仿宋_GB2312" w:hAnsi="仿宋_GB2312" w:cs="仿宋_GB2312"/>
                <w:sz w:val="24"/>
                <w:szCs w:val="24"/>
              </w:rPr>
            </w:pPr>
            <w:r>
              <w:rPr>
                <w:rFonts w:hint="eastAsia" w:ascii="仿宋_GB2312" w:hAnsi="仿宋_GB2312" w:cs="仿宋_GB2312"/>
                <w:sz w:val="24"/>
                <w:szCs w:val="24"/>
              </w:rPr>
              <w:t>未来产业园</w:t>
            </w:r>
          </w:p>
        </w:tc>
      </w:tr>
      <w:bookmarkEnd w:id="237"/>
      <w:bookmarkEnd w:id="238"/>
      <w:bookmarkEnd w:id="239"/>
    </w:tbl>
    <w:p>
      <w:pPr>
        <w:pStyle w:val="6"/>
        <w:spacing w:line="560" w:lineRule="exact"/>
        <w:ind w:firstLine="0" w:firstLineChars="0"/>
        <w:contextualSpacing/>
        <w:jc w:val="center"/>
      </w:pPr>
      <w:bookmarkStart w:id="242" w:name="_Toc457082376"/>
      <w:r>
        <w:rPr>
          <w:rFonts w:hint="eastAsia" w:ascii="黑体" w:hAnsi="黑体" w:cs="黑体"/>
        </w:rPr>
        <w:t>第五章 做实四项重点工作</w:t>
      </w:r>
      <w:bookmarkEnd w:id="242"/>
    </w:p>
    <w:p>
      <w:pPr>
        <w:pStyle w:val="7"/>
        <w:spacing w:line="560" w:lineRule="exact"/>
        <w:contextualSpacing/>
        <w:jc w:val="center"/>
        <w:rPr>
          <w:b w:val="0"/>
        </w:rPr>
      </w:pPr>
      <w:bookmarkStart w:id="243" w:name="_Toc1395760567"/>
      <w:bookmarkStart w:id="244" w:name="_Toc19441"/>
      <w:bookmarkStart w:id="245" w:name="_Toc25623"/>
      <w:bookmarkStart w:id="246" w:name="_Toc3855"/>
      <w:r>
        <w:rPr>
          <w:rFonts w:hint="eastAsia" w:ascii="楷体" w:hAnsi="楷体" w:eastAsia="楷体" w:cs="楷体"/>
          <w:b w:val="0"/>
        </w:rPr>
        <w:t>第一节</w:t>
      </w:r>
      <w:r>
        <w:rPr>
          <w:rFonts w:hint="eastAsia" w:ascii="楷体" w:hAnsi="楷体" w:cs="楷体"/>
          <w:b w:val="0"/>
        </w:rPr>
        <w:t xml:space="preserve">  </w:t>
      </w:r>
      <w:r>
        <w:rPr>
          <w:rFonts w:hint="eastAsia" w:ascii="楷体" w:hAnsi="楷体" w:eastAsia="楷体" w:cs="楷体"/>
          <w:b w:val="0"/>
        </w:rPr>
        <w:t>增强科技创新能力</w:t>
      </w:r>
      <w:bookmarkEnd w:id="243"/>
    </w:p>
    <w:p>
      <w:pPr>
        <w:spacing w:line="560" w:lineRule="exact"/>
        <w:ind w:firstLine="640" w:firstLineChars="200"/>
        <w:contextualSpacing/>
        <w:rPr>
          <w:rFonts w:ascii="仿宋_GB2312" w:hAnsi="仿宋_GB2312" w:cs="仿宋_GB2312"/>
          <w:kern w:val="0"/>
          <w:szCs w:val="21"/>
          <w:lang w:val="en"/>
        </w:rPr>
      </w:pPr>
      <w:r>
        <w:rPr>
          <w:rFonts w:hint="eastAsia" w:ascii="Times New Roman" w:hAnsi="Times New Roman" w:eastAsia="仿宋"/>
          <w:bCs/>
          <w:kern w:val="0"/>
          <w:szCs w:val="21"/>
          <w:lang w:val="en"/>
        </w:rPr>
        <w:t>加强创新平台建设。</w:t>
      </w:r>
      <w:r>
        <w:rPr>
          <w:rFonts w:hint="eastAsia" w:ascii="仿宋_GB2312" w:hAnsi="仿宋_GB2312" w:cs="仿宋_GB2312"/>
        </w:rPr>
        <w:t>积极争取国家重大科技基础设施布局，参与国家实验室和国家重点实验室建设，打造产业技术创新基础设施。</w:t>
      </w:r>
      <w:r>
        <w:rPr>
          <w:rFonts w:hint="eastAsia" w:ascii="仿宋_GB2312" w:hAnsi="仿宋_GB2312" w:cs="仿宋_GB2312"/>
          <w:kern w:val="0"/>
          <w:szCs w:val="21"/>
          <w:lang w:val="en"/>
        </w:rPr>
        <w:t>围绕战略性新兴产业和未来产业发展需求，积极争取成立清华大学南阳创新研究院，筹建张衡实验室、张仲景实验室。推进河南省数字光电产业研究院建设。加快建设张仲景国医大学，提升中医药产业基础研究能力。加快建立一批高水平的产业研究院、重点实验室、创新联盟、院士专家工作站、博士后科研工作站等，实现主导产业、规模以上工业企业研发机构全覆盖。争创伏牛山中药材保护开发与示范国家技术创新中心。在智能终端、智能装备、现代中药等领域，积极争创国家制造业创新中心。在发达地区搭建科研平台，增强我市企业在外研发力量，建立资源集中、共建共享的“科创飞地”。</w:t>
      </w:r>
    </w:p>
    <w:p>
      <w:pPr>
        <w:spacing w:line="560" w:lineRule="exact"/>
        <w:ind w:firstLine="640" w:firstLineChars="200"/>
        <w:contextualSpacing/>
        <w:rPr>
          <w:rFonts w:ascii="仿宋_GB2312" w:hAnsi="仿宋_GB2312" w:cs="仿宋_GB2312"/>
          <w:kern w:val="0"/>
          <w:szCs w:val="21"/>
          <w:lang w:val="en"/>
        </w:rPr>
      </w:pPr>
      <w:r>
        <w:rPr>
          <w:rFonts w:hint="eastAsia" w:ascii="Times New Roman" w:hAnsi="Times New Roman" w:eastAsia="仿宋"/>
          <w:bCs/>
          <w:kern w:val="0"/>
          <w:szCs w:val="21"/>
          <w:lang w:val="en"/>
        </w:rPr>
        <w:t>加快科技成果转化。</w:t>
      </w:r>
      <w:r>
        <w:rPr>
          <w:rFonts w:hint="eastAsia" w:ascii="仿宋_GB2312" w:hAnsi="仿宋_GB2312" w:cs="仿宋_GB2312"/>
        </w:rPr>
        <w:t>改进科技项目组织管理方式，实行重点项目攻关“揭榜挂帅”等制度，完善科技评价机制，扩大科研自主权。</w:t>
      </w:r>
      <w:r>
        <w:rPr>
          <w:rFonts w:hint="eastAsia" w:ascii="仿宋_GB2312" w:hAnsi="仿宋_GB2312" w:cs="仿宋_GB2312"/>
          <w:kern w:val="0"/>
          <w:szCs w:val="21"/>
          <w:lang w:val="en"/>
        </w:rPr>
        <w:t>强化企业创新主体作用，加强科技企业全生命周期综合服务，实现技术、资本、管理有效聚合，企业、园区、孵化器高效承载，推动科技成果就地高效转化，高标准建设中光学集团河南省先进光学与功能镀膜中试基地等。建设高水平转化平台，做大做强南阳中关村科技产业园、南阳科技大市场，发挥河南中科院南阳科技成果转化分中心作用，打造我国中部地区重要的科技成果孵化转化基地。</w:t>
      </w:r>
    </w:p>
    <w:p>
      <w:pPr>
        <w:pStyle w:val="4"/>
        <w:spacing w:line="560" w:lineRule="exact"/>
        <w:ind w:left="119" w:firstLine="640" w:firstLineChars="200"/>
        <w:contextualSpacing/>
        <w:rPr>
          <w:rFonts w:ascii="仿宋_GB2312" w:hAnsi="仿宋_GB2312" w:cs="仿宋_GB2312"/>
          <w:bCs/>
          <w:kern w:val="0"/>
          <w:szCs w:val="21"/>
          <w:lang w:val="en"/>
        </w:rPr>
      </w:pPr>
      <w:r>
        <w:rPr>
          <w:rFonts w:hint="eastAsia" w:eastAsia="仿宋"/>
          <w:kern w:val="0"/>
          <w:szCs w:val="21"/>
          <w:lang w:val="en"/>
        </w:rPr>
        <w:t>加强高校及科研机构建设。</w:t>
      </w:r>
      <w:r>
        <w:rPr>
          <w:rFonts w:hint="eastAsia" w:ascii="仿宋_GB2312" w:hAnsi="仿宋_GB2312" w:cs="仿宋_GB2312"/>
          <w:bCs/>
          <w:kern w:val="0"/>
          <w:szCs w:val="21"/>
          <w:lang w:val="en"/>
        </w:rPr>
        <w:t>支持南阳师范学院、南阳理工学院、南阳农科院、南阳防爆研究所等院所开展基础科研和前沿技术研发，着力提升原始创新和关键核心技术攻关能力。建立河南省科学院南阳光电研究所，加强光电产业研发实力。大力推进中国科学院、中国工程院、知名高校、央企等“国家队”在宛设立分支机构、共建合作机构。鼓励支持全市高校、科研院所与省内外高校院所加强合作，争创国内一流学科、共建重点领域科学中心。支持创建豫鄂陕毗邻区开放创新研究院、产业研究院。</w:t>
      </w:r>
    </w:p>
    <w:p>
      <w:pPr>
        <w:pStyle w:val="4"/>
        <w:spacing w:line="560" w:lineRule="exact"/>
        <w:ind w:left="119" w:firstLine="640" w:firstLineChars="200"/>
        <w:contextualSpacing/>
        <w:rPr>
          <w:rFonts w:ascii="仿宋_GB2312" w:hAnsi="仿宋_GB2312" w:cs="仿宋_GB2312"/>
        </w:rPr>
      </w:pPr>
      <w:r>
        <w:rPr>
          <w:rFonts w:hint="eastAsia" w:eastAsia="仿宋"/>
          <w:kern w:val="0"/>
          <w:szCs w:val="21"/>
          <w:lang w:val="en"/>
        </w:rPr>
        <w:t>促进产学研结合。</w:t>
      </w:r>
      <w:r>
        <w:rPr>
          <w:rFonts w:ascii="仿宋_GB2312" w:hAnsi="仿宋_GB2312" w:cs="仿宋_GB2312"/>
          <w:bCs/>
          <w:kern w:val="0"/>
          <w:szCs w:val="21"/>
          <w:lang w:val="en"/>
        </w:rPr>
        <w:t>发挥市场对技术研发方向、路线选择、创新要素配置等的导向作用</w:t>
      </w:r>
      <w:r>
        <w:rPr>
          <w:rFonts w:hint="eastAsia" w:ascii="仿宋_GB2312" w:hAnsi="仿宋_GB2312" w:cs="仿宋_GB2312"/>
          <w:bCs/>
          <w:kern w:val="0"/>
          <w:szCs w:val="21"/>
          <w:lang w:val="en"/>
        </w:rPr>
        <w:t>，</w:t>
      </w:r>
      <w:r>
        <w:rPr>
          <w:rFonts w:ascii="仿宋_GB2312" w:hAnsi="仿宋_GB2312" w:cs="仿宋_GB2312"/>
          <w:bCs/>
          <w:kern w:val="0"/>
          <w:szCs w:val="21"/>
          <w:lang w:val="en"/>
        </w:rPr>
        <w:t>鼓励</w:t>
      </w:r>
      <w:r>
        <w:rPr>
          <w:rFonts w:hint="eastAsia" w:ascii="仿宋_GB2312" w:hAnsi="仿宋_GB2312" w:cs="仿宋_GB2312"/>
          <w:bCs/>
          <w:kern w:val="0"/>
          <w:szCs w:val="21"/>
          <w:lang w:val="en"/>
        </w:rPr>
        <w:t>龙头</w:t>
      </w:r>
      <w:r>
        <w:rPr>
          <w:rFonts w:ascii="仿宋_GB2312" w:hAnsi="仿宋_GB2312" w:cs="仿宋_GB2312"/>
          <w:bCs/>
          <w:kern w:val="0"/>
          <w:szCs w:val="21"/>
          <w:lang w:val="en"/>
        </w:rPr>
        <w:t>企业牵头与高等院校、科研院所、行业组织等组建产业技术创新战略联盟、科研生产联合体等。</w:t>
      </w:r>
      <w:r>
        <w:rPr>
          <w:rFonts w:hint="eastAsia" w:ascii="仿宋_GB2312" w:hAnsi="仿宋_GB2312" w:cs="仿宋_GB2312"/>
        </w:rPr>
        <w:t>推进南阳高校实验中心、大型科学仪器设备、科技文献、科学数据等科创基础资源开放共享。鼓励全市企业依托互联网，对接国内知名创新高地的共性技术平台，突破地域限制，大力发展离岸创新，共享先进科技园区高水平科技创新服务外溢红利。</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6" w:type="dxa"/>
            <w:tcBorders>
              <w:top w:val="single" w:color="auto" w:sz="4" w:space="0"/>
              <w:left w:val="single" w:color="auto" w:sz="4" w:space="0"/>
              <w:bottom w:val="single" w:color="auto" w:sz="4" w:space="0"/>
              <w:right w:val="single" w:color="auto" w:sz="4" w:space="0"/>
            </w:tcBorders>
          </w:tcPr>
          <w:p>
            <w:pPr>
              <w:spacing w:line="400" w:lineRule="exact"/>
              <w:contextualSpacing/>
              <w:jc w:val="center"/>
              <w:rPr>
                <w:rFonts w:ascii="仿宋_GB2312" w:hAnsi="仿宋_GB2312" w:cs="仿宋_GB2312"/>
                <w:sz w:val="24"/>
              </w:rPr>
            </w:pPr>
            <w:r>
              <w:rPr>
                <w:rFonts w:hint="eastAsia" w:ascii="Times New Roman" w:hAnsi="Times New Roman" w:eastAsia="黑体"/>
                <w:sz w:val="28"/>
                <w:szCs w:val="28"/>
              </w:rPr>
              <w:t>专栏8：科创战略部署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6"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加大研发创新。</w:t>
            </w:r>
            <w:r>
              <w:rPr>
                <w:rFonts w:hint="eastAsia" w:ascii="仿宋_GB2312" w:hAnsi="仿宋_GB2312" w:cs="仿宋_GB2312"/>
                <w:sz w:val="24"/>
              </w:rPr>
              <w:t>创建1个国家技术创新中心、3个国家“双一流”学科。建设1-2家省级制造业创新中心。新建50家省级以上技术中心、工程中心、重点实验室。</w:t>
            </w:r>
          </w:p>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加快课题攻关。</w:t>
            </w:r>
            <w:r>
              <w:rPr>
                <w:rFonts w:hint="eastAsia" w:ascii="仿宋_GB2312" w:hAnsi="仿宋_GB2312" w:cs="仿宋_GB2312"/>
                <w:sz w:val="24"/>
              </w:rPr>
              <w:t>国家级科技奖励实现“零”的突破，省级科技奖励10项以上。</w:t>
            </w:r>
          </w:p>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推进成果转化。</w:t>
            </w:r>
            <w:r>
              <w:rPr>
                <w:rFonts w:hint="eastAsia" w:ascii="仿宋_GB2312" w:hAnsi="仿宋_GB2312" w:cs="仿宋_GB2312"/>
                <w:sz w:val="24"/>
              </w:rPr>
              <w:t>争创省级重大新型研发机构1家、省级以上技术转移示范机构等5家，力争新增产业技术研究院、众创空间、科技孵化器5家以上。</w:t>
            </w:r>
          </w:p>
          <w:p>
            <w:pPr>
              <w:spacing w:line="400" w:lineRule="exact"/>
              <w:ind w:firstLine="480" w:firstLineChars="200"/>
              <w:contextualSpacing/>
              <w:rPr>
                <w:rFonts w:ascii="仿宋_GB2312" w:hAnsi="仿宋_GB2312" w:cs="仿宋_GB2312"/>
                <w:bCs/>
                <w:spacing w:val="-4"/>
                <w:sz w:val="24"/>
              </w:rPr>
            </w:pPr>
            <w:r>
              <w:rPr>
                <w:rFonts w:hint="eastAsia" w:ascii="楷体" w:hAnsi="楷体" w:eastAsia="楷体" w:cs="楷体"/>
                <w:bCs/>
                <w:sz w:val="24"/>
              </w:rPr>
              <w:t>提升高校质量数量。</w:t>
            </w:r>
            <w:r>
              <w:rPr>
                <w:rFonts w:hint="eastAsia" w:ascii="仿宋_GB2312" w:hAnsi="仿宋_GB2312" w:cs="仿宋_GB2312"/>
                <w:sz w:val="24"/>
              </w:rPr>
              <w:t>新建牧原职业学院、南阳工艺美术职业学院等应用型职业学院，加快职业教育资源整合，争取南阳农业职业学院、南阳职业学院、河南工业职业技术学院、南阳科技职业学院升本；加强南阳师范学院、南阳理工学院应用技术类本科院校内涵建设，力争全市本科院校达到6所、高职高专院校达到8所。引入“大院名校”南阳分院5家。</w:t>
            </w:r>
          </w:p>
        </w:tc>
      </w:tr>
      <w:bookmarkEnd w:id="244"/>
      <w:bookmarkEnd w:id="245"/>
      <w:bookmarkEnd w:id="246"/>
    </w:tbl>
    <w:p>
      <w:pPr>
        <w:pStyle w:val="7"/>
        <w:spacing w:line="560" w:lineRule="exact"/>
        <w:contextualSpacing/>
        <w:jc w:val="center"/>
        <w:rPr>
          <w:b w:val="0"/>
        </w:rPr>
      </w:pPr>
      <w:bookmarkStart w:id="247" w:name="_Toc1693355574"/>
      <w:bookmarkStart w:id="248" w:name="_Toc29710"/>
      <w:bookmarkStart w:id="249" w:name="_Toc2778"/>
      <w:bookmarkStart w:id="250" w:name="_Toc17899"/>
      <w:bookmarkStart w:id="251" w:name="_Toc13707"/>
      <w:bookmarkStart w:id="252" w:name="_Toc31546"/>
      <w:bookmarkStart w:id="253" w:name="_Toc32290"/>
      <w:r>
        <w:rPr>
          <w:rFonts w:hint="eastAsia" w:ascii="楷体" w:hAnsi="楷体" w:eastAsia="楷体" w:cs="楷体"/>
          <w:b w:val="0"/>
        </w:rPr>
        <w:t>第二节 提升产业链现代化水平</w:t>
      </w:r>
      <w:bookmarkEnd w:id="247"/>
      <w:bookmarkEnd w:id="248"/>
      <w:bookmarkEnd w:id="249"/>
      <w:bookmarkEnd w:id="250"/>
    </w:p>
    <w:p>
      <w:pPr>
        <w:pStyle w:val="4"/>
        <w:spacing w:line="560" w:lineRule="exact"/>
        <w:ind w:left="119" w:firstLine="640" w:firstLineChars="200"/>
        <w:contextualSpacing/>
        <w:rPr>
          <w:rFonts w:ascii="仿宋_GB2312" w:hAnsi="仿宋_GB2312" w:cs="仿宋_GB2312"/>
        </w:rPr>
      </w:pPr>
      <w:r>
        <w:rPr>
          <w:rFonts w:hint="eastAsia" w:ascii="仿宋" w:hAnsi="仿宋" w:eastAsia="仿宋"/>
          <w:bCs/>
        </w:rPr>
        <w:t>加强产业链顶层谋划。</w:t>
      </w:r>
      <w:r>
        <w:rPr>
          <w:rFonts w:hint="eastAsia" w:ascii="仿宋_GB2312" w:hAnsi="仿宋_GB2312" w:cs="仿宋_GB2312"/>
        </w:rPr>
        <w:t>编制产业链图谱，研究制定产业链发展规划、行动方案和年度计划，确定产业发展目标、思路、任务，明晰产业链发展路径。依托龙头企业研发中心，汇聚科研院所、高校、行业专家力量，成立产业链智库，为产业链向高端发展理清思路，帮助企业解决技术管理难题。</w:t>
      </w:r>
    </w:p>
    <w:p>
      <w:pPr>
        <w:pStyle w:val="4"/>
        <w:spacing w:line="560" w:lineRule="exact"/>
        <w:ind w:left="119" w:firstLine="640" w:firstLineChars="200"/>
        <w:contextualSpacing/>
        <w:rPr>
          <w:rFonts w:ascii="仿宋_GB2312" w:hAnsi="仿宋_GB2312" w:cs="仿宋_GB2312"/>
        </w:rPr>
      </w:pPr>
      <w:r>
        <w:rPr>
          <w:rFonts w:hint="eastAsia" w:ascii="仿宋" w:hAnsi="仿宋" w:eastAsia="仿宋"/>
          <w:bCs/>
        </w:rPr>
        <w:t>推行产业链链长制。</w:t>
      </w:r>
      <w:r>
        <w:rPr>
          <w:rFonts w:hint="eastAsia" w:ascii="仿宋_GB2312" w:hAnsi="仿宋_GB2312" w:cs="仿宋_GB2312"/>
        </w:rPr>
        <w:t>按照“一个链长、一个工作专班、一套工作方案、一抓到底”的原则，推进落实产业链链长机制，优化产业链发展布局，推动城市功能定位与产业链发展协同匹配，探索更加有效的跨部门、跨区域的协调机制和产业链垂直管理架构。</w:t>
      </w:r>
    </w:p>
    <w:p>
      <w:pPr>
        <w:pStyle w:val="4"/>
        <w:spacing w:line="560" w:lineRule="exact"/>
        <w:ind w:left="119" w:firstLine="640" w:firstLineChars="200"/>
        <w:contextualSpacing/>
        <w:rPr>
          <w:rFonts w:ascii="仿宋_GB2312" w:hAnsi="仿宋_GB2312" w:cs="仿宋_GB2312"/>
          <w:bCs/>
        </w:rPr>
      </w:pPr>
      <w:r>
        <w:rPr>
          <w:rFonts w:hint="eastAsia" w:ascii="仿宋" w:hAnsi="仿宋" w:eastAsia="仿宋"/>
          <w:bCs/>
        </w:rPr>
        <w:t>发挥产业联盟作用。</w:t>
      </w:r>
      <w:r>
        <w:rPr>
          <w:rFonts w:hint="eastAsia" w:ascii="仿宋_GB2312" w:hAnsi="仿宋_GB2312" w:cs="仿宋_GB2312"/>
        </w:rPr>
        <w:t>由产业链链长负责组织产业链企业和相关联企业组建产业联盟，并推荐联盟会长。产业联盟旨在加强联盟企业之间的相互了解沟通，共同探讨研究行业发展趋势，帮助企业加强与业界大型企业、科研院所对接联系，协调联盟企业实现信息互通、资源共享，实验室和实验设备共用，开展技术、产销、资源、人才等方面协作协调。</w:t>
      </w:r>
    </w:p>
    <w:p>
      <w:pPr>
        <w:pStyle w:val="4"/>
        <w:spacing w:line="560" w:lineRule="exact"/>
        <w:ind w:left="119" w:firstLine="640" w:firstLineChars="200"/>
        <w:contextualSpacing/>
      </w:pPr>
      <w:r>
        <w:rPr>
          <w:rFonts w:hint="eastAsia" w:ascii="仿宋" w:hAnsi="仿宋" w:eastAsia="仿宋"/>
          <w:bCs/>
        </w:rPr>
        <w:t>推进强链、延链、补链。</w:t>
      </w:r>
      <w:r>
        <w:rPr>
          <w:rFonts w:hint="eastAsia" w:ascii="仿宋_GB2312" w:hAnsi="仿宋_GB2312" w:cs="仿宋_GB2312"/>
        </w:rPr>
        <w:t>以产业链中间产品为重点，扩大生产规模，提升产品质量。支持有实力的龙头企业向产业链上下游发展，依托龙头企业开展协作配套招商，吸引相关中小企业跟进配套，带动形成完整产业链条。全面梳理产业链重点环节，寻找缺失的高附加值环节和制约发展的瓶颈环节，着力打通堵点、断点，补充新增长点。</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6" w:type="dxa"/>
            <w:tcBorders>
              <w:top w:val="single" w:color="auto" w:sz="4" w:space="0"/>
              <w:left w:val="single" w:color="auto" w:sz="4" w:space="0"/>
              <w:bottom w:val="single" w:color="auto" w:sz="4" w:space="0"/>
              <w:right w:val="single" w:color="auto" w:sz="4" w:space="0"/>
            </w:tcBorders>
          </w:tcPr>
          <w:p>
            <w:pPr>
              <w:spacing w:line="400" w:lineRule="exact"/>
              <w:contextualSpacing/>
              <w:jc w:val="center"/>
              <w:rPr>
                <w:rFonts w:ascii="仿宋_GB2312" w:hAnsi="仿宋_GB2312" w:cs="仿宋_GB2312"/>
                <w:sz w:val="24"/>
              </w:rPr>
            </w:pPr>
            <w:r>
              <w:rPr>
                <w:rFonts w:hint="eastAsia" w:ascii="Times New Roman" w:hAnsi="Times New Roman" w:eastAsia="黑体"/>
                <w:sz w:val="28"/>
                <w:szCs w:val="28"/>
              </w:rPr>
              <w:t>专栏9：产业链战略部署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6"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推进产业链与创新链融合。</w:t>
            </w:r>
            <w:r>
              <w:rPr>
                <w:rFonts w:hint="eastAsia" w:ascii="仿宋_GB2312" w:hAnsi="仿宋_GB2312" w:cs="仿宋_GB2312"/>
                <w:sz w:val="24"/>
              </w:rPr>
              <w:t>力争创建省实验室1个、省技术创新中心5个，培育一批高能级创新平台，中试基地实现重点产业集群全覆盖，规模以上工业企业研发机构全覆盖，推进科研成果从平台到中试到产业化、工程化，打造“0-1-N”创新链条。</w:t>
            </w:r>
          </w:p>
          <w:p>
            <w:pPr>
              <w:spacing w:line="400" w:lineRule="exact"/>
              <w:ind w:firstLine="480" w:firstLineChars="200"/>
              <w:contextualSpacing/>
              <w:rPr>
                <w:rFonts w:ascii="仿宋_GB2312" w:hAnsi="仿宋_GB2312" w:cs="仿宋_GB2312"/>
                <w:bCs/>
                <w:spacing w:val="-4"/>
                <w:sz w:val="24"/>
              </w:rPr>
            </w:pPr>
            <w:r>
              <w:rPr>
                <w:rFonts w:hint="eastAsia" w:ascii="楷体" w:hAnsi="楷体" w:eastAsia="楷体" w:cs="楷体"/>
                <w:bCs/>
                <w:sz w:val="24"/>
              </w:rPr>
              <w:t>实施产业链“四图”作业。</w:t>
            </w:r>
            <w:r>
              <w:rPr>
                <w:rFonts w:hint="eastAsia" w:ascii="仿宋_GB2312" w:hAnsi="仿宋_GB2312" w:cs="仿宋_GB2312"/>
                <w:sz w:val="24"/>
              </w:rPr>
              <w:t>研究制定产业链图、技术路线图、应用领域图、区域分布图，分行业制定产业链重点事项、重点园区、重点企业、重点项目清单，实行跟踪推进、动态调整。建立联席会议制度，定期召开专班工作协调会，听取四个清单落实情况汇报，协调解决存在问题。</w:t>
            </w:r>
          </w:p>
        </w:tc>
      </w:tr>
      <w:bookmarkEnd w:id="251"/>
      <w:bookmarkEnd w:id="252"/>
      <w:bookmarkEnd w:id="253"/>
    </w:tbl>
    <w:p>
      <w:pPr>
        <w:pStyle w:val="7"/>
        <w:spacing w:line="560" w:lineRule="exact"/>
        <w:contextualSpacing/>
        <w:jc w:val="center"/>
        <w:rPr>
          <w:b w:val="0"/>
        </w:rPr>
      </w:pPr>
      <w:bookmarkStart w:id="254" w:name="_Toc1478826893"/>
      <w:bookmarkStart w:id="255" w:name="_Toc26768"/>
      <w:bookmarkStart w:id="256" w:name="_Toc14603"/>
      <w:bookmarkStart w:id="257" w:name="_Toc13110"/>
      <w:r>
        <w:rPr>
          <w:rFonts w:hint="eastAsia" w:ascii="楷体" w:hAnsi="楷体" w:eastAsia="楷体" w:cs="楷体"/>
          <w:b w:val="0"/>
        </w:rPr>
        <w:t>第三节 培育优质企业梯队</w:t>
      </w:r>
      <w:bookmarkEnd w:id="254"/>
    </w:p>
    <w:p>
      <w:pPr>
        <w:spacing w:line="560" w:lineRule="exact"/>
        <w:ind w:firstLine="640" w:firstLineChars="200"/>
        <w:contextualSpacing/>
        <w:rPr>
          <w:rFonts w:ascii="仿宋_GB2312" w:hAnsi="仿宋_GB2312" w:cs="仿宋_GB2312"/>
          <w:bCs/>
          <w:kern w:val="0"/>
          <w:szCs w:val="21"/>
          <w:lang w:val="en"/>
        </w:rPr>
      </w:pPr>
      <w:r>
        <w:rPr>
          <w:rFonts w:hint="eastAsia" w:ascii="Times New Roman" w:hAnsi="Times New Roman" w:eastAsia="仿宋"/>
          <w:bCs/>
          <w:kern w:val="0"/>
          <w:szCs w:val="21"/>
          <w:lang w:val="en"/>
        </w:rPr>
        <w:t>实施大企业大集团“头雁计划”。</w:t>
      </w:r>
      <w:r>
        <w:rPr>
          <w:rFonts w:hint="eastAsia" w:ascii="仿宋_GB2312" w:hAnsi="仿宋_GB2312" w:cs="仿宋_GB2312"/>
          <w:kern w:val="0"/>
          <w:szCs w:val="21"/>
          <w:lang w:val="en"/>
        </w:rPr>
        <w:t>重点培育一批创新能力一流、规模与品牌国内前列、引领战略性新兴产业跨越发展的创新型领军企业。支持其牵头组建</w:t>
      </w:r>
      <w:r>
        <w:rPr>
          <w:rFonts w:hint="eastAsia" w:ascii="仿宋_GB2312" w:hAnsi="仿宋_GB2312" w:cs="仿宋_GB2312"/>
          <w:bCs/>
          <w:kern w:val="0"/>
          <w:szCs w:val="21"/>
          <w:lang w:val="en"/>
        </w:rPr>
        <w:t>产业技术创新战略联盟</w:t>
      </w:r>
      <w:r>
        <w:rPr>
          <w:rFonts w:hint="eastAsia" w:ascii="仿宋_GB2312" w:hAnsi="仿宋_GB2312" w:cs="仿宋_GB2312"/>
          <w:kern w:val="0"/>
          <w:szCs w:val="21"/>
          <w:lang w:val="en"/>
        </w:rPr>
        <w:t>，实施产业核心技术研发项目。</w:t>
      </w:r>
    </w:p>
    <w:p>
      <w:pPr>
        <w:spacing w:line="560" w:lineRule="exact"/>
        <w:ind w:firstLine="640" w:firstLineChars="200"/>
        <w:contextualSpacing/>
        <w:rPr>
          <w:rFonts w:ascii="仿宋_GB2312" w:hAnsi="仿宋_GB2312" w:cs="仿宋_GB2312"/>
          <w:kern w:val="0"/>
          <w:szCs w:val="21"/>
          <w:lang w:val="en"/>
        </w:rPr>
      </w:pPr>
      <w:r>
        <w:rPr>
          <w:rFonts w:ascii="Times New Roman" w:hAnsi="Times New Roman" w:eastAsia="仿宋"/>
          <w:bCs/>
          <w:kern w:val="0"/>
          <w:szCs w:val="21"/>
          <w:lang w:val="en"/>
        </w:rPr>
        <w:t>实施创新</w:t>
      </w:r>
      <w:r>
        <w:rPr>
          <w:rFonts w:hint="eastAsia" w:ascii="Times New Roman" w:hAnsi="Times New Roman" w:eastAsia="仿宋"/>
          <w:bCs/>
          <w:kern w:val="0"/>
          <w:szCs w:val="21"/>
          <w:lang w:val="en"/>
        </w:rPr>
        <w:t>骨干</w:t>
      </w:r>
      <w:r>
        <w:rPr>
          <w:rFonts w:ascii="Times New Roman" w:hAnsi="Times New Roman" w:eastAsia="仿宋"/>
          <w:bCs/>
          <w:kern w:val="0"/>
          <w:szCs w:val="21"/>
          <w:lang w:val="en"/>
        </w:rPr>
        <w:t>企业培育</w:t>
      </w:r>
      <w:r>
        <w:rPr>
          <w:rFonts w:hint="eastAsia" w:ascii="Times New Roman" w:hAnsi="Times New Roman" w:eastAsia="仿宋"/>
          <w:bCs/>
          <w:kern w:val="0"/>
          <w:szCs w:val="21"/>
          <w:lang w:val="en"/>
        </w:rPr>
        <w:t>计划。</w:t>
      </w:r>
      <w:r>
        <w:rPr>
          <w:rFonts w:hint="eastAsia" w:ascii="仿宋_GB2312" w:hAnsi="仿宋_GB2312" w:cs="仿宋_GB2312"/>
          <w:kern w:val="0"/>
          <w:szCs w:val="21"/>
          <w:lang w:val="en"/>
        </w:rPr>
        <w:t>按照“产业先进、行业领先、竞争力强”的要求，筛选一批主业突出、关联度大、创新力强的骨干企业，加大政策支持力度，引导创新资源向骨干企业集聚，加速壮大骨干企业，引领带动一批上下游紧密配套中小企业发展，形成产业关联配套的企业集群。</w:t>
      </w:r>
    </w:p>
    <w:p>
      <w:pPr>
        <w:spacing w:line="560" w:lineRule="exact"/>
        <w:ind w:firstLine="640" w:firstLineChars="200"/>
        <w:contextualSpacing/>
        <w:rPr>
          <w:rFonts w:ascii="仿宋_GB2312" w:hAnsi="仿宋_GB2312" w:cs="仿宋_GB2312"/>
          <w:kern w:val="0"/>
          <w:szCs w:val="21"/>
          <w:lang w:val="en"/>
        </w:rPr>
      </w:pPr>
      <w:r>
        <w:rPr>
          <w:rFonts w:hint="eastAsia" w:ascii="Times New Roman" w:hAnsi="Times New Roman" w:eastAsia="仿宋"/>
          <w:bCs/>
          <w:kern w:val="0"/>
          <w:szCs w:val="21"/>
          <w:lang w:val="en"/>
        </w:rPr>
        <w:t>实施专精特新“小巨人”企业培育计划。</w:t>
      </w:r>
      <w:r>
        <w:rPr>
          <w:rFonts w:ascii="仿宋_GB2312" w:hAnsi="仿宋_GB2312" w:cs="仿宋_GB2312"/>
          <w:kern w:val="0"/>
          <w:szCs w:val="21"/>
          <w:lang w:val="en"/>
        </w:rPr>
        <w:t>加快创新创</w:t>
      </w:r>
      <w:r>
        <w:rPr>
          <w:rFonts w:hint="eastAsia" w:ascii="仿宋_GB2312" w:hAnsi="仿宋_GB2312" w:cs="仿宋_GB2312"/>
          <w:kern w:val="0"/>
          <w:szCs w:val="21"/>
          <w:lang w:val="en"/>
        </w:rPr>
        <w:t>业孵化载体建设，推进创新创业与金融结合，优化创新创业生态，促进科技型小微企业裂变式、集群式增长，加快壮大一批专精特新“小巨人”企业。鼓励小微企业与龙头企业开展协作配套，促进其向“专精特新”方向发展。</w:t>
      </w:r>
    </w:p>
    <w:p>
      <w:pPr>
        <w:pStyle w:val="4"/>
        <w:spacing w:line="560" w:lineRule="exact"/>
        <w:ind w:firstLine="640" w:firstLineChars="200"/>
        <w:contextualSpacing/>
        <w:rPr>
          <w:rFonts w:ascii="仿宋_GB2312" w:hAnsi="仿宋_GB2312" w:cs="仿宋_GB2312"/>
          <w:bCs/>
          <w:kern w:val="0"/>
          <w:szCs w:val="21"/>
          <w:lang w:val="en"/>
        </w:rPr>
      </w:pPr>
      <w:r>
        <w:rPr>
          <w:rFonts w:hint="eastAsia" w:eastAsia="仿宋"/>
          <w:kern w:val="0"/>
          <w:szCs w:val="21"/>
          <w:lang w:val="en"/>
        </w:rPr>
        <w:t>实施高新技术企业倍增计划。</w:t>
      </w:r>
      <w:r>
        <w:rPr>
          <w:rFonts w:hint="eastAsia" w:ascii="仿宋_GB2312" w:hAnsi="仿宋_GB2312" w:cs="仿宋_GB2312"/>
          <w:bCs/>
          <w:kern w:val="0"/>
          <w:szCs w:val="21"/>
          <w:lang w:val="en"/>
        </w:rPr>
        <w:t>打造以创新龙头企业为引领、高新技术企业为骨干、科技型中小企业为基础的创新型企业集群。</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6" w:type="dxa"/>
            <w:tcBorders>
              <w:top w:val="single" w:color="auto" w:sz="4" w:space="0"/>
              <w:left w:val="single" w:color="auto" w:sz="4" w:space="0"/>
              <w:bottom w:val="single" w:color="auto" w:sz="4" w:space="0"/>
              <w:right w:val="single" w:color="auto" w:sz="4" w:space="0"/>
            </w:tcBorders>
          </w:tcPr>
          <w:p>
            <w:pPr>
              <w:spacing w:line="400" w:lineRule="exact"/>
              <w:contextualSpacing/>
              <w:jc w:val="center"/>
              <w:rPr>
                <w:rFonts w:ascii="仿宋_GB2312" w:hAnsi="仿宋_GB2312" w:cs="仿宋_GB2312"/>
                <w:sz w:val="24"/>
              </w:rPr>
            </w:pPr>
            <w:r>
              <w:rPr>
                <w:rFonts w:hint="eastAsia" w:ascii="Times New Roman" w:hAnsi="Times New Roman" w:eastAsia="黑体"/>
                <w:sz w:val="28"/>
                <w:szCs w:val="28"/>
              </w:rPr>
              <w:t>专栏10：企业战略部署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6"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高效赋能企业数字化转型。</w:t>
            </w:r>
            <w:r>
              <w:rPr>
                <w:rFonts w:hint="eastAsia" w:ascii="仿宋_GB2312" w:hAnsi="仿宋_GB2312" w:cs="仿宋_GB2312"/>
                <w:sz w:val="24"/>
              </w:rPr>
              <w:t>新增省级以上智能工厂10家、智能车间30家、工业互联网平台3个左右。</w:t>
            </w:r>
          </w:p>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培育上市企业。</w:t>
            </w:r>
            <w:r>
              <w:rPr>
                <w:rFonts w:hint="eastAsia" w:ascii="仿宋_GB2312" w:hAnsi="仿宋_GB2312" w:cs="仿宋_GB2312"/>
                <w:sz w:val="24"/>
              </w:rPr>
              <w:t>新增上市企业10家以上、消灭上市企业空白县。</w:t>
            </w:r>
          </w:p>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培育服务型制造企业。</w:t>
            </w:r>
            <w:r>
              <w:rPr>
                <w:rFonts w:hint="eastAsia" w:ascii="仿宋_GB2312" w:hAnsi="仿宋_GB2312" w:cs="仿宋_GB2312"/>
                <w:sz w:val="24"/>
              </w:rPr>
              <w:t>培育省级服务型制造示范企业10家、服务型平台5个，争取国家级服务型制造示范企业1-2家。</w:t>
            </w:r>
          </w:p>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推进企业绿色化改造。</w:t>
            </w:r>
            <w:r>
              <w:rPr>
                <w:rFonts w:hint="eastAsia" w:ascii="仿宋_GB2312" w:hAnsi="仿宋_GB2312" w:cs="仿宋_GB2312"/>
                <w:sz w:val="24"/>
              </w:rPr>
              <w:t>新增省级以上绿色工厂10个。</w:t>
            </w:r>
          </w:p>
          <w:p>
            <w:pPr>
              <w:spacing w:line="400" w:lineRule="exact"/>
              <w:ind w:firstLine="480" w:firstLineChars="200"/>
              <w:contextualSpacing/>
              <w:rPr>
                <w:rFonts w:ascii="仿宋_GB2312" w:hAnsi="仿宋_GB2312" w:cs="仿宋_GB2312"/>
                <w:bCs/>
                <w:spacing w:val="-4"/>
                <w:sz w:val="24"/>
              </w:rPr>
            </w:pPr>
            <w:r>
              <w:rPr>
                <w:rFonts w:hint="eastAsia" w:ascii="楷体" w:hAnsi="楷体" w:eastAsia="楷体" w:cs="楷体"/>
                <w:bCs/>
                <w:sz w:val="24"/>
              </w:rPr>
              <w:t>提升企业品质。</w:t>
            </w:r>
            <w:r>
              <w:rPr>
                <w:rFonts w:hint="eastAsia" w:ascii="仿宋_GB2312" w:hAnsi="仿宋_GB2312" w:cs="仿宋_GB2312"/>
                <w:sz w:val="24"/>
              </w:rPr>
              <w:t>新增省质量标杆企业20个以上。</w:t>
            </w:r>
          </w:p>
        </w:tc>
      </w:tr>
      <w:bookmarkEnd w:id="255"/>
      <w:bookmarkEnd w:id="256"/>
      <w:bookmarkEnd w:id="257"/>
    </w:tbl>
    <w:p>
      <w:pPr>
        <w:pStyle w:val="7"/>
        <w:spacing w:line="560" w:lineRule="exact"/>
        <w:contextualSpacing/>
        <w:jc w:val="center"/>
        <w:rPr>
          <w:b w:val="0"/>
        </w:rPr>
      </w:pPr>
      <w:bookmarkStart w:id="258" w:name="_Toc15231"/>
      <w:bookmarkStart w:id="259" w:name="_Toc1385040974"/>
      <w:bookmarkStart w:id="260" w:name="_Toc5166"/>
      <w:bookmarkStart w:id="261" w:name="_Toc14721"/>
      <w:r>
        <w:rPr>
          <w:rFonts w:hint="eastAsia" w:ascii="楷体" w:hAnsi="楷体" w:eastAsia="楷体" w:cs="楷体"/>
          <w:b w:val="0"/>
        </w:rPr>
        <w:t>第四节 加强人才引育培用</w:t>
      </w:r>
      <w:bookmarkEnd w:id="258"/>
      <w:bookmarkEnd w:id="259"/>
      <w:bookmarkEnd w:id="260"/>
      <w:bookmarkEnd w:id="261"/>
    </w:p>
    <w:p>
      <w:pPr>
        <w:spacing w:line="560" w:lineRule="exact"/>
        <w:ind w:firstLine="640" w:firstLineChars="200"/>
        <w:contextualSpacing/>
        <w:rPr>
          <w:rFonts w:ascii="仿宋_GB2312" w:hAnsi="仿宋_GB2312" w:cs="仿宋_GB2312"/>
          <w:kern w:val="0"/>
          <w:szCs w:val="21"/>
          <w:lang w:val="en"/>
        </w:rPr>
      </w:pPr>
      <w:r>
        <w:rPr>
          <w:rFonts w:ascii="Times New Roman" w:hAnsi="Times New Roman" w:eastAsia="仿宋"/>
          <w:bCs/>
          <w:kern w:val="0"/>
          <w:szCs w:val="21"/>
          <w:lang w:val="en"/>
        </w:rPr>
        <w:t>以更</w:t>
      </w:r>
      <w:r>
        <w:rPr>
          <w:rFonts w:hint="eastAsia" w:ascii="Times New Roman" w:hAnsi="Times New Roman" w:eastAsia="仿宋"/>
          <w:bCs/>
          <w:kern w:val="0"/>
          <w:szCs w:val="21"/>
          <w:lang w:val="en"/>
        </w:rPr>
        <w:t>灵</w:t>
      </w:r>
      <w:r>
        <w:rPr>
          <w:rFonts w:ascii="Times New Roman" w:hAnsi="Times New Roman" w:eastAsia="仿宋"/>
          <w:bCs/>
          <w:kern w:val="0"/>
          <w:szCs w:val="21"/>
          <w:lang w:val="en"/>
        </w:rPr>
        <w:t>活的方式吸引人才</w:t>
      </w:r>
      <w:r>
        <w:rPr>
          <w:rFonts w:hint="eastAsia" w:ascii="Times New Roman" w:hAnsi="Times New Roman" w:eastAsia="仿宋"/>
          <w:bCs/>
          <w:kern w:val="0"/>
          <w:szCs w:val="21"/>
          <w:lang w:val="en"/>
        </w:rPr>
        <w:t>。</w:t>
      </w:r>
      <w:r>
        <w:rPr>
          <w:rFonts w:hint="eastAsia" w:ascii="仿宋_GB2312" w:hAnsi="仿宋_GB2312" w:cs="仿宋_GB2312"/>
          <w:kern w:val="0"/>
          <w:szCs w:val="21"/>
          <w:lang w:val="en"/>
        </w:rPr>
        <w:t>深入实施“诸葛英才计划”，完善“全职+柔性”招才引智机制，积极引进一批具有国际视野和拥有国际领先成果的高层次领军人才和团队。全面改革人才计划遴选方式，探索建立“企业评价+政府奖励”的人才激励机制。支持新型研发机构开展人才创新政策试点，打通高校、科研院所与企业人才流动通道。探索通过高校和重大科研平台留编引才方式，鼓励高校和科研院所科研人员兼职或离岗创办科技型企业，积极吸引海外高层次人才来南阳落户创业。鼓励高等院校、科研院所、企业设立首席科学家、特聘研究员、首席技术专家等特色岗位，引进高层次人才。</w:t>
      </w:r>
    </w:p>
    <w:p>
      <w:pPr>
        <w:spacing w:line="560" w:lineRule="exact"/>
        <w:ind w:firstLine="640" w:firstLineChars="200"/>
        <w:contextualSpacing/>
        <w:rPr>
          <w:rFonts w:ascii="仿宋_GB2312" w:hAnsi="仿宋_GB2312" w:cs="仿宋_GB2312"/>
        </w:rPr>
      </w:pPr>
      <w:r>
        <w:rPr>
          <w:rFonts w:ascii="Times New Roman" w:hAnsi="Times New Roman" w:eastAsia="仿宋"/>
          <w:bCs/>
          <w:kern w:val="0"/>
          <w:szCs w:val="21"/>
          <w:lang w:val="en"/>
        </w:rPr>
        <w:t>以更先进的理念培养人才</w:t>
      </w:r>
      <w:r>
        <w:rPr>
          <w:rFonts w:hint="eastAsia" w:ascii="Times New Roman" w:hAnsi="Times New Roman" w:eastAsia="仿宋"/>
          <w:bCs/>
          <w:kern w:val="0"/>
          <w:szCs w:val="21"/>
          <w:lang w:val="en"/>
        </w:rPr>
        <w:t>。</w:t>
      </w:r>
      <w:r>
        <w:rPr>
          <w:rFonts w:hint="eastAsia" w:ascii="仿宋_GB2312" w:hAnsi="仿宋_GB2312" w:cs="仿宋_GB2312"/>
          <w:kern w:val="0"/>
          <w:szCs w:val="21"/>
          <w:lang w:val="en"/>
        </w:rPr>
        <w:t>落实国家高技能人才振兴计划，发挥高校、职业院校等作用，加大本土人才培养力度。围绕产业发展需求，动态调整高校教育内容和课程设置，合理扩大与战略性新兴产业发展需求相适应的相关专业的招生规模。建立企校联合培养人才新机制，支持各类实训基地建设，培育一大批创新性、应用型、技能型和复合型</w:t>
      </w:r>
      <w:r>
        <w:rPr>
          <w:rFonts w:hint="eastAsia" w:ascii="仿宋_GB2312" w:hAnsi="仿宋_GB2312" w:cs="仿宋_GB2312"/>
        </w:rPr>
        <w:t>人才。积极组织企业科技人员进行“技术经理人”培训。</w:t>
      </w:r>
    </w:p>
    <w:p>
      <w:pPr>
        <w:spacing w:line="560" w:lineRule="exact"/>
        <w:ind w:firstLine="640" w:firstLineChars="200"/>
        <w:contextualSpacing/>
        <w:rPr>
          <w:rFonts w:ascii="仿宋_GB2312" w:hAnsi="仿宋_GB2312" w:cs="仿宋_GB2312"/>
          <w:bCs/>
          <w:kern w:val="0"/>
          <w:szCs w:val="21"/>
          <w:lang w:val="en"/>
        </w:rPr>
      </w:pPr>
      <w:r>
        <w:rPr>
          <w:rFonts w:hint="eastAsia" w:ascii="Times New Roman" w:hAnsi="Times New Roman" w:eastAsia="仿宋"/>
          <w:bCs/>
          <w:kern w:val="0"/>
          <w:szCs w:val="21"/>
          <w:lang w:val="en"/>
        </w:rPr>
        <w:t>以更科学的方式使用人才。</w:t>
      </w:r>
      <w:r>
        <w:rPr>
          <w:rFonts w:hint="eastAsia" w:ascii="仿宋_GB2312" w:hAnsi="仿宋_GB2312" w:cs="仿宋_GB2312"/>
        </w:rPr>
        <w:t>扩大科研机构、高校等用人单位收入分配自主权，制定以实际贡献为评价标准的科技创新人才收入分配激励办法，使科研人员收入与岗位职责、工作业绩、实际贡献紧密挂钩。全面推进“早确权、早分割、共享制”的科技成果管理模式，认真落实科技成果转化奖励、股权分红激励和相关税收优惠政策，完善职务发明制度，完善科技成果、知识产权归属和利益分享机制，支持科研人员带着创新成果兼职创新创业，推行高层次人才年薪制、协议工资、项目工资等符合人才特点和市场规律、有竞争优势的薪酬制度。</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6" w:type="dxa"/>
            <w:tcBorders>
              <w:top w:val="single" w:color="auto" w:sz="4" w:space="0"/>
              <w:left w:val="single" w:color="auto" w:sz="4" w:space="0"/>
              <w:bottom w:val="single" w:color="auto" w:sz="4" w:space="0"/>
              <w:right w:val="single" w:color="auto" w:sz="4" w:space="0"/>
            </w:tcBorders>
          </w:tcPr>
          <w:p>
            <w:pPr>
              <w:spacing w:line="400" w:lineRule="exact"/>
              <w:contextualSpacing/>
              <w:jc w:val="center"/>
              <w:rPr>
                <w:rFonts w:ascii="仿宋_GB2312" w:hAnsi="仿宋_GB2312" w:cs="仿宋_GB2312"/>
                <w:sz w:val="24"/>
              </w:rPr>
            </w:pPr>
            <w:r>
              <w:rPr>
                <w:rFonts w:hint="eastAsia" w:ascii="Times New Roman" w:hAnsi="Times New Roman" w:eastAsia="黑体"/>
                <w:sz w:val="28"/>
                <w:szCs w:val="28"/>
              </w:rPr>
              <w:t>专栏11：人才战略部署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8496"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引育科技创新人才。</w:t>
            </w:r>
            <w:r>
              <w:rPr>
                <w:rFonts w:hint="eastAsia" w:ascii="仿宋_GB2312" w:hAnsi="仿宋_GB2312" w:cs="仿宋_GB2312"/>
                <w:sz w:val="24"/>
              </w:rPr>
              <w:t>新引育高层次人才600名以上，集聚科技创新人才（团队）50个以上，科技创新人才2000名以上，新建院士和中原学者工作站、科技创新人才培养基地6个以上。</w:t>
            </w:r>
          </w:p>
          <w:p>
            <w:pPr>
              <w:spacing w:line="400" w:lineRule="exact"/>
              <w:ind w:firstLine="480" w:firstLineChars="200"/>
              <w:contextualSpacing/>
              <w:rPr>
                <w:rFonts w:ascii="仿宋_GB2312" w:hAnsi="仿宋_GB2312" w:cs="仿宋_GB2312"/>
                <w:sz w:val="24"/>
              </w:rPr>
            </w:pPr>
            <w:r>
              <w:rPr>
                <w:rFonts w:hint="eastAsia" w:ascii="楷体" w:hAnsi="楷体" w:eastAsia="楷体" w:cs="楷体"/>
                <w:bCs/>
                <w:sz w:val="24"/>
              </w:rPr>
              <w:t>培育企业经管人才。</w:t>
            </w:r>
            <w:r>
              <w:rPr>
                <w:rFonts w:hint="eastAsia" w:ascii="仿宋_GB2312" w:hAnsi="仿宋_GB2312" w:cs="仿宋_GB2312"/>
                <w:sz w:val="24"/>
              </w:rPr>
              <w:t>培育优秀企业经营管理人才1000名以上，包括领军型企业家10名以上，新生代企业家100名以上，成长型企业家1000名以上。</w:t>
            </w:r>
          </w:p>
          <w:p>
            <w:pPr>
              <w:spacing w:line="400" w:lineRule="exact"/>
              <w:ind w:firstLine="480" w:firstLineChars="200"/>
              <w:contextualSpacing/>
              <w:rPr>
                <w:rFonts w:ascii="仿宋_GB2312" w:hAnsi="仿宋_GB2312" w:cs="仿宋_GB2312"/>
                <w:bCs/>
                <w:spacing w:val="-4"/>
                <w:sz w:val="24"/>
              </w:rPr>
            </w:pPr>
            <w:r>
              <w:rPr>
                <w:rFonts w:hint="eastAsia" w:ascii="楷体" w:hAnsi="楷体" w:eastAsia="楷体" w:cs="楷体"/>
                <w:bCs/>
                <w:sz w:val="24"/>
              </w:rPr>
              <w:t>培养企业技能人才。</w:t>
            </w:r>
            <w:r>
              <w:rPr>
                <w:rFonts w:hint="eastAsia" w:ascii="仿宋_GB2312" w:hAnsi="仿宋_GB2312" w:cs="仿宋_GB2312"/>
                <w:sz w:val="24"/>
              </w:rPr>
              <w:t>培养全市技能人才总量达到164万人，高技能人才50万人左右。</w:t>
            </w:r>
          </w:p>
        </w:tc>
      </w:tr>
    </w:tbl>
    <w:p>
      <w:pPr>
        <w:pStyle w:val="6"/>
        <w:spacing w:line="560" w:lineRule="exact"/>
        <w:ind w:firstLine="640"/>
        <w:contextualSpacing/>
        <w:jc w:val="center"/>
      </w:pPr>
      <w:bookmarkStart w:id="262" w:name="_Toc442482073"/>
      <w:r>
        <w:rPr>
          <w:rFonts w:hint="eastAsia"/>
        </w:rPr>
        <w:t>第六章 健全六大保障措施</w:t>
      </w:r>
      <w:bookmarkEnd w:id="262"/>
    </w:p>
    <w:p>
      <w:pPr>
        <w:pStyle w:val="7"/>
        <w:spacing w:line="560" w:lineRule="exact"/>
        <w:contextualSpacing/>
        <w:jc w:val="center"/>
        <w:rPr>
          <w:b w:val="0"/>
        </w:rPr>
      </w:pPr>
      <w:bookmarkStart w:id="263" w:name="_Toc86193421"/>
      <w:r>
        <w:rPr>
          <w:rFonts w:hint="eastAsia" w:ascii="楷体" w:hAnsi="楷体" w:eastAsia="楷体" w:cs="楷体"/>
          <w:b w:val="0"/>
        </w:rPr>
        <w:t>第一节</w:t>
      </w:r>
      <w:r>
        <w:rPr>
          <w:rFonts w:hint="eastAsia" w:ascii="楷体" w:hAnsi="楷体" w:cs="楷体"/>
          <w:b w:val="0"/>
        </w:rPr>
        <w:t xml:space="preserve">  </w:t>
      </w:r>
      <w:r>
        <w:rPr>
          <w:rFonts w:hint="eastAsia" w:ascii="楷体" w:hAnsi="楷体" w:eastAsia="楷体" w:cs="楷体"/>
          <w:b w:val="0"/>
        </w:rPr>
        <w:t>建立推进实施机制</w:t>
      </w:r>
      <w:bookmarkEnd w:id="263"/>
    </w:p>
    <w:p>
      <w:pPr>
        <w:pStyle w:val="2"/>
        <w:spacing w:line="560" w:lineRule="exact"/>
        <w:ind w:firstLine="640"/>
        <w:contextualSpacing/>
        <w:rPr>
          <w:rFonts w:ascii="楷体" w:hAnsi="楷体" w:eastAsia="楷体" w:cs="楷体"/>
        </w:rPr>
      </w:pPr>
      <w:r>
        <w:rPr>
          <w:rFonts w:hint="eastAsia" w:ascii="仿宋_GB2312" w:hAnsi="仿宋_GB2312" w:cs="仿宋_GB2312"/>
        </w:rPr>
        <w:t>建立推进战略性新兴产业和未来产业发展部门联动工作机制，加强对规划实施的组织、协调和指导，确保规划各项目标任务的分解落实。由市工业高质量发展领导小组负责，定期召开链长会议，推进“链长制”工作进一步深化。探索组建战略性新兴产业和未来产业专家咨询委员会，定期邀请省内外专家为我市工业发展建言献策。加强规划目标任务督促检查和考评，完善产业考核评价体系，设立符合市场规律的考评体系。严格落实安全生产责任制，推进网格化安全隐患排查整治，确保企业安全生产形势良好稳定。</w:t>
      </w:r>
      <w:bookmarkStart w:id="264" w:name="_Toc2071581772"/>
      <w:bookmarkStart w:id="265" w:name="_Toc1133"/>
      <w:bookmarkStart w:id="266" w:name="_Toc14679"/>
      <w:bookmarkStart w:id="267" w:name="_Toc12356"/>
    </w:p>
    <w:p>
      <w:pPr>
        <w:pStyle w:val="7"/>
        <w:spacing w:line="560" w:lineRule="exact"/>
        <w:contextualSpacing/>
        <w:jc w:val="center"/>
        <w:rPr>
          <w:rFonts w:ascii="楷体" w:hAnsi="楷体" w:eastAsia="楷体" w:cs="楷体"/>
          <w:b w:val="0"/>
        </w:rPr>
      </w:pPr>
      <w:r>
        <w:rPr>
          <w:rFonts w:hint="eastAsia" w:ascii="楷体" w:hAnsi="楷体" w:eastAsia="楷体" w:cs="楷体"/>
          <w:b w:val="0"/>
        </w:rPr>
        <w:t>第二节  加强宏观规划引领</w:t>
      </w:r>
      <w:bookmarkEnd w:id="264"/>
    </w:p>
    <w:p>
      <w:pPr>
        <w:pStyle w:val="2"/>
        <w:spacing w:line="560" w:lineRule="exact"/>
        <w:ind w:firstLine="640"/>
        <w:contextualSpacing/>
        <w:rPr>
          <w:rFonts w:ascii="仿宋_GB2312" w:hAnsi="仿宋_GB2312" w:cs="仿宋_GB2312"/>
          <w:bCs/>
        </w:rPr>
      </w:pPr>
      <w:r>
        <w:rPr>
          <w:rFonts w:hint="eastAsia" w:ascii="仿宋_GB2312" w:hAnsi="仿宋_GB2312" w:cs="仿宋_GB2312"/>
          <w:bCs/>
        </w:rPr>
        <w:t>制定南阳市战略性新兴产业和未来产业发展指南，加强对各县市区发展战略性新兴产业和未来产业的信息引导和宏观指导。各县市区、各部门要结合实际，聚焦发展壮大战略性新兴产业和未来产业，细化目标任务，明确工作责任，制定配套措施，确保如期实现规划目标。建立战略性新兴产业统计指标体系，加强产业发展统计监测和形势分析，及时研究解决重大问题，确保规划任务落到实处。强化行业和企业自律，发挥行业协会在企业投资、经营决策方面的指导、协调和监督作用。推动本地企业建立产业技术创新战略联盟。实行用地计划配合工业项目的配置方式，对符合条件的战略性新兴产业项目，优先列入市重点项目，优先安排土地指标、环境容量指标。</w:t>
      </w:r>
      <w:bookmarkEnd w:id="265"/>
      <w:bookmarkEnd w:id="266"/>
      <w:bookmarkEnd w:id="267"/>
      <w:bookmarkStart w:id="268" w:name="_Toc7865"/>
      <w:bookmarkStart w:id="269" w:name="_Toc7070"/>
      <w:bookmarkStart w:id="270" w:name="_Toc491"/>
    </w:p>
    <w:p>
      <w:pPr>
        <w:pStyle w:val="7"/>
        <w:spacing w:line="560" w:lineRule="exact"/>
        <w:contextualSpacing/>
        <w:jc w:val="center"/>
        <w:rPr>
          <w:b w:val="0"/>
        </w:rPr>
      </w:pPr>
      <w:bookmarkStart w:id="271" w:name="_Toc1152535572"/>
      <w:r>
        <w:rPr>
          <w:rFonts w:hint="eastAsia" w:ascii="楷体" w:hAnsi="楷体" w:eastAsia="楷体" w:cs="楷体"/>
          <w:b w:val="0"/>
        </w:rPr>
        <w:t>第三节  强化财政金融支持</w:t>
      </w:r>
      <w:bookmarkEnd w:id="268"/>
      <w:bookmarkEnd w:id="269"/>
      <w:bookmarkEnd w:id="270"/>
      <w:bookmarkEnd w:id="271"/>
    </w:p>
    <w:p>
      <w:pPr>
        <w:pStyle w:val="2"/>
        <w:spacing w:line="560" w:lineRule="exact"/>
        <w:ind w:firstLine="640"/>
        <w:contextualSpacing/>
        <w:rPr>
          <w:rFonts w:ascii="仿宋_GB2312" w:hAnsi="仿宋_GB2312" w:cs="仿宋_GB2312"/>
          <w:bCs/>
        </w:rPr>
      </w:pPr>
      <w:r>
        <w:rPr>
          <w:rFonts w:hint="eastAsia" w:ascii="仿宋_GB2312" w:hAnsi="仿宋_GB2312" w:cs="仿宋_GB2312"/>
          <w:bCs/>
          <w:kern w:val="0"/>
          <w:szCs w:val="21"/>
          <w:lang w:val="en"/>
        </w:rPr>
        <w:t>建立各级财政科技投入稳定增长机制，制定研发投入高质量增长实施方案。统筹用好产业扶持资金、重大科技专项等财政资金，采取股权投资、贴息、资金注入等多种形式，保障战略性新兴产业和未来产业重点建设项目的资金投入。</w:t>
      </w:r>
      <w:r>
        <w:rPr>
          <w:rFonts w:hint="eastAsia" w:ascii="仿宋_GB2312" w:hAnsi="仿宋_GB2312" w:cs="仿宋_GB2312"/>
          <w:bCs/>
        </w:rPr>
        <w:t>健全财政资助科研项目的成果公开体系，提供便捷的信息发布、需求对接、技术获取及知识产权管理等服务。</w:t>
      </w:r>
      <w:r>
        <w:rPr>
          <w:rFonts w:hint="eastAsia" w:ascii="仿宋_GB2312" w:hAnsi="仿宋_GB2312" w:cs="仿宋_GB2312"/>
          <w:bCs/>
          <w:kern w:val="0"/>
          <w:szCs w:val="21"/>
          <w:lang w:val="en"/>
        </w:rPr>
        <w:t>落实和完善企业研发费用加计扣除政策，扩大固定资产加速折旧实施范围，推动设备更新和新技术应用。</w:t>
      </w:r>
      <w:r>
        <w:rPr>
          <w:rFonts w:hint="eastAsia" w:ascii="仿宋_GB2312" w:hAnsi="仿宋_GB2312" w:cs="仿宋_GB2312"/>
          <w:bCs/>
        </w:rPr>
        <w:t>鼓励金融机构调整信贷结构，大力发展数字金融、绿色金融、科技金融等新业态，对新兴产业重点领域重大项目优先给予信贷支持。支持符合条件的战略性新兴产业企业利用多层次资本市场融资。大力引进和培育创业投资、风险投资等市场化投资机构。</w:t>
      </w:r>
      <w:bookmarkStart w:id="272" w:name="_Toc28253"/>
      <w:bookmarkStart w:id="273" w:name="_Toc362"/>
      <w:bookmarkStart w:id="274" w:name="_Toc6364"/>
      <w:bookmarkStart w:id="275" w:name="_Toc1865722798"/>
    </w:p>
    <w:p>
      <w:pPr>
        <w:pStyle w:val="7"/>
        <w:spacing w:line="560" w:lineRule="exact"/>
        <w:contextualSpacing/>
        <w:jc w:val="center"/>
        <w:rPr>
          <w:rFonts w:ascii="楷体" w:hAnsi="楷体" w:eastAsia="楷体" w:cs="楷体"/>
          <w:b w:val="0"/>
        </w:rPr>
      </w:pPr>
      <w:r>
        <w:rPr>
          <w:rFonts w:hint="eastAsia" w:ascii="楷体" w:hAnsi="楷体" w:eastAsia="楷体" w:cs="楷体"/>
          <w:b w:val="0"/>
        </w:rPr>
        <w:t>第四节  扩大对外开放合作</w:t>
      </w:r>
      <w:bookmarkEnd w:id="272"/>
      <w:bookmarkEnd w:id="273"/>
      <w:bookmarkEnd w:id="274"/>
      <w:bookmarkEnd w:id="275"/>
    </w:p>
    <w:p>
      <w:pPr>
        <w:pStyle w:val="2"/>
        <w:spacing w:line="560" w:lineRule="exact"/>
        <w:ind w:firstLine="640"/>
        <w:contextualSpacing/>
        <w:rPr>
          <w:rFonts w:ascii="仿宋_GB2312" w:hAnsi="仿宋_GB2312" w:cs="仿宋_GB2312"/>
        </w:rPr>
      </w:pPr>
      <w:r>
        <w:rPr>
          <w:rFonts w:hint="eastAsia" w:ascii="仿宋_GB2312" w:hAnsi="仿宋_GB2312" w:cs="仿宋_GB2312"/>
          <w:bCs/>
        </w:rPr>
        <w:t>深化京（津）宛对口协作，积极参与京津冀协同发展，将我市打造成为京津地区重要的产业转移承接基地和科技成果转化孵化基地。加速融入长江经济带，推动在市场、产业、资本、人才等方面的对接融合，打造跨区域资源要素的重要承载地和引力场。打造豫鄂陕跨区域协同创新发展示范区、豫西南高效生态经济示范区和承接国家自创区产业转移示范区。加强与郑洛新、武汉、西安国家自创区对口合作和交流，探索异地孵化、飞地经济、伙伴园区、辐射源区等多种合作机制。充分发挥国家技术转移郑州中心南阳分中心作用，引进一批高水平技术和成果。建立与国内“一带一路”科技合作平台的联动机制，在平台共建、活动联办、信息共享、检疫检测等方面深入合作，建设中部“一带一路”数字光电产业国际技术转移中心，支持企业争创省级以上国际联合实验室和国际化研发机构。</w:t>
      </w:r>
      <w:bookmarkStart w:id="276" w:name="_Toc25035"/>
      <w:bookmarkStart w:id="277" w:name="_Toc14185"/>
      <w:bookmarkStart w:id="278" w:name="_Toc30572"/>
    </w:p>
    <w:p>
      <w:pPr>
        <w:pStyle w:val="7"/>
        <w:spacing w:line="560" w:lineRule="exact"/>
        <w:contextualSpacing/>
        <w:jc w:val="center"/>
        <w:rPr>
          <w:rFonts w:ascii="楷体" w:hAnsi="楷体" w:eastAsia="楷体" w:cs="楷体"/>
          <w:b w:val="0"/>
        </w:rPr>
      </w:pPr>
      <w:bookmarkStart w:id="279" w:name="_Toc1112588744"/>
      <w:r>
        <w:rPr>
          <w:rFonts w:hint="eastAsia" w:ascii="楷体" w:hAnsi="楷体" w:eastAsia="楷体" w:cs="楷体"/>
          <w:b w:val="0"/>
        </w:rPr>
        <w:t>第五节  营造良好发展环境</w:t>
      </w:r>
      <w:bookmarkEnd w:id="276"/>
      <w:bookmarkEnd w:id="277"/>
      <w:bookmarkEnd w:id="278"/>
      <w:bookmarkEnd w:id="279"/>
    </w:p>
    <w:p>
      <w:pPr>
        <w:pStyle w:val="2"/>
        <w:spacing w:line="560" w:lineRule="exact"/>
        <w:ind w:firstLine="640"/>
        <w:contextualSpacing/>
        <w:rPr>
          <w:rFonts w:ascii="楷体" w:hAnsi="楷体" w:eastAsia="楷体" w:cs="楷体"/>
        </w:rPr>
      </w:pPr>
      <w:r>
        <w:rPr>
          <w:rFonts w:hint="eastAsia" w:ascii="仿宋_GB2312" w:hAnsi="仿宋_GB2312" w:cs="仿宋_GB2312"/>
          <w:bCs/>
        </w:rPr>
        <w:t>加快转变政府职能，深入推进简政放权、放管结合、优化服务，进一步放宽市场准入。积极探索和创新适合新技术、新产业、新业态、新模式的监管方式，对看得准的基于战略性新兴产业和未来产业的新业态量身定制监管模式。完善应用示范政策，扩大公共事业领域对战略性新兴产业和未来产业产品的需求，不断完善有利于战略性新兴产业和未来产业的政府采购制度。加大诚信体系建设力度，探索第三方机构主导的企业专业信用评价，健全信用信息综合服务平台，设立市场主体信用“黑名单”，建立健全企业守信激励和失信联合惩戒机制。加强公共服务体系建设，为创业者提供更多机会。</w:t>
      </w:r>
      <w:bookmarkStart w:id="280" w:name="_Toc1984273269"/>
    </w:p>
    <w:p>
      <w:pPr>
        <w:pStyle w:val="7"/>
        <w:spacing w:line="560" w:lineRule="exact"/>
        <w:contextualSpacing/>
        <w:jc w:val="center"/>
        <w:rPr>
          <w:rFonts w:ascii="楷体" w:hAnsi="楷体" w:eastAsia="楷体" w:cs="楷体"/>
          <w:b w:val="0"/>
        </w:rPr>
      </w:pPr>
      <w:r>
        <w:rPr>
          <w:rFonts w:hint="eastAsia" w:ascii="楷体" w:hAnsi="楷体" w:eastAsia="楷体" w:cs="楷体"/>
          <w:b w:val="0"/>
        </w:rPr>
        <w:t>第六节  加强政策宣贯解读</w:t>
      </w:r>
      <w:bookmarkEnd w:id="280"/>
    </w:p>
    <w:p>
      <w:pPr>
        <w:pStyle w:val="2"/>
        <w:spacing w:line="560" w:lineRule="exact"/>
        <w:ind w:firstLine="640"/>
        <w:contextualSpacing/>
        <w:rPr>
          <w:rFonts w:ascii="方正小标宋简体" w:hAnsi="方正小标宋简体" w:eastAsia="方正小标宋简体" w:cs="方正小标宋简体"/>
          <w:sz w:val="44"/>
          <w:szCs w:val="44"/>
        </w:rPr>
      </w:pPr>
      <w:r>
        <w:rPr>
          <w:rFonts w:hint="eastAsia" w:ascii="仿宋_GB2312" w:hAnsi="仿宋_GB2312" w:cs="仿宋_GB2312"/>
          <w:bCs/>
        </w:rPr>
        <w:t>加强规划宣传力度，调动全市实施规划的自觉性和主动性。通过政府网站、媒体、经验交流会及培训班等多种形式，向企业及相关方面解读和宣传战略性新兴产业和未来产业相关政策。定期举办战略性新兴产业和未来产业发展培训，让行业管理人员、企业管理人员等更加了解国家、省、市各类政策。大力弘扬“科学家精神”“工匠精神”“工程师精神”“企业家精神”等优秀文化，营造全市重视战略性新兴产业和未来产业发展的社会氛围。</w:t>
      </w:r>
      <w:bookmarkStart w:id="281" w:name="_Toc8895"/>
      <w:bookmarkStart w:id="282" w:name="_Toc77627612"/>
      <w:bookmarkStart w:id="283" w:name="_Toc17110"/>
      <w:bookmarkStart w:id="284" w:name="_Toc10519"/>
      <w:bookmarkStart w:id="285" w:name="_Toc75105896"/>
      <w:bookmarkStart w:id="286" w:name="_Toc73902709"/>
      <w:bookmarkStart w:id="287" w:name="_Toc75121753"/>
      <w:bookmarkStart w:id="288" w:name="_Toc75109817"/>
      <w:bookmarkStart w:id="289" w:name="_Toc19535"/>
      <w:bookmarkStart w:id="290" w:name="_Toc14558"/>
      <w:r>
        <w:rPr>
          <w:rFonts w:cs="方正小标宋简体"/>
          <w:sz w:val="44"/>
          <w:szCs w:val="44"/>
        </w:rPr>
        <w:br w:type="page"/>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南阳市“十四五”现代能源体系和</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碳达峰碳中和规划</w:t>
      </w:r>
    </w:p>
    <w:p>
      <w:pPr>
        <w:pStyle w:val="56"/>
        <w:spacing w:line="560" w:lineRule="exact"/>
        <w:contextualSpacing/>
        <w:rPr>
          <w:sz w:val="44"/>
          <w:szCs w:val="44"/>
          <w:u w:val="single"/>
        </w:rPr>
      </w:pPr>
    </w:p>
    <w:bookmarkEnd w:id="281"/>
    <w:bookmarkEnd w:id="282"/>
    <w:bookmarkEnd w:id="283"/>
    <w:bookmarkEnd w:id="284"/>
    <w:bookmarkEnd w:id="285"/>
    <w:bookmarkEnd w:id="286"/>
    <w:bookmarkEnd w:id="287"/>
    <w:bookmarkEnd w:id="288"/>
    <w:bookmarkEnd w:id="289"/>
    <w:bookmarkEnd w:id="290"/>
    <w:p>
      <w:pPr>
        <w:spacing w:line="560" w:lineRule="exact"/>
        <w:ind w:firstLine="640" w:firstLineChars="200"/>
        <w:contextualSpacing/>
        <w:rPr>
          <w:rFonts w:ascii="仿宋_GB2312" w:hAnsi="Times New Roman"/>
        </w:rPr>
      </w:pPr>
      <w:r>
        <w:rPr>
          <w:rFonts w:hint="eastAsia" w:ascii="仿宋_GB2312" w:hAnsi="仿宋" w:cs="仿宋"/>
        </w:rPr>
        <w:t>能源是经济社会发展的基础和保障，能源安全直接影响到国家安全、经济可持续发展以及社会稳定。“十四五”时期是我国全面建成小康社会，实现第一个百年奋斗目标之后，乘势而上全面开启建设社会主义现代化国家新征程、向第二个百年奋斗目标进军的第一个五年，是全面贯彻习近平总书记“四个革命、一个合作”能源安全新战略，落实“碳达峰、碳中和”要求的关键五年。</w:t>
      </w:r>
      <w:r>
        <w:rPr>
          <w:rFonts w:hint="eastAsia" w:ascii="仿宋_GB2312" w:hAnsi="仿宋_GB2312" w:cs="仿宋_GB2312"/>
        </w:rPr>
        <w:t>为深入贯彻落实中央和省委省政府决策部署和市第七次党代会精神，</w:t>
      </w:r>
      <w:r>
        <w:rPr>
          <w:rFonts w:hint="eastAsia" w:ascii="仿宋_GB2312" w:hAnsi="仿宋" w:cs="仿宋"/>
        </w:rPr>
        <w:t>融入新发展格局，紧扣高质量发展主题，系统谋划我市未来五年及中长期现代能源发展，构建与我市经济社会发展相协调的现代能源体系，为南阳开创现代化省域副中心建设新局面做好有力支撑。</w:t>
      </w:r>
      <w:r>
        <w:rPr>
          <w:rFonts w:hint="eastAsia" w:ascii="仿宋_GB2312" w:hAnsi="仿宋_GB2312" w:cs="仿宋_GB2312"/>
        </w:rPr>
        <w:t>根据《河南省“十四五”现代能源体系和碳达峰碳中和规划》和《南阳市国民经济和社会发展第十四个五年规划和二〇三五年远景目标纲要》，制定本规划。</w:t>
      </w:r>
    </w:p>
    <w:p>
      <w:pPr>
        <w:pStyle w:val="58"/>
        <w:spacing w:line="560" w:lineRule="exact"/>
        <w:ind w:firstLine="0" w:firstLineChars="0"/>
        <w:contextualSpacing/>
        <w:jc w:val="center"/>
        <w:outlineLvl w:val="0"/>
        <w:rPr>
          <w:rFonts w:ascii="黑体" w:hAnsi="黑体" w:eastAsia="黑体" w:cs="黑体"/>
          <w:sz w:val="32"/>
          <w:szCs w:val="32"/>
        </w:rPr>
      </w:pPr>
      <w:bookmarkStart w:id="291" w:name="_Toc24788"/>
      <w:bookmarkStart w:id="292" w:name="_Toc12817"/>
      <w:bookmarkStart w:id="293" w:name="_Toc31237"/>
      <w:bookmarkStart w:id="294" w:name="_Toc28651"/>
      <w:bookmarkStart w:id="295" w:name="_Toc22711"/>
      <w:bookmarkStart w:id="296" w:name="_Toc25224"/>
      <w:bookmarkStart w:id="297" w:name="_Toc14047"/>
      <w:bookmarkStart w:id="298" w:name="_Toc16370"/>
      <w:bookmarkStart w:id="299" w:name="_Toc10842"/>
      <w:r>
        <w:rPr>
          <w:rFonts w:hint="eastAsia" w:ascii="黑体" w:hAnsi="黑体" w:eastAsia="黑体" w:cs="黑体"/>
          <w:sz w:val="32"/>
          <w:szCs w:val="32"/>
        </w:rPr>
        <w:t>第一章 发展基础与形势</w:t>
      </w:r>
      <w:bookmarkEnd w:id="291"/>
      <w:bookmarkEnd w:id="292"/>
      <w:bookmarkEnd w:id="293"/>
      <w:bookmarkEnd w:id="294"/>
      <w:bookmarkEnd w:id="295"/>
      <w:bookmarkEnd w:id="296"/>
      <w:bookmarkEnd w:id="297"/>
      <w:bookmarkEnd w:id="298"/>
      <w:bookmarkEnd w:id="299"/>
      <w:bookmarkStart w:id="300" w:name="_Toc3289"/>
      <w:bookmarkStart w:id="301" w:name="_Toc20275"/>
      <w:bookmarkStart w:id="302" w:name="_Toc22256"/>
      <w:bookmarkStart w:id="303" w:name="_Toc24451"/>
      <w:bookmarkStart w:id="304" w:name="_Toc28411"/>
      <w:bookmarkStart w:id="305" w:name="_Toc30592"/>
      <w:bookmarkStart w:id="306" w:name="_Toc3569"/>
      <w:bookmarkStart w:id="307" w:name="_Toc31046"/>
    </w:p>
    <w:p>
      <w:pPr>
        <w:pStyle w:val="58"/>
        <w:spacing w:line="560" w:lineRule="exact"/>
        <w:ind w:firstLine="0" w:firstLineChars="0"/>
        <w:contextualSpacing/>
        <w:jc w:val="center"/>
        <w:outlineLvl w:val="1"/>
        <w:rPr>
          <w:rFonts w:ascii="楷体" w:hAnsi="楷体" w:eastAsia="楷体" w:cs="楷体"/>
          <w:bCs/>
          <w:sz w:val="32"/>
          <w:szCs w:val="32"/>
        </w:rPr>
      </w:pPr>
      <w:r>
        <w:rPr>
          <w:rFonts w:hint="eastAsia" w:ascii="楷体" w:hAnsi="楷体" w:eastAsia="楷体" w:cs="楷体"/>
          <w:bCs/>
          <w:sz w:val="32"/>
          <w:szCs w:val="32"/>
        </w:rPr>
        <w:t>第一节 南阳市总体情况</w:t>
      </w:r>
      <w:bookmarkEnd w:id="300"/>
      <w:bookmarkEnd w:id="301"/>
      <w:bookmarkEnd w:id="302"/>
      <w:bookmarkEnd w:id="303"/>
      <w:bookmarkEnd w:id="304"/>
      <w:bookmarkEnd w:id="305"/>
      <w:bookmarkEnd w:id="306"/>
      <w:bookmarkEnd w:id="307"/>
    </w:p>
    <w:p>
      <w:pPr>
        <w:spacing w:line="560" w:lineRule="exact"/>
        <w:ind w:firstLine="640" w:firstLineChars="200"/>
        <w:contextualSpacing/>
        <w:outlineLvl w:val="2"/>
        <w:rPr>
          <w:rFonts w:ascii="仿宋_GB2312" w:hAnsi="仿宋" w:cs="仿宋"/>
        </w:rPr>
      </w:pPr>
      <w:bookmarkStart w:id="308" w:name="_Toc28154"/>
      <w:bookmarkStart w:id="309" w:name="_Toc14425"/>
      <w:bookmarkStart w:id="310" w:name="_Toc4519"/>
      <w:bookmarkStart w:id="311" w:name="_Toc25607"/>
      <w:bookmarkStart w:id="312" w:name="_Toc15013"/>
      <w:r>
        <w:rPr>
          <w:rFonts w:hint="eastAsia" w:ascii="仿宋_GB2312" w:hAnsi="仿宋" w:cs="仿宋"/>
          <w:bCs/>
        </w:rPr>
        <w:t>1.自然地理</w:t>
      </w:r>
      <w:bookmarkEnd w:id="308"/>
      <w:bookmarkEnd w:id="309"/>
      <w:bookmarkEnd w:id="310"/>
      <w:bookmarkEnd w:id="311"/>
      <w:bookmarkEnd w:id="312"/>
      <w:r>
        <w:rPr>
          <w:rFonts w:hint="eastAsia" w:ascii="仿宋_GB2312" w:hAnsi="仿宋" w:cs="仿宋"/>
          <w:bCs/>
        </w:rPr>
        <w:t>概况。</w:t>
      </w:r>
      <w:r>
        <w:rPr>
          <w:rFonts w:hint="eastAsia" w:ascii="仿宋_GB2312" w:hAnsi="仿宋" w:cs="仿宋"/>
        </w:rPr>
        <w:t>南阳市位于河南省西南部、豫鄂陕三省交界处，为三面环山、南部开口的盆地，因地处伏牛山以南，汉水以北而得名。总面积2.66万平方公里，在河南省18个省辖市中面积最大、户籍人口最多，全市山区、丘陵、平原约各占三分之一。南阳地处北纬32°17′～33°48′，东经110°58′～113°49′，处于亚热带向暖温带的过渡地带，属于典型的季风大陆半湿润气候，四季分明，阳光充足，雨量充沛。南阳是南水北调中线工程水源地和渠首所在地，市内河流众多，分属长江、淮河、黄河三大水系，长度在百公里以上的河流有10条。全市主要河流有丹江、唐河、白河、淮河、湍河、刁河、灌河等，可供开采量约8亿立方米，全市水资源总量约70亿立方米，水储量、亩均水量及人均水量均居全省前列。森林蓄积量4083万立方米，森林覆盖率40.5%。</w:t>
      </w:r>
    </w:p>
    <w:p>
      <w:pPr>
        <w:spacing w:line="560" w:lineRule="exact"/>
        <w:ind w:firstLine="640" w:firstLineChars="200"/>
        <w:contextualSpacing/>
        <w:rPr>
          <w:rFonts w:ascii="仿宋_GB2312" w:hAnsi="仿宋" w:cs="仿宋"/>
        </w:rPr>
      </w:pPr>
      <w:bookmarkStart w:id="313" w:name="_Toc4227"/>
      <w:bookmarkStart w:id="314" w:name="_Toc8904"/>
      <w:bookmarkStart w:id="315" w:name="_Toc1681"/>
      <w:bookmarkStart w:id="316" w:name="_Toc28305"/>
      <w:bookmarkStart w:id="317" w:name="_Toc28050"/>
      <w:bookmarkStart w:id="318" w:name="_Toc19406"/>
      <w:r>
        <w:rPr>
          <w:rFonts w:hint="eastAsia" w:ascii="仿宋_GB2312" w:hAnsi="仿宋" w:cs="仿宋"/>
          <w:bCs/>
        </w:rPr>
        <w:t>2.社会经济概况</w:t>
      </w:r>
      <w:bookmarkEnd w:id="313"/>
      <w:bookmarkEnd w:id="314"/>
      <w:bookmarkEnd w:id="315"/>
      <w:bookmarkEnd w:id="316"/>
      <w:bookmarkEnd w:id="317"/>
      <w:bookmarkEnd w:id="318"/>
      <w:r>
        <w:rPr>
          <w:rFonts w:hint="eastAsia" w:ascii="仿宋_GB2312" w:hAnsi="仿宋" w:cs="仿宋"/>
          <w:bCs/>
        </w:rPr>
        <w:t>。</w:t>
      </w:r>
      <w:r>
        <w:rPr>
          <w:rFonts w:hint="eastAsia" w:ascii="仿宋_GB2312" w:hAnsi="仿宋" w:cs="仿宋"/>
        </w:rPr>
        <w:t>近年来，我市重点培育装备制造、绿色食品、生物产业、电子信息、纺织服装、现代化工、新型建材、新能源、新材料等九大产业。“十三五”末，我市生产总值3926亿元，一般公共预算收入达到202亿元，粮食产量稳定在140亿斤左右，全年全市居民人均可支配收入23480元，人均消费支出14862元。按常住地分，农村居民人均可支配收入16091元，农村居民人均消费支出11414元；城镇居民人均可支配收入33910元，城镇居民人均消费支出19728元。</w:t>
      </w:r>
    </w:p>
    <w:p>
      <w:pPr>
        <w:spacing w:line="560" w:lineRule="exact"/>
        <w:ind w:firstLine="640" w:firstLineChars="200"/>
        <w:contextualSpacing/>
        <w:outlineLvl w:val="2"/>
        <w:rPr>
          <w:rFonts w:ascii="仿宋_GB2312" w:hAnsi="仿宋" w:cs="仿宋"/>
        </w:rPr>
      </w:pPr>
      <w:bookmarkStart w:id="319" w:name="_Toc6501"/>
      <w:bookmarkStart w:id="320" w:name="_Toc4703"/>
      <w:bookmarkStart w:id="321" w:name="_Toc3439"/>
      <w:bookmarkStart w:id="322" w:name="_Toc19505"/>
      <w:bookmarkStart w:id="323" w:name="_Toc1430"/>
      <w:bookmarkStart w:id="324" w:name="_Toc32518"/>
      <w:r>
        <w:rPr>
          <w:rFonts w:hint="eastAsia" w:ascii="仿宋_GB2312" w:hAnsi="仿宋" w:cs="仿宋"/>
          <w:bCs/>
        </w:rPr>
        <w:t>3.交通运输概况</w:t>
      </w:r>
      <w:bookmarkEnd w:id="319"/>
      <w:bookmarkEnd w:id="320"/>
      <w:bookmarkEnd w:id="321"/>
      <w:bookmarkEnd w:id="322"/>
      <w:bookmarkEnd w:id="323"/>
      <w:bookmarkEnd w:id="324"/>
      <w:bookmarkStart w:id="325" w:name="_Toc100823362"/>
      <w:bookmarkStart w:id="326" w:name="_Toc30476"/>
      <w:bookmarkStart w:id="327" w:name="_Toc17193"/>
      <w:bookmarkStart w:id="328" w:name="_Toc15901"/>
      <w:bookmarkStart w:id="329" w:name="_Toc29355"/>
      <w:bookmarkStart w:id="330" w:name="_Toc31784"/>
      <w:r>
        <w:rPr>
          <w:rFonts w:hint="eastAsia" w:ascii="仿宋_GB2312" w:hAnsi="仿宋" w:cs="仿宋"/>
          <w:bCs/>
        </w:rPr>
        <w:t>。</w:t>
      </w:r>
      <w:r>
        <w:rPr>
          <w:rFonts w:hint="eastAsia" w:ascii="仿宋_GB2312" w:hAnsi="仿宋" w:cs="仿宋"/>
        </w:rPr>
        <w:t>我市地处承东启西、连南贯北的优越地理位置，交通便利。“十三五”末，全市高速公路通车里程794公里，居全省第一，形成中心城区“一环六射”放射形态，路网集聚能力较强，干线公路通车里程3837公里，所有县（市）3公里范围内均有干线公路覆盖。全市铁路正线营业里程832公里，其中高速铁路165公里，普速铁路667公里。2019年底，郑渝高铁郑襄段的建成通车实现南阳高铁零的突破，标志着南阳进入郑州“2小时高铁圈”，并实现与京津冀、长江中游城市群的快速联通。浩吉铁路建成通车，铁路货运能力显著增强。姜营机场通航城市26个，航线覆盖国内主要省会城市和重要经济城市，航空发展步入“快车道”。</w:t>
      </w:r>
      <w:bookmarkEnd w:id="325"/>
    </w:p>
    <w:p>
      <w:pPr>
        <w:spacing w:line="560" w:lineRule="exact"/>
        <w:ind w:firstLine="640" w:firstLineChars="200"/>
        <w:contextualSpacing/>
        <w:outlineLvl w:val="2"/>
        <w:rPr>
          <w:rFonts w:ascii="仿宋_GB2312" w:hAnsi="仿宋" w:cs="仿宋"/>
        </w:rPr>
      </w:pPr>
      <w:bookmarkStart w:id="331" w:name="_Toc10204"/>
      <w:r>
        <w:rPr>
          <w:rFonts w:hint="eastAsia" w:ascii="仿宋_GB2312" w:hAnsi="仿宋" w:cs="仿宋"/>
          <w:bCs/>
        </w:rPr>
        <w:t>4.风光资源概况</w:t>
      </w:r>
      <w:bookmarkEnd w:id="326"/>
      <w:bookmarkEnd w:id="327"/>
      <w:bookmarkEnd w:id="328"/>
      <w:bookmarkEnd w:id="329"/>
      <w:bookmarkEnd w:id="330"/>
      <w:bookmarkEnd w:id="331"/>
      <w:r>
        <w:rPr>
          <w:rFonts w:hint="eastAsia" w:ascii="仿宋_GB2312" w:hAnsi="仿宋" w:cs="仿宋"/>
          <w:bCs/>
        </w:rPr>
        <w:t>。</w:t>
      </w:r>
      <w:r>
        <w:rPr>
          <w:rFonts w:hint="eastAsia" w:ascii="仿宋_GB2312" w:hAnsi="仿宋" w:cs="仿宋"/>
        </w:rPr>
        <w:t>南阳大部分地区水平面总辐射在 4320.0MJ/m</w:t>
      </w:r>
      <w:r>
        <w:rPr>
          <w:rFonts w:hint="eastAsia" w:ascii="仿宋_GB2312" w:hAnsi="仿宋" w:cs="仿宋"/>
          <w:vertAlign w:val="superscript"/>
        </w:rPr>
        <w:t>2</w:t>
      </w:r>
      <w:r>
        <w:rPr>
          <w:rFonts w:hint="eastAsia" w:ascii="仿宋_GB2312" w:hAnsi="仿宋" w:cs="仿宋"/>
        </w:rPr>
        <w:t>～4680.0MJ/m</w:t>
      </w:r>
      <w:r>
        <w:rPr>
          <w:rFonts w:hint="eastAsia" w:ascii="仿宋_GB2312" w:hAnsi="仿宋" w:cs="仿宋"/>
          <w:vertAlign w:val="superscript"/>
        </w:rPr>
        <w:t>2</w:t>
      </w:r>
      <w:r>
        <w:rPr>
          <w:rFonts w:hint="eastAsia" w:ascii="仿宋_GB2312" w:hAnsi="仿宋" w:cs="仿宋"/>
        </w:rPr>
        <w:t>之间，年日照时数在 1600 小时～2000 小时之间，属于我国太阳能资源 C类丰富区。全市太阳总辐射量年际变化较小，以春、夏季较多，秋、冬季较少，境内空间分布总体呈自东向西逐渐减少趋势。其中，方城县、社旗县、桐柏县、南召县、宛城区属于市内太阳能辐射量高值区域。</w:t>
      </w:r>
    </w:p>
    <w:p>
      <w:pPr>
        <w:spacing w:line="560" w:lineRule="exact"/>
        <w:ind w:firstLine="640" w:firstLineChars="200"/>
        <w:contextualSpacing/>
        <w:rPr>
          <w:rFonts w:ascii="仿宋_GB2312" w:hAnsi="仿宋" w:cs="仿宋"/>
        </w:rPr>
      </w:pPr>
      <w:r>
        <w:rPr>
          <w:rFonts w:hint="eastAsia" w:ascii="仿宋_GB2312" w:hAnsi="仿宋" w:cs="仿宋"/>
        </w:rPr>
        <w:t>我市风能资源分布不均，东西地区风速差异较大。西部的内乡县、西峡县和淅川县以山地、丘陵为主，140m高度年均风速在3.2m/s～4.0m/s，资源较差。中东部地区以平原为主，风资源分布相对均匀，风速差异不大。其中新野县、方城县、社旗县等地140m高度风速在5.2m/s～5.7m/s之间，具有一定开发价值。综合风资源条件，将全市可开发区域大致划分为三类。第一类以宛城区和邓州市为代表的中部平原低风速区域，140m高度风速为5.0m/s～5.4m/s；第二类以社旗县和新野县中东部区域为代表的较高风速区域，140m高度风速为5.4m/s～5.6m/s；第三类以南召县和方城县为代表的东北山地区域，140m高度风速为5.6m/s～7.1m/s，具有较好的开发潜力。</w:t>
      </w:r>
    </w:p>
    <w:p>
      <w:pPr>
        <w:pStyle w:val="58"/>
        <w:spacing w:line="560" w:lineRule="exact"/>
        <w:ind w:firstLine="0" w:firstLineChars="0"/>
        <w:contextualSpacing/>
        <w:jc w:val="center"/>
        <w:outlineLvl w:val="1"/>
        <w:rPr>
          <w:rFonts w:ascii="楷体" w:hAnsi="楷体" w:eastAsia="楷体" w:cs="楷体"/>
          <w:bCs/>
          <w:sz w:val="32"/>
          <w:szCs w:val="32"/>
        </w:rPr>
      </w:pPr>
      <w:bookmarkStart w:id="332" w:name="_Toc23372"/>
      <w:bookmarkStart w:id="333" w:name="_Toc22500"/>
      <w:bookmarkStart w:id="334" w:name="_Toc11229"/>
      <w:bookmarkStart w:id="335" w:name="_Toc9921"/>
      <w:bookmarkStart w:id="336" w:name="_Toc23927"/>
      <w:bookmarkStart w:id="337" w:name="_Toc2921"/>
      <w:bookmarkStart w:id="338" w:name="_Toc1773"/>
      <w:bookmarkStart w:id="339" w:name="_Toc20143"/>
      <w:r>
        <w:rPr>
          <w:rFonts w:hint="eastAsia" w:ascii="楷体" w:hAnsi="楷体" w:eastAsia="楷体" w:cs="楷体"/>
          <w:bCs/>
          <w:sz w:val="32"/>
          <w:szCs w:val="32"/>
        </w:rPr>
        <w:t>第二节 “十三五”发展成效</w:t>
      </w:r>
      <w:bookmarkEnd w:id="332"/>
      <w:bookmarkEnd w:id="333"/>
      <w:bookmarkEnd w:id="334"/>
      <w:bookmarkEnd w:id="335"/>
      <w:bookmarkEnd w:id="336"/>
      <w:bookmarkEnd w:id="337"/>
      <w:bookmarkEnd w:id="338"/>
      <w:bookmarkEnd w:id="339"/>
    </w:p>
    <w:p>
      <w:pPr>
        <w:spacing w:line="560" w:lineRule="exact"/>
        <w:ind w:firstLine="640" w:firstLineChars="200"/>
        <w:contextualSpacing/>
        <w:rPr>
          <w:rFonts w:ascii="仿宋_GB2312" w:hAnsi="仿宋" w:cs="仿宋"/>
        </w:rPr>
      </w:pPr>
      <w:r>
        <w:rPr>
          <w:rFonts w:hint="eastAsia" w:ascii="仿宋_GB2312" w:hAnsi="仿宋" w:cs="仿宋"/>
        </w:rPr>
        <w:t>“十三五”以来，面对错综复杂的外部环境、艰巨繁重的能源供应和转型发展任务，我市深入践行习近平生态文明思想和“四个革命、一个合作”能源安全新战略，落实习近平总书记关于河南工作的系列重要讲话和指示精神，按照市委市政府统一决策部署，坚持“内源优化、外引多元”原则，着力开展能源领域供给侧结构性改革，积极优化资源要素配置，增强能源安全保障能力，努力推动能源项目建设，推动能源工作高质量发展，统筹推进能源转型发展，助力打好三大攻坚战，以较低的能源消费保障了全市经济社会健康发展平稳运行，能源高质量发展迈上新台阶，为全面建成小康社会、乘势而上开启现代化南阳新征程、高质量快速发展奠定了坚实基础。</w:t>
      </w:r>
    </w:p>
    <w:p>
      <w:pPr>
        <w:spacing w:line="560" w:lineRule="exact"/>
        <w:ind w:firstLine="640" w:firstLineChars="200"/>
        <w:contextualSpacing/>
        <w:outlineLvl w:val="2"/>
        <w:rPr>
          <w:rFonts w:ascii="仿宋_GB2312" w:hAnsi="仿宋" w:cs="仿宋"/>
        </w:rPr>
      </w:pPr>
      <w:bookmarkStart w:id="340" w:name="_Toc21350"/>
      <w:bookmarkStart w:id="341" w:name="_Toc10839"/>
      <w:bookmarkStart w:id="342" w:name="_Toc5840"/>
      <w:bookmarkStart w:id="343" w:name="_Toc14909"/>
      <w:bookmarkStart w:id="344" w:name="_Toc31321"/>
      <w:bookmarkStart w:id="345" w:name="_Toc30939"/>
      <w:r>
        <w:rPr>
          <w:rFonts w:hint="eastAsia" w:ascii="仿宋_GB2312" w:hAnsi="仿宋" w:cs="仿宋"/>
          <w:bCs/>
        </w:rPr>
        <w:t>1.能源消费总量平稳增长</w:t>
      </w:r>
      <w:bookmarkEnd w:id="340"/>
      <w:bookmarkEnd w:id="341"/>
      <w:bookmarkEnd w:id="342"/>
      <w:bookmarkEnd w:id="343"/>
      <w:bookmarkEnd w:id="344"/>
      <w:bookmarkEnd w:id="345"/>
      <w:r>
        <w:rPr>
          <w:rFonts w:hint="eastAsia" w:ascii="仿宋_GB2312" w:hAnsi="仿宋" w:cs="仿宋"/>
          <w:bCs/>
        </w:rPr>
        <w:t>。</w:t>
      </w:r>
      <w:r>
        <w:rPr>
          <w:rFonts w:hint="eastAsia" w:ascii="仿宋_GB2312" w:hAnsi="仿宋" w:cs="仿宋"/>
        </w:rPr>
        <w:t>“十三五”期间，全市能源消费总量平稳增长，能源消费结构持续优化。全市能源消费总量由“十二五”末的1384万吨标准煤，增长到“十三五”末的1510.1万吨标准煤，增长9.11%，占全省能源消费总量比重约6.64%。2020年，我市全社会用电量251.84亿千瓦时，同比增长3.65%；电力企业累计发电量163.09亿千瓦时，同比增长24.08%；市外来电电量为88.75亿千瓦时；可再生能源发电量为35.49亿千瓦时；天然气消费量2.87亿立方，新增1200万方天然气储备能力。</w:t>
      </w:r>
    </w:p>
    <w:p>
      <w:pPr>
        <w:spacing w:line="560" w:lineRule="exact"/>
        <w:ind w:firstLine="640" w:firstLineChars="200"/>
        <w:contextualSpacing/>
        <w:outlineLvl w:val="2"/>
        <w:rPr>
          <w:rFonts w:ascii="仿宋_GB2312" w:hAnsi="仿宋" w:cs="仿宋"/>
        </w:rPr>
      </w:pPr>
      <w:bookmarkStart w:id="346" w:name="_Toc4281"/>
      <w:bookmarkStart w:id="347" w:name="_Toc9327"/>
      <w:bookmarkStart w:id="348" w:name="_Toc955"/>
      <w:bookmarkStart w:id="349" w:name="_Toc20406"/>
      <w:bookmarkStart w:id="350" w:name="_Toc24797"/>
      <w:bookmarkStart w:id="351" w:name="_Toc4939"/>
      <w:r>
        <w:rPr>
          <w:rFonts w:hint="eastAsia" w:ascii="仿宋_GB2312" w:hAnsi="仿宋" w:cs="仿宋"/>
          <w:bCs/>
        </w:rPr>
        <w:t>2.能源结构进一步优化</w:t>
      </w:r>
      <w:bookmarkEnd w:id="346"/>
      <w:bookmarkEnd w:id="347"/>
      <w:bookmarkEnd w:id="348"/>
      <w:bookmarkEnd w:id="349"/>
      <w:bookmarkEnd w:id="350"/>
      <w:bookmarkEnd w:id="351"/>
      <w:r>
        <w:rPr>
          <w:rFonts w:hint="eastAsia" w:ascii="仿宋_GB2312" w:hAnsi="仿宋" w:cs="仿宋"/>
          <w:bCs/>
        </w:rPr>
        <w:t>。</w:t>
      </w:r>
      <w:r>
        <w:rPr>
          <w:rFonts w:hint="eastAsia" w:ascii="仿宋_GB2312" w:hAnsi="仿宋" w:cs="仿宋"/>
        </w:rPr>
        <w:t>“十三五”期间，全市能源消费结构持续优化。全社会煤炭、油品（成品油）消费量稳中有降，其中煤炭消费量下降6%，油品（成品油）消费量下降3.2%，天然气消费量平稳增长，增长约4.3%，非化石能源消费比重提升约6个百分点，可再生能源装机由“十二五”末的40万千瓦提升至293.1万千瓦。</w:t>
      </w:r>
    </w:p>
    <w:p>
      <w:pPr>
        <w:spacing w:line="560" w:lineRule="exact"/>
        <w:ind w:firstLine="640" w:firstLineChars="200"/>
        <w:contextualSpacing/>
        <w:outlineLvl w:val="2"/>
        <w:rPr>
          <w:rFonts w:ascii="仿宋_GB2312" w:hAnsi="仿宋" w:cs="仿宋"/>
        </w:rPr>
      </w:pPr>
      <w:bookmarkStart w:id="352" w:name="_Toc16001"/>
      <w:bookmarkStart w:id="353" w:name="_Toc21827"/>
      <w:bookmarkStart w:id="354" w:name="_Toc19868"/>
      <w:bookmarkStart w:id="355" w:name="_Toc14039"/>
      <w:bookmarkStart w:id="356" w:name="_Toc14157"/>
      <w:bookmarkStart w:id="357" w:name="_Toc15304"/>
      <w:r>
        <w:rPr>
          <w:rFonts w:hint="eastAsia" w:ascii="仿宋_GB2312" w:hAnsi="仿宋" w:cs="仿宋"/>
          <w:bCs/>
        </w:rPr>
        <w:t>3.能源基础设施进一步完善</w:t>
      </w:r>
      <w:bookmarkEnd w:id="352"/>
      <w:bookmarkEnd w:id="353"/>
      <w:bookmarkEnd w:id="354"/>
      <w:bookmarkEnd w:id="355"/>
      <w:bookmarkEnd w:id="356"/>
      <w:bookmarkEnd w:id="357"/>
      <w:r>
        <w:rPr>
          <w:rFonts w:hint="eastAsia" w:ascii="仿宋_GB2312" w:hAnsi="仿宋" w:cs="仿宋"/>
          <w:bCs/>
        </w:rPr>
        <w:t>。</w:t>
      </w:r>
      <w:r>
        <w:rPr>
          <w:rFonts w:hint="eastAsia" w:ascii="仿宋_GB2312" w:hAnsi="仿宋" w:cs="仿宋"/>
        </w:rPr>
        <w:t>“十三五”期间，我市持续加强电力、天然气、油品等方面基础设施建设，能源基础设施承载能力快速提升。</w:t>
      </w:r>
    </w:p>
    <w:p>
      <w:pPr>
        <w:spacing w:line="560" w:lineRule="exact"/>
        <w:ind w:firstLine="640" w:firstLineChars="200"/>
        <w:contextualSpacing/>
        <w:outlineLvl w:val="3"/>
        <w:rPr>
          <w:rFonts w:ascii="仿宋_GB2312" w:hAnsi="仿宋" w:cs="仿宋"/>
        </w:rPr>
      </w:pPr>
      <w:r>
        <w:rPr>
          <w:rFonts w:hint="eastAsia" w:ascii="仿宋_GB2312" w:hAnsi="仿宋" w:cs="仿宋"/>
          <w:bCs/>
        </w:rPr>
        <w:t>电力方面。</w:t>
      </w:r>
      <w:r>
        <w:rPr>
          <w:rFonts w:hint="eastAsia" w:ascii="仿宋_GB2312" w:hAnsi="仿宋" w:cs="仿宋"/>
        </w:rPr>
        <w:t>“十三五”期间，我市持续加大传统电源项目和电网投资力度。2020年底，全市电力总装机达到639.8万千瓦。传统电源项目方面，建成内乡电厂一期工程一台100万千瓦燃煤发电机组，完成投资约40亿元，全部投产后将成为我市规模最大的电源支撑点，有效促进我市煤电高效优化发展，大大增强电源支撑能力。启动鸭河二期和南阳热电厂机组灵活性改造，提升新能源消纳能力。其中，鸭河二期两台600兆瓦机组，设计深度调峰的开机负荷比例是50%，实施灵活性改造后，可以达到30%，相当于释放出来的消纳新能源空间为240兆瓦；南阳热电厂两台200兆瓦机组，设计深度调峰的开机负荷比例是50%，灵活性改造后，可以达到30%，相当于释放出来的消纳空间为80兆瓦。电网建设方面，不断强化完善主网架和城乡配电网，进一步提升供电能力，全市电网累计投资达到102亿元，其中农网改造升级工程总投资53.6亿元，城乡电网供电质量和可靠性得到显著提升。目前，我市已形成以特高压南阳变电站为支撑，500千伏电网为骨干电网，220千伏电网为区域主干网的坚强电网。“十三五”末，拥有1000千伏变电站1座，变电容量600万千伏安；500千伏变电站4座，变电容量875万千伏安；220千伏变电站29座，变电容量870万千伏安；110千伏变电站105座，变电容量849万千伏安；电网整体供电能力600万千瓦，户均配变容量2.11千伏安。</w:t>
      </w:r>
    </w:p>
    <w:p>
      <w:pPr>
        <w:spacing w:line="560" w:lineRule="exact"/>
        <w:ind w:firstLine="640" w:firstLineChars="200"/>
        <w:contextualSpacing/>
        <w:outlineLvl w:val="3"/>
        <w:rPr>
          <w:rFonts w:ascii="仿宋_GB2312" w:hAnsi="仿宋" w:cs="仿宋"/>
        </w:rPr>
      </w:pPr>
      <w:r>
        <w:rPr>
          <w:rFonts w:hint="eastAsia" w:ascii="仿宋_GB2312" w:hAnsi="仿宋" w:cs="仿宋"/>
          <w:bCs/>
        </w:rPr>
        <w:t>天然气方面。</w:t>
      </w:r>
      <w:r>
        <w:rPr>
          <w:rFonts w:hint="eastAsia" w:ascii="仿宋_GB2312" w:hAnsi="仿宋" w:cs="仿宋"/>
        </w:rPr>
        <w:t>“十三五”期间，按照省政府“气化河南”“县县通气”的目标要求，积极推动全市天然气管道项目建设。“十三五”末，全市已有中心城区、唐河县、镇平县、南召县、方城县、社旗县、鸭河工区及官庄工区实现了通管道气，建成“唐伊线”社旗-南阳北-方城、南召天然气管网项目，其他“县县通气”工程正有序推进，丹水-西峡、淅川、内乡-镇平天然气管线正在建设。累计建成天然气输气管网383.64公里，年天然气消费量2.87亿立方。</w:t>
      </w:r>
    </w:p>
    <w:p>
      <w:pPr>
        <w:spacing w:line="560" w:lineRule="exact"/>
        <w:ind w:firstLine="640" w:firstLineChars="200"/>
        <w:contextualSpacing/>
        <w:outlineLvl w:val="3"/>
        <w:rPr>
          <w:rFonts w:ascii="仿宋_GB2312" w:hAnsi="仿宋" w:cs="仿宋"/>
        </w:rPr>
      </w:pPr>
      <w:r>
        <w:rPr>
          <w:rFonts w:hint="eastAsia" w:ascii="仿宋_GB2312" w:hAnsi="仿宋" w:cs="仿宋"/>
          <w:bCs/>
        </w:rPr>
        <w:t>油品（成品油）方面。</w:t>
      </w:r>
      <w:r>
        <w:rPr>
          <w:rFonts w:hint="eastAsia" w:ascii="仿宋_GB2312" w:hAnsi="仿宋" w:cs="仿宋"/>
        </w:rPr>
        <w:t>“十三五”期间，完成全市国五、国六车用油品升级工作。全市加油站点均用国六标准乙醇汽油、柴油油品，置换了原国五以下标准油品，对大气环境质量有效改善做出了重要贡献。</w:t>
      </w:r>
    </w:p>
    <w:p>
      <w:pPr>
        <w:spacing w:line="560" w:lineRule="exact"/>
        <w:ind w:firstLine="640" w:firstLineChars="200"/>
        <w:contextualSpacing/>
        <w:outlineLvl w:val="2"/>
        <w:rPr>
          <w:rFonts w:ascii="仿宋_GB2312" w:hAnsi="仿宋" w:cs="仿宋"/>
        </w:rPr>
      </w:pPr>
      <w:bookmarkStart w:id="358" w:name="_Toc16290"/>
      <w:bookmarkStart w:id="359" w:name="_Toc11201"/>
      <w:bookmarkStart w:id="360" w:name="_Toc2155"/>
      <w:bookmarkStart w:id="361" w:name="_Toc18323"/>
      <w:bookmarkStart w:id="362" w:name="_Toc3240"/>
      <w:bookmarkStart w:id="363" w:name="_Toc23050"/>
      <w:r>
        <w:rPr>
          <w:rFonts w:hint="eastAsia" w:ascii="仿宋_GB2312" w:hAnsi="仿宋" w:cs="仿宋"/>
          <w:bCs/>
        </w:rPr>
        <w:t>4.能源利用效率显著提升</w:t>
      </w:r>
      <w:bookmarkEnd w:id="358"/>
      <w:bookmarkEnd w:id="359"/>
      <w:bookmarkEnd w:id="360"/>
      <w:bookmarkEnd w:id="361"/>
      <w:bookmarkEnd w:id="362"/>
      <w:bookmarkEnd w:id="363"/>
      <w:r>
        <w:rPr>
          <w:rFonts w:hint="eastAsia" w:ascii="仿宋_GB2312" w:hAnsi="仿宋" w:cs="仿宋"/>
          <w:bCs/>
        </w:rPr>
        <w:t>。</w:t>
      </w:r>
      <w:r>
        <w:rPr>
          <w:rFonts w:hint="eastAsia" w:ascii="仿宋_GB2312" w:hAnsi="仿宋" w:cs="仿宋"/>
        </w:rPr>
        <w:t>“十三五”期间，全市通过加快产业结构调整，加大淘汰落后产能力度，大力推进节能技术改造，加强节能监督管理等措施，综合能耗水平不断下降，能源利用效率显著提升。</w:t>
      </w:r>
      <w:r>
        <w:rPr>
          <w:rFonts w:hint="eastAsia" w:ascii="仿宋_GB2312" w:hAnsi="仿宋" w:cs="仿宋"/>
          <w:kern w:val="0"/>
        </w:rPr>
        <w:t>“十三五”期间，全市GDP能耗累计下降19.3%，超额完成省下达下降15%目标任务。能源消费增量122.5万吨标准煤，比省下达目标少用45.5万吨。煤炭消费总量881.4万吨，达到了煤炭消费控制在882万吨以内的目标要求。</w:t>
      </w:r>
    </w:p>
    <w:p>
      <w:pPr>
        <w:spacing w:line="560" w:lineRule="exact"/>
        <w:ind w:firstLine="640" w:firstLineChars="200"/>
        <w:contextualSpacing/>
        <w:outlineLvl w:val="2"/>
        <w:rPr>
          <w:rFonts w:ascii="仿宋_GB2312" w:hAnsi="仿宋" w:cs="仿宋"/>
        </w:rPr>
      </w:pPr>
      <w:bookmarkStart w:id="364" w:name="_Toc7104"/>
      <w:bookmarkStart w:id="365" w:name="_Toc15371"/>
      <w:bookmarkStart w:id="366" w:name="_Toc30399"/>
      <w:bookmarkStart w:id="367" w:name="_Toc21358"/>
      <w:r>
        <w:rPr>
          <w:rFonts w:hint="eastAsia" w:ascii="仿宋_GB2312" w:hAnsi="仿宋" w:cs="仿宋"/>
          <w:bCs/>
        </w:rPr>
        <w:t>5.可再生能源发展有序推进</w:t>
      </w:r>
      <w:bookmarkEnd w:id="364"/>
      <w:bookmarkEnd w:id="365"/>
      <w:bookmarkEnd w:id="366"/>
      <w:bookmarkEnd w:id="367"/>
      <w:r>
        <w:rPr>
          <w:rFonts w:hint="eastAsia" w:ascii="仿宋_GB2312" w:hAnsi="仿宋" w:cs="仿宋"/>
          <w:bCs/>
        </w:rPr>
        <w:t>。</w:t>
      </w:r>
      <w:r>
        <w:rPr>
          <w:rFonts w:hint="eastAsia" w:ascii="仿宋_GB2312" w:hAnsi="仿宋" w:cs="仿宋"/>
        </w:rPr>
        <w:t>“十三五”期间，全市有序推进以风力发电、光伏发电、生物质发电、抽水蓄能为代表的可再生能源项目建设，取得较好成绩，新能源总装机达到293.1万千瓦，初步建成风电、光伏发电“双百万”千瓦级新能源基地。2020年，全市可再生能源发电量为35.49亿千瓦时，占全社会用电量比重为13.5%，其中风电发电量14.59亿千瓦时，光伏发电量10.85亿千瓦时，水电发电量5.49亿千瓦时，生物质发电量4.56亿千瓦时；全市非水可再生能源电量为30亿千瓦时，占全社会用电量比重为11.4%，高于全省平均值。</w:t>
      </w:r>
    </w:p>
    <w:p>
      <w:pPr>
        <w:spacing w:line="560" w:lineRule="exact"/>
        <w:ind w:firstLine="640" w:firstLineChars="200"/>
        <w:contextualSpacing/>
        <w:outlineLvl w:val="3"/>
        <w:rPr>
          <w:rFonts w:ascii="仿宋_GB2312" w:hAnsi="仿宋" w:cs="仿宋"/>
        </w:rPr>
      </w:pPr>
      <w:r>
        <w:rPr>
          <w:rFonts w:hint="eastAsia" w:ascii="仿宋_GB2312" w:hAnsi="仿宋" w:cs="仿宋"/>
          <w:bCs/>
        </w:rPr>
        <w:t>风力发电方面。</w:t>
      </w:r>
      <w:r>
        <w:rPr>
          <w:rFonts w:hint="eastAsia" w:ascii="仿宋_GB2312" w:hAnsi="仿宋" w:cs="仿宋"/>
        </w:rPr>
        <w:t>“十三五”期间，新增风电并网规模133.3万千瓦，完成投资约106.6亿元。“十三五”末，全市已建成并网风电项目规模达到148.3万千瓦，初步建成百万千瓦级风电基地。并网的风电项目主要分布在唐河县、南召县、桐柏县、镇平县、社旗县、方城县、新野县等区域。</w:t>
      </w:r>
    </w:p>
    <w:p>
      <w:pPr>
        <w:spacing w:line="560" w:lineRule="exact"/>
        <w:ind w:firstLine="640" w:firstLineChars="200"/>
        <w:contextualSpacing/>
        <w:outlineLvl w:val="3"/>
        <w:rPr>
          <w:rFonts w:ascii="仿宋_GB2312" w:hAnsi="仿宋" w:cs="仿宋"/>
        </w:rPr>
      </w:pPr>
      <w:r>
        <w:rPr>
          <w:rFonts w:hint="eastAsia" w:ascii="仿宋_GB2312" w:hAnsi="仿宋" w:cs="仿宋"/>
          <w:bCs/>
        </w:rPr>
        <w:t>光伏发电方面。</w:t>
      </w:r>
      <w:r>
        <w:rPr>
          <w:rFonts w:hint="eastAsia" w:ascii="仿宋_GB2312" w:hAnsi="仿宋" w:cs="仿宋"/>
        </w:rPr>
        <w:t>“十三五”末，我市光伏发电项目从无到有，共建成光伏发电总规模达110.2万千瓦，共完成投资约88亿元。其中地面集中式电站 35.7万千瓦、光伏扶贫项目58.3万千瓦、屋顶分布式光伏项目16.2万千瓦，初步建成百万千瓦级光伏发电基地。</w:t>
      </w:r>
    </w:p>
    <w:p>
      <w:pPr>
        <w:spacing w:line="560" w:lineRule="exact"/>
        <w:ind w:firstLine="640" w:firstLineChars="200"/>
        <w:contextualSpacing/>
        <w:outlineLvl w:val="3"/>
        <w:rPr>
          <w:rFonts w:ascii="仿宋_GB2312" w:hAnsi="仿宋" w:cs="仿宋"/>
        </w:rPr>
      </w:pPr>
      <w:r>
        <w:rPr>
          <w:rFonts w:hint="eastAsia" w:ascii="仿宋_GB2312" w:hAnsi="仿宋" w:cs="仿宋"/>
          <w:bCs/>
        </w:rPr>
        <w:t>生物质发电方面。</w:t>
      </w:r>
      <w:r>
        <w:rPr>
          <w:rFonts w:hint="eastAsia" w:ascii="仿宋_GB2312" w:hAnsi="仿宋" w:cs="仿宋"/>
        </w:rPr>
        <w:t>“十三五”期间，我市共建成生物质发电项目3个，新增装机规模9万千瓦，完成投资约8亿元。到2020年底，全市生物质电厂装机达到14.4万千瓦，年可利用秸秆125万吨左右。</w:t>
      </w:r>
    </w:p>
    <w:p>
      <w:pPr>
        <w:spacing w:line="560" w:lineRule="exact"/>
        <w:ind w:firstLine="640" w:firstLineChars="200"/>
        <w:contextualSpacing/>
        <w:outlineLvl w:val="3"/>
        <w:rPr>
          <w:rFonts w:ascii="仿宋_GB2312" w:hAnsi="仿宋" w:cs="仿宋"/>
        </w:rPr>
      </w:pPr>
      <w:r>
        <w:rPr>
          <w:rFonts w:hint="eastAsia" w:ascii="仿宋_GB2312" w:hAnsi="仿宋" w:cs="仿宋"/>
          <w:bCs/>
        </w:rPr>
        <w:t>抽水蓄能电站方面。</w:t>
      </w:r>
      <w:r>
        <w:rPr>
          <w:rFonts w:hint="eastAsia" w:ascii="仿宋_GB2312" w:hAnsi="仿宋" w:cs="仿宋"/>
        </w:rPr>
        <w:t>我市已建成回龙抽水蓄能电站，装机容量为12万千瓦。“十三五”期间，按计划推进河南天池抽水蓄能电站建设。该项目装机容量为120万千瓦，预计2023年建成投运。建成后可增强我市新能源的消纳能力，有效缓解河南电网的调峰压力，改善火电运行工况，降低电网运行成本，确保电网稳定运行。</w:t>
      </w:r>
    </w:p>
    <w:p>
      <w:pPr>
        <w:spacing w:line="560" w:lineRule="exact"/>
        <w:ind w:firstLine="640" w:firstLineChars="200"/>
        <w:contextualSpacing/>
        <w:outlineLvl w:val="3"/>
        <w:rPr>
          <w:rFonts w:ascii="仿宋_GB2312" w:hAnsi="仿宋" w:cs="仿宋"/>
        </w:rPr>
      </w:pPr>
      <w:r>
        <w:rPr>
          <w:rFonts w:hint="eastAsia" w:ascii="仿宋_GB2312" w:hAnsi="仿宋" w:cs="仿宋"/>
          <w:bCs/>
        </w:rPr>
        <w:t>清洁取暖替代方面。</w:t>
      </w:r>
      <w:r>
        <w:rPr>
          <w:rFonts w:hint="eastAsia" w:ascii="仿宋_GB2312" w:hAnsi="仿宋" w:cs="仿宋"/>
        </w:rPr>
        <w:t>“十三五”期间，按照我省统一安排，积极开展“双替代”清洁取暖工作，推进煤炭消费减量替代，提升能源清洁利用水平。全市共完成93500户的“双替代”清洁取暖工作，超额完成目标任务。同时，充分利用“电能替代”打包交易政策，为企业减负1亿元以上。</w:t>
      </w:r>
    </w:p>
    <w:p>
      <w:pPr>
        <w:spacing w:line="560" w:lineRule="exact"/>
        <w:ind w:firstLine="640" w:firstLineChars="200"/>
        <w:contextualSpacing/>
        <w:outlineLvl w:val="2"/>
        <w:rPr>
          <w:rFonts w:ascii="仿宋_GB2312" w:hAnsi="仿宋" w:cs="仿宋"/>
          <w:bCs/>
        </w:rPr>
      </w:pPr>
      <w:bookmarkStart w:id="368" w:name="_Toc17078"/>
      <w:bookmarkStart w:id="369" w:name="_Toc16501"/>
      <w:bookmarkStart w:id="370" w:name="_Toc30042"/>
      <w:bookmarkStart w:id="371" w:name="_Toc21755"/>
      <w:bookmarkStart w:id="372" w:name="_Toc25793"/>
      <w:bookmarkStart w:id="373" w:name="_Toc16816"/>
      <w:r>
        <w:rPr>
          <w:rFonts w:hint="eastAsia" w:ascii="仿宋_GB2312" w:hAnsi="仿宋" w:cs="仿宋"/>
          <w:bCs/>
        </w:rPr>
        <w:t>6.能源惠民利民工程成效显著</w:t>
      </w:r>
      <w:bookmarkEnd w:id="368"/>
      <w:bookmarkEnd w:id="369"/>
      <w:bookmarkEnd w:id="370"/>
      <w:bookmarkEnd w:id="371"/>
      <w:bookmarkEnd w:id="372"/>
      <w:bookmarkEnd w:id="373"/>
      <w:r>
        <w:rPr>
          <w:rFonts w:hint="eastAsia" w:ascii="仿宋_GB2312" w:hAnsi="仿宋" w:cs="仿宋"/>
          <w:bCs/>
        </w:rPr>
        <w:t>。</w:t>
      </w:r>
      <w:r>
        <w:rPr>
          <w:rFonts w:hint="eastAsia" w:ascii="仿宋_GB2312" w:hAnsi="仿宋" w:cs="仿宋"/>
        </w:rPr>
        <w:t>“十三五”以来，我市主动适应和把握精准扶贫、精准脱贫的工作要求，紧抓国家光伏扶贫的重大政策机遇，把清洁环保、收益稳定的光伏发电项目作为全市产业扶贫的重要突破口和促进贫困群众增收的重要举措，积极做好政策宣传，深入谋划。组织内乡县、社旗县、桐柏县、淅川县、镇平县、南召县、方城县等7个贫困县编制上报《光伏扶贫实施方案》，占当年全省上报的四分之一。同时，扎实推进光伏扶贫项目建设，建立健全监管机制，做好项目并网发电后的运行和维护工作，确保光伏发电项目长期稳定运行。“十三五”期间，</w:t>
      </w:r>
      <w:r>
        <w:rPr>
          <w:rFonts w:hint="eastAsia" w:ascii="仿宋_GB2312" w:hAnsi="仿宋" w:cs="仿宋"/>
          <w:bCs/>
        </w:rPr>
        <w:t>全市共建成光伏扶贫项目58.3万千瓦，总投资约42亿元，</w:t>
      </w:r>
      <w:r>
        <w:rPr>
          <w:rFonts w:hint="eastAsia" w:ascii="仿宋_GB2312" w:hAnsi="仿宋" w:cs="仿宋"/>
        </w:rPr>
        <w:t>占全省总规模的22.8%，居全省第一位，</w:t>
      </w:r>
      <w:r>
        <w:rPr>
          <w:rFonts w:hint="eastAsia" w:ascii="仿宋_GB2312" w:hAnsi="仿宋" w:cs="仿宋"/>
          <w:bCs/>
        </w:rPr>
        <w:t>覆盖全市贫困户8.4万户。</w:t>
      </w:r>
      <w:r>
        <w:rPr>
          <w:rFonts w:hint="eastAsia" w:ascii="仿宋_GB2312" w:hAnsi="仿宋" w:cs="仿宋"/>
        </w:rPr>
        <w:t>光伏扶贫已</w:t>
      </w:r>
      <w:r>
        <w:rPr>
          <w:rFonts w:hint="eastAsia" w:ascii="仿宋_GB2312" w:hAnsi="仿宋" w:cs="仿宋"/>
          <w:bCs/>
        </w:rPr>
        <w:t>成为我市产业脱贫的有效途径，在脱贫攻坚战中发挥着重要作用，为完成全市脱贫攻坚任务起到了积极的促进作用。</w:t>
      </w:r>
    </w:p>
    <w:p>
      <w:pPr>
        <w:spacing w:line="560" w:lineRule="exact"/>
        <w:ind w:firstLine="640" w:firstLineChars="200"/>
        <w:contextualSpacing/>
        <w:outlineLvl w:val="2"/>
        <w:rPr>
          <w:rFonts w:ascii="仿宋_GB2312" w:hAnsi="仿宋" w:cs="仿宋"/>
        </w:rPr>
      </w:pPr>
      <w:bookmarkStart w:id="374" w:name="_Toc15173"/>
      <w:bookmarkStart w:id="375" w:name="_Toc27558"/>
      <w:bookmarkStart w:id="376" w:name="_Toc979"/>
      <w:bookmarkStart w:id="377" w:name="_Toc2533"/>
      <w:bookmarkStart w:id="378" w:name="_Toc30452"/>
      <w:bookmarkStart w:id="379" w:name="_Toc5163"/>
      <w:r>
        <w:rPr>
          <w:rFonts w:hint="eastAsia" w:ascii="仿宋_GB2312" w:hAnsi="仿宋" w:cs="仿宋"/>
          <w:bCs/>
        </w:rPr>
        <w:t>7.能源保供能力进一步增强</w:t>
      </w:r>
      <w:bookmarkEnd w:id="374"/>
      <w:bookmarkEnd w:id="375"/>
      <w:bookmarkEnd w:id="376"/>
      <w:bookmarkEnd w:id="377"/>
      <w:bookmarkEnd w:id="378"/>
      <w:bookmarkEnd w:id="379"/>
      <w:r>
        <w:rPr>
          <w:rFonts w:hint="eastAsia" w:ascii="仿宋_GB2312" w:hAnsi="仿宋" w:cs="仿宋"/>
          <w:bCs/>
        </w:rPr>
        <w:t>。建设内乡煤炭储备基地，增强煤炭保供能力。</w:t>
      </w:r>
      <w:r>
        <w:rPr>
          <w:rFonts w:hint="eastAsia" w:ascii="仿宋_GB2312" w:hAnsi="仿宋" w:cs="仿宋"/>
        </w:rPr>
        <w:t>利用好国家运煤大通道浩吉铁路建设契机，内乡煤炭储备基地建成75万吨储备能力，除对内乡电厂供煤外，还可作为河南省豫西南煤炭储备基地完成河南省煤炭储备能力建设。</w:t>
      </w:r>
    </w:p>
    <w:p>
      <w:pPr>
        <w:spacing w:line="560" w:lineRule="exact"/>
        <w:ind w:firstLine="640" w:firstLineChars="200"/>
        <w:contextualSpacing/>
        <w:outlineLvl w:val="3"/>
        <w:rPr>
          <w:rFonts w:ascii="仿宋_GB2312" w:hAnsi="仿宋" w:cs="仿宋"/>
        </w:rPr>
      </w:pPr>
      <w:r>
        <w:rPr>
          <w:rFonts w:hint="eastAsia" w:ascii="仿宋_GB2312" w:hAnsi="仿宋" w:cs="仿宋"/>
          <w:bCs/>
        </w:rPr>
        <w:t>建设豫西南LNG（液化天然气）储备中心，增强天然气保供能力。</w:t>
      </w:r>
      <w:r>
        <w:rPr>
          <w:rFonts w:hint="eastAsia" w:ascii="仿宋_GB2312" w:hAnsi="仿宋" w:cs="仿宋"/>
        </w:rPr>
        <w:t>积极争取政策，建成河南省六座LNG储备中心之一的豫西南LNG储备中心，建设2万水立方LNG储气罐一座，新增天然气储备能力1200万方，增强了我市天然气保供能力。</w:t>
      </w:r>
    </w:p>
    <w:p>
      <w:pPr>
        <w:spacing w:line="560" w:lineRule="exact"/>
        <w:ind w:firstLine="640" w:firstLineChars="200"/>
        <w:contextualSpacing/>
        <w:outlineLvl w:val="2"/>
        <w:rPr>
          <w:rFonts w:ascii="仿宋_GB2312" w:hAnsi="仿宋" w:cs="仿宋"/>
        </w:rPr>
      </w:pPr>
      <w:bookmarkStart w:id="380" w:name="_Toc24380"/>
      <w:bookmarkStart w:id="381" w:name="_Toc11291"/>
      <w:bookmarkStart w:id="382" w:name="_Toc13337"/>
      <w:bookmarkStart w:id="383" w:name="_Toc26270"/>
      <w:bookmarkStart w:id="384" w:name="_Toc12432"/>
      <w:bookmarkStart w:id="385" w:name="_Toc22022"/>
      <w:r>
        <w:rPr>
          <w:rFonts w:hint="eastAsia" w:ascii="仿宋_GB2312" w:hAnsi="仿宋" w:cs="仿宋"/>
          <w:bCs/>
        </w:rPr>
        <w:t>8.能源体制机制改革持续优化</w:t>
      </w:r>
      <w:bookmarkEnd w:id="380"/>
      <w:bookmarkEnd w:id="381"/>
      <w:bookmarkEnd w:id="382"/>
      <w:bookmarkEnd w:id="383"/>
      <w:bookmarkEnd w:id="384"/>
      <w:bookmarkEnd w:id="385"/>
      <w:r>
        <w:rPr>
          <w:rFonts w:hint="eastAsia" w:ascii="仿宋_GB2312" w:hAnsi="仿宋" w:cs="仿宋"/>
          <w:bCs/>
        </w:rPr>
        <w:t>。推行电力直接交易，降低企业用电成本。</w:t>
      </w:r>
      <w:r>
        <w:rPr>
          <w:rFonts w:hint="eastAsia" w:ascii="仿宋_GB2312" w:hAnsi="仿宋" w:cs="仿宋"/>
        </w:rPr>
        <w:t>组织全市重点企业宣讲电力市场化交易政策，鼓励工商业企业参与电力市场化交易，降低用电成本。“十三五”期间，全市共有1000余家企业参与电力市场化交易，共成交电量约201亿千瓦时，为企业降低用电成本约3.74亿元。</w:t>
      </w:r>
    </w:p>
    <w:p>
      <w:pPr>
        <w:spacing w:line="560" w:lineRule="exact"/>
        <w:ind w:firstLine="640" w:firstLineChars="200"/>
        <w:contextualSpacing/>
        <w:outlineLvl w:val="3"/>
        <w:rPr>
          <w:rFonts w:ascii="仿宋_GB2312" w:hAnsi="仿宋" w:cs="仿宋"/>
        </w:rPr>
      </w:pPr>
      <w:r>
        <w:rPr>
          <w:rFonts w:hint="eastAsia" w:ascii="仿宋_GB2312" w:hAnsi="仿宋" w:cs="仿宋"/>
          <w:bCs/>
        </w:rPr>
        <w:t>开展增量配电业务试点项目。</w:t>
      </w:r>
      <w:r>
        <w:rPr>
          <w:rFonts w:hint="eastAsia" w:ascii="仿宋_GB2312" w:hAnsi="仿宋" w:cs="仿宋"/>
        </w:rPr>
        <w:t>南阳市中关村科技产业园入选国家第一批增量配电业务试点，取得供电业务许可证，是我省首批取得供电业务许可证的四个试点之一；内乡县先进制造业开发区入选国家第二批增量配电业务试点，完成园区增量配电业务试点规划评审；南阳官庄先进制造业开发区（河南油田）纳入第五批增量配电业务试点。</w:t>
      </w:r>
    </w:p>
    <w:p>
      <w:pPr>
        <w:pStyle w:val="58"/>
        <w:spacing w:line="560" w:lineRule="exact"/>
        <w:ind w:firstLine="0" w:firstLineChars="0"/>
        <w:contextualSpacing/>
        <w:jc w:val="center"/>
        <w:outlineLvl w:val="1"/>
        <w:rPr>
          <w:rFonts w:ascii="楷体" w:hAnsi="楷体" w:eastAsia="楷体" w:cs="楷体"/>
          <w:bCs/>
          <w:sz w:val="32"/>
          <w:szCs w:val="32"/>
        </w:rPr>
      </w:pPr>
      <w:bookmarkStart w:id="386" w:name="_Toc30324"/>
      <w:bookmarkStart w:id="387" w:name="_Toc26575"/>
      <w:bookmarkStart w:id="388" w:name="_Toc27528"/>
      <w:bookmarkStart w:id="389" w:name="_Toc2058"/>
      <w:bookmarkStart w:id="390" w:name="_Toc10063"/>
      <w:bookmarkStart w:id="391" w:name="_Toc4608"/>
      <w:bookmarkStart w:id="392" w:name="_Toc22301"/>
      <w:bookmarkStart w:id="393" w:name="_Toc24337"/>
      <w:r>
        <w:rPr>
          <w:rFonts w:hint="eastAsia" w:ascii="楷体" w:hAnsi="楷体" w:eastAsia="楷体" w:cs="楷体"/>
          <w:bCs/>
          <w:sz w:val="32"/>
          <w:szCs w:val="32"/>
        </w:rPr>
        <w:t>第三节 发展形势</w:t>
      </w:r>
      <w:bookmarkEnd w:id="386"/>
      <w:bookmarkEnd w:id="387"/>
      <w:bookmarkEnd w:id="388"/>
      <w:bookmarkEnd w:id="389"/>
      <w:bookmarkEnd w:id="390"/>
      <w:bookmarkEnd w:id="391"/>
      <w:bookmarkEnd w:id="392"/>
      <w:bookmarkEnd w:id="393"/>
    </w:p>
    <w:p>
      <w:pPr>
        <w:spacing w:line="560" w:lineRule="exact"/>
        <w:ind w:firstLine="640" w:firstLineChars="200"/>
        <w:contextualSpacing/>
        <w:rPr>
          <w:rFonts w:ascii="仿宋_GB2312" w:hAnsi="仿宋" w:cs="仿宋"/>
        </w:rPr>
      </w:pPr>
      <w:r>
        <w:rPr>
          <w:rFonts w:hint="eastAsia" w:ascii="仿宋_GB2312" w:hAnsi="仿宋" w:cs="仿宋"/>
        </w:rPr>
        <w:t>在当前及今后的一段时期，世界处于百年未有之大变局，国际局势变化快速且复杂，呈现高度的不稳定性和不确定性，全球经济政治格局、能源供需版图深入调整，能源低碳转型推动全球能源格局重塑，主要发达国家正积极谋划率先摆脱对化石能源的依赖，正在进入可再生能源主导的全新能源体系和发展模式。能源领域的国际合作将在以传统油气为主的化石能源基础上，转向节能低碳和清洁能源领域，清洁低碳发展大势所趋。</w:t>
      </w:r>
    </w:p>
    <w:p>
      <w:pPr>
        <w:spacing w:line="560" w:lineRule="exact"/>
        <w:ind w:firstLine="640" w:firstLineChars="200"/>
        <w:contextualSpacing/>
        <w:rPr>
          <w:rFonts w:ascii="仿宋_GB2312" w:hAnsi="仿宋" w:cs="仿宋"/>
        </w:rPr>
      </w:pPr>
      <w:r>
        <w:rPr>
          <w:rFonts w:hint="eastAsia" w:ascii="仿宋_GB2312" w:hAnsi="仿宋" w:cs="仿宋"/>
        </w:rPr>
        <w:t>当前，我国能源低碳转型进入爬坡过坎的攻坚期，碳排放达峰和低碳化已成为能源发展的硬约束，能源结构和系统形态将发生巨大变革，化石能源消费增长空间受限，新能源大规模发展亟需能源系统加快适应和调整，绿色能源生产消费新模式亟待形成。“十四五”时期是碳达峰关键期、窗口期，也是构建现代能源体系的重要阶段。全省紧抓构建新发展格局战略机遇，全面实施“十大战略”，坚持生态优先、保护第一，统筹有序推进碳达峰碳中和，开启谱写新时代中原更加绚丽出彩篇章；我市迎来现代化省域副中心城市建设新时代。能源发展面临诸多机遇和挑战。</w:t>
      </w:r>
    </w:p>
    <w:p>
      <w:pPr>
        <w:spacing w:line="560" w:lineRule="exact"/>
        <w:ind w:firstLine="640" w:firstLineChars="200"/>
        <w:contextualSpacing/>
        <w:outlineLvl w:val="2"/>
        <w:rPr>
          <w:rFonts w:ascii="仿宋_GB2312" w:hAnsi="仿宋" w:cs="仿宋"/>
        </w:rPr>
      </w:pPr>
      <w:bookmarkStart w:id="394" w:name="_Toc6348"/>
      <w:bookmarkStart w:id="395" w:name="_Toc17040"/>
      <w:bookmarkStart w:id="396" w:name="_Toc4387"/>
      <w:bookmarkStart w:id="397" w:name="_Toc28881"/>
      <w:bookmarkStart w:id="398" w:name="_Toc25508"/>
      <w:bookmarkStart w:id="399" w:name="_Toc24350"/>
      <w:r>
        <w:rPr>
          <w:rFonts w:hint="eastAsia" w:ascii="仿宋_GB2312" w:hAnsi="仿宋" w:cs="仿宋"/>
          <w:bCs/>
        </w:rPr>
        <w:t>1.面临形势</w:t>
      </w:r>
      <w:bookmarkEnd w:id="394"/>
      <w:bookmarkEnd w:id="395"/>
      <w:bookmarkEnd w:id="396"/>
      <w:bookmarkEnd w:id="397"/>
      <w:bookmarkEnd w:id="398"/>
      <w:bookmarkEnd w:id="399"/>
      <w:bookmarkStart w:id="400" w:name="_Toc73902714"/>
      <w:r>
        <w:rPr>
          <w:rFonts w:hint="eastAsia" w:ascii="仿宋_GB2312" w:hAnsi="仿宋" w:cs="仿宋"/>
          <w:bCs/>
        </w:rPr>
        <w:t>。能源低碳发展成为大势所趋。</w:t>
      </w:r>
      <w:r>
        <w:rPr>
          <w:rFonts w:hint="eastAsia" w:ascii="仿宋_GB2312" w:hAnsi="仿宋" w:cs="仿宋"/>
        </w:rPr>
        <w:t>习近平总书记在气候雄心峰会上郑重宣示，到2030年，单位国内生产总值二氧化碳排放将比2005年下降65%以上，非化石能源占一次能源消费比重将达到25%左右。在中央财经委员会第九次会议上，习近平总书记再次强调要把“碳达峰、碳中和”纳入生态文明建设整体布局，拿出抓铁有痕的劲头，如期实现2030年碳达峰、2060年碳中和的目标。在“碳达峰、碳中和”背景下，深化供给侧结构性改革、加快低碳转型成为能源行业发展必然选择，构建以新能源为主体的新型电力系统任务也更加紧迫。</w:t>
      </w:r>
      <w:bookmarkEnd w:id="400"/>
    </w:p>
    <w:p>
      <w:pPr>
        <w:spacing w:line="560" w:lineRule="exact"/>
        <w:ind w:firstLine="640" w:firstLineChars="200"/>
        <w:contextualSpacing/>
        <w:outlineLvl w:val="3"/>
        <w:rPr>
          <w:rFonts w:ascii="仿宋_GB2312" w:hAnsi="仿宋" w:cs="仿宋"/>
        </w:rPr>
      </w:pPr>
      <w:bookmarkStart w:id="401" w:name="_Toc73902715"/>
      <w:r>
        <w:rPr>
          <w:rFonts w:hint="eastAsia" w:ascii="仿宋_GB2312" w:hAnsi="仿宋" w:cs="仿宋"/>
          <w:bCs/>
        </w:rPr>
        <w:t>保障能源安全地位更加凸显。</w:t>
      </w:r>
      <w:r>
        <w:rPr>
          <w:rFonts w:hint="eastAsia" w:ascii="仿宋_GB2312" w:hAnsi="仿宋" w:cs="仿宋"/>
        </w:rPr>
        <w:t>当前，中国经济社会发展面临的外部环境正在发生变化，部分国家民粹主义兴起、贸易紧张和贸易壁垒加剧，从多方面对现有的能源供应格局产生影响，也给我国能源发展和安全带来了新的挑战。新形势下，党中央提出扎实做好“六稳”工作，全面落实保能源安全等“六保”任务，将保证能源安全上升到事关全局的战略高度，能源安全的基础性作用更加凸显。</w:t>
      </w:r>
      <w:bookmarkEnd w:id="401"/>
      <w:bookmarkStart w:id="402" w:name="_Toc73902716"/>
    </w:p>
    <w:p>
      <w:pPr>
        <w:spacing w:line="560" w:lineRule="exact"/>
        <w:ind w:firstLine="640" w:firstLineChars="200"/>
        <w:contextualSpacing/>
        <w:outlineLvl w:val="3"/>
        <w:rPr>
          <w:rFonts w:ascii="仿宋_GB2312" w:hAnsi="仿宋" w:cs="仿宋"/>
        </w:rPr>
      </w:pPr>
      <w:r>
        <w:rPr>
          <w:rFonts w:hint="eastAsia" w:ascii="仿宋_GB2312" w:hAnsi="仿宋" w:cs="仿宋"/>
          <w:bCs/>
        </w:rPr>
        <w:t>区域能源合作迎来重大机遇。</w:t>
      </w:r>
      <w:r>
        <w:rPr>
          <w:rFonts w:hint="eastAsia" w:ascii="仿宋_GB2312" w:hAnsi="仿宋" w:cs="仿宋"/>
        </w:rPr>
        <w:t>党的十九届五中全会强调，要加快构建以国内大循环为主体、国内国际双循环互相促进的新发展格局，能源资源的跨区域调配、市场化配置将更加灵活开放。《河南省国民经济和社会发展第十四个五年规划和二〇三五年远景目标纲要》提出的“增强多元外引能力，积极论证建设外电入豫新通道、拓展外气入豫通道、完善煤炭运输通道”等举措，为我市加强能源对外合作、多元保障能源供应创造了有利条件。</w:t>
      </w:r>
      <w:bookmarkEnd w:id="402"/>
    </w:p>
    <w:p>
      <w:pPr>
        <w:spacing w:line="560" w:lineRule="exact"/>
        <w:ind w:firstLine="640" w:firstLineChars="200"/>
        <w:contextualSpacing/>
        <w:outlineLvl w:val="3"/>
        <w:rPr>
          <w:rFonts w:ascii="仿宋_GB2312" w:hAnsi="仿宋" w:cs="仿宋"/>
        </w:rPr>
      </w:pPr>
      <w:r>
        <w:rPr>
          <w:rFonts w:hint="eastAsia" w:ascii="仿宋_GB2312" w:hAnsi="仿宋" w:cs="仿宋"/>
          <w:bCs/>
        </w:rPr>
        <w:t>科技革命推动能源格局重塑。</w:t>
      </w:r>
      <w:r>
        <w:rPr>
          <w:rFonts w:hint="eastAsia" w:ascii="仿宋_GB2312" w:hAnsi="仿宋" w:cs="仿宋"/>
        </w:rPr>
        <w:t>当前，能源技术创新活跃，太阳能、风能、新能源汽车技术日益成熟，大规模储能、燃料电池等技术不断突破，推动能源产业格局加速调整。同时，随着5G、云计算、大数据、物联网、人工智能等技术与能源行业深度融合，能源生产消费各环节不断呈现全新应用场景，能源发展新产业、新业态、新模式日益丰富。“十四五”时期，我市能源行业要抢抓发展机遇，积极抢占创新制高点，打造未来发展新优势、经济增长新引擎。</w:t>
      </w:r>
    </w:p>
    <w:p>
      <w:pPr>
        <w:spacing w:line="560" w:lineRule="exact"/>
        <w:ind w:firstLine="640" w:firstLineChars="200"/>
        <w:contextualSpacing/>
        <w:outlineLvl w:val="2"/>
        <w:rPr>
          <w:rFonts w:ascii="仿宋_GB2312" w:hAnsi="仿宋" w:cs="仿宋"/>
        </w:rPr>
      </w:pPr>
      <w:bookmarkStart w:id="403" w:name="_Toc4982"/>
      <w:bookmarkStart w:id="404" w:name="_Toc30366"/>
      <w:bookmarkStart w:id="405" w:name="_Toc25716"/>
      <w:bookmarkStart w:id="406" w:name="_Toc12760"/>
      <w:bookmarkStart w:id="407" w:name="_Toc5494"/>
      <w:bookmarkStart w:id="408" w:name="_Toc3738"/>
      <w:r>
        <w:rPr>
          <w:rFonts w:hint="eastAsia" w:ascii="仿宋_GB2312" w:hAnsi="仿宋" w:cs="仿宋"/>
          <w:bCs/>
        </w:rPr>
        <w:t>2.存在问题</w:t>
      </w:r>
      <w:bookmarkEnd w:id="403"/>
      <w:bookmarkEnd w:id="404"/>
      <w:bookmarkEnd w:id="405"/>
      <w:bookmarkEnd w:id="406"/>
      <w:bookmarkEnd w:id="407"/>
      <w:bookmarkEnd w:id="408"/>
      <w:r>
        <w:rPr>
          <w:rFonts w:hint="eastAsia" w:ascii="仿宋_GB2312" w:hAnsi="仿宋" w:cs="仿宋"/>
          <w:bCs/>
        </w:rPr>
        <w:t>。能源对外依存度高，能源供应保障能力需加强。</w:t>
      </w:r>
      <w:r>
        <w:rPr>
          <w:rFonts w:hint="eastAsia" w:ascii="仿宋_GB2312" w:hAnsi="仿宋" w:cs="仿宋"/>
        </w:rPr>
        <w:t>我市的传统能源资源是石油，仅南召县的部分地区有少量劣质煤资源，目前政策禁止开采。当前，全市所用煤炭及天然气全部需要从外地调入，加之我市火电电源点布局较少，每年还需从市外输入约100亿千瓦时电量。南阳电网处于全省500千伏主干网的西南部末端，在电网发展方面存在220千伏环网结构框架大、局部地区网架薄弱、电网设备利用率较低、短路电流偏高等问题。我市地域面积较广，但供电区电源分布不平衡，大机组及500千伏电源点主要集中于中、西、北部区域，东南部的桐柏县、唐河县等区域与主网联系仍需加强。受城市用地紧张、环保压力、公众利益等因素制约，市区及县城负荷中心区域变电站选址及线路走廊开辟面临诸多困难，加之国家政策对煤电节能减排关停力度的增加，我市2020年关停了蒲山电厂2台125兆瓦火电机组，鸭河电厂2号机被列为紧急备用电源，全市用电需求增长与电力配套建设难成为亟待解决的矛盾。此外，由于全市农村区域面积较大，农村供电质量低的现象还在一些区域出现。</w:t>
      </w:r>
    </w:p>
    <w:p>
      <w:pPr>
        <w:spacing w:line="560" w:lineRule="exact"/>
        <w:ind w:firstLine="640" w:firstLineChars="200"/>
        <w:contextualSpacing/>
        <w:outlineLvl w:val="3"/>
        <w:rPr>
          <w:rFonts w:ascii="仿宋_GB2312" w:hAnsi="仿宋" w:cs="仿宋"/>
        </w:rPr>
      </w:pPr>
      <w:r>
        <w:rPr>
          <w:rFonts w:hint="eastAsia" w:ascii="仿宋_GB2312" w:hAnsi="仿宋" w:cs="仿宋"/>
          <w:bCs/>
        </w:rPr>
        <w:t>新能源装备制造产业发展刚起步，延链补链及创新能力不足。</w:t>
      </w:r>
      <w:r>
        <w:rPr>
          <w:rFonts w:hint="eastAsia" w:ascii="仿宋_GB2312" w:hAnsi="仿宋" w:cs="仿宋"/>
        </w:rPr>
        <w:t>产业规模小，全市新能源产业仅有新能源电池、电机、电控、少量新能源专用车及风力发电设备生产，且企业数量不多、产业集聚与配套能力差。新业态新模式发展滞后，我市汽车零部件产业具有一定基础，对发展新能源及网联汽车具有优势，从“十三五”初期，我市就提出着力培育新能源产业，但由于企业转型能力不足，转型成本高、转型阵痛期长，新能源汽车发展方面取得进展较少。</w:t>
      </w:r>
    </w:p>
    <w:p>
      <w:pPr>
        <w:spacing w:line="560" w:lineRule="exact"/>
        <w:ind w:firstLine="640" w:firstLineChars="200"/>
        <w:contextualSpacing/>
        <w:rPr>
          <w:rFonts w:ascii="仿宋_GB2312" w:hAnsi="仿宋" w:cs="仿宋"/>
        </w:rPr>
      </w:pPr>
      <w:r>
        <w:rPr>
          <w:rFonts w:hint="eastAsia" w:ascii="仿宋_GB2312" w:hAnsi="仿宋" w:cs="仿宋"/>
          <w:bCs/>
        </w:rPr>
        <w:t>清洁能源发展存在多重制约，开发利用率及产业规模有待提升。</w:t>
      </w:r>
      <w:r>
        <w:rPr>
          <w:rFonts w:hint="eastAsia" w:ascii="仿宋_GB2312" w:hAnsi="仿宋" w:cs="仿宋"/>
        </w:rPr>
        <w:t>全市幅员辽阔，总面积约2.66万平方公里，是我省面积最大的省辖市，但山地、丘陵面积占三分之二，受农用地、林地、生态保护红线等因素制约，集中式光伏和风电项目可持续开发空间不足，规模化开发难度加大。我市火电装机约占总电力装机的54.4%，随着光伏、风电等非水可再生能源建设规模增加，火电调峰能力无法满足非水可再生能源调峰需求。</w:t>
      </w:r>
    </w:p>
    <w:p>
      <w:pPr>
        <w:spacing w:line="560" w:lineRule="exact"/>
        <w:ind w:firstLine="640" w:firstLineChars="200"/>
        <w:contextualSpacing/>
        <w:outlineLvl w:val="3"/>
        <w:rPr>
          <w:rFonts w:ascii="仿宋_GB2312" w:hAnsi="仿宋" w:cs="仿宋"/>
        </w:rPr>
      </w:pPr>
      <w:r>
        <w:rPr>
          <w:rFonts w:hint="eastAsia" w:ascii="仿宋_GB2312" w:hAnsi="仿宋" w:cs="仿宋"/>
          <w:bCs/>
        </w:rPr>
        <w:t>市场决定性作用发挥仍需强化。</w:t>
      </w:r>
      <w:r>
        <w:rPr>
          <w:rFonts w:hint="eastAsia" w:ascii="仿宋_GB2312" w:hAnsi="仿宋" w:cs="仿宋"/>
        </w:rPr>
        <w:t>以绿色能源为导向的价格和交易机制尚不完善，市场主体参与能源领域的活力有待进一步激发，迫切需要构建与碳达峰、碳中和要求相适应的现代能源体系。</w:t>
      </w:r>
    </w:p>
    <w:p>
      <w:pPr>
        <w:pStyle w:val="58"/>
        <w:spacing w:line="560" w:lineRule="exact"/>
        <w:ind w:firstLine="0" w:firstLineChars="0"/>
        <w:contextualSpacing/>
        <w:jc w:val="center"/>
        <w:outlineLvl w:val="0"/>
        <w:rPr>
          <w:rFonts w:ascii="黑体" w:hAnsi="黑体" w:eastAsia="黑体" w:cs="黑体"/>
          <w:sz w:val="32"/>
          <w:szCs w:val="32"/>
        </w:rPr>
      </w:pPr>
      <w:bookmarkStart w:id="409" w:name="_Toc26965"/>
      <w:bookmarkStart w:id="410" w:name="_Toc20094"/>
      <w:bookmarkStart w:id="411" w:name="_Toc8795"/>
      <w:bookmarkStart w:id="412" w:name="_Toc22935"/>
      <w:bookmarkStart w:id="413" w:name="_Toc32339"/>
      <w:bookmarkStart w:id="414" w:name="_Toc634"/>
      <w:bookmarkStart w:id="415" w:name="_Toc28807"/>
      <w:bookmarkStart w:id="416" w:name="_Toc30794"/>
      <w:r>
        <w:rPr>
          <w:rFonts w:hint="eastAsia" w:ascii="黑体" w:hAnsi="黑体" w:eastAsia="黑体" w:cs="黑体"/>
          <w:sz w:val="32"/>
          <w:szCs w:val="32"/>
        </w:rPr>
        <w:t>第二章 指导思想和主要目标</w:t>
      </w:r>
      <w:bookmarkEnd w:id="409"/>
      <w:bookmarkEnd w:id="410"/>
      <w:bookmarkEnd w:id="411"/>
      <w:bookmarkEnd w:id="412"/>
      <w:bookmarkEnd w:id="413"/>
      <w:bookmarkEnd w:id="414"/>
      <w:bookmarkEnd w:id="415"/>
      <w:bookmarkEnd w:id="416"/>
    </w:p>
    <w:p>
      <w:pPr>
        <w:pStyle w:val="58"/>
        <w:spacing w:line="560" w:lineRule="exact"/>
        <w:ind w:firstLine="0" w:firstLineChars="0"/>
        <w:contextualSpacing/>
        <w:jc w:val="center"/>
        <w:outlineLvl w:val="1"/>
        <w:rPr>
          <w:rFonts w:ascii="楷体" w:hAnsi="楷体" w:eastAsia="楷体" w:cs="楷体"/>
          <w:bCs/>
          <w:sz w:val="32"/>
          <w:szCs w:val="32"/>
        </w:rPr>
      </w:pPr>
      <w:bookmarkStart w:id="417" w:name="_Toc570"/>
      <w:bookmarkStart w:id="418" w:name="_Toc11311"/>
      <w:bookmarkStart w:id="419" w:name="_Toc13287"/>
      <w:bookmarkStart w:id="420" w:name="_Toc8952"/>
      <w:bookmarkStart w:id="421" w:name="_Toc25855"/>
      <w:bookmarkStart w:id="422" w:name="_Toc10802"/>
      <w:bookmarkStart w:id="423" w:name="_Toc29994"/>
      <w:bookmarkStart w:id="424" w:name="_Toc15514"/>
      <w:r>
        <w:rPr>
          <w:rFonts w:hint="eastAsia" w:ascii="楷体" w:hAnsi="楷体" w:eastAsia="楷体" w:cs="楷体"/>
          <w:bCs/>
          <w:sz w:val="32"/>
          <w:szCs w:val="32"/>
        </w:rPr>
        <w:t>第一节 指导思想</w:t>
      </w:r>
      <w:bookmarkEnd w:id="417"/>
      <w:bookmarkEnd w:id="418"/>
      <w:bookmarkEnd w:id="419"/>
      <w:bookmarkEnd w:id="420"/>
      <w:bookmarkEnd w:id="421"/>
      <w:bookmarkEnd w:id="422"/>
      <w:bookmarkEnd w:id="423"/>
      <w:bookmarkEnd w:id="424"/>
    </w:p>
    <w:p>
      <w:pPr>
        <w:spacing w:line="560" w:lineRule="exact"/>
        <w:ind w:firstLine="640" w:firstLineChars="200"/>
        <w:contextualSpacing/>
        <w:rPr>
          <w:rFonts w:ascii="仿宋_GB2312" w:hAnsi="仿宋" w:cs="仿宋"/>
        </w:rPr>
      </w:pPr>
      <w:r>
        <w:rPr>
          <w:rFonts w:hint="eastAsia" w:ascii="仿宋_GB2312" w:hAnsi="仿宋" w:cs="仿宋"/>
        </w:rPr>
        <w:t>以习近平新时代中国特色社会主义思想为指导，全面贯彻党的十九大和十九届历次全会精神以及习近平生态文明思想，立足新发展阶段，完整、准确、全面贯彻新发展理念，构建新发展格局。坚持系统观念，处理好发展和减排、整体和局部、短期和中长期的关系，统筹稳增长和调结构，把碳达峰、碳中和纳入经济社会发展全局，以经济社会发展全面绿色转型为引领，以能源绿色低碳发展为关键，加快形成节约资源和保护环境的产业结构、生产方式、生活方式、空间格局，坚定不移走生态优先、绿色低碳的高质量发展道路。积极贯彻落实省第十一次党代会、市第七次党代会决策部署，以走好水源地高质量跨越发展之路为主题，加强内源优化、内引外联，形成多渠道、多元化的现代能源保障新格局。充分发挥我市可再生能源资源丰富和产业基础优势，以风能、太阳能、生物质能、抽水蓄能、地热能等可再生能源的开发和综合利用为重点，加快推进新能源的产业化进程，着力构建以新能源为主体的现代能源体系、提高传统能源清洁消费水平，发挥煤电基础性、保障性作用，持续提升保供能力，为南阳建设河南省副中心城市和经济社会的高质量发展提供坚实可靠的能源支撑和保障。</w:t>
      </w:r>
    </w:p>
    <w:p>
      <w:pPr>
        <w:pStyle w:val="58"/>
        <w:spacing w:line="560" w:lineRule="exact"/>
        <w:ind w:firstLine="0" w:firstLineChars="0"/>
        <w:contextualSpacing/>
        <w:jc w:val="center"/>
        <w:outlineLvl w:val="1"/>
        <w:rPr>
          <w:rFonts w:ascii="楷体" w:hAnsi="楷体" w:eastAsia="楷体" w:cs="楷体"/>
          <w:bCs/>
          <w:sz w:val="32"/>
          <w:szCs w:val="32"/>
        </w:rPr>
      </w:pPr>
      <w:bookmarkStart w:id="425" w:name="_Toc4286"/>
      <w:bookmarkStart w:id="426" w:name="_Toc2361"/>
      <w:bookmarkStart w:id="427" w:name="_Toc21034"/>
      <w:bookmarkStart w:id="428" w:name="_Toc17127"/>
      <w:bookmarkStart w:id="429" w:name="_Toc12496"/>
      <w:bookmarkStart w:id="430" w:name="_Toc4880"/>
      <w:bookmarkStart w:id="431" w:name="_Toc32486"/>
      <w:bookmarkStart w:id="432" w:name="_Toc7958"/>
      <w:r>
        <w:rPr>
          <w:rFonts w:hint="eastAsia" w:ascii="楷体" w:hAnsi="楷体" w:eastAsia="楷体" w:cs="楷体"/>
          <w:bCs/>
          <w:sz w:val="32"/>
          <w:szCs w:val="32"/>
        </w:rPr>
        <w:t>第二节 基本原则</w:t>
      </w:r>
      <w:bookmarkEnd w:id="425"/>
      <w:bookmarkEnd w:id="426"/>
      <w:bookmarkEnd w:id="427"/>
      <w:bookmarkEnd w:id="428"/>
      <w:bookmarkEnd w:id="429"/>
      <w:bookmarkEnd w:id="430"/>
      <w:bookmarkEnd w:id="431"/>
      <w:bookmarkEnd w:id="432"/>
    </w:p>
    <w:p>
      <w:pPr>
        <w:spacing w:line="560" w:lineRule="exact"/>
        <w:ind w:firstLine="640" w:firstLineChars="200"/>
        <w:contextualSpacing/>
        <w:outlineLvl w:val="2"/>
        <w:rPr>
          <w:rFonts w:ascii="仿宋_GB2312" w:hAnsi="仿宋" w:cs="仿宋"/>
        </w:rPr>
      </w:pPr>
      <w:bookmarkStart w:id="433" w:name="_Toc4094"/>
      <w:bookmarkStart w:id="434" w:name="_Toc16493"/>
      <w:bookmarkStart w:id="435" w:name="_Toc10722"/>
      <w:bookmarkStart w:id="436" w:name="_Toc25260"/>
      <w:bookmarkStart w:id="437" w:name="_Toc29812"/>
      <w:bookmarkStart w:id="438" w:name="_Toc3942"/>
      <w:r>
        <w:rPr>
          <w:rFonts w:hint="eastAsia" w:ascii="仿宋_GB2312" w:hAnsi="仿宋" w:cs="仿宋"/>
          <w:bCs/>
        </w:rPr>
        <w:t>——绿色低碳，协调发展</w:t>
      </w:r>
      <w:bookmarkEnd w:id="433"/>
      <w:bookmarkEnd w:id="434"/>
      <w:bookmarkEnd w:id="435"/>
      <w:bookmarkEnd w:id="436"/>
      <w:bookmarkEnd w:id="437"/>
      <w:bookmarkEnd w:id="438"/>
      <w:r>
        <w:rPr>
          <w:rFonts w:hint="eastAsia" w:ascii="仿宋_GB2312" w:hAnsi="仿宋" w:cs="仿宋"/>
          <w:bCs/>
        </w:rPr>
        <w:t>。</w:t>
      </w:r>
      <w:r>
        <w:rPr>
          <w:rFonts w:hint="eastAsia" w:ascii="仿宋_GB2312" w:hAnsi="仿宋" w:cs="仿宋"/>
        </w:rPr>
        <w:t>把走好生态优先、绿色发展之路作为根本要求，先立后破，大力实施可再生能源替代，统筹推进全市化石能源清洁高效利用与可再生能源规模化发展，严格控制化石能源特别是煤炭消费总量，着力提高利用效能，加快构建以新能源为主体的新型电力系统，大幅提高非化石能源消费比重，推进能源生产消费模式绿色低碳变革，促进生态文明建设，实现能源开发利用与生态环境协调发展，推动实现碳达峰目标。</w:t>
      </w:r>
    </w:p>
    <w:p>
      <w:pPr>
        <w:spacing w:line="560" w:lineRule="exact"/>
        <w:ind w:firstLine="640" w:firstLineChars="200"/>
        <w:contextualSpacing/>
        <w:outlineLvl w:val="2"/>
        <w:rPr>
          <w:rFonts w:ascii="仿宋_GB2312" w:hAnsi="仿宋" w:cs="仿宋"/>
        </w:rPr>
      </w:pPr>
      <w:bookmarkStart w:id="439" w:name="_Toc20132"/>
      <w:bookmarkStart w:id="440" w:name="_Toc18537"/>
      <w:bookmarkStart w:id="441" w:name="_Toc13159"/>
      <w:bookmarkStart w:id="442" w:name="_Toc13866"/>
      <w:bookmarkStart w:id="443" w:name="_Toc10973"/>
      <w:bookmarkStart w:id="444" w:name="_Toc24712"/>
      <w:r>
        <w:rPr>
          <w:rFonts w:hint="eastAsia" w:ascii="仿宋_GB2312" w:hAnsi="仿宋" w:cs="仿宋"/>
          <w:bCs/>
        </w:rPr>
        <w:t>——内引外联，多元发展</w:t>
      </w:r>
      <w:bookmarkEnd w:id="439"/>
      <w:bookmarkEnd w:id="440"/>
      <w:bookmarkEnd w:id="441"/>
      <w:bookmarkEnd w:id="442"/>
      <w:bookmarkEnd w:id="443"/>
      <w:bookmarkEnd w:id="444"/>
      <w:r>
        <w:rPr>
          <w:rFonts w:hint="eastAsia" w:ascii="仿宋_GB2312" w:hAnsi="仿宋" w:cs="仿宋"/>
          <w:bCs/>
        </w:rPr>
        <w:t>。</w:t>
      </w:r>
      <w:r>
        <w:rPr>
          <w:rFonts w:hint="eastAsia" w:ascii="仿宋_GB2312" w:hAnsi="仿宋" w:cs="仿宋"/>
        </w:rPr>
        <w:t>充分发挥区位、市场、基础设施等综合优势，统筹利用省内省外“两个市场、两种资源”，拓展能源保障途径，加强能源输送网络和通道建设。深化与周边省份及地区的能源合作，构建协调联动、多能互补、稳定可靠的能源供应保障体系，提升能源应急储备能力，提高碳达峰进程中的能源供应稳定性和安全性，构筑能源安全屏障。</w:t>
      </w:r>
    </w:p>
    <w:p>
      <w:pPr>
        <w:spacing w:line="560" w:lineRule="exact"/>
        <w:ind w:firstLine="640" w:firstLineChars="200"/>
        <w:contextualSpacing/>
        <w:outlineLvl w:val="2"/>
        <w:rPr>
          <w:rFonts w:ascii="仿宋_GB2312" w:hAnsi="仿宋" w:cs="仿宋"/>
        </w:rPr>
      </w:pPr>
      <w:bookmarkStart w:id="445" w:name="_Toc10243"/>
      <w:bookmarkStart w:id="446" w:name="_Toc13599"/>
      <w:bookmarkStart w:id="447" w:name="_Toc29673"/>
      <w:bookmarkStart w:id="448" w:name="_Toc28854"/>
      <w:bookmarkStart w:id="449" w:name="_Toc9317"/>
      <w:bookmarkStart w:id="450" w:name="_Toc31325"/>
      <w:r>
        <w:rPr>
          <w:rFonts w:hint="eastAsia" w:ascii="仿宋_GB2312" w:hAnsi="仿宋" w:cs="仿宋"/>
          <w:bCs/>
        </w:rPr>
        <w:t>——节约优先，高效发展</w:t>
      </w:r>
      <w:bookmarkEnd w:id="445"/>
      <w:bookmarkEnd w:id="446"/>
      <w:bookmarkEnd w:id="447"/>
      <w:bookmarkEnd w:id="448"/>
      <w:bookmarkEnd w:id="449"/>
      <w:bookmarkEnd w:id="450"/>
      <w:r>
        <w:rPr>
          <w:rFonts w:hint="eastAsia" w:ascii="仿宋_GB2312" w:hAnsi="仿宋" w:cs="仿宋"/>
          <w:bCs/>
        </w:rPr>
        <w:t>。</w:t>
      </w:r>
      <w:r>
        <w:rPr>
          <w:rFonts w:hint="eastAsia" w:ascii="仿宋_GB2312" w:hAnsi="仿宋" w:cs="仿宋"/>
        </w:rPr>
        <w:t>深入践行绿色生产、生活和消费理念，把能源节约贯穿全市经济社会发展的各领域各环节，加强重点领域节能和重点单位节能，充分发挥节能引导的倒逼作用，持续提高能源利用效率，加快构建能源节约型社会，实现能源高效高质量发展。</w:t>
      </w:r>
    </w:p>
    <w:p>
      <w:pPr>
        <w:spacing w:line="560" w:lineRule="exact"/>
        <w:ind w:firstLine="640" w:firstLineChars="200"/>
        <w:contextualSpacing/>
        <w:outlineLvl w:val="2"/>
        <w:rPr>
          <w:rFonts w:ascii="仿宋_GB2312" w:hAnsi="仿宋" w:cs="仿宋"/>
        </w:rPr>
      </w:pPr>
      <w:bookmarkStart w:id="451" w:name="_Toc18303"/>
      <w:bookmarkStart w:id="452" w:name="_Toc9148"/>
      <w:bookmarkStart w:id="453" w:name="_Toc5939"/>
      <w:bookmarkStart w:id="454" w:name="_Toc4857"/>
      <w:bookmarkStart w:id="455" w:name="_Toc5821"/>
      <w:bookmarkStart w:id="456" w:name="_Toc23237"/>
      <w:r>
        <w:rPr>
          <w:rFonts w:hint="eastAsia" w:ascii="仿宋_GB2312" w:hAnsi="仿宋" w:cs="仿宋"/>
          <w:bCs/>
        </w:rPr>
        <w:t>——科技支撑，创新发展</w:t>
      </w:r>
      <w:bookmarkEnd w:id="451"/>
      <w:bookmarkEnd w:id="452"/>
      <w:bookmarkEnd w:id="453"/>
      <w:bookmarkEnd w:id="454"/>
      <w:bookmarkEnd w:id="455"/>
      <w:bookmarkEnd w:id="456"/>
      <w:r>
        <w:rPr>
          <w:rFonts w:hint="eastAsia" w:ascii="仿宋_GB2312" w:hAnsi="仿宋" w:cs="仿宋"/>
          <w:bCs/>
        </w:rPr>
        <w:t>。</w:t>
      </w:r>
      <w:r>
        <w:rPr>
          <w:rFonts w:hint="eastAsia" w:ascii="仿宋_GB2312" w:hAnsi="仿宋" w:cs="仿宋"/>
        </w:rPr>
        <w:t>把创新作为引领能源发展的第一动力，推进5G、人工智能、区块链、北斗、工业互联网等关键技术与能源深度融合，培育和推广“源网荷储”“风光水火储”一体化、智慧能源、智能微电网等新型用能方式，积极构建以新能源为主体的新型电力系统。系统推进能源体制改革和政策创新，充分发挥市场配置资源的决定性作用，着力解决制约能源领域发展的深层次问题，激发能源发展活力。</w:t>
      </w:r>
    </w:p>
    <w:p>
      <w:pPr>
        <w:spacing w:line="560" w:lineRule="exact"/>
        <w:ind w:firstLine="640" w:firstLineChars="200"/>
        <w:contextualSpacing/>
        <w:outlineLvl w:val="2"/>
        <w:rPr>
          <w:rFonts w:ascii="仿宋_GB2312" w:hAnsi="仿宋" w:cs="仿宋"/>
        </w:rPr>
      </w:pPr>
      <w:bookmarkStart w:id="457" w:name="_Toc17108"/>
      <w:bookmarkStart w:id="458" w:name="_Toc32091"/>
      <w:bookmarkStart w:id="459" w:name="_Toc5566"/>
      <w:bookmarkStart w:id="460" w:name="_Toc14161"/>
      <w:bookmarkStart w:id="461" w:name="_Toc8250"/>
      <w:bookmarkStart w:id="462" w:name="_Toc2086"/>
      <w:r>
        <w:rPr>
          <w:rFonts w:hint="eastAsia" w:ascii="仿宋_GB2312" w:hAnsi="仿宋" w:cs="仿宋"/>
          <w:bCs/>
        </w:rPr>
        <w:t>——以人为本，共享发展</w:t>
      </w:r>
      <w:bookmarkEnd w:id="457"/>
      <w:bookmarkEnd w:id="458"/>
      <w:bookmarkEnd w:id="459"/>
      <w:bookmarkEnd w:id="460"/>
      <w:bookmarkEnd w:id="461"/>
      <w:bookmarkEnd w:id="462"/>
      <w:r>
        <w:rPr>
          <w:rFonts w:hint="eastAsia" w:ascii="仿宋_GB2312" w:hAnsi="仿宋" w:cs="仿宋"/>
          <w:bCs/>
        </w:rPr>
        <w:t>。</w:t>
      </w:r>
      <w:r>
        <w:rPr>
          <w:rFonts w:hint="eastAsia" w:ascii="仿宋_GB2312" w:hAnsi="仿宋" w:cs="仿宋"/>
        </w:rPr>
        <w:t>把满足人民日益增长的美好生活需要作为根本目的和工作出发点，加强能源基础设施和公共服务保障能力建设，显著提高能源普遍服务能力和水平，改善人民生活用能品质。防范化解能源领域重大安全风险，保障人民群众生命财产安全。</w:t>
      </w:r>
      <w:bookmarkStart w:id="463" w:name="_Toc30907"/>
      <w:bookmarkStart w:id="464" w:name="_Toc14876"/>
      <w:bookmarkStart w:id="465" w:name="_Toc32514"/>
      <w:bookmarkStart w:id="466" w:name="_Toc5085"/>
      <w:bookmarkStart w:id="467" w:name="_Toc29024"/>
      <w:bookmarkStart w:id="468" w:name="_Toc6728"/>
      <w:bookmarkStart w:id="469" w:name="_Toc3002"/>
      <w:bookmarkStart w:id="470" w:name="_Toc13701"/>
    </w:p>
    <w:p>
      <w:pPr>
        <w:pStyle w:val="58"/>
        <w:spacing w:line="560" w:lineRule="exact"/>
        <w:ind w:firstLine="0" w:firstLineChars="0"/>
        <w:contextualSpacing/>
        <w:jc w:val="center"/>
        <w:outlineLvl w:val="1"/>
        <w:rPr>
          <w:rFonts w:ascii="楷体" w:hAnsi="楷体" w:eastAsia="楷体" w:cs="楷体"/>
          <w:bCs/>
          <w:sz w:val="32"/>
          <w:szCs w:val="32"/>
        </w:rPr>
      </w:pPr>
      <w:r>
        <w:rPr>
          <w:rFonts w:hint="eastAsia" w:ascii="楷体" w:hAnsi="楷体" w:eastAsia="楷体" w:cs="楷体"/>
          <w:bCs/>
          <w:sz w:val="32"/>
          <w:szCs w:val="32"/>
        </w:rPr>
        <w:t>第三节 主要目标</w:t>
      </w:r>
      <w:bookmarkEnd w:id="463"/>
      <w:bookmarkEnd w:id="464"/>
      <w:bookmarkEnd w:id="465"/>
      <w:bookmarkEnd w:id="466"/>
      <w:bookmarkEnd w:id="467"/>
      <w:bookmarkEnd w:id="468"/>
      <w:bookmarkEnd w:id="469"/>
      <w:bookmarkEnd w:id="470"/>
    </w:p>
    <w:p>
      <w:pPr>
        <w:spacing w:line="560" w:lineRule="exact"/>
        <w:ind w:firstLine="640" w:firstLineChars="200"/>
        <w:contextualSpacing/>
        <w:rPr>
          <w:rFonts w:ascii="仿宋_GB2312" w:hAnsi="仿宋" w:cs="仿宋"/>
        </w:rPr>
      </w:pPr>
      <w:r>
        <w:rPr>
          <w:rFonts w:hint="eastAsia" w:ascii="仿宋_GB2312" w:hAnsi="仿宋" w:cs="仿宋"/>
        </w:rPr>
        <w:t>“十四五”期间，全市能源消费增量的50%以上由非化石能源满足。到2025年，初步建成节约低碳的能源消费体系、结构优化的能源生产体系、多元支撑的能源外引体系和竞争有序的市场体系，保障能力进一步增强，供需结构进一步优化，体制机制进一步完善，服务水平进一步提升。清洁低碳、安全高效的现代能源体系建设取得明显进展，基本形成低碳高效的能源支撑体系，充分保障经济社会高质量发展的能源需求，同时为实现2030年“碳达峰”、2060年“碳中和”打下坚实基础。</w:t>
      </w:r>
    </w:p>
    <w:p>
      <w:pPr>
        <w:spacing w:line="560" w:lineRule="exact"/>
        <w:ind w:firstLine="640" w:firstLineChars="200"/>
        <w:contextualSpacing/>
        <w:outlineLvl w:val="2"/>
        <w:rPr>
          <w:rFonts w:ascii="仿宋_GB2312" w:hAnsi="仿宋" w:cs="仿宋"/>
        </w:rPr>
      </w:pPr>
      <w:bookmarkStart w:id="471" w:name="_Toc22601"/>
      <w:bookmarkStart w:id="472" w:name="_Toc9934"/>
      <w:bookmarkStart w:id="473" w:name="_Toc22108"/>
      <w:bookmarkStart w:id="474" w:name="_Toc22708"/>
      <w:bookmarkStart w:id="475" w:name="_Toc29154"/>
      <w:r>
        <w:rPr>
          <w:rFonts w:hint="eastAsia" w:ascii="仿宋_GB2312" w:hAnsi="仿宋" w:cs="仿宋"/>
          <w:bCs/>
        </w:rPr>
        <w:t>1.能源结构优化方面</w:t>
      </w:r>
      <w:bookmarkEnd w:id="471"/>
      <w:bookmarkEnd w:id="472"/>
      <w:bookmarkEnd w:id="473"/>
      <w:bookmarkEnd w:id="474"/>
      <w:bookmarkEnd w:id="475"/>
      <w:r>
        <w:rPr>
          <w:rFonts w:hint="eastAsia" w:ascii="仿宋_GB2312" w:hAnsi="仿宋" w:cs="仿宋"/>
          <w:bCs/>
        </w:rPr>
        <w:t>。</w:t>
      </w:r>
      <w:r>
        <w:rPr>
          <w:rFonts w:hint="eastAsia" w:ascii="仿宋_GB2312" w:hAnsi="仿宋" w:cs="仿宋"/>
        </w:rPr>
        <w:t>非化石能源消费占比提高到16%以上，风电、光伏发电装机成为电力装机增量的主体，可再生能源消费责任权重、非水可再生能源电力消纳责任权重、单位GDP能耗下降幅度完成省定目标任务。</w:t>
      </w:r>
    </w:p>
    <w:p>
      <w:pPr>
        <w:spacing w:line="560" w:lineRule="exact"/>
        <w:ind w:firstLine="640" w:firstLineChars="200"/>
        <w:contextualSpacing/>
        <w:outlineLvl w:val="2"/>
        <w:rPr>
          <w:rFonts w:ascii="仿宋_GB2312" w:hAnsi="仿宋" w:cs="仿宋"/>
        </w:rPr>
      </w:pPr>
      <w:bookmarkStart w:id="476" w:name="_Toc22795"/>
      <w:bookmarkStart w:id="477" w:name="_Toc29216"/>
      <w:bookmarkStart w:id="478" w:name="_Toc19010"/>
      <w:bookmarkStart w:id="479" w:name="_Toc14916"/>
      <w:bookmarkStart w:id="480" w:name="_Toc18048"/>
      <w:r>
        <w:rPr>
          <w:rFonts w:hint="eastAsia" w:ascii="仿宋_GB2312" w:hAnsi="仿宋" w:cs="仿宋"/>
          <w:bCs/>
        </w:rPr>
        <w:t>2.能源供应保障方面</w:t>
      </w:r>
      <w:bookmarkEnd w:id="476"/>
      <w:bookmarkEnd w:id="477"/>
      <w:bookmarkEnd w:id="478"/>
      <w:bookmarkEnd w:id="479"/>
      <w:bookmarkEnd w:id="480"/>
      <w:r>
        <w:rPr>
          <w:rFonts w:hint="eastAsia" w:ascii="仿宋_GB2312" w:hAnsi="仿宋" w:cs="仿宋"/>
          <w:bCs/>
        </w:rPr>
        <w:t>。</w:t>
      </w:r>
      <w:r>
        <w:rPr>
          <w:rFonts w:hint="eastAsia" w:ascii="仿宋_GB2312" w:hAnsi="仿宋" w:cs="仿宋"/>
        </w:rPr>
        <w:t>煤炭储配能力达到200万吨、流通能力3000万吨，建成国家级煤炭储配中心、区域性煤炭交易中心；全市电力装机达到1100万千瓦以上，建成千万千瓦级电源基地，其中可再生能源发电装机达到650万千瓦以上；天然气输气管道建成长度800公里以上，能源储备和应急体系更加完善。</w:t>
      </w:r>
    </w:p>
    <w:p>
      <w:pPr>
        <w:spacing w:line="560" w:lineRule="exact"/>
        <w:ind w:firstLine="640" w:firstLineChars="200"/>
        <w:contextualSpacing/>
        <w:outlineLvl w:val="2"/>
        <w:rPr>
          <w:rFonts w:ascii="仿宋_GB2312" w:hAnsi="仿宋" w:cs="仿宋"/>
        </w:rPr>
      </w:pPr>
      <w:bookmarkStart w:id="481" w:name="_Toc16788"/>
      <w:bookmarkStart w:id="482" w:name="_Toc16773"/>
      <w:bookmarkStart w:id="483" w:name="_Toc2108"/>
      <w:bookmarkStart w:id="484" w:name="_Toc12914"/>
      <w:bookmarkStart w:id="485" w:name="_Toc23471"/>
      <w:r>
        <w:rPr>
          <w:rFonts w:hint="eastAsia" w:ascii="仿宋_GB2312" w:hAnsi="仿宋" w:cs="仿宋"/>
          <w:bCs/>
        </w:rPr>
        <w:t>3.能源体制机制方面</w:t>
      </w:r>
      <w:bookmarkEnd w:id="481"/>
      <w:bookmarkEnd w:id="482"/>
      <w:bookmarkEnd w:id="483"/>
      <w:bookmarkEnd w:id="484"/>
      <w:bookmarkEnd w:id="485"/>
      <w:r>
        <w:rPr>
          <w:rFonts w:hint="eastAsia" w:ascii="仿宋_GB2312" w:hAnsi="仿宋" w:cs="仿宋"/>
          <w:bCs/>
        </w:rPr>
        <w:t>。</w:t>
      </w:r>
      <w:r>
        <w:rPr>
          <w:rFonts w:hint="eastAsia" w:ascii="仿宋_GB2312" w:hAnsi="仿宋" w:cs="仿宋"/>
        </w:rPr>
        <w:t>电力、油气行业体制改革取得更大成果，反映市场供求关系、符合能源发展特征的价格机制逐步形成，市场配置资源的决定性作用得到更好发挥。</w:t>
      </w:r>
    </w:p>
    <w:p>
      <w:pPr>
        <w:spacing w:line="560" w:lineRule="exact"/>
        <w:ind w:firstLine="640" w:firstLineChars="200"/>
        <w:contextualSpacing/>
        <w:outlineLvl w:val="2"/>
        <w:rPr>
          <w:rFonts w:ascii="仿宋_GB2312" w:hAnsi="仿宋" w:cs="仿宋"/>
        </w:rPr>
      </w:pPr>
      <w:bookmarkStart w:id="486" w:name="_Toc22328"/>
      <w:bookmarkStart w:id="487" w:name="_Toc25243"/>
      <w:bookmarkStart w:id="488" w:name="_Toc24675"/>
      <w:bookmarkStart w:id="489" w:name="_Toc18217"/>
      <w:bookmarkStart w:id="490" w:name="_Toc16577"/>
      <w:r>
        <w:rPr>
          <w:rFonts w:hint="eastAsia" w:ascii="仿宋_GB2312" w:hAnsi="仿宋" w:cs="仿宋"/>
          <w:bCs/>
        </w:rPr>
        <w:t>4.能源服务民生方面</w:t>
      </w:r>
      <w:bookmarkEnd w:id="486"/>
      <w:bookmarkEnd w:id="487"/>
      <w:bookmarkEnd w:id="488"/>
      <w:bookmarkEnd w:id="489"/>
      <w:bookmarkEnd w:id="490"/>
      <w:r>
        <w:rPr>
          <w:rFonts w:hint="eastAsia" w:ascii="仿宋_GB2312" w:hAnsi="仿宋" w:cs="仿宋"/>
          <w:bCs/>
        </w:rPr>
        <w:t>。</w:t>
      </w:r>
      <w:r>
        <w:rPr>
          <w:rFonts w:hint="eastAsia" w:ascii="仿宋_GB2312" w:hAnsi="仿宋" w:cs="仿宋"/>
        </w:rPr>
        <w:t>能源领域营商环境持续优化，供电、供气、供暖用户报装时间进一步压缩，电网可靠性进一步提升，群众用能的获得感、幸福感、安全感持续提升。加大民生用能保障力度，推动能源服务进一步向乡村延伸，扎实做好能源领域巩固拓展脱贫攻坚成果与乡村振兴的有效衔接。</w:t>
      </w:r>
    </w:p>
    <w:p>
      <w:pPr>
        <w:spacing w:line="560" w:lineRule="exact"/>
        <w:ind w:firstLine="640" w:firstLineChars="200"/>
        <w:contextualSpacing/>
        <w:rPr>
          <w:rFonts w:ascii="Times New Roman" w:hAnsi="Times New Roman"/>
        </w:rPr>
      </w:pPr>
      <w:r>
        <w:rPr>
          <w:rFonts w:hint="eastAsia" w:ascii="仿宋_GB2312" w:hAnsi="仿宋" w:cs="仿宋"/>
        </w:rPr>
        <w:t>“十五五”期间，经过继续努力，2030年前实现碳达峰。展望到2035年，全市能源革命、能源高质量发展取得决定性进展，能源结构调整目标基本实现，清洁能源成为能源供应主体，化石能源基本实现清洁高效利用；能源生产消费模式得到根本性转变，碳排放达峰后稳中有降，能源与生态环境实现和谐发展；清洁低碳、安全可靠的现代能源体系基本形成，有效支撑我市省域副中心城市及区域创新高地、经济高地、开放高地、文化高地、生态高地建设。</w:t>
      </w:r>
    </w:p>
    <w:tbl>
      <w:tblPr>
        <w:tblStyle w:val="26"/>
        <w:tblW w:w="8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5"/>
        <w:gridCol w:w="2979"/>
        <w:gridCol w:w="993"/>
        <w:gridCol w:w="1030"/>
        <w:gridCol w:w="1029"/>
        <w:gridCol w:w="874"/>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660" w:type="dxa"/>
            <w:gridSpan w:val="7"/>
            <w:vAlign w:val="center"/>
          </w:tcPr>
          <w:p>
            <w:pPr>
              <w:spacing w:line="340" w:lineRule="exact"/>
              <w:contextualSpacing/>
              <w:jc w:val="center"/>
              <w:rPr>
                <w:rFonts w:ascii="仿宋_GB2312" w:hAnsi="Times New Roman"/>
                <w:sz w:val="28"/>
                <w:szCs w:val="28"/>
              </w:rPr>
            </w:pPr>
            <w:r>
              <w:rPr>
                <w:rFonts w:hint="eastAsia" w:ascii="黑体" w:hAnsi="黑体" w:eastAsia="黑体" w:cs="黑体"/>
                <w:bCs/>
                <w:sz w:val="28"/>
                <w:szCs w:val="28"/>
              </w:rPr>
              <w:t>“十四五”能源发展主要目标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85"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目标</w:t>
            </w:r>
          </w:p>
        </w:tc>
        <w:tc>
          <w:tcPr>
            <w:tcW w:w="2979"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指标</w:t>
            </w:r>
          </w:p>
        </w:tc>
        <w:tc>
          <w:tcPr>
            <w:tcW w:w="993"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单位</w:t>
            </w:r>
          </w:p>
        </w:tc>
        <w:tc>
          <w:tcPr>
            <w:tcW w:w="1030"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2020年</w:t>
            </w:r>
          </w:p>
        </w:tc>
        <w:tc>
          <w:tcPr>
            <w:tcW w:w="1029"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2025年</w:t>
            </w:r>
          </w:p>
        </w:tc>
        <w:tc>
          <w:tcPr>
            <w:tcW w:w="874"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累计增长</w:t>
            </w:r>
          </w:p>
        </w:tc>
        <w:tc>
          <w:tcPr>
            <w:tcW w:w="970"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85" w:type="dxa"/>
            <w:vMerge w:val="restart"/>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能源安全保障</w:t>
            </w:r>
          </w:p>
        </w:tc>
        <w:tc>
          <w:tcPr>
            <w:tcW w:w="2979"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电力装机总量</w:t>
            </w:r>
          </w:p>
        </w:tc>
        <w:tc>
          <w:tcPr>
            <w:tcW w:w="993"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万千瓦</w:t>
            </w:r>
          </w:p>
        </w:tc>
        <w:tc>
          <w:tcPr>
            <w:tcW w:w="1030"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639.8</w:t>
            </w:r>
          </w:p>
        </w:tc>
        <w:tc>
          <w:tcPr>
            <w:tcW w:w="1029"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1100</w:t>
            </w:r>
          </w:p>
        </w:tc>
        <w:tc>
          <w:tcPr>
            <w:tcW w:w="874"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460.2</w:t>
            </w:r>
          </w:p>
        </w:tc>
        <w:tc>
          <w:tcPr>
            <w:tcW w:w="970"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85" w:type="dxa"/>
            <w:vMerge w:val="continue"/>
            <w:vAlign w:val="center"/>
          </w:tcPr>
          <w:p>
            <w:pPr>
              <w:spacing w:line="340" w:lineRule="exact"/>
              <w:contextualSpacing/>
              <w:jc w:val="center"/>
              <w:rPr>
                <w:rFonts w:ascii="仿宋_GB2312" w:hAnsi="仿宋" w:cs="仿宋"/>
                <w:sz w:val="24"/>
                <w:szCs w:val="24"/>
              </w:rPr>
            </w:pPr>
          </w:p>
        </w:tc>
        <w:tc>
          <w:tcPr>
            <w:tcW w:w="2979"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储气能力占天然气消费比重</w:t>
            </w:r>
          </w:p>
        </w:tc>
        <w:tc>
          <w:tcPr>
            <w:tcW w:w="993"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w:t>
            </w:r>
          </w:p>
        </w:tc>
        <w:tc>
          <w:tcPr>
            <w:tcW w:w="1030"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3</w:t>
            </w:r>
          </w:p>
        </w:tc>
        <w:tc>
          <w:tcPr>
            <w:tcW w:w="1029"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3.6</w:t>
            </w:r>
          </w:p>
        </w:tc>
        <w:tc>
          <w:tcPr>
            <w:tcW w:w="874"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0.6</w:t>
            </w:r>
          </w:p>
        </w:tc>
        <w:tc>
          <w:tcPr>
            <w:tcW w:w="970"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85" w:type="dxa"/>
            <w:vMerge w:val="continue"/>
            <w:vAlign w:val="center"/>
          </w:tcPr>
          <w:p>
            <w:pPr>
              <w:spacing w:line="340" w:lineRule="exact"/>
              <w:contextualSpacing/>
              <w:jc w:val="center"/>
              <w:rPr>
                <w:rFonts w:ascii="仿宋_GB2312" w:hAnsi="仿宋" w:cs="仿宋"/>
                <w:sz w:val="24"/>
                <w:szCs w:val="24"/>
              </w:rPr>
            </w:pPr>
          </w:p>
        </w:tc>
        <w:tc>
          <w:tcPr>
            <w:tcW w:w="2979"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煤炭储备能力占年消费量比重</w:t>
            </w:r>
          </w:p>
        </w:tc>
        <w:tc>
          <w:tcPr>
            <w:tcW w:w="993"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w:t>
            </w:r>
          </w:p>
        </w:tc>
        <w:tc>
          <w:tcPr>
            <w:tcW w:w="1030"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11.4</w:t>
            </w:r>
          </w:p>
        </w:tc>
        <w:tc>
          <w:tcPr>
            <w:tcW w:w="1029"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24.97</w:t>
            </w:r>
          </w:p>
        </w:tc>
        <w:tc>
          <w:tcPr>
            <w:tcW w:w="874"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13.57</w:t>
            </w:r>
          </w:p>
        </w:tc>
        <w:tc>
          <w:tcPr>
            <w:tcW w:w="970"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85" w:type="dxa"/>
            <w:vMerge w:val="restart"/>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能源结构优化</w:t>
            </w:r>
          </w:p>
        </w:tc>
        <w:tc>
          <w:tcPr>
            <w:tcW w:w="2979"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单位地区生产总值能源消耗降低</w:t>
            </w:r>
          </w:p>
        </w:tc>
        <w:tc>
          <w:tcPr>
            <w:tcW w:w="993"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w:t>
            </w:r>
          </w:p>
        </w:tc>
        <w:tc>
          <w:tcPr>
            <w:tcW w:w="1030"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w:t>
            </w:r>
          </w:p>
        </w:tc>
        <w:tc>
          <w:tcPr>
            <w:tcW w:w="1029"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w:t>
            </w:r>
          </w:p>
        </w:tc>
        <w:tc>
          <w:tcPr>
            <w:tcW w:w="874"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-14</w:t>
            </w:r>
          </w:p>
        </w:tc>
        <w:tc>
          <w:tcPr>
            <w:tcW w:w="970"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85" w:type="dxa"/>
            <w:vMerge w:val="continue"/>
            <w:vAlign w:val="center"/>
          </w:tcPr>
          <w:p>
            <w:pPr>
              <w:spacing w:line="340" w:lineRule="exact"/>
              <w:contextualSpacing/>
              <w:jc w:val="center"/>
              <w:rPr>
                <w:rFonts w:ascii="仿宋_GB2312" w:hAnsi="仿宋" w:cs="仿宋"/>
                <w:sz w:val="24"/>
                <w:szCs w:val="24"/>
              </w:rPr>
            </w:pPr>
          </w:p>
        </w:tc>
        <w:tc>
          <w:tcPr>
            <w:tcW w:w="2979"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非化石能源消费比重</w:t>
            </w:r>
          </w:p>
        </w:tc>
        <w:tc>
          <w:tcPr>
            <w:tcW w:w="993"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w:t>
            </w:r>
          </w:p>
        </w:tc>
        <w:tc>
          <w:tcPr>
            <w:tcW w:w="1030"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12.3</w:t>
            </w:r>
          </w:p>
        </w:tc>
        <w:tc>
          <w:tcPr>
            <w:tcW w:w="1029"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16</w:t>
            </w:r>
          </w:p>
        </w:tc>
        <w:tc>
          <w:tcPr>
            <w:tcW w:w="874"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3.7</w:t>
            </w:r>
          </w:p>
        </w:tc>
        <w:tc>
          <w:tcPr>
            <w:tcW w:w="970"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85" w:type="dxa"/>
            <w:vMerge w:val="continue"/>
            <w:vAlign w:val="center"/>
          </w:tcPr>
          <w:p>
            <w:pPr>
              <w:spacing w:line="340" w:lineRule="exact"/>
              <w:contextualSpacing/>
              <w:jc w:val="center"/>
              <w:rPr>
                <w:rFonts w:ascii="仿宋_GB2312" w:hAnsi="仿宋" w:cs="仿宋"/>
                <w:sz w:val="24"/>
                <w:szCs w:val="24"/>
              </w:rPr>
            </w:pPr>
          </w:p>
        </w:tc>
        <w:tc>
          <w:tcPr>
            <w:tcW w:w="2979"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非化石能源电力装机比重</w:t>
            </w:r>
          </w:p>
        </w:tc>
        <w:tc>
          <w:tcPr>
            <w:tcW w:w="993"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w:t>
            </w:r>
          </w:p>
        </w:tc>
        <w:tc>
          <w:tcPr>
            <w:tcW w:w="1030"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45.4</w:t>
            </w:r>
          </w:p>
        </w:tc>
        <w:tc>
          <w:tcPr>
            <w:tcW w:w="1029"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59.1</w:t>
            </w:r>
          </w:p>
        </w:tc>
        <w:tc>
          <w:tcPr>
            <w:tcW w:w="874"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13.7</w:t>
            </w:r>
          </w:p>
        </w:tc>
        <w:tc>
          <w:tcPr>
            <w:tcW w:w="970" w:type="dxa"/>
            <w:vAlign w:val="center"/>
          </w:tcPr>
          <w:p>
            <w:pPr>
              <w:spacing w:line="340" w:lineRule="exact"/>
              <w:contextualSpacing/>
              <w:jc w:val="center"/>
              <w:rPr>
                <w:rFonts w:ascii="仿宋_GB2312" w:hAnsi="仿宋" w:cs="仿宋"/>
                <w:sz w:val="24"/>
                <w:szCs w:val="24"/>
              </w:rPr>
            </w:pPr>
            <w:r>
              <w:rPr>
                <w:rFonts w:hint="eastAsia" w:ascii="仿宋_GB2312" w:hAnsi="仿宋" w:cs="仿宋"/>
                <w:sz w:val="24"/>
                <w:szCs w:val="24"/>
              </w:rPr>
              <w:t>预期性</w:t>
            </w:r>
          </w:p>
        </w:tc>
      </w:tr>
    </w:tbl>
    <w:p>
      <w:pPr>
        <w:pStyle w:val="58"/>
        <w:spacing w:line="560" w:lineRule="exact"/>
        <w:ind w:left="630" w:firstLine="0" w:firstLineChars="0"/>
        <w:contextualSpacing/>
        <w:jc w:val="center"/>
        <w:outlineLvl w:val="0"/>
        <w:rPr>
          <w:rFonts w:ascii="黑体" w:hAnsi="黑体" w:eastAsia="黑体" w:cs="黑体"/>
          <w:sz w:val="32"/>
          <w:szCs w:val="32"/>
        </w:rPr>
      </w:pPr>
      <w:bookmarkStart w:id="491" w:name="_Toc5089"/>
      <w:bookmarkStart w:id="492" w:name="_Toc1409"/>
      <w:bookmarkStart w:id="493" w:name="_Toc21838"/>
      <w:bookmarkStart w:id="494" w:name="_Toc17308"/>
      <w:bookmarkStart w:id="495" w:name="_Toc16492"/>
      <w:bookmarkStart w:id="496" w:name="_Toc19052"/>
      <w:bookmarkStart w:id="497" w:name="_Toc8560"/>
      <w:bookmarkStart w:id="498" w:name="_Toc29079"/>
      <w:r>
        <w:rPr>
          <w:rFonts w:hint="eastAsia" w:ascii="黑体" w:hAnsi="黑体" w:eastAsia="黑体" w:cs="黑体"/>
          <w:sz w:val="32"/>
          <w:szCs w:val="32"/>
        </w:rPr>
        <w:t>第三章 积极推动能源绿色低碳转型</w:t>
      </w:r>
      <w:bookmarkEnd w:id="491"/>
      <w:bookmarkEnd w:id="492"/>
      <w:bookmarkEnd w:id="493"/>
      <w:bookmarkEnd w:id="494"/>
      <w:bookmarkEnd w:id="495"/>
      <w:bookmarkEnd w:id="496"/>
      <w:bookmarkEnd w:id="497"/>
      <w:bookmarkEnd w:id="498"/>
    </w:p>
    <w:p>
      <w:pPr>
        <w:spacing w:line="560" w:lineRule="exact"/>
        <w:ind w:firstLine="640" w:firstLineChars="200"/>
        <w:contextualSpacing/>
        <w:rPr>
          <w:rFonts w:ascii="仿宋_GB2312" w:hAnsi="仿宋" w:cs="仿宋"/>
        </w:rPr>
      </w:pPr>
      <w:r>
        <w:rPr>
          <w:rFonts w:hint="eastAsia" w:ascii="仿宋_GB2312" w:hAnsi="仿宋" w:cs="仿宋"/>
        </w:rPr>
        <w:t>持续推进能源供给侧结构性改革，积极发展风电、光伏发电等新能源，着力提升煤炭、油气等传统能源清洁低碳开发利用水平，积极推动非化石能源替代化石能源、天然气等低碳化石能源替代煤炭等高碳化石能源，加快形成绿色低碳的能源供应格局。</w:t>
      </w:r>
    </w:p>
    <w:p>
      <w:pPr>
        <w:pStyle w:val="58"/>
        <w:spacing w:line="560" w:lineRule="exact"/>
        <w:ind w:firstLine="0" w:firstLineChars="0"/>
        <w:contextualSpacing/>
        <w:jc w:val="center"/>
        <w:outlineLvl w:val="1"/>
        <w:rPr>
          <w:rFonts w:ascii="楷体" w:hAnsi="楷体" w:eastAsia="楷体" w:cs="楷体"/>
          <w:bCs/>
          <w:sz w:val="32"/>
          <w:szCs w:val="32"/>
        </w:rPr>
      </w:pPr>
      <w:bookmarkStart w:id="499" w:name="_Toc22978"/>
      <w:bookmarkStart w:id="500" w:name="_Toc24043"/>
      <w:bookmarkStart w:id="501" w:name="_Toc8611"/>
      <w:bookmarkStart w:id="502" w:name="_Toc13244"/>
      <w:bookmarkStart w:id="503" w:name="_Toc29983"/>
      <w:bookmarkStart w:id="504" w:name="_Toc18580"/>
      <w:bookmarkStart w:id="505" w:name="_Toc31726"/>
      <w:bookmarkStart w:id="506" w:name="_Toc5943"/>
      <w:r>
        <w:rPr>
          <w:rFonts w:hint="eastAsia" w:ascii="楷体" w:hAnsi="楷体" w:eastAsia="楷体" w:cs="楷体"/>
          <w:bCs/>
          <w:sz w:val="32"/>
          <w:szCs w:val="32"/>
        </w:rPr>
        <w:t>第一节 加快非化石能源发展</w:t>
      </w:r>
      <w:bookmarkEnd w:id="499"/>
      <w:bookmarkEnd w:id="500"/>
      <w:bookmarkEnd w:id="501"/>
      <w:bookmarkEnd w:id="502"/>
      <w:bookmarkEnd w:id="503"/>
      <w:bookmarkEnd w:id="504"/>
      <w:bookmarkEnd w:id="505"/>
      <w:bookmarkEnd w:id="506"/>
    </w:p>
    <w:p>
      <w:pPr>
        <w:spacing w:line="560" w:lineRule="exact"/>
        <w:ind w:firstLine="640" w:firstLineChars="200"/>
        <w:contextualSpacing/>
        <w:rPr>
          <w:rFonts w:ascii="仿宋_GB2312" w:hAnsi="仿宋" w:cs="仿宋"/>
        </w:rPr>
      </w:pPr>
      <w:r>
        <w:rPr>
          <w:rFonts w:hint="eastAsia" w:ascii="仿宋_GB2312" w:hAnsi="仿宋" w:cs="仿宋"/>
        </w:rPr>
        <w:t>以光伏发电、风电为重点，以生物质、抽水蓄能、地热能、氢能等为补充，因地制宜推动可再生能源多元化、协同化发展。到2025年，建成千万千瓦级电源基地。其中，可再生能源发电装机容量达到650万千瓦以上。</w:t>
      </w:r>
    </w:p>
    <w:p>
      <w:pPr>
        <w:spacing w:line="560" w:lineRule="exact"/>
        <w:ind w:firstLine="640" w:firstLineChars="200"/>
        <w:contextualSpacing/>
        <w:outlineLvl w:val="2"/>
        <w:rPr>
          <w:rFonts w:ascii="仿宋_GB2312" w:hAnsi="仿宋" w:cs="仿宋"/>
        </w:rPr>
      </w:pPr>
      <w:bookmarkStart w:id="507" w:name="_Toc3538"/>
      <w:bookmarkStart w:id="508" w:name="_Toc18592"/>
      <w:bookmarkStart w:id="509" w:name="_Toc28614"/>
      <w:bookmarkStart w:id="510" w:name="_Toc11647"/>
      <w:r>
        <w:rPr>
          <w:rFonts w:hint="eastAsia" w:ascii="仿宋_GB2312" w:hAnsi="仿宋" w:cs="仿宋"/>
          <w:bCs/>
        </w:rPr>
        <w:t>1.风电项目建设</w:t>
      </w:r>
      <w:bookmarkEnd w:id="507"/>
      <w:bookmarkEnd w:id="508"/>
      <w:bookmarkEnd w:id="509"/>
      <w:bookmarkEnd w:id="510"/>
      <w:r>
        <w:rPr>
          <w:rFonts w:hint="eastAsia" w:ascii="仿宋_GB2312" w:hAnsi="仿宋" w:cs="仿宋"/>
          <w:bCs/>
        </w:rPr>
        <w:t>。</w:t>
      </w:r>
      <w:r>
        <w:rPr>
          <w:rFonts w:hint="eastAsia" w:ascii="仿宋_GB2312" w:hAnsi="仿宋" w:cs="仿宋"/>
        </w:rPr>
        <w:t>“十四五”期间，有序推动我市风能资源开发，助力千万千瓦电源基地建设。依托南召县、方城县、唐河县、社旗县、桐柏县等区域优质风电资源，规划建设一批高质量风电基地项目，优先支持“源网荷储一体化”“存量火电+风电互补”“风电+高比例储能”“风电+制氢”等示范项目建设。因地制宜开发建设分散式风电项目，在电力负荷集中、电力接入条件好的地区，探索土地资源集约节约利用，助力乡村振兴。开展存量风电项目技术改造升级试点。到2025年，风电装机达到260万千瓦以上。</w:t>
      </w:r>
    </w:p>
    <w:p>
      <w:pPr>
        <w:spacing w:line="560" w:lineRule="exact"/>
        <w:ind w:firstLine="640" w:firstLineChars="200"/>
        <w:contextualSpacing/>
        <w:outlineLvl w:val="2"/>
        <w:rPr>
          <w:rFonts w:ascii="仿宋_GB2312" w:hAnsi="仿宋" w:cs="仿宋"/>
        </w:rPr>
      </w:pPr>
      <w:bookmarkStart w:id="511" w:name="_Toc21975"/>
      <w:bookmarkStart w:id="512" w:name="_Toc24437"/>
      <w:bookmarkStart w:id="513" w:name="_Toc6435"/>
      <w:bookmarkStart w:id="514" w:name="_Toc25216"/>
      <w:r>
        <w:rPr>
          <w:rFonts w:hint="eastAsia" w:ascii="仿宋_GB2312" w:hAnsi="仿宋" w:cs="仿宋"/>
          <w:bCs/>
        </w:rPr>
        <w:t>2.光伏发电项目建设</w:t>
      </w:r>
      <w:bookmarkEnd w:id="511"/>
      <w:bookmarkEnd w:id="512"/>
      <w:bookmarkEnd w:id="513"/>
      <w:bookmarkEnd w:id="514"/>
      <w:r>
        <w:rPr>
          <w:rFonts w:hint="eastAsia" w:ascii="仿宋_GB2312" w:hAnsi="仿宋" w:cs="仿宋"/>
          <w:bCs/>
        </w:rPr>
        <w:t>。</w:t>
      </w:r>
      <w:r>
        <w:rPr>
          <w:rFonts w:hint="eastAsia" w:ascii="仿宋_GB2312" w:hAnsi="仿宋" w:cs="仿宋"/>
        </w:rPr>
        <w:t>坚持集中式和分布式并举，大力发展光伏发电。结合南水北调中线工程渠首石漠化治理，重点打造高标准光伏基地。支持“光伏+高比例储能”“风光火储一体化”“光伏+制氢”等项目建设。支持“光伏+农业”“光伏+渔业”等发展模式，因地制宜发展“光伏+”集中式电站。加快屋顶光伏整县（区）推进，同时鼓励利用开发区、商业楼宇、大型公共建筑屋顶发展分布式光伏发电，探索光伏建筑一体化示范。推动光伏发电与市政工程、交通、5G通信、新能源汽车充电设施等领域高效融合，优先支持“自发自用”型分布式光伏发电。到2025年，光伏发电装机容量达到230万千瓦以上。</w:t>
      </w:r>
    </w:p>
    <w:p>
      <w:pPr>
        <w:spacing w:line="560" w:lineRule="exact"/>
        <w:ind w:firstLine="640" w:firstLineChars="200"/>
        <w:contextualSpacing/>
        <w:outlineLvl w:val="2"/>
        <w:rPr>
          <w:rFonts w:ascii="仿宋_GB2312" w:hAnsi="仿宋" w:cs="仿宋"/>
        </w:rPr>
      </w:pPr>
      <w:bookmarkStart w:id="515" w:name="_Toc28470"/>
      <w:bookmarkStart w:id="516" w:name="_Toc16750"/>
      <w:bookmarkStart w:id="517" w:name="_Toc7520"/>
      <w:bookmarkStart w:id="518" w:name="_Toc18409"/>
      <w:r>
        <w:rPr>
          <w:rFonts w:hint="eastAsia" w:ascii="仿宋_GB2312" w:hAnsi="仿宋" w:cs="仿宋"/>
          <w:bCs/>
        </w:rPr>
        <w:t>3.生物质能利用项目建设</w:t>
      </w:r>
      <w:bookmarkEnd w:id="515"/>
      <w:bookmarkEnd w:id="516"/>
      <w:bookmarkEnd w:id="517"/>
      <w:bookmarkEnd w:id="518"/>
      <w:r>
        <w:rPr>
          <w:rFonts w:hint="eastAsia" w:ascii="仿宋_GB2312" w:hAnsi="仿宋" w:cs="仿宋"/>
          <w:bCs/>
        </w:rPr>
        <w:t>。</w:t>
      </w:r>
      <w:r>
        <w:rPr>
          <w:rFonts w:hint="eastAsia" w:ascii="仿宋_GB2312" w:hAnsi="仿宋" w:cs="仿宋"/>
        </w:rPr>
        <w:t>依托资源优势、产业优势和技术条件，按照因地制宜、清洁高效的原则，建立健全资源收集、加工转化、就近利用的生产消费体系。有序推进生物质热电联产项目建设，鼓励现有农林生物质电厂实施供热改造，稳步推进生物质能热电联产项目。稳定燃料乙醇生产供应，稳步发展非粮液体生物燃料、成型燃料，提高生物质能利用效率和效益，改善农村生产生活环境。到2025年，生物质发电装机达到20万千瓦以上。</w:t>
      </w:r>
    </w:p>
    <w:p>
      <w:pPr>
        <w:spacing w:line="560" w:lineRule="exact"/>
        <w:ind w:firstLine="640" w:firstLineChars="200"/>
        <w:contextualSpacing/>
        <w:outlineLvl w:val="2"/>
        <w:rPr>
          <w:rFonts w:ascii="仿宋_GB2312" w:hAnsi="仿宋" w:cs="仿宋"/>
        </w:rPr>
      </w:pPr>
      <w:bookmarkStart w:id="519" w:name="_Toc1663"/>
      <w:bookmarkStart w:id="520" w:name="_Toc8925"/>
      <w:bookmarkStart w:id="521" w:name="_Toc8756"/>
      <w:bookmarkStart w:id="522" w:name="_Toc27358"/>
      <w:r>
        <w:rPr>
          <w:rFonts w:hint="eastAsia" w:ascii="仿宋_GB2312" w:hAnsi="仿宋" w:cs="仿宋"/>
          <w:bCs/>
        </w:rPr>
        <w:t>4.抽水蓄能电站项目建设</w:t>
      </w:r>
      <w:bookmarkEnd w:id="519"/>
      <w:bookmarkEnd w:id="520"/>
      <w:bookmarkEnd w:id="521"/>
      <w:bookmarkEnd w:id="522"/>
      <w:r>
        <w:rPr>
          <w:rFonts w:hint="eastAsia" w:ascii="仿宋_GB2312" w:hAnsi="仿宋" w:cs="仿宋"/>
          <w:bCs/>
        </w:rPr>
        <w:t>。</w:t>
      </w:r>
      <w:r>
        <w:rPr>
          <w:rFonts w:hint="eastAsia" w:ascii="仿宋_GB2312" w:hAnsi="仿宋" w:cs="仿宋"/>
        </w:rPr>
        <w:t>稳步推进河南天池抽水蓄能一期工程建设，实现如期建成并网。有序推进天池抽水蓄能电站项目二期前期工作，并在西峡县、内乡县、南召县、桐柏县等区域进行抽水蓄能电站资源普查，条件成熟的争取进入河南省相关规划。到2025年，抽水蓄能及小水电装机达到140万千瓦以上。</w:t>
      </w:r>
    </w:p>
    <w:p>
      <w:pPr>
        <w:spacing w:line="560" w:lineRule="exact"/>
        <w:ind w:firstLine="640" w:firstLineChars="200"/>
        <w:contextualSpacing/>
        <w:outlineLvl w:val="2"/>
      </w:pPr>
      <w:bookmarkStart w:id="523" w:name="_Toc14374"/>
      <w:bookmarkStart w:id="524" w:name="_Toc9390"/>
      <w:bookmarkStart w:id="525" w:name="_Toc29366"/>
      <w:bookmarkStart w:id="526" w:name="_Toc9833"/>
      <w:r>
        <w:rPr>
          <w:rFonts w:hint="eastAsia" w:ascii="仿宋_GB2312" w:hAnsi="仿宋" w:cs="仿宋"/>
          <w:bCs/>
        </w:rPr>
        <w:t>5.地热能项目建设</w:t>
      </w:r>
      <w:bookmarkEnd w:id="523"/>
      <w:bookmarkEnd w:id="524"/>
      <w:bookmarkEnd w:id="525"/>
      <w:bookmarkEnd w:id="526"/>
      <w:r>
        <w:rPr>
          <w:rFonts w:hint="eastAsia" w:ascii="仿宋_GB2312" w:hAnsi="仿宋" w:cs="仿宋"/>
          <w:bCs/>
        </w:rPr>
        <w:t>。</w:t>
      </w:r>
      <w:r>
        <w:rPr>
          <w:rFonts w:hint="eastAsia" w:ascii="仿宋_GB2312" w:hAnsi="仿宋" w:cs="仿宋"/>
        </w:rPr>
        <w:t>加大地热资源勘查评价力度。按照“以灌定采、集约开发、加强监管、注重环保”的原则，稳妥推进全市地热能开发利用。引入地热能开发实力雄厚的公司，在中心城区、唐河县、新野县、南召县等地实施地热能供暖。到2025年，新增地热能供暖能力200万平米以上。</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jc w:val="center"/>
        </w:trPr>
        <w:tc>
          <w:tcPr>
            <w:tcW w:w="8522" w:type="dxa"/>
          </w:tcPr>
          <w:p>
            <w:pPr>
              <w:spacing w:line="400" w:lineRule="exact"/>
              <w:contextualSpacing/>
              <w:jc w:val="center"/>
              <w:rPr>
                <w:rFonts w:ascii="Times New Roman" w:hAnsi="Times New Roman"/>
                <w:sz w:val="30"/>
                <w:szCs w:val="30"/>
              </w:rPr>
            </w:pPr>
            <w:r>
              <w:rPr>
                <w:rFonts w:hint="eastAsia" w:ascii="黑体" w:hAnsi="黑体" w:eastAsia="黑体" w:cs="黑体"/>
                <w:bCs/>
                <w:sz w:val="28"/>
                <w:szCs w:val="28"/>
              </w:rPr>
              <w:t>专栏1：非化石能源领域重大工程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8522" w:type="dxa"/>
          </w:tcPr>
          <w:p>
            <w:pPr>
              <w:spacing w:line="400" w:lineRule="exact"/>
              <w:ind w:firstLine="480" w:firstLineChars="200"/>
              <w:contextualSpacing/>
              <w:rPr>
                <w:rFonts w:ascii="仿宋" w:hAnsi="仿宋" w:eastAsia="仿宋" w:cs="仿宋"/>
                <w:sz w:val="24"/>
                <w:szCs w:val="24"/>
              </w:rPr>
            </w:pPr>
            <w:r>
              <w:rPr>
                <w:rFonts w:hint="eastAsia" w:ascii="楷体" w:hAnsi="楷体" w:eastAsia="楷体" w:cs="楷体"/>
                <w:bCs/>
                <w:sz w:val="24"/>
                <w:szCs w:val="24"/>
              </w:rPr>
              <w:t>风电基地工程。</w:t>
            </w:r>
            <w:r>
              <w:rPr>
                <w:rFonts w:hint="eastAsia" w:ascii="仿宋" w:hAnsi="仿宋" w:eastAsia="仿宋" w:cs="仿宋"/>
                <w:sz w:val="24"/>
                <w:szCs w:val="24"/>
              </w:rPr>
              <w:t>依托南召县、方城县、唐河县、社旗县、桐柏县等区域优质风电资源，规划建设一批高质量风电基地项目。</w:t>
            </w:r>
          </w:p>
          <w:p>
            <w:pPr>
              <w:spacing w:line="400" w:lineRule="exact"/>
              <w:ind w:firstLine="480" w:firstLineChars="200"/>
              <w:contextualSpacing/>
              <w:rPr>
                <w:rFonts w:ascii="仿宋" w:hAnsi="仿宋" w:eastAsia="仿宋" w:cs="仿宋"/>
                <w:sz w:val="24"/>
                <w:szCs w:val="24"/>
              </w:rPr>
            </w:pPr>
            <w:r>
              <w:rPr>
                <w:rFonts w:hint="eastAsia" w:ascii="楷体" w:hAnsi="楷体" w:eastAsia="楷体" w:cs="楷体"/>
                <w:bCs/>
                <w:sz w:val="24"/>
                <w:szCs w:val="24"/>
              </w:rPr>
              <w:t>光伏基地工程。</w:t>
            </w:r>
            <w:r>
              <w:rPr>
                <w:rFonts w:hint="eastAsia" w:ascii="仿宋" w:hAnsi="仿宋" w:eastAsia="仿宋" w:cs="仿宋"/>
                <w:sz w:val="24"/>
                <w:szCs w:val="24"/>
              </w:rPr>
              <w:t>推进淅川县、内乡县、镇平县等区域南水北调中线工程渠首石漠化治理光伏基地项目，开展光伏+渔业、农业、储能等项目建设。</w:t>
            </w:r>
          </w:p>
          <w:p>
            <w:pPr>
              <w:spacing w:line="400" w:lineRule="exact"/>
              <w:ind w:firstLine="480" w:firstLineChars="200"/>
              <w:contextualSpacing/>
              <w:rPr>
                <w:rFonts w:ascii="仿宋" w:hAnsi="仿宋" w:eastAsia="仿宋" w:cs="仿宋"/>
                <w:sz w:val="24"/>
                <w:szCs w:val="24"/>
              </w:rPr>
            </w:pPr>
            <w:r>
              <w:rPr>
                <w:rFonts w:hint="eastAsia" w:ascii="楷体" w:hAnsi="楷体" w:eastAsia="楷体" w:cs="楷体"/>
                <w:bCs/>
                <w:sz w:val="24"/>
                <w:szCs w:val="24"/>
              </w:rPr>
              <w:t>抽水蓄能电站工程。</w:t>
            </w:r>
            <w:r>
              <w:rPr>
                <w:rFonts w:hint="eastAsia" w:ascii="仿宋" w:hAnsi="仿宋" w:eastAsia="仿宋" w:cs="仿宋"/>
                <w:sz w:val="24"/>
                <w:szCs w:val="24"/>
              </w:rPr>
              <w:t>稳步推进河南天池抽水蓄能电站一期工程建设、如期并网，有序推进天池抽水蓄能电站二期工程前期工作。</w:t>
            </w:r>
          </w:p>
          <w:p>
            <w:pPr>
              <w:spacing w:line="400" w:lineRule="exact"/>
              <w:ind w:firstLine="480" w:firstLineChars="200"/>
              <w:contextualSpacing/>
              <w:rPr>
                <w:rFonts w:ascii="仿宋" w:hAnsi="仿宋" w:eastAsia="仿宋" w:cs="仿宋"/>
                <w:sz w:val="24"/>
                <w:szCs w:val="24"/>
              </w:rPr>
            </w:pPr>
            <w:r>
              <w:rPr>
                <w:rFonts w:hint="eastAsia" w:ascii="楷体" w:hAnsi="楷体" w:eastAsia="楷体" w:cs="楷体"/>
                <w:bCs/>
                <w:sz w:val="24"/>
                <w:szCs w:val="24"/>
              </w:rPr>
              <w:t>生物质发电工程。</w:t>
            </w:r>
            <w:r>
              <w:rPr>
                <w:rFonts w:hint="eastAsia" w:ascii="仿宋" w:hAnsi="仿宋" w:eastAsia="仿宋" w:cs="仿宋"/>
                <w:sz w:val="24"/>
                <w:szCs w:val="24"/>
              </w:rPr>
              <w:t>推进淅川县等生物质能热电联产项目，实现按规划范围供热。</w:t>
            </w:r>
          </w:p>
          <w:p>
            <w:pPr>
              <w:spacing w:line="400" w:lineRule="exact"/>
              <w:ind w:firstLine="480" w:firstLineChars="200"/>
              <w:contextualSpacing/>
              <w:rPr>
                <w:rFonts w:ascii="Times New Roman" w:hAnsi="Times New Roman"/>
                <w:sz w:val="30"/>
                <w:szCs w:val="30"/>
              </w:rPr>
            </w:pPr>
            <w:r>
              <w:rPr>
                <w:rFonts w:hint="eastAsia" w:ascii="楷体" w:hAnsi="楷体" w:eastAsia="楷体" w:cs="楷体"/>
                <w:bCs/>
                <w:sz w:val="24"/>
                <w:szCs w:val="24"/>
              </w:rPr>
              <w:t>中深层地热供暖示范工程。</w:t>
            </w:r>
            <w:r>
              <w:rPr>
                <w:rFonts w:hint="eastAsia" w:ascii="仿宋" w:hAnsi="仿宋" w:eastAsia="仿宋" w:cs="仿宋"/>
                <w:sz w:val="24"/>
                <w:szCs w:val="24"/>
              </w:rPr>
              <w:t>推进在中心城区、唐河县、新野县、南召县等地实施中深层地热能供暖。</w:t>
            </w:r>
          </w:p>
        </w:tc>
      </w:tr>
    </w:tbl>
    <w:p>
      <w:pPr>
        <w:pStyle w:val="58"/>
        <w:spacing w:line="560" w:lineRule="exact"/>
        <w:ind w:firstLine="0" w:firstLineChars="0"/>
        <w:contextualSpacing/>
        <w:jc w:val="center"/>
        <w:outlineLvl w:val="1"/>
        <w:rPr>
          <w:rFonts w:ascii="楷体" w:hAnsi="楷体" w:eastAsia="楷体" w:cs="楷体"/>
          <w:bCs/>
          <w:sz w:val="32"/>
          <w:szCs w:val="32"/>
        </w:rPr>
      </w:pPr>
      <w:bookmarkStart w:id="527" w:name="_Toc6399"/>
      <w:bookmarkStart w:id="528" w:name="_Toc30862"/>
      <w:bookmarkStart w:id="529" w:name="_Toc5102"/>
      <w:bookmarkStart w:id="530" w:name="_Toc22617"/>
      <w:bookmarkStart w:id="531" w:name="_Toc4698"/>
      <w:bookmarkStart w:id="532" w:name="_Toc386"/>
      <w:bookmarkStart w:id="533" w:name="_Toc32279"/>
      <w:bookmarkStart w:id="534" w:name="_Toc24113"/>
      <w:r>
        <w:rPr>
          <w:rFonts w:hint="eastAsia" w:ascii="楷体" w:hAnsi="楷体" w:eastAsia="楷体" w:cs="楷体"/>
          <w:bCs/>
          <w:sz w:val="32"/>
          <w:szCs w:val="32"/>
        </w:rPr>
        <w:t>第二节 促进化石能源绿色转型</w:t>
      </w:r>
      <w:bookmarkEnd w:id="527"/>
      <w:bookmarkEnd w:id="528"/>
      <w:bookmarkEnd w:id="529"/>
      <w:bookmarkEnd w:id="530"/>
      <w:bookmarkEnd w:id="531"/>
      <w:bookmarkEnd w:id="532"/>
      <w:bookmarkEnd w:id="533"/>
      <w:bookmarkEnd w:id="534"/>
    </w:p>
    <w:p>
      <w:pPr>
        <w:spacing w:line="560" w:lineRule="exact"/>
        <w:ind w:firstLine="640" w:firstLineChars="200"/>
        <w:contextualSpacing/>
        <w:outlineLvl w:val="2"/>
        <w:rPr>
          <w:rFonts w:ascii="仿宋_GB2312" w:hAnsi="仿宋" w:cs="仿宋"/>
        </w:rPr>
      </w:pPr>
      <w:bookmarkStart w:id="535" w:name="_Toc1125"/>
      <w:bookmarkStart w:id="536" w:name="_Toc16293"/>
      <w:bookmarkStart w:id="537" w:name="_Toc27661"/>
      <w:bookmarkStart w:id="538" w:name="_Toc26747"/>
      <w:bookmarkStart w:id="539" w:name="_Toc28244"/>
      <w:r>
        <w:rPr>
          <w:rFonts w:hint="eastAsia" w:ascii="仿宋_GB2312" w:hAnsi="仿宋" w:cs="仿宋"/>
          <w:bCs/>
        </w:rPr>
        <w:t>1.加快火电结构优化升级</w:t>
      </w:r>
      <w:bookmarkEnd w:id="535"/>
      <w:bookmarkEnd w:id="536"/>
      <w:bookmarkEnd w:id="537"/>
      <w:bookmarkEnd w:id="538"/>
      <w:bookmarkEnd w:id="539"/>
      <w:r>
        <w:rPr>
          <w:rFonts w:hint="eastAsia" w:ascii="仿宋_GB2312" w:hAnsi="仿宋" w:cs="仿宋"/>
          <w:bCs/>
        </w:rPr>
        <w:t>。</w:t>
      </w:r>
      <w:r>
        <w:rPr>
          <w:rFonts w:hint="eastAsia" w:ascii="仿宋_GB2312" w:hAnsi="仿宋" w:cs="仿宋"/>
        </w:rPr>
        <w:t>优化煤电项目布局，持续优化调整存量煤电，淘汰落后和布局不合理煤电机组，有序关停整合30万千瓦以上热电联产机组供热合理半径范围内的落后燃煤小热电机组。在保障电力、热力可靠供应的前提下，实施煤电机组标杆引领行动，深化煤电行业节能降碳改造和灵活性改造。加强工业余热回收再利用，积极发展余热发电。</w:t>
      </w:r>
    </w:p>
    <w:p>
      <w:pPr>
        <w:spacing w:line="560" w:lineRule="exact"/>
        <w:ind w:firstLine="640" w:firstLineChars="200"/>
        <w:contextualSpacing/>
        <w:outlineLvl w:val="2"/>
        <w:rPr>
          <w:rFonts w:ascii="仿宋_GB2312" w:hAnsi="仿宋" w:cs="仿宋"/>
        </w:rPr>
      </w:pPr>
      <w:bookmarkStart w:id="540" w:name="_Toc8842"/>
      <w:bookmarkStart w:id="541" w:name="_Toc15240"/>
      <w:bookmarkStart w:id="542" w:name="_Toc32382"/>
      <w:bookmarkStart w:id="543" w:name="_Toc19207"/>
      <w:bookmarkStart w:id="544" w:name="_Toc30057"/>
      <w:r>
        <w:rPr>
          <w:rFonts w:hint="eastAsia" w:ascii="仿宋_GB2312" w:hAnsi="仿宋" w:cs="仿宋"/>
          <w:bCs/>
        </w:rPr>
        <w:t>2.充分挖掘油气生产潜力</w:t>
      </w:r>
      <w:bookmarkEnd w:id="540"/>
      <w:bookmarkEnd w:id="541"/>
      <w:bookmarkEnd w:id="542"/>
      <w:bookmarkEnd w:id="543"/>
      <w:bookmarkEnd w:id="544"/>
      <w:r>
        <w:rPr>
          <w:rFonts w:hint="eastAsia" w:ascii="仿宋_GB2312" w:hAnsi="仿宋" w:cs="仿宋"/>
          <w:bCs/>
        </w:rPr>
        <w:t>。</w:t>
      </w:r>
      <w:r>
        <w:rPr>
          <w:rFonts w:hint="eastAsia" w:ascii="仿宋_GB2312" w:hAnsi="仿宋" w:cs="仿宋"/>
        </w:rPr>
        <w:t>加大河南油田区块精细勘查力度，实施“控递减”和“提高采收率”工程，保障持续稳产。</w:t>
      </w:r>
    </w:p>
    <w:p>
      <w:pPr>
        <w:spacing w:line="560" w:lineRule="exact"/>
        <w:ind w:firstLine="640" w:firstLineChars="200"/>
        <w:contextualSpacing/>
        <w:outlineLvl w:val="2"/>
        <w:rPr>
          <w:rFonts w:ascii="仿宋_GB2312" w:hAnsi="仿宋" w:cs="仿宋"/>
        </w:rPr>
      </w:pPr>
      <w:bookmarkStart w:id="545" w:name="_Toc28954"/>
      <w:bookmarkStart w:id="546" w:name="_Toc8411"/>
      <w:bookmarkStart w:id="547" w:name="_Toc4201"/>
      <w:bookmarkStart w:id="548" w:name="_Toc20812"/>
      <w:bookmarkStart w:id="549" w:name="_Toc15069"/>
      <w:r>
        <w:rPr>
          <w:rFonts w:hint="eastAsia" w:ascii="仿宋_GB2312" w:hAnsi="仿宋" w:cs="仿宋"/>
          <w:bCs/>
        </w:rPr>
        <w:t>3.持续推进炼能优化</w:t>
      </w:r>
      <w:bookmarkEnd w:id="545"/>
      <w:bookmarkEnd w:id="546"/>
      <w:bookmarkEnd w:id="547"/>
      <w:bookmarkEnd w:id="548"/>
      <w:bookmarkEnd w:id="549"/>
      <w:r>
        <w:rPr>
          <w:rFonts w:hint="eastAsia" w:ascii="仿宋_GB2312" w:hAnsi="仿宋" w:cs="仿宋"/>
          <w:bCs/>
        </w:rPr>
        <w:t>。</w:t>
      </w:r>
      <w:r>
        <w:rPr>
          <w:rFonts w:hint="eastAsia" w:ascii="仿宋_GB2312" w:hAnsi="仿宋" w:cs="仿宋"/>
        </w:rPr>
        <w:t>支持特种石蜡生产基地建设，充分释放河南油田石蜡精细化工产能，提高石蜡高端产品质量，增强行业竞争力，推动特种蜡业集群链式发展，实现河南油田可持续发展，打造豫西南石油化工基地。</w:t>
      </w:r>
    </w:p>
    <w:p>
      <w:pPr>
        <w:pStyle w:val="58"/>
        <w:spacing w:line="560" w:lineRule="exact"/>
        <w:ind w:firstLine="0" w:firstLineChars="0"/>
        <w:contextualSpacing/>
        <w:jc w:val="center"/>
        <w:outlineLvl w:val="1"/>
        <w:rPr>
          <w:rFonts w:ascii="楷体" w:hAnsi="楷体" w:eastAsia="楷体" w:cs="楷体"/>
          <w:bCs/>
          <w:sz w:val="32"/>
          <w:szCs w:val="32"/>
        </w:rPr>
      </w:pPr>
      <w:bookmarkStart w:id="550" w:name="_Toc10498"/>
      <w:bookmarkStart w:id="551" w:name="_Toc7870"/>
      <w:bookmarkStart w:id="552" w:name="_Toc30691"/>
      <w:bookmarkStart w:id="553" w:name="_Toc17841"/>
      <w:bookmarkStart w:id="554" w:name="_Toc16543"/>
      <w:bookmarkStart w:id="555" w:name="_Toc26906"/>
      <w:bookmarkStart w:id="556" w:name="_Toc17786"/>
      <w:bookmarkStart w:id="557" w:name="_Toc28601"/>
      <w:r>
        <w:rPr>
          <w:rFonts w:hint="eastAsia" w:ascii="楷体" w:hAnsi="楷体" w:eastAsia="楷体" w:cs="楷体"/>
          <w:bCs/>
          <w:sz w:val="32"/>
          <w:szCs w:val="32"/>
        </w:rPr>
        <w:t>第三节 构建新型电力系统</w:t>
      </w:r>
      <w:bookmarkEnd w:id="550"/>
      <w:bookmarkEnd w:id="551"/>
      <w:bookmarkEnd w:id="552"/>
      <w:bookmarkEnd w:id="553"/>
      <w:bookmarkEnd w:id="554"/>
      <w:bookmarkEnd w:id="555"/>
      <w:bookmarkEnd w:id="556"/>
      <w:bookmarkEnd w:id="557"/>
    </w:p>
    <w:p>
      <w:pPr>
        <w:spacing w:line="560" w:lineRule="exact"/>
        <w:ind w:firstLine="640" w:firstLineChars="200"/>
        <w:contextualSpacing/>
        <w:outlineLvl w:val="2"/>
        <w:rPr>
          <w:rFonts w:ascii="仿宋_GB2312" w:hAnsi="仿宋" w:cs="仿宋"/>
        </w:rPr>
      </w:pPr>
      <w:bookmarkStart w:id="558" w:name="_Toc32259"/>
      <w:bookmarkStart w:id="559" w:name="_Toc25160"/>
      <w:bookmarkStart w:id="560" w:name="_Toc22003"/>
      <w:bookmarkStart w:id="561" w:name="_Toc21706"/>
      <w:bookmarkStart w:id="562" w:name="_Toc3226"/>
      <w:r>
        <w:rPr>
          <w:rFonts w:hint="eastAsia" w:ascii="仿宋_GB2312" w:hAnsi="仿宋_GB2312" w:cs="仿宋_GB2312"/>
        </w:rPr>
        <w:t>1.加强电力灵活调节能力建设</w:t>
      </w:r>
      <w:bookmarkEnd w:id="558"/>
      <w:bookmarkEnd w:id="559"/>
      <w:bookmarkEnd w:id="560"/>
      <w:bookmarkEnd w:id="561"/>
      <w:bookmarkEnd w:id="562"/>
      <w:r>
        <w:rPr>
          <w:rFonts w:hint="eastAsia" w:ascii="仿宋_GB2312" w:hAnsi="仿宋_GB2312" w:cs="仿宋_GB2312"/>
        </w:rPr>
        <w:t>。</w:t>
      </w:r>
      <w:r>
        <w:rPr>
          <w:rFonts w:hint="eastAsia" w:ascii="仿宋_GB2312" w:hAnsi="仿宋" w:cs="仿宋"/>
        </w:rPr>
        <w:t>稳步推进河南天池抽水蓄能一期工程建设，实现如期建成并网。有序推进河南天池抽水蓄能电站项目二期前期工作。全面推进火电机组灵活性改造，引导燃煤自备电厂调峰消纳可再生能源。推动新规划建设的风电、光伏发电项目配置储能设施，提高新能源消纳存储能力。</w:t>
      </w:r>
    </w:p>
    <w:p>
      <w:pPr>
        <w:spacing w:line="560" w:lineRule="exact"/>
        <w:ind w:firstLine="640" w:firstLineChars="200"/>
        <w:contextualSpacing/>
        <w:outlineLvl w:val="2"/>
        <w:rPr>
          <w:rFonts w:ascii="仿宋_GB2312" w:hAnsi="仿宋" w:cs="仿宋"/>
        </w:rPr>
      </w:pPr>
      <w:bookmarkStart w:id="563" w:name="_Toc19323"/>
      <w:bookmarkStart w:id="564" w:name="_Toc2334"/>
      <w:bookmarkStart w:id="565" w:name="_Toc6023"/>
      <w:bookmarkStart w:id="566" w:name="_Toc27103"/>
      <w:bookmarkStart w:id="567" w:name="_Toc23141"/>
      <w:r>
        <w:rPr>
          <w:rFonts w:hint="eastAsia" w:ascii="仿宋_GB2312" w:hAnsi="仿宋_GB2312" w:cs="仿宋_GB2312"/>
        </w:rPr>
        <w:t>2.积极打造区域坚强智能电网</w:t>
      </w:r>
      <w:bookmarkEnd w:id="563"/>
      <w:bookmarkEnd w:id="564"/>
      <w:bookmarkEnd w:id="565"/>
      <w:bookmarkEnd w:id="566"/>
      <w:bookmarkEnd w:id="567"/>
      <w:r>
        <w:rPr>
          <w:rFonts w:hint="eastAsia" w:ascii="仿宋_GB2312" w:hAnsi="仿宋_GB2312" w:cs="仿宋_GB2312"/>
        </w:rPr>
        <w:t>。</w:t>
      </w:r>
      <w:r>
        <w:rPr>
          <w:rFonts w:hint="eastAsia" w:ascii="仿宋_GB2312" w:hAnsi="仿宋" w:cs="仿宋"/>
        </w:rPr>
        <w:t>围绕能源消费结构转变以及电力需求增长的要求，加快推进全市电力基础设施建设，着力构建坚强智能电网，进一步提升南阳电网的可靠性和供电能力。统筹各电压等级电网协调发展，推进智能高效、区域平衡、输配衔接的坚强电网建设</w:t>
      </w:r>
      <w:bookmarkStart w:id="568" w:name="_Toc6908"/>
      <w:bookmarkStart w:id="569" w:name="_Toc12738"/>
      <w:bookmarkStart w:id="570" w:name="_Toc32537"/>
      <w:bookmarkStart w:id="571" w:name="_Toc503"/>
      <w:r>
        <w:rPr>
          <w:rFonts w:hint="eastAsia" w:ascii="仿宋_GB2312" w:hAnsi="仿宋" w:cs="仿宋"/>
        </w:rPr>
        <w:t>。“十四五”期间，南阳供电区电网总投资突破110亿元。扩建1000千伏特高压南阳变电站，新增容量600万千伏安，进一步提升河南省网与南阳地区电网“十四五”电力保障能力；扩建500千伏玉都变电站，新增容量100万伏安，提升南阳中北部区域主网供电能力；科学布局220千伏变电布点及容量配置，220千伏新建市区农运等12座变电站，扩建唐河得胜等7座变电站，新增主变容量约372万千伏安，新增线路长度约300千米；110千伏新建市区长江等65座变电站，扩建市区甘霖等27座变电站，新增变电容量约507万千伏安，新建110千伏线长度约1500千米；35千伏新建扩建邓州陶营等40座变电站，新增变电容量约41万千伏安，新建改造35千伏线长度约700千米；新建改造10千伏配变6000台以上，新增容量约145万千伏安，新建改造10千伏线路长度约8000千米。至2025年，形成以500千伏变电站为中心的中部区域、南部区域、西部区域三大区域核心环网，基本建成全国重要的区域性电力联网枢纽，电网承接区外来电能力进一步提高。电网整体供电能力由2020年的630万千瓦提升到800万千瓦，电网资源配置及保障能力进一步提升，实现清洁能源全额消纳。</w:t>
      </w:r>
    </w:p>
    <w:p>
      <w:pPr>
        <w:spacing w:line="560" w:lineRule="exact"/>
        <w:ind w:firstLine="640" w:firstLineChars="200"/>
        <w:contextualSpacing/>
        <w:outlineLvl w:val="2"/>
        <w:rPr>
          <w:rFonts w:ascii="仿宋_GB2312" w:hAnsi="仿宋" w:cs="仿宋"/>
        </w:rPr>
      </w:pPr>
      <w:r>
        <w:rPr>
          <w:rFonts w:hint="eastAsia" w:ascii="仿宋_GB2312" w:hAnsi="仿宋_GB2312" w:cs="仿宋_GB2312"/>
        </w:rPr>
        <w:t>3.推动电力系统适应高比例新能源并网运行</w:t>
      </w:r>
      <w:bookmarkEnd w:id="568"/>
      <w:bookmarkEnd w:id="569"/>
      <w:bookmarkEnd w:id="570"/>
      <w:bookmarkEnd w:id="571"/>
      <w:r>
        <w:rPr>
          <w:rFonts w:hint="eastAsia" w:ascii="仿宋_GB2312" w:hAnsi="仿宋_GB2312" w:cs="仿宋_GB2312"/>
        </w:rPr>
        <w:t>。</w:t>
      </w:r>
      <w:r>
        <w:rPr>
          <w:rFonts w:hint="eastAsia" w:ascii="仿宋_GB2312" w:hAnsi="仿宋" w:cs="仿宋"/>
        </w:rPr>
        <w:t>统筹高比例新能源系统发展和电力安全稳定供应，强化系统有功调节和调相机等动态无功支撑能力建设，增强电力系统清洁能源资源化配置能力，推动调度运行智能化、扁平化，提升新能源并网友好性和电力支撑能力。整合优化区域电源侧、电网侧、负荷侧资源，合理配置储能，以先进技术突破和体制机制创新为支撑，建设一批“源网荷储”一体化和多能互补示范项目，探索构建“源网荷储”高度融合的新型电力系统发展模式。</w:t>
      </w:r>
    </w:p>
    <w:p>
      <w:pPr>
        <w:spacing w:line="560" w:lineRule="exact"/>
        <w:ind w:firstLine="640" w:firstLineChars="200"/>
        <w:contextualSpacing/>
        <w:outlineLvl w:val="2"/>
        <w:rPr>
          <w:rFonts w:ascii="仿宋_GB2312" w:hAnsi="仿宋" w:cs="仿宋"/>
        </w:rPr>
      </w:pPr>
      <w:bookmarkStart w:id="572" w:name="_Toc11774"/>
      <w:bookmarkStart w:id="573" w:name="_Toc29485"/>
      <w:bookmarkStart w:id="574" w:name="_Toc9824"/>
      <w:bookmarkStart w:id="575" w:name="_Toc27789"/>
      <w:bookmarkStart w:id="576" w:name="_Toc18984"/>
      <w:r>
        <w:rPr>
          <w:rFonts w:hint="eastAsia" w:ascii="仿宋_GB2312" w:hAnsi="仿宋_GB2312" w:cs="仿宋_GB2312"/>
        </w:rPr>
        <w:t>4.持续提升需求侧管理能力</w:t>
      </w:r>
      <w:bookmarkEnd w:id="572"/>
      <w:bookmarkEnd w:id="573"/>
      <w:bookmarkEnd w:id="574"/>
      <w:bookmarkEnd w:id="575"/>
      <w:bookmarkEnd w:id="576"/>
      <w:r>
        <w:rPr>
          <w:rFonts w:hint="eastAsia" w:ascii="仿宋_GB2312" w:hAnsi="仿宋_GB2312" w:cs="仿宋_GB2312"/>
        </w:rPr>
        <w:t>。</w:t>
      </w:r>
      <w:r>
        <w:rPr>
          <w:rFonts w:hint="eastAsia" w:ascii="仿宋_GB2312" w:hAnsi="仿宋" w:cs="仿宋"/>
        </w:rPr>
        <w:t>扩大电力需求响应实施范围，突破工业用户作为单一主体参与模式，加强负荷聚合商培育，深入挖掘用户侧储能、电动汽车和综合智慧能源系统等灵活性调节资源，进一步释放居民、商业和一般工业负荷的用电弹性。加快电力需求响应与电力市场建设有效衔接，研究建立用户侧参与市场化辅助服务的补偿和激励机制，引导用户错峰用电，推动需求响应从临时性、紧急性措施逐渐转变为常态化、市场化手段。</w:t>
      </w:r>
    </w:p>
    <w:p>
      <w:pPr>
        <w:spacing w:line="560" w:lineRule="exact"/>
        <w:ind w:firstLine="640" w:firstLineChars="200"/>
        <w:contextualSpacing/>
        <w:outlineLvl w:val="2"/>
        <w:rPr>
          <w:rFonts w:ascii="仿宋_GB2312" w:hAnsi="仿宋" w:cs="仿宋"/>
        </w:rPr>
      </w:pPr>
      <w:bookmarkStart w:id="577" w:name="_Toc8083"/>
      <w:bookmarkStart w:id="578" w:name="_Toc31858"/>
      <w:bookmarkStart w:id="579" w:name="_Toc19767"/>
      <w:bookmarkStart w:id="580" w:name="_Toc31448"/>
      <w:bookmarkStart w:id="581" w:name="_Toc2858"/>
      <w:r>
        <w:rPr>
          <w:rFonts w:hint="eastAsia" w:ascii="仿宋_GB2312" w:hAnsi="仿宋_GB2312" w:cs="仿宋_GB2312"/>
        </w:rPr>
        <w:t>5.提升电网运行调度水平</w:t>
      </w:r>
      <w:bookmarkEnd w:id="577"/>
      <w:bookmarkEnd w:id="578"/>
      <w:bookmarkEnd w:id="579"/>
      <w:bookmarkEnd w:id="580"/>
      <w:bookmarkEnd w:id="581"/>
      <w:r>
        <w:rPr>
          <w:rFonts w:hint="eastAsia" w:ascii="仿宋_GB2312" w:hAnsi="仿宋_GB2312" w:cs="仿宋_GB2312"/>
        </w:rPr>
        <w:t>。</w:t>
      </w:r>
      <w:r>
        <w:rPr>
          <w:rFonts w:hint="eastAsia" w:ascii="仿宋_GB2312" w:hAnsi="仿宋" w:cs="仿宋"/>
        </w:rPr>
        <w:t>推动建立多种能源联合调度体制，优化电网安稳控制系统配置，全面提升电网灵活控制和抗干扰能力。推进配电网改造升级，提高配电网承载力和灵活性，适应分布式电源广泛接入和多元化负荷发展需求，增强电网就近就地平衡能力。增强电网适应性，加大配电自动化改造力度，发展以消纳新能源为主的微电网、局域网、直流配电网，实现与大电网兼容互补。支持开展“源网荷储”一体化和多能互补项目建设，实现新能源就地就近开发消纳。</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tcPr>
          <w:p>
            <w:pPr>
              <w:spacing w:line="400" w:lineRule="exact"/>
              <w:contextualSpacing/>
              <w:jc w:val="center"/>
              <w:rPr>
                <w:rFonts w:ascii="Times New Roman" w:hAnsi="Times New Roman"/>
                <w:sz w:val="30"/>
                <w:szCs w:val="30"/>
              </w:rPr>
            </w:pPr>
            <w:r>
              <w:rPr>
                <w:rFonts w:hint="eastAsia" w:ascii="黑体" w:hAnsi="黑体" w:eastAsia="黑体" w:cs="黑体"/>
                <w:bCs/>
                <w:sz w:val="28"/>
                <w:szCs w:val="28"/>
              </w:rPr>
              <w:t>专栏2：构建新型坚强智能电网重大工程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tcPr>
          <w:p>
            <w:pPr>
              <w:spacing w:line="400" w:lineRule="exact"/>
              <w:ind w:firstLine="480" w:firstLineChars="200"/>
              <w:contextualSpacing/>
              <w:rPr>
                <w:rFonts w:ascii="仿宋_GB2312" w:hAnsi="仿宋_GB2312" w:cs="仿宋_GB2312"/>
                <w:sz w:val="24"/>
                <w:szCs w:val="24"/>
              </w:rPr>
            </w:pPr>
            <w:r>
              <w:rPr>
                <w:rFonts w:hint="eastAsia" w:ascii="楷体" w:hAnsi="楷体" w:eastAsia="楷体" w:cs="楷体"/>
                <w:bCs/>
                <w:sz w:val="24"/>
                <w:szCs w:val="24"/>
              </w:rPr>
              <w:t>特高压工程。</w:t>
            </w:r>
            <w:r>
              <w:rPr>
                <w:rFonts w:hint="eastAsia" w:ascii="仿宋_GB2312" w:hAnsi="仿宋_GB2312" w:cs="仿宋_GB2312"/>
                <w:sz w:val="24"/>
                <w:szCs w:val="24"/>
              </w:rPr>
              <w:t>扩建特高压南阳1000千伏变电站，新增容量600万千伏安。</w:t>
            </w:r>
          </w:p>
          <w:p>
            <w:pPr>
              <w:spacing w:line="400" w:lineRule="exact"/>
              <w:ind w:firstLine="480" w:firstLineChars="200"/>
              <w:contextualSpacing/>
              <w:rPr>
                <w:rFonts w:ascii="仿宋_GB2312" w:hAnsi="仿宋_GB2312" w:cs="仿宋_GB2312"/>
                <w:sz w:val="24"/>
                <w:szCs w:val="24"/>
              </w:rPr>
            </w:pPr>
            <w:r>
              <w:rPr>
                <w:rFonts w:hint="eastAsia" w:ascii="楷体" w:hAnsi="楷体" w:eastAsia="楷体" w:cs="楷体"/>
                <w:bCs/>
                <w:sz w:val="24"/>
                <w:szCs w:val="24"/>
              </w:rPr>
              <w:t>500千伏工程。</w:t>
            </w:r>
            <w:r>
              <w:rPr>
                <w:rFonts w:hint="eastAsia" w:ascii="仿宋_GB2312" w:hAnsi="仿宋_GB2312" w:cs="仿宋_GB2312"/>
                <w:sz w:val="24"/>
                <w:szCs w:val="24"/>
              </w:rPr>
              <w:t>扩建玉都500千伏变电站，新增容量100万千伏安。</w:t>
            </w:r>
          </w:p>
          <w:p>
            <w:pPr>
              <w:spacing w:line="400" w:lineRule="exact"/>
              <w:ind w:firstLine="480" w:firstLineChars="200"/>
              <w:contextualSpacing/>
              <w:rPr>
                <w:rFonts w:ascii="仿宋_GB2312" w:hAnsi="仿宋_GB2312" w:cs="仿宋_GB2312"/>
                <w:sz w:val="24"/>
                <w:szCs w:val="24"/>
              </w:rPr>
            </w:pPr>
            <w:r>
              <w:rPr>
                <w:rFonts w:hint="eastAsia" w:ascii="楷体" w:hAnsi="楷体" w:eastAsia="楷体" w:cs="楷体"/>
                <w:bCs/>
                <w:sz w:val="24"/>
                <w:szCs w:val="24"/>
              </w:rPr>
              <w:t>220千伏工程。</w:t>
            </w:r>
            <w:r>
              <w:rPr>
                <w:rFonts w:hint="eastAsia" w:ascii="仿宋_GB2312" w:hAnsi="仿宋_GB2312" w:cs="仿宋_GB2312"/>
                <w:sz w:val="24"/>
                <w:szCs w:val="24"/>
              </w:rPr>
              <w:t>新建农运、光彩等12座变电站，增容扩建得胜、磙子沟等8座变电站，新增主变容量约372万千伏安。</w:t>
            </w:r>
          </w:p>
          <w:p>
            <w:pPr>
              <w:spacing w:line="400" w:lineRule="exact"/>
              <w:ind w:firstLine="480" w:firstLineChars="200"/>
              <w:contextualSpacing/>
              <w:rPr>
                <w:rFonts w:ascii="仿宋_GB2312" w:hAnsi="仿宋_GB2312" w:cs="仿宋_GB2312"/>
                <w:sz w:val="24"/>
                <w:szCs w:val="24"/>
              </w:rPr>
            </w:pPr>
            <w:r>
              <w:rPr>
                <w:rFonts w:hint="eastAsia" w:ascii="楷体" w:hAnsi="楷体" w:eastAsia="楷体" w:cs="楷体"/>
                <w:bCs/>
                <w:sz w:val="24"/>
                <w:szCs w:val="24"/>
              </w:rPr>
              <w:t>110千伏工程。</w:t>
            </w:r>
            <w:r>
              <w:rPr>
                <w:rFonts w:hint="eastAsia" w:ascii="仿宋_GB2312" w:hAnsi="仿宋_GB2312" w:cs="仿宋_GB2312"/>
                <w:sz w:val="24"/>
                <w:szCs w:val="24"/>
              </w:rPr>
              <w:t>新建长江、石桥等65座变电站，扩建甘霖、祥和等27座变电站，新增变电容量约507万千伏安。</w:t>
            </w:r>
          </w:p>
          <w:p>
            <w:pPr>
              <w:spacing w:line="400" w:lineRule="exact"/>
              <w:ind w:firstLine="480" w:firstLineChars="200"/>
              <w:contextualSpacing/>
              <w:rPr>
                <w:rFonts w:ascii="仿宋_GB2312" w:hAnsi="仿宋_GB2312" w:cs="仿宋_GB2312"/>
                <w:sz w:val="24"/>
                <w:szCs w:val="24"/>
              </w:rPr>
            </w:pPr>
            <w:r>
              <w:rPr>
                <w:rFonts w:hint="eastAsia" w:ascii="楷体" w:hAnsi="楷体" w:eastAsia="楷体" w:cs="楷体"/>
                <w:bCs/>
                <w:sz w:val="24"/>
                <w:szCs w:val="24"/>
              </w:rPr>
              <w:t>35千伏工程。</w:t>
            </w:r>
            <w:r>
              <w:rPr>
                <w:rFonts w:hint="eastAsia" w:ascii="仿宋_GB2312" w:hAnsi="仿宋_GB2312" w:cs="仿宋_GB2312"/>
                <w:sz w:val="24"/>
                <w:szCs w:val="24"/>
              </w:rPr>
              <w:t>新建扩建邓州陶营等40座变电站，新增变电容量约41万千伏安。</w:t>
            </w:r>
          </w:p>
          <w:p>
            <w:pPr>
              <w:spacing w:line="400" w:lineRule="exact"/>
              <w:ind w:firstLine="480" w:firstLineChars="200"/>
              <w:contextualSpacing/>
              <w:rPr>
                <w:rFonts w:ascii="Times New Roman" w:hAnsi="Times New Roman"/>
                <w:sz w:val="30"/>
                <w:szCs w:val="30"/>
              </w:rPr>
            </w:pPr>
            <w:r>
              <w:rPr>
                <w:rFonts w:hint="eastAsia" w:ascii="楷体" w:hAnsi="楷体" w:eastAsia="楷体" w:cs="楷体"/>
                <w:bCs/>
                <w:sz w:val="24"/>
                <w:szCs w:val="24"/>
              </w:rPr>
              <w:t>城乡配电网工程。</w:t>
            </w:r>
            <w:r>
              <w:rPr>
                <w:rFonts w:hint="eastAsia" w:ascii="仿宋_GB2312" w:hAnsi="仿宋_GB2312" w:cs="仿宋_GB2312"/>
                <w:sz w:val="24"/>
                <w:szCs w:val="24"/>
              </w:rPr>
              <w:t>加大城乡配电网改造升级力度，提升配电网装备水平和供电能力，至2025年，配电网供电可靠达到99.96%，综合电压合格率达到99.88%。</w:t>
            </w:r>
          </w:p>
        </w:tc>
      </w:tr>
    </w:tbl>
    <w:p>
      <w:pPr>
        <w:pStyle w:val="58"/>
        <w:spacing w:line="560" w:lineRule="exact"/>
        <w:ind w:firstLine="0" w:firstLineChars="0"/>
        <w:contextualSpacing/>
        <w:jc w:val="center"/>
        <w:outlineLvl w:val="0"/>
        <w:rPr>
          <w:rFonts w:ascii="黑体" w:hAnsi="黑体" w:eastAsia="黑体" w:cs="黑体"/>
          <w:sz w:val="32"/>
          <w:szCs w:val="32"/>
        </w:rPr>
      </w:pPr>
      <w:bookmarkStart w:id="582" w:name="_Toc718"/>
      <w:bookmarkStart w:id="583" w:name="_Toc24821"/>
      <w:bookmarkStart w:id="584" w:name="_Toc8695"/>
      <w:bookmarkStart w:id="585" w:name="_Toc22458"/>
      <w:bookmarkStart w:id="586" w:name="_Toc15620"/>
      <w:bookmarkStart w:id="587" w:name="_Toc22524"/>
      <w:bookmarkStart w:id="588" w:name="_Toc17269"/>
      <w:bookmarkStart w:id="589" w:name="_Toc12603"/>
      <w:r>
        <w:rPr>
          <w:rFonts w:hint="eastAsia" w:ascii="黑体" w:hAnsi="黑体" w:eastAsia="黑体" w:cs="黑体"/>
          <w:sz w:val="32"/>
          <w:szCs w:val="32"/>
        </w:rPr>
        <w:t>第四章 大力推进节能降碳增效</w:t>
      </w:r>
      <w:bookmarkEnd w:id="582"/>
      <w:bookmarkEnd w:id="583"/>
      <w:bookmarkEnd w:id="584"/>
      <w:bookmarkEnd w:id="585"/>
      <w:bookmarkEnd w:id="586"/>
      <w:bookmarkEnd w:id="587"/>
      <w:bookmarkEnd w:id="588"/>
      <w:bookmarkEnd w:id="589"/>
    </w:p>
    <w:p>
      <w:pPr>
        <w:pStyle w:val="58"/>
        <w:spacing w:line="560" w:lineRule="exact"/>
        <w:ind w:firstLine="0" w:firstLineChars="0"/>
        <w:contextualSpacing/>
        <w:jc w:val="center"/>
        <w:outlineLvl w:val="1"/>
        <w:rPr>
          <w:rFonts w:ascii="楷体" w:hAnsi="楷体" w:eastAsia="楷体" w:cs="楷体"/>
          <w:bCs/>
          <w:sz w:val="32"/>
          <w:szCs w:val="32"/>
        </w:rPr>
      </w:pPr>
      <w:bookmarkStart w:id="590" w:name="_Toc13314"/>
      <w:bookmarkStart w:id="591" w:name="_Toc5335"/>
      <w:bookmarkStart w:id="592" w:name="_Toc10606"/>
      <w:bookmarkStart w:id="593" w:name="_Toc31241"/>
      <w:bookmarkStart w:id="594" w:name="_Toc31985"/>
      <w:bookmarkStart w:id="595" w:name="_Toc9822"/>
      <w:bookmarkStart w:id="596" w:name="_Toc31931"/>
      <w:bookmarkStart w:id="597" w:name="_Toc29031"/>
      <w:r>
        <w:rPr>
          <w:rFonts w:hint="eastAsia" w:ascii="楷体" w:hAnsi="楷体" w:eastAsia="楷体" w:cs="楷体"/>
          <w:bCs/>
          <w:sz w:val="32"/>
          <w:szCs w:val="32"/>
        </w:rPr>
        <w:t>第一节 加快产业结构调整</w:t>
      </w:r>
      <w:bookmarkEnd w:id="590"/>
      <w:bookmarkEnd w:id="591"/>
      <w:bookmarkEnd w:id="592"/>
      <w:bookmarkEnd w:id="593"/>
      <w:bookmarkEnd w:id="594"/>
      <w:bookmarkEnd w:id="595"/>
      <w:bookmarkEnd w:id="596"/>
      <w:bookmarkEnd w:id="597"/>
    </w:p>
    <w:p>
      <w:pPr>
        <w:spacing w:line="560" w:lineRule="exact"/>
        <w:ind w:firstLine="640" w:firstLineChars="200"/>
        <w:contextualSpacing/>
        <w:rPr>
          <w:rFonts w:ascii="仿宋_GB2312" w:hAnsi="仿宋" w:cs="仿宋"/>
        </w:rPr>
      </w:pPr>
      <w:r>
        <w:rPr>
          <w:rFonts w:hint="eastAsia" w:ascii="仿宋_GB2312" w:hAnsi="仿宋" w:cs="仿宋"/>
        </w:rPr>
        <w:t>坚决淘汰落后产能，实施有保有压差别化的财税、金融、价格、土地等政策，倒逼低效落后产能加速退出，有序推进企业自备电厂退出和先进制造业开发区集中供热；鼓励企业通过产能置换、指标交易、股权合作等方式兼并重组，积极稳妥引导产业转型转产、环保搬迁和梯度转移。</w:t>
      </w:r>
    </w:p>
    <w:p>
      <w:pPr>
        <w:spacing w:line="560" w:lineRule="exact"/>
        <w:ind w:firstLine="640" w:firstLineChars="200"/>
        <w:contextualSpacing/>
        <w:rPr>
          <w:rFonts w:ascii="仿宋_GB2312" w:hAnsi="仿宋" w:cs="仿宋"/>
        </w:rPr>
      </w:pPr>
      <w:r>
        <w:rPr>
          <w:rFonts w:hint="eastAsia" w:ascii="仿宋_GB2312" w:hAnsi="仿宋" w:cs="仿宋"/>
        </w:rPr>
        <w:t>积极培育壮大新动能，聚焦基础信息设施、高端装备、新能源、新材料等新兴产业和未来产业，积极培育一批在省内及全国有影响力的新兴产业和企业。</w:t>
      </w:r>
    </w:p>
    <w:p>
      <w:pPr>
        <w:pStyle w:val="58"/>
        <w:spacing w:line="560" w:lineRule="exact"/>
        <w:ind w:firstLine="0" w:firstLineChars="0"/>
        <w:contextualSpacing/>
        <w:jc w:val="center"/>
        <w:outlineLvl w:val="1"/>
        <w:rPr>
          <w:rFonts w:ascii="楷体" w:hAnsi="楷体" w:eastAsia="楷体" w:cs="楷体"/>
          <w:bCs/>
          <w:sz w:val="32"/>
          <w:szCs w:val="32"/>
        </w:rPr>
      </w:pPr>
      <w:bookmarkStart w:id="598" w:name="_Toc11480"/>
      <w:bookmarkStart w:id="599" w:name="_Toc12165"/>
      <w:bookmarkStart w:id="600" w:name="_Toc25686"/>
      <w:bookmarkStart w:id="601" w:name="_Toc7470"/>
      <w:bookmarkStart w:id="602" w:name="_Toc5861"/>
      <w:bookmarkStart w:id="603" w:name="_Toc1922"/>
      <w:bookmarkStart w:id="604" w:name="_Toc6269"/>
      <w:bookmarkStart w:id="605" w:name="_Toc5380"/>
      <w:r>
        <w:rPr>
          <w:rFonts w:hint="eastAsia" w:ascii="楷体" w:hAnsi="楷体" w:eastAsia="楷体" w:cs="楷体"/>
          <w:bCs/>
          <w:sz w:val="32"/>
          <w:szCs w:val="32"/>
        </w:rPr>
        <w:t>第二节 加强重点领域节能</w:t>
      </w:r>
      <w:bookmarkEnd w:id="598"/>
      <w:bookmarkEnd w:id="599"/>
      <w:bookmarkEnd w:id="600"/>
      <w:bookmarkEnd w:id="601"/>
      <w:bookmarkEnd w:id="602"/>
      <w:bookmarkEnd w:id="603"/>
      <w:bookmarkEnd w:id="604"/>
      <w:bookmarkEnd w:id="605"/>
    </w:p>
    <w:p>
      <w:pPr>
        <w:spacing w:line="560" w:lineRule="exact"/>
        <w:ind w:firstLine="640" w:firstLineChars="200"/>
        <w:contextualSpacing/>
        <w:rPr>
          <w:rFonts w:ascii="仿宋_GB2312" w:hAnsi="仿宋" w:cs="仿宋"/>
        </w:rPr>
      </w:pPr>
      <w:r>
        <w:rPr>
          <w:rFonts w:hint="eastAsia" w:ascii="仿宋_GB2312" w:hAnsi="仿宋" w:cs="仿宋"/>
        </w:rPr>
        <w:t>坚持“节约能源是第一能源”的理念，大力实施节能重点工程，推动重点领域节能，促进能源消费方式转变。深入践行绿色能源发展理念，推进能源总量管理、科学配置、全面节约、梯级利用、全面提高利用效率，促进经济和社会发展全面绿色转型。</w:t>
      </w:r>
    </w:p>
    <w:p>
      <w:pPr>
        <w:spacing w:line="560" w:lineRule="exact"/>
        <w:ind w:firstLine="640" w:firstLineChars="200"/>
        <w:contextualSpacing/>
        <w:outlineLvl w:val="2"/>
        <w:rPr>
          <w:rFonts w:ascii="仿宋_GB2312" w:hAnsi="仿宋" w:cs="仿宋"/>
        </w:rPr>
      </w:pPr>
      <w:bookmarkStart w:id="606" w:name="_Toc4515"/>
      <w:bookmarkStart w:id="607" w:name="_Toc18316"/>
      <w:bookmarkStart w:id="608" w:name="_Toc31510"/>
      <w:bookmarkStart w:id="609" w:name="_Toc2363"/>
      <w:bookmarkStart w:id="610" w:name="_Toc8921"/>
      <w:r>
        <w:rPr>
          <w:rFonts w:hint="eastAsia" w:ascii="仿宋_GB2312" w:hAnsi="仿宋" w:cs="仿宋"/>
          <w:bCs/>
        </w:rPr>
        <w:t>1.加强工业领域节能</w:t>
      </w:r>
      <w:bookmarkEnd w:id="606"/>
      <w:bookmarkEnd w:id="607"/>
      <w:bookmarkEnd w:id="608"/>
      <w:bookmarkEnd w:id="609"/>
      <w:bookmarkEnd w:id="610"/>
      <w:r>
        <w:rPr>
          <w:rFonts w:hint="eastAsia" w:ascii="仿宋_GB2312" w:hAnsi="仿宋" w:cs="仿宋"/>
          <w:bCs/>
        </w:rPr>
        <w:t>。</w:t>
      </w:r>
      <w:r>
        <w:rPr>
          <w:rFonts w:hint="eastAsia" w:ascii="仿宋_GB2312" w:hAnsi="仿宋" w:cs="仿宋"/>
        </w:rPr>
        <w:t>加快重点产业主要耗能设备和工艺流程的节能改造，推广高效节能电机、节能监测设备等节能产品、设备、技术；大力推进工业余热余压等节能利用方式。</w:t>
      </w:r>
    </w:p>
    <w:p>
      <w:pPr>
        <w:spacing w:line="560" w:lineRule="exact"/>
        <w:ind w:firstLine="640" w:firstLineChars="200"/>
        <w:contextualSpacing/>
        <w:outlineLvl w:val="2"/>
        <w:rPr>
          <w:rFonts w:ascii="仿宋_GB2312" w:hAnsi="仿宋" w:cs="仿宋"/>
        </w:rPr>
      </w:pPr>
      <w:bookmarkStart w:id="611" w:name="_Toc5403"/>
      <w:bookmarkStart w:id="612" w:name="_Toc17971"/>
      <w:bookmarkStart w:id="613" w:name="_Toc8600"/>
      <w:bookmarkStart w:id="614" w:name="_Toc17212"/>
      <w:bookmarkStart w:id="615" w:name="_Toc3152"/>
      <w:r>
        <w:rPr>
          <w:rFonts w:hint="eastAsia" w:ascii="仿宋_GB2312" w:hAnsi="仿宋" w:cs="仿宋"/>
          <w:bCs/>
        </w:rPr>
        <w:t>2.加强交通运输领域节能</w:t>
      </w:r>
      <w:bookmarkEnd w:id="611"/>
      <w:bookmarkEnd w:id="612"/>
      <w:bookmarkEnd w:id="613"/>
      <w:bookmarkEnd w:id="614"/>
      <w:bookmarkEnd w:id="615"/>
      <w:r>
        <w:rPr>
          <w:rFonts w:hint="eastAsia" w:ascii="仿宋_GB2312" w:hAnsi="仿宋" w:cs="仿宋"/>
          <w:bCs/>
        </w:rPr>
        <w:t>。</w:t>
      </w:r>
      <w:r>
        <w:rPr>
          <w:rFonts w:hint="eastAsia" w:ascii="仿宋_GB2312" w:hAnsi="仿宋" w:cs="仿宋"/>
        </w:rPr>
        <w:t>构建以现代公共交通为主体的交通体系，有效降低交通工具能耗。大力推广节能和新能源汽车，提升电动车用电效率，推广使用清洁柴油机，淘汰排放不达标交通运输工具。积极探索智能交通领域，运用大数据优化运输组织模式。</w:t>
      </w:r>
    </w:p>
    <w:p>
      <w:pPr>
        <w:spacing w:line="560" w:lineRule="exact"/>
        <w:ind w:firstLine="640" w:firstLineChars="200"/>
        <w:contextualSpacing/>
        <w:outlineLvl w:val="2"/>
        <w:rPr>
          <w:rFonts w:ascii="仿宋_GB2312" w:hAnsi="仿宋" w:cs="仿宋"/>
        </w:rPr>
      </w:pPr>
      <w:bookmarkStart w:id="616" w:name="_Toc17923"/>
      <w:bookmarkStart w:id="617" w:name="_Toc14432"/>
      <w:bookmarkStart w:id="618" w:name="_Toc13183"/>
      <w:bookmarkStart w:id="619" w:name="_Toc13781"/>
      <w:bookmarkStart w:id="620" w:name="_Toc30063"/>
      <w:r>
        <w:rPr>
          <w:rFonts w:hint="eastAsia" w:ascii="仿宋_GB2312" w:hAnsi="仿宋" w:cs="仿宋"/>
          <w:bCs/>
        </w:rPr>
        <w:t>3.加强公共机构领域节能</w:t>
      </w:r>
      <w:bookmarkEnd w:id="616"/>
      <w:bookmarkEnd w:id="617"/>
      <w:bookmarkEnd w:id="618"/>
      <w:bookmarkEnd w:id="619"/>
      <w:bookmarkEnd w:id="620"/>
      <w:r>
        <w:rPr>
          <w:rFonts w:hint="eastAsia" w:ascii="仿宋_GB2312" w:hAnsi="仿宋" w:cs="仿宋"/>
          <w:bCs/>
        </w:rPr>
        <w:t>。</w:t>
      </w:r>
      <w:r>
        <w:rPr>
          <w:rFonts w:hint="eastAsia" w:ascii="仿宋_GB2312" w:hAnsi="仿宋" w:cs="仿宋"/>
        </w:rPr>
        <w:t>鼓励采用能源费用托管等合同能源管理模式，加大节能施工新技术、节能建材、节能灯具等推广力度，加快公共机构既有建筑围护结构、供热、制冷、照明等用能系统和设施设备节能改造，在公共机构重点用能单位推行能耗限额管理，全面开展节约型机关创建行动，支持具备条件的党政机关、事业单位利用建筑屋顶建设分布式光伏。</w:t>
      </w:r>
    </w:p>
    <w:p>
      <w:pPr>
        <w:pStyle w:val="58"/>
        <w:spacing w:line="560" w:lineRule="exact"/>
        <w:ind w:firstLine="0" w:firstLineChars="0"/>
        <w:contextualSpacing/>
        <w:jc w:val="center"/>
        <w:outlineLvl w:val="1"/>
        <w:rPr>
          <w:rFonts w:ascii="楷体" w:hAnsi="楷体" w:eastAsia="楷体" w:cs="楷体"/>
          <w:bCs/>
          <w:sz w:val="32"/>
          <w:szCs w:val="32"/>
        </w:rPr>
      </w:pPr>
      <w:bookmarkStart w:id="621" w:name="_Toc4376"/>
      <w:bookmarkStart w:id="622" w:name="_Toc25850"/>
      <w:bookmarkStart w:id="623" w:name="_Toc5369"/>
      <w:bookmarkStart w:id="624" w:name="_Toc18911"/>
      <w:bookmarkStart w:id="625" w:name="_Toc3352"/>
      <w:bookmarkStart w:id="626" w:name="_Toc8277"/>
      <w:bookmarkStart w:id="627" w:name="_Toc7392"/>
      <w:r>
        <w:rPr>
          <w:rFonts w:hint="eastAsia" w:ascii="楷体" w:hAnsi="楷体" w:eastAsia="楷体" w:cs="楷体"/>
          <w:bCs/>
          <w:sz w:val="32"/>
          <w:szCs w:val="32"/>
        </w:rPr>
        <w:t>第三节 推进能源绿色生产</w:t>
      </w:r>
      <w:bookmarkEnd w:id="621"/>
      <w:bookmarkEnd w:id="622"/>
      <w:bookmarkEnd w:id="623"/>
      <w:bookmarkEnd w:id="624"/>
      <w:bookmarkEnd w:id="625"/>
      <w:bookmarkEnd w:id="626"/>
      <w:bookmarkEnd w:id="627"/>
    </w:p>
    <w:p>
      <w:pPr>
        <w:spacing w:line="560" w:lineRule="exact"/>
        <w:ind w:firstLine="640" w:firstLineChars="200"/>
        <w:contextualSpacing/>
        <w:rPr>
          <w:rFonts w:ascii="仿宋_GB2312" w:hAnsi="黑体" w:cs="黑体"/>
        </w:rPr>
      </w:pPr>
      <w:r>
        <w:rPr>
          <w:rFonts w:hint="eastAsia" w:ascii="仿宋_GB2312" w:hAnsi="仿宋" w:cs="仿宋"/>
        </w:rPr>
        <w:t>大力推广应用电厂供热改造等先进技术装备，通过对现役火电机组进行供热改造，有效提高电厂机组综合利用效率。重点推进南阳天益发电有限公司现有2台600兆瓦超临界燃煤发电机组供热改造，适时推进中心城区长距离供热工程，供热面积约2000万平米，有效弥补南阳市供热缺口；推进内乡电厂2台1000兆瓦超临界燃煤发电机组供热改造，建设至内乡县城和镇平县城长距离供热工程。优化电力运行调度方式，加快输、变、配电环节节能降损改造。</w:t>
      </w:r>
      <w:bookmarkStart w:id="628" w:name="_Toc4495"/>
      <w:bookmarkStart w:id="629" w:name="_Toc30412"/>
      <w:bookmarkStart w:id="630" w:name="_Toc14659"/>
      <w:bookmarkStart w:id="631" w:name="_Toc32164"/>
      <w:bookmarkStart w:id="632" w:name="_Toc15532"/>
    </w:p>
    <w:p>
      <w:pPr>
        <w:pStyle w:val="58"/>
        <w:spacing w:line="560" w:lineRule="exact"/>
        <w:ind w:firstLine="0" w:firstLineChars="0"/>
        <w:contextualSpacing/>
        <w:jc w:val="center"/>
        <w:outlineLvl w:val="1"/>
        <w:rPr>
          <w:rFonts w:ascii="楷体" w:hAnsi="楷体" w:eastAsia="楷体" w:cs="楷体"/>
          <w:bCs/>
          <w:sz w:val="32"/>
          <w:szCs w:val="32"/>
        </w:rPr>
      </w:pPr>
      <w:bookmarkStart w:id="633" w:name="_Toc24580"/>
      <w:bookmarkStart w:id="634" w:name="_Toc21746"/>
      <w:r>
        <w:rPr>
          <w:rFonts w:hint="eastAsia" w:ascii="楷体" w:hAnsi="楷体" w:eastAsia="楷体" w:cs="楷体"/>
          <w:bCs/>
          <w:sz w:val="32"/>
          <w:szCs w:val="32"/>
        </w:rPr>
        <w:t>第四节 加快农村生产生活电气化</w:t>
      </w:r>
      <w:bookmarkEnd w:id="628"/>
      <w:bookmarkEnd w:id="629"/>
      <w:bookmarkEnd w:id="630"/>
      <w:bookmarkEnd w:id="631"/>
      <w:bookmarkEnd w:id="632"/>
      <w:bookmarkEnd w:id="633"/>
      <w:bookmarkEnd w:id="634"/>
    </w:p>
    <w:p>
      <w:pPr>
        <w:spacing w:line="560" w:lineRule="exact"/>
        <w:ind w:firstLine="640" w:firstLineChars="200"/>
        <w:contextualSpacing/>
        <w:rPr>
          <w:rFonts w:ascii="仿宋_GB2312" w:hAnsi="仿宋" w:cs="仿宋"/>
        </w:rPr>
      </w:pPr>
      <w:r>
        <w:rPr>
          <w:rFonts w:hint="eastAsia" w:ascii="仿宋_GB2312" w:hAnsi="仿宋" w:cs="仿宋"/>
        </w:rPr>
        <w:t>加快推进农村生产生活电气化，提高农业生产和改善农民生活。培育和发展电气化农机服务站点，因地制宜实施农村合作社、现代农业园区电气化改造，推广电气化育苗、种植、畜牧水产养殖技术等。优化电网企业办电流程，大力推广高能效用电技术。加快迭代升级农业电气化新技术、新产品，助力乡村特色农产品出村进城。推进家居生活领域电能替代，倡导使用节能高效空调、电冰箱、电厨炊等家用电器，提升电能在农村终端能源消费中的比重，引领乡村绿色用能新风尚。</w:t>
      </w:r>
    </w:p>
    <w:p>
      <w:pPr>
        <w:pStyle w:val="58"/>
        <w:spacing w:line="560" w:lineRule="exact"/>
        <w:ind w:firstLine="0" w:firstLineChars="0"/>
        <w:contextualSpacing/>
        <w:jc w:val="center"/>
        <w:outlineLvl w:val="0"/>
        <w:rPr>
          <w:rFonts w:ascii="黑体" w:hAnsi="黑体" w:eastAsia="黑体" w:cs="黑体"/>
          <w:sz w:val="32"/>
          <w:szCs w:val="32"/>
        </w:rPr>
      </w:pPr>
      <w:bookmarkStart w:id="635" w:name="_Toc25981"/>
      <w:bookmarkStart w:id="636" w:name="_Toc5958"/>
      <w:bookmarkStart w:id="637" w:name="_Toc29140"/>
      <w:bookmarkStart w:id="638" w:name="_Toc21522"/>
      <w:bookmarkStart w:id="639" w:name="_Toc4912"/>
      <w:bookmarkStart w:id="640" w:name="_Toc29622"/>
      <w:bookmarkStart w:id="641" w:name="_Toc19541"/>
      <w:bookmarkStart w:id="642" w:name="_Toc13638"/>
      <w:r>
        <w:rPr>
          <w:rFonts w:hint="eastAsia" w:ascii="黑体" w:hAnsi="黑体" w:eastAsia="黑体" w:cs="黑体"/>
          <w:sz w:val="32"/>
          <w:szCs w:val="32"/>
        </w:rPr>
        <w:t>第五章 着力增强能源安全保障能力</w:t>
      </w:r>
      <w:bookmarkEnd w:id="635"/>
      <w:bookmarkEnd w:id="636"/>
      <w:bookmarkEnd w:id="637"/>
      <w:bookmarkEnd w:id="638"/>
      <w:bookmarkEnd w:id="639"/>
      <w:bookmarkEnd w:id="640"/>
      <w:bookmarkEnd w:id="641"/>
      <w:bookmarkEnd w:id="642"/>
    </w:p>
    <w:p>
      <w:pPr>
        <w:pStyle w:val="58"/>
        <w:spacing w:line="560" w:lineRule="exact"/>
        <w:ind w:firstLine="0" w:firstLineChars="0"/>
        <w:contextualSpacing/>
        <w:jc w:val="center"/>
        <w:outlineLvl w:val="1"/>
        <w:rPr>
          <w:rFonts w:ascii="楷体" w:hAnsi="楷体" w:eastAsia="楷体" w:cs="楷体"/>
          <w:bCs/>
          <w:sz w:val="32"/>
          <w:szCs w:val="32"/>
        </w:rPr>
      </w:pPr>
      <w:bookmarkStart w:id="643" w:name="_Toc26057"/>
      <w:bookmarkStart w:id="644" w:name="_Toc18536"/>
      <w:bookmarkStart w:id="645" w:name="_Toc7624"/>
      <w:bookmarkStart w:id="646" w:name="_Toc17171"/>
      <w:bookmarkStart w:id="647" w:name="_Toc4016"/>
      <w:bookmarkStart w:id="648" w:name="_Toc26836"/>
      <w:bookmarkStart w:id="649" w:name="_Toc3995"/>
      <w:bookmarkStart w:id="650" w:name="_Toc25036"/>
      <w:r>
        <w:rPr>
          <w:rFonts w:hint="eastAsia" w:ascii="楷体" w:hAnsi="楷体" w:eastAsia="楷体" w:cs="楷体"/>
          <w:bCs/>
          <w:sz w:val="32"/>
          <w:szCs w:val="32"/>
        </w:rPr>
        <w:t>第一节 增强能源保障能力</w:t>
      </w:r>
      <w:bookmarkEnd w:id="643"/>
      <w:bookmarkEnd w:id="644"/>
      <w:bookmarkEnd w:id="645"/>
      <w:bookmarkEnd w:id="646"/>
      <w:bookmarkEnd w:id="647"/>
      <w:bookmarkEnd w:id="648"/>
      <w:bookmarkEnd w:id="649"/>
      <w:bookmarkEnd w:id="650"/>
    </w:p>
    <w:p>
      <w:pPr>
        <w:spacing w:line="560" w:lineRule="exact"/>
        <w:ind w:firstLine="640" w:firstLineChars="200"/>
        <w:contextualSpacing/>
        <w:rPr>
          <w:rFonts w:ascii="仿宋_GB2312" w:hAnsi="仿宋" w:cs="仿宋"/>
        </w:rPr>
      </w:pPr>
      <w:r>
        <w:rPr>
          <w:rFonts w:hint="eastAsia" w:ascii="仿宋_GB2312" w:hAnsi="仿宋" w:cs="仿宋"/>
        </w:rPr>
        <w:t>坚持底线思维，主动融入新发展格局，充分利用省内省外“两个市场、两种资源”。稳定本地能源生产，积极拓展市外、省外资源，完善能源输送网络，加强能源储备能力建设，全面提升能源保障能力。</w:t>
      </w:r>
    </w:p>
    <w:p>
      <w:pPr>
        <w:spacing w:line="560" w:lineRule="exact"/>
        <w:ind w:firstLine="640" w:firstLineChars="200"/>
        <w:contextualSpacing/>
        <w:outlineLvl w:val="2"/>
        <w:rPr>
          <w:rFonts w:ascii="仿宋_GB2312" w:hAnsi="仿宋" w:cs="仿宋"/>
        </w:rPr>
      </w:pPr>
      <w:bookmarkStart w:id="651" w:name="_Toc30652"/>
      <w:bookmarkStart w:id="652" w:name="_Toc23371"/>
      <w:bookmarkStart w:id="653" w:name="_Toc29798"/>
      <w:bookmarkStart w:id="654" w:name="_Toc12813"/>
      <w:bookmarkStart w:id="655" w:name="_Toc1094"/>
      <w:bookmarkStart w:id="656" w:name="_Toc76"/>
      <w:r>
        <w:rPr>
          <w:rFonts w:hint="eastAsia" w:ascii="仿宋_GB2312" w:hAnsi="仿宋" w:cs="仿宋"/>
          <w:bCs/>
        </w:rPr>
        <w:t>1.稳定煤炭供应保障</w:t>
      </w:r>
      <w:bookmarkEnd w:id="651"/>
      <w:bookmarkEnd w:id="652"/>
      <w:bookmarkEnd w:id="653"/>
      <w:bookmarkEnd w:id="654"/>
      <w:bookmarkEnd w:id="655"/>
      <w:bookmarkEnd w:id="656"/>
      <w:r>
        <w:rPr>
          <w:rFonts w:hint="eastAsia" w:ascii="仿宋_GB2312" w:hAnsi="仿宋" w:cs="仿宋"/>
          <w:bCs/>
        </w:rPr>
        <w:t>。</w:t>
      </w:r>
      <w:r>
        <w:rPr>
          <w:rFonts w:hint="eastAsia" w:ascii="仿宋_GB2312" w:hAnsi="仿宋" w:cs="仿宋"/>
        </w:rPr>
        <w:t>加强煤炭对外合作，充分利用已建成的宁西铁路复线和浩吉铁路运输能力，推动陕煤、蒙煤等优质煤炭资源进入我市煤炭市场。完成内乡煤炭储配基地一期项目建设，到“十四五”末，建成150万吨煤炭储配能力，达到2000万吨煤炭流通能力，成为国家级的煤炭储配中心，在满足我市煤炭市场的同时，辐射周边地市，建成区域性煤炭交易中心和智能调度中心。建设西峡县煤炭中转储运基地项目，规划建成煤炭周转量1000万吨、静态储煤能力60万吨以上、设施完善的数字化煤炭应急储备基地和万吨列车分解中转基地。</w:t>
      </w:r>
    </w:p>
    <w:p>
      <w:pPr>
        <w:spacing w:line="560" w:lineRule="exact"/>
        <w:ind w:firstLine="640" w:firstLineChars="200"/>
        <w:contextualSpacing/>
        <w:outlineLvl w:val="2"/>
        <w:rPr>
          <w:rFonts w:ascii="仿宋_GB2312" w:hAnsi="仿宋" w:cs="仿宋"/>
        </w:rPr>
      </w:pPr>
      <w:bookmarkStart w:id="657" w:name="_Toc9923"/>
      <w:bookmarkStart w:id="658" w:name="_Toc11220"/>
      <w:bookmarkStart w:id="659" w:name="_Toc3147"/>
      <w:bookmarkStart w:id="660" w:name="_Toc28505"/>
      <w:bookmarkStart w:id="661" w:name="_Toc13076"/>
      <w:bookmarkStart w:id="662" w:name="_Toc3172"/>
      <w:r>
        <w:rPr>
          <w:rFonts w:hint="eastAsia" w:ascii="仿宋_GB2312" w:hAnsi="仿宋" w:cs="仿宋"/>
          <w:bCs/>
        </w:rPr>
        <w:t>2.增强油气供应保障</w:t>
      </w:r>
      <w:bookmarkEnd w:id="657"/>
      <w:bookmarkEnd w:id="658"/>
      <w:bookmarkEnd w:id="659"/>
      <w:bookmarkEnd w:id="660"/>
      <w:bookmarkEnd w:id="661"/>
      <w:bookmarkEnd w:id="662"/>
      <w:r>
        <w:rPr>
          <w:rFonts w:hint="eastAsia" w:ascii="仿宋_GB2312" w:hAnsi="仿宋" w:cs="仿宋"/>
          <w:bCs/>
        </w:rPr>
        <w:t>。</w:t>
      </w:r>
      <w:r>
        <w:rPr>
          <w:rFonts w:hint="eastAsia" w:ascii="仿宋_GB2312" w:hAnsi="仿宋" w:cs="仿宋"/>
        </w:rPr>
        <w:t>加强油气对外合作，扩大油气调入规模。加大河南油田区块精细勘查力度，提高采收率，保障持续稳产。积极推动豫西南液化天然气储备中心项目实现与省内6座储气库、中原储气库群、滨河大型储罐互联互通，提高我市天然气储气能力。此外，积极推动陕西商南-南阳西峡管道建设，保障全市用气安全。</w:t>
      </w:r>
    </w:p>
    <w:p>
      <w:pPr>
        <w:spacing w:line="560" w:lineRule="exact"/>
        <w:ind w:firstLine="640" w:firstLineChars="200"/>
        <w:contextualSpacing/>
        <w:rPr>
          <w:rFonts w:ascii="仿宋_GB2312" w:hAnsi="仿宋" w:cs="仿宋"/>
        </w:rPr>
      </w:pPr>
      <w:r>
        <w:rPr>
          <w:rFonts w:hint="eastAsia" w:ascii="仿宋_GB2312" w:hAnsi="仿宋" w:cs="仿宋"/>
        </w:rPr>
        <w:t>结合我市成品油市场需求，加快推进南阳市成品油基础设施建设。“十四五”期间，按照环保、节能标准，重点推进南阳油库迁建工作。</w:t>
      </w:r>
    </w:p>
    <w:p>
      <w:pPr>
        <w:spacing w:line="560" w:lineRule="exact"/>
        <w:ind w:firstLine="640" w:firstLineChars="200"/>
        <w:contextualSpacing/>
        <w:rPr>
          <w:rFonts w:ascii="仿宋_GB2312" w:hAnsi="仿宋" w:cs="仿宋"/>
        </w:rPr>
      </w:pPr>
      <w:r>
        <w:rPr>
          <w:rFonts w:hint="eastAsia" w:ascii="仿宋_GB2312" w:hAnsi="仿宋" w:cs="仿宋"/>
        </w:rPr>
        <w:t>按照“统筹规划、合理布局、适当超前”的原则，加快完善天然气基础设施体系，不断提升天然气保障能力。继续做好县县通管道天然气和外引气源项目建设工作，实现全市县县通管道气，持续增加天然气储备能力。加强全市天然气管网互联互通，提高天然气保供能力。建设</w:t>
      </w:r>
      <w:r>
        <w:rPr>
          <w:rFonts w:hint="eastAsia" w:ascii="仿宋_GB2312" w:hAnsi="仿宋" w:cs="仿宋"/>
          <w:bCs/>
        </w:rPr>
        <w:t>镇平－邓州－新野天然气管道项目，</w:t>
      </w:r>
      <w:r>
        <w:rPr>
          <w:rFonts w:hint="eastAsia" w:ascii="仿宋_GB2312" w:hAnsi="仿宋" w:cs="仿宋"/>
        </w:rPr>
        <w:t>解决新野县、邓州市不通管道天然气问题。建设</w:t>
      </w:r>
      <w:r>
        <w:rPr>
          <w:rFonts w:hint="eastAsia" w:ascii="仿宋_GB2312" w:hAnsi="仿宋" w:cs="仿宋"/>
          <w:bCs/>
        </w:rPr>
        <w:t>唐河--桐柏</w:t>
      </w:r>
      <w:bookmarkStart w:id="663" w:name="_Hlk101475285"/>
      <w:r>
        <w:rPr>
          <w:rFonts w:hint="eastAsia" w:ascii="仿宋_GB2312" w:hAnsi="仿宋" w:cs="仿宋"/>
          <w:bCs/>
        </w:rPr>
        <w:t>天然气管道</w:t>
      </w:r>
      <w:bookmarkEnd w:id="663"/>
      <w:r>
        <w:rPr>
          <w:rFonts w:hint="eastAsia" w:ascii="仿宋_GB2312" w:hAnsi="仿宋" w:cs="仿宋"/>
          <w:bCs/>
        </w:rPr>
        <w:t>项目，</w:t>
      </w:r>
      <w:r>
        <w:rPr>
          <w:rFonts w:hint="eastAsia" w:ascii="仿宋_GB2312" w:hAnsi="仿宋" w:cs="仿宋"/>
        </w:rPr>
        <w:t>为桐柏县城及沿途乡镇通管道天然气。配合国家管网公司做好西气东输三线南阳段天然气管道建设工作，积极促进豫西南LNG储气中心互联互通管道建设，配合河南油田做好枯竭油气井的储气地质研究工作。谋划</w:t>
      </w:r>
      <w:r>
        <w:rPr>
          <w:rFonts w:hint="eastAsia" w:ascii="仿宋_GB2312" w:hAnsi="仿宋" w:cs="仿宋"/>
          <w:bCs/>
        </w:rPr>
        <w:t>陕气入豫西坪-西峡天然气管道项目，</w:t>
      </w:r>
      <w:r>
        <w:rPr>
          <w:rFonts w:hint="eastAsia" w:ascii="仿宋_GB2312" w:hAnsi="仿宋" w:cs="仿宋"/>
        </w:rPr>
        <w:t>引入陕气提高我市用气保障能力。2025年，天然气输气管道建成长度达到800公里，天然气用量达到4亿方左右。</w:t>
      </w:r>
    </w:p>
    <w:p>
      <w:pPr>
        <w:spacing w:line="560" w:lineRule="exact"/>
        <w:ind w:firstLine="640" w:firstLineChars="200"/>
        <w:contextualSpacing/>
        <w:outlineLvl w:val="2"/>
        <w:rPr>
          <w:rFonts w:ascii="仿宋_GB2312" w:hAnsi="仿宋" w:cs="仿宋"/>
        </w:rPr>
      </w:pPr>
      <w:bookmarkStart w:id="664" w:name="_Toc15741"/>
      <w:bookmarkStart w:id="665" w:name="_Toc3012"/>
      <w:bookmarkStart w:id="666" w:name="_Toc27268"/>
      <w:bookmarkStart w:id="667" w:name="_Toc19660"/>
      <w:bookmarkStart w:id="668" w:name="_Toc19770"/>
      <w:bookmarkStart w:id="669" w:name="_Toc17150"/>
      <w:r>
        <w:rPr>
          <w:rFonts w:hint="eastAsia" w:ascii="仿宋_GB2312" w:hAnsi="仿宋" w:cs="仿宋"/>
          <w:bCs/>
        </w:rPr>
        <w:t>3.强化电力供应保障</w:t>
      </w:r>
      <w:bookmarkEnd w:id="664"/>
      <w:bookmarkEnd w:id="665"/>
      <w:bookmarkEnd w:id="666"/>
      <w:bookmarkEnd w:id="667"/>
      <w:bookmarkEnd w:id="668"/>
      <w:bookmarkEnd w:id="669"/>
      <w:r>
        <w:rPr>
          <w:rFonts w:hint="eastAsia" w:ascii="仿宋_GB2312" w:hAnsi="仿宋" w:cs="仿宋"/>
          <w:bCs/>
        </w:rPr>
        <w:t>。强化煤电托底保障。</w:t>
      </w:r>
      <w:r>
        <w:rPr>
          <w:rFonts w:hint="eastAsia" w:ascii="仿宋_GB2312" w:hAnsi="仿宋" w:cs="仿宋"/>
        </w:rPr>
        <w:t>推进安全调峰煤电机组容量争取，推进煤电由主体性电源向基础性、保障性电源转变。</w:t>
      </w:r>
    </w:p>
    <w:p>
      <w:pPr>
        <w:spacing w:line="560" w:lineRule="exact"/>
        <w:ind w:firstLine="640" w:firstLineChars="200"/>
        <w:contextualSpacing/>
        <w:rPr>
          <w:rFonts w:ascii="仿宋_GB2312" w:hAnsi="仿宋" w:cs="仿宋"/>
        </w:rPr>
      </w:pPr>
      <w:r>
        <w:rPr>
          <w:rFonts w:hint="eastAsia" w:ascii="仿宋_GB2312" w:hAnsi="仿宋" w:cs="仿宋"/>
          <w:bCs/>
        </w:rPr>
        <w:t>推动外电通道建设。</w:t>
      </w:r>
      <w:r>
        <w:rPr>
          <w:rFonts w:hint="eastAsia" w:ascii="仿宋_GB2312" w:hAnsi="仿宋" w:cs="仿宋"/>
        </w:rPr>
        <w:t>提升市内骨干网架承接能力，争取1000千伏南阳至长治II回特高压交流线路纳入规划。提升青海至河南特高压直流输电工程送电能力，扩大现有特高压直流输送电量规模，提升河南省及我市“十四五”电力保障能力。</w:t>
      </w:r>
    </w:p>
    <w:p>
      <w:pPr>
        <w:spacing w:line="560" w:lineRule="exact"/>
        <w:ind w:firstLine="640" w:firstLineChars="200"/>
        <w:contextualSpacing/>
        <w:outlineLvl w:val="3"/>
        <w:rPr>
          <w:rFonts w:ascii="仿宋_GB2312" w:hAnsi="仿宋" w:cs="仿宋"/>
        </w:rPr>
      </w:pPr>
      <w:r>
        <w:rPr>
          <w:rFonts w:hint="eastAsia" w:ascii="仿宋_GB2312" w:hAnsi="仿宋" w:cs="仿宋"/>
          <w:bCs/>
        </w:rPr>
        <w:t>积极构建新型电力系统。</w:t>
      </w:r>
      <w:r>
        <w:rPr>
          <w:rFonts w:hint="eastAsia" w:ascii="仿宋_GB2312" w:hAnsi="仿宋" w:cs="仿宋"/>
        </w:rPr>
        <w:t>统筹高比例新能源系统发展和电力安全稳定供应，提升系统电压、频率调节支撑能力，优化电网安稳控制系统配置，推动电力系统向适应大规模高比例新能源方向演进。适时推动新建及存量风电、光伏项目配置储能设施；提升需求侧响应能力，鼓励各类高耗能企业改善工艺和生产计划，为系统提供可中断负荷、可控负荷等负荷管理服务。增强电网适应性，加大配电自动化改造力度，发展以消纳新能源为主的微电网、局域网、直流配电网，实现与大电网兼容互补。</w:t>
      </w:r>
    </w:p>
    <w:p>
      <w:pPr>
        <w:pStyle w:val="58"/>
        <w:spacing w:line="560" w:lineRule="exact"/>
        <w:ind w:firstLine="0" w:firstLineChars="0"/>
        <w:contextualSpacing/>
        <w:jc w:val="center"/>
        <w:outlineLvl w:val="1"/>
        <w:rPr>
          <w:rFonts w:ascii="楷体" w:hAnsi="楷体" w:eastAsia="楷体" w:cs="楷体"/>
          <w:bCs/>
          <w:sz w:val="32"/>
          <w:szCs w:val="32"/>
        </w:rPr>
      </w:pPr>
      <w:bookmarkStart w:id="670" w:name="_Toc25150"/>
      <w:bookmarkStart w:id="671" w:name="_Toc9695"/>
      <w:bookmarkStart w:id="672" w:name="_Toc10103"/>
      <w:bookmarkStart w:id="673" w:name="_Toc30952"/>
      <w:bookmarkStart w:id="674" w:name="_Toc14564"/>
      <w:bookmarkStart w:id="675" w:name="_Toc10619"/>
      <w:bookmarkStart w:id="676" w:name="_Toc359"/>
      <w:bookmarkStart w:id="677" w:name="_Toc8299"/>
      <w:r>
        <w:rPr>
          <w:rFonts w:hint="eastAsia" w:ascii="楷体" w:hAnsi="楷体" w:eastAsia="楷体" w:cs="楷体"/>
          <w:bCs/>
          <w:sz w:val="32"/>
          <w:szCs w:val="32"/>
        </w:rPr>
        <w:t>第二节 保障能源领域安全生产</w:t>
      </w:r>
      <w:bookmarkEnd w:id="670"/>
      <w:bookmarkEnd w:id="671"/>
      <w:bookmarkEnd w:id="672"/>
      <w:bookmarkEnd w:id="673"/>
      <w:bookmarkEnd w:id="674"/>
      <w:bookmarkEnd w:id="675"/>
      <w:bookmarkEnd w:id="676"/>
      <w:bookmarkEnd w:id="677"/>
    </w:p>
    <w:p>
      <w:pPr>
        <w:spacing w:line="560" w:lineRule="exact"/>
        <w:ind w:firstLine="640" w:firstLineChars="200"/>
        <w:contextualSpacing/>
        <w:rPr>
          <w:rFonts w:ascii="仿宋_GB2312" w:hAnsi="仿宋" w:cs="仿宋"/>
        </w:rPr>
      </w:pPr>
      <w:r>
        <w:rPr>
          <w:rFonts w:hint="eastAsia" w:ascii="仿宋_GB2312" w:hAnsi="Times New Roman"/>
        </w:rPr>
        <w:t>继续深入贯彻各级关于安全生产工作的决策部署，持续开</w:t>
      </w:r>
      <w:r>
        <w:rPr>
          <w:rFonts w:hint="eastAsia" w:ascii="仿宋_GB2312" w:hAnsi="仿宋" w:cs="仿宋"/>
        </w:rPr>
        <w:t>展能源安全生产活动，做好电力行业、油气输送管道安全生产日常隐患排查、监督管理和双重预防体系建设工作。对企业进行安全督导，切实保障全市电力行业、油气输送管道安全稳定运行。开展管道保护相关课题研究，不断提高管道安全保护科技水平，夯实管道保护基础工作，建立健全管道保护长效机制。</w:t>
      </w:r>
    </w:p>
    <w:p>
      <w:pPr>
        <w:spacing w:line="560" w:lineRule="exact"/>
        <w:ind w:firstLine="640" w:firstLineChars="200"/>
        <w:contextualSpacing/>
        <w:rPr>
          <w:rFonts w:ascii="仿宋_GB2312" w:hAnsi="黑体" w:cs="黑体"/>
        </w:rPr>
      </w:pPr>
      <w:r>
        <w:rPr>
          <w:rFonts w:hint="eastAsia" w:ascii="仿宋_GB2312" w:hAnsi="仿宋" w:cs="仿宋"/>
        </w:rPr>
        <w:t>坚持“预防为主，安全第一，综合治理”的原则，严格执行国家安全生产设防标准，提高能源基础设施抗灾能力。建立健全能源应急保障机制，强化煤电油气运行应急与社会综合应急的衔接。进一步落实安全责任制，严格安全生产执法，加大事故处罚力度，严肃责任追究制度。</w:t>
      </w:r>
      <w:bookmarkStart w:id="678" w:name="_Toc19837"/>
      <w:bookmarkStart w:id="679" w:name="_Toc7450"/>
      <w:bookmarkStart w:id="680" w:name="_Toc25359"/>
      <w:bookmarkStart w:id="681" w:name="_Toc10182"/>
      <w:bookmarkStart w:id="682" w:name="_Toc17740"/>
      <w:bookmarkStart w:id="683" w:name="_Toc29262"/>
    </w:p>
    <w:p>
      <w:pPr>
        <w:pStyle w:val="58"/>
        <w:spacing w:line="560" w:lineRule="exact"/>
        <w:ind w:firstLine="0" w:firstLineChars="0"/>
        <w:contextualSpacing/>
        <w:jc w:val="center"/>
        <w:outlineLvl w:val="1"/>
        <w:rPr>
          <w:rFonts w:ascii="楷体" w:hAnsi="楷体" w:eastAsia="楷体" w:cs="楷体"/>
          <w:bCs/>
          <w:sz w:val="32"/>
          <w:szCs w:val="32"/>
        </w:rPr>
      </w:pPr>
      <w:bookmarkStart w:id="684" w:name="_Toc28574"/>
      <w:bookmarkStart w:id="685" w:name="_Toc18147"/>
      <w:r>
        <w:rPr>
          <w:rFonts w:hint="eastAsia" w:ascii="楷体" w:hAnsi="楷体" w:eastAsia="楷体" w:cs="楷体"/>
          <w:bCs/>
          <w:sz w:val="32"/>
          <w:szCs w:val="32"/>
        </w:rPr>
        <w:t>第三节 增强能源风险管控能力</w:t>
      </w:r>
      <w:bookmarkEnd w:id="678"/>
      <w:bookmarkEnd w:id="679"/>
      <w:bookmarkEnd w:id="680"/>
      <w:bookmarkEnd w:id="681"/>
      <w:bookmarkEnd w:id="682"/>
      <w:bookmarkEnd w:id="683"/>
      <w:bookmarkEnd w:id="684"/>
      <w:bookmarkEnd w:id="685"/>
    </w:p>
    <w:p>
      <w:pPr>
        <w:spacing w:line="560" w:lineRule="exact"/>
        <w:ind w:firstLine="640" w:firstLineChars="200"/>
        <w:contextualSpacing/>
        <w:rPr>
          <w:rFonts w:ascii="仿宋_GB2312" w:hAnsi="仿宋" w:cs="仿宋"/>
        </w:rPr>
      </w:pPr>
      <w:r>
        <w:rPr>
          <w:rFonts w:hint="eastAsia" w:ascii="仿宋_GB2312" w:hAnsi="仿宋" w:cs="仿宋"/>
          <w:bCs/>
        </w:rPr>
        <w:t>1.提高电力应急处置和抗灾能力。</w:t>
      </w:r>
      <w:r>
        <w:rPr>
          <w:rFonts w:hint="eastAsia" w:ascii="仿宋_GB2312" w:hAnsi="仿宋" w:cs="仿宋"/>
        </w:rPr>
        <w:t>强化电网分区运行能力，推进220千伏分区电网建设，进一步提升电网互通互济能力、上下级电网协调水平。加强电网黑启动电源建设，加快推进天池抽水蓄能电站等水电调峰设施建设。推进重要用户自备应急电源配置，落实《重要电力用户供电电源及自备应急电源配置技术规范》要求，开展重要用户应急能力建设情况排查，督促重要用户配足柴油发电机、UPS（不间断电源）等自备应急电源，确保应急发电设备“应配尽配、配而能用”。提升电力安全核心信息自主可控能力，购置国产自主化的电子信息安全设备、操作系统和数据库、中间件，逐步减少对国外产品和技术的依赖，实现软硬件设施的自主可控和国产替代，降低安全风险。</w:t>
      </w:r>
    </w:p>
    <w:p>
      <w:pPr>
        <w:spacing w:line="560" w:lineRule="exact"/>
        <w:ind w:firstLine="640" w:firstLineChars="200"/>
        <w:contextualSpacing/>
        <w:rPr>
          <w:rFonts w:ascii="Times New Roman" w:hAnsi="Times New Roman" w:eastAsia="方正黑体_GBK"/>
        </w:rPr>
      </w:pPr>
      <w:r>
        <w:rPr>
          <w:rFonts w:hint="eastAsia" w:ascii="仿宋_GB2312" w:hAnsi="仿宋" w:cs="仿宋"/>
          <w:bCs/>
        </w:rPr>
        <w:t>2.强化电力系统网络安全。</w:t>
      </w:r>
      <w:r>
        <w:rPr>
          <w:rFonts w:hint="eastAsia" w:ascii="仿宋_GB2312" w:hAnsi="仿宋" w:cs="仿宋"/>
        </w:rPr>
        <w:t>完成各地调度主站、配电自动化主站、调控云平台、数据中心等防护能力提升建设，全面提升安全保障能力。建立健全网络安全应急处置方案，提高网络安全应急处置能力。健全7×24小时网络安全在线监测机制，完善全场景态势感知平台，加强关键节点监控，提升网络安全分析管控能力。加大安全接入平台、隔离装置等自主可控产品应用力度，建立网络安全常态监督和通报机制，完善网络安全技防体系，健全全域网络安全技术监管体系。加强电化学储能电站安全管理，坚持“安全第一、预防为主、综合治理”方针，建立“企业负责、行业自律、政府监管、社会监督”的管理机制，督促储能电站建设单位建立安全风险分级管控制度和事故隐患排查治理制度，加强设计、施工、运行、拆除等环节全过程安全管控与监督。</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8480" w:type="dxa"/>
          </w:tcPr>
          <w:p>
            <w:pPr>
              <w:spacing w:line="400" w:lineRule="exact"/>
              <w:contextualSpacing/>
              <w:jc w:val="center"/>
              <w:rPr>
                <w:rFonts w:ascii="Times New Roman" w:hAnsi="Times New Roman" w:eastAsia="仿宋"/>
                <w:sz w:val="30"/>
                <w:szCs w:val="30"/>
              </w:rPr>
            </w:pPr>
            <w:r>
              <w:rPr>
                <w:rFonts w:hint="eastAsia" w:ascii="黑体" w:hAnsi="黑体" w:eastAsia="黑体" w:cs="黑体"/>
                <w:sz w:val="28"/>
                <w:szCs w:val="28"/>
                <w:lang w:val="zh-CN" w:bidi="zh-CN"/>
              </w:rPr>
              <w:t>专栏3：增强能源安全保障能力重大工程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480" w:type="dxa"/>
          </w:tcPr>
          <w:p>
            <w:pPr>
              <w:spacing w:line="400" w:lineRule="exact"/>
              <w:ind w:firstLine="480" w:firstLineChars="200"/>
              <w:contextualSpacing/>
              <w:rPr>
                <w:rFonts w:ascii="仿宋" w:hAnsi="仿宋" w:eastAsia="仿宋" w:cs="仿宋"/>
                <w:sz w:val="24"/>
                <w:szCs w:val="24"/>
              </w:rPr>
            </w:pPr>
            <w:r>
              <w:rPr>
                <w:rFonts w:hint="eastAsia" w:ascii="楷体" w:hAnsi="楷体" w:eastAsia="楷体" w:cs="楷体"/>
                <w:bCs/>
                <w:sz w:val="24"/>
                <w:szCs w:val="24"/>
              </w:rPr>
              <w:t>稳定煤炭供应保障工程。</w:t>
            </w:r>
            <w:r>
              <w:rPr>
                <w:rFonts w:hint="eastAsia" w:ascii="仿宋" w:hAnsi="仿宋" w:eastAsia="仿宋" w:cs="仿宋"/>
                <w:bCs/>
                <w:sz w:val="24"/>
                <w:szCs w:val="24"/>
              </w:rPr>
              <w:t>完成内乡煤炭储配基地一期项目建设，</w:t>
            </w:r>
            <w:r>
              <w:rPr>
                <w:rFonts w:hint="eastAsia" w:ascii="仿宋" w:hAnsi="仿宋" w:eastAsia="仿宋" w:cs="仿宋"/>
                <w:sz w:val="24"/>
                <w:szCs w:val="24"/>
              </w:rPr>
              <w:t>建成150万吨煤炭储配能力，达到2000万吨煤炭流通能力；</w:t>
            </w:r>
            <w:r>
              <w:rPr>
                <w:rFonts w:hint="eastAsia" w:ascii="仿宋" w:hAnsi="仿宋" w:eastAsia="仿宋" w:cs="仿宋"/>
                <w:bCs/>
                <w:sz w:val="24"/>
                <w:szCs w:val="24"/>
              </w:rPr>
              <w:t>建设西峡县煤炭中转储运基地项目，</w:t>
            </w:r>
            <w:r>
              <w:rPr>
                <w:rFonts w:hint="eastAsia" w:ascii="仿宋" w:hAnsi="仿宋" w:eastAsia="仿宋" w:cs="仿宋"/>
                <w:sz w:val="24"/>
                <w:szCs w:val="24"/>
              </w:rPr>
              <w:t>规划建成煤炭周转量1000万吨、静态储煤能力60万吨以上。</w:t>
            </w:r>
          </w:p>
          <w:p>
            <w:pPr>
              <w:spacing w:line="400" w:lineRule="exact"/>
              <w:ind w:firstLine="480" w:firstLineChars="200"/>
              <w:contextualSpacing/>
              <w:rPr>
                <w:rFonts w:ascii="仿宋" w:hAnsi="仿宋" w:eastAsia="仿宋" w:cs="仿宋"/>
                <w:sz w:val="24"/>
                <w:szCs w:val="24"/>
              </w:rPr>
            </w:pPr>
            <w:r>
              <w:rPr>
                <w:rFonts w:hint="eastAsia" w:ascii="楷体" w:hAnsi="楷体" w:eastAsia="楷体" w:cs="楷体"/>
                <w:bCs/>
                <w:sz w:val="24"/>
                <w:szCs w:val="24"/>
              </w:rPr>
              <w:t>外电入豫工程。</w:t>
            </w:r>
            <w:r>
              <w:rPr>
                <w:rFonts w:hint="eastAsia" w:ascii="仿宋" w:hAnsi="仿宋" w:eastAsia="仿宋" w:cs="仿宋"/>
                <w:sz w:val="24"/>
                <w:szCs w:val="24"/>
              </w:rPr>
              <w:t>提升青海至河南特高压直流输电工程送电能力，扩大现有特高压直流输送电量规模。争取1000千伏南阳至长治II回特高压交流线路纳入规划，积极开展前期工作。</w:t>
            </w:r>
          </w:p>
          <w:p>
            <w:pPr>
              <w:spacing w:line="400" w:lineRule="exact"/>
              <w:ind w:firstLine="480" w:firstLineChars="200"/>
              <w:contextualSpacing/>
              <w:rPr>
                <w:rFonts w:ascii="仿宋" w:hAnsi="仿宋" w:eastAsia="仿宋" w:cs="仿宋"/>
                <w:sz w:val="24"/>
                <w:szCs w:val="24"/>
              </w:rPr>
            </w:pPr>
            <w:r>
              <w:rPr>
                <w:rFonts w:hint="eastAsia" w:ascii="楷体" w:hAnsi="楷体" w:eastAsia="楷体" w:cs="楷体"/>
                <w:bCs/>
                <w:sz w:val="24"/>
                <w:szCs w:val="24"/>
              </w:rPr>
              <w:t>油气保障能力提升工程。</w:t>
            </w:r>
            <w:r>
              <w:rPr>
                <w:rFonts w:hint="eastAsia" w:ascii="仿宋" w:hAnsi="仿宋" w:eastAsia="仿宋" w:cs="仿宋"/>
                <w:bCs/>
                <w:sz w:val="24"/>
                <w:szCs w:val="24"/>
              </w:rPr>
              <w:t>积</w:t>
            </w:r>
            <w:r>
              <w:rPr>
                <w:rFonts w:hint="eastAsia" w:ascii="仿宋" w:hAnsi="仿宋" w:eastAsia="仿宋" w:cs="仿宋"/>
                <w:sz w:val="24"/>
                <w:szCs w:val="24"/>
              </w:rPr>
              <w:t>极推动豫西南液化天然气储备中心项目实现与省内6座储气库、中原储气库群、滨河大型储罐互联互通。</w:t>
            </w:r>
          </w:p>
          <w:p>
            <w:pPr>
              <w:spacing w:line="400" w:lineRule="exact"/>
              <w:ind w:firstLine="480" w:firstLineChars="200"/>
              <w:contextualSpacing/>
              <w:rPr>
                <w:rFonts w:ascii="Times New Roman" w:hAnsi="Times New Roman"/>
                <w:sz w:val="30"/>
                <w:szCs w:val="30"/>
              </w:rPr>
            </w:pPr>
            <w:r>
              <w:rPr>
                <w:rFonts w:hint="eastAsia" w:ascii="楷体" w:hAnsi="楷体" w:eastAsia="楷体" w:cs="楷体"/>
                <w:bCs/>
                <w:sz w:val="24"/>
                <w:szCs w:val="24"/>
              </w:rPr>
              <w:t>天然气供应保障工程。</w:t>
            </w:r>
            <w:r>
              <w:rPr>
                <w:rFonts w:hint="eastAsia" w:ascii="仿宋" w:hAnsi="仿宋" w:eastAsia="仿宋" w:cs="仿宋"/>
                <w:sz w:val="24"/>
                <w:szCs w:val="24"/>
              </w:rPr>
              <w:t>建设西气东输三线南阳段、</w:t>
            </w:r>
            <w:r>
              <w:rPr>
                <w:rFonts w:hint="eastAsia" w:ascii="仿宋" w:hAnsi="仿宋" w:eastAsia="仿宋" w:cs="仿宋"/>
                <w:bCs/>
                <w:sz w:val="24"/>
                <w:szCs w:val="24"/>
              </w:rPr>
              <w:t>镇平－邓州、唐河-桐柏天然气管道项目。</w:t>
            </w:r>
            <w:r>
              <w:rPr>
                <w:rFonts w:hint="eastAsia" w:ascii="仿宋" w:hAnsi="仿宋" w:eastAsia="仿宋" w:cs="仿宋"/>
                <w:sz w:val="24"/>
                <w:szCs w:val="24"/>
              </w:rPr>
              <w:t>谋划</w:t>
            </w:r>
            <w:r>
              <w:rPr>
                <w:rFonts w:hint="eastAsia" w:ascii="仿宋" w:hAnsi="仿宋" w:eastAsia="仿宋" w:cs="仿宋"/>
                <w:bCs/>
                <w:sz w:val="24"/>
                <w:szCs w:val="24"/>
              </w:rPr>
              <w:t>陕气入豫西峡天然气管道项目</w:t>
            </w:r>
            <w:r>
              <w:rPr>
                <w:rFonts w:hint="eastAsia" w:ascii="仿宋" w:hAnsi="仿宋" w:eastAsia="仿宋" w:cs="仿宋"/>
                <w:sz w:val="24"/>
                <w:szCs w:val="24"/>
              </w:rPr>
              <w:t>。</w:t>
            </w:r>
          </w:p>
        </w:tc>
      </w:tr>
    </w:tbl>
    <w:p>
      <w:pPr>
        <w:pStyle w:val="58"/>
        <w:spacing w:line="560" w:lineRule="exact"/>
        <w:ind w:firstLine="0" w:firstLineChars="0"/>
        <w:contextualSpacing/>
        <w:jc w:val="center"/>
        <w:outlineLvl w:val="1"/>
        <w:rPr>
          <w:rFonts w:ascii="黑体" w:hAnsi="黑体" w:eastAsia="黑体" w:cs="黑体"/>
          <w:sz w:val="32"/>
          <w:szCs w:val="32"/>
        </w:rPr>
      </w:pPr>
      <w:bookmarkStart w:id="686" w:name="_Toc14968"/>
      <w:bookmarkStart w:id="687" w:name="_Toc1381"/>
      <w:bookmarkStart w:id="688" w:name="_Toc3792"/>
      <w:bookmarkStart w:id="689" w:name="_Toc23252"/>
      <w:bookmarkStart w:id="690" w:name="_Toc10984"/>
      <w:bookmarkStart w:id="691" w:name="_Toc10201"/>
      <w:bookmarkStart w:id="692" w:name="_Toc27563"/>
      <w:bookmarkStart w:id="693" w:name="_Toc23447"/>
      <w:r>
        <w:rPr>
          <w:rFonts w:hint="eastAsia" w:ascii="黑体" w:hAnsi="黑体" w:eastAsia="黑体" w:cs="黑体"/>
          <w:sz w:val="32"/>
          <w:szCs w:val="32"/>
        </w:rPr>
        <w:t>第六章 积极培育现代能源发展新优势</w:t>
      </w:r>
      <w:bookmarkEnd w:id="686"/>
      <w:bookmarkEnd w:id="687"/>
      <w:bookmarkEnd w:id="688"/>
      <w:bookmarkEnd w:id="689"/>
      <w:bookmarkEnd w:id="690"/>
      <w:bookmarkEnd w:id="691"/>
      <w:bookmarkEnd w:id="692"/>
      <w:bookmarkEnd w:id="693"/>
    </w:p>
    <w:p>
      <w:pPr>
        <w:pStyle w:val="58"/>
        <w:spacing w:line="560" w:lineRule="exact"/>
        <w:ind w:firstLine="0" w:firstLineChars="0"/>
        <w:contextualSpacing/>
        <w:jc w:val="center"/>
        <w:outlineLvl w:val="1"/>
        <w:rPr>
          <w:rFonts w:ascii="楷体" w:hAnsi="楷体" w:eastAsia="楷体" w:cs="楷体"/>
          <w:bCs/>
          <w:sz w:val="32"/>
          <w:szCs w:val="32"/>
        </w:rPr>
      </w:pPr>
      <w:bookmarkStart w:id="694" w:name="_Toc28916"/>
      <w:bookmarkStart w:id="695" w:name="_Toc19085"/>
      <w:bookmarkStart w:id="696" w:name="_Toc13198"/>
      <w:bookmarkStart w:id="697" w:name="_Toc32436"/>
      <w:bookmarkStart w:id="698" w:name="_Toc17163"/>
      <w:bookmarkStart w:id="699" w:name="_Toc22895"/>
      <w:bookmarkStart w:id="700" w:name="_Toc25307"/>
      <w:bookmarkStart w:id="701" w:name="_Toc28700"/>
      <w:r>
        <w:rPr>
          <w:rFonts w:hint="eastAsia" w:ascii="楷体" w:hAnsi="楷体" w:eastAsia="楷体" w:cs="楷体"/>
          <w:bCs/>
          <w:sz w:val="32"/>
          <w:szCs w:val="32"/>
        </w:rPr>
        <w:t>第一节 培育壮大新产业新业态新模式</w:t>
      </w:r>
      <w:bookmarkEnd w:id="694"/>
      <w:bookmarkEnd w:id="695"/>
      <w:bookmarkEnd w:id="696"/>
      <w:bookmarkEnd w:id="697"/>
      <w:bookmarkEnd w:id="698"/>
      <w:bookmarkEnd w:id="699"/>
      <w:bookmarkEnd w:id="700"/>
      <w:bookmarkEnd w:id="701"/>
    </w:p>
    <w:p>
      <w:pPr>
        <w:spacing w:line="560" w:lineRule="exact"/>
        <w:ind w:firstLine="640" w:firstLineChars="200"/>
        <w:contextualSpacing/>
        <w:rPr>
          <w:rFonts w:ascii="仿宋_GB2312" w:hAnsi="仿宋" w:cs="仿宋"/>
        </w:rPr>
      </w:pPr>
      <w:r>
        <w:rPr>
          <w:rFonts w:hint="eastAsia" w:ascii="仿宋_GB2312" w:hAnsi="仿宋" w:cs="仿宋"/>
        </w:rPr>
        <w:t>加快能源先进技术研发、成果转化及产业化步伐，培育储能、综合智慧能源等新业态新模式，壮大氢能、能源高端装备制造等新产业。</w:t>
      </w:r>
      <w:bookmarkStart w:id="702" w:name="_Toc22441"/>
      <w:bookmarkStart w:id="703" w:name="_Toc24747"/>
      <w:bookmarkStart w:id="704" w:name="_Toc13895"/>
    </w:p>
    <w:p>
      <w:pPr>
        <w:spacing w:line="560" w:lineRule="exact"/>
        <w:ind w:firstLine="640" w:firstLineChars="200"/>
        <w:contextualSpacing/>
        <w:rPr>
          <w:rFonts w:ascii="仿宋_GB2312" w:hAnsi="仿宋" w:cs="仿宋"/>
        </w:rPr>
      </w:pPr>
      <w:r>
        <w:rPr>
          <w:rFonts w:hint="eastAsia" w:ascii="仿宋_GB2312" w:hAnsi="仿宋" w:cs="仿宋"/>
          <w:bCs/>
        </w:rPr>
        <w:t>1.储能设施建设</w:t>
      </w:r>
      <w:bookmarkEnd w:id="702"/>
      <w:bookmarkEnd w:id="703"/>
      <w:bookmarkEnd w:id="704"/>
      <w:r>
        <w:rPr>
          <w:rFonts w:hint="eastAsia" w:ascii="仿宋_GB2312" w:hAnsi="仿宋" w:cs="仿宋"/>
          <w:bCs/>
        </w:rPr>
        <w:t>。</w:t>
      </w:r>
      <w:r>
        <w:rPr>
          <w:rFonts w:hint="eastAsia" w:ascii="仿宋_GB2312" w:hAnsi="仿宋" w:cs="仿宋"/>
        </w:rPr>
        <w:t>坚持以市场化为导向，科学合理选择经济技术可行的路线，优先发展大容量、高效率、长时间储能设施。大力推进可再生能源领域储能示范应用，促进储能系统与新能源、电力系统协调优化运行。鼓励新建集中式风电、光伏项目按照一定比例配套储能设施。在新能源资源较丰富、系统消纳能力较差或电网调峰需求较为集中的地区，鼓励建设独立共享式新型储能电站。积极落实储能配套政策，完善储能市场化交易机制和价格形成机制，支持储能设施参与辅助服务市场和电力现货市场。争取储能产业相关上下游企业在我市布局，带动材料生产、设备制造、系统集成、运行检测产业链延伸发展。依托淅川、内乡、西峡、邓州等先进制造业开发区，积极开展驱动、控制、节能、充电、辅助驾驶、电池回收等关键技术攻关，积极发展新能源汽车动力总成，增强核心竞争优势。发展利用整车管理集成、材料轻量化、自动驾驶、智能网联等关键技术,巩固新能源专用车研发制造基础，拓展物流专用车、垃圾专用车、环卫专用车等新能源专用车产品领域。强化资源回收利用，促进动力电池回收与再利用体系建设，大力推进九龙新材料、华创新能源、海宏科技等项目建设。</w:t>
      </w:r>
    </w:p>
    <w:p>
      <w:pPr>
        <w:spacing w:line="560" w:lineRule="exact"/>
        <w:ind w:firstLine="640" w:firstLineChars="200"/>
        <w:contextualSpacing/>
        <w:outlineLvl w:val="2"/>
        <w:rPr>
          <w:rFonts w:ascii="仿宋_GB2312" w:hAnsi="仿宋" w:cs="仿宋"/>
        </w:rPr>
      </w:pPr>
      <w:bookmarkStart w:id="705" w:name="_Toc2389"/>
      <w:bookmarkStart w:id="706" w:name="_Toc6657"/>
      <w:bookmarkStart w:id="707" w:name="_Toc26347"/>
      <w:r>
        <w:rPr>
          <w:rFonts w:hint="eastAsia" w:ascii="仿宋_GB2312" w:hAnsi="仿宋" w:cs="仿宋"/>
          <w:bCs/>
        </w:rPr>
        <w:t>2.氢能开发利用</w:t>
      </w:r>
      <w:bookmarkEnd w:id="705"/>
      <w:bookmarkEnd w:id="706"/>
      <w:bookmarkEnd w:id="707"/>
      <w:r>
        <w:rPr>
          <w:rFonts w:hint="eastAsia" w:ascii="仿宋_GB2312" w:hAnsi="仿宋" w:cs="仿宋"/>
          <w:bCs/>
        </w:rPr>
        <w:t>。</w:t>
      </w:r>
      <w:r>
        <w:rPr>
          <w:rFonts w:hint="eastAsia" w:ascii="仿宋_GB2312" w:hAnsi="仿宋" w:cs="仿宋"/>
        </w:rPr>
        <w:t>依托我市较丰富的太阳能和风能资源，适时开展可再生能源制氢（绿氢）和低谷电力制氢试点示范，培育风电光伏发电+制氢一体化应用模式。合理布局加氢站，重点推进城市公交、物流、环卫等专用车加氢站建设。同时，开展加油、加气、充电和加氢站合建模式试点项目建设。探索氢能应用商业模式创新，发展氢能制取和储运新业态，培育氢能产储运用产业链条。开展氢能在交通领域的应用场景，推进氢燃料电池公交车、大中型客车及物流车等专用车的氢能应用示范试点。因地制宜逐步拓展氢能应用领域。</w:t>
      </w:r>
    </w:p>
    <w:p>
      <w:pPr>
        <w:spacing w:line="560" w:lineRule="exact"/>
        <w:ind w:firstLine="640" w:firstLineChars="200"/>
        <w:contextualSpacing/>
        <w:outlineLvl w:val="2"/>
        <w:rPr>
          <w:rFonts w:ascii="仿宋_GB2312" w:hAnsi="仿宋" w:cs="仿宋"/>
        </w:rPr>
      </w:pPr>
      <w:bookmarkStart w:id="708" w:name="_Toc17170"/>
      <w:bookmarkStart w:id="709" w:name="_Toc9855"/>
      <w:bookmarkStart w:id="710" w:name="_Toc21202"/>
      <w:r>
        <w:rPr>
          <w:rFonts w:hint="eastAsia" w:ascii="仿宋_GB2312" w:hAnsi="仿宋" w:cs="仿宋"/>
          <w:bCs/>
        </w:rPr>
        <w:t>3.综合智慧能源</w:t>
      </w:r>
      <w:bookmarkEnd w:id="708"/>
      <w:bookmarkEnd w:id="709"/>
      <w:bookmarkEnd w:id="710"/>
      <w:r>
        <w:rPr>
          <w:rFonts w:hint="eastAsia" w:ascii="仿宋_GB2312" w:hAnsi="仿宋" w:cs="仿宋"/>
          <w:bCs/>
        </w:rPr>
        <w:t>。</w:t>
      </w:r>
      <w:r>
        <w:rPr>
          <w:rFonts w:hint="eastAsia" w:ascii="仿宋_GB2312" w:hAnsi="仿宋" w:cs="仿宋"/>
        </w:rPr>
        <w:t>以5G、大数据、人工智能、储能等新技术为支撑，重点在开发区、公共机构、城市商业区、居民区等，依托配电网、配气网、热力网等能源网络，因地制宜建设风能、太阳能、天然气等多能协调互补的“源网荷储一体化”智慧能源系统，推动能源汇集、传输、转换、运行等智能化控制，实现“冷热电气”高效供应和能源梯级利用。鼓励以分布式光伏、分散式风电等为主要电源的“智慧微网”建设，与工业、建筑、交通等产业协同发展，实现可再生能源就近消纳。</w:t>
      </w:r>
    </w:p>
    <w:p>
      <w:pPr>
        <w:spacing w:line="560" w:lineRule="exact"/>
        <w:ind w:firstLine="640" w:firstLineChars="200"/>
        <w:contextualSpacing/>
        <w:outlineLvl w:val="2"/>
        <w:rPr>
          <w:rFonts w:ascii="仿宋_GB2312" w:hAnsi="仿宋" w:cs="仿宋"/>
        </w:rPr>
      </w:pPr>
      <w:bookmarkStart w:id="711" w:name="_Toc20772"/>
      <w:bookmarkStart w:id="712" w:name="_Toc17751"/>
      <w:bookmarkStart w:id="713" w:name="_Toc15834"/>
      <w:r>
        <w:rPr>
          <w:rFonts w:hint="eastAsia" w:ascii="仿宋_GB2312" w:hAnsi="仿宋" w:cs="仿宋"/>
          <w:bCs/>
        </w:rPr>
        <w:t>4.能源高端装备制造</w:t>
      </w:r>
      <w:bookmarkEnd w:id="711"/>
      <w:bookmarkEnd w:id="712"/>
      <w:bookmarkEnd w:id="713"/>
      <w:r>
        <w:rPr>
          <w:rFonts w:hint="eastAsia" w:ascii="仿宋_GB2312" w:hAnsi="仿宋" w:cs="仿宋"/>
          <w:bCs/>
        </w:rPr>
        <w:t>。</w:t>
      </w:r>
      <w:r>
        <w:rPr>
          <w:rFonts w:hint="eastAsia" w:ascii="仿宋_GB2312" w:hAnsi="仿宋" w:cs="仿宋"/>
        </w:rPr>
        <w:t>坚持“创新驱动、智能转型、高端引领”发展思路，以市内光伏、风电、储能等开发利用为契机，吸引装备制造企业落地。加强风电装备和风电运行控制研发，以发展风电成套机组组装为突破口，带动发电机、轴承、齿轮箱、叶片等风电关键零部件发展。推动新能源电池发展，积极发展氢燃料电池、锂硫电池、全固态锂离子电池等下一代动力电池。大力引进发展先进晶硅电池、高效光伏组件和智能逆变系统，促进太阳能集成应用技术开发，推动高效率、低成本的太阳能利用新技术产业化。</w:t>
      </w:r>
    </w:p>
    <w:p>
      <w:pPr>
        <w:pStyle w:val="58"/>
        <w:spacing w:line="560" w:lineRule="exact"/>
        <w:ind w:firstLine="0" w:firstLineChars="0"/>
        <w:contextualSpacing/>
        <w:jc w:val="center"/>
        <w:outlineLvl w:val="1"/>
        <w:rPr>
          <w:rFonts w:ascii="楷体" w:hAnsi="楷体" w:eastAsia="楷体" w:cs="楷体"/>
          <w:bCs/>
          <w:sz w:val="32"/>
          <w:szCs w:val="32"/>
        </w:rPr>
      </w:pPr>
      <w:bookmarkStart w:id="714" w:name="_Toc15168"/>
      <w:bookmarkStart w:id="715" w:name="_Toc7243"/>
      <w:bookmarkStart w:id="716" w:name="_Toc31761"/>
      <w:bookmarkStart w:id="717" w:name="_Toc19886"/>
      <w:bookmarkStart w:id="718" w:name="_Toc16566"/>
      <w:bookmarkStart w:id="719" w:name="_Toc13069"/>
      <w:bookmarkStart w:id="720" w:name="_Toc18066"/>
      <w:bookmarkStart w:id="721" w:name="_Toc19451"/>
      <w:r>
        <w:rPr>
          <w:rFonts w:hint="eastAsia" w:ascii="楷体" w:hAnsi="楷体" w:eastAsia="楷体" w:cs="楷体"/>
          <w:bCs/>
          <w:sz w:val="32"/>
          <w:szCs w:val="32"/>
        </w:rPr>
        <w:t>第二节 加强能源智能化建设</w:t>
      </w:r>
      <w:bookmarkEnd w:id="714"/>
      <w:bookmarkEnd w:id="715"/>
      <w:bookmarkEnd w:id="716"/>
      <w:bookmarkEnd w:id="717"/>
      <w:bookmarkEnd w:id="718"/>
      <w:bookmarkEnd w:id="719"/>
      <w:bookmarkEnd w:id="720"/>
      <w:bookmarkEnd w:id="721"/>
    </w:p>
    <w:p>
      <w:pPr>
        <w:spacing w:line="560" w:lineRule="exact"/>
        <w:ind w:firstLine="640" w:firstLineChars="200"/>
        <w:contextualSpacing/>
        <w:outlineLvl w:val="2"/>
        <w:rPr>
          <w:rFonts w:ascii="仿宋_GB2312" w:hAnsi="仿宋" w:cs="仿宋"/>
        </w:rPr>
      </w:pPr>
      <w:bookmarkStart w:id="722" w:name="_Toc15733"/>
      <w:bookmarkStart w:id="723" w:name="_Toc24991"/>
      <w:bookmarkStart w:id="724" w:name="_Toc19988"/>
      <w:bookmarkStart w:id="725" w:name="_Toc428"/>
      <w:r>
        <w:rPr>
          <w:rFonts w:hint="eastAsia" w:ascii="仿宋_GB2312" w:hAnsi="仿宋" w:cs="仿宋"/>
          <w:bCs/>
        </w:rPr>
        <w:t>1.提升能源智能化</w:t>
      </w:r>
      <w:bookmarkEnd w:id="722"/>
      <w:bookmarkEnd w:id="723"/>
      <w:bookmarkEnd w:id="724"/>
      <w:bookmarkEnd w:id="725"/>
      <w:r>
        <w:rPr>
          <w:rFonts w:hint="eastAsia" w:ascii="仿宋_GB2312" w:hAnsi="仿宋" w:cs="仿宋"/>
          <w:bCs/>
        </w:rPr>
        <w:t>。</w:t>
      </w:r>
      <w:r>
        <w:rPr>
          <w:rFonts w:hint="eastAsia" w:ascii="仿宋_GB2312" w:hAnsi="仿宋" w:cs="仿宋"/>
        </w:rPr>
        <w:t>大力推进智慧能源项目建设，提高用能环节智能管控水平，制定优化能源运行策略，提升能源利用效率和用能经济性。聚焦产业发展、新能源发展、节能减排等重点领域，拓展能源大数据应用场景，推进能源资源协调开发和科学配置，促进与多能互补示范园区、智慧综合能源服务融合发展。</w:t>
      </w:r>
    </w:p>
    <w:p>
      <w:pPr>
        <w:spacing w:line="560" w:lineRule="exact"/>
        <w:ind w:firstLine="640" w:firstLineChars="200"/>
        <w:contextualSpacing/>
        <w:outlineLvl w:val="2"/>
        <w:rPr>
          <w:rFonts w:ascii="仿宋_GB2312" w:hAnsi="仿宋" w:cs="仿宋"/>
        </w:rPr>
      </w:pPr>
      <w:bookmarkStart w:id="726" w:name="_Toc22333"/>
      <w:bookmarkStart w:id="727" w:name="_Toc28235"/>
      <w:bookmarkStart w:id="728" w:name="_Toc13625"/>
      <w:bookmarkStart w:id="729" w:name="_Toc14638"/>
      <w:r>
        <w:rPr>
          <w:rFonts w:hint="eastAsia" w:ascii="仿宋_GB2312" w:hAnsi="仿宋" w:cs="仿宋"/>
          <w:bCs/>
        </w:rPr>
        <w:t>2.提高电网智能化</w:t>
      </w:r>
      <w:bookmarkEnd w:id="726"/>
      <w:bookmarkEnd w:id="727"/>
      <w:bookmarkEnd w:id="728"/>
      <w:bookmarkEnd w:id="729"/>
      <w:r>
        <w:rPr>
          <w:rFonts w:hint="eastAsia" w:ascii="仿宋_GB2312" w:hAnsi="仿宋" w:cs="仿宋"/>
          <w:bCs/>
        </w:rPr>
        <w:t>。</w:t>
      </w:r>
      <w:r>
        <w:rPr>
          <w:rFonts w:hint="eastAsia" w:ascii="仿宋_GB2312" w:hAnsi="仿宋" w:cs="仿宋"/>
        </w:rPr>
        <w:t>加强信息传输网络建设，加快大数据、人工智能技术应用，构建高度智慧化电网运行体系。推动新型计量设备改造升级，提升数据采集、检测的智能化水平。实施35千伏及以上电网管线网架完善和通信带宽提升工程。加强网络安全防护能力建设，完善电力监控系统安全保护体系，保障电网安全可靠运行。</w:t>
      </w:r>
    </w:p>
    <w:p>
      <w:pPr>
        <w:pStyle w:val="58"/>
        <w:spacing w:line="560" w:lineRule="exact"/>
        <w:ind w:firstLine="0" w:firstLineChars="0"/>
        <w:contextualSpacing/>
        <w:jc w:val="center"/>
        <w:outlineLvl w:val="1"/>
        <w:rPr>
          <w:rFonts w:ascii="楷体" w:hAnsi="楷体" w:eastAsia="楷体" w:cs="楷体"/>
          <w:bCs/>
          <w:sz w:val="32"/>
          <w:szCs w:val="32"/>
        </w:rPr>
      </w:pPr>
      <w:bookmarkStart w:id="730" w:name="_Toc15022"/>
      <w:bookmarkStart w:id="731" w:name="_Toc25499"/>
      <w:bookmarkStart w:id="732" w:name="_Toc30316"/>
      <w:bookmarkStart w:id="733" w:name="_Toc1017"/>
      <w:bookmarkStart w:id="734" w:name="_Toc26571"/>
      <w:bookmarkStart w:id="735" w:name="_Toc1779"/>
      <w:bookmarkStart w:id="736" w:name="_Toc18467"/>
      <w:bookmarkStart w:id="737" w:name="_Toc18246"/>
      <w:r>
        <w:rPr>
          <w:rFonts w:hint="eastAsia" w:ascii="楷体" w:hAnsi="楷体" w:eastAsia="楷体" w:cs="楷体"/>
          <w:bCs/>
          <w:sz w:val="32"/>
          <w:szCs w:val="32"/>
        </w:rPr>
        <w:t>第三节 强化现代能源惠民服务力度</w:t>
      </w:r>
      <w:bookmarkEnd w:id="730"/>
      <w:bookmarkEnd w:id="731"/>
      <w:bookmarkEnd w:id="732"/>
      <w:bookmarkEnd w:id="733"/>
      <w:bookmarkEnd w:id="734"/>
      <w:bookmarkEnd w:id="735"/>
      <w:bookmarkEnd w:id="736"/>
      <w:bookmarkEnd w:id="737"/>
    </w:p>
    <w:p>
      <w:pPr>
        <w:spacing w:line="560" w:lineRule="exact"/>
        <w:ind w:firstLine="640" w:firstLineChars="200"/>
        <w:contextualSpacing/>
        <w:rPr>
          <w:rFonts w:ascii="仿宋_GB2312" w:hAnsi="仿宋" w:cs="仿宋"/>
        </w:rPr>
      </w:pPr>
      <w:r>
        <w:rPr>
          <w:rFonts w:hint="eastAsia" w:ascii="仿宋_GB2312" w:hAnsi="仿宋" w:cs="仿宋"/>
        </w:rPr>
        <w:t>持续推动能源惠民利民工程建设，不断完善城乡用能基础设施，实现城乡居民共享能源发展成果。</w:t>
      </w:r>
    </w:p>
    <w:p>
      <w:pPr>
        <w:spacing w:line="560" w:lineRule="exact"/>
        <w:ind w:firstLine="640" w:firstLineChars="200"/>
        <w:contextualSpacing/>
        <w:outlineLvl w:val="2"/>
        <w:rPr>
          <w:rFonts w:ascii="仿宋_GB2312" w:hAnsi="仿宋" w:cs="仿宋"/>
        </w:rPr>
      </w:pPr>
      <w:bookmarkStart w:id="738" w:name="_Toc5052"/>
      <w:bookmarkStart w:id="739" w:name="_Toc7573"/>
      <w:bookmarkStart w:id="740" w:name="_Toc20172"/>
      <w:bookmarkStart w:id="741" w:name="_Toc15395"/>
      <w:bookmarkStart w:id="742" w:name="_Toc22417"/>
      <w:bookmarkStart w:id="743" w:name="_Toc4335"/>
      <w:r>
        <w:rPr>
          <w:rFonts w:hint="eastAsia" w:ascii="仿宋_GB2312" w:hAnsi="仿宋" w:cs="仿宋"/>
          <w:bCs/>
        </w:rPr>
        <w:t>1.提升电网服务水平</w:t>
      </w:r>
      <w:bookmarkEnd w:id="738"/>
      <w:bookmarkEnd w:id="739"/>
      <w:bookmarkEnd w:id="740"/>
      <w:bookmarkEnd w:id="741"/>
      <w:bookmarkEnd w:id="742"/>
      <w:bookmarkEnd w:id="743"/>
      <w:r>
        <w:rPr>
          <w:rFonts w:hint="eastAsia" w:ascii="仿宋_GB2312" w:hAnsi="仿宋" w:cs="仿宋"/>
          <w:bCs/>
        </w:rPr>
        <w:t>。</w:t>
      </w:r>
      <w:r>
        <w:rPr>
          <w:rFonts w:hint="eastAsia" w:ascii="仿宋_GB2312" w:hAnsi="仿宋" w:cs="仿宋"/>
        </w:rPr>
        <w:t>围绕服务居民用电需求，实施新型城镇化供电能力提升工程，提高供电可靠性。服务重大战略实施，持续提升“简化获得电力”服务水平，全力保障重大项目用电需求。服务清洁能源发展，结合风电、光伏发电、生物质发电等可再生能源发展布局，加强配套电网建设，增强电网运行调节能力，实现无差别接入电网。服务美丽南阳城市建设，推动电网工程与城市建设协调融合发展，建设环境友好型电网。推进农网提档升级工程建设，提高乡村地区生产生活用电的安全性和稳定性。</w:t>
      </w:r>
    </w:p>
    <w:p>
      <w:pPr>
        <w:spacing w:line="560" w:lineRule="exact"/>
        <w:ind w:firstLine="640" w:firstLineChars="200"/>
        <w:contextualSpacing/>
        <w:outlineLvl w:val="2"/>
        <w:rPr>
          <w:rFonts w:ascii="仿宋_GB2312" w:hAnsi="仿宋" w:cs="仿宋"/>
        </w:rPr>
      </w:pPr>
      <w:bookmarkStart w:id="744" w:name="_Toc4051"/>
      <w:bookmarkStart w:id="745" w:name="_Toc877"/>
      <w:bookmarkStart w:id="746" w:name="_Toc24426"/>
      <w:bookmarkStart w:id="747" w:name="_Toc22015"/>
      <w:bookmarkStart w:id="748" w:name="_Toc16856"/>
      <w:bookmarkStart w:id="749" w:name="_Toc20160"/>
      <w:r>
        <w:rPr>
          <w:rFonts w:hint="eastAsia" w:ascii="仿宋_GB2312" w:hAnsi="仿宋" w:cs="仿宋"/>
          <w:bCs/>
        </w:rPr>
        <w:t>2.加快充电基础设施建设</w:t>
      </w:r>
      <w:bookmarkEnd w:id="744"/>
      <w:bookmarkEnd w:id="745"/>
      <w:bookmarkEnd w:id="746"/>
      <w:bookmarkEnd w:id="747"/>
      <w:bookmarkEnd w:id="748"/>
      <w:bookmarkEnd w:id="749"/>
      <w:r>
        <w:rPr>
          <w:rFonts w:hint="eastAsia" w:ascii="仿宋_GB2312" w:hAnsi="仿宋" w:cs="仿宋"/>
          <w:bCs/>
        </w:rPr>
        <w:t>。</w:t>
      </w:r>
      <w:r>
        <w:rPr>
          <w:rFonts w:hint="eastAsia" w:ascii="仿宋_GB2312" w:hAnsi="仿宋" w:cs="仿宋"/>
        </w:rPr>
        <w:t>按照“因地制宜、快慢互济、经济合理、适度超前”的原则，完善充电基础设施网络及服务体系。进一步扩大城区电动汽车充电桩（站）的建设，不断满足电动公交车、客运车、专用车辆及社会车辆的充电需求。加快推动县域示范性集中式公用充电站建设，形成可复制推广的示范经验，在此基础上逐步向县域中心镇延伸。到2025年底，各县至少建成1座示范性集中式公用充电站，建成覆盖全市的电动汽车充电设施网络。打造南阳市中心城区核心区公共充电服务半径1公里充电网络，开展智能便捷的充电管理信息化服务平台服务。</w:t>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22" w:type="dxa"/>
          </w:tcPr>
          <w:p>
            <w:pPr>
              <w:spacing w:line="400" w:lineRule="exact"/>
              <w:contextualSpacing/>
              <w:jc w:val="center"/>
              <w:rPr>
                <w:rFonts w:ascii="Times New Roman" w:hAnsi="Times New Roman"/>
                <w:sz w:val="30"/>
                <w:szCs w:val="30"/>
              </w:rPr>
            </w:pPr>
            <w:r>
              <w:rPr>
                <w:rFonts w:hint="eastAsia" w:ascii="黑体" w:hAnsi="黑体" w:eastAsia="黑体" w:cs="黑体"/>
                <w:bCs/>
                <w:sz w:val="28"/>
                <w:szCs w:val="28"/>
              </w:rPr>
              <w:t>专栏4：现代能源发展重大工程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15" w:hRule="atLeast"/>
        </w:trPr>
        <w:tc>
          <w:tcPr>
            <w:tcW w:w="8522" w:type="dxa"/>
          </w:tcPr>
          <w:p>
            <w:pPr>
              <w:spacing w:line="400" w:lineRule="exact"/>
              <w:ind w:firstLine="480" w:firstLineChars="200"/>
              <w:contextualSpacing/>
              <w:rPr>
                <w:rFonts w:ascii="仿宋_GB2312" w:hAnsi="仿宋_GB2312" w:cs="仿宋_GB2312"/>
                <w:sz w:val="24"/>
                <w:szCs w:val="24"/>
              </w:rPr>
            </w:pPr>
            <w:r>
              <w:rPr>
                <w:rFonts w:hint="eastAsia" w:ascii="楷体" w:hAnsi="楷体" w:eastAsia="楷体" w:cs="楷体"/>
                <w:sz w:val="24"/>
                <w:szCs w:val="24"/>
              </w:rPr>
              <w:t>储能示范工程。</w:t>
            </w:r>
            <w:r>
              <w:rPr>
                <w:rFonts w:hint="eastAsia" w:ascii="仿宋_GB2312" w:hAnsi="仿宋_GB2312" w:cs="仿宋_GB2312"/>
                <w:sz w:val="24"/>
                <w:szCs w:val="24"/>
              </w:rPr>
              <w:t>新建集中式风电、光伏发电项目按照一定比例配套储能设施。在新能源资源较丰富、系统消纳能力较差或电网调峰需求较为集中的地区，鼓励建设独立共享式新型储能电站。</w:t>
            </w:r>
          </w:p>
          <w:p>
            <w:pPr>
              <w:spacing w:line="400" w:lineRule="exact"/>
              <w:ind w:firstLine="480" w:firstLineChars="200"/>
              <w:contextualSpacing/>
              <w:rPr>
                <w:rFonts w:ascii="仿宋_GB2312" w:hAnsi="仿宋_GB2312" w:cs="仿宋_GB2312"/>
                <w:sz w:val="24"/>
                <w:szCs w:val="24"/>
              </w:rPr>
            </w:pPr>
            <w:r>
              <w:rPr>
                <w:rFonts w:hint="eastAsia" w:ascii="楷体" w:hAnsi="楷体" w:eastAsia="楷体" w:cs="楷体"/>
                <w:sz w:val="24"/>
                <w:szCs w:val="24"/>
              </w:rPr>
              <w:t>氢能示范工程。</w:t>
            </w:r>
            <w:r>
              <w:rPr>
                <w:rFonts w:hint="eastAsia" w:ascii="仿宋_GB2312" w:hAnsi="仿宋_GB2312" w:cs="仿宋_GB2312"/>
                <w:sz w:val="24"/>
                <w:szCs w:val="24"/>
              </w:rPr>
              <w:t>依托官庄工区、桐柏县先进制造业开发区探索建设可再生能源制氢（绿氢）示范项目。有序建设加氢基础设施，开展氢能在交通领域的应用场景，推进氢燃料电池汽车（公交车、专用车）示范应用。</w:t>
            </w:r>
          </w:p>
          <w:p>
            <w:pPr>
              <w:spacing w:line="400" w:lineRule="exact"/>
              <w:ind w:firstLine="480" w:firstLineChars="200"/>
              <w:contextualSpacing/>
              <w:rPr>
                <w:rFonts w:ascii="仿宋_GB2312" w:hAnsi="仿宋_GB2312" w:cs="仿宋_GB2312"/>
                <w:sz w:val="24"/>
                <w:szCs w:val="24"/>
              </w:rPr>
            </w:pPr>
            <w:r>
              <w:rPr>
                <w:rFonts w:hint="eastAsia" w:ascii="楷体" w:hAnsi="楷体" w:eastAsia="楷体" w:cs="楷体"/>
                <w:sz w:val="24"/>
                <w:szCs w:val="24"/>
              </w:rPr>
              <w:t>电网智能化工程。</w:t>
            </w:r>
            <w:r>
              <w:rPr>
                <w:rFonts w:hint="eastAsia" w:ascii="仿宋_GB2312" w:hAnsi="仿宋_GB2312" w:cs="仿宋_GB2312"/>
                <w:bCs/>
                <w:sz w:val="24"/>
                <w:szCs w:val="24"/>
              </w:rPr>
              <w:t>推广重点区域、重要输电通道、高压电缆隧道等“智慧线路”建设，实施</w:t>
            </w:r>
            <w:r>
              <w:rPr>
                <w:rFonts w:hint="eastAsia" w:ascii="仿宋_GB2312" w:hAnsi="仿宋_GB2312" w:cs="仿宋_GB2312"/>
                <w:sz w:val="24"/>
                <w:szCs w:val="24"/>
              </w:rPr>
              <w:t>35千伏及以上电网管线网架完善和通信带宽提升工程，推广应用智能变电站、智能电表。</w:t>
            </w:r>
          </w:p>
          <w:p>
            <w:pPr>
              <w:spacing w:line="400" w:lineRule="exact"/>
              <w:ind w:firstLine="480" w:firstLineChars="200"/>
              <w:contextualSpacing/>
              <w:rPr>
                <w:rFonts w:ascii="Times New Roman" w:hAnsi="Times New Roman"/>
                <w:sz w:val="30"/>
                <w:szCs w:val="30"/>
              </w:rPr>
            </w:pPr>
            <w:r>
              <w:rPr>
                <w:rFonts w:hint="eastAsia" w:ascii="楷体" w:hAnsi="楷体" w:eastAsia="楷体" w:cs="楷体"/>
                <w:sz w:val="24"/>
                <w:szCs w:val="24"/>
              </w:rPr>
              <w:t>充电基础设施建设重点工程。</w:t>
            </w:r>
            <w:r>
              <w:rPr>
                <w:rFonts w:hint="eastAsia" w:ascii="仿宋_GB2312" w:hAnsi="仿宋_GB2312" w:cs="仿宋_GB2312"/>
                <w:sz w:val="24"/>
                <w:szCs w:val="24"/>
              </w:rPr>
              <w:t>打造市中心城区核心区充电服务半径1公里充电网络。在县域规划新建设一批示范站，各县至少建成1座示范性集中式公用充电站，逐步向县域中心镇延伸。</w:t>
            </w:r>
          </w:p>
        </w:tc>
      </w:tr>
    </w:tbl>
    <w:p>
      <w:pPr>
        <w:pStyle w:val="58"/>
        <w:spacing w:line="560" w:lineRule="exact"/>
        <w:ind w:firstLine="0" w:firstLineChars="0"/>
        <w:contextualSpacing/>
        <w:jc w:val="center"/>
        <w:outlineLvl w:val="0"/>
        <w:rPr>
          <w:rFonts w:ascii="黑体" w:hAnsi="黑体" w:eastAsia="黑体" w:cs="黑体"/>
          <w:sz w:val="32"/>
          <w:szCs w:val="32"/>
        </w:rPr>
      </w:pPr>
      <w:bookmarkStart w:id="750" w:name="_Toc32064"/>
      <w:bookmarkStart w:id="751" w:name="_Toc29439"/>
      <w:bookmarkStart w:id="752" w:name="_Toc18652"/>
      <w:bookmarkStart w:id="753" w:name="_Toc24639"/>
      <w:bookmarkStart w:id="754" w:name="_Toc11555"/>
      <w:bookmarkStart w:id="755" w:name="_Toc5994"/>
      <w:bookmarkStart w:id="756" w:name="_Toc8518"/>
      <w:bookmarkStart w:id="757" w:name="_Toc19935"/>
      <w:r>
        <w:rPr>
          <w:rFonts w:hint="eastAsia" w:ascii="黑体" w:hAnsi="黑体" w:eastAsia="黑体" w:cs="黑体"/>
          <w:sz w:val="32"/>
          <w:szCs w:val="32"/>
        </w:rPr>
        <w:t>第七章 创新完善能源碳达峰碳中和机制体制</w:t>
      </w:r>
      <w:bookmarkEnd w:id="750"/>
      <w:bookmarkEnd w:id="751"/>
      <w:bookmarkEnd w:id="752"/>
      <w:bookmarkEnd w:id="753"/>
      <w:bookmarkEnd w:id="754"/>
      <w:bookmarkEnd w:id="755"/>
      <w:bookmarkEnd w:id="756"/>
      <w:bookmarkEnd w:id="757"/>
      <w:bookmarkStart w:id="758" w:name="_Toc7409"/>
      <w:bookmarkStart w:id="759" w:name="_Toc17698"/>
      <w:bookmarkStart w:id="760" w:name="_Toc21834"/>
      <w:bookmarkStart w:id="761" w:name="_Toc9948"/>
      <w:bookmarkStart w:id="762" w:name="_Toc7513"/>
      <w:bookmarkStart w:id="763" w:name="_Toc28058"/>
    </w:p>
    <w:p>
      <w:pPr>
        <w:pStyle w:val="58"/>
        <w:spacing w:line="560" w:lineRule="exact"/>
        <w:ind w:firstLine="0" w:firstLineChars="0"/>
        <w:contextualSpacing/>
        <w:jc w:val="center"/>
        <w:outlineLvl w:val="1"/>
        <w:rPr>
          <w:rFonts w:ascii="楷体" w:hAnsi="楷体" w:eastAsia="楷体" w:cs="楷体"/>
          <w:bCs/>
          <w:sz w:val="32"/>
          <w:szCs w:val="32"/>
        </w:rPr>
      </w:pPr>
      <w:bookmarkStart w:id="764" w:name="_Toc4810"/>
      <w:bookmarkStart w:id="765" w:name="_Toc21751"/>
      <w:r>
        <w:rPr>
          <w:rFonts w:hint="eastAsia" w:ascii="楷体" w:hAnsi="楷体" w:eastAsia="楷体" w:cs="楷体"/>
          <w:bCs/>
          <w:sz w:val="32"/>
          <w:szCs w:val="32"/>
        </w:rPr>
        <w:t>第一节 完善现代能源机制体制</w:t>
      </w:r>
      <w:bookmarkEnd w:id="758"/>
      <w:bookmarkEnd w:id="759"/>
      <w:bookmarkEnd w:id="760"/>
      <w:bookmarkEnd w:id="761"/>
      <w:bookmarkEnd w:id="762"/>
      <w:bookmarkEnd w:id="763"/>
      <w:bookmarkEnd w:id="764"/>
      <w:bookmarkEnd w:id="765"/>
    </w:p>
    <w:p>
      <w:pPr>
        <w:spacing w:line="560" w:lineRule="exact"/>
        <w:ind w:firstLine="640" w:firstLineChars="200"/>
        <w:contextualSpacing/>
        <w:rPr>
          <w:rFonts w:ascii="仿宋_GB2312" w:hAnsi="黑体" w:cs="黑体"/>
        </w:rPr>
      </w:pPr>
      <w:r>
        <w:rPr>
          <w:rFonts w:hint="eastAsia" w:ascii="仿宋_GB2312" w:hAnsi="仿宋" w:cs="仿宋"/>
        </w:rPr>
        <w:t>构建系统科学、层次清晰的能源战略规划和产业政策体系，完善实施监督和评估调整机制。对能源规划、建设、生产、运营、消费等各环节实施全过程监管。发挥政府的扶持引导作用，研究利用投资补助、财政贴息、税收优惠、价格补贴等多种手段，加大对节能、新能源和可再生能源发展、能源科技创新、能源安全生产、能源普遍服务等方面的支持力度。拓宽能源行业投融资渠道，建立竞争有序、公开公平的能源投资机制，引导创业资本进入能源领域，支持企业发行债券和上市融资。</w:t>
      </w:r>
      <w:bookmarkStart w:id="766" w:name="_Toc17861"/>
      <w:bookmarkStart w:id="767" w:name="_Toc15444"/>
      <w:bookmarkStart w:id="768" w:name="_Toc12648"/>
      <w:bookmarkStart w:id="769" w:name="_Toc6941"/>
      <w:bookmarkStart w:id="770" w:name="_Toc1391"/>
      <w:bookmarkStart w:id="771" w:name="_Toc9641"/>
    </w:p>
    <w:p>
      <w:pPr>
        <w:pStyle w:val="58"/>
        <w:spacing w:line="560" w:lineRule="exact"/>
        <w:ind w:firstLine="0" w:firstLineChars="0"/>
        <w:contextualSpacing/>
        <w:jc w:val="center"/>
        <w:outlineLvl w:val="1"/>
        <w:rPr>
          <w:rFonts w:ascii="楷体" w:hAnsi="楷体" w:eastAsia="楷体" w:cs="楷体"/>
          <w:bCs/>
          <w:sz w:val="32"/>
          <w:szCs w:val="32"/>
        </w:rPr>
      </w:pPr>
      <w:bookmarkStart w:id="772" w:name="_Toc2695"/>
      <w:bookmarkStart w:id="773" w:name="_Toc22300"/>
      <w:r>
        <w:rPr>
          <w:rFonts w:hint="eastAsia" w:ascii="楷体" w:hAnsi="楷体" w:eastAsia="楷体" w:cs="楷体"/>
          <w:bCs/>
          <w:sz w:val="32"/>
          <w:szCs w:val="32"/>
        </w:rPr>
        <w:t>第二节 落实能耗强度和总量双控</w:t>
      </w:r>
      <w:bookmarkEnd w:id="766"/>
      <w:bookmarkEnd w:id="767"/>
      <w:bookmarkEnd w:id="768"/>
      <w:bookmarkEnd w:id="769"/>
      <w:bookmarkEnd w:id="770"/>
      <w:bookmarkEnd w:id="771"/>
      <w:bookmarkEnd w:id="772"/>
      <w:bookmarkEnd w:id="773"/>
      <w:r>
        <w:rPr>
          <w:rFonts w:hint="eastAsia" w:ascii="楷体" w:hAnsi="楷体" w:eastAsia="楷体" w:cs="楷体"/>
          <w:bCs/>
          <w:sz w:val="32"/>
          <w:szCs w:val="32"/>
        </w:rPr>
        <w:t>政策</w:t>
      </w:r>
    </w:p>
    <w:p>
      <w:pPr>
        <w:spacing w:line="560" w:lineRule="exact"/>
        <w:ind w:firstLine="640" w:firstLineChars="200"/>
        <w:contextualSpacing/>
        <w:rPr>
          <w:rFonts w:ascii="仿宋_GB2312" w:hAnsi="仿宋" w:cs="仿宋"/>
        </w:rPr>
      </w:pPr>
      <w:bookmarkStart w:id="774" w:name="_Toc5196"/>
      <w:bookmarkStart w:id="775" w:name="_Toc1138"/>
      <w:bookmarkStart w:id="776" w:name="_Toc28257"/>
      <w:bookmarkStart w:id="777" w:name="_Toc23735"/>
      <w:bookmarkStart w:id="778" w:name="_Toc11759"/>
      <w:bookmarkStart w:id="779" w:name="_Toc19761"/>
      <w:r>
        <w:rPr>
          <w:rFonts w:hint="eastAsia" w:ascii="仿宋_GB2312" w:hAnsi="仿宋" w:cs="仿宋"/>
        </w:rPr>
        <w:t>认真落实国家发展改革委《关于完善能源消费强度和总量双控制度方案》要求，强化能耗强度降低目标约束，能源消费总量指标作为预期性目标，适当增加能耗总量管理弹性，保障重大项目建设用能需求。综合考虑各县（市、区）经济社会发展现状、能耗强度水平、五年规划期目标、重大项目建设等因素，合理确定能源强度降低目标。实施能耗强度和总量双控考核，对于完成市定能耗强度降低目标的不再考核能源消费总量，不得以完成能耗总量控制目标为由限制新建符合要求的项目。</w:t>
      </w:r>
    </w:p>
    <w:p>
      <w:pPr>
        <w:spacing w:line="560" w:lineRule="exact"/>
        <w:ind w:firstLine="640" w:firstLineChars="200"/>
        <w:contextualSpacing/>
        <w:rPr>
          <w:rFonts w:ascii="仿宋_GB2312" w:hAnsi="仿宋" w:cs="仿宋"/>
        </w:rPr>
      </w:pPr>
      <w:r>
        <w:rPr>
          <w:rFonts w:hint="eastAsia" w:ascii="仿宋_GB2312" w:hAnsi="仿宋" w:cs="仿宋"/>
        </w:rPr>
        <w:t>落实国家相关政策要求，以2020年可再生能源电力消费为基数，“十四五”期间每年较上一年新增的可再生能源电力消费不纳入能源消费总量控制。原料用能不纳入能耗双控考核，原料用煤不纳入煤炭消费总量控制考核。</w:t>
      </w:r>
    </w:p>
    <w:p>
      <w:pPr>
        <w:pStyle w:val="58"/>
        <w:spacing w:line="560" w:lineRule="exact"/>
        <w:ind w:firstLine="0" w:firstLineChars="0"/>
        <w:contextualSpacing/>
        <w:jc w:val="center"/>
        <w:outlineLvl w:val="1"/>
        <w:rPr>
          <w:rFonts w:ascii="楷体" w:hAnsi="楷体" w:eastAsia="楷体" w:cs="楷体"/>
          <w:bCs/>
          <w:sz w:val="32"/>
          <w:szCs w:val="32"/>
        </w:rPr>
      </w:pPr>
      <w:bookmarkStart w:id="780" w:name="_Toc25922"/>
      <w:bookmarkStart w:id="781" w:name="_Toc14568"/>
      <w:r>
        <w:rPr>
          <w:rFonts w:hint="eastAsia" w:ascii="楷体" w:hAnsi="楷体" w:eastAsia="楷体" w:cs="楷体"/>
          <w:bCs/>
          <w:sz w:val="32"/>
          <w:szCs w:val="32"/>
        </w:rPr>
        <w:t>第三节 推动精细化智能化管理</w:t>
      </w:r>
      <w:bookmarkEnd w:id="774"/>
      <w:bookmarkEnd w:id="775"/>
      <w:bookmarkEnd w:id="776"/>
      <w:bookmarkEnd w:id="777"/>
      <w:bookmarkEnd w:id="778"/>
      <w:bookmarkEnd w:id="779"/>
      <w:bookmarkEnd w:id="780"/>
      <w:bookmarkEnd w:id="781"/>
    </w:p>
    <w:p>
      <w:pPr>
        <w:spacing w:line="560" w:lineRule="exact"/>
        <w:ind w:firstLine="640" w:firstLineChars="200"/>
        <w:contextualSpacing/>
        <w:rPr>
          <w:rFonts w:ascii="仿宋_GB2312" w:hAnsi="仿宋" w:cs="仿宋"/>
        </w:rPr>
      </w:pPr>
      <w:r>
        <w:rPr>
          <w:rFonts w:hint="eastAsia" w:ascii="仿宋_GB2312" w:hAnsi="仿宋" w:cs="仿宋"/>
        </w:rPr>
        <w:t>“十四五”期间，着力推动现代网络和信息技术，加强能源的智能监控和调度，提升能源运行保障水平。分级分层逐步建立市、县两级能源运行建设体系，建设企业专项监测调度系统，完善全市能源监测体系的综合功能和覆盖范围。推动主要能源品种运行调节信息化发展，推进天然气全网数字化监控和运行调度系统建设。建设城市电网智能运行监控平台，合理安排电网运行方式，提升电网生产供应各环节智能化水平。</w:t>
      </w:r>
      <w:bookmarkStart w:id="782" w:name="_Toc26343"/>
      <w:bookmarkStart w:id="783" w:name="_Toc7025"/>
      <w:bookmarkStart w:id="784" w:name="_Toc7769"/>
      <w:bookmarkStart w:id="785" w:name="_Toc11183"/>
      <w:bookmarkStart w:id="786" w:name="_Toc25430"/>
      <w:bookmarkStart w:id="787" w:name="_Toc14714"/>
      <w:bookmarkStart w:id="788" w:name="_Toc5552"/>
      <w:bookmarkStart w:id="789" w:name="_Toc25533"/>
    </w:p>
    <w:p>
      <w:pPr>
        <w:pStyle w:val="58"/>
        <w:spacing w:line="560" w:lineRule="exact"/>
        <w:ind w:firstLine="0" w:firstLineChars="0"/>
        <w:contextualSpacing/>
        <w:jc w:val="center"/>
        <w:outlineLvl w:val="1"/>
        <w:rPr>
          <w:rFonts w:ascii="楷体" w:hAnsi="楷体" w:eastAsia="楷体" w:cs="楷体"/>
          <w:bCs/>
          <w:sz w:val="32"/>
          <w:szCs w:val="32"/>
        </w:rPr>
      </w:pPr>
      <w:r>
        <w:rPr>
          <w:rFonts w:hint="eastAsia" w:ascii="楷体" w:hAnsi="楷体" w:eastAsia="楷体" w:cs="楷体"/>
          <w:bCs/>
          <w:sz w:val="32"/>
          <w:szCs w:val="32"/>
        </w:rPr>
        <w:t>第四节 完善储备应急管理机制</w:t>
      </w:r>
      <w:bookmarkEnd w:id="782"/>
      <w:bookmarkEnd w:id="783"/>
      <w:bookmarkEnd w:id="784"/>
      <w:bookmarkEnd w:id="785"/>
      <w:bookmarkEnd w:id="786"/>
      <w:bookmarkEnd w:id="787"/>
      <w:bookmarkEnd w:id="788"/>
      <w:bookmarkEnd w:id="789"/>
    </w:p>
    <w:p>
      <w:pPr>
        <w:spacing w:line="560" w:lineRule="exact"/>
        <w:ind w:firstLine="640" w:firstLineChars="200"/>
        <w:contextualSpacing/>
        <w:rPr>
          <w:rFonts w:ascii="仿宋_GB2312" w:hAnsi="仿宋" w:cs="仿宋"/>
        </w:rPr>
      </w:pPr>
      <w:r>
        <w:rPr>
          <w:rFonts w:hint="eastAsia" w:ascii="仿宋_GB2312" w:hAnsi="仿宋" w:cs="仿宋"/>
        </w:rPr>
        <w:t>完善事前监测预警和风险管理体系，健全能源应急协调保障机制和应急响应机制，促进部门信息共享与高效协作。做好建设市域内应急储气调峰设施利用，提高供气安全保障能力。增强电力系统抗灾能力，完善“多方向、多通道、多落点”的受电体系。提高城市骨干网、重要电源联络线以及重要用户线路建设标准和抗灾等级。编制电力、燃气等重点行业防灾减灾救灾专项预案和应急预案。加强能源应急抗灾常态化机制建设，完善能源应急设施，培养专业应急保障和应急抢险救援队伍，及时高效应对各类突发事件。</w:t>
      </w:r>
      <w:bookmarkStart w:id="790" w:name="_Toc23883"/>
      <w:bookmarkStart w:id="791" w:name="_Toc12058"/>
      <w:bookmarkStart w:id="792" w:name="_Toc30787"/>
      <w:bookmarkStart w:id="793" w:name="_Toc20694"/>
      <w:bookmarkStart w:id="794" w:name="_Toc8172"/>
      <w:bookmarkStart w:id="795" w:name="_Toc27397"/>
    </w:p>
    <w:p>
      <w:pPr>
        <w:pStyle w:val="58"/>
        <w:spacing w:line="560" w:lineRule="exact"/>
        <w:ind w:firstLine="0" w:firstLineChars="0"/>
        <w:contextualSpacing/>
        <w:jc w:val="center"/>
        <w:outlineLvl w:val="1"/>
        <w:rPr>
          <w:rFonts w:ascii="楷体" w:hAnsi="楷体" w:eastAsia="楷体" w:cs="楷体"/>
          <w:bCs/>
          <w:sz w:val="32"/>
          <w:szCs w:val="32"/>
        </w:rPr>
      </w:pPr>
      <w:bookmarkStart w:id="796" w:name="_Toc25514"/>
      <w:bookmarkStart w:id="797" w:name="_Toc16185"/>
      <w:r>
        <w:rPr>
          <w:rFonts w:hint="eastAsia" w:ascii="楷体" w:hAnsi="楷体" w:eastAsia="楷体" w:cs="楷体"/>
          <w:bCs/>
          <w:sz w:val="32"/>
          <w:szCs w:val="32"/>
        </w:rPr>
        <w:t>第五节 推进农村能源革命试点</w:t>
      </w:r>
      <w:bookmarkEnd w:id="790"/>
      <w:bookmarkEnd w:id="791"/>
      <w:bookmarkEnd w:id="792"/>
      <w:bookmarkEnd w:id="793"/>
      <w:bookmarkEnd w:id="794"/>
      <w:bookmarkEnd w:id="795"/>
      <w:bookmarkEnd w:id="796"/>
      <w:bookmarkEnd w:id="797"/>
    </w:p>
    <w:p>
      <w:pPr>
        <w:spacing w:line="560" w:lineRule="exact"/>
        <w:ind w:firstLine="616" w:firstLineChars="200"/>
        <w:contextualSpacing/>
        <w:rPr>
          <w:rFonts w:ascii="仿宋_GB2312" w:hAnsi="仿宋" w:cs="仿宋"/>
          <w:spacing w:val="-6"/>
        </w:rPr>
      </w:pPr>
      <w:r>
        <w:rPr>
          <w:rFonts w:hint="eastAsia" w:ascii="仿宋_GB2312" w:hAnsi="仿宋" w:cs="仿宋"/>
          <w:spacing w:val="-6"/>
        </w:rPr>
        <w:t>我市是农业大市，农村人口多、地域大，开展农村能源开发利用，进行农村能源革命可促进农村可再生能源充分利用，提升清洁能源供给能力和消费水平，推动美丽乡村建设，完善农村能源社会化服务体系。推进唐河县、南召县、淅川县、西峡县农村能源革命试点县建设，建立可复制推广的经验和机制。着力改善农村生产和生活用能条件，不断促进农村能源清洁化、优质化、现代化和城乡能源服务均等化。</w:t>
      </w:r>
    </w:p>
    <w:p>
      <w:pPr>
        <w:spacing w:line="560" w:lineRule="exact"/>
        <w:ind w:firstLine="616" w:firstLineChars="200"/>
        <w:contextualSpacing/>
        <w:rPr>
          <w:rFonts w:ascii="仿宋_GB2312" w:hAnsi="仿宋" w:cs="仿宋"/>
        </w:rPr>
      </w:pPr>
      <w:r>
        <w:rPr>
          <w:rFonts w:hint="eastAsia" w:ascii="仿宋_GB2312" w:hAnsi="仿宋" w:cs="仿宋"/>
          <w:spacing w:val="-6"/>
        </w:rPr>
        <w:t>鼓励专业化公司在粮食生产核心区、农作物秸秆丰富、规模化畜禽养殖发达地区，建设大型秸秆沼气、畜禽养殖场沼气、生物质气化等工程，为具备条件的村镇提供集中供气，促进生态循环农业发展。加快农村能源消费升级，改变直接以秸秆作为燃料的浪费资源的能源使用模式，提高农村居民生活质量，推动绿色文明的新型农村社区建设。持续开展散煤治理工作，加大民用散煤清洁化治理力度，积极稳妥推进洁净型煤配送供应。到2025年，力争我市各县（市、区）散煤基本“清零”</w:t>
      </w:r>
      <w:r>
        <w:rPr>
          <w:rFonts w:hint="eastAsia" w:ascii="仿宋_GB2312" w:hAnsi="仿宋" w:cs="仿宋"/>
        </w:rPr>
        <w:t>。</w:t>
      </w:r>
    </w:p>
    <w:p>
      <w:pPr>
        <w:pStyle w:val="58"/>
        <w:spacing w:line="560" w:lineRule="exact"/>
        <w:ind w:firstLine="0" w:firstLineChars="0"/>
        <w:contextualSpacing/>
        <w:jc w:val="center"/>
        <w:outlineLvl w:val="0"/>
        <w:rPr>
          <w:rFonts w:ascii="黑体" w:hAnsi="黑体" w:eastAsia="黑体" w:cs="黑体"/>
          <w:sz w:val="32"/>
          <w:szCs w:val="32"/>
        </w:rPr>
      </w:pPr>
      <w:bookmarkStart w:id="798" w:name="_Toc4834"/>
      <w:bookmarkStart w:id="799" w:name="_Toc11304"/>
      <w:bookmarkStart w:id="800" w:name="_Toc4561"/>
      <w:bookmarkStart w:id="801" w:name="_Toc13635"/>
      <w:bookmarkStart w:id="802" w:name="_Toc21640"/>
      <w:bookmarkStart w:id="803" w:name="_Toc8640"/>
      <w:bookmarkStart w:id="804" w:name="_Toc23355"/>
      <w:bookmarkStart w:id="805" w:name="_Toc25561"/>
      <w:r>
        <w:rPr>
          <w:rFonts w:hint="eastAsia" w:ascii="黑体" w:hAnsi="黑体" w:eastAsia="黑体" w:cs="黑体"/>
          <w:sz w:val="32"/>
          <w:szCs w:val="32"/>
        </w:rPr>
        <w:t xml:space="preserve">第八章 </w:t>
      </w:r>
      <w:bookmarkEnd w:id="798"/>
      <w:bookmarkEnd w:id="799"/>
      <w:bookmarkEnd w:id="800"/>
      <w:bookmarkEnd w:id="801"/>
      <w:bookmarkEnd w:id="802"/>
      <w:bookmarkEnd w:id="803"/>
      <w:r>
        <w:rPr>
          <w:rFonts w:hint="eastAsia" w:ascii="黑体" w:hAnsi="黑体" w:eastAsia="黑体" w:cs="黑体"/>
          <w:sz w:val="32"/>
          <w:szCs w:val="32"/>
        </w:rPr>
        <w:t>加强生态环境保护</w:t>
      </w:r>
      <w:bookmarkEnd w:id="804"/>
      <w:bookmarkEnd w:id="805"/>
    </w:p>
    <w:p>
      <w:pPr>
        <w:pStyle w:val="58"/>
        <w:spacing w:line="560" w:lineRule="exact"/>
        <w:ind w:firstLine="0" w:firstLineChars="0"/>
        <w:contextualSpacing/>
        <w:jc w:val="center"/>
        <w:outlineLvl w:val="1"/>
        <w:rPr>
          <w:rFonts w:ascii="楷体" w:hAnsi="楷体" w:eastAsia="楷体" w:cs="楷体"/>
          <w:bCs/>
          <w:sz w:val="32"/>
          <w:szCs w:val="32"/>
        </w:rPr>
      </w:pPr>
      <w:bookmarkStart w:id="806" w:name="_Toc19229"/>
      <w:bookmarkStart w:id="807" w:name="_Toc10149"/>
      <w:bookmarkStart w:id="808" w:name="_Toc29416"/>
      <w:bookmarkStart w:id="809" w:name="_Toc27207"/>
      <w:bookmarkStart w:id="810" w:name="_Toc31358"/>
      <w:bookmarkStart w:id="811" w:name="_Toc3725"/>
      <w:bookmarkStart w:id="812" w:name="_Toc25792"/>
      <w:bookmarkStart w:id="813" w:name="_Toc23858"/>
      <w:r>
        <w:rPr>
          <w:rFonts w:hint="eastAsia" w:ascii="楷体" w:hAnsi="楷体" w:eastAsia="楷体" w:cs="楷体"/>
          <w:bCs/>
          <w:sz w:val="32"/>
          <w:szCs w:val="32"/>
        </w:rPr>
        <w:t>第一节 规划符合性</w:t>
      </w:r>
      <w:bookmarkEnd w:id="806"/>
      <w:bookmarkEnd w:id="807"/>
      <w:bookmarkEnd w:id="808"/>
      <w:bookmarkEnd w:id="809"/>
      <w:bookmarkEnd w:id="810"/>
      <w:bookmarkEnd w:id="811"/>
      <w:r>
        <w:rPr>
          <w:rFonts w:hint="eastAsia" w:ascii="楷体" w:hAnsi="楷体" w:eastAsia="楷体" w:cs="楷体"/>
          <w:bCs/>
          <w:sz w:val="32"/>
          <w:szCs w:val="32"/>
        </w:rPr>
        <w:t>要求</w:t>
      </w:r>
      <w:bookmarkEnd w:id="812"/>
      <w:bookmarkEnd w:id="813"/>
    </w:p>
    <w:p>
      <w:pPr>
        <w:spacing w:line="560" w:lineRule="exact"/>
        <w:ind w:firstLine="640" w:firstLineChars="200"/>
        <w:contextualSpacing/>
        <w:rPr>
          <w:rFonts w:ascii="仿宋_GB2312" w:hAnsi="仿宋" w:cs="仿宋"/>
        </w:rPr>
      </w:pPr>
      <w:r>
        <w:rPr>
          <w:rFonts w:hint="eastAsia" w:ascii="仿宋_GB2312" w:hAnsi="仿宋" w:cs="仿宋"/>
        </w:rPr>
        <w:t>牢固树立“绿水青山就是金山银山”的理念，守住生态红线，保障能源高质量可持续发展。本规划中风力发电、光伏发电、火电、水电、生物质发电等项目实施应符合国家环境保护发展战略相关要求，符合河南省、南阳市国民经济和社会发展“十四五”规划要求，充分满足国家及地方生态环境法律法规和生态环境保护要求。</w:t>
      </w:r>
      <w:bookmarkStart w:id="814" w:name="_Toc16996"/>
      <w:bookmarkStart w:id="815" w:name="_Toc17239"/>
      <w:bookmarkStart w:id="816" w:name="_Toc1937"/>
      <w:bookmarkStart w:id="817" w:name="_Toc10463"/>
      <w:bookmarkStart w:id="818" w:name="_Toc12367"/>
      <w:bookmarkStart w:id="819" w:name="_Toc5106"/>
    </w:p>
    <w:p>
      <w:pPr>
        <w:pStyle w:val="58"/>
        <w:spacing w:line="560" w:lineRule="exact"/>
        <w:ind w:firstLine="0" w:firstLineChars="0"/>
        <w:contextualSpacing/>
        <w:jc w:val="center"/>
        <w:outlineLvl w:val="1"/>
        <w:rPr>
          <w:rFonts w:ascii="楷体" w:hAnsi="楷体" w:eastAsia="楷体" w:cs="楷体"/>
          <w:bCs/>
          <w:sz w:val="32"/>
          <w:szCs w:val="32"/>
        </w:rPr>
      </w:pPr>
      <w:bookmarkStart w:id="820" w:name="_Toc27816"/>
      <w:bookmarkStart w:id="821" w:name="_Toc31097"/>
      <w:r>
        <w:rPr>
          <w:rFonts w:hint="eastAsia" w:ascii="楷体" w:hAnsi="楷体" w:eastAsia="楷体" w:cs="楷体"/>
          <w:bCs/>
          <w:sz w:val="32"/>
          <w:szCs w:val="32"/>
        </w:rPr>
        <w:t>第二节 环境影响预测</w:t>
      </w:r>
      <w:bookmarkEnd w:id="814"/>
      <w:bookmarkEnd w:id="815"/>
      <w:bookmarkEnd w:id="816"/>
      <w:bookmarkEnd w:id="817"/>
      <w:bookmarkEnd w:id="818"/>
      <w:bookmarkEnd w:id="819"/>
      <w:r>
        <w:rPr>
          <w:rFonts w:hint="eastAsia" w:ascii="楷体" w:hAnsi="楷体" w:eastAsia="楷体" w:cs="楷体"/>
          <w:bCs/>
          <w:sz w:val="32"/>
          <w:szCs w:val="32"/>
        </w:rPr>
        <w:t>预防</w:t>
      </w:r>
      <w:bookmarkEnd w:id="820"/>
      <w:bookmarkEnd w:id="821"/>
    </w:p>
    <w:p>
      <w:pPr>
        <w:spacing w:line="560" w:lineRule="exact"/>
        <w:ind w:firstLine="640" w:firstLineChars="200"/>
        <w:contextualSpacing/>
        <w:outlineLvl w:val="2"/>
        <w:rPr>
          <w:rFonts w:ascii="仿宋_GB2312" w:hAnsi="仿宋" w:cs="仿宋"/>
        </w:rPr>
      </w:pPr>
      <w:bookmarkStart w:id="822" w:name="_Toc7999"/>
      <w:bookmarkStart w:id="823" w:name="_Toc14895"/>
      <w:bookmarkStart w:id="824" w:name="_Toc23403"/>
      <w:bookmarkStart w:id="825" w:name="_Toc24585"/>
      <w:bookmarkStart w:id="826" w:name="_Toc10047"/>
      <w:bookmarkStart w:id="827" w:name="_Toc24995"/>
      <w:r>
        <w:rPr>
          <w:rFonts w:hint="eastAsia" w:ascii="仿宋_GB2312" w:hAnsi="仿宋" w:cs="仿宋"/>
          <w:bCs/>
        </w:rPr>
        <w:t>1.火电</w:t>
      </w:r>
      <w:bookmarkEnd w:id="822"/>
      <w:bookmarkEnd w:id="823"/>
      <w:bookmarkEnd w:id="824"/>
      <w:r>
        <w:rPr>
          <w:rFonts w:hint="eastAsia" w:ascii="仿宋_GB2312" w:hAnsi="仿宋" w:cs="仿宋"/>
          <w:bCs/>
        </w:rPr>
        <w:t>环境影响预测</w:t>
      </w:r>
      <w:bookmarkEnd w:id="825"/>
      <w:bookmarkEnd w:id="826"/>
      <w:r>
        <w:rPr>
          <w:rFonts w:hint="eastAsia" w:ascii="仿宋_GB2312" w:hAnsi="仿宋" w:cs="仿宋"/>
          <w:bCs/>
        </w:rPr>
        <w:t>预防</w:t>
      </w:r>
      <w:bookmarkEnd w:id="827"/>
      <w:r>
        <w:rPr>
          <w:rFonts w:hint="eastAsia" w:ascii="仿宋_GB2312" w:hAnsi="仿宋" w:cs="仿宋"/>
          <w:bCs/>
        </w:rPr>
        <w:t>。</w:t>
      </w:r>
      <w:r>
        <w:rPr>
          <w:rFonts w:hint="eastAsia" w:ascii="仿宋_GB2312" w:hAnsi="仿宋" w:cs="仿宋"/>
        </w:rPr>
        <w:t>“十四五”期间，为提升全市电网调峰能力，规划争取新增火电调峰容量。规划新增火电调峰项目应达到超低排放标准，推广应用节水技术，采用大容量、高参数、超超临界技术，满足污染物总量控制指标和环境容量的要求。</w:t>
      </w:r>
    </w:p>
    <w:p>
      <w:pPr>
        <w:spacing w:line="560" w:lineRule="exact"/>
        <w:ind w:firstLine="640" w:firstLineChars="200"/>
        <w:contextualSpacing/>
        <w:outlineLvl w:val="2"/>
        <w:rPr>
          <w:rFonts w:ascii="仿宋_GB2312" w:hAnsi="仿宋" w:cs="仿宋"/>
        </w:rPr>
      </w:pPr>
      <w:bookmarkStart w:id="828" w:name="_Toc32028"/>
      <w:bookmarkStart w:id="829" w:name="_Toc27561"/>
      <w:bookmarkStart w:id="830" w:name="_Toc23137"/>
      <w:bookmarkStart w:id="831" w:name="_Toc19054"/>
      <w:bookmarkStart w:id="832" w:name="_Toc370"/>
      <w:bookmarkStart w:id="833" w:name="_Toc17959"/>
      <w:r>
        <w:rPr>
          <w:rFonts w:hint="eastAsia" w:ascii="仿宋_GB2312" w:hAnsi="仿宋" w:cs="仿宋"/>
          <w:bCs/>
        </w:rPr>
        <w:t>2.抽水蓄能电站</w:t>
      </w:r>
      <w:bookmarkEnd w:id="828"/>
      <w:bookmarkEnd w:id="829"/>
      <w:bookmarkEnd w:id="830"/>
      <w:r>
        <w:rPr>
          <w:rFonts w:hint="eastAsia" w:ascii="仿宋_GB2312" w:hAnsi="仿宋" w:cs="仿宋"/>
          <w:bCs/>
        </w:rPr>
        <w:t>影响预测</w:t>
      </w:r>
      <w:bookmarkEnd w:id="831"/>
      <w:bookmarkEnd w:id="832"/>
      <w:r>
        <w:rPr>
          <w:rFonts w:hint="eastAsia" w:ascii="仿宋_GB2312" w:hAnsi="仿宋" w:cs="仿宋"/>
          <w:bCs/>
        </w:rPr>
        <w:t>预防</w:t>
      </w:r>
      <w:bookmarkEnd w:id="833"/>
      <w:r>
        <w:rPr>
          <w:rFonts w:hint="eastAsia" w:ascii="仿宋_GB2312" w:hAnsi="仿宋" w:cs="仿宋"/>
          <w:bCs/>
        </w:rPr>
        <w:t>。</w:t>
      </w:r>
      <w:r>
        <w:rPr>
          <w:rFonts w:hint="eastAsia" w:ascii="仿宋_GB2312" w:hAnsi="仿宋" w:cs="仿宋"/>
        </w:rPr>
        <w:t>抽水蓄能电站开发过程中应遵守环境保护有关法律法规，严格按照规划环评的有关要求进行规划设计，保障拟开发项目选址的合理性，优化工程布局以减少或避免对生态红线、生态保护空间的占用。抽水蓄能电站规划在进行充分论证并采取合理可行的环境保护措施后对环境的影响可控。</w:t>
      </w:r>
    </w:p>
    <w:p>
      <w:pPr>
        <w:spacing w:line="560" w:lineRule="exact"/>
        <w:ind w:firstLine="640" w:firstLineChars="200"/>
        <w:contextualSpacing/>
        <w:outlineLvl w:val="2"/>
        <w:rPr>
          <w:rFonts w:ascii="仿宋_GB2312" w:hAnsi="仿宋" w:cs="仿宋"/>
        </w:rPr>
      </w:pPr>
      <w:bookmarkStart w:id="834" w:name="_Toc2145"/>
      <w:bookmarkStart w:id="835" w:name="_Toc23079"/>
      <w:bookmarkStart w:id="836" w:name="_Toc31198"/>
      <w:bookmarkStart w:id="837" w:name="_Toc23874"/>
      <w:bookmarkStart w:id="838" w:name="_Toc6147"/>
      <w:bookmarkStart w:id="839" w:name="_Toc22067"/>
      <w:r>
        <w:rPr>
          <w:rFonts w:hint="eastAsia" w:ascii="仿宋_GB2312" w:hAnsi="仿宋" w:cs="仿宋"/>
          <w:bCs/>
        </w:rPr>
        <w:t>3.风电、光伏发电</w:t>
      </w:r>
      <w:bookmarkEnd w:id="834"/>
      <w:bookmarkEnd w:id="835"/>
      <w:bookmarkEnd w:id="836"/>
      <w:r>
        <w:rPr>
          <w:rFonts w:hint="eastAsia" w:ascii="仿宋_GB2312" w:hAnsi="仿宋" w:cs="仿宋"/>
          <w:bCs/>
        </w:rPr>
        <w:t>影响预测</w:t>
      </w:r>
      <w:bookmarkEnd w:id="837"/>
      <w:bookmarkEnd w:id="838"/>
      <w:r>
        <w:rPr>
          <w:rFonts w:hint="eastAsia" w:ascii="仿宋_GB2312" w:hAnsi="仿宋" w:cs="仿宋"/>
          <w:bCs/>
        </w:rPr>
        <w:t>预防</w:t>
      </w:r>
      <w:bookmarkEnd w:id="839"/>
      <w:r>
        <w:rPr>
          <w:rFonts w:hint="eastAsia" w:ascii="仿宋_GB2312" w:hAnsi="仿宋" w:cs="仿宋"/>
          <w:bCs/>
        </w:rPr>
        <w:t>。</w:t>
      </w:r>
      <w:r>
        <w:rPr>
          <w:rFonts w:hint="eastAsia" w:ascii="仿宋_GB2312" w:hAnsi="仿宋" w:cs="仿宋"/>
        </w:rPr>
        <w:t>规划的风电、光伏电站建设对环境的影响主要来自水土流失、施工扬尘和施工噪音，运行后基本没有影响。在施工期采取合理有效的防护措施，同时进行生态修复，风电和光伏发电工程对环境的影响可控。</w:t>
      </w:r>
    </w:p>
    <w:p>
      <w:pPr>
        <w:spacing w:line="560" w:lineRule="exact"/>
        <w:ind w:firstLine="640" w:firstLineChars="200"/>
        <w:contextualSpacing/>
        <w:rPr>
          <w:rFonts w:ascii="仿宋_GB2312" w:hAnsi="仿宋" w:cs="仿宋"/>
        </w:rPr>
      </w:pPr>
      <w:r>
        <w:rPr>
          <w:rFonts w:hint="eastAsia" w:ascii="仿宋_GB2312" w:hAnsi="仿宋" w:cs="仿宋"/>
        </w:rPr>
        <w:t>风电、光伏发电开发利用可替代大量化石能源消耗，减少温室气体和污染物排放，显著增加新的就业岗位，对环境保护和社会发展起着重要且积极的作用。本规划中风电、光伏发电项目装机分别较“十三五”期间增加112万千瓦和120万千瓦，实施后每年可分别节约标煤77万吨和38万吨。</w:t>
      </w:r>
    </w:p>
    <w:p>
      <w:pPr>
        <w:spacing w:line="560" w:lineRule="exact"/>
        <w:ind w:firstLine="640" w:firstLineChars="200"/>
        <w:contextualSpacing/>
        <w:outlineLvl w:val="2"/>
        <w:rPr>
          <w:rFonts w:ascii="仿宋_GB2312" w:hAnsi="仿宋" w:cs="仿宋"/>
        </w:rPr>
      </w:pPr>
      <w:bookmarkStart w:id="840" w:name="_Toc15696"/>
      <w:bookmarkStart w:id="841" w:name="_Toc24517"/>
      <w:bookmarkStart w:id="842" w:name="_Toc28259"/>
      <w:bookmarkStart w:id="843" w:name="_Toc5035"/>
      <w:bookmarkStart w:id="844" w:name="_Toc21581"/>
      <w:bookmarkStart w:id="845" w:name="_Toc27623"/>
      <w:r>
        <w:rPr>
          <w:rFonts w:hint="eastAsia" w:ascii="仿宋_GB2312" w:hAnsi="仿宋" w:cs="仿宋"/>
          <w:bCs/>
        </w:rPr>
        <w:t>4.生物质发电</w:t>
      </w:r>
      <w:bookmarkEnd w:id="840"/>
      <w:bookmarkEnd w:id="841"/>
      <w:bookmarkEnd w:id="842"/>
      <w:r>
        <w:rPr>
          <w:rFonts w:hint="eastAsia" w:ascii="仿宋_GB2312" w:hAnsi="仿宋" w:cs="仿宋"/>
          <w:bCs/>
        </w:rPr>
        <w:t>影响预测</w:t>
      </w:r>
      <w:bookmarkEnd w:id="843"/>
      <w:bookmarkEnd w:id="844"/>
      <w:r>
        <w:rPr>
          <w:rFonts w:hint="eastAsia" w:ascii="仿宋_GB2312" w:hAnsi="仿宋" w:cs="仿宋"/>
          <w:bCs/>
        </w:rPr>
        <w:t>预防</w:t>
      </w:r>
      <w:bookmarkEnd w:id="845"/>
      <w:r>
        <w:rPr>
          <w:rFonts w:hint="eastAsia" w:ascii="仿宋_GB2312" w:hAnsi="仿宋" w:cs="仿宋"/>
          <w:bCs/>
        </w:rPr>
        <w:t>。</w:t>
      </w:r>
      <w:r>
        <w:rPr>
          <w:rFonts w:hint="eastAsia" w:ascii="仿宋_GB2312" w:hAnsi="仿宋" w:cs="仿宋"/>
        </w:rPr>
        <w:t>本规划中生物质发电规模较“十三五”末增加6万千瓦，生物质发电项目在资源消耗、用水节能、污染物排放等方面应符合清洁生产的要求。生物质发电项目排放的烟气、废水、灰渣进行处理后，各项污染物可达标排放，能够满足环境污染物总量指标控制要求，对环境的影响可控。</w:t>
      </w:r>
      <w:bookmarkStart w:id="846" w:name="_Toc4973"/>
      <w:bookmarkStart w:id="847" w:name="_Toc21292"/>
      <w:bookmarkStart w:id="848" w:name="_Toc23174"/>
      <w:bookmarkStart w:id="849" w:name="_Toc23110"/>
      <w:bookmarkStart w:id="850" w:name="_Toc12966"/>
      <w:bookmarkStart w:id="851" w:name="_Toc19047"/>
    </w:p>
    <w:p>
      <w:pPr>
        <w:pStyle w:val="58"/>
        <w:spacing w:line="560" w:lineRule="exact"/>
        <w:ind w:firstLine="0" w:firstLineChars="0"/>
        <w:contextualSpacing/>
        <w:jc w:val="center"/>
        <w:outlineLvl w:val="1"/>
        <w:rPr>
          <w:rFonts w:ascii="楷体" w:hAnsi="楷体" w:eastAsia="楷体" w:cs="楷体"/>
          <w:bCs/>
          <w:sz w:val="32"/>
          <w:szCs w:val="32"/>
        </w:rPr>
      </w:pPr>
      <w:bookmarkStart w:id="852" w:name="_Toc30773"/>
      <w:bookmarkStart w:id="853" w:name="_Toc23991"/>
      <w:r>
        <w:rPr>
          <w:rFonts w:hint="eastAsia" w:ascii="楷体" w:hAnsi="楷体" w:eastAsia="楷体" w:cs="楷体"/>
          <w:bCs/>
          <w:sz w:val="32"/>
          <w:szCs w:val="32"/>
        </w:rPr>
        <w:t>第三节 预防或减轻不良影响的措施</w:t>
      </w:r>
      <w:bookmarkEnd w:id="846"/>
      <w:bookmarkEnd w:id="847"/>
      <w:bookmarkEnd w:id="848"/>
      <w:bookmarkEnd w:id="849"/>
      <w:bookmarkEnd w:id="850"/>
      <w:bookmarkEnd w:id="851"/>
      <w:bookmarkEnd w:id="852"/>
      <w:bookmarkEnd w:id="853"/>
    </w:p>
    <w:p>
      <w:pPr>
        <w:spacing w:line="560" w:lineRule="exact"/>
        <w:ind w:firstLine="640" w:firstLineChars="200"/>
        <w:contextualSpacing/>
        <w:rPr>
          <w:rFonts w:ascii="仿宋_GB2312" w:hAnsi="仿宋" w:cs="仿宋"/>
        </w:rPr>
      </w:pPr>
      <w:r>
        <w:rPr>
          <w:rFonts w:hint="eastAsia" w:ascii="仿宋_GB2312" w:hAnsi="仿宋" w:cs="仿宋"/>
        </w:rPr>
        <w:t>严格落实国家和河南省相关生态环境管控要求，通过调整规划项目选址、论证工程规模的环境合理性以及环境污染防治措施等手段，确保项目满足要求。项目规划应做好与国土空间规划衔接，明确各类生态保护红线范围，远离环境敏感区域。能源项目建设前期工作提出环保和水保措施方案，建设过程中严格落实生态空间管控要求，不断优化建设项目发展的空间布局，守住生态环境安全底线。</w:t>
      </w:r>
      <w:bookmarkStart w:id="854" w:name="_Toc25688"/>
      <w:bookmarkStart w:id="855" w:name="_Toc20256"/>
      <w:bookmarkStart w:id="856" w:name="_Toc8751"/>
      <w:bookmarkStart w:id="857" w:name="_Toc17805"/>
      <w:bookmarkStart w:id="858" w:name="_Toc25201"/>
      <w:bookmarkStart w:id="859" w:name="_Toc16121"/>
      <w:bookmarkStart w:id="860" w:name="_Toc13080"/>
      <w:bookmarkStart w:id="861" w:name="_Toc7207"/>
    </w:p>
    <w:p>
      <w:pPr>
        <w:spacing w:line="560" w:lineRule="exact"/>
        <w:contextualSpacing/>
        <w:jc w:val="center"/>
        <w:rPr>
          <w:rFonts w:ascii="黑体" w:hAnsi="黑体" w:eastAsia="黑体" w:cs="黑体"/>
        </w:rPr>
      </w:pPr>
      <w:r>
        <w:rPr>
          <w:rFonts w:hint="eastAsia" w:ascii="黑体" w:hAnsi="黑体" w:eastAsia="黑体" w:cs="黑体"/>
        </w:rPr>
        <w:t>第九章 加强规划组织实施</w:t>
      </w:r>
      <w:bookmarkEnd w:id="854"/>
      <w:bookmarkEnd w:id="855"/>
      <w:bookmarkEnd w:id="856"/>
      <w:bookmarkEnd w:id="857"/>
      <w:bookmarkEnd w:id="858"/>
      <w:bookmarkEnd w:id="859"/>
      <w:bookmarkEnd w:id="860"/>
      <w:bookmarkEnd w:id="861"/>
    </w:p>
    <w:p>
      <w:pPr>
        <w:pStyle w:val="58"/>
        <w:spacing w:line="560" w:lineRule="exact"/>
        <w:ind w:firstLine="0" w:firstLineChars="0"/>
        <w:contextualSpacing/>
        <w:jc w:val="center"/>
        <w:outlineLvl w:val="1"/>
        <w:rPr>
          <w:rFonts w:ascii="楷体" w:hAnsi="楷体" w:eastAsia="楷体" w:cs="楷体"/>
          <w:bCs/>
          <w:sz w:val="32"/>
          <w:szCs w:val="32"/>
        </w:rPr>
      </w:pPr>
      <w:bookmarkStart w:id="862" w:name="_Toc3331"/>
      <w:bookmarkStart w:id="863" w:name="_Toc2406"/>
      <w:bookmarkStart w:id="864" w:name="_Toc5338"/>
      <w:bookmarkStart w:id="865" w:name="_Toc12029"/>
      <w:bookmarkStart w:id="866" w:name="_Toc25472"/>
      <w:bookmarkStart w:id="867" w:name="_Toc2378"/>
      <w:bookmarkStart w:id="868" w:name="_Toc12456"/>
      <w:bookmarkStart w:id="869" w:name="_Toc3560"/>
      <w:r>
        <w:rPr>
          <w:rFonts w:hint="eastAsia" w:ascii="楷体" w:hAnsi="楷体" w:eastAsia="楷体" w:cs="楷体"/>
          <w:bCs/>
          <w:sz w:val="32"/>
          <w:szCs w:val="32"/>
        </w:rPr>
        <w:t>第一节 加强组织领导</w:t>
      </w:r>
      <w:bookmarkEnd w:id="862"/>
      <w:bookmarkEnd w:id="863"/>
      <w:bookmarkEnd w:id="864"/>
      <w:bookmarkEnd w:id="865"/>
      <w:bookmarkEnd w:id="866"/>
      <w:bookmarkEnd w:id="867"/>
      <w:bookmarkEnd w:id="868"/>
      <w:bookmarkEnd w:id="869"/>
    </w:p>
    <w:p>
      <w:pPr>
        <w:spacing w:line="560" w:lineRule="exact"/>
        <w:ind w:firstLine="640" w:firstLineChars="200"/>
        <w:contextualSpacing/>
        <w:rPr>
          <w:rFonts w:ascii="仿宋_GB2312" w:hAnsi="仿宋" w:cs="仿宋"/>
        </w:rPr>
      </w:pPr>
      <w:r>
        <w:rPr>
          <w:rFonts w:hint="eastAsia" w:ascii="仿宋_GB2312" w:hAnsi="仿宋" w:cs="仿宋"/>
        </w:rPr>
        <w:t>进一步发挥能源主管部门的统筹协调作用，加强能源重大事项协调管理，建立责任明确、协调有力、管理规范、运转高效的能源管理体系。整合部门、县（市、区）、企业各类资源要素，加强信息共享和部门协调联动，坚持上下联动、共同参与、形成合力。严格贯彻国家要求，用足用好国家政策，监督落实地方企业责任，重点加强项目引进，在建设用地、资金、安全方面加强保障力度。</w:t>
      </w:r>
      <w:bookmarkStart w:id="870" w:name="_Toc14316"/>
      <w:bookmarkStart w:id="871" w:name="_Toc8776"/>
      <w:bookmarkStart w:id="872" w:name="_Toc3346"/>
      <w:bookmarkStart w:id="873" w:name="_Toc20244"/>
      <w:bookmarkStart w:id="874" w:name="_Toc31232"/>
      <w:bookmarkStart w:id="875" w:name="_Toc18325"/>
    </w:p>
    <w:p>
      <w:pPr>
        <w:pStyle w:val="58"/>
        <w:spacing w:line="560" w:lineRule="exact"/>
        <w:ind w:firstLine="0" w:firstLineChars="0"/>
        <w:contextualSpacing/>
        <w:jc w:val="center"/>
        <w:outlineLvl w:val="1"/>
        <w:rPr>
          <w:rFonts w:ascii="楷体" w:hAnsi="楷体" w:eastAsia="楷体" w:cs="楷体"/>
          <w:bCs/>
          <w:sz w:val="32"/>
          <w:szCs w:val="32"/>
        </w:rPr>
      </w:pPr>
      <w:bookmarkStart w:id="876" w:name="_Toc25003"/>
      <w:bookmarkStart w:id="877" w:name="_Toc16935"/>
      <w:r>
        <w:rPr>
          <w:rFonts w:hint="eastAsia" w:ascii="楷体" w:hAnsi="楷体" w:eastAsia="楷体" w:cs="楷体"/>
          <w:bCs/>
          <w:sz w:val="32"/>
          <w:szCs w:val="32"/>
        </w:rPr>
        <w:t>第二节 突出规划引领</w:t>
      </w:r>
      <w:bookmarkEnd w:id="870"/>
      <w:bookmarkEnd w:id="871"/>
      <w:bookmarkEnd w:id="872"/>
      <w:bookmarkEnd w:id="873"/>
      <w:bookmarkEnd w:id="874"/>
      <w:bookmarkEnd w:id="875"/>
      <w:bookmarkEnd w:id="876"/>
      <w:bookmarkEnd w:id="877"/>
    </w:p>
    <w:p>
      <w:pPr>
        <w:spacing w:line="560" w:lineRule="exact"/>
        <w:ind w:firstLine="640" w:firstLineChars="200"/>
        <w:contextualSpacing/>
        <w:rPr>
          <w:rFonts w:ascii="仿宋_GB2312" w:hAnsi="仿宋" w:cs="仿宋"/>
        </w:rPr>
      </w:pPr>
      <w:r>
        <w:rPr>
          <w:rFonts w:hint="eastAsia" w:ascii="仿宋_GB2312" w:hAnsi="仿宋" w:cs="仿宋"/>
        </w:rPr>
        <w:t>增强规划的权威性、严肃性、约束性，建立健全能源主管部门牵头组织协调、其他有关部门按照职责分工配合推进、能源企业细化落实的工作机制，形成推动规划实施的整体合力。强化能源规划与省、市国民经济和社会发展五年规划纲要以及全市国土空间规划、节能、生态环保等相关规划的衔接和协调。充分发挥规划对全市能源发展的宏观调控和引导作用，做好能源发展年度计划与规划的衔接，逐年落实规划提出的发展目标和任务。</w:t>
      </w:r>
      <w:bookmarkStart w:id="878" w:name="_Toc5557"/>
      <w:bookmarkStart w:id="879" w:name="_Toc4784"/>
      <w:bookmarkStart w:id="880" w:name="_Toc18560"/>
      <w:bookmarkStart w:id="881" w:name="_Toc7396"/>
      <w:bookmarkStart w:id="882" w:name="_Toc15041"/>
      <w:bookmarkStart w:id="883" w:name="_Toc24381"/>
    </w:p>
    <w:p>
      <w:pPr>
        <w:pStyle w:val="58"/>
        <w:spacing w:line="560" w:lineRule="exact"/>
        <w:ind w:firstLine="0" w:firstLineChars="0"/>
        <w:contextualSpacing/>
        <w:jc w:val="center"/>
        <w:outlineLvl w:val="1"/>
        <w:rPr>
          <w:rFonts w:ascii="楷体" w:hAnsi="楷体" w:eastAsia="楷体" w:cs="楷体"/>
          <w:bCs/>
          <w:sz w:val="32"/>
          <w:szCs w:val="32"/>
        </w:rPr>
      </w:pPr>
      <w:bookmarkStart w:id="884" w:name="_Toc17247"/>
      <w:bookmarkStart w:id="885" w:name="_Toc30221"/>
      <w:r>
        <w:rPr>
          <w:rFonts w:hint="eastAsia" w:ascii="楷体" w:hAnsi="楷体" w:eastAsia="楷体" w:cs="楷体"/>
          <w:bCs/>
          <w:sz w:val="32"/>
          <w:szCs w:val="32"/>
        </w:rPr>
        <w:t xml:space="preserve">第三节 </w:t>
      </w:r>
      <w:bookmarkEnd w:id="878"/>
      <w:bookmarkEnd w:id="879"/>
      <w:bookmarkEnd w:id="880"/>
      <w:bookmarkEnd w:id="881"/>
      <w:bookmarkEnd w:id="882"/>
      <w:bookmarkEnd w:id="883"/>
      <w:bookmarkEnd w:id="884"/>
      <w:bookmarkEnd w:id="885"/>
      <w:bookmarkStart w:id="886" w:name="_Toc13281"/>
      <w:bookmarkStart w:id="887" w:name="_Toc22736"/>
      <w:bookmarkStart w:id="888" w:name="_Toc32050"/>
      <w:bookmarkStart w:id="889" w:name="_Toc12254"/>
      <w:bookmarkStart w:id="890" w:name="_Toc26048"/>
      <w:bookmarkStart w:id="891" w:name="_Toc6465"/>
      <w:bookmarkStart w:id="892" w:name="_Toc30413"/>
      <w:r>
        <w:rPr>
          <w:rFonts w:hint="eastAsia" w:ascii="楷体" w:hAnsi="楷体" w:eastAsia="楷体" w:cs="楷体"/>
          <w:bCs/>
          <w:sz w:val="32"/>
          <w:szCs w:val="32"/>
        </w:rPr>
        <w:t>强化监测评估</w:t>
      </w:r>
      <w:bookmarkEnd w:id="886"/>
      <w:bookmarkEnd w:id="887"/>
      <w:bookmarkEnd w:id="888"/>
      <w:bookmarkEnd w:id="889"/>
      <w:bookmarkEnd w:id="890"/>
      <w:bookmarkEnd w:id="891"/>
      <w:bookmarkEnd w:id="892"/>
    </w:p>
    <w:p>
      <w:pPr>
        <w:spacing w:line="560" w:lineRule="exact"/>
        <w:ind w:firstLine="640" w:firstLineChars="200"/>
        <w:contextualSpacing/>
        <w:rPr>
          <w:rFonts w:ascii="仿宋_GB2312" w:hAnsi="仿宋" w:cs="仿宋"/>
        </w:rPr>
      </w:pPr>
      <w:r>
        <w:rPr>
          <w:rFonts w:hint="eastAsia" w:ascii="仿宋_GB2312" w:hAnsi="仿宋" w:cs="仿宋"/>
        </w:rPr>
        <w:t>细化制定具体年度推进计划，确保规划任务分年度、按计划、有步骤地完成。完善规划实施评估和适时滚动修编制度，定期评估实施情况和工作成效，组织开展规划实施情况中期评估和总结评估。建立规划动态评估机制和重大情况报告制度，严格评估程序，对规划滚动实施提出建议，及时总结经验、分析问题、制定对策。</w:t>
      </w:r>
      <w:bookmarkStart w:id="893" w:name="_Toc26060"/>
      <w:bookmarkStart w:id="894" w:name="_Toc15356"/>
      <w:bookmarkStart w:id="895" w:name="_Toc1577"/>
      <w:bookmarkStart w:id="896" w:name="_Toc15465"/>
      <w:bookmarkStart w:id="897" w:name="_Toc9656"/>
      <w:bookmarkStart w:id="898" w:name="_Toc15004"/>
    </w:p>
    <w:p>
      <w:pPr>
        <w:pStyle w:val="58"/>
        <w:spacing w:line="560" w:lineRule="exact"/>
        <w:ind w:firstLine="0" w:firstLineChars="0"/>
        <w:contextualSpacing/>
        <w:jc w:val="center"/>
        <w:outlineLvl w:val="1"/>
        <w:rPr>
          <w:rFonts w:ascii="楷体" w:hAnsi="楷体" w:eastAsia="楷体" w:cs="楷体"/>
          <w:bCs/>
          <w:sz w:val="32"/>
          <w:szCs w:val="32"/>
        </w:rPr>
      </w:pPr>
      <w:bookmarkStart w:id="899" w:name="_Toc13835"/>
      <w:bookmarkStart w:id="900" w:name="_Toc11751"/>
      <w:r>
        <w:rPr>
          <w:rFonts w:hint="eastAsia" w:ascii="楷体" w:hAnsi="楷体" w:eastAsia="楷体" w:cs="楷体"/>
          <w:bCs/>
          <w:sz w:val="32"/>
          <w:szCs w:val="32"/>
        </w:rPr>
        <w:t>第四节 创新调控</w:t>
      </w:r>
      <w:bookmarkEnd w:id="893"/>
      <w:bookmarkEnd w:id="894"/>
      <w:bookmarkEnd w:id="895"/>
      <w:bookmarkEnd w:id="896"/>
      <w:bookmarkEnd w:id="897"/>
      <w:bookmarkEnd w:id="898"/>
      <w:bookmarkEnd w:id="899"/>
      <w:bookmarkEnd w:id="900"/>
      <w:r>
        <w:rPr>
          <w:rFonts w:hint="eastAsia" w:ascii="楷体" w:hAnsi="楷体" w:eastAsia="楷体" w:cs="楷体"/>
          <w:bCs/>
          <w:sz w:val="32"/>
          <w:szCs w:val="32"/>
        </w:rPr>
        <w:t>方式</w:t>
      </w:r>
    </w:p>
    <w:p>
      <w:pPr>
        <w:spacing w:line="560" w:lineRule="exact"/>
        <w:ind w:firstLine="640" w:firstLineChars="200"/>
        <w:contextualSpacing/>
        <w:rPr>
          <w:rFonts w:ascii="仿宋_GB2312" w:hAnsi="仿宋" w:cs="仿宋"/>
        </w:rPr>
      </w:pPr>
      <w:r>
        <w:rPr>
          <w:rFonts w:hint="eastAsia" w:ascii="仿宋_GB2312" w:hAnsi="仿宋" w:cs="仿宋"/>
        </w:rPr>
        <w:t>强化政府引导和约束作用，完善财政支持、要素保障等激励政策。建立健全节能降耗、碳排放总量、可再生能源发展、压减煤炭消费等约束性指标统计、考核制度。营造公平营商环境，完善现代企业制度，提高投资效率，引导投资主体注重保护资源环境、履行社会责任。</w:t>
      </w:r>
      <w:bookmarkStart w:id="901" w:name="_Toc20992"/>
      <w:bookmarkStart w:id="902" w:name="_Toc10951"/>
      <w:bookmarkStart w:id="903" w:name="_Toc6167"/>
      <w:bookmarkStart w:id="904" w:name="_Toc5872"/>
      <w:bookmarkStart w:id="905" w:name="_Toc28851"/>
      <w:bookmarkStart w:id="906" w:name="_Toc21201"/>
    </w:p>
    <w:p>
      <w:pPr>
        <w:pStyle w:val="58"/>
        <w:spacing w:line="560" w:lineRule="exact"/>
        <w:ind w:firstLine="0" w:firstLineChars="0"/>
        <w:contextualSpacing/>
        <w:jc w:val="center"/>
        <w:outlineLvl w:val="1"/>
        <w:rPr>
          <w:rFonts w:ascii="楷体" w:hAnsi="楷体" w:eastAsia="楷体" w:cs="楷体"/>
          <w:bCs/>
          <w:sz w:val="32"/>
          <w:szCs w:val="32"/>
        </w:rPr>
      </w:pPr>
      <w:bookmarkStart w:id="907" w:name="_Toc31940"/>
      <w:bookmarkStart w:id="908" w:name="_Toc1090"/>
      <w:r>
        <w:rPr>
          <w:rFonts w:hint="eastAsia" w:ascii="楷体" w:hAnsi="楷体" w:eastAsia="楷体" w:cs="楷体"/>
          <w:bCs/>
          <w:sz w:val="32"/>
          <w:szCs w:val="32"/>
        </w:rPr>
        <w:t>第五节 做好宣传引导</w:t>
      </w:r>
      <w:bookmarkEnd w:id="901"/>
      <w:bookmarkEnd w:id="902"/>
      <w:bookmarkEnd w:id="903"/>
      <w:bookmarkEnd w:id="904"/>
      <w:bookmarkEnd w:id="905"/>
      <w:bookmarkEnd w:id="906"/>
      <w:bookmarkEnd w:id="907"/>
      <w:bookmarkEnd w:id="908"/>
    </w:p>
    <w:p>
      <w:pPr>
        <w:spacing w:line="560" w:lineRule="exact"/>
        <w:ind w:firstLine="640" w:firstLineChars="200"/>
        <w:contextualSpacing/>
      </w:pPr>
      <w:r>
        <w:rPr>
          <w:rFonts w:hint="eastAsia" w:ascii="仿宋_GB2312" w:hAnsi="仿宋" w:cs="仿宋"/>
        </w:rPr>
        <w:t>加强能源高质量发展相关工作的宣传力度，积极营造全社会关心、认可、支持能源发展的良好氛围，提高全社会节约用能的意识，引导科学合理用能。充分利用主流媒介等形式，加强对能源工作的新闻宣传、政策解读、教育普及和相关法律法规的宣贯。注重引导舆论，回应社会关切，及时消除群众的认知误区，传递有利于加快能源高质量发展的声音和正能量。</w:t>
      </w:r>
    </w:p>
    <w:p>
      <w:pPr>
        <w:widowControl/>
        <w:jc w:val="left"/>
        <w:rPr>
          <w:rFonts w:ascii="方正小标宋简体" w:hAnsi="方正小标宋简体" w:eastAsia="方正小标宋简体" w:cs="方正小标宋简体"/>
          <w:sz w:val="52"/>
          <w:szCs w:val="52"/>
        </w:rPr>
      </w:pPr>
      <w:r>
        <w:rPr>
          <w:rFonts w:ascii="方正小标宋简体" w:hAnsi="方正小标宋简体" w:eastAsia="方正小标宋简体" w:cs="方正小标宋简体"/>
          <w:sz w:val="52"/>
          <w:szCs w:val="52"/>
        </w:rPr>
        <w:br w:type="page"/>
      </w:r>
    </w:p>
    <w:p>
      <w:pPr>
        <w:spacing w:line="560" w:lineRule="exact"/>
        <w:contextualSpacing/>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南阳市新型城镇化规划</w:t>
      </w:r>
    </w:p>
    <w:p>
      <w:pPr>
        <w:spacing w:line="560" w:lineRule="exact"/>
        <w:contextualSpacing/>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（2021—2035年）</w:t>
      </w:r>
    </w:p>
    <w:p>
      <w:pPr>
        <w:spacing w:line="560" w:lineRule="exact"/>
        <w:contextualSpacing/>
        <w:jc w:val="center"/>
        <w:outlineLvl w:val="0"/>
        <w:rPr>
          <w:rStyle w:val="29"/>
          <w:rFonts w:ascii="黑体" w:hAnsi="黑体" w:eastAsia="黑体" w:cs="Arial"/>
          <w:b w:val="0"/>
        </w:rPr>
      </w:pPr>
      <w:bookmarkStart w:id="909" w:name="_Toc236"/>
      <w:bookmarkStart w:id="910" w:name="_Toc25130"/>
      <w:bookmarkStart w:id="911" w:name="_Toc10401"/>
    </w:p>
    <w:bookmarkEnd w:id="909"/>
    <w:bookmarkEnd w:id="910"/>
    <w:bookmarkEnd w:id="911"/>
    <w:p>
      <w:pPr>
        <w:spacing w:line="560" w:lineRule="exact"/>
        <w:ind w:firstLine="640"/>
        <w:contextualSpacing/>
      </w:pPr>
      <w:r>
        <w:rPr>
          <w:rFonts w:hint="eastAsia" w:ascii="仿宋" w:hAnsi="仿宋" w:eastAsia="仿宋"/>
        </w:rPr>
        <w:t>城镇化是现代化的必由之路和重要标志，是挖掘内需潜力、增添发展动能的重要支撑，是优化国土空间开发保护格局、推动区域协调发展的有力抓手，是促进城乡融合发展、实现共同富裕的根本路径。高质量建设河南省副中心城市，必须坚定不移、积极稳妥地推进以人为核心的新型城镇化战略。本规划根据《国家新型城镇化规划（2021</w:t>
      </w:r>
      <w:r>
        <w:rPr>
          <w:rFonts w:hint="cs" w:ascii="仿宋" w:hAnsi="仿宋" w:eastAsia="仿宋"/>
        </w:rPr>
        <w:t>—</w:t>
      </w:r>
      <w:r>
        <w:rPr>
          <w:rFonts w:hint="eastAsia" w:ascii="仿宋" w:hAnsi="仿宋" w:eastAsia="仿宋"/>
        </w:rPr>
        <w:t>2035年）》《河南省新型城镇化规划（2021</w:t>
      </w:r>
      <w:r>
        <w:rPr>
          <w:rFonts w:hint="cs" w:ascii="仿宋" w:hAnsi="仿宋" w:eastAsia="仿宋"/>
        </w:rPr>
        <w:t>—</w:t>
      </w:r>
      <w:r>
        <w:rPr>
          <w:rFonts w:hint="eastAsia" w:ascii="仿宋" w:hAnsi="仿宋" w:eastAsia="仿宋"/>
        </w:rPr>
        <w:t>2035年）》和《南阳市国民经济和社会发展第十四个五年规划和二〇三五年远景目标纲要》编制，全面贯彻落实市第七次党代会精神，重点明确未来全市城镇化的发展路径、主要目标、战略任务和政策举措，是指导全市新型城镇化高质量发展的宏观性、战略性、基础性规划。</w:t>
      </w:r>
      <w:bookmarkStart w:id="912" w:name="_Toc21199"/>
      <w:bookmarkStart w:id="913" w:name="_Toc11257"/>
      <w:bookmarkStart w:id="914" w:name="_Toc12489"/>
    </w:p>
    <w:p>
      <w:pPr>
        <w:pStyle w:val="6"/>
        <w:spacing w:line="560" w:lineRule="exact"/>
        <w:ind w:firstLine="640"/>
        <w:contextualSpacing/>
        <w:jc w:val="center"/>
        <w:rPr>
          <w:rStyle w:val="29"/>
          <w:rFonts w:ascii="黑体" w:hAnsi="黑体" w:cs="Arial"/>
          <w:b w:val="0"/>
          <w:szCs w:val="32"/>
        </w:rPr>
      </w:pPr>
      <w:r>
        <w:rPr>
          <w:rStyle w:val="29"/>
          <w:rFonts w:hint="eastAsia" w:ascii="黑体" w:hAnsi="黑体" w:cs="Arial"/>
          <w:b w:val="0"/>
          <w:szCs w:val="32"/>
        </w:rPr>
        <w:t>第</w:t>
      </w:r>
      <w:r>
        <w:rPr>
          <w:rStyle w:val="29"/>
          <w:rFonts w:ascii="黑体" w:hAnsi="黑体" w:cs="Arial"/>
          <w:b w:val="0"/>
          <w:szCs w:val="32"/>
        </w:rPr>
        <w:t>一章</w:t>
      </w:r>
      <w:r>
        <w:rPr>
          <w:rStyle w:val="29"/>
          <w:rFonts w:hint="eastAsia" w:ascii="黑体" w:hAnsi="黑体" w:cs="Arial"/>
          <w:b w:val="0"/>
          <w:szCs w:val="32"/>
        </w:rPr>
        <w:t xml:space="preserve"> 发展基础</w:t>
      </w:r>
      <w:bookmarkEnd w:id="912"/>
      <w:bookmarkEnd w:id="913"/>
      <w:bookmarkEnd w:id="914"/>
    </w:p>
    <w:p>
      <w:pPr>
        <w:pStyle w:val="7"/>
        <w:spacing w:line="560" w:lineRule="exact"/>
        <w:contextualSpacing/>
        <w:jc w:val="center"/>
        <w:rPr>
          <w:rStyle w:val="29"/>
          <w:rFonts w:ascii="楷体" w:hAnsi="楷体" w:eastAsia="楷体"/>
          <w:b w:val="0"/>
        </w:rPr>
      </w:pPr>
      <w:bookmarkStart w:id="915" w:name="_Toc22120"/>
      <w:bookmarkStart w:id="916" w:name="_Toc14277"/>
      <w:bookmarkStart w:id="917" w:name="_Toc98086649"/>
      <w:bookmarkStart w:id="918" w:name="_Toc30681"/>
      <w:bookmarkStart w:id="919" w:name="_Toc98162609"/>
      <w:r>
        <w:rPr>
          <w:rStyle w:val="29"/>
          <w:rFonts w:hint="eastAsia" w:ascii="楷体" w:hAnsi="楷体" w:eastAsia="楷体"/>
          <w:b w:val="0"/>
        </w:rPr>
        <w:t>第</w:t>
      </w:r>
      <w:r>
        <w:rPr>
          <w:rStyle w:val="29"/>
          <w:rFonts w:ascii="楷体" w:hAnsi="楷体" w:eastAsia="楷体"/>
          <w:b w:val="0"/>
        </w:rPr>
        <w:t>一节</w:t>
      </w:r>
      <w:r>
        <w:rPr>
          <w:rStyle w:val="29"/>
          <w:rFonts w:hint="eastAsia" w:ascii="楷体" w:hAnsi="楷体" w:eastAsia="楷体"/>
          <w:b w:val="0"/>
        </w:rPr>
        <w:t xml:space="preserve"> 主要成就</w:t>
      </w:r>
      <w:bookmarkEnd w:id="915"/>
      <w:bookmarkEnd w:id="916"/>
      <w:bookmarkEnd w:id="917"/>
      <w:bookmarkEnd w:id="918"/>
      <w:bookmarkEnd w:id="919"/>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w:t>
      </w:r>
      <w:r>
        <w:rPr>
          <w:rFonts w:ascii="仿宋" w:hAnsi="仿宋" w:eastAsia="仿宋" w:cs="Arial"/>
          <w:sz w:val="32"/>
        </w:rPr>
        <w:t>十三五”时期</w:t>
      </w:r>
      <w:r>
        <w:rPr>
          <w:rFonts w:hint="eastAsia" w:ascii="仿宋" w:hAnsi="仿宋" w:eastAsia="仿宋" w:cs="Arial"/>
          <w:sz w:val="32"/>
        </w:rPr>
        <w:t>，我市深入实施新型城镇化战略，城镇化进程不断加快、城镇化质量大幅提升，城乡面貌持续改善，城乡融合发展取得实质进展。</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1.农业转移人口市民化成效明显。深化户籍制度改革，全面取消落户限制，基本实现零门槛落户。全面实施居住证制度，到</w:t>
      </w:r>
      <w:r>
        <w:rPr>
          <w:rFonts w:ascii="仿宋" w:hAnsi="仿宋" w:eastAsia="仿宋" w:cs="Arial"/>
          <w:sz w:val="32"/>
        </w:rPr>
        <w:t>202</w:t>
      </w:r>
      <w:r>
        <w:rPr>
          <w:rFonts w:hint="eastAsia" w:ascii="仿宋" w:hAnsi="仿宋" w:eastAsia="仿宋" w:cs="Arial"/>
          <w:sz w:val="32"/>
        </w:rPr>
        <w:t>1年底累计制发居住证超过5.1万张，建立与居住证挂钩的基本公共服务提供机制。城镇住房保障对象彻底放开户籍限制，居住证持有人与户籍人口同等享有公租房申请权利。将进城务工人员随迁子女义务教育纳入公共教育体系并享受同等待遇，公共文化体育、法律援助、就业指导培训、基本公共卫生等各项服务不再区分户籍归属地，外来人口均可享受与本地户籍人口同等待遇。</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2.城镇化空间格局不断优化。中心城市和县域城市协调发展的格局基本形成，全市常住人口城镇化率</w:t>
      </w:r>
      <w:r>
        <w:rPr>
          <w:rFonts w:ascii="仿宋" w:hAnsi="仿宋" w:eastAsia="仿宋" w:cs="Arial"/>
          <w:sz w:val="32"/>
        </w:rPr>
        <w:t>5</w:t>
      </w:r>
      <w:r>
        <w:rPr>
          <w:rFonts w:hint="eastAsia" w:ascii="仿宋" w:hAnsi="仿宋" w:eastAsia="仿宋" w:cs="Arial"/>
          <w:sz w:val="32"/>
        </w:rPr>
        <w:t>1</w:t>
      </w:r>
      <w:r>
        <w:rPr>
          <w:rFonts w:ascii="仿宋" w:hAnsi="仿宋" w:eastAsia="仿宋" w:cs="Arial"/>
          <w:sz w:val="32"/>
        </w:rPr>
        <w:t>.</w:t>
      </w:r>
      <w:r>
        <w:rPr>
          <w:rFonts w:hint="eastAsia" w:ascii="仿宋" w:hAnsi="仿宋" w:eastAsia="仿宋" w:cs="Arial"/>
          <w:sz w:val="32"/>
        </w:rPr>
        <w:t>6</w:t>
      </w:r>
      <w:r>
        <w:rPr>
          <w:rFonts w:ascii="仿宋" w:hAnsi="仿宋" w:eastAsia="仿宋" w:cs="Arial"/>
          <w:sz w:val="32"/>
        </w:rPr>
        <w:t>%</w:t>
      </w:r>
      <w:r>
        <w:rPr>
          <w:rFonts w:hint="eastAsia" w:ascii="仿宋" w:hAnsi="仿宋" w:eastAsia="仿宋" w:cs="Arial"/>
          <w:sz w:val="32"/>
        </w:rPr>
        <w:t>。中心城市吸纳集聚、辐射带动能力进一步增强，中心城区常住人口达到162万人，建成区面积达到</w:t>
      </w:r>
      <w:r>
        <w:rPr>
          <w:rFonts w:ascii="仿宋" w:hAnsi="仿宋" w:eastAsia="仿宋" w:cs="Arial"/>
          <w:sz w:val="32"/>
        </w:rPr>
        <w:t>162</w:t>
      </w:r>
      <w:r>
        <w:rPr>
          <w:rFonts w:hint="eastAsia" w:ascii="仿宋" w:hAnsi="仿宋" w:eastAsia="仿宋" w:cs="Arial"/>
          <w:sz w:val="32"/>
        </w:rPr>
        <w:t>平方公里。邓州市域副中心城市功能不断巩固。县域经济底盘更加坚实，深入践行县域治理“三起来”，邓州市、西峡县被评为全省县域治理“三起来”示范县（市）。</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3.城镇功能品质显著提升。百城建设提质工程深入推进，供水、排水、燃气等市政公用设施体系更加完善，生活垃圾无害化处理场建成1</w:t>
      </w:r>
      <w:r>
        <w:rPr>
          <w:rFonts w:ascii="仿宋" w:hAnsi="仿宋" w:eastAsia="仿宋" w:cs="Arial"/>
          <w:sz w:val="32"/>
        </w:rPr>
        <w:t>2</w:t>
      </w:r>
      <w:r>
        <w:rPr>
          <w:rFonts w:hint="eastAsia" w:ascii="仿宋" w:hAnsi="仿宋" w:eastAsia="仿宋" w:cs="Arial"/>
          <w:sz w:val="32"/>
        </w:rPr>
        <w:t>座。城市综合服务设施覆盖率达到100%。信息基础设施建设全国领先，实现县城以上城区5G全覆盖。城市可持续发展能力稳步提升，万元生产总值用水量、万元工业增加值用水量连年下降，全市污水处理总量达</w:t>
      </w:r>
      <w:r>
        <w:rPr>
          <w:rFonts w:ascii="仿宋" w:hAnsi="仿宋" w:eastAsia="仿宋" w:cs="Arial"/>
          <w:sz w:val="32"/>
        </w:rPr>
        <w:t>23102</w:t>
      </w:r>
      <w:r>
        <w:rPr>
          <w:rFonts w:hint="eastAsia" w:ascii="仿宋" w:hAnsi="仿宋" w:eastAsia="仿宋" w:cs="Arial"/>
          <w:sz w:val="32"/>
        </w:rPr>
        <w:t>万立方米，空气、水质、土壤等生态质量持续改善。城市文化软实力和文化影响力不断增强，</w:t>
      </w:r>
      <w:r>
        <w:rPr>
          <w:rFonts w:ascii="仿宋" w:hAnsi="仿宋" w:eastAsia="仿宋" w:cs="Arial"/>
          <w:sz w:val="32"/>
        </w:rPr>
        <w:t>全市文化及相关产业增加值占</w:t>
      </w:r>
      <w:r>
        <w:rPr>
          <w:rFonts w:hint="eastAsia" w:ascii="仿宋" w:hAnsi="仿宋" w:eastAsia="仿宋" w:cs="Arial"/>
          <w:sz w:val="32"/>
        </w:rPr>
        <w:t>GDP比</w:t>
      </w:r>
      <w:r>
        <w:rPr>
          <w:rFonts w:ascii="仿宋" w:hAnsi="仿宋" w:eastAsia="仿宋" w:cs="Arial"/>
          <w:sz w:val="32"/>
        </w:rPr>
        <w:t>重</w:t>
      </w:r>
      <w:r>
        <w:rPr>
          <w:rFonts w:hint="eastAsia" w:ascii="仿宋" w:hAnsi="仿宋" w:eastAsia="仿宋" w:cs="Arial"/>
          <w:sz w:val="32"/>
        </w:rPr>
        <w:t>5.45%，我市成功入选全国第六届文明城市、国家卫生城市和国家森林城市，大美南阳底蕴更深，幸福南阳底色更亮。</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4.城乡融合发展不断提速。脱贫攻坚战略成效显著，全市累计实现</w:t>
      </w:r>
      <w:r>
        <w:rPr>
          <w:rFonts w:ascii="仿宋" w:hAnsi="仿宋" w:eastAsia="仿宋" w:cs="Arial"/>
          <w:sz w:val="32"/>
        </w:rPr>
        <w:t>90.16</w:t>
      </w:r>
      <w:r>
        <w:rPr>
          <w:rFonts w:hint="eastAsia" w:ascii="仿宋" w:hAnsi="仿宋" w:eastAsia="仿宋" w:cs="Arial"/>
          <w:sz w:val="32"/>
        </w:rPr>
        <w:t>万建档立卡农村贫困人口全部脱贫，内乡、镇平、淅川、南召、社旗、桐柏、方城</w:t>
      </w:r>
      <w:r>
        <w:rPr>
          <w:rFonts w:ascii="仿宋" w:hAnsi="仿宋" w:eastAsia="仿宋" w:cs="Arial"/>
          <w:sz w:val="32"/>
        </w:rPr>
        <w:t>7</w:t>
      </w:r>
      <w:r>
        <w:rPr>
          <w:rFonts w:hint="eastAsia" w:ascii="仿宋" w:hAnsi="仿宋" w:eastAsia="仿宋" w:cs="Arial"/>
          <w:sz w:val="32"/>
        </w:rPr>
        <w:t>个贫困县摘帽，</w:t>
      </w:r>
      <w:r>
        <w:rPr>
          <w:rFonts w:ascii="仿宋" w:hAnsi="仿宋" w:eastAsia="仿宋" w:cs="Arial"/>
          <w:sz w:val="32"/>
        </w:rPr>
        <w:t>1112</w:t>
      </w:r>
      <w:r>
        <w:rPr>
          <w:rFonts w:hint="eastAsia" w:ascii="仿宋" w:hAnsi="仿宋" w:eastAsia="仿宋" w:cs="Arial"/>
          <w:sz w:val="32"/>
        </w:rPr>
        <w:t>个贫困村全部出列，符合条件的</w:t>
      </w:r>
      <w:r>
        <w:rPr>
          <w:rFonts w:ascii="仿宋" w:hAnsi="仿宋" w:eastAsia="仿宋" w:cs="Arial"/>
          <w:sz w:val="32"/>
        </w:rPr>
        <w:t>14083</w:t>
      </w:r>
      <w:r>
        <w:rPr>
          <w:rFonts w:hint="eastAsia" w:ascii="仿宋" w:hAnsi="仿宋" w:eastAsia="仿宋" w:cs="Arial"/>
          <w:sz w:val="32"/>
        </w:rPr>
        <w:t>户</w:t>
      </w:r>
      <w:r>
        <w:rPr>
          <w:rFonts w:ascii="仿宋" w:hAnsi="仿宋" w:eastAsia="仿宋" w:cs="Arial"/>
          <w:sz w:val="32"/>
        </w:rPr>
        <w:t>48848</w:t>
      </w:r>
      <w:r>
        <w:rPr>
          <w:rFonts w:hint="eastAsia" w:ascii="仿宋" w:hAnsi="仿宋" w:eastAsia="仿宋" w:cs="Arial"/>
          <w:sz w:val="32"/>
        </w:rPr>
        <w:t>人全部实施易地扶贫搬迁。形成扶贫工作“南阳路径”“南阳经验”。乡村振兴战略深入实施，2020年，全</w:t>
      </w:r>
      <w:r>
        <w:rPr>
          <w:rFonts w:ascii="仿宋" w:hAnsi="仿宋" w:eastAsia="仿宋" w:cs="Arial"/>
          <w:sz w:val="32"/>
        </w:rPr>
        <w:t>市农村居民人均可支配收入16091元，比</w:t>
      </w:r>
      <w:r>
        <w:rPr>
          <w:rFonts w:hint="eastAsia" w:ascii="仿宋" w:hAnsi="仿宋" w:eastAsia="仿宋" w:cs="Arial"/>
          <w:sz w:val="32"/>
        </w:rPr>
        <w:t>2015年</w:t>
      </w:r>
      <w:r>
        <w:rPr>
          <w:rFonts w:ascii="仿宋" w:hAnsi="仿宋" w:eastAsia="仿宋" w:cs="Arial"/>
          <w:sz w:val="32"/>
        </w:rPr>
        <w:t>增长49.3%。</w:t>
      </w:r>
      <w:r>
        <w:rPr>
          <w:rFonts w:hint="eastAsia" w:ascii="仿宋" w:hAnsi="仿宋" w:eastAsia="仿宋" w:cs="Arial"/>
          <w:sz w:val="32"/>
        </w:rPr>
        <w:t>城</w:t>
      </w:r>
      <w:r>
        <w:rPr>
          <w:rFonts w:ascii="仿宋" w:hAnsi="仿宋" w:eastAsia="仿宋" w:cs="Arial"/>
          <w:sz w:val="32"/>
        </w:rPr>
        <w:t>乡居民收入比从</w:t>
      </w:r>
      <w:r>
        <w:rPr>
          <w:rFonts w:hint="eastAsia" w:ascii="仿宋" w:hAnsi="仿宋" w:eastAsia="仿宋" w:cs="Arial"/>
          <w:sz w:val="32"/>
        </w:rPr>
        <w:t>2015年的</w:t>
      </w:r>
      <w:r>
        <w:rPr>
          <w:rFonts w:ascii="仿宋" w:hAnsi="仿宋" w:eastAsia="仿宋" w:cs="Arial"/>
          <w:sz w:val="32"/>
        </w:rPr>
        <w:t>2.33</w:t>
      </w:r>
      <w:r>
        <w:rPr>
          <w:rFonts w:hint="eastAsia" w:ascii="仿宋" w:hAnsi="仿宋" w:eastAsia="仿宋" w:cs="Arial"/>
          <w:sz w:val="32"/>
        </w:rPr>
        <w:t>:</w:t>
      </w:r>
      <w:r>
        <w:rPr>
          <w:rFonts w:ascii="仿宋" w:hAnsi="仿宋" w:eastAsia="仿宋" w:cs="Arial"/>
          <w:sz w:val="32"/>
        </w:rPr>
        <w:t>1</w:t>
      </w:r>
      <w:r>
        <w:rPr>
          <w:rFonts w:hint="eastAsia" w:ascii="仿宋" w:hAnsi="仿宋" w:eastAsia="仿宋" w:cs="Arial"/>
          <w:sz w:val="32"/>
        </w:rPr>
        <w:t>缩小</w:t>
      </w:r>
      <w:r>
        <w:rPr>
          <w:rFonts w:ascii="仿宋" w:hAnsi="仿宋" w:eastAsia="仿宋" w:cs="Arial"/>
          <w:sz w:val="32"/>
        </w:rPr>
        <w:t>到</w:t>
      </w:r>
      <w:r>
        <w:rPr>
          <w:rFonts w:hint="eastAsia" w:ascii="仿宋" w:hAnsi="仿宋" w:eastAsia="仿宋" w:cs="Arial"/>
          <w:sz w:val="32"/>
        </w:rPr>
        <w:t>2020年的</w:t>
      </w:r>
      <w:r>
        <w:rPr>
          <w:rFonts w:ascii="仿宋" w:hAnsi="仿宋" w:eastAsia="仿宋" w:cs="Arial"/>
          <w:sz w:val="32"/>
        </w:rPr>
        <w:t>2.1</w:t>
      </w:r>
      <w:r>
        <w:rPr>
          <w:rFonts w:hint="eastAsia" w:ascii="仿宋" w:hAnsi="仿宋" w:eastAsia="仿宋" w:cs="Arial"/>
          <w:sz w:val="32"/>
        </w:rPr>
        <w:t>:</w:t>
      </w:r>
      <w:r>
        <w:rPr>
          <w:rFonts w:ascii="仿宋" w:hAnsi="仿宋" w:eastAsia="仿宋" w:cs="Arial"/>
          <w:sz w:val="32"/>
        </w:rPr>
        <w:t>1</w:t>
      </w:r>
      <w:r>
        <w:rPr>
          <w:rFonts w:hint="eastAsia" w:ascii="仿宋" w:hAnsi="仿宋" w:eastAsia="仿宋" w:cs="Arial"/>
          <w:sz w:val="32"/>
        </w:rPr>
        <w:t>。城乡基本公共服务制度加快接轨，乡村学校建设条件和管理机制持续改善，统一的城乡居民基本养老保险、基本医疗保险制度基本建立。</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5.城镇化体制机制改革深入推进。制定出台政策，激励城镇建设用地指标向吸纳城镇新增农业转移人口较多、发展较快的地区倾斜，实现土地和人口要素的有效挂钩，完善城镇建设用地增加与农村建设用地减少相挂钩机制。“人地钱”挂钩配套政策不断完善。</w:t>
      </w:r>
    </w:p>
    <w:p>
      <w:pPr>
        <w:pStyle w:val="24"/>
        <w:shd w:val="clear" w:color="auto" w:fill="FFFFFF"/>
        <w:spacing w:beforeAutospacing="0" w:afterAutospacing="0" w:line="560" w:lineRule="exact"/>
        <w:ind w:firstLine="640" w:firstLineChars="200"/>
        <w:contextualSpacing/>
        <w:jc w:val="both"/>
        <w:textAlignment w:val="top"/>
        <w:rPr>
          <w:rStyle w:val="29"/>
          <w:rFonts w:ascii="楷体" w:hAnsi="楷体" w:eastAsia="楷体"/>
          <w:b w:val="0"/>
          <w:bCs w:val="0"/>
          <w:sz w:val="32"/>
        </w:rPr>
      </w:pPr>
      <w:r>
        <w:rPr>
          <w:rFonts w:hint="eastAsia" w:ascii="仿宋" w:hAnsi="仿宋" w:eastAsia="仿宋" w:cs="Arial"/>
          <w:sz w:val="32"/>
        </w:rPr>
        <w:t>同时，应当清醒认识，我市城镇化发展不平衡不充分的问题仍然存在，主要体现在四个方面：老龄化加速和人口外流双重压力同时存在，现</w:t>
      </w:r>
      <w:r>
        <w:rPr>
          <w:rFonts w:ascii="仿宋" w:hAnsi="仿宋" w:eastAsia="仿宋" w:cs="Arial"/>
          <w:sz w:val="32"/>
        </w:rPr>
        <w:t>代产</w:t>
      </w:r>
      <w:r>
        <w:rPr>
          <w:rFonts w:hint="eastAsia" w:ascii="仿宋" w:hAnsi="仿宋" w:eastAsia="仿宋" w:cs="Arial"/>
          <w:sz w:val="32"/>
        </w:rPr>
        <w:t>业助新</w:t>
      </w:r>
      <w:r>
        <w:rPr>
          <w:rFonts w:ascii="仿宋" w:hAnsi="仿宋" w:eastAsia="仿宋" w:cs="Arial"/>
          <w:sz w:val="32"/>
        </w:rPr>
        <w:t>型</w:t>
      </w:r>
      <w:r>
        <w:rPr>
          <w:rFonts w:hint="eastAsia" w:ascii="仿宋" w:hAnsi="仿宋" w:eastAsia="仿宋" w:cs="Arial"/>
          <w:sz w:val="32"/>
        </w:rPr>
        <w:t>城镇化动力不够强劲，城镇新增就业岗位供给能力较弱，人口城镇化的质量和效益有待提升；人口向城镇集聚与城市建设用地增长不够匹配，土地城镇化速度快于人口城镇化，城乡建设用地集约度和亩均产出有较大挖潜空间；高质量发展动力系统还不完善，中</w:t>
      </w:r>
      <w:r>
        <w:rPr>
          <w:rFonts w:ascii="仿宋" w:hAnsi="仿宋" w:eastAsia="仿宋" w:cs="Arial"/>
          <w:sz w:val="32"/>
        </w:rPr>
        <w:t>心城区</w:t>
      </w:r>
      <w:r>
        <w:rPr>
          <w:rFonts w:hint="eastAsia" w:ascii="仿宋" w:hAnsi="仿宋" w:eastAsia="仿宋" w:cs="Arial"/>
          <w:sz w:val="32"/>
        </w:rPr>
        <w:t>辐射带动能</w:t>
      </w:r>
      <w:r>
        <w:rPr>
          <w:rFonts w:ascii="仿宋" w:hAnsi="仿宋" w:eastAsia="仿宋" w:cs="Arial"/>
          <w:sz w:val="32"/>
        </w:rPr>
        <w:t>力</w:t>
      </w:r>
      <w:r>
        <w:rPr>
          <w:rFonts w:hint="eastAsia" w:ascii="仿宋" w:hAnsi="仿宋" w:eastAsia="仿宋" w:cs="Arial"/>
          <w:sz w:val="32"/>
        </w:rPr>
        <w:t>和对全市发展支撑作用不强，“一</w:t>
      </w:r>
      <w:r>
        <w:rPr>
          <w:rFonts w:ascii="仿宋" w:hAnsi="仿宋" w:eastAsia="仿宋" w:cs="Arial"/>
          <w:sz w:val="32"/>
        </w:rPr>
        <w:t>圈两</w:t>
      </w:r>
      <w:r>
        <w:rPr>
          <w:rFonts w:hint="eastAsia" w:ascii="仿宋" w:hAnsi="仿宋" w:eastAsia="仿宋" w:cs="Arial"/>
          <w:sz w:val="32"/>
        </w:rPr>
        <w:t>翼</w:t>
      </w:r>
      <w:r>
        <w:rPr>
          <w:rFonts w:ascii="仿宋" w:hAnsi="仿宋" w:eastAsia="仿宋" w:cs="Arial"/>
          <w:sz w:val="32"/>
        </w:rPr>
        <w:t>”</w:t>
      </w:r>
      <w:r>
        <w:rPr>
          <w:rFonts w:hint="eastAsia" w:ascii="仿宋" w:hAnsi="仿宋" w:eastAsia="仿宋" w:cs="Arial"/>
          <w:sz w:val="32"/>
        </w:rPr>
        <w:t>组团化发展的空间格局尚未有效形成；城市公共服务距离满足市民美好生活需要还存在较大差距，特别是应对各类公共安全风险挑战的能力有待加强，城市安全韧性水平和功能品质亟待提升。</w:t>
      </w:r>
      <w:bookmarkStart w:id="920" w:name="_Toc439"/>
    </w:p>
    <w:p>
      <w:pPr>
        <w:pStyle w:val="7"/>
        <w:spacing w:line="560" w:lineRule="exact"/>
        <w:contextualSpacing/>
        <w:jc w:val="center"/>
        <w:rPr>
          <w:rStyle w:val="29"/>
          <w:rFonts w:ascii="楷体" w:hAnsi="楷体" w:eastAsia="楷体" w:cstheme="minorBidi"/>
          <w:b w:val="0"/>
        </w:rPr>
      </w:pPr>
      <w:bookmarkStart w:id="921" w:name="_Toc12704"/>
      <w:bookmarkStart w:id="922" w:name="_Toc22494"/>
      <w:r>
        <w:rPr>
          <w:rStyle w:val="29"/>
          <w:rFonts w:hint="eastAsia" w:ascii="楷体" w:hAnsi="楷体" w:eastAsia="楷体" w:cstheme="minorBidi"/>
          <w:b w:val="0"/>
        </w:rPr>
        <w:t>第二节 发展态势</w:t>
      </w:r>
      <w:bookmarkEnd w:id="920"/>
      <w:bookmarkEnd w:id="921"/>
      <w:bookmarkEnd w:id="922"/>
    </w:p>
    <w:p>
      <w:pPr>
        <w:shd w:val="clear" w:color="auto" w:fill="FFFFFF"/>
        <w:spacing w:line="560" w:lineRule="exact"/>
        <w:ind w:firstLine="640" w:firstLineChars="200"/>
        <w:contextualSpacing/>
        <w:textAlignment w:val="top"/>
        <w:rPr>
          <w:rFonts w:ascii="仿宋" w:hAnsi="仿宋" w:eastAsia="仿宋" w:cs="Arial"/>
          <w:kern w:val="0"/>
        </w:rPr>
      </w:pPr>
      <w:bookmarkStart w:id="923" w:name="_Toc98086651"/>
      <w:bookmarkStart w:id="924" w:name="_Toc98162611"/>
      <w:r>
        <w:rPr>
          <w:rFonts w:hint="eastAsia" w:ascii="仿宋" w:hAnsi="仿宋" w:eastAsia="仿宋" w:cs="Arial"/>
          <w:kern w:val="0"/>
        </w:rPr>
        <w:t>进入新发展阶段，以国内大循环为主体、国内国际双循环相互促进的新发展格局加速构建，南阳地处豫鄂陕三省交界，汉江生态经济带、淮河生态经济带、大别山革命老区振兴发展等国家战略叠加，有</w:t>
      </w:r>
      <w:r>
        <w:rPr>
          <w:rFonts w:ascii="仿宋" w:hAnsi="仿宋" w:eastAsia="仿宋" w:cs="Arial"/>
          <w:kern w:val="0"/>
        </w:rPr>
        <w:t>利</w:t>
      </w:r>
      <w:r>
        <w:rPr>
          <w:rFonts w:hint="eastAsia" w:ascii="仿宋" w:hAnsi="仿宋" w:eastAsia="仿宋" w:cs="Arial"/>
          <w:kern w:val="0"/>
        </w:rPr>
        <w:t>于</w:t>
      </w:r>
      <w:r>
        <w:rPr>
          <w:rFonts w:ascii="仿宋" w:hAnsi="仿宋" w:eastAsia="仿宋" w:cs="Arial"/>
          <w:kern w:val="0"/>
        </w:rPr>
        <w:t>拓宽开放空间，构建“西联、北引、东进、南</w:t>
      </w:r>
      <w:r>
        <w:rPr>
          <w:rFonts w:hint="eastAsia" w:ascii="仿宋" w:hAnsi="仿宋" w:eastAsia="仿宋" w:cs="Arial"/>
          <w:kern w:val="0"/>
        </w:rPr>
        <w:t>下</w:t>
      </w:r>
      <w:r>
        <w:rPr>
          <w:rFonts w:ascii="仿宋" w:hAnsi="仿宋" w:eastAsia="仿宋" w:cs="Arial"/>
          <w:kern w:val="0"/>
        </w:rPr>
        <w:t>”的开放格局</w:t>
      </w:r>
      <w:r>
        <w:rPr>
          <w:rFonts w:hint="eastAsia" w:ascii="仿宋" w:hAnsi="仿宋" w:eastAsia="仿宋" w:cs="Arial"/>
          <w:kern w:val="0"/>
        </w:rPr>
        <w:t>。</w:t>
      </w:r>
      <w:r>
        <w:rPr>
          <w:rFonts w:ascii="仿宋" w:hAnsi="仿宋" w:eastAsia="仿宋" w:cs="Arial"/>
          <w:kern w:val="0"/>
        </w:rPr>
        <w:t>西联，通过拓展中欧班列</w:t>
      </w:r>
      <w:r>
        <w:rPr>
          <w:rFonts w:hint="eastAsia" w:ascii="仿宋" w:hAnsi="仿宋" w:eastAsia="仿宋" w:cs="Arial"/>
          <w:kern w:val="0"/>
        </w:rPr>
        <w:t>、</w:t>
      </w:r>
      <w:r>
        <w:rPr>
          <w:rFonts w:ascii="仿宋" w:hAnsi="仿宋" w:eastAsia="仿宋" w:cs="Arial"/>
          <w:kern w:val="0"/>
        </w:rPr>
        <w:t>借势大陆</w:t>
      </w:r>
      <w:r>
        <w:rPr>
          <w:rFonts w:hint="eastAsia" w:ascii="仿宋" w:hAnsi="仿宋" w:eastAsia="仿宋" w:cs="Arial"/>
          <w:kern w:val="0"/>
        </w:rPr>
        <w:t>桥</w:t>
      </w:r>
      <w:r>
        <w:rPr>
          <w:rFonts w:ascii="仿宋" w:hAnsi="仿宋" w:eastAsia="仿宋" w:cs="Arial"/>
          <w:kern w:val="0"/>
        </w:rPr>
        <w:t>走廊，积极融入</w:t>
      </w:r>
      <w:r>
        <w:rPr>
          <w:rFonts w:hint="eastAsia" w:ascii="仿宋" w:hAnsi="仿宋" w:eastAsia="仿宋" w:cs="Arial"/>
          <w:kern w:val="0"/>
        </w:rPr>
        <w:t>“</w:t>
      </w:r>
      <w:r>
        <w:rPr>
          <w:rFonts w:ascii="仿宋" w:hAnsi="仿宋" w:eastAsia="仿宋" w:cs="Arial"/>
          <w:kern w:val="0"/>
        </w:rPr>
        <w:t>一带一路”建设；</w:t>
      </w:r>
      <w:r>
        <w:rPr>
          <w:rFonts w:hint="eastAsia" w:ascii="仿宋" w:hAnsi="仿宋" w:eastAsia="仿宋" w:cs="Arial"/>
          <w:kern w:val="0"/>
        </w:rPr>
        <w:t>北</w:t>
      </w:r>
      <w:r>
        <w:rPr>
          <w:rFonts w:ascii="仿宋" w:hAnsi="仿宋" w:eastAsia="仿宋" w:cs="Arial"/>
          <w:kern w:val="0"/>
        </w:rPr>
        <w:t>引，深化京（津）宛对口协作</w:t>
      </w:r>
      <w:r>
        <w:rPr>
          <w:rFonts w:hint="eastAsia" w:ascii="仿宋" w:hAnsi="仿宋" w:eastAsia="仿宋" w:cs="Arial"/>
          <w:kern w:val="0"/>
        </w:rPr>
        <w:t>，</w:t>
      </w:r>
      <w:r>
        <w:rPr>
          <w:rFonts w:ascii="仿宋" w:hAnsi="仿宋" w:eastAsia="仿宋" w:cs="Arial"/>
          <w:kern w:val="0"/>
        </w:rPr>
        <w:t>积极参与京津冀协同发展</w:t>
      </w:r>
      <w:r>
        <w:rPr>
          <w:rFonts w:hint="eastAsia" w:ascii="仿宋" w:hAnsi="仿宋" w:eastAsia="仿宋" w:cs="Arial"/>
          <w:kern w:val="0"/>
        </w:rPr>
        <w:t>，承接产业转移和科技成果转化；</w:t>
      </w:r>
      <w:r>
        <w:rPr>
          <w:rFonts w:ascii="仿宋" w:hAnsi="仿宋" w:eastAsia="仿宋" w:cs="Arial"/>
          <w:kern w:val="0"/>
        </w:rPr>
        <w:t>东进</w:t>
      </w:r>
      <w:r>
        <w:rPr>
          <w:rFonts w:hint="eastAsia" w:ascii="仿宋" w:hAnsi="仿宋" w:eastAsia="仿宋" w:cs="Arial"/>
          <w:kern w:val="0"/>
        </w:rPr>
        <w:t>南下</w:t>
      </w:r>
      <w:r>
        <w:rPr>
          <w:rFonts w:ascii="仿宋" w:hAnsi="仿宋" w:eastAsia="仿宋" w:cs="Arial"/>
          <w:kern w:val="0"/>
        </w:rPr>
        <w:t>，以唐白河航运、合西高铁为</w:t>
      </w:r>
      <w:r>
        <w:rPr>
          <w:rFonts w:hint="eastAsia" w:ascii="仿宋" w:hAnsi="仿宋" w:eastAsia="仿宋" w:cs="Arial"/>
          <w:kern w:val="0"/>
        </w:rPr>
        <w:t>纽</w:t>
      </w:r>
      <w:r>
        <w:rPr>
          <w:rFonts w:ascii="仿宋" w:hAnsi="仿宋" w:eastAsia="仿宋" w:cs="Arial"/>
          <w:kern w:val="0"/>
        </w:rPr>
        <w:t>带，加速融入长江经济带，推动与上海、南</w:t>
      </w:r>
      <w:r>
        <w:rPr>
          <w:rFonts w:hint="eastAsia" w:ascii="仿宋" w:hAnsi="仿宋" w:eastAsia="仿宋" w:cs="Arial"/>
          <w:kern w:val="0"/>
        </w:rPr>
        <w:t>京</w:t>
      </w:r>
      <w:r>
        <w:rPr>
          <w:rFonts w:ascii="仿宋" w:hAnsi="仿宋" w:eastAsia="仿宋" w:cs="Arial"/>
          <w:kern w:val="0"/>
        </w:rPr>
        <w:t>、武汉等地对接</w:t>
      </w:r>
      <w:r>
        <w:rPr>
          <w:rFonts w:hint="eastAsia" w:ascii="仿宋" w:hAnsi="仿宋" w:eastAsia="仿宋" w:cs="Arial"/>
          <w:kern w:val="0"/>
        </w:rPr>
        <w:t>融合</w:t>
      </w:r>
      <w:r>
        <w:rPr>
          <w:rFonts w:ascii="仿宋" w:hAnsi="仿宋" w:eastAsia="仿宋" w:cs="Arial"/>
          <w:kern w:val="0"/>
        </w:rPr>
        <w:t>，</w:t>
      </w:r>
      <w:r>
        <w:rPr>
          <w:rFonts w:hint="eastAsia" w:ascii="仿宋" w:hAnsi="仿宋" w:eastAsia="仿宋" w:cs="Arial"/>
          <w:kern w:val="0"/>
        </w:rPr>
        <w:t>打</w:t>
      </w:r>
      <w:r>
        <w:rPr>
          <w:rFonts w:ascii="仿宋" w:hAnsi="仿宋" w:eastAsia="仿宋" w:cs="Arial"/>
          <w:kern w:val="0"/>
        </w:rPr>
        <w:t>造跨区域资源要素的重要承载地和引力场。</w:t>
      </w:r>
      <w:r>
        <w:rPr>
          <w:rFonts w:hint="eastAsia" w:ascii="仿宋" w:hAnsi="仿宋" w:eastAsia="仿宋" w:cs="Arial"/>
          <w:kern w:val="0"/>
        </w:rPr>
        <w:t>南</w:t>
      </w:r>
      <w:r>
        <w:rPr>
          <w:rFonts w:ascii="仿宋" w:hAnsi="仿宋" w:eastAsia="仿宋" w:cs="Arial"/>
          <w:kern w:val="0"/>
        </w:rPr>
        <w:t>阳</w:t>
      </w:r>
      <w:r>
        <w:rPr>
          <w:rFonts w:hint="eastAsia" w:ascii="仿宋" w:hAnsi="仿宋" w:eastAsia="仿宋" w:cs="Arial"/>
          <w:kern w:val="0"/>
        </w:rPr>
        <w:t>要在“双循环”格局中成为豫</w:t>
      </w:r>
      <w:r>
        <w:rPr>
          <w:rFonts w:ascii="仿宋" w:hAnsi="仿宋" w:eastAsia="仿宋" w:cs="Arial"/>
          <w:kern w:val="0"/>
        </w:rPr>
        <w:t>南高效生态经济</w:t>
      </w:r>
      <w:r>
        <w:rPr>
          <w:rFonts w:hint="eastAsia" w:ascii="仿宋" w:hAnsi="仿宋" w:eastAsia="仿宋" w:cs="Arial"/>
          <w:kern w:val="0"/>
        </w:rPr>
        <w:t>示范</w:t>
      </w:r>
      <w:r>
        <w:rPr>
          <w:rFonts w:ascii="仿宋" w:hAnsi="仿宋" w:eastAsia="仿宋" w:cs="Arial"/>
          <w:kern w:val="0"/>
        </w:rPr>
        <w:t>引领区</w:t>
      </w:r>
      <w:r>
        <w:rPr>
          <w:rFonts w:hint="eastAsia" w:ascii="仿宋" w:hAnsi="仿宋" w:eastAsia="仿宋" w:cs="Arial"/>
          <w:kern w:val="0"/>
        </w:rPr>
        <w:t>，必须遵循规律、顺势而为、拓宽视野、超前布局。综合判断，未来一个时期我市城镇化将呈现出以下新的趋势特征。</w:t>
      </w:r>
    </w:p>
    <w:p>
      <w:pPr>
        <w:shd w:val="clear" w:color="auto" w:fill="FFFFFF"/>
        <w:spacing w:line="560" w:lineRule="exact"/>
        <w:ind w:firstLine="640" w:firstLineChars="200"/>
        <w:contextualSpacing/>
        <w:textAlignment w:val="top"/>
        <w:rPr>
          <w:rFonts w:ascii="仿宋" w:hAnsi="仿宋" w:eastAsia="仿宋" w:cs="Arial"/>
          <w:kern w:val="0"/>
        </w:rPr>
      </w:pPr>
      <w:r>
        <w:rPr>
          <w:rFonts w:hint="eastAsia" w:ascii="仿宋" w:hAnsi="仿宋" w:eastAsia="仿宋" w:cs="Arial"/>
          <w:kern w:val="0"/>
        </w:rPr>
        <w:t>1.城</w:t>
      </w:r>
      <w:r>
        <w:rPr>
          <w:rFonts w:ascii="仿宋" w:hAnsi="仿宋" w:eastAsia="仿宋" w:cs="Arial"/>
          <w:kern w:val="0"/>
        </w:rPr>
        <w:t>镇化</w:t>
      </w:r>
      <w:r>
        <w:rPr>
          <w:rFonts w:hint="eastAsia" w:ascii="仿宋" w:hAnsi="仿宋" w:eastAsia="仿宋" w:cs="Arial"/>
          <w:kern w:val="0"/>
        </w:rPr>
        <w:t>进程进入</w:t>
      </w:r>
      <w:r>
        <w:rPr>
          <w:rFonts w:ascii="仿宋" w:hAnsi="仿宋" w:eastAsia="仿宋" w:cs="Arial"/>
          <w:kern w:val="0"/>
        </w:rPr>
        <w:t>重要战略机遇期。</w:t>
      </w:r>
      <w:r>
        <w:rPr>
          <w:rFonts w:hint="eastAsia" w:ascii="仿宋" w:hAnsi="仿宋" w:eastAsia="仿宋" w:cs="Arial"/>
          <w:kern w:val="0"/>
        </w:rPr>
        <w:t>省第十</w:t>
      </w:r>
      <w:r>
        <w:rPr>
          <w:rFonts w:ascii="仿宋" w:hAnsi="仿宋" w:eastAsia="仿宋" w:cs="Arial"/>
          <w:kern w:val="0"/>
        </w:rPr>
        <w:t>一次党代会明确提出“支持南阳建设副</w:t>
      </w:r>
      <w:r>
        <w:rPr>
          <w:rFonts w:hint="eastAsia" w:ascii="仿宋" w:hAnsi="仿宋" w:eastAsia="仿宋" w:cs="Arial"/>
          <w:kern w:val="0"/>
        </w:rPr>
        <w:t>中</w:t>
      </w:r>
      <w:r>
        <w:rPr>
          <w:rFonts w:ascii="仿宋" w:hAnsi="仿宋" w:eastAsia="仿宋" w:cs="Arial"/>
          <w:kern w:val="0"/>
        </w:rPr>
        <w:t>心城市”，</w:t>
      </w:r>
      <w:r>
        <w:rPr>
          <w:rFonts w:hint="eastAsia" w:ascii="仿宋" w:hAnsi="仿宋" w:eastAsia="仿宋" w:cs="Arial"/>
          <w:kern w:val="0"/>
        </w:rPr>
        <w:t>是</w:t>
      </w:r>
      <w:r>
        <w:rPr>
          <w:rFonts w:ascii="仿宋" w:hAnsi="仿宋" w:eastAsia="仿宋" w:cs="Arial"/>
          <w:kern w:val="0"/>
        </w:rPr>
        <w:t>建设现代化河南新征程赋予南阳的新定位，</w:t>
      </w:r>
      <w:r>
        <w:rPr>
          <w:rFonts w:hint="eastAsia" w:ascii="仿宋" w:hAnsi="仿宋" w:eastAsia="仿宋" w:cs="Arial"/>
          <w:kern w:val="0"/>
        </w:rPr>
        <w:t>是千载难逢</w:t>
      </w:r>
      <w:r>
        <w:rPr>
          <w:rFonts w:ascii="仿宋" w:hAnsi="仿宋" w:eastAsia="仿宋" w:cs="Arial"/>
          <w:kern w:val="0"/>
        </w:rPr>
        <w:t>的重大发展机遇</w:t>
      </w:r>
      <w:r>
        <w:rPr>
          <w:rFonts w:hint="eastAsia" w:ascii="仿宋" w:hAnsi="仿宋" w:eastAsia="仿宋" w:cs="Arial"/>
          <w:kern w:val="0"/>
        </w:rPr>
        <w:t>。未来</w:t>
      </w:r>
      <w:r>
        <w:rPr>
          <w:rFonts w:ascii="仿宋" w:hAnsi="仿宋" w:eastAsia="仿宋" w:cs="Arial"/>
          <w:kern w:val="0"/>
        </w:rPr>
        <w:t>十五年，我市城镇常住人口将持续增</w:t>
      </w:r>
      <w:r>
        <w:rPr>
          <w:rFonts w:hint="eastAsia" w:ascii="仿宋" w:hAnsi="仿宋" w:eastAsia="仿宋" w:cs="Arial"/>
          <w:kern w:val="0"/>
        </w:rPr>
        <w:t>加</w:t>
      </w:r>
      <w:r>
        <w:rPr>
          <w:rFonts w:ascii="仿宋" w:hAnsi="仿宋" w:eastAsia="仿宋" w:cs="Arial"/>
          <w:kern w:val="0"/>
        </w:rPr>
        <w:t>，</w:t>
      </w:r>
      <w:r>
        <w:rPr>
          <w:rFonts w:hint="eastAsia" w:ascii="仿宋" w:hAnsi="仿宋" w:eastAsia="仿宋" w:cs="Arial"/>
          <w:kern w:val="0"/>
        </w:rPr>
        <w:t>预计</w:t>
      </w:r>
      <w:r>
        <w:rPr>
          <w:rFonts w:ascii="仿宋" w:hAnsi="仿宋" w:eastAsia="仿宋" w:cs="Arial"/>
          <w:kern w:val="0"/>
        </w:rPr>
        <w:t>到</w:t>
      </w:r>
      <w:r>
        <w:rPr>
          <w:rFonts w:hint="eastAsia" w:ascii="仿宋" w:hAnsi="仿宋" w:eastAsia="仿宋" w:cs="Arial"/>
          <w:kern w:val="0"/>
        </w:rPr>
        <w:t>2025年</w:t>
      </w:r>
      <w:r>
        <w:rPr>
          <w:rFonts w:ascii="仿宋" w:hAnsi="仿宋" w:eastAsia="仿宋" w:cs="Arial"/>
          <w:kern w:val="0"/>
        </w:rPr>
        <w:t>我市</w:t>
      </w:r>
      <w:r>
        <w:rPr>
          <w:rFonts w:hint="eastAsia" w:ascii="仿宋" w:hAnsi="仿宋" w:eastAsia="仿宋" w:cs="Arial"/>
          <w:kern w:val="0"/>
        </w:rPr>
        <w:t>常住</w:t>
      </w:r>
      <w:r>
        <w:rPr>
          <w:rFonts w:ascii="仿宋" w:hAnsi="仿宋" w:eastAsia="仿宋" w:cs="Arial"/>
          <w:kern w:val="0"/>
        </w:rPr>
        <w:t>人口城镇</w:t>
      </w:r>
      <w:r>
        <w:rPr>
          <w:rFonts w:hint="eastAsia" w:ascii="仿宋" w:hAnsi="仿宋" w:eastAsia="仿宋" w:cs="Arial"/>
          <w:kern w:val="0"/>
        </w:rPr>
        <w:t>化</w:t>
      </w:r>
      <w:r>
        <w:rPr>
          <w:rFonts w:ascii="仿宋" w:hAnsi="仿宋" w:eastAsia="仿宋" w:cs="Arial"/>
          <w:kern w:val="0"/>
        </w:rPr>
        <w:t>率达到</w:t>
      </w:r>
      <w:r>
        <w:rPr>
          <w:rFonts w:hint="eastAsia" w:ascii="仿宋" w:hAnsi="仿宋" w:eastAsia="仿宋" w:cs="Arial"/>
          <w:kern w:val="0"/>
        </w:rPr>
        <w:t>60%以</w:t>
      </w:r>
      <w:r>
        <w:rPr>
          <w:rFonts w:ascii="仿宋" w:hAnsi="仿宋" w:eastAsia="仿宋" w:cs="Arial"/>
          <w:kern w:val="0"/>
        </w:rPr>
        <w:t>上，</w:t>
      </w:r>
      <w:r>
        <w:rPr>
          <w:rFonts w:hint="eastAsia" w:ascii="仿宋" w:hAnsi="仿宋" w:eastAsia="仿宋" w:cs="Arial"/>
          <w:kern w:val="0"/>
        </w:rPr>
        <w:t>2035年</w:t>
      </w:r>
      <w:r>
        <w:rPr>
          <w:rFonts w:ascii="仿宋" w:hAnsi="仿宋" w:eastAsia="仿宋" w:cs="Arial"/>
          <w:kern w:val="0"/>
        </w:rPr>
        <w:t>达到</w:t>
      </w:r>
      <w:r>
        <w:rPr>
          <w:rFonts w:hint="eastAsia" w:ascii="仿宋" w:hAnsi="仿宋" w:eastAsia="仿宋" w:cs="Arial"/>
          <w:kern w:val="0"/>
        </w:rPr>
        <w:t>70%。随</w:t>
      </w:r>
      <w:r>
        <w:rPr>
          <w:rFonts w:ascii="仿宋" w:hAnsi="仿宋" w:eastAsia="仿宋" w:cs="Arial"/>
          <w:kern w:val="0"/>
        </w:rPr>
        <w:t>着</w:t>
      </w:r>
      <w:r>
        <w:rPr>
          <w:rFonts w:hint="eastAsia" w:ascii="仿宋" w:hAnsi="仿宋" w:eastAsia="仿宋" w:cs="Arial"/>
          <w:kern w:val="0"/>
        </w:rPr>
        <w:t>汉江生态经济带、淮河生态经济带等</w:t>
      </w:r>
      <w:r>
        <w:rPr>
          <w:rFonts w:ascii="仿宋" w:hAnsi="仿宋" w:eastAsia="仿宋" w:cs="Arial"/>
          <w:kern w:val="0"/>
        </w:rPr>
        <w:t>国家战略的纵深推进，未来</w:t>
      </w:r>
      <w:r>
        <w:rPr>
          <w:rFonts w:hint="eastAsia" w:ascii="仿宋" w:hAnsi="仿宋" w:eastAsia="仿宋" w:cs="Arial"/>
          <w:kern w:val="0"/>
        </w:rPr>
        <w:t>必将</w:t>
      </w:r>
      <w:r>
        <w:rPr>
          <w:rFonts w:ascii="仿宋" w:hAnsi="仿宋" w:eastAsia="仿宋" w:cs="Arial"/>
          <w:kern w:val="0"/>
        </w:rPr>
        <w:t>迎来新型城镇化蓬勃发展的新局面。</w:t>
      </w:r>
    </w:p>
    <w:p>
      <w:pPr>
        <w:shd w:val="clear" w:color="auto" w:fill="FFFFFF"/>
        <w:spacing w:line="560" w:lineRule="exact"/>
        <w:ind w:firstLine="640" w:firstLineChars="200"/>
        <w:contextualSpacing/>
        <w:textAlignment w:val="top"/>
        <w:rPr>
          <w:rFonts w:ascii="仿宋" w:hAnsi="仿宋" w:eastAsia="仿宋" w:cs="Arial"/>
          <w:kern w:val="0"/>
        </w:rPr>
      </w:pPr>
      <w:r>
        <w:rPr>
          <w:rFonts w:hint="eastAsia" w:ascii="仿宋" w:hAnsi="仿宋" w:eastAsia="仿宋" w:cs="Arial"/>
          <w:kern w:val="0"/>
        </w:rPr>
        <w:t>2.城镇</w:t>
      </w:r>
      <w:r>
        <w:rPr>
          <w:rFonts w:ascii="仿宋" w:hAnsi="仿宋" w:eastAsia="仿宋" w:cs="Arial"/>
          <w:kern w:val="0"/>
        </w:rPr>
        <w:t>化发展动</w:t>
      </w:r>
      <w:r>
        <w:rPr>
          <w:rFonts w:hint="eastAsia" w:ascii="仿宋" w:hAnsi="仿宋" w:eastAsia="仿宋" w:cs="Arial"/>
          <w:kern w:val="0"/>
        </w:rPr>
        <w:t>能进入</w:t>
      </w:r>
      <w:r>
        <w:rPr>
          <w:rFonts w:ascii="仿宋" w:hAnsi="仿宋" w:eastAsia="仿宋" w:cs="Arial"/>
          <w:kern w:val="0"/>
        </w:rPr>
        <w:t>转换期。</w:t>
      </w:r>
      <w:r>
        <w:rPr>
          <w:rFonts w:hint="eastAsia" w:ascii="仿宋" w:hAnsi="仿宋" w:eastAsia="仿宋" w:cs="Arial"/>
          <w:kern w:val="0"/>
        </w:rPr>
        <w:t>产</w:t>
      </w:r>
      <w:r>
        <w:rPr>
          <w:rFonts w:ascii="仿宋" w:hAnsi="仿宋" w:eastAsia="仿宋" w:cs="Arial"/>
          <w:kern w:val="0"/>
        </w:rPr>
        <w:t>业发展是支撑城镇化持续健康发展的重要内生动力，</w:t>
      </w:r>
      <w:r>
        <w:rPr>
          <w:rFonts w:hint="eastAsia" w:ascii="仿宋" w:hAnsi="仿宋" w:eastAsia="仿宋" w:cs="Arial"/>
          <w:kern w:val="0"/>
        </w:rPr>
        <w:t>提</w:t>
      </w:r>
      <w:r>
        <w:rPr>
          <w:rFonts w:ascii="仿宋" w:hAnsi="仿宋" w:eastAsia="仿宋" w:cs="Arial"/>
          <w:kern w:val="0"/>
        </w:rPr>
        <w:t>质传统产业，做强</w:t>
      </w:r>
      <w:r>
        <w:rPr>
          <w:rFonts w:hint="eastAsia" w:ascii="仿宋" w:hAnsi="仿宋" w:eastAsia="仿宋" w:cs="Arial"/>
          <w:kern w:val="0"/>
        </w:rPr>
        <w:t>战略性新兴</w:t>
      </w:r>
      <w:r>
        <w:rPr>
          <w:rFonts w:ascii="仿宋" w:hAnsi="仿宋" w:eastAsia="仿宋" w:cs="Arial"/>
          <w:kern w:val="0"/>
        </w:rPr>
        <w:t>产业，培育龙头型、链主型、巨人型企业，</w:t>
      </w:r>
      <w:r>
        <w:rPr>
          <w:rFonts w:hint="eastAsia" w:ascii="仿宋" w:hAnsi="仿宋" w:eastAsia="仿宋" w:cs="Arial"/>
          <w:kern w:val="0"/>
        </w:rPr>
        <w:t>加</w:t>
      </w:r>
      <w:r>
        <w:rPr>
          <w:rFonts w:ascii="仿宋" w:hAnsi="仿宋" w:eastAsia="仿宋" w:cs="Arial"/>
          <w:kern w:val="0"/>
        </w:rPr>
        <w:t>快构建以先进制造业为支撑的现代产业体系，</w:t>
      </w:r>
      <w:r>
        <w:rPr>
          <w:rFonts w:hint="eastAsia" w:ascii="仿宋" w:hAnsi="仿宋" w:eastAsia="仿宋" w:cs="Arial"/>
          <w:kern w:val="0"/>
        </w:rPr>
        <w:t>为城市</w:t>
      </w:r>
      <w:r>
        <w:rPr>
          <w:rFonts w:ascii="仿宋" w:hAnsi="仿宋" w:eastAsia="仿宋" w:cs="Arial"/>
          <w:kern w:val="0"/>
        </w:rPr>
        <w:t>发展</w:t>
      </w:r>
      <w:r>
        <w:rPr>
          <w:rFonts w:hint="eastAsia" w:ascii="仿宋" w:hAnsi="仿宋" w:eastAsia="仿宋" w:cs="Arial"/>
          <w:kern w:val="0"/>
        </w:rPr>
        <w:t>提供</w:t>
      </w:r>
      <w:r>
        <w:rPr>
          <w:rFonts w:ascii="仿宋" w:hAnsi="仿宋" w:eastAsia="仿宋" w:cs="Arial"/>
          <w:kern w:val="0"/>
        </w:rPr>
        <w:t>多元</w:t>
      </w:r>
      <w:r>
        <w:rPr>
          <w:rFonts w:hint="eastAsia" w:ascii="仿宋" w:hAnsi="仿宋" w:eastAsia="仿宋" w:cs="Arial"/>
          <w:kern w:val="0"/>
        </w:rPr>
        <w:t>化</w:t>
      </w:r>
      <w:r>
        <w:rPr>
          <w:rFonts w:ascii="仿宋" w:hAnsi="仿宋" w:eastAsia="仿宋" w:cs="Arial"/>
          <w:kern w:val="0"/>
        </w:rPr>
        <w:t>动力</w:t>
      </w:r>
      <w:r>
        <w:rPr>
          <w:rFonts w:hint="eastAsia" w:ascii="仿宋" w:hAnsi="仿宋" w:eastAsia="仿宋" w:cs="Arial"/>
          <w:kern w:val="0"/>
        </w:rPr>
        <w:t>。双循环格局下，扩大内需是国内大循环形成的关键，中心城市作为链接国内国际双循环的主</w:t>
      </w:r>
      <w:r>
        <w:rPr>
          <w:rFonts w:ascii="仿宋" w:hAnsi="仿宋" w:eastAsia="仿宋" w:cs="Arial"/>
          <w:kern w:val="0"/>
        </w:rPr>
        <w:t>要</w:t>
      </w:r>
      <w:r>
        <w:rPr>
          <w:rFonts w:hint="eastAsia" w:ascii="仿宋" w:hAnsi="仿宋" w:eastAsia="仿宋" w:cs="Arial"/>
          <w:kern w:val="0"/>
        </w:rPr>
        <w:t>空间单元，将成为新发展格局的战略支点和主战场。当前我市着力打造一流创新生态、产业生态，高质量推进新型城镇化，吸引高端人才落户南</w:t>
      </w:r>
      <w:r>
        <w:rPr>
          <w:rFonts w:ascii="仿宋" w:hAnsi="仿宋" w:eastAsia="仿宋" w:cs="Arial"/>
          <w:kern w:val="0"/>
        </w:rPr>
        <w:t>阳</w:t>
      </w:r>
      <w:r>
        <w:rPr>
          <w:rFonts w:hint="eastAsia" w:ascii="仿宋" w:hAnsi="仿宋" w:eastAsia="仿宋" w:cs="Arial"/>
          <w:kern w:val="0"/>
        </w:rPr>
        <w:t>，将对我市建设国家创新高地起到重大助推作用。</w:t>
      </w:r>
    </w:p>
    <w:p>
      <w:pPr>
        <w:shd w:val="clear" w:color="auto" w:fill="FFFFFF"/>
        <w:spacing w:line="560" w:lineRule="exact"/>
        <w:ind w:firstLine="640" w:firstLineChars="200"/>
        <w:contextualSpacing/>
        <w:textAlignment w:val="top"/>
        <w:rPr>
          <w:rFonts w:ascii="仿宋" w:hAnsi="仿宋" w:eastAsia="仿宋" w:cs="Arial"/>
          <w:kern w:val="0"/>
        </w:rPr>
      </w:pPr>
      <w:r>
        <w:rPr>
          <w:rFonts w:hint="eastAsia" w:ascii="仿宋" w:hAnsi="仿宋" w:eastAsia="仿宋" w:cs="Arial"/>
          <w:kern w:val="0"/>
        </w:rPr>
        <w:t>3.城镇化发展格局进入优化期。中心城区和县</w:t>
      </w:r>
      <w:r>
        <w:rPr>
          <w:rFonts w:ascii="仿宋" w:hAnsi="仿宋" w:eastAsia="仿宋" w:cs="Arial"/>
          <w:kern w:val="0"/>
        </w:rPr>
        <w:t>域城</w:t>
      </w:r>
      <w:r>
        <w:rPr>
          <w:rFonts w:hint="eastAsia" w:ascii="仿宋" w:hAnsi="仿宋" w:eastAsia="仿宋" w:cs="Arial"/>
          <w:kern w:val="0"/>
        </w:rPr>
        <w:t>市承载的人口和经济比重不断提升，资源要素进一步向中心城区和县城两端集聚。我</w:t>
      </w:r>
      <w:r>
        <w:rPr>
          <w:rFonts w:ascii="仿宋" w:hAnsi="仿宋" w:eastAsia="仿宋" w:cs="Arial"/>
          <w:kern w:val="0"/>
        </w:rPr>
        <w:t>市</w:t>
      </w:r>
      <w:r>
        <w:rPr>
          <w:rFonts w:hint="eastAsia" w:ascii="仿宋" w:hAnsi="仿宋" w:eastAsia="仿宋" w:cs="Arial"/>
          <w:kern w:val="0"/>
        </w:rPr>
        <w:t>中心城区快“起高峰”，带动县域经济快“成高原”的</w:t>
      </w:r>
      <w:r>
        <w:rPr>
          <w:rFonts w:ascii="仿宋" w:hAnsi="仿宋" w:eastAsia="仿宋" w:cs="Arial"/>
          <w:kern w:val="0"/>
        </w:rPr>
        <w:t>“双高行动”</w:t>
      </w:r>
      <w:r>
        <w:rPr>
          <w:rFonts w:hint="eastAsia" w:ascii="仿宋" w:hAnsi="仿宋" w:eastAsia="仿宋" w:cs="Arial"/>
          <w:kern w:val="0"/>
        </w:rPr>
        <w:t>加</w:t>
      </w:r>
      <w:r>
        <w:rPr>
          <w:rFonts w:ascii="仿宋" w:hAnsi="仿宋" w:eastAsia="仿宋" w:cs="Arial"/>
          <w:kern w:val="0"/>
        </w:rPr>
        <w:t>快实施</w:t>
      </w:r>
      <w:r>
        <w:rPr>
          <w:rFonts w:hint="eastAsia" w:ascii="仿宋" w:hAnsi="仿宋" w:eastAsia="仿宋" w:cs="Arial"/>
          <w:kern w:val="0"/>
        </w:rPr>
        <w:t>，两端集聚的趋势将进一步延续，中心城区辐射带动作用将进一步发挥，就近城镇化趋势更加明显，县城将成为就近城镇化的重要载体。预计到2025年，我</w:t>
      </w:r>
      <w:r>
        <w:rPr>
          <w:rFonts w:ascii="仿宋" w:hAnsi="仿宋" w:eastAsia="仿宋" w:cs="Arial"/>
          <w:kern w:val="0"/>
        </w:rPr>
        <w:t>市中心城区集聚人口达到</w:t>
      </w:r>
      <w:r>
        <w:rPr>
          <w:rFonts w:hint="eastAsia" w:ascii="仿宋" w:hAnsi="仿宋" w:eastAsia="仿宋" w:cs="Arial"/>
          <w:kern w:val="0"/>
        </w:rPr>
        <w:t>300万</w:t>
      </w:r>
      <w:r>
        <w:rPr>
          <w:rFonts w:ascii="仿宋" w:hAnsi="仿宋" w:eastAsia="仿宋" w:cs="Arial"/>
          <w:kern w:val="0"/>
        </w:rPr>
        <w:t>，2035</w:t>
      </w:r>
      <w:r>
        <w:rPr>
          <w:rFonts w:hint="eastAsia" w:ascii="仿宋" w:hAnsi="仿宋" w:eastAsia="仿宋" w:cs="Arial"/>
          <w:kern w:val="0"/>
        </w:rPr>
        <w:t>年人</w:t>
      </w:r>
      <w:r>
        <w:rPr>
          <w:rFonts w:ascii="仿宋" w:hAnsi="仿宋" w:eastAsia="仿宋" w:cs="Arial"/>
          <w:kern w:val="0"/>
        </w:rPr>
        <w:t>口接近</w:t>
      </w:r>
      <w:r>
        <w:rPr>
          <w:rFonts w:hint="eastAsia" w:ascii="仿宋" w:hAnsi="仿宋" w:eastAsia="仿宋" w:cs="Arial"/>
          <w:kern w:val="0"/>
        </w:rPr>
        <w:t>500万</w:t>
      </w:r>
      <w:r>
        <w:rPr>
          <w:rFonts w:ascii="仿宋" w:hAnsi="仿宋" w:eastAsia="仿宋" w:cs="Arial"/>
          <w:kern w:val="0"/>
        </w:rPr>
        <w:t>，县城城镇人口比重进行一步提升。</w:t>
      </w:r>
    </w:p>
    <w:p>
      <w:pPr>
        <w:shd w:val="clear" w:color="auto" w:fill="FFFFFF"/>
        <w:spacing w:line="560" w:lineRule="exact"/>
        <w:ind w:firstLine="640" w:firstLineChars="200"/>
        <w:contextualSpacing/>
        <w:textAlignment w:val="top"/>
        <w:rPr>
          <w:rFonts w:ascii="仿宋" w:hAnsi="仿宋" w:eastAsia="仿宋" w:cs="Arial"/>
          <w:kern w:val="0"/>
        </w:rPr>
      </w:pPr>
      <w:r>
        <w:rPr>
          <w:rFonts w:hint="eastAsia" w:ascii="仿宋" w:hAnsi="仿宋" w:eastAsia="仿宋" w:cs="Arial"/>
          <w:kern w:val="0"/>
        </w:rPr>
        <w:t>4.城市发展模式进入转型期。随着城镇化持续推进和城市规模的不断壮大，韧性、</w:t>
      </w:r>
      <w:r>
        <w:rPr>
          <w:rFonts w:ascii="仿宋" w:hAnsi="仿宋" w:eastAsia="仿宋" w:cs="Arial"/>
          <w:kern w:val="0"/>
        </w:rPr>
        <w:t>智慧、</w:t>
      </w:r>
      <w:r>
        <w:rPr>
          <w:rFonts w:hint="eastAsia" w:ascii="仿宋" w:hAnsi="仿宋" w:eastAsia="仿宋" w:cs="Arial"/>
          <w:kern w:val="0"/>
        </w:rPr>
        <w:t>低碳、集约的</w:t>
      </w:r>
      <w:r>
        <w:rPr>
          <w:rFonts w:ascii="仿宋" w:hAnsi="仿宋" w:eastAsia="仿宋" w:cs="Arial"/>
          <w:kern w:val="0"/>
        </w:rPr>
        <w:t>发展</w:t>
      </w:r>
      <w:r>
        <w:rPr>
          <w:rFonts w:hint="eastAsia" w:ascii="仿宋" w:hAnsi="仿宋" w:eastAsia="仿宋" w:cs="Arial"/>
          <w:kern w:val="0"/>
        </w:rPr>
        <w:t>目标已</w:t>
      </w:r>
      <w:r>
        <w:rPr>
          <w:rFonts w:ascii="仿宋" w:hAnsi="仿宋" w:eastAsia="仿宋" w:cs="Arial"/>
          <w:kern w:val="0"/>
        </w:rPr>
        <w:t>经</w:t>
      </w:r>
      <w:r>
        <w:rPr>
          <w:rFonts w:hint="eastAsia" w:ascii="仿宋" w:hAnsi="仿宋" w:eastAsia="仿宋" w:cs="Arial"/>
          <w:kern w:val="0"/>
        </w:rPr>
        <w:t>成</w:t>
      </w:r>
      <w:r>
        <w:rPr>
          <w:rFonts w:ascii="仿宋" w:hAnsi="仿宋" w:eastAsia="仿宋" w:cs="Arial"/>
          <w:kern w:val="0"/>
        </w:rPr>
        <w:t>为</w:t>
      </w:r>
      <w:r>
        <w:rPr>
          <w:rFonts w:hint="eastAsia" w:ascii="仿宋" w:hAnsi="仿宋" w:eastAsia="仿宋" w:cs="Arial"/>
          <w:kern w:val="0"/>
        </w:rPr>
        <w:t>城市发展</w:t>
      </w:r>
      <w:r>
        <w:rPr>
          <w:rFonts w:ascii="仿宋" w:hAnsi="仿宋" w:eastAsia="仿宋" w:cs="Arial"/>
          <w:kern w:val="0"/>
        </w:rPr>
        <w:t>的主要方向</w:t>
      </w:r>
      <w:r>
        <w:rPr>
          <w:rFonts w:hint="eastAsia" w:ascii="仿宋" w:hAnsi="仿宋" w:eastAsia="仿宋" w:cs="Arial"/>
          <w:kern w:val="0"/>
        </w:rPr>
        <w:t>。城市建设突出安全为先、精细智能、绿色低碳，统筹安全与发展，构筑城市安全预防体系，全面提升城市生态环境品质，在城乡建设中加强历史文化保护传承，在城市更新中延续历史文脉，提升全覆盖、全过程、全天候城市治理能力，让人民生活更有品质、更有尊严、更加幸福。</w:t>
      </w:r>
    </w:p>
    <w:p>
      <w:pPr>
        <w:shd w:val="clear" w:color="auto" w:fill="FFFFFF"/>
        <w:spacing w:line="560" w:lineRule="exact"/>
        <w:ind w:firstLine="640" w:firstLineChars="200"/>
        <w:contextualSpacing/>
        <w:textAlignment w:val="top"/>
        <w:rPr>
          <w:rStyle w:val="29"/>
          <w:rFonts w:ascii="黑体" w:hAnsi="黑体" w:eastAsia="黑体" w:cs="Meiryo"/>
          <w:b w:val="0"/>
        </w:rPr>
      </w:pPr>
      <w:r>
        <w:rPr>
          <w:rFonts w:hint="eastAsia" w:ascii="仿宋" w:hAnsi="仿宋" w:eastAsia="仿宋" w:cs="Arial"/>
          <w:kern w:val="0"/>
        </w:rPr>
        <w:t>5.城</w:t>
      </w:r>
      <w:r>
        <w:rPr>
          <w:rFonts w:ascii="仿宋" w:hAnsi="仿宋" w:eastAsia="仿宋" w:cs="Arial"/>
          <w:kern w:val="0"/>
        </w:rPr>
        <w:t>乡融合发展进入加速期。</w:t>
      </w:r>
      <w:r>
        <w:rPr>
          <w:rFonts w:hint="eastAsia" w:ascii="仿宋" w:hAnsi="仿宋" w:eastAsia="仿宋" w:cs="Arial"/>
          <w:kern w:val="0"/>
        </w:rPr>
        <w:t>随着乡村振兴战略的深入实施，城乡人才、资本等要素自由流动更加深入，城乡产业协同发展和农村一、二、三产融合发展更加明显，城乡空间网络加快形成，建立健全城乡融合发展体制机制和政策体系，坚持以工促农、以城带乡，加快城乡要素双向自由流动、公共资源均衡配置，不断缩小城乡发展差距和城乡居民生活水平差距，为实现共同富裕打下坚实基础</w:t>
      </w:r>
      <w:bookmarkEnd w:id="923"/>
      <w:bookmarkEnd w:id="924"/>
      <w:r>
        <w:rPr>
          <w:rFonts w:hint="eastAsia" w:ascii="仿宋" w:hAnsi="仿宋" w:eastAsia="仿宋" w:cs="Arial"/>
          <w:kern w:val="0"/>
        </w:rPr>
        <w:t>。</w:t>
      </w:r>
    </w:p>
    <w:p>
      <w:pPr>
        <w:shd w:val="clear" w:color="auto" w:fill="FFFFFF"/>
        <w:spacing w:line="560" w:lineRule="exact"/>
        <w:contextualSpacing/>
        <w:jc w:val="center"/>
        <w:textAlignment w:val="top"/>
        <w:outlineLvl w:val="0"/>
        <w:rPr>
          <w:rStyle w:val="29"/>
          <w:rFonts w:ascii="黑体" w:hAnsi="黑体" w:eastAsia="黑体" w:cs="Meiryo"/>
          <w:b w:val="0"/>
        </w:rPr>
      </w:pPr>
      <w:bookmarkStart w:id="925" w:name="_Toc24211"/>
      <w:bookmarkStart w:id="926" w:name="_Toc13994"/>
      <w:r>
        <w:rPr>
          <w:rStyle w:val="29"/>
          <w:rFonts w:ascii="黑体" w:hAnsi="黑体" w:eastAsia="黑体" w:cs="Meiryo"/>
          <w:b w:val="0"/>
        </w:rPr>
        <w:t>第二章 </w:t>
      </w:r>
      <w:r>
        <w:rPr>
          <w:rStyle w:val="29"/>
          <w:rFonts w:hint="eastAsia" w:ascii="黑体" w:hAnsi="黑体" w:eastAsia="黑体" w:cs="Meiryo"/>
          <w:b w:val="0"/>
        </w:rPr>
        <w:t>总体要求</w:t>
      </w:r>
      <w:bookmarkEnd w:id="925"/>
      <w:bookmarkEnd w:id="926"/>
    </w:p>
    <w:p>
      <w:pPr>
        <w:pStyle w:val="7"/>
        <w:spacing w:line="560" w:lineRule="exact"/>
        <w:contextualSpacing/>
        <w:jc w:val="center"/>
        <w:rPr>
          <w:rStyle w:val="29"/>
          <w:rFonts w:ascii="楷体_GB2312" w:hAnsi="楷体_GB2312" w:eastAsia="楷体_GB2312" w:cs="楷体_GB2312"/>
          <w:b w:val="0"/>
          <w:szCs w:val="32"/>
        </w:rPr>
      </w:pPr>
      <w:bookmarkStart w:id="927" w:name="_Toc98086652"/>
      <w:bookmarkStart w:id="928" w:name="_Toc29522"/>
      <w:bookmarkStart w:id="929" w:name="_Toc6385"/>
      <w:bookmarkStart w:id="930" w:name="_Toc98162612"/>
      <w:r>
        <w:rPr>
          <w:rStyle w:val="29"/>
          <w:rFonts w:hint="eastAsia" w:ascii="楷体_GB2312" w:hAnsi="楷体_GB2312" w:eastAsia="楷体_GB2312" w:cs="楷体_GB2312"/>
          <w:b w:val="0"/>
          <w:szCs w:val="32"/>
        </w:rPr>
        <w:t>第一节 指导思想</w:t>
      </w:r>
      <w:bookmarkEnd w:id="927"/>
      <w:bookmarkEnd w:id="928"/>
      <w:bookmarkEnd w:id="929"/>
      <w:bookmarkEnd w:id="930"/>
    </w:p>
    <w:p>
      <w:pPr>
        <w:spacing w:line="560" w:lineRule="exact"/>
        <w:ind w:firstLine="640"/>
        <w:contextualSpacing/>
        <w:rPr>
          <w:rFonts w:ascii="仿宋" w:hAnsi="仿宋" w:eastAsia="仿宋"/>
        </w:rPr>
      </w:pPr>
      <w:bookmarkStart w:id="931" w:name="_Toc98162613"/>
      <w:r>
        <w:rPr>
          <w:rFonts w:hint="eastAsia" w:ascii="仿宋" w:hAnsi="仿宋" w:eastAsia="仿宋"/>
        </w:rPr>
        <w:t>以习近平新时代中国特色社会主义思想为指导，全面贯彻党的十九大和十九届历次全会精神，深入贯彻习近平总书记视察河南重要讲话重要指示精神，立足新发展阶段，完整、准确、全面贯彻新发展理念，紧抓构建新发展格局战略机遇，锚定高质量建河南省副中心城市奋斗目标，以推动新型城镇化发展为主题，以转变城市发展方式为主线，以体制机制改革创新为动力，以满足人民日益增长的美好生活需要为目的，统筹发展和安全，深入实施以人为核心的新型城镇化战略，提升城市治理体系和治理能力现代化，努力走出一条具有南阳特色的新型城镇化道路，确保全面建设社会主义现代化南阳开好局、起好步，为谱写新时代中原更加出彩的绚丽篇章作出南阳贡献。</w:t>
      </w:r>
    </w:p>
    <w:p>
      <w:pPr>
        <w:pStyle w:val="7"/>
        <w:spacing w:line="560" w:lineRule="exact"/>
        <w:contextualSpacing/>
        <w:jc w:val="center"/>
        <w:rPr>
          <w:rStyle w:val="29"/>
          <w:rFonts w:ascii="楷体_GB2312" w:hAnsi="楷体_GB2312" w:eastAsia="楷体_GB2312" w:cs="楷体_GB2312"/>
          <w:b w:val="0"/>
          <w:szCs w:val="32"/>
        </w:rPr>
      </w:pPr>
      <w:bookmarkStart w:id="932" w:name="_Toc15755"/>
      <w:bookmarkStart w:id="933" w:name="_Toc8957"/>
      <w:r>
        <w:rPr>
          <w:rStyle w:val="29"/>
          <w:rFonts w:hint="eastAsia" w:ascii="楷体_GB2312" w:hAnsi="楷体_GB2312" w:eastAsia="楷体_GB2312" w:cs="楷体_GB2312"/>
          <w:b w:val="0"/>
          <w:szCs w:val="32"/>
        </w:rPr>
        <w:t>第二节 基本原则</w:t>
      </w:r>
      <w:bookmarkEnd w:id="932"/>
      <w:bookmarkEnd w:id="933"/>
    </w:p>
    <w:p>
      <w:pPr>
        <w:spacing w:line="560" w:lineRule="exact"/>
        <w:ind w:firstLine="640" w:firstLineChars="200"/>
        <w:contextualSpacing/>
        <w:rPr>
          <w:rFonts w:ascii="仿宋" w:hAnsi="仿宋" w:eastAsia="仿宋"/>
        </w:rPr>
      </w:pPr>
      <w:r>
        <w:rPr>
          <w:rFonts w:hint="eastAsia" w:ascii="仿宋" w:hAnsi="仿宋" w:eastAsia="仿宋"/>
        </w:rPr>
        <w:t>把握城镇化客观规律，顺应城镇化发展趋势，重点把握以下原则。</w:t>
      </w:r>
    </w:p>
    <w:bookmarkEnd w:id="931"/>
    <w:p>
      <w:pPr>
        <w:spacing w:line="560" w:lineRule="exact"/>
        <w:ind w:firstLine="640" w:firstLineChars="200"/>
        <w:contextualSpacing/>
        <w:rPr>
          <w:rFonts w:ascii="仿宋" w:hAnsi="仿宋" w:eastAsia="仿宋"/>
        </w:rPr>
      </w:pPr>
      <w:r>
        <w:rPr>
          <w:rFonts w:hint="eastAsia" w:ascii="仿宋" w:hAnsi="仿宋" w:eastAsia="仿宋"/>
        </w:rPr>
        <w:t>——坚持以人为本。坚持把以人为核心的发展理念贯穿新型城镇化建设全过程，不断提高城镇人口素质，拓展就业、创业空间，提升公共服务能力、质量，不断满足人民群众日益增长的多层次、多样化需求，加快推进人的全面、协调、可持续发展路子，提升新型城镇化建设质量。</w:t>
      </w:r>
    </w:p>
    <w:p>
      <w:pPr>
        <w:spacing w:line="560" w:lineRule="exact"/>
        <w:ind w:firstLine="640" w:firstLineChars="200"/>
        <w:contextualSpacing/>
        <w:rPr>
          <w:rFonts w:ascii="仿宋" w:hAnsi="仿宋" w:eastAsia="仿宋"/>
        </w:rPr>
      </w:pPr>
      <w:r>
        <w:rPr>
          <w:rFonts w:hint="eastAsia" w:ascii="仿宋" w:hAnsi="仿宋" w:eastAsia="仿宋"/>
        </w:rPr>
        <w:t>——坚持统筹布局。立足资源环境承载能力和国土空间开发适宜性，科学划定“三条控制线”，优化区域布局，做大做强市本级“基本盘”，发挥中心城区辐射带动作用，壮大县域城市、小城镇和乡村功能节点作用，实现区域均衡发展，建立国土空间管控体系，加快构建中心城区、县域城镇协调发展的现代化城镇体系。</w:t>
      </w:r>
    </w:p>
    <w:p>
      <w:pPr>
        <w:spacing w:line="560" w:lineRule="exact"/>
        <w:ind w:firstLine="640" w:firstLineChars="200"/>
        <w:contextualSpacing/>
        <w:rPr>
          <w:rFonts w:ascii="仿宋" w:hAnsi="仿宋" w:eastAsia="仿宋"/>
        </w:rPr>
      </w:pPr>
      <w:r>
        <w:rPr>
          <w:rFonts w:hint="eastAsia" w:ascii="仿宋" w:hAnsi="仿宋" w:eastAsia="仿宋"/>
        </w:rPr>
        <w:t>——坚持产城互动。坚持以产兴城、以城促产，</w:t>
      </w:r>
      <w:r>
        <w:rPr>
          <w:rFonts w:ascii="仿宋" w:hAnsi="仿宋" w:eastAsia="仿宋"/>
        </w:rPr>
        <w:t>壮大主导产业，培育新兴产业。以“专营店”发展为思路，推动主导产业集群集聚发展，推进战略性新兴产业突破性发展。围绕“一县一省级开发区”，通过扩区、调规、改制，形成布局合理、错位发展、功能协调的发展格局，促进城镇功能、产业支撑、要素吸纳、人口集聚联动统一，实现产城互动、产城融合的发展态势。</w:t>
      </w:r>
    </w:p>
    <w:p>
      <w:pPr>
        <w:spacing w:line="560" w:lineRule="exact"/>
        <w:ind w:firstLine="640" w:firstLineChars="200"/>
        <w:contextualSpacing/>
        <w:rPr>
          <w:rFonts w:ascii="仿宋" w:hAnsi="仿宋" w:eastAsia="仿宋"/>
        </w:rPr>
      </w:pPr>
      <w:r>
        <w:rPr>
          <w:rFonts w:hint="eastAsia" w:ascii="仿宋" w:hAnsi="仿宋" w:eastAsia="仿宋"/>
        </w:rPr>
        <w:t>——坚持绿色低碳。把生态文明理念融入城镇化全领域、全过程，构建人地和谐、可持续发展的绿色城镇化模式，加快生产生活方式绿色转型，建立生态产品价值实现机制，打通</w:t>
      </w:r>
      <w:r>
        <w:rPr>
          <w:rFonts w:hint="cs" w:ascii="仿宋" w:hAnsi="仿宋" w:eastAsia="仿宋"/>
        </w:rPr>
        <w:t>“</w:t>
      </w:r>
      <w:r>
        <w:rPr>
          <w:rFonts w:hint="eastAsia" w:ascii="仿宋" w:hAnsi="仿宋" w:eastAsia="仿宋"/>
        </w:rPr>
        <w:t>绿水青山就是金山银山</w:t>
      </w:r>
      <w:r>
        <w:rPr>
          <w:rFonts w:hint="cs" w:ascii="仿宋" w:hAnsi="仿宋" w:eastAsia="仿宋"/>
        </w:rPr>
        <w:t>”</w:t>
      </w:r>
      <w:r>
        <w:rPr>
          <w:rFonts w:hint="eastAsia" w:ascii="仿宋" w:hAnsi="仿宋" w:eastAsia="仿宋"/>
        </w:rPr>
        <w:t>转化通道。提升各类灾害应急能力，有效破解资源约束，提高空间发展效率，提升城市功能品质，建设幸福美好家园。</w:t>
      </w:r>
    </w:p>
    <w:p>
      <w:pPr>
        <w:spacing w:line="560" w:lineRule="exact"/>
        <w:ind w:firstLine="640" w:firstLineChars="200"/>
        <w:contextualSpacing/>
        <w:rPr>
          <w:rFonts w:ascii="仿宋" w:hAnsi="仿宋" w:eastAsia="仿宋"/>
        </w:rPr>
      </w:pPr>
      <w:r>
        <w:rPr>
          <w:rFonts w:hint="eastAsia" w:ascii="仿宋" w:hAnsi="仿宋" w:eastAsia="仿宋"/>
        </w:rPr>
        <w:t>——坚持城乡融合。统筹新型城镇化和乡村振兴战略，坚持现代城市理念和标准，推进县城规划建设，推动特色小城镇和美丽乡村建设，提升城乡公共服务水平，促进资源要素城乡优化配置和自由流动，缩小发展和收入差距，全面实现城乡融合发展，促进全体人民共同富裕。</w:t>
      </w:r>
    </w:p>
    <w:p>
      <w:pPr>
        <w:pStyle w:val="7"/>
        <w:spacing w:line="560" w:lineRule="exact"/>
        <w:contextualSpacing/>
        <w:jc w:val="center"/>
        <w:rPr>
          <w:rStyle w:val="29"/>
          <w:rFonts w:ascii="楷体_GB2312" w:hAnsi="楷体_GB2312" w:eastAsia="楷体_GB2312" w:cs="楷体_GB2312"/>
          <w:b w:val="0"/>
          <w:szCs w:val="32"/>
        </w:rPr>
      </w:pPr>
      <w:bookmarkStart w:id="934" w:name="_Toc22304"/>
      <w:bookmarkStart w:id="935" w:name="_Toc18487"/>
      <w:r>
        <w:rPr>
          <w:rStyle w:val="29"/>
          <w:rFonts w:hint="eastAsia" w:ascii="楷体_GB2312" w:hAnsi="楷体_GB2312" w:eastAsia="楷体_GB2312" w:cs="楷体_GB2312"/>
          <w:b w:val="0"/>
          <w:szCs w:val="32"/>
        </w:rPr>
        <w:t>第三节 主要目标</w:t>
      </w:r>
      <w:bookmarkEnd w:id="934"/>
      <w:bookmarkEnd w:id="935"/>
    </w:p>
    <w:p>
      <w:pPr>
        <w:spacing w:line="560" w:lineRule="exact"/>
        <w:ind w:firstLine="640" w:firstLineChars="200"/>
        <w:contextualSpacing/>
        <w:rPr>
          <w:rFonts w:ascii="仿宋" w:hAnsi="仿宋" w:eastAsia="仿宋"/>
        </w:rPr>
      </w:pPr>
      <w:r>
        <w:rPr>
          <w:rFonts w:hint="eastAsia" w:ascii="仿宋" w:hAnsi="仿宋" w:eastAsia="仿宋"/>
        </w:rPr>
        <w:t>到</w:t>
      </w:r>
      <w:r>
        <w:rPr>
          <w:rFonts w:ascii="仿宋" w:hAnsi="仿宋" w:eastAsia="仿宋"/>
        </w:rPr>
        <w:t>2025年，</w:t>
      </w:r>
      <w:r>
        <w:rPr>
          <w:rFonts w:hint="eastAsia" w:ascii="仿宋" w:hAnsi="仿宋" w:eastAsia="仿宋"/>
        </w:rPr>
        <w:t>经</w:t>
      </w:r>
      <w:r>
        <w:rPr>
          <w:rFonts w:ascii="仿宋" w:hAnsi="仿宋" w:eastAsia="仿宋"/>
        </w:rPr>
        <w:t>济总量突破</w:t>
      </w:r>
      <w:r>
        <w:rPr>
          <w:rFonts w:hint="eastAsia" w:ascii="仿宋" w:hAnsi="仿宋" w:eastAsia="仿宋"/>
        </w:rPr>
        <w:t>6千</w:t>
      </w:r>
      <w:r>
        <w:rPr>
          <w:rFonts w:ascii="仿宋" w:hAnsi="仿宋" w:eastAsia="仿宋"/>
        </w:rPr>
        <w:t>亿元，一</w:t>
      </w:r>
      <w:r>
        <w:rPr>
          <w:rFonts w:hint="eastAsia" w:ascii="仿宋" w:hAnsi="仿宋" w:eastAsia="仿宋"/>
        </w:rPr>
        <w:t>、二、三</w:t>
      </w:r>
      <w:r>
        <w:rPr>
          <w:rFonts w:ascii="仿宋" w:hAnsi="仿宋" w:eastAsia="仿宋"/>
        </w:rPr>
        <w:t>产业结构达到</w:t>
      </w:r>
      <w:r>
        <w:rPr>
          <w:rFonts w:hint="eastAsia" w:ascii="仿宋" w:hAnsi="仿宋" w:eastAsia="仿宋"/>
        </w:rPr>
        <w:t>9：41：50，</w:t>
      </w:r>
      <w:r>
        <w:rPr>
          <w:rFonts w:ascii="仿宋" w:hAnsi="仿宋" w:eastAsia="仿宋"/>
        </w:rPr>
        <w:t>城镇化水平和质量稳步提升，全市常住人口城镇化率达到60%。省域副中心城市建设取得显著成效，城市功能布局持续优化，产业</w:t>
      </w:r>
      <w:r>
        <w:rPr>
          <w:rFonts w:hint="eastAsia" w:ascii="仿宋" w:hAnsi="仿宋" w:eastAsia="仿宋"/>
        </w:rPr>
        <w:t>、</w:t>
      </w:r>
      <w:r>
        <w:rPr>
          <w:rFonts w:ascii="仿宋" w:hAnsi="仿宋" w:eastAsia="仿宋"/>
        </w:rPr>
        <w:t>人口等经济要素</w:t>
      </w:r>
      <w:r>
        <w:rPr>
          <w:rFonts w:hint="eastAsia" w:ascii="仿宋" w:hAnsi="仿宋" w:eastAsia="仿宋"/>
        </w:rPr>
        <w:t>有</w:t>
      </w:r>
      <w:r>
        <w:rPr>
          <w:rFonts w:ascii="仿宋" w:hAnsi="仿宋" w:eastAsia="仿宋"/>
        </w:rPr>
        <w:t>序集聚，中心城区首位度明显</w:t>
      </w:r>
      <w:r>
        <w:rPr>
          <w:rFonts w:hint="eastAsia" w:ascii="仿宋" w:hAnsi="仿宋" w:eastAsia="仿宋"/>
        </w:rPr>
        <w:t>增强</w:t>
      </w:r>
      <w:r>
        <w:rPr>
          <w:rFonts w:ascii="仿宋" w:hAnsi="仿宋" w:eastAsia="仿宋"/>
        </w:rPr>
        <w:t>，实现在全国同类型城市中提质进位。到2035年，综合实力大幅跃升，达到Ⅰ型大城市标准，人均生产总值等主要指标达到或超过全国平均水平，基本建成社会主义现代化南阳。</w:t>
      </w:r>
    </w:p>
    <w:p>
      <w:pPr>
        <w:spacing w:line="560" w:lineRule="exact"/>
        <w:ind w:firstLine="640" w:firstLineChars="200"/>
        <w:contextualSpacing/>
        <w:rPr>
          <w:rFonts w:ascii="仿宋" w:hAnsi="仿宋" w:eastAsia="仿宋"/>
        </w:rPr>
      </w:pPr>
      <w:r>
        <w:rPr>
          <w:rFonts w:hint="eastAsia" w:ascii="仿宋" w:hAnsi="仿宋" w:eastAsia="仿宋"/>
        </w:rPr>
        <w:t>——非户籍常住人口市民化质量显著提高。常住人口城镇化率年均提高</w:t>
      </w:r>
      <w:r>
        <w:rPr>
          <w:rFonts w:ascii="仿宋" w:hAnsi="仿宋" w:eastAsia="仿宋"/>
        </w:rPr>
        <w:t>1.5个百分点。人民生活品质明显改善，更加充分更高质量就业基本实现，公共服务体系更加健全，进城落户农民农村“三权”持续有效维护。</w:t>
      </w:r>
    </w:p>
    <w:p>
      <w:pPr>
        <w:spacing w:line="560" w:lineRule="exact"/>
        <w:ind w:firstLine="640" w:firstLineChars="200"/>
        <w:contextualSpacing/>
        <w:rPr>
          <w:rFonts w:ascii="仿宋" w:hAnsi="仿宋" w:eastAsia="仿宋"/>
        </w:rPr>
      </w:pPr>
      <w:r>
        <w:rPr>
          <w:rFonts w:hint="eastAsia" w:ascii="仿宋" w:hAnsi="仿宋" w:eastAsia="仿宋"/>
        </w:rPr>
        <w:t>——城市空间布局更加优化。“一主两副、一圈两翼”布局高效发展，“中心突破、轴带隆起、全域联动、多点支撑”发展格局加快形成。中心城区建成区面积达到</w:t>
      </w:r>
      <w:r>
        <w:rPr>
          <w:rFonts w:ascii="仿宋" w:hAnsi="仿宋" w:eastAsia="仿宋"/>
        </w:rPr>
        <w:t>300平方公里、人口达到300万。县域城市承载能力不断增强，重点镇、美丽宜居镇支撑作用发挥明显。</w:t>
      </w:r>
    </w:p>
    <w:p>
      <w:pPr>
        <w:spacing w:line="560" w:lineRule="exact"/>
        <w:ind w:firstLine="640" w:firstLineChars="200"/>
        <w:contextualSpacing/>
        <w:rPr>
          <w:rFonts w:ascii="仿宋" w:hAnsi="仿宋" w:eastAsia="仿宋"/>
        </w:rPr>
      </w:pPr>
      <w:r>
        <w:rPr>
          <w:rFonts w:hint="eastAsia" w:ascii="仿宋" w:hAnsi="仿宋" w:eastAsia="仿宋"/>
        </w:rPr>
        <w:t>——城市可持续发展模式基本形成。国土空间开发保护格局更加优化，绿色低碳、新型智慧、健康韧性城</w:t>
      </w:r>
      <w:r>
        <w:rPr>
          <w:rFonts w:ascii="仿宋" w:hAnsi="仿宋" w:eastAsia="仿宋"/>
        </w:rPr>
        <w:t>市</w:t>
      </w:r>
      <w:r>
        <w:rPr>
          <w:rFonts w:hint="eastAsia" w:ascii="仿宋" w:hAnsi="仿宋" w:eastAsia="仿宋"/>
        </w:rPr>
        <w:t>建设成效明显，单位地区生产总值能耗、用水量持续下降，主要污染物排放总量持续减少，</w:t>
      </w:r>
      <w:r>
        <w:rPr>
          <w:rFonts w:ascii="仿宋" w:hAnsi="仿宋" w:eastAsia="仿宋"/>
        </w:rPr>
        <w:t>生态宜居南阳享誉全国。</w:t>
      </w:r>
    </w:p>
    <w:p>
      <w:pPr>
        <w:spacing w:line="560" w:lineRule="exact"/>
        <w:ind w:firstLine="640" w:firstLineChars="200"/>
        <w:contextualSpacing/>
        <w:rPr>
          <w:rFonts w:ascii="仿宋" w:hAnsi="仿宋" w:eastAsia="仿宋"/>
        </w:rPr>
      </w:pPr>
      <w:r>
        <w:rPr>
          <w:rFonts w:hint="eastAsia" w:ascii="仿宋" w:hAnsi="仿宋" w:eastAsia="仿宋"/>
        </w:rPr>
        <w:t>——城市治理现代化水平显著提升。社会治理体制不断健全，风格化管理服务机制不断完善，营商环境全面优化。社会治理更加精细，基层治理走在全省前列。防范化解重大风险、自然灾害和突发公共事件应急管理能力显著增强。</w:t>
      </w:r>
    </w:p>
    <w:p>
      <w:pPr>
        <w:spacing w:line="560" w:lineRule="exact"/>
        <w:ind w:firstLine="640" w:firstLineChars="200"/>
        <w:contextualSpacing/>
      </w:pPr>
      <w:r>
        <w:rPr>
          <w:rFonts w:hint="eastAsia" w:ascii="仿宋" w:hAnsi="仿宋" w:eastAsia="仿宋"/>
        </w:rPr>
        <w:t>——城乡融合发展体制机制更加健全。城乡发展更加协调，分配结构明显改善，普惠金融服务体系更加完善，基本公共服务均等化水平稳步提升，产业协同发展程度明显增强，城乡居民生活水平差距逐步缩小。</w:t>
      </w:r>
    </w:p>
    <w:tbl>
      <w:tblPr>
        <w:tblStyle w:val="26"/>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8"/>
        <w:gridCol w:w="1504"/>
        <w:gridCol w:w="1365"/>
        <w:gridCol w:w="148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5"/>
          </w:tcPr>
          <w:p>
            <w:pPr>
              <w:adjustRightInd w:val="0"/>
              <w:snapToGrid w:val="0"/>
              <w:spacing w:line="360" w:lineRule="exact"/>
              <w:ind w:firstLine="480"/>
              <w:contextualSpacing/>
              <w:jc w:val="center"/>
              <w:rPr>
                <w:rFonts w:ascii="黑体" w:hAnsi="黑体" w:eastAsia="黑体"/>
                <w:bCs/>
                <w:kern w:val="0"/>
                <w:sz w:val="24"/>
                <w:szCs w:val="24"/>
              </w:rPr>
            </w:pPr>
            <w:r>
              <w:rPr>
                <w:rFonts w:hint="eastAsia" w:ascii="黑体" w:hAnsi="黑体" w:eastAsia="黑体" w:cs="黑体"/>
                <w:bCs/>
                <w:kern w:val="0"/>
                <w:sz w:val="28"/>
                <w:szCs w:val="28"/>
              </w:rPr>
              <w:t>专栏1：南阳市新型城镇化主要指标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818"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指  标</w:t>
            </w:r>
          </w:p>
        </w:tc>
        <w:tc>
          <w:tcPr>
            <w:tcW w:w="834"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2</w:t>
            </w:r>
            <w:r>
              <w:rPr>
                <w:rFonts w:ascii="仿宋" w:hAnsi="仿宋" w:eastAsia="仿宋" w:cs="仿宋"/>
                <w:kern w:val="0"/>
                <w:sz w:val="24"/>
                <w:szCs w:val="24"/>
                <w:shd w:val="clear" w:color="auto" w:fill="FFFFFF"/>
              </w:rPr>
              <w:t>020</w:t>
            </w:r>
            <w:r>
              <w:rPr>
                <w:rFonts w:hint="eastAsia" w:ascii="仿宋" w:hAnsi="仿宋" w:eastAsia="仿宋" w:cs="仿宋"/>
                <w:kern w:val="0"/>
                <w:sz w:val="24"/>
                <w:szCs w:val="24"/>
                <w:shd w:val="clear" w:color="auto" w:fill="FFFFFF"/>
              </w:rPr>
              <w:t>年</w:t>
            </w:r>
          </w:p>
        </w:tc>
        <w:tc>
          <w:tcPr>
            <w:tcW w:w="757" w:type="pct"/>
            <w:vAlign w:val="center"/>
          </w:tcPr>
          <w:p>
            <w:pPr>
              <w:shd w:val="clear" w:color="auto" w:fill="FFFFFF"/>
              <w:spacing w:line="360" w:lineRule="exact"/>
              <w:contextualSpacing/>
              <w:jc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2</w:t>
            </w:r>
            <w:r>
              <w:rPr>
                <w:rFonts w:ascii="仿宋" w:hAnsi="仿宋" w:eastAsia="仿宋" w:cs="仿宋"/>
                <w:kern w:val="0"/>
                <w:sz w:val="24"/>
                <w:szCs w:val="24"/>
                <w:shd w:val="clear" w:color="auto" w:fill="FFFFFF"/>
              </w:rPr>
              <w:t>025</w:t>
            </w:r>
            <w:r>
              <w:rPr>
                <w:rFonts w:hint="eastAsia" w:ascii="仿宋" w:hAnsi="仿宋" w:eastAsia="仿宋" w:cs="仿宋"/>
                <w:kern w:val="0"/>
                <w:sz w:val="24"/>
                <w:szCs w:val="24"/>
                <w:shd w:val="clear" w:color="auto" w:fill="FFFFFF"/>
              </w:rPr>
              <w:t>年</w:t>
            </w:r>
          </w:p>
        </w:tc>
        <w:tc>
          <w:tcPr>
            <w:tcW w:w="826"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2</w:t>
            </w:r>
            <w:r>
              <w:rPr>
                <w:rFonts w:ascii="仿宋" w:hAnsi="仿宋" w:eastAsia="仿宋" w:cs="仿宋"/>
                <w:kern w:val="0"/>
                <w:sz w:val="24"/>
                <w:szCs w:val="24"/>
                <w:shd w:val="clear" w:color="auto" w:fill="FFFFFF"/>
              </w:rPr>
              <w:t>035</w:t>
            </w:r>
            <w:r>
              <w:rPr>
                <w:rFonts w:hint="eastAsia" w:ascii="仿宋" w:hAnsi="仿宋" w:eastAsia="仿宋" w:cs="仿宋"/>
                <w:kern w:val="0"/>
                <w:sz w:val="24"/>
                <w:szCs w:val="24"/>
                <w:shd w:val="clear" w:color="auto" w:fill="FFFFFF"/>
              </w:rPr>
              <w:t>年</w:t>
            </w:r>
          </w:p>
        </w:tc>
        <w:tc>
          <w:tcPr>
            <w:tcW w:w="764"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属</w:t>
            </w:r>
            <w:r>
              <w:rPr>
                <w:rFonts w:ascii="仿宋" w:hAnsi="仿宋" w:eastAsia="仿宋" w:cs="仿宋"/>
                <w:kern w:val="0"/>
                <w:sz w:val="24"/>
                <w:szCs w:val="24"/>
                <w:shd w:val="clear" w:color="auto" w:fill="FFFFFF"/>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8" w:type="pct"/>
          </w:tcPr>
          <w:p>
            <w:pPr>
              <w:shd w:val="clear" w:color="auto" w:fill="FFFFFF"/>
              <w:spacing w:line="360" w:lineRule="exact"/>
              <w:contextualSpacing/>
              <w:jc w:val="left"/>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常住人口城镇化率（</w:t>
            </w:r>
            <w:r>
              <w:rPr>
                <w:rFonts w:ascii="仿宋" w:hAnsi="仿宋" w:eastAsia="仿宋" w:cs="仿宋"/>
                <w:kern w:val="0"/>
                <w:sz w:val="24"/>
                <w:szCs w:val="24"/>
                <w:shd w:val="clear" w:color="auto" w:fill="FFFFFF"/>
              </w:rPr>
              <w:t>%）</w:t>
            </w:r>
          </w:p>
        </w:tc>
        <w:tc>
          <w:tcPr>
            <w:tcW w:w="834"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50.59</w:t>
            </w:r>
          </w:p>
        </w:tc>
        <w:tc>
          <w:tcPr>
            <w:tcW w:w="757"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60</w:t>
            </w:r>
          </w:p>
        </w:tc>
        <w:tc>
          <w:tcPr>
            <w:tcW w:w="826"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70</w:t>
            </w:r>
          </w:p>
        </w:tc>
        <w:tc>
          <w:tcPr>
            <w:tcW w:w="764" w:type="pct"/>
            <w:vAlign w:val="center"/>
          </w:tcPr>
          <w:p>
            <w:pPr>
              <w:adjustRightInd w:val="0"/>
              <w:snapToGrid w:val="0"/>
              <w:spacing w:line="360" w:lineRule="exact"/>
              <w:contextualSpacing/>
              <w:rPr>
                <w:rFonts w:ascii="仿宋" w:hAnsi="仿宋" w:eastAsia="仿宋" w:cs="仿宋"/>
                <w:kern w:val="0"/>
                <w:sz w:val="24"/>
                <w:szCs w:val="24"/>
                <w:shd w:val="clear" w:color="auto" w:fill="FFFFFF"/>
              </w:rPr>
            </w:pPr>
            <w:r>
              <w:rPr>
                <w:rFonts w:hint="eastAsia" w:ascii="仿宋" w:hAnsi="仿宋" w:eastAsia="仿宋"/>
                <w:bCs/>
                <w:kern w:val="0"/>
                <w:sz w:val="24"/>
                <w:szCs w:val="24"/>
              </w:rPr>
              <w:t>预期</w:t>
            </w:r>
            <w:r>
              <w:rPr>
                <w:rFonts w:ascii="仿宋" w:hAnsi="仿宋" w:eastAsia="仿宋"/>
                <w:bCs/>
                <w:kern w:val="0"/>
                <w:sz w:val="24"/>
                <w:szCs w:val="24"/>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8" w:type="pct"/>
          </w:tcPr>
          <w:p>
            <w:pPr>
              <w:shd w:val="clear" w:color="auto" w:fill="FFFFFF"/>
              <w:spacing w:line="360" w:lineRule="exact"/>
              <w:contextualSpacing/>
              <w:jc w:val="left"/>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城镇新增就业人数（万人）</w:t>
            </w:r>
          </w:p>
        </w:tc>
        <w:tc>
          <w:tcPr>
            <w:tcW w:w="834"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30</w:t>
            </w:r>
          </w:p>
        </w:tc>
        <w:tc>
          <w:tcPr>
            <w:tcW w:w="757" w:type="pct"/>
            <w:vAlign w:val="center"/>
          </w:tcPr>
          <w:p>
            <w:pPr>
              <w:shd w:val="clear" w:color="auto" w:fill="FFFFFF"/>
              <w:spacing w:line="360" w:lineRule="exact"/>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[122.25]</w:t>
            </w:r>
          </w:p>
        </w:tc>
        <w:tc>
          <w:tcPr>
            <w:tcW w:w="826" w:type="pct"/>
            <w:vAlign w:val="center"/>
          </w:tcPr>
          <w:p>
            <w:pPr>
              <w:shd w:val="clear" w:color="auto" w:fill="FFFFFF"/>
              <w:spacing w:line="360" w:lineRule="exact"/>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[244.5]</w:t>
            </w:r>
          </w:p>
        </w:tc>
        <w:tc>
          <w:tcPr>
            <w:tcW w:w="764" w:type="pct"/>
            <w:vAlign w:val="center"/>
          </w:tcPr>
          <w:p>
            <w:pPr>
              <w:shd w:val="clear" w:color="auto" w:fill="FFFFFF"/>
              <w:spacing w:line="360" w:lineRule="exact"/>
              <w:contextualSpacing/>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8" w:type="pct"/>
          </w:tcPr>
          <w:p>
            <w:pPr>
              <w:shd w:val="clear" w:color="auto" w:fill="FFFFFF"/>
              <w:spacing w:line="360" w:lineRule="exact"/>
              <w:contextualSpacing/>
              <w:jc w:val="left"/>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农村劳动力职业技能培训人次（万人次）</w:t>
            </w:r>
          </w:p>
        </w:tc>
        <w:tc>
          <w:tcPr>
            <w:tcW w:w="834"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3.7</w:t>
            </w:r>
          </w:p>
        </w:tc>
        <w:tc>
          <w:tcPr>
            <w:tcW w:w="757"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1.14</w:t>
            </w:r>
          </w:p>
        </w:tc>
        <w:tc>
          <w:tcPr>
            <w:tcW w:w="826"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1.14</w:t>
            </w:r>
          </w:p>
        </w:tc>
        <w:tc>
          <w:tcPr>
            <w:tcW w:w="764" w:type="pct"/>
            <w:vAlign w:val="center"/>
          </w:tcPr>
          <w:p>
            <w:pPr>
              <w:shd w:val="clear" w:color="auto" w:fill="FFFFFF"/>
              <w:spacing w:line="360" w:lineRule="exact"/>
              <w:contextualSpacing/>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8" w:type="pct"/>
          </w:tcPr>
          <w:p>
            <w:pPr>
              <w:shd w:val="clear" w:color="auto" w:fill="FFFFFF"/>
              <w:spacing w:line="360" w:lineRule="exact"/>
              <w:contextualSpacing/>
              <w:jc w:val="left"/>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研究与试验发展</w:t>
            </w:r>
            <w:r>
              <w:rPr>
                <w:rFonts w:ascii="仿宋" w:hAnsi="仿宋" w:eastAsia="仿宋" w:cs="仿宋"/>
                <w:kern w:val="0"/>
                <w:sz w:val="24"/>
                <w:szCs w:val="24"/>
                <w:shd w:val="clear" w:color="auto" w:fill="FFFFFF"/>
              </w:rPr>
              <w:t>(R&amp;D)</w:t>
            </w:r>
            <w:r>
              <w:rPr>
                <w:rFonts w:hint="eastAsia" w:ascii="仿宋" w:hAnsi="仿宋" w:eastAsia="仿宋" w:cs="仿宋"/>
                <w:kern w:val="0"/>
                <w:sz w:val="24"/>
                <w:szCs w:val="24"/>
                <w:shd w:val="clear" w:color="auto" w:fill="FFFFFF"/>
              </w:rPr>
              <w:t>经费投入强度（</w:t>
            </w:r>
            <w:r>
              <w:rPr>
                <w:rFonts w:ascii="仿宋" w:hAnsi="仿宋" w:eastAsia="仿宋" w:cs="仿宋"/>
                <w:kern w:val="0"/>
                <w:sz w:val="24"/>
                <w:szCs w:val="24"/>
                <w:shd w:val="clear" w:color="auto" w:fill="FFFFFF"/>
              </w:rPr>
              <w:t>%）</w:t>
            </w:r>
          </w:p>
        </w:tc>
        <w:tc>
          <w:tcPr>
            <w:tcW w:w="834"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1．15</w:t>
            </w:r>
          </w:p>
        </w:tc>
        <w:tc>
          <w:tcPr>
            <w:tcW w:w="757"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1．82</w:t>
            </w:r>
          </w:p>
        </w:tc>
        <w:tc>
          <w:tcPr>
            <w:tcW w:w="826"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1.96</w:t>
            </w:r>
          </w:p>
        </w:tc>
        <w:tc>
          <w:tcPr>
            <w:tcW w:w="764" w:type="pct"/>
            <w:vAlign w:val="center"/>
          </w:tcPr>
          <w:p>
            <w:pPr>
              <w:shd w:val="clear" w:color="auto" w:fill="FFFFFF"/>
              <w:spacing w:line="360" w:lineRule="exact"/>
              <w:contextualSpacing/>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18" w:type="pct"/>
          </w:tcPr>
          <w:p>
            <w:pPr>
              <w:shd w:val="clear" w:color="auto" w:fill="FFFFFF"/>
              <w:spacing w:line="360" w:lineRule="exact"/>
              <w:contextualSpacing/>
              <w:jc w:val="left"/>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城市道路网密度（公里</w:t>
            </w:r>
            <w:r>
              <w:rPr>
                <w:rFonts w:ascii="仿宋" w:hAnsi="仿宋" w:eastAsia="仿宋" w:cs="仿宋"/>
                <w:kern w:val="0"/>
                <w:sz w:val="24"/>
                <w:szCs w:val="24"/>
                <w:shd w:val="clear" w:color="auto" w:fill="FFFFFF"/>
              </w:rPr>
              <w:t>/平方公里）</w:t>
            </w:r>
          </w:p>
        </w:tc>
        <w:tc>
          <w:tcPr>
            <w:tcW w:w="834"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2.98</w:t>
            </w:r>
          </w:p>
        </w:tc>
        <w:tc>
          <w:tcPr>
            <w:tcW w:w="757"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4.18</w:t>
            </w:r>
          </w:p>
        </w:tc>
        <w:tc>
          <w:tcPr>
            <w:tcW w:w="826"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4.7</w:t>
            </w:r>
          </w:p>
        </w:tc>
        <w:tc>
          <w:tcPr>
            <w:tcW w:w="764" w:type="pct"/>
            <w:vAlign w:val="center"/>
          </w:tcPr>
          <w:p>
            <w:pPr>
              <w:shd w:val="clear" w:color="auto" w:fill="FFFFFF"/>
              <w:spacing w:line="360" w:lineRule="exact"/>
              <w:contextualSpacing/>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8" w:type="pct"/>
          </w:tcPr>
          <w:p>
            <w:pPr>
              <w:shd w:val="clear" w:color="auto" w:fill="FFFFFF"/>
              <w:spacing w:line="360" w:lineRule="exact"/>
              <w:contextualSpacing/>
              <w:jc w:val="left"/>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城市建成区绿地率（</w:t>
            </w:r>
            <w:r>
              <w:rPr>
                <w:rFonts w:ascii="仿宋" w:hAnsi="仿宋" w:eastAsia="仿宋" w:cs="仿宋"/>
                <w:kern w:val="0"/>
                <w:sz w:val="24"/>
                <w:szCs w:val="24"/>
                <w:shd w:val="clear" w:color="auto" w:fill="FFFFFF"/>
              </w:rPr>
              <w:t>%</w:t>
            </w:r>
            <w:r>
              <w:rPr>
                <w:rFonts w:hint="eastAsia" w:ascii="仿宋" w:hAnsi="仿宋" w:eastAsia="仿宋" w:cs="仿宋"/>
                <w:kern w:val="0"/>
                <w:sz w:val="24"/>
                <w:szCs w:val="24"/>
                <w:shd w:val="clear" w:color="auto" w:fill="FFFFFF"/>
              </w:rPr>
              <w:t>）</w:t>
            </w:r>
          </w:p>
        </w:tc>
        <w:tc>
          <w:tcPr>
            <w:tcW w:w="834"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37.56</w:t>
            </w:r>
          </w:p>
        </w:tc>
        <w:tc>
          <w:tcPr>
            <w:tcW w:w="757"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39.65</w:t>
            </w:r>
          </w:p>
        </w:tc>
        <w:tc>
          <w:tcPr>
            <w:tcW w:w="826"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41.74</w:t>
            </w:r>
          </w:p>
        </w:tc>
        <w:tc>
          <w:tcPr>
            <w:tcW w:w="764" w:type="pct"/>
            <w:vAlign w:val="center"/>
          </w:tcPr>
          <w:p>
            <w:pPr>
              <w:shd w:val="clear" w:color="auto" w:fill="FFFFFF"/>
              <w:spacing w:line="360" w:lineRule="exact"/>
              <w:contextualSpacing/>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818" w:type="pct"/>
          </w:tcPr>
          <w:p>
            <w:pPr>
              <w:shd w:val="clear" w:color="auto" w:fill="FFFFFF"/>
              <w:spacing w:line="360" w:lineRule="exact"/>
              <w:contextualSpacing/>
              <w:jc w:val="left"/>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森林覆盖率（</w:t>
            </w:r>
            <w:r>
              <w:rPr>
                <w:rFonts w:ascii="仿宋" w:hAnsi="仿宋" w:eastAsia="仿宋" w:cs="仿宋"/>
                <w:kern w:val="0"/>
                <w:sz w:val="24"/>
                <w:szCs w:val="24"/>
                <w:shd w:val="clear" w:color="auto" w:fill="FFFFFF"/>
              </w:rPr>
              <w:t>%</w:t>
            </w:r>
            <w:r>
              <w:rPr>
                <w:rFonts w:hint="eastAsia" w:ascii="仿宋" w:hAnsi="仿宋" w:eastAsia="仿宋" w:cs="仿宋"/>
                <w:kern w:val="0"/>
                <w:sz w:val="24"/>
                <w:szCs w:val="24"/>
                <w:shd w:val="clear" w:color="auto" w:fill="FFFFFF"/>
              </w:rPr>
              <w:t>）</w:t>
            </w:r>
          </w:p>
        </w:tc>
        <w:tc>
          <w:tcPr>
            <w:tcW w:w="834"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40</w:t>
            </w:r>
            <w:r>
              <w:rPr>
                <w:rFonts w:hint="eastAsia" w:ascii="仿宋" w:hAnsi="仿宋" w:eastAsia="仿宋" w:cs="仿宋"/>
                <w:kern w:val="0"/>
                <w:sz w:val="24"/>
                <w:szCs w:val="24"/>
                <w:shd w:val="clear" w:color="auto" w:fill="FFFFFF"/>
              </w:rPr>
              <w:t>．</w:t>
            </w:r>
            <w:r>
              <w:rPr>
                <w:rFonts w:ascii="仿宋" w:hAnsi="仿宋" w:eastAsia="仿宋" w:cs="仿宋"/>
                <w:kern w:val="0"/>
                <w:sz w:val="24"/>
                <w:szCs w:val="24"/>
                <w:shd w:val="clear" w:color="auto" w:fill="FFFFFF"/>
              </w:rPr>
              <w:t>5</w:t>
            </w:r>
          </w:p>
        </w:tc>
        <w:tc>
          <w:tcPr>
            <w:tcW w:w="757"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44.25</w:t>
            </w:r>
          </w:p>
        </w:tc>
        <w:tc>
          <w:tcPr>
            <w:tcW w:w="826"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48.1</w:t>
            </w:r>
          </w:p>
        </w:tc>
        <w:tc>
          <w:tcPr>
            <w:tcW w:w="764" w:type="pct"/>
            <w:vAlign w:val="center"/>
          </w:tcPr>
          <w:p>
            <w:pPr>
              <w:shd w:val="clear" w:color="auto" w:fill="FFFFFF"/>
              <w:spacing w:line="360" w:lineRule="exact"/>
              <w:contextualSpacing/>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8" w:type="pct"/>
          </w:tcPr>
          <w:p>
            <w:pPr>
              <w:shd w:val="clear" w:color="auto" w:fill="FFFFFF"/>
              <w:spacing w:line="360" w:lineRule="exact"/>
              <w:contextualSpacing/>
              <w:jc w:val="left"/>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城市人均体育活动场地面积（平方米</w:t>
            </w:r>
            <w:r>
              <w:rPr>
                <w:rFonts w:ascii="仿宋" w:hAnsi="仿宋" w:eastAsia="仿宋" w:cs="仿宋"/>
                <w:kern w:val="0"/>
                <w:sz w:val="24"/>
                <w:szCs w:val="24"/>
                <w:shd w:val="clear" w:color="auto" w:fill="FFFFFF"/>
              </w:rPr>
              <w:t>/人）</w:t>
            </w:r>
          </w:p>
        </w:tc>
        <w:tc>
          <w:tcPr>
            <w:tcW w:w="834"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1.91</w:t>
            </w:r>
          </w:p>
        </w:tc>
        <w:tc>
          <w:tcPr>
            <w:tcW w:w="757"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2.53</w:t>
            </w:r>
          </w:p>
        </w:tc>
        <w:tc>
          <w:tcPr>
            <w:tcW w:w="826"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2.82</w:t>
            </w:r>
          </w:p>
        </w:tc>
        <w:tc>
          <w:tcPr>
            <w:tcW w:w="764" w:type="pct"/>
            <w:vAlign w:val="center"/>
          </w:tcPr>
          <w:p>
            <w:pPr>
              <w:shd w:val="clear" w:color="auto" w:fill="FFFFFF"/>
              <w:spacing w:line="360" w:lineRule="exact"/>
              <w:contextualSpacing/>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8" w:type="pct"/>
          </w:tcPr>
          <w:p>
            <w:pPr>
              <w:shd w:val="clear" w:color="auto" w:fill="FFFFFF"/>
              <w:spacing w:line="360" w:lineRule="exact"/>
              <w:contextualSpacing/>
              <w:jc w:val="left"/>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城镇绿色建筑占新建建筑比重（</w:t>
            </w:r>
            <w:r>
              <w:rPr>
                <w:rFonts w:ascii="仿宋" w:hAnsi="仿宋" w:eastAsia="仿宋" w:cs="仿宋"/>
                <w:kern w:val="0"/>
                <w:sz w:val="24"/>
                <w:szCs w:val="24"/>
                <w:shd w:val="clear" w:color="auto" w:fill="FFFFFF"/>
              </w:rPr>
              <w:t>%</w:t>
            </w:r>
            <w:r>
              <w:rPr>
                <w:rFonts w:hint="eastAsia" w:ascii="仿宋" w:hAnsi="仿宋" w:eastAsia="仿宋" w:cs="仿宋"/>
                <w:kern w:val="0"/>
                <w:sz w:val="24"/>
                <w:szCs w:val="24"/>
                <w:shd w:val="clear" w:color="auto" w:fill="FFFFFF"/>
              </w:rPr>
              <w:t>）</w:t>
            </w:r>
          </w:p>
        </w:tc>
        <w:tc>
          <w:tcPr>
            <w:tcW w:w="834"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50</w:t>
            </w:r>
          </w:p>
        </w:tc>
        <w:tc>
          <w:tcPr>
            <w:tcW w:w="757"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86.36</w:t>
            </w:r>
          </w:p>
        </w:tc>
        <w:tc>
          <w:tcPr>
            <w:tcW w:w="826"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100</w:t>
            </w:r>
          </w:p>
        </w:tc>
        <w:tc>
          <w:tcPr>
            <w:tcW w:w="764" w:type="pct"/>
            <w:vAlign w:val="center"/>
          </w:tcPr>
          <w:p>
            <w:pPr>
              <w:shd w:val="clear" w:color="auto" w:fill="FFFFFF"/>
              <w:spacing w:line="360" w:lineRule="exact"/>
              <w:contextualSpacing/>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8" w:type="pct"/>
          </w:tcPr>
          <w:p>
            <w:pPr>
              <w:shd w:val="clear" w:color="auto" w:fill="FFFFFF"/>
              <w:spacing w:line="360" w:lineRule="exact"/>
              <w:contextualSpacing/>
              <w:jc w:val="left"/>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城市家庭光照光纤网络覆盖率（</w:t>
            </w:r>
            <w:r>
              <w:rPr>
                <w:rFonts w:ascii="仿宋" w:hAnsi="仿宋" w:eastAsia="仿宋" w:cs="仿宋"/>
                <w:kern w:val="0"/>
                <w:sz w:val="24"/>
                <w:szCs w:val="24"/>
                <w:shd w:val="clear" w:color="auto" w:fill="FFFFFF"/>
              </w:rPr>
              <w:t>%</w:t>
            </w:r>
            <w:r>
              <w:rPr>
                <w:rFonts w:hint="eastAsia" w:ascii="仿宋" w:hAnsi="仿宋" w:eastAsia="仿宋" w:cs="仿宋"/>
                <w:kern w:val="0"/>
                <w:sz w:val="24"/>
                <w:szCs w:val="24"/>
                <w:shd w:val="clear" w:color="auto" w:fill="FFFFFF"/>
              </w:rPr>
              <w:t>）</w:t>
            </w:r>
          </w:p>
        </w:tc>
        <w:tc>
          <w:tcPr>
            <w:tcW w:w="834"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26.02</w:t>
            </w:r>
          </w:p>
        </w:tc>
        <w:tc>
          <w:tcPr>
            <w:tcW w:w="757"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41.63</w:t>
            </w:r>
          </w:p>
        </w:tc>
        <w:tc>
          <w:tcPr>
            <w:tcW w:w="826" w:type="pct"/>
            <w:vAlign w:val="center"/>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51.52</w:t>
            </w:r>
          </w:p>
        </w:tc>
        <w:tc>
          <w:tcPr>
            <w:tcW w:w="764" w:type="pct"/>
            <w:vAlign w:val="center"/>
          </w:tcPr>
          <w:p>
            <w:pPr>
              <w:shd w:val="clear" w:color="auto" w:fill="FFFFFF"/>
              <w:spacing w:line="360" w:lineRule="exact"/>
              <w:contextualSpacing/>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8" w:type="pct"/>
          </w:tcPr>
          <w:p>
            <w:pPr>
              <w:shd w:val="clear" w:color="auto" w:fill="FFFFFF"/>
              <w:spacing w:line="360" w:lineRule="exact"/>
              <w:contextualSpacing/>
              <w:jc w:val="left"/>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农村人均可支配收入（元）</w:t>
            </w:r>
          </w:p>
        </w:tc>
        <w:tc>
          <w:tcPr>
            <w:tcW w:w="834" w:type="pct"/>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16091</w:t>
            </w:r>
          </w:p>
        </w:tc>
        <w:tc>
          <w:tcPr>
            <w:tcW w:w="757" w:type="pct"/>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23475</w:t>
            </w:r>
          </w:p>
        </w:tc>
        <w:tc>
          <w:tcPr>
            <w:tcW w:w="826" w:type="pct"/>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45951</w:t>
            </w:r>
          </w:p>
        </w:tc>
        <w:tc>
          <w:tcPr>
            <w:tcW w:w="764" w:type="pct"/>
          </w:tcPr>
          <w:p>
            <w:pPr>
              <w:shd w:val="clear" w:color="auto" w:fill="FFFFFF"/>
              <w:spacing w:line="360" w:lineRule="exact"/>
              <w:contextualSpacing/>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18" w:type="pct"/>
          </w:tcPr>
          <w:p>
            <w:pPr>
              <w:shd w:val="clear" w:color="auto" w:fill="FFFFFF"/>
              <w:spacing w:line="360" w:lineRule="exact"/>
              <w:contextualSpacing/>
              <w:jc w:val="left"/>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城镇人均可支配收入（元）</w:t>
            </w:r>
          </w:p>
        </w:tc>
        <w:tc>
          <w:tcPr>
            <w:tcW w:w="834" w:type="pct"/>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33910</w:t>
            </w:r>
          </w:p>
        </w:tc>
        <w:tc>
          <w:tcPr>
            <w:tcW w:w="757" w:type="pct"/>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47328</w:t>
            </w:r>
          </w:p>
        </w:tc>
        <w:tc>
          <w:tcPr>
            <w:tcW w:w="826" w:type="pct"/>
          </w:tcPr>
          <w:p>
            <w:pPr>
              <w:shd w:val="clear" w:color="auto" w:fill="FFFFFF"/>
              <w:spacing w:line="360" w:lineRule="exact"/>
              <w:ind w:firstLine="480"/>
              <w:contextualSpacing/>
              <w:jc w:val="center"/>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87825</w:t>
            </w:r>
          </w:p>
        </w:tc>
        <w:tc>
          <w:tcPr>
            <w:tcW w:w="764" w:type="pct"/>
          </w:tcPr>
          <w:p>
            <w:pPr>
              <w:shd w:val="clear" w:color="auto" w:fill="FFFFFF"/>
              <w:spacing w:line="360" w:lineRule="exact"/>
              <w:contextualSpacing/>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000" w:type="pct"/>
            <w:gridSpan w:val="5"/>
          </w:tcPr>
          <w:p>
            <w:pPr>
              <w:shd w:val="clear" w:color="auto" w:fill="FFFFFF"/>
              <w:spacing w:line="360" w:lineRule="exact"/>
              <w:ind w:firstLine="480"/>
              <w:contextualSpacing/>
              <w:jc w:val="left"/>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注</w:t>
            </w:r>
            <w:r>
              <w:rPr>
                <w:rFonts w:ascii="仿宋" w:hAnsi="仿宋" w:eastAsia="仿宋" w:cs="仿宋"/>
                <w:kern w:val="0"/>
                <w:sz w:val="24"/>
                <w:szCs w:val="24"/>
                <w:shd w:val="clear" w:color="auto" w:fill="FFFFFF"/>
              </w:rPr>
              <w:t>：</w:t>
            </w:r>
            <w:r>
              <w:rPr>
                <w:rFonts w:hint="eastAsia" w:ascii="仿宋" w:hAnsi="仿宋" w:eastAsia="仿宋" w:cs="仿宋"/>
                <w:kern w:val="0"/>
                <w:sz w:val="24"/>
                <w:szCs w:val="24"/>
                <w:shd w:val="clear" w:color="auto" w:fill="FFFFFF"/>
              </w:rPr>
              <w:t>“</w:t>
            </w:r>
            <w:r>
              <w:rPr>
                <w:rFonts w:ascii="仿宋" w:hAnsi="仿宋" w:eastAsia="仿宋" w:cs="仿宋"/>
                <w:kern w:val="0"/>
                <w:sz w:val="24"/>
                <w:szCs w:val="24"/>
                <w:shd w:val="clear" w:color="auto" w:fill="FFFFFF"/>
              </w:rPr>
              <w:t>[]</w:t>
            </w:r>
            <w:r>
              <w:rPr>
                <w:rFonts w:hint="eastAsia" w:ascii="仿宋" w:hAnsi="仿宋" w:eastAsia="仿宋" w:cs="仿宋"/>
                <w:kern w:val="0"/>
                <w:sz w:val="24"/>
                <w:szCs w:val="24"/>
                <w:shd w:val="clear" w:color="auto" w:fill="FFFFFF"/>
              </w:rPr>
              <w:t>”内</w:t>
            </w:r>
            <w:r>
              <w:rPr>
                <w:rFonts w:ascii="仿宋" w:hAnsi="仿宋" w:eastAsia="仿宋" w:cs="仿宋"/>
                <w:kern w:val="0"/>
                <w:sz w:val="24"/>
                <w:szCs w:val="24"/>
                <w:shd w:val="clear" w:color="auto" w:fill="FFFFFF"/>
              </w:rPr>
              <w:t>为累计数</w:t>
            </w:r>
            <w:r>
              <w:rPr>
                <w:rFonts w:hint="eastAsia" w:ascii="仿宋" w:hAnsi="仿宋" w:eastAsia="仿宋" w:cs="仿宋"/>
                <w:kern w:val="0"/>
                <w:sz w:val="24"/>
                <w:szCs w:val="24"/>
                <w:shd w:val="clear" w:color="auto" w:fill="FFFFFF"/>
              </w:rPr>
              <w:t>据</w:t>
            </w:r>
          </w:p>
        </w:tc>
      </w:tr>
    </w:tbl>
    <w:p>
      <w:pPr>
        <w:shd w:val="clear" w:color="auto" w:fill="FFFFFF"/>
        <w:spacing w:line="560" w:lineRule="exact"/>
        <w:contextualSpacing/>
        <w:jc w:val="center"/>
        <w:textAlignment w:val="top"/>
        <w:outlineLvl w:val="0"/>
        <w:rPr>
          <w:rStyle w:val="29"/>
          <w:rFonts w:ascii="黑体" w:hAnsi="黑体" w:eastAsia="黑体" w:cs="Meiryo"/>
          <w:b w:val="0"/>
        </w:rPr>
      </w:pPr>
      <w:bookmarkStart w:id="936" w:name="_Toc30500"/>
      <w:bookmarkStart w:id="937" w:name="_Toc519"/>
      <w:bookmarkStart w:id="938" w:name="_Toc98162639"/>
      <w:bookmarkStart w:id="939" w:name="_Toc98086677"/>
      <w:r>
        <w:rPr>
          <w:rStyle w:val="29"/>
          <w:rFonts w:hint="eastAsia" w:ascii="黑体" w:hAnsi="黑体" w:eastAsia="黑体" w:cs="Meiryo"/>
          <w:b w:val="0"/>
        </w:rPr>
        <w:t>第</w:t>
      </w:r>
      <w:r>
        <w:rPr>
          <w:rStyle w:val="29"/>
          <w:rFonts w:ascii="黑体" w:hAnsi="黑体" w:eastAsia="黑体" w:cs="Meiryo"/>
          <w:b w:val="0"/>
        </w:rPr>
        <w:t>三</w:t>
      </w:r>
      <w:r>
        <w:rPr>
          <w:rStyle w:val="29"/>
          <w:rFonts w:hint="eastAsia" w:ascii="黑体" w:hAnsi="黑体" w:eastAsia="黑体" w:cs="Meiryo"/>
          <w:b w:val="0"/>
        </w:rPr>
        <w:t>章</w:t>
      </w:r>
      <w:r>
        <w:rPr>
          <w:rStyle w:val="29"/>
          <w:rFonts w:ascii="黑体" w:hAnsi="黑体" w:eastAsia="黑体" w:cs="Meiryo"/>
          <w:b w:val="0"/>
        </w:rPr>
        <w:t xml:space="preserve"> </w:t>
      </w:r>
      <w:r>
        <w:rPr>
          <w:rStyle w:val="29"/>
          <w:rFonts w:hint="eastAsia" w:ascii="黑体" w:hAnsi="黑体" w:eastAsia="黑体" w:cs="Meiryo"/>
          <w:b w:val="0"/>
        </w:rPr>
        <w:t>构建城镇化空间发</w:t>
      </w:r>
      <w:r>
        <w:rPr>
          <w:rStyle w:val="29"/>
          <w:rFonts w:ascii="黑体" w:hAnsi="黑体" w:eastAsia="黑体" w:cs="Meiryo"/>
          <w:b w:val="0"/>
        </w:rPr>
        <w:t>展新格局</w:t>
      </w:r>
      <w:bookmarkEnd w:id="936"/>
      <w:bookmarkEnd w:id="937"/>
    </w:p>
    <w:p>
      <w:pPr>
        <w:pStyle w:val="24"/>
        <w:shd w:val="clear" w:color="auto" w:fill="FFFFFF"/>
        <w:spacing w:beforeAutospacing="0" w:afterAutospacing="0" w:line="560" w:lineRule="exact"/>
        <w:ind w:firstLine="640" w:firstLineChars="200"/>
        <w:contextualSpacing/>
        <w:jc w:val="both"/>
        <w:textAlignment w:val="top"/>
        <w:rPr>
          <w:rFonts w:ascii="Times New Roman" w:hAnsi="Times New Roman" w:eastAsia="仿宋" w:cs="Arial"/>
          <w:sz w:val="32"/>
        </w:rPr>
      </w:pPr>
      <w:r>
        <w:rPr>
          <w:rFonts w:hint="eastAsia" w:ascii="Times New Roman" w:hAnsi="Times New Roman" w:eastAsia="仿宋" w:cs="Arial"/>
          <w:sz w:val="32"/>
        </w:rPr>
        <w:t>立足省域副中心城市建设新定位，统筹区域协调发展，突出“核心带动、县域支撑、城乡融合”，打</w:t>
      </w:r>
      <w:r>
        <w:rPr>
          <w:rFonts w:ascii="Times New Roman" w:hAnsi="Times New Roman" w:eastAsia="仿宋" w:cs="Arial"/>
          <w:sz w:val="32"/>
        </w:rPr>
        <w:t>造</w:t>
      </w:r>
      <w:r>
        <w:rPr>
          <w:rFonts w:hint="eastAsia" w:ascii="Times New Roman" w:hAnsi="Times New Roman" w:eastAsia="仿宋" w:cs="Arial"/>
          <w:sz w:val="32"/>
        </w:rPr>
        <w:t>南阳市中心城区都</w:t>
      </w:r>
      <w:r>
        <w:rPr>
          <w:rFonts w:ascii="Times New Roman" w:hAnsi="Times New Roman" w:eastAsia="仿宋" w:cs="Arial"/>
          <w:sz w:val="32"/>
        </w:rPr>
        <w:t>市区，强化</w:t>
      </w:r>
      <w:r>
        <w:rPr>
          <w:rFonts w:hint="eastAsia" w:ascii="Times New Roman" w:hAnsi="Times New Roman" w:eastAsia="仿宋" w:cs="Arial"/>
          <w:sz w:val="32"/>
        </w:rPr>
        <w:t>“龙头”引领，支持邓州市、方城县</w:t>
      </w:r>
      <w:r>
        <w:rPr>
          <w:rFonts w:ascii="Times New Roman" w:hAnsi="Times New Roman" w:eastAsia="仿宋" w:cs="Arial"/>
          <w:sz w:val="32"/>
        </w:rPr>
        <w:t>建设</w:t>
      </w:r>
      <w:r>
        <w:rPr>
          <w:rFonts w:hint="eastAsia" w:ascii="Times New Roman" w:hAnsi="Times New Roman" w:eastAsia="仿宋" w:cs="Arial"/>
          <w:sz w:val="32"/>
        </w:rPr>
        <w:t>市域副中心城市，</w:t>
      </w:r>
      <w:r>
        <w:rPr>
          <w:rFonts w:ascii="Times New Roman" w:hAnsi="Times New Roman" w:eastAsia="仿宋" w:cs="Arial"/>
          <w:sz w:val="32"/>
        </w:rPr>
        <w:t>打造中心城区</w:t>
      </w:r>
      <w:r>
        <w:rPr>
          <w:rFonts w:hint="eastAsia" w:ascii="Times New Roman" w:hAnsi="Times New Roman" w:eastAsia="仿宋" w:cs="Arial"/>
          <w:sz w:val="32"/>
        </w:rPr>
        <w:t>与</w:t>
      </w:r>
      <w:r>
        <w:rPr>
          <w:rFonts w:ascii="Times New Roman" w:hAnsi="Times New Roman" w:eastAsia="仿宋" w:cs="Arial"/>
          <w:sz w:val="32"/>
        </w:rPr>
        <w:t>官庄、鸭河、镇平、社旗、唐河一体化发展圈</w:t>
      </w:r>
      <w:r>
        <w:rPr>
          <w:rFonts w:hint="eastAsia" w:ascii="Times New Roman" w:hAnsi="Times New Roman" w:eastAsia="仿宋" w:cs="Arial"/>
          <w:sz w:val="32"/>
        </w:rPr>
        <w:t>，构建方城</w:t>
      </w:r>
      <w:r>
        <w:rPr>
          <w:rFonts w:ascii="Times New Roman" w:hAnsi="Times New Roman" w:eastAsia="仿宋" w:cs="Arial"/>
          <w:sz w:val="32"/>
        </w:rPr>
        <w:t>、南召、内乡、新野紧密协作</w:t>
      </w:r>
      <w:r>
        <w:rPr>
          <w:rFonts w:hint="eastAsia" w:ascii="Times New Roman" w:hAnsi="Times New Roman" w:eastAsia="仿宋" w:cs="Arial"/>
          <w:sz w:val="32"/>
        </w:rPr>
        <w:t>圈，培育</w:t>
      </w:r>
      <w:r>
        <w:rPr>
          <w:rFonts w:ascii="Times New Roman" w:hAnsi="Times New Roman" w:eastAsia="仿宋" w:cs="Arial"/>
          <w:sz w:val="32"/>
        </w:rPr>
        <w:t>西峡</w:t>
      </w:r>
      <w:r>
        <w:rPr>
          <w:rFonts w:hint="eastAsia" w:ascii="Times New Roman" w:hAnsi="Times New Roman" w:eastAsia="仿宋" w:cs="Arial"/>
          <w:sz w:val="32"/>
        </w:rPr>
        <w:t>-淅</w:t>
      </w:r>
      <w:r>
        <w:rPr>
          <w:rFonts w:ascii="Times New Roman" w:hAnsi="Times New Roman" w:eastAsia="仿宋" w:cs="Arial"/>
          <w:sz w:val="32"/>
        </w:rPr>
        <w:t>川和桐柏县两大绿色发展增长极</w:t>
      </w:r>
      <w:r>
        <w:rPr>
          <w:rFonts w:hint="eastAsia" w:ascii="Times New Roman" w:hAnsi="Times New Roman" w:eastAsia="仿宋" w:cs="Arial"/>
          <w:sz w:val="32"/>
        </w:rPr>
        <w:t>，加快形成“一主两副、一圈两翼”的发展格局。</w:t>
      </w:r>
    </w:p>
    <w:p>
      <w:pPr>
        <w:pStyle w:val="7"/>
        <w:spacing w:line="560" w:lineRule="exact"/>
        <w:contextualSpacing/>
        <w:jc w:val="center"/>
        <w:rPr>
          <w:rStyle w:val="29"/>
          <w:rFonts w:ascii="楷体" w:hAnsi="楷体" w:eastAsia="楷体" w:cstheme="minorBidi"/>
          <w:b w:val="0"/>
        </w:rPr>
      </w:pPr>
      <w:bookmarkStart w:id="940" w:name="_Toc10652"/>
      <w:bookmarkStart w:id="941" w:name="_Toc2045"/>
      <w:bookmarkStart w:id="942" w:name="_Toc98086654"/>
      <w:bookmarkStart w:id="943" w:name="_Toc98162616"/>
      <w:bookmarkStart w:id="944" w:name="_Toc17810"/>
      <w:r>
        <w:rPr>
          <w:rStyle w:val="29"/>
          <w:rFonts w:hint="eastAsia" w:ascii="楷体" w:hAnsi="楷体" w:eastAsia="楷体" w:cstheme="minorBidi"/>
          <w:b w:val="0"/>
        </w:rPr>
        <w:t>第一节 优化国土空间开发保护格局</w:t>
      </w:r>
      <w:bookmarkEnd w:id="940"/>
      <w:bookmarkEnd w:id="941"/>
      <w:bookmarkEnd w:id="942"/>
      <w:bookmarkEnd w:id="943"/>
      <w:bookmarkEnd w:id="944"/>
    </w:p>
    <w:p>
      <w:pPr>
        <w:pStyle w:val="24"/>
        <w:shd w:val="clear" w:color="auto" w:fill="FFFFFF"/>
        <w:spacing w:beforeAutospacing="0" w:afterAutospacing="0" w:line="560" w:lineRule="exact"/>
        <w:ind w:firstLine="640" w:firstLineChars="200"/>
        <w:contextualSpacing/>
        <w:jc w:val="both"/>
        <w:textAlignment w:val="top"/>
        <w:rPr>
          <w:rFonts w:ascii="Times New Roman" w:hAnsi="Times New Roman" w:eastAsia="仿宋" w:cs="Arial"/>
          <w:sz w:val="32"/>
        </w:rPr>
      </w:pPr>
      <w:r>
        <w:rPr>
          <w:rFonts w:hint="eastAsia" w:ascii="仿宋" w:hAnsi="仿宋" w:eastAsia="仿宋" w:cs="Arial"/>
          <w:sz w:val="32"/>
        </w:rPr>
        <w:t>1.</w:t>
      </w:r>
      <w:r>
        <w:rPr>
          <w:rFonts w:hint="eastAsia" w:ascii="Times New Roman" w:hAnsi="Times New Roman" w:eastAsia="仿宋" w:cs="Arial"/>
          <w:sz w:val="32"/>
        </w:rPr>
        <w:t>落实主体功能区战略。综合考虑人口分布、经济布局、国土利用、生态环境保护等因素，合理布局生产空间、生活空间、生态空间，科学划定生态保护红线、永久基本农田、城镇开发边界“三条控制线”，确保国家粮食生产核心区战略需求，构筑可持续发展的生态屏障，引导城镇空间布局与开发强度、发展需求相适应，有序推进人口流动和产业布局，促进节约集约发展，为现代化城市建设和产业发展留好空间。</w:t>
      </w:r>
    </w:p>
    <w:p>
      <w:pPr>
        <w:shd w:val="clear" w:color="auto" w:fill="FFFFFF"/>
        <w:spacing w:line="560" w:lineRule="exact"/>
        <w:ind w:firstLine="640" w:firstLineChars="200"/>
        <w:contextualSpacing/>
        <w:textAlignment w:val="top"/>
        <w:rPr>
          <w:rFonts w:ascii="Times New Roman" w:hAnsi="Times New Roman" w:eastAsia="楷体"/>
        </w:rPr>
      </w:pPr>
      <w:r>
        <w:rPr>
          <w:rFonts w:hint="eastAsia" w:ascii="仿宋" w:hAnsi="仿宋" w:eastAsia="仿宋" w:cs="Arial"/>
          <w:kern w:val="0"/>
        </w:rPr>
        <w:t>2.</w:t>
      </w:r>
      <w:r>
        <w:rPr>
          <w:rFonts w:hint="eastAsia" w:ascii="Times New Roman" w:hAnsi="Times New Roman" w:eastAsia="仿宋" w:cs="Arial"/>
          <w:kern w:val="0"/>
        </w:rPr>
        <w:t>完善现代城镇体系。坚持中心城区和县域城市统筹发展，依托区位交通、产业基础、发展潜力等资源</w:t>
      </w:r>
      <w:r>
        <w:rPr>
          <w:rFonts w:ascii="Times New Roman" w:hAnsi="Times New Roman" w:eastAsia="仿宋" w:cs="Arial"/>
          <w:kern w:val="0"/>
        </w:rPr>
        <w:t>禀赋</w:t>
      </w:r>
      <w:r>
        <w:rPr>
          <w:rFonts w:hint="eastAsia" w:ascii="Times New Roman" w:hAnsi="Times New Roman" w:eastAsia="仿宋" w:cs="Arial"/>
          <w:kern w:val="0"/>
        </w:rPr>
        <w:t>，科学定位城</w:t>
      </w:r>
      <w:r>
        <w:rPr>
          <w:rFonts w:ascii="Times New Roman" w:hAnsi="Times New Roman" w:eastAsia="仿宋" w:cs="Arial"/>
          <w:kern w:val="0"/>
        </w:rPr>
        <w:t>市发展</w:t>
      </w:r>
      <w:r>
        <w:rPr>
          <w:rFonts w:hint="eastAsia" w:ascii="Times New Roman" w:hAnsi="Times New Roman" w:eastAsia="仿宋" w:cs="Arial"/>
          <w:kern w:val="0"/>
        </w:rPr>
        <w:t>功能，提高城</w:t>
      </w:r>
      <w:r>
        <w:rPr>
          <w:rFonts w:ascii="Times New Roman" w:hAnsi="Times New Roman" w:eastAsia="仿宋" w:cs="Arial"/>
          <w:kern w:val="0"/>
        </w:rPr>
        <w:t>市要</w:t>
      </w:r>
      <w:r>
        <w:rPr>
          <w:rFonts w:hint="eastAsia" w:ascii="Times New Roman" w:hAnsi="Times New Roman" w:eastAsia="仿宋" w:cs="Arial"/>
          <w:kern w:val="0"/>
        </w:rPr>
        <w:t>素集聚能力和综合承载能力。</w:t>
      </w:r>
      <w:r>
        <w:rPr>
          <w:rFonts w:ascii="Times New Roman" w:hAnsi="Times New Roman" w:eastAsia="仿宋" w:cs="Arial"/>
          <w:kern w:val="0"/>
        </w:rPr>
        <w:t>按照</w:t>
      </w:r>
      <w:r>
        <w:rPr>
          <w:rFonts w:hint="eastAsia" w:ascii="Times New Roman" w:hAnsi="Times New Roman" w:eastAsia="仿宋" w:cs="Arial"/>
          <w:kern w:val="0"/>
        </w:rPr>
        <w:t>“</w:t>
      </w:r>
      <w:r>
        <w:rPr>
          <w:rFonts w:ascii="Times New Roman" w:hAnsi="Times New Roman" w:eastAsia="仿宋" w:cs="Arial"/>
          <w:kern w:val="0"/>
        </w:rPr>
        <w:t>精筑城、广聚人、强功能、兴产业</w:t>
      </w:r>
      <w:r>
        <w:rPr>
          <w:rFonts w:hint="eastAsia" w:ascii="Times New Roman" w:hAnsi="Times New Roman" w:eastAsia="仿宋" w:cs="Arial"/>
          <w:kern w:val="0"/>
        </w:rPr>
        <w:t>”</w:t>
      </w:r>
      <w:r>
        <w:rPr>
          <w:rFonts w:ascii="Times New Roman" w:hAnsi="Times New Roman" w:eastAsia="仿宋" w:cs="Arial"/>
          <w:kern w:val="0"/>
        </w:rPr>
        <w:t>原则，以中心城区</w:t>
      </w:r>
      <w:r>
        <w:rPr>
          <w:rFonts w:hint="eastAsia" w:ascii="Times New Roman" w:hAnsi="Times New Roman" w:eastAsia="仿宋" w:cs="Arial"/>
          <w:kern w:val="0"/>
        </w:rPr>
        <w:t>“起高</w:t>
      </w:r>
      <w:r>
        <w:rPr>
          <w:rFonts w:ascii="Times New Roman" w:hAnsi="Times New Roman" w:eastAsia="仿宋" w:cs="Arial"/>
          <w:kern w:val="0"/>
        </w:rPr>
        <w:t>峰</w:t>
      </w:r>
      <w:r>
        <w:rPr>
          <w:rFonts w:hint="eastAsia" w:ascii="Times New Roman" w:hAnsi="Times New Roman" w:eastAsia="仿宋" w:cs="Arial"/>
          <w:kern w:val="0"/>
        </w:rPr>
        <w:t>”，</w:t>
      </w:r>
      <w:r>
        <w:rPr>
          <w:rFonts w:ascii="Times New Roman" w:hAnsi="Times New Roman" w:eastAsia="仿宋" w:cs="Arial"/>
          <w:kern w:val="0"/>
        </w:rPr>
        <w:t>带动县</w:t>
      </w:r>
      <w:r>
        <w:rPr>
          <w:rFonts w:hint="eastAsia" w:ascii="Times New Roman" w:hAnsi="Times New Roman" w:eastAsia="仿宋" w:cs="Arial"/>
          <w:kern w:val="0"/>
        </w:rPr>
        <w:t>域</w:t>
      </w:r>
      <w:r>
        <w:rPr>
          <w:rFonts w:ascii="Times New Roman" w:hAnsi="Times New Roman" w:eastAsia="仿宋" w:cs="Arial"/>
          <w:kern w:val="0"/>
        </w:rPr>
        <w:t>经</w:t>
      </w:r>
      <w:r>
        <w:rPr>
          <w:rFonts w:hint="eastAsia" w:ascii="Times New Roman" w:hAnsi="Times New Roman" w:eastAsia="仿宋" w:cs="Arial"/>
          <w:kern w:val="0"/>
        </w:rPr>
        <w:t>济“成高原”</w:t>
      </w:r>
      <w:r>
        <w:rPr>
          <w:rFonts w:ascii="Times New Roman" w:hAnsi="Times New Roman" w:eastAsia="仿宋" w:cs="Arial"/>
          <w:kern w:val="0"/>
        </w:rPr>
        <w:t>。</w:t>
      </w:r>
      <w:r>
        <w:rPr>
          <w:rFonts w:hint="eastAsia" w:ascii="Times New Roman" w:hAnsi="Times New Roman" w:eastAsia="仿宋" w:cs="Arial"/>
          <w:kern w:val="0"/>
        </w:rPr>
        <w:t>推进以县城为载体的新型城镇化建设，培育邓</w:t>
      </w:r>
      <w:r>
        <w:rPr>
          <w:rFonts w:ascii="Times New Roman" w:hAnsi="Times New Roman" w:eastAsia="仿宋" w:cs="Arial"/>
          <w:kern w:val="0"/>
        </w:rPr>
        <w:t>州市</w:t>
      </w:r>
      <w:r>
        <w:rPr>
          <w:rFonts w:hint="eastAsia" w:ascii="Times New Roman" w:hAnsi="Times New Roman" w:eastAsia="仿宋" w:cs="Arial"/>
          <w:kern w:val="0"/>
        </w:rPr>
        <w:t>发展成为中等城市，因地制宜推动小城镇特色化发展。着力推动不同城市错位互补、分工协作发展，加快形成以中原城市群为主体、大中小城市和小城镇协调发展的现代城镇体系。加</w:t>
      </w:r>
      <w:r>
        <w:rPr>
          <w:rFonts w:ascii="Times New Roman" w:hAnsi="Times New Roman" w:eastAsia="仿宋" w:cs="Arial"/>
          <w:kern w:val="0"/>
        </w:rPr>
        <w:t>快形成</w:t>
      </w:r>
      <w:r>
        <w:rPr>
          <w:rFonts w:hint="eastAsia" w:ascii="Times New Roman" w:hAnsi="Times New Roman" w:eastAsia="仿宋" w:cs="Arial"/>
          <w:kern w:val="0"/>
        </w:rPr>
        <w:t>“</w:t>
      </w:r>
      <w:r>
        <w:rPr>
          <w:rFonts w:ascii="Times New Roman" w:hAnsi="Times New Roman" w:eastAsia="仿宋" w:cs="Arial"/>
          <w:kern w:val="0"/>
        </w:rPr>
        <w:t>中心城</w:t>
      </w:r>
      <w:r>
        <w:rPr>
          <w:rFonts w:hint="eastAsia" w:ascii="Times New Roman" w:hAnsi="Times New Roman" w:eastAsia="仿宋" w:cs="Arial"/>
          <w:kern w:val="0"/>
        </w:rPr>
        <w:t>市-</w:t>
      </w:r>
      <w:r>
        <w:rPr>
          <w:rFonts w:ascii="Times New Roman" w:hAnsi="Times New Roman" w:eastAsia="仿宋" w:cs="Arial"/>
          <w:kern w:val="0"/>
        </w:rPr>
        <w:t>市域副中心城市</w:t>
      </w:r>
      <w:r>
        <w:rPr>
          <w:rFonts w:hint="eastAsia" w:ascii="Times New Roman" w:hAnsi="Times New Roman" w:eastAsia="仿宋" w:cs="Arial"/>
          <w:kern w:val="0"/>
        </w:rPr>
        <w:t>-</w:t>
      </w:r>
      <w:r>
        <w:rPr>
          <w:rFonts w:ascii="Times New Roman" w:hAnsi="Times New Roman" w:eastAsia="仿宋" w:cs="Arial"/>
          <w:kern w:val="0"/>
        </w:rPr>
        <w:t>县城-</w:t>
      </w:r>
      <w:r>
        <w:rPr>
          <w:rFonts w:hint="eastAsia" w:ascii="Times New Roman" w:hAnsi="Times New Roman" w:eastAsia="仿宋" w:cs="Arial"/>
          <w:kern w:val="0"/>
        </w:rPr>
        <w:t>小</w:t>
      </w:r>
      <w:r>
        <w:rPr>
          <w:rFonts w:ascii="Times New Roman" w:hAnsi="Times New Roman" w:eastAsia="仿宋" w:cs="Arial"/>
          <w:kern w:val="0"/>
        </w:rPr>
        <w:t>城镇</w:t>
      </w:r>
      <w:r>
        <w:rPr>
          <w:rFonts w:hint="eastAsia" w:ascii="Times New Roman" w:hAnsi="Times New Roman" w:eastAsia="仿宋" w:cs="Arial"/>
          <w:kern w:val="0"/>
        </w:rPr>
        <w:t>”协调</w:t>
      </w:r>
      <w:r>
        <w:rPr>
          <w:rFonts w:ascii="Times New Roman" w:hAnsi="Times New Roman" w:eastAsia="仿宋" w:cs="Arial"/>
          <w:kern w:val="0"/>
        </w:rPr>
        <w:t>发展的现代城镇等级体系。</w:t>
      </w:r>
      <w:bookmarkStart w:id="945" w:name="_Toc2119"/>
      <w:bookmarkStart w:id="946" w:name="_Toc98162617"/>
      <w:bookmarkStart w:id="947" w:name="_Toc98086655"/>
    </w:p>
    <w:p>
      <w:pPr>
        <w:pStyle w:val="7"/>
        <w:spacing w:line="560" w:lineRule="exact"/>
        <w:contextualSpacing/>
        <w:jc w:val="center"/>
        <w:rPr>
          <w:rStyle w:val="29"/>
          <w:rFonts w:ascii="楷体" w:hAnsi="楷体" w:eastAsia="楷体" w:cstheme="minorBidi"/>
          <w:b w:val="0"/>
        </w:rPr>
      </w:pPr>
      <w:bookmarkStart w:id="948" w:name="_Toc7480"/>
      <w:bookmarkStart w:id="949" w:name="_Toc8114"/>
      <w:r>
        <w:rPr>
          <w:rStyle w:val="29"/>
          <w:rFonts w:hint="eastAsia" w:ascii="楷体" w:hAnsi="楷体" w:eastAsia="楷体" w:cstheme="minorBidi"/>
          <w:b w:val="0"/>
        </w:rPr>
        <w:t>第二节 提升中心城区规模能级</w:t>
      </w:r>
      <w:bookmarkEnd w:id="945"/>
      <w:bookmarkEnd w:id="946"/>
      <w:bookmarkEnd w:id="947"/>
      <w:bookmarkEnd w:id="948"/>
      <w:bookmarkEnd w:id="949"/>
    </w:p>
    <w:p>
      <w:pPr>
        <w:shd w:val="clear" w:color="auto" w:fill="FFFFFF"/>
        <w:spacing w:line="560" w:lineRule="exact"/>
        <w:ind w:firstLine="640" w:firstLineChars="200"/>
        <w:contextualSpacing/>
        <w:textAlignment w:val="top"/>
        <w:rPr>
          <w:rFonts w:ascii="Times New Roman" w:hAnsi="Times New Roman" w:eastAsia="仿宋" w:cs="Arial"/>
          <w:kern w:val="0"/>
        </w:rPr>
      </w:pPr>
      <w:r>
        <w:rPr>
          <w:rFonts w:hint="eastAsia" w:ascii="仿宋" w:hAnsi="仿宋" w:eastAsia="仿宋" w:cs="Arial"/>
          <w:kern w:val="0"/>
        </w:rPr>
        <w:t>1.</w:t>
      </w:r>
      <w:r>
        <w:rPr>
          <w:rFonts w:hint="eastAsia" w:ascii="Times New Roman" w:hAnsi="Times New Roman" w:eastAsia="仿宋" w:cs="Arial"/>
          <w:kern w:val="0"/>
        </w:rPr>
        <w:t>拓展</w:t>
      </w:r>
      <w:r>
        <w:rPr>
          <w:rFonts w:ascii="Times New Roman" w:hAnsi="Times New Roman" w:eastAsia="仿宋" w:cs="Arial"/>
          <w:kern w:val="0"/>
        </w:rPr>
        <w:t>城市空间。</w:t>
      </w:r>
      <w:r>
        <w:rPr>
          <w:rFonts w:hint="eastAsia" w:ascii="Times New Roman" w:hAnsi="Times New Roman" w:eastAsia="仿宋" w:cs="Arial"/>
          <w:kern w:val="0"/>
        </w:rPr>
        <w:t>按照“十四五”末</w:t>
      </w:r>
      <w:r>
        <w:rPr>
          <w:rFonts w:ascii="Times New Roman" w:hAnsi="Times New Roman" w:eastAsia="仿宋" w:cs="Arial"/>
          <w:kern w:val="0"/>
        </w:rPr>
        <w:t>300万人口、2035年近500万人口的中心城区发展需求，坚持</w:t>
      </w:r>
      <w:r>
        <w:rPr>
          <w:rFonts w:ascii="仿宋" w:hAnsi="仿宋" w:eastAsia="仿宋" w:cs="Arial"/>
          <w:kern w:val="0"/>
        </w:rPr>
        <w:t>“</w:t>
      </w:r>
      <w:r>
        <w:rPr>
          <w:rFonts w:ascii="Times New Roman" w:hAnsi="Times New Roman" w:eastAsia="仿宋" w:cs="Arial"/>
          <w:kern w:val="0"/>
        </w:rPr>
        <w:t>前瞻30年、编细15年、做实近5年</w:t>
      </w:r>
      <w:r>
        <w:rPr>
          <w:rFonts w:ascii="仿宋" w:hAnsi="仿宋" w:eastAsia="仿宋" w:cs="Arial"/>
          <w:kern w:val="0"/>
        </w:rPr>
        <w:t>”</w:t>
      </w:r>
      <w:r>
        <w:rPr>
          <w:rFonts w:ascii="Times New Roman" w:hAnsi="Times New Roman" w:eastAsia="仿宋" w:cs="Arial"/>
          <w:kern w:val="0"/>
        </w:rPr>
        <w:t>的思路，聚焦国际化、现代化、产业化的城市发展理念，做好国土空间规划编制</w:t>
      </w:r>
      <w:r>
        <w:rPr>
          <w:rFonts w:hint="eastAsia" w:ascii="Times New Roman" w:hAnsi="Times New Roman" w:eastAsia="仿宋" w:cs="Arial"/>
          <w:kern w:val="0"/>
        </w:rPr>
        <w:t>，</w:t>
      </w:r>
      <w:r>
        <w:rPr>
          <w:rFonts w:ascii="Times New Roman" w:hAnsi="Times New Roman" w:eastAsia="仿宋" w:cs="Arial"/>
          <w:kern w:val="0"/>
        </w:rPr>
        <w:t>扩大中心城区发展空间，优化空间结构和功能布局。推进镇平、社旗、唐河、鸭河工区、官庄工区城区化管理，增强中心城区资源承载和优化配置能力，尽快提升中心城区规模能级</w:t>
      </w:r>
      <w:r>
        <w:rPr>
          <w:rFonts w:hint="eastAsia" w:ascii="Times New Roman" w:hAnsi="Times New Roman" w:eastAsia="仿宋" w:cs="Arial"/>
          <w:kern w:val="0"/>
        </w:rPr>
        <w:t>，加快推进撤乡设镇、撤镇（乡）设街道。</w:t>
      </w:r>
    </w:p>
    <w:p>
      <w:pPr>
        <w:shd w:val="clear" w:color="auto" w:fill="FFFFFF"/>
        <w:spacing w:line="560" w:lineRule="exact"/>
        <w:ind w:firstLine="640" w:firstLineChars="200"/>
        <w:contextualSpacing/>
        <w:textAlignment w:val="top"/>
        <w:rPr>
          <w:rFonts w:ascii="Times New Roman" w:hAnsi="Times New Roman" w:eastAsia="仿宋" w:cs="Arial"/>
          <w:kern w:val="0"/>
        </w:rPr>
      </w:pPr>
      <w:r>
        <w:rPr>
          <w:rFonts w:hint="eastAsia" w:ascii="仿宋" w:hAnsi="仿宋" w:eastAsia="仿宋" w:cs="Arial"/>
          <w:kern w:val="0"/>
        </w:rPr>
        <w:t>2.</w:t>
      </w:r>
      <w:r>
        <w:rPr>
          <w:rFonts w:hint="eastAsia" w:ascii="Times New Roman" w:hAnsi="Times New Roman" w:eastAsia="仿宋" w:cs="Arial"/>
          <w:kern w:val="0"/>
        </w:rPr>
        <w:t>做</w:t>
      </w:r>
      <w:r>
        <w:rPr>
          <w:rFonts w:ascii="Times New Roman" w:hAnsi="Times New Roman" w:eastAsia="仿宋" w:cs="Arial"/>
          <w:kern w:val="0"/>
        </w:rPr>
        <w:t>强城市经济。</w:t>
      </w:r>
      <w:r>
        <w:rPr>
          <w:rFonts w:hint="eastAsia" w:ascii="Times New Roman" w:hAnsi="Times New Roman" w:eastAsia="仿宋" w:cs="Arial"/>
          <w:kern w:val="0"/>
        </w:rPr>
        <w:t>立足中</w:t>
      </w:r>
      <w:r>
        <w:rPr>
          <w:rFonts w:ascii="Times New Roman" w:hAnsi="Times New Roman" w:eastAsia="仿宋" w:cs="Arial"/>
          <w:kern w:val="0"/>
        </w:rPr>
        <w:t>心城区</w:t>
      </w:r>
      <w:r>
        <w:rPr>
          <w:rFonts w:hint="eastAsia" w:ascii="Times New Roman" w:hAnsi="Times New Roman" w:eastAsia="仿宋" w:cs="Arial"/>
          <w:kern w:val="0"/>
        </w:rPr>
        <w:t>产业发展基础，加快推动先进制造业和现代服务业齐头并进、提速发展。中心城区先进制造业开发区围绕电子信息、高端装备、生物产业等开展延链、补链、强链行动，推动产业集群发展。规划建设1</w:t>
      </w:r>
      <w:r>
        <w:rPr>
          <w:rFonts w:ascii="Times New Roman" w:hAnsi="Times New Roman" w:eastAsia="仿宋" w:cs="Arial"/>
          <w:kern w:val="0"/>
        </w:rPr>
        <w:t>00</w:t>
      </w:r>
      <w:r>
        <w:rPr>
          <w:rFonts w:hint="eastAsia" w:ascii="仿宋_GB2312" w:hAnsi="仿宋_GB2312" w:cs="仿宋_GB2312"/>
          <w:kern w:val="0"/>
        </w:rPr>
        <w:t>～</w:t>
      </w:r>
      <w:r>
        <w:rPr>
          <w:rFonts w:hint="eastAsia" w:ascii="Times New Roman" w:hAnsi="Times New Roman" w:eastAsia="仿宋" w:cs="Arial"/>
          <w:kern w:val="0"/>
        </w:rPr>
        <w:t>2</w:t>
      </w:r>
      <w:r>
        <w:rPr>
          <w:rFonts w:ascii="Times New Roman" w:hAnsi="Times New Roman" w:eastAsia="仿宋" w:cs="Arial"/>
          <w:kern w:val="0"/>
        </w:rPr>
        <w:t>00平方公里先进制造业开发区。大力发展现代金融、现代物流、总部经济、商务服务等生产性服务业，推进制造业与生产性服务业融合发展。稳步提升商贸服务、文化旅游、健康养老服务品质，激发内需潜力。统筹人口增长、产业发展、基础设施和公共服务</w:t>
      </w:r>
      <w:r>
        <w:rPr>
          <w:rFonts w:hint="eastAsia" w:ascii="Times New Roman" w:hAnsi="Times New Roman" w:eastAsia="仿宋" w:cs="Arial"/>
          <w:kern w:val="0"/>
        </w:rPr>
        <w:t>配套供给，增强中心城区承载力、吸引力、凝聚力、竞争力。到</w:t>
      </w:r>
      <w:r>
        <w:rPr>
          <w:rFonts w:ascii="Times New Roman" w:hAnsi="Times New Roman" w:eastAsia="仿宋" w:cs="Arial"/>
          <w:kern w:val="0"/>
        </w:rPr>
        <w:t>2025年，中心城区经济首位度达到35</w:t>
      </w:r>
      <w:r>
        <w:rPr>
          <w:rFonts w:hint="eastAsia" w:ascii="Times New Roman" w:hAnsi="Times New Roman" w:eastAsia="仿宋" w:cs="Arial"/>
          <w:kern w:val="0"/>
        </w:rPr>
        <w:t>%</w:t>
      </w:r>
      <w:r>
        <w:rPr>
          <w:rFonts w:ascii="Times New Roman" w:hAnsi="Times New Roman" w:eastAsia="仿宋" w:cs="Arial"/>
          <w:kern w:val="0"/>
        </w:rPr>
        <w:t>，经济总量突破2100亿元。</w:t>
      </w:r>
    </w:p>
    <w:p>
      <w:pPr>
        <w:shd w:val="clear" w:color="auto" w:fill="FFFFFF"/>
        <w:spacing w:line="560" w:lineRule="exact"/>
        <w:ind w:firstLine="640" w:firstLineChars="200"/>
        <w:contextualSpacing/>
        <w:textAlignment w:val="top"/>
        <w:rPr>
          <w:rStyle w:val="29"/>
          <w:rFonts w:ascii="楷体" w:hAnsi="楷体" w:eastAsia="楷体"/>
          <w:b w:val="0"/>
          <w:bCs w:val="0"/>
        </w:rPr>
      </w:pPr>
      <w:r>
        <w:rPr>
          <w:rFonts w:hint="eastAsia" w:ascii="仿宋" w:hAnsi="仿宋" w:eastAsia="仿宋" w:cs="Arial"/>
          <w:kern w:val="0"/>
        </w:rPr>
        <w:t>3.</w:t>
      </w:r>
      <w:r>
        <w:rPr>
          <w:rFonts w:hint="eastAsia" w:ascii="Times New Roman" w:hAnsi="Times New Roman" w:eastAsia="仿宋" w:cs="Arial"/>
          <w:kern w:val="0"/>
        </w:rPr>
        <w:t>完善</w:t>
      </w:r>
      <w:r>
        <w:rPr>
          <w:rFonts w:ascii="Times New Roman" w:hAnsi="Times New Roman" w:eastAsia="仿宋" w:cs="Arial"/>
          <w:kern w:val="0"/>
        </w:rPr>
        <w:t>城市功能。</w:t>
      </w:r>
      <w:r>
        <w:rPr>
          <w:rFonts w:hint="eastAsia" w:ascii="Times New Roman" w:hAnsi="Times New Roman" w:eastAsia="仿宋" w:cs="Arial"/>
          <w:kern w:val="0"/>
        </w:rPr>
        <w:t>坚持</w:t>
      </w:r>
      <w:r>
        <w:rPr>
          <w:rFonts w:ascii="Times New Roman" w:hAnsi="Times New Roman" w:eastAsia="仿宋" w:cs="Arial"/>
          <w:kern w:val="0"/>
        </w:rPr>
        <w:t>以</w:t>
      </w:r>
      <w:r>
        <w:rPr>
          <w:rFonts w:hint="eastAsia" w:ascii="Times New Roman" w:hAnsi="Times New Roman" w:eastAsia="仿宋" w:cs="Arial"/>
          <w:kern w:val="0"/>
        </w:rPr>
        <w:t>打造</w:t>
      </w:r>
      <w:r>
        <w:rPr>
          <w:rFonts w:ascii="Times New Roman" w:hAnsi="Times New Roman" w:eastAsia="仿宋" w:cs="Arial"/>
          <w:kern w:val="0"/>
        </w:rPr>
        <w:t>宜居、韧性、智能的</w:t>
      </w:r>
      <w:r>
        <w:rPr>
          <w:rFonts w:hint="eastAsia" w:ascii="Times New Roman" w:hAnsi="Times New Roman" w:eastAsia="仿宋" w:cs="Arial"/>
          <w:kern w:val="0"/>
        </w:rPr>
        <w:t>现代</w:t>
      </w:r>
      <w:r>
        <w:rPr>
          <w:rFonts w:ascii="Times New Roman" w:hAnsi="Times New Roman" w:eastAsia="仿宋" w:cs="Arial"/>
          <w:kern w:val="0"/>
        </w:rPr>
        <w:t>化城市</w:t>
      </w:r>
      <w:r>
        <w:rPr>
          <w:rFonts w:hint="eastAsia" w:ascii="Times New Roman" w:hAnsi="Times New Roman" w:eastAsia="仿宋" w:cs="Arial"/>
          <w:kern w:val="0"/>
        </w:rPr>
        <w:t>为</w:t>
      </w:r>
      <w:r>
        <w:rPr>
          <w:rFonts w:ascii="Times New Roman" w:hAnsi="Times New Roman" w:eastAsia="仿宋" w:cs="Arial"/>
          <w:kern w:val="0"/>
        </w:rPr>
        <w:t>目标</w:t>
      </w:r>
      <w:r>
        <w:rPr>
          <w:rFonts w:hint="eastAsia" w:ascii="Times New Roman" w:hAnsi="Times New Roman" w:eastAsia="仿宋" w:cs="Arial"/>
          <w:kern w:val="0"/>
        </w:rPr>
        <w:t>，</w:t>
      </w:r>
      <w:r>
        <w:rPr>
          <w:rFonts w:ascii="Times New Roman" w:hAnsi="Times New Roman" w:eastAsia="仿宋" w:cs="Arial"/>
          <w:kern w:val="0"/>
        </w:rPr>
        <w:t>加强市</w:t>
      </w:r>
      <w:r>
        <w:rPr>
          <w:rFonts w:hint="eastAsia" w:ascii="Times New Roman" w:hAnsi="Times New Roman" w:eastAsia="仿宋" w:cs="Arial"/>
          <w:kern w:val="0"/>
        </w:rPr>
        <w:t>政</w:t>
      </w:r>
      <w:r>
        <w:rPr>
          <w:rFonts w:ascii="Times New Roman" w:hAnsi="Times New Roman" w:eastAsia="仿宋" w:cs="Arial"/>
          <w:kern w:val="0"/>
        </w:rPr>
        <w:t>道路交通体</w:t>
      </w:r>
      <w:r>
        <w:rPr>
          <w:rFonts w:hint="eastAsia" w:ascii="Times New Roman" w:hAnsi="Times New Roman" w:eastAsia="仿宋" w:cs="Arial"/>
          <w:kern w:val="0"/>
        </w:rPr>
        <w:t>系</w:t>
      </w:r>
      <w:r>
        <w:rPr>
          <w:rFonts w:ascii="Times New Roman" w:hAnsi="Times New Roman" w:eastAsia="仿宋" w:cs="Arial"/>
          <w:kern w:val="0"/>
        </w:rPr>
        <w:t>建设，提升城市供水、燃气、热力、污水处理、照明、通信、电力等基础设施供给能力</w:t>
      </w:r>
      <w:r>
        <w:rPr>
          <w:rFonts w:hint="eastAsia" w:ascii="Times New Roman" w:hAnsi="Times New Roman" w:eastAsia="仿宋" w:cs="Arial"/>
          <w:kern w:val="0"/>
        </w:rPr>
        <w:t>。加强</w:t>
      </w:r>
      <w:r>
        <w:rPr>
          <w:rFonts w:ascii="Times New Roman" w:hAnsi="Times New Roman" w:eastAsia="仿宋" w:cs="Arial"/>
          <w:kern w:val="0"/>
        </w:rPr>
        <w:t>城市医疗卫生、养老、教育、体育、文化等公共服务设施建设，满足人民群众多层次、多样化需</w:t>
      </w:r>
      <w:r>
        <w:rPr>
          <w:rFonts w:hint="eastAsia" w:ascii="Times New Roman" w:hAnsi="Times New Roman" w:eastAsia="仿宋" w:cs="Arial"/>
          <w:kern w:val="0"/>
        </w:rPr>
        <w:t>求。</w:t>
      </w:r>
      <w:r>
        <w:rPr>
          <w:rFonts w:ascii="Times New Roman" w:hAnsi="Times New Roman" w:eastAsia="仿宋" w:cs="Arial"/>
          <w:kern w:val="0"/>
        </w:rPr>
        <w:t>推进</w:t>
      </w:r>
      <w:r>
        <w:rPr>
          <w:rFonts w:hint="eastAsia" w:ascii="Times New Roman" w:hAnsi="Times New Roman" w:eastAsia="仿宋" w:cs="Arial"/>
          <w:kern w:val="0"/>
        </w:rPr>
        <w:t>城市</w:t>
      </w:r>
      <w:r>
        <w:rPr>
          <w:rFonts w:ascii="Times New Roman" w:hAnsi="Times New Roman" w:eastAsia="仿宋" w:cs="Arial"/>
          <w:kern w:val="0"/>
        </w:rPr>
        <w:t>更新建设</w:t>
      </w:r>
      <w:r>
        <w:rPr>
          <w:rFonts w:hint="eastAsia" w:ascii="Times New Roman" w:hAnsi="Times New Roman" w:eastAsia="仿宋" w:cs="Arial"/>
          <w:kern w:val="0"/>
        </w:rPr>
        <w:t>和</w:t>
      </w:r>
      <w:r>
        <w:rPr>
          <w:rFonts w:ascii="Times New Roman" w:hAnsi="Times New Roman" w:eastAsia="仿宋" w:cs="Arial"/>
          <w:kern w:val="0"/>
        </w:rPr>
        <w:t>城市治理</w:t>
      </w:r>
      <w:r>
        <w:rPr>
          <w:rFonts w:hint="eastAsia" w:ascii="Times New Roman" w:hAnsi="Times New Roman" w:eastAsia="仿宋" w:cs="Arial"/>
          <w:kern w:val="0"/>
        </w:rPr>
        <w:t>行动</w:t>
      </w:r>
      <w:r>
        <w:rPr>
          <w:rFonts w:ascii="Times New Roman" w:hAnsi="Times New Roman" w:eastAsia="仿宋" w:cs="Arial"/>
          <w:kern w:val="0"/>
        </w:rPr>
        <w:t>，</w:t>
      </w:r>
      <w:r>
        <w:rPr>
          <w:rFonts w:hint="eastAsia" w:ascii="Times New Roman" w:hAnsi="Times New Roman" w:eastAsia="仿宋" w:cs="Arial"/>
          <w:kern w:val="0"/>
        </w:rPr>
        <w:t>提升城</w:t>
      </w:r>
      <w:r>
        <w:rPr>
          <w:rFonts w:ascii="Times New Roman" w:hAnsi="Times New Roman" w:eastAsia="仿宋" w:cs="Arial"/>
          <w:kern w:val="0"/>
        </w:rPr>
        <w:t>市形象</w:t>
      </w:r>
      <w:r>
        <w:rPr>
          <w:rFonts w:hint="eastAsia" w:ascii="Times New Roman" w:hAnsi="Times New Roman" w:eastAsia="仿宋" w:cs="Arial"/>
          <w:kern w:val="0"/>
        </w:rPr>
        <w:t>。</w:t>
      </w:r>
      <w:r>
        <w:rPr>
          <w:rFonts w:ascii="Times New Roman" w:hAnsi="Times New Roman" w:eastAsia="仿宋" w:cs="Arial"/>
          <w:kern w:val="0"/>
        </w:rPr>
        <w:t>加快构建多主体供给、</w:t>
      </w:r>
      <w:r>
        <w:rPr>
          <w:rFonts w:hint="eastAsia" w:ascii="Times New Roman" w:hAnsi="Times New Roman" w:eastAsia="仿宋" w:cs="Arial"/>
          <w:kern w:val="0"/>
        </w:rPr>
        <w:t>多</w:t>
      </w:r>
      <w:r>
        <w:rPr>
          <w:rFonts w:ascii="Times New Roman" w:hAnsi="Times New Roman" w:eastAsia="仿宋" w:cs="Arial"/>
          <w:kern w:val="0"/>
        </w:rPr>
        <w:t>渠道保障、租购并举的住房</w:t>
      </w:r>
      <w:r>
        <w:rPr>
          <w:rFonts w:hint="eastAsia" w:ascii="Times New Roman" w:hAnsi="Times New Roman" w:eastAsia="仿宋" w:cs="Arial"/>
          <w:kern w:val="0"/>
        </w:rPr>
        <w:t>制度。推进</w:t>
      </w:r>
      <w:r>
        <w:rPr>
          <w:rFonts w:ascii="Times New Roman" w:hAnsi="Times New Roman" w:eastAsia="仿宋" w:cs="Arial"/>
          <w:kern w:val="0"/>
        </w:rPr>
        <w:t>城市特色风貌塑造，传承历史</w:t>
      </w:r>
      <w:r>
        <w:rPr>
          <w:rFonts w:hint="eastAsia" w:ascii="Times New Roman" w:hAnsi="Times New Roman" w:eastAsia="仿宋" w:cs="Arial"/>
          <w:kern w:val="0"/>
        </w:rPr>
        <w:t>文</w:t>
      </w:r>
      <w:r>
        <w:rPr>
          <w:rFonts w:ascii="Times New Roman" w:hAnsi="Times New Roman" w:eastAsia="仿宋" w:cs="Arial"/>
          <w:kern w:val="0"/>
        </w:rPr>
        <w:t>脉。</w:t>
      </w:r>
      <w:bookmarkStart w:id="950" w:name="_Toc10862"/>
    </w:p>
    <w:p>
      <w:pPr>
        <w:pStyle w:val="7"/>
        <w:spacing w:line="560" w:lineRule="exact"/>
        <w:contextualSpacing/>
        <w:jc w:val="center"/>
        <w:rPr>
          <w:rStyle w:val="29"/>
          <w:rFonts w:ascii="楷体" w:hAnsi="楷体" w:eastAsia="楷体" w:cstheme="minorBidi"/>
          <w:b w:val="0"/>
        </w:rPr>
      </w:pPr>
      <w:bookmarkStart w:id="951" w:name="_Toc31740"/>
      <w:bookmarkStart w:id="952" w:name="_Toc30441"/>
      <w:r>
        <w:rPr>
          <w:rStyle w:val="29"/>
          <w:rFonts w:hint="eastAsia" w:ascii="楷体" w:hAnsi="楷体" w:eastAsia="楷体" w:cstheme="minorBidi"/>
          <w:b w:val="0"/>
        </w:rPr>
        <w:t>第三节 发展市域副中心城市</w:t>
      </w:r>
      <w:bookmarkEnd w:id="950"/>
      <w:bookmarkEnd w:id="951"/>
      <w:bookmarkEnd w:id="952"/>
    </w:p>
    <w:p>
      <w:pPr>
        <w:shd w:val="clear" w:color="auto" w:fill="FFFFFF"/>
        <w:spacing w:line="560" w:lineRule="exact"/>
        <w:ind w:firstLine="640" w:firstLineChars="200"/>
        <w:contextualSpacing/>
        <w:textAlignment w:val="top"/>
        <w:rPr>
          <w:rFonts w:ascii="Times New Roman" w:hAnsi="Times New Roman" w:eastAsia="仿宋" w:cs="Arial"/>
          <w:kern w:val="0"/>
        </w:rPr>
      </w:pPr>
      <w:r>
        <w:rPr>
          <w:rFonts w:hint="eastAsia" w:ascii="Times New Roman" w:hAnsi="Times New Roman" w:eastAsia="仿宋" w:cs="Arial"/>
          <w:kern w:val="0"/>
        </w:rPr>
        <w:t>支持邓州市域副中心城市建设，打造丹江口库区区域中心城市和中等城市。全面提升城市承载力、辐射力、带动力。着力构建现代农业产业体系，积极推进粮食核心主产区建设，加快发展现代畜牧业，发展扩大观光休闲农业。坚持制造业高质量发展主攻方向，推进纺织服装、汽车零部件及配件制造、生物基合成材料等产业突破发展。大力发展现代服务业，培育发展与信息技术相关联的新兴产业。完善现代综合交通运输体系，发挥邓州对外交通枢纽副中心优势，加快铁路邓州段的规划升级与城际轨道交通建设。加快“两环、十放射”的市域公路网建设，并为市域航空业的发展创造条件。实施南水北调中线工程丹江口库区等生态保育工程，加强水源保护和环境整治，确保“一泓清水永续北送”，切实维护南水北调中线工程安全、供水安全、水质安全。深化南水北调对口协作，借助“京宛”协同发展的契机，建设全省一、二、三产融合发展的典型示范区，建成库区和输水干线结合部区域中心城市、南阳副中心城市、中部地区文化旅游名市、国家粮食生产核心区的现代农业大市。</w:t>
      </w:r>
    </w:p>
    <w:p>
      <w:pPr>
        <w:shd w:val="clear" w:color="auto" w:fill="FFFFFF"/>
        <w:spacing w:line="560" w:lineRule="exact"/>
        <w:ind w:firstLine="640" w:firstLineChars="200"/>
        <w:contextualSpacing/>
        <w:textAlignment w:val="top"/>
        <w:rPr>
          <w:rFonts w:ascii="Times New Roman" w:hAnsi="Times New Roman" w:eastAsia="仿宋" w:cs="Arial"/>
          <w:kern w:val="0"/>
        </w:rPr>
      </w:pPr>
      <w:r>
        <w:rPr>
          <w:rFonts w:hint="eastAsia" w:ascii="Times New Roman" w:hAnsi="Times New Roman" w:eastAsia="仿宋" w:cs="Arial"/>
          <w:kern w:val="0"/>
        </w:rPr>
        <w:t>培育方城县建设市域副中心城市，打造方城县成为南阳市重要功能组团、区域性交通枢纽。夯实农业大底盘，统筹“山水田林路、文卫社居产”各种元素合理布局，以“五大振兴”和A级景区为标准，努力建设现代农业发展区。坚持把制造业高质量发展作为主攻方向，装备制造、超硬材料、医药制造三大产业体系，推动全产业、全链条、集群化发展，建设南阳现代制造业发展区。培植服务业新动能，加快形成主导产业引领、重大项目带动、骨干企业支撑、园区平台驱动的产业发展格局。加快推进“四宜”城市建设，力争“十四五”跻身全省经济强县俱乐部、挺进全省30强，高质量打造南阳市域副中心城市、郑宛门户城市。</w:t>
      </w:r>
    </w:p>
    <w:p>
      <w:pPr>
        <w:pStyle w:val="7"/>
        <w:spacing w:line="560" w:lineRule="exact"/>
        <w:contextualSpacing/>
        <w:jc w:val="center"/>
        <w:rPr>
          <w:rStyle w:val="29"/>
          <w:rFonts w:ascii="楷体" w:hAnsi="楷体" w:eastAsia="楷体" w:cstheme="minorBidi"/>
          <w:b w:val="0"/>
        </w:rPr>
      </w:pPr>
      <w:bookmarkStart w:id="953" w:name="_Toc2973"/>
      <w:bookmarkStart w:id="954" w:name="_Toc25975"/>
      <w:bookmarkStart w:id="955" w:name="_Toc23629"/>
      <w:r>
        <w:rPr>
          <w:rStyle w:val="29"/>
          <w:rFonts w:hint="eastAsia" w:ascii="楷体" w:hAnsi="楷体" w:eastAsia="楷体" w:cstheme="minorBidi"/>
          <w:b w:val="0"/>
        </w:rPr>
        <w:t>第四节 发展市域多极支撑</w:t>
      </w:r>
      <w:bookmarkEnd w:id="953"/>
      <w:bookmarkEnd w:id="954"/>
      <w:bookmarkEnd w:id="955"/>
    </w:p>
    <w:p>
      <w:pPr>
        <w:shd w:val="clear" w:color="auto" w:fill="FFFFFF"/>
        <w:spacing w:line="560" w:lineRule="exact"/>
        <w:ind w:firstLine="640" w:firstLineChars="200"/>
        <w:contextualSpacing/>
        <w:textAlignment w:val="top"/>
        <w:rPr>
          <w:rFonts w:ascii="Times New Roman" w:hAnsi="Times New Roman" w:eastAsia="楷体" w:cs="Arial"/>
          <w:kern w:val="0"/>
        </w:rPr>
      </w:pPr>
      <w:r>
        <w:rPr>
          <w:rFonts w:hint="eastAsia" w:ascii="Times New Roman" w:hAnsi="Times New Roman" w:eastAsia="仿宋" w:cs="Arial"/>
          <w:kern w:val="0"/>
        </w:rPr>
        <w:t>建立完善市域协调发展机制，强化市域交通对接、功能衔接、产业连接，吸引人口经济要素加速集聚，提升区域竞争整体合力，形成各具特色的发展引擎。以卧龙区、宛城区、高新区、城乡一体化示范区、卧龙综合保税区为依托，打造中心城区都市区。支持邓州市建设市域副中心城市，打造丹江口库区区域中心城市。推进中心城区与官庄工区、鸭河工区、镇平县、社旗县、唐河县快速通道建设，打造中心城区一体化发展圈，构建以方城县、南召县、内乡县、新野县为主体的中心城区紧密协作圈，培育西峡-</w:t>
      </w:r>
      <w:r>
        <w:rPr>
          <w:rFonts w:ascii="Times New Roman" w:hAnsi="Times New Roman" w:eastAsia="仿宋" w:cs="Arial"/>
          <w:kern w:val="0"/>
        </w:rPr>
        <w:t>淅川和桐柏县两大绿色发展增长极。以快速通道、轻轨区域间长途公交化等为突破口，</w:t>
      </w:r>
      <w:r>
        <w:rPr>
          <w:rFonts w:hint="eastAsia" w:ascii="Times New Roman" w:hAnsi="Times New Roman" w:eastAsia="仿宋" w:cs="Arial"/>
          <w:kern w:val="0"/>
        </w:rPr>
        <w:t>加快形成交通一体、产业连接、服务共享、全域联动的发展格局。</w:t>
      </w:r>
      <w:bookmarkStart w:id="956" w:name="_Toc31764"/>
    </w:p>
    <w:p>
      <w:pPr>
        <w:pStyle w:val="7"/>
        <w:spacing w:line="560" w:lineRule="exact"/>
        <w:contextualSpacing/>
        <w:jc w:val="center"/>
        <w:rPr>
          <w:rStyle w:val="29"/>
          <w:rFonts w:ascii="楷体" w:hAnsi="楷体" w:eastAsia="楷体" w:cstheme="minorBidi"/>
          <w:b w:val="0"/>
        </w:rPr>
      </w:pPr>
      <w:bookmarkStart w:id="957" w:name="_Toc24154"/>
      <w:bookmarkStart w:id="958" w:name="_Toc31809"/>
      <w:r>
        <w:rPr>
          <w:rStyle w:val="29"/>
          <w:rFonts w:hint="eastAsia" w:ascii="楷体" w:hAnsi="楷体" w:eastAsia="楷体" w:cstheme="minorBidi"/>
          <w:b w:val="0"/>
        </w:rPr>
        <w:t>第五节 完善现代综合交通网络</w:t>
      </w:r>
      <w:bookmarkEnd w:id="956"/>
      <w:bookmarkEnd w:id="957"/>
      <w:bookmarkEnd w:id="958"/>
    </w:p>
    <w:p>
      <w:pPr>
        <w:shd w:val="clear" w:color="auto" w:fill="FFFFFF"/>
        <w:spacing w:line="560" w:lineRule="exact"/>
        <w:ind w:firstLine="640" w:firstLineChars="200"/>
        <w:contextualSpacing/>
        <w:textAlignment w:val="top"/>
        <w:rPr>
          <w:rFonts w:ascii="Times New Roman" w:hAnsi="Times New Roman" w:eastAsia="仿宋" w:cs="Arial"/>
          <w:kern w:val="0"/>
        </w:rPr>
      </w:pPr>
      <w:r>
        <w:rPr>
          <w:rFonts w:hint="eastAsia" w:ascii="Times New Roman" w:hAnsi="Times New Roman" w:eastAsia="仿宋" w:cs="Arial"/>
          <w:kern w:val="0"/>
        </w:rPr>
        <w:t xml:space="preserve">加快建设全国性综合交通枢纽。统筹各种交通方式融合发展，着力构建布局合理、功能完善、内捷外畅、安全高效的现代交通体系，为优化城镇化空间布局提供支撑。 </w:t>
      </w:r>
    </w:p>
    <w:p>
      <w:pPr>
        <w:shd w:val="clear" w:color="auto" w:fill="FFFFFF"/>
        <w:spacing w:line="560" w:lineRule="exact"/>
        <w:ind w:firstLine="640" w:firstLineChars="200"/>
        <w:contextualSpacing/>
        <w:textAlignment w:val="top"/>
        <w:rPr>
          <w:rFonts w:ascii="Times New Roman" w:hAnsi="Times New Roman" w:eastAsia="仿宋" w:cs="Arial"/>
          <w:kern w:val="0"/>
        </w:rPr>
      </w:pPr>
      <w:r>
        <w:rPr>
          <w:rFonts w:hint="eastAsia" w:ascii="仿宋" w:hAnsi="仿宋" w:eastAsia="仿宋" w:cs="Arial"/>
          <w:kern w:val="0"/>
        </w:rPr>
        <w:t>1.</w:t>
      </w:r>
      <w:r>
        <w:rPr>
          <w:rFonts w:hint="eastAsia" w:ascii="Times New Roman" w:hAnsi="Times New Roman" w:eastAsia="仿宋" w:cs="Arial"/>
          <w:kern w:val="0"/>
        </w:rPr>
        <w:t xml:space="preserve">积极推进航空网建设。推进南阳机场迁建，开放航空口岸，打造国际机场。积极承接郑州新郑国际机场溢出货运业务，推动南阳机场与郑州新郑国际机场联动发展，打造货运副中心机场。建设临空经济区，大力发展临空经济、航空物流。加密覆盖京津冀、长三角、粤港澳、成渝城市群主要城市的航线网络布局。推进邓州、鸭河、镇平等通用机场建设，大力发展配套产业，因地制宜拓展通航+运营、通航+旅游、通航+制造、通航+物流等功能模块。 </w:t>
      </w:r>
    </w:p>
    <w:p>
      <w:pPr>
        <w:shd w:val="clear" w:color="auto" w:fill="FFFFFF"/>
        <w:spacing w:line="560" w:lineRule="exact"/>
        <w:ind w:firstLine="640" w:firstLineChars="200"/>
        <w:contextualSpacing/>
        <w:textAlignment w:val="top"/>
        <w:rPr>
          <w:rFonts w:ascii="Times New Roman" w:hAnsi="Times New Roman" w:eastAsia="仿宋" w:cs="Arial"/>
          <w:kern w:val="0"/>
        </w:rPr>
      </w:pPr>
      <w:r>
        <w:rPr>
          <w:rFonts w:hint="eastAsia" w:ascii="仿宋" w:hAnsi="仿宋" w:eastAsia="仿宋" w:cs="Arial"/>
          <w:kern w:val="0"/>
        </w:rPr>
        <w:t>2.</w:t>
      </w:r>
      <w:r>
        <w:rPr>
          <w:rFonts w:hint="eastAsia" w:ascii="Times New Roman" w:hAnsi="Times New Roman" w:eastAsia="仿宋" w:cs="Arial"/>
          <w:kern w:val="0"/>
        </w:rPr>
        <w:t>全面推进铁路网建设。完善国家级综合运输通道高铁功能、强化与周边区域高铁互联互通。推进南</w:t>
      </w:r>
      <w:r>
        <w:rPr>
          <w:rFonts w:ascii="Times New Roman" w:hAnsi="Times New Roman" w:eastAsia="仿宋" w:cs="Arial"/>
          <w:kern w:val="0"/>
        </w:rPr>
        <w:t>信</w:t>
      </w:r>
      <w:r>
        <w:rPr>
          <w:rFonts w:hint="eastAsia" w:ascii="Times New Roman" w:hAnsi="Times New Roman" w:eastAsia="仿宋" w:cs="Arial"/>
          <w:kern w:val="0"/>
        </w:rPr>
        <w:t>合高铁建设，构筑南阳东向高铁通道。推进南驻周商城际铁路，形成与关中平原城市群的快速通道，带动沿线城镇及旅游产业发展。争取沿淮高铁阜阳经驻马店南阳西延段、二湛通道洛阳经南阳至襄阳段进入国家相关规划。打通与东部沿海地区的快捷联系通道。推进普通铁路规划建设。规划建设南阳中心城区轨道交通、南阳至邓州城际铁路。建设南阳动车运用设施，强化南阳高铁客运始发终到功能。建成铁路二级物流基地，提升铁路货运能力。实施铁路专用线进企入园工程，打通铁路运输“最后一公里”。谋划建设中心城区轨道交通项目。</w:t>
      </w:r>
    </w:p>
    <w:p>
      <w:pPr>
        <w:shd w:val="clear" w:color="auto" w:fill="FFFFFF"/>
        <w:spacing w:line="560" w:lineRule="exact"/>
        <w:ind w:firstLine="640" w:firstLineChars="200"/>
        <w:contextualSpacing/>
        <w:textAlignment w:val="top"/>
        <w:rPr>
          <w:rFonts w:ascii="Times New Roman" w:hAnsi="Times New Roman" w:eastAsia="仿宋" w:cs="Arial"/>
          <w:kern w:val="0"/>
        </w:rPr>
      </w:pPr>
      <w:r>
        <w:rPr>
          <w:rFonts w:hint="eastAsia" w:ascii="仿宋" w:hAnsi="仿宋" w:eastAsia="仿宋" w:cs="Arial"/>
          <w:kern w:val="0"/>
        </w:rPr>
        <w:t>3.</w:t>
      </w:r>
      <w:r>
        <w:rPr>
          <w:rFonts w:hint="eastAsia" w:ascii="Times New Roman" w:hAnsi="Times New Roman" w:eastAsia="仿宋" w:cs="Arial"/>
          <w:kern w:val="0"/>
        </w:rPr>
        <w:t>加快推进公路网建设。强化高速公路在交通运输中的支撑作用，加快推动郑西、渑淅、焦唐、南邓高速建成通车，推进南新、桐邓、嵩内、方西、郑南高速建设。加快推动中心城区沪陕高速与S228等8个高速出入口建设，实现高速公路内联外通、互联互通、快联快通。改建新建中心城区环线道路、中心城区与组团城市间快速路和市域内主要运输大通道，不断完善国省道公路骨架网，升级改建交通拥堵路段和穿越城区段，消除等外干线路段，2035年末国省道路网基本全部达到二级及以上公路标准，构建规模适度、结构合理、功能完善、覆盖广泛、衔接顺畅、服务高效的普通国省干线公路网。加快南阳综合客运枢纽站建设和县（市、区）客运站升级改造，构建综合化、公交化和城乡客运一体化的换乘体系。</w:t>
      </w:r>
    </w:p>
    <w:p>
      <w:pPr>
        <w:shd w:val="clear" w:color="auto" w:fill="FFFFFF"/>
        <w:spacing w:line="560" w:lineRule="exact"/>
        <w:ind w:firstLine="640" w:firstLineChars="200"/>
        <w:contextualSpacing/>
        <w:textAlignment w:val="top"/>
        <w:rPr>
          <w:rFonts w:ascii="Times New Roman" w:hAnsi="Times New Roman" w:eastAsia="仿宋" w:cs="Arial"/>
          <w:kern w:val="0"/>
        </w:rPr>
      </w:pPr>
      <w:r>
        <w:rPr>
          <w:rFonts w:hint="eastAsia" w:ascii="仿宋" w:hAnsi="仿宋" w:eastAsia="仿宋" w:cs="Arial"/>
          <w:kern w:val="0"/>
        </w:rPr>
        <w:t>4.</w:t>
      </w:r>
      <w:r>
        <w:rPr>
          <w:rFonts w:hint="eastAsia" w:ascii="Times New Roman" w:hAnsi="Times New Roman" w:eastAsia="仿宋" w:cs="Arial"/>
          <w:kern w:val="0"/>
        </w:rPr>
        <w:t>加快构建高效水运通道。加快构建畅通高效水运通道。打造以唐河、白河为骨干，湍河、丹江为支线，唐沙运河为联络线，向南接入汉江，通达长江干线，向北接入沙颍河，通达淮河干线的“两干两支一联”内河航道网。加快建设唐河航运工程，启动白河航运工程，打造起于南阳，经唐河、白河至汉江通达长江的全新水运通道，争取于“十四五”末实现唐河航运工程基本完工。启动湍河、唐（河）沙（河）运河航道工程前期研究，做好唐沙运河线位空间预留等相关工作。统筹预控跨航、涉航相关设施建设标准，推动南阳港中心港区、唐河港区、新野港区、社旗港区集装箱码头和船舶污染物接收设施等配套设施建设，统筹桥梁等碍航设施改造工作。</w:t>
      </w:r>
    </w:p>
    <w:tbl>
      <w:tblPr>
        <w:tblStyle w:val="26"/>
        <w:tblpPr w:leftFromText="180" w:rightFromText="180" w:vertAnchor="text" w:horzAnchor="margin" w:tblpXSpec="center" w:tblpY="2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5000" w:type="pct"/>
            <w:vAlign w:val="center"/>
          </w:tcPr>
          <w:p>
            <w:pPr>
              <w:spacing w:line="400" w:lineRule="exact"/>
              <w:ind w:firstLine="560" w:firstLineChars="200"/>
              <w:contextualSpacing/>
              <w:jc w:val="center"/>
              <w:rPr>
                <w:rFonts w:ascii="黑体" w:hAnsi="黑体" w:eastAsia="黑体"/>
                <w:bCs/>
                <w:sz w:val="24"/>
                <w:szCs w:val="24"/>
              </w:rPr>
            </w:pPr>
            <w:r>
              <w:rPr>
                <w:rFonts w:hint="eastAsia" w:ascii="黑体" w:hAnsi="黑体" w:eastAsia="黑体" w:cs="黑体"/>
                <w:bCs/>
                <w:kern w:val="0"/>
                <w:sz w:val="28"/>
                <w:szCs w:val="28"/>
              </w:rPr>
              <w:t>专栏2：交通基础设施重点工程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vAlign w:val="center"/>
          </w:tcPr>
          <w:p>
            <w:pPr>
              <w:spacing w:line="400" w:lineRule="exact"/>
              <w:ind w:firstLine="480" w:firstLineChars="200"/>
              <w:contextualSpacing/>
              <w:rPr>
                <w:rFonts w:ascii="Times New Roman" w:hAnsi="Times New Roman" w:eastAsia="仿宋"/>
                <w:sz w:val="24"/>
                <w:szCs w:val="24"/>
              </w:rPr>
            </w:pPr>
            <w:r>
              <w:rPr>
                <w:rFonts w:hint="eastAsia" w:ascii="楷体" w:hAnsi="楷体" w:eastAsia="楷体" w:cs="楷体"/>
                <w:sz w:val="24"/>
                <w:szCs w:val="24"/>
              </w:rPr>
              <w:t>1.铁路专用线项目。</w:t>
            </w:r>
            <w:r>
              <w:rPr>
                <w:rFonts w:hint="eastAsia" w:ascii="Times New Roman" w:hAnsi="Times New Roman" w:eastAsia="仿宋"/>
                <w:sz w:val="24"/>
                <w:szCs w:val="24"/>
              </w:rPr>
              <w:t>续建中誉国信内乡煤炭储备基地铁路专用线；推进西峡公铁联运物流园专用线、南阳港唐河临港物流园铁路专用线、内乡牧原智慧物流园铁路专用线、南召中铁路港物流园铁路专用线、卧龙综合保税区国际陆港铁路专用线、镇平县产业集聚区铁路专用线、南阳静脉产业园铁路专用线、邓州现代物流园铁路专用线、新野县工业园区铁路专用线、方城县铁路货运专用线、方城中南公司铁路专用线规划建设。</w:t>
            </w:r>
          </w:p>
          <w:p>
            <w:pPr>
              <w:spacing w:line="400" w:lineRule="exact"/>
              <w:ind w:firstLine="470" w:firstLineChars="196"/>
              <w:contextualSpacing/>
              <w:rPr>
                <w:rFonts w:ascii="Times New Roman" w:hAnsi="Times New Roman" w:eastAsia="仿宋"/>
                <w:sz w:val="24"/>
                <w:szCs w:val="24"/>
              </w:rPr>
            </w:pPr>
            <w:r>
              <w:rPr>
                <w:rFonts w:hint="eastAsia" w:ascii="楷体" w:hAnsi="楷体" w:eastAsia="楷体" w:cs="楷体"/>
                <w:sz w:val="24"/>
                <w:szCs w:val="24"/>
              </w:rPr>
              <w:t>2.高速公路。</w:t>
            </w:r>
            <w:r>
              <w:rPr>
                <w:rFonts w:hint="eastAsia" w:ascii="Times New Roman" w:hAnsi="Times New Roman" w:eastAsia="仿宋"/>
                <w:sz w:val="24"/>
                <w:szCs w:val="24"/>
              </w:rPr>
              <w:t>加快推动郑西、渑淅、焦唐、南邓高速建成通车，推进南新、桐邓、嵩内、方西、郑南高速建设。新增高速出入口8个：沪陕高速白河大道出口立交、沪陕高速与车站路出口立交、二广高速与S330保税区出口立交、二广高速与中州路出口立交、商南高速与龙翔路出口立交、兰南高速高新区立交、周南高速隐山互通立交、兰南高速与S526独树互通立交。</w:t>
            </w:r>
          </w:p>
          <w:p>
            <w:pPr>
              <w:spacing w:line="400" w:lineRule="exact"/>
              <w:ind w:firstLine="470" w:firstLineChars="196"/>
              <w:contextualSpacing/>
              <w:rPr>
                <w:rFonts w:ascii="Times New Roman" w:hAnsi="Times New Roman" w:eastAsia="仿宋"/>
                <w:sz w:val="24"/>
                <w:szCs w:val="24"/>
              </w:rPr>
            </w:pPr>
            <w:r>
              <w:rPr>
                <w:rFonts w:hint="eastAsia" w:ascii="楷体" w:hAnsi="楷体" w:eastAsia="楷体" w:cs="楷体"/>
                <w:sz w:val="24"/>
                <w:szCs w:val="24"/>
              </w:rPr>
              <w:t>3.干线公路。</w:t>
            </w:r>
            <w:r>
              <w:rPr>
                <w:rFonts w:hint="eastAsia" w:ascii="Times New Roman" w:hAnsi="Times New Roman" w:eastAsia="仿宋"/>
                <w:sz w:val="24"/>
                <w:szCs w:val="24"/>
              </w:rPr>
              <w:t>优化完善国省干线主通道，建设G312、南襄通道等干线公路；推进普通国省道城区环线公路，改建涉及南阳市中心城区外环路、淅川等县（市）环城公路；协调节点畅通公路，升级改造G234、G328等国省道连接重要节点道路项目；有序开展试点旅游路、生态路和品质路建设，改建S239、S243等与景区连接道路。改建国省道瓶颈公路，改建S228线、S328线等“通而不畅”路段。</w:t>
            </w:r>
          </w:p>
          <w:p>
            <w:pPr>
              <w:spacing w:line="400" w:lineRule="exact"/>
              <w:ind w:firstLine="470" w:firstLineChars="196"/>
              <w:contextualSpacing/>
              <w:rPr>
                <w:rFonts w:ascii="Times New Roman" w:hAnsi="Times New Roman" w:eastAsia="仿宋"/>
              </w:rPr>
            </w:pPr>
            <w:r>
              <w:rPr>
                <w:rFonts w:hint="eastAsia" w:ascii="楷体" w:hAnsi="楷体" w:eastAsia="楷体" w:cs="楷体"/>
                <w:sz w:val="24"/>
                <w:szCs w:val="24"/>
              </w:rPr>
              <w:t>4.场站建设。</w:t>
            </w:r>
            <w:r>
              <w:rPr>
                <w:rFonts w:hint="eastAsia" w:ascii="Times New Roman" w:hAnsi="Times New Roman" w:eastAsia="仿宋"/>
                <w:sz w:val="24"/>
                <w:szCs w:val="24"/>
              </w:rPr>
              <w:t>综合枢纽站：建设郑渝高铁南阳高铁客运枢纽站和方城县高铁公交客运枢纽站。客运场站：新建和续建南阳市高铁客运站、方城县高铁客运站、南阳市客运西站、镇平玉雕湾客运站、镇平县华通站务有限公司、镇平县圣顶山旅游客运站、内乡菊潭东客运站、淅川县金竹河旅游客运站、西峡县太平镇旅游客运站、西峡县城乡联营客运站、西峡县西坪客车站等客运场站。物流园区：新建海派共享仓储物流中心、南阳铁路物流中心、海元物流商城、内乡牧原智慧物流园、内乡煤贸物流园、西峡县公铁联运物流园、南阳港唐河临港物流园区、南阳港白河中心城区多式联运中心、河南安棚铁路货运物流园、中铁陆港南召铁路物流园、方城高铁站区综合物流园、南阳豫南年中转300万吨粮食现代物流园等。公交场站：规划建设东环路、中关村、南阳城市新能源公交客运枢纽站等。</w:t>
            </w:r>
          </w:p>
        </w:tc>
      </w:tr>
    </w:tbl>
    <w:p>
      <w:pPr>
        <w:pStyle w:val="6"/>
        <w:spacing w:line="560" w:lineRule="exact"/>
        <w:ind w:firstLine="640"/>
        <w:contextualSpacing/>
        <w:jc w:val="center"/>
        <w:rPr>
          <w:rStyle w:val="29"/>
          <w:rFonts w:ascii="黑体" w:hAnsi="黑体" w:cs="黑体"/>
          <w:b w:val="0"/>
          <w:szCs w:val="32"/>
        </w:rPr>
      </w:pPr>
      <w:bookmarkStart w:id="959" w:name="_Toc14430"/>
      <w:bookmarkStart w:id="960" w:name="_Toc4360"/>
      <w:bookmarkStart w:id="961" w:name="_Toc98162622"/>
      <w:bookmarkStart w:id="962" w:name="_Toc98086660"/>
      <w:r>
        <w:rPr>
          <w:rStyle w:val="29"/>
          <w:rFonts w:hint="eastAsia" w:ascii="黑体" w:hAnsi="黑体" w:cs="黑体"/>
          <w:b w:val="0"/>
          <w:szCs w:val="32"/>
        </w:rPr>
        <w:t>第四章 加快县域经济高质量发展</w:t>
      </w:r>
      <w:bookmarkEnd w:id="959"/>
      <w:bookmarkEnd w:id="960"/>
      <w:bookmarkEnd w:id="961"/>
      <w:bookmarkEnd w:id="962"/>
    </w:p>
    <w:p>
      <w:pPr>
        <w:pStyle w:val="24"/>
        <w:shd w:val="clear" w:color="auto" w:fill="FFFFFF"/>
        <w:spacing w:beforeAutospacing="0" w:afterAutospacing="0" w:line="560" w:lineRule="exact"/>
        <w:ind w:firstLine="640" w:firstLineChars="200"/>
        <w:contextualSpacing/>
        <w:jc w:val="both"/>
        <w:textAlignment w:val="top"/>
        <w:rPr>
          <w:rStyle w:val="29"/>
          <w:rFonts w:ascii="Times New Roman" w:hAnsi="Times New Roman" w:eastAsia="仿宋" w:cs="Arial"/>
          <w:b w:val="0"/>
          <w:bCs w:val="0"/>
          <w:sz w:val="32"/>
        </w:rPr>
      </w:pPr>
      <w:r>
        <w:rPr>
          <w:rFonts w:hint="eastAsia" w:ascii="Times New Roman" w:hAnsi="Times New Roman" w:eastAsia="仿宋" w:cs="Arial"/>
          <w:sz w:val="32"/>
        </w:rPr>
        <w:t>坚持把县域治理“三起来”作为根本遵循，大力推进新发展格局下县域经济高质量发展，促进县域发展要素高效配置，赋予县（市）更多经济管理权限，激发县域发展活力，加快推动县域经济“成高原”。</w:t>
      </w:r>
    </w:p>
    <w:p>
      <w:pPr>
        <w:pStyle w:val="7"/>
        <w:spacing w:line="560" w:lineRule="exact"/>
        <w:contextualSpacing/>
        <w:jc w:val="center"/>
        <w:rPr>
          <w:rStyle w:val="29"/>
          <w:rFonts w:ascii="楷体" w:hAnsi="楷体" w:eastAsia="楷体" w:cstheme="minorBidi"/>
          <w:b w:val="0"/>
        </w:rPr>
      </w:pPr>
      <w:bookmarkStart w:id="963" w:name="_Toc98086661"/>
      <w:bookmarkStart w:id="964" w:name="_Toc21518"/>
      <w:bookmarkStart w:id="965" w:name="_Toc8187"/>
      <w:bookmarkStart w:id="966" w:name="_Toc98162623"/>
      <w:r>
        <w:rPr>
          <w:rStyle w:val="29"/>
          <w:rFonts w:hint="eastAsia" w:ascii="楷体" w:hAnsi="楷体" w:eastAsia="楷体" w:cstheme="minorBidi"/>
          <w:b w:val="0"/>
        </w:rPr>
        <w:t>第一节 引导县域经济特色化发展</w:t>
      </w:r>
      <w:bookmarkEnd w:id="963"/>
      <w:bookmarkEnd w:id="964"/>
      <w:bookmarkEnd w:id="965"/>
      <w:bookmarkEnd w:id="966"/>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bCs/>
          <w:sz w:val="32"/>
        </w:rPr>
        <w:t>1.培育县域经济发展新优势。</w:t>
      </w:r>
      <w:r>
        <w:rPr>
          <w:rFonts w:hint="eastAsia" w:ascii="仿宋" w:hAnsi="仿宋" w:eastAsia="仿宋" w:cs="Arial"/>
          <w:sz w:val="32"/>
        </w:rPr>
        <w:t>以强县富民为主线，以改革发展为动力，以城乡贯通为途径，打造一批产业先进、充满活力、城乡繁荣、生态优美、人民富裕的经济强县，构建以县城为龙头、中心镇为节点、乡村为腹地的县域发展体系，培育一批特色突出、竞相发展的增长点，形成可复制、可推广的典型经验，引领带动全市县域经济高质量发展。构建以县城为龙头、中心镇为节点、乡村为腹地的县域发展体系。</w:t>
      </w:r>
    </w:p>
    <w:p>
      <w:pPr>
        <w:pStyle w:val="24"/>
        <w:shd w:val="clear" w:color="auto" w:fill="FFFFFF"/>
        <w:spacing w:beforeAutospacing="0" w:afterAutospacing="0" w:line="560" w:lineRule="exact"/>
        <w:ind w:firstLine="640" w:firstLineChars="200"/>
        <w:contextualSpacing/>
        <w:jc w:val="both"/>
        <w:textAlignment w:val="top"/>
        <w:rPr>
          <w:rFonts w:ascii="Times New Roman" w:hAnsi="Times New Roman" w:eastAsia="仿宋" w:cs="Arial"/>
          <w:sz w:val="32"/>
        </w:rPr>
      </w:pPr>
      <w:r>
        <w:rPr>
          <w:rFonts w:hint="eastAsia" w:ascii="仿宋" w:hAnsi="仿宋" w:eastAsia="仿宋" w:cs="Arial"/>
          <w:bCs/>
          <w:sz w:val="32"/>
        </w:rPr>
        <w:t>2.推动县域经济因地制宜发展。</w:t>
      </w:r>
      <w:r>
        <w:rPr>
          <w:rFonts w:hint="eastAsia" w:ascii="Times New Roman" w:hAnsi="Times New Roman" w:eastAsia="仿宋" w:cs="Arial"/>
          <w:sz w:val="32"/>
        </w:rPr>
        <w:t>坚持宜水则水、宜山则山，宜粮则粮、宜农则农，宜工则工、宜商则商，加强统筹、分类施策。优化开发县（市）突出转型提质，壮大优势产业集群，强化主导产业链式配套、基础设施统一构建，形成与中心城区梯度发展、优势互补的产业体系和联建共享、畅通快捷的交通体系。重点发展县（市）突出特色高效，稳固粮食生产能力，积极发展特色产业集群，推动由农业生产基地向制成品加工基地转变，以新型工业化促进农业农村现代化。生态功能县（市）突出环境保护，树立全域一体的大生态发展理念，提升重要生态产品供给能力，发展资源环境可承载的适宜产业，增强生态、文化、旅游和产业配套综合功能。</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bCs/>
          <w:sz w:val="32"/>
        </w:rPr>
        <w:t>3.增强县域经济发展新动能。</w:t>
      </w:r>
      <w:r>
        <w:rPr>
          <w:rFonts w:hint="eastAsia" w:ascii="仿宋" w:hAnsi="仿宋" w:eastAsia="仿宋" w:cs="Arial"/>
          <w:sz w:val="32"/>
        </w:rPr>
        <w:t>坚持市场主导，加快动能转换，大力发展低碳经济、循环经济，推动形成节约资源和保护环境的空间格局、产业结构、生产生活方式。建立健全考核评价和激励机制，推动转移支付、环境容量、建设用地、节能指标等资源要素向践行县域治理“三起来”示范县（市）倾斜。推动城乡要素自由流动、平等交换和公共资源合理配置。</w:t>
      </w:r>
    </w:p>
    <w:tbl>
      <w:tblPr>
        <w:tblStyle w:val="26"/>
        <w:tblpPr w:leftFromText="180" w:rightFromText="180" w:vertAnchor="text" w:horzAnchor="margin" w:tblpX="137" w:tblpY="2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trPr>
        <w:tc>
          <w:tcPr>
            <w:tcW w:w="5000" w:type="pct"/>
            <w:vAlign w:val="center"/>
          </w:tcPr>
          <w:p>
            <w:pPr>
              <w:spacing w:line="400" w:lineRule="exact"/>
              <w:contextualSpacing/>
              <w:jc w:val="center"/>
              <w:rPr>
                <w:rFonts w:ascii="黑体" w:hAnsi="黑体" w:eastAsia="黑体"/>
                <w:bCs/>
                <w:sz w:val="24"/>
                <w:szCs w:val="24"/>
              </w:rPr>
            </w:pPr>
            <w:r>
              <w:rPr>
                <w:rFonts w:hint="eastAsia" w:ascii="黑体" w:hAnsi="黑体" w:eastAsia="黑体" w:cs="黑体"/>
                <w:bCs/>
                <w:kern w:val="0"/>
                <w:sz w:val="28"/>
                <w:szCs w:val="28"/>
              </w:rPr>
              <w:t>专栏3：县域分类发展表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5000" w:type="pct"/>
            <w:vAlign w:val="center"/>
          </w:tcPr>
          <w:p>
            <w:pPr>
              <w:spacing w:line="400" w:lineRule="exact"/>
              <w:ind w:firstLine="470" w:firstLineChars="196"/>
              <w:contextualSpacing/>
              <w:rPr>
                <w:rFonts w:ascii="仿宋" w:hAnsi="仿宋" w:eastAsia="仿宋"/>
                <w:sz w:val="24"/>
                <w:szCs w:val="24"/>
              </w:rPr>
            </w:pPr>
            <w:r>
              <w:rPr>
                <w:rFonts w:hint="eastAsia" w:ascii="楷体" w:hAnsi="楷体" w:eastAsia="楷体" w:cs="楷体"/>
                <w:sz w:val="24"/>
                <w:szCs w:val="24"/>
              </w:rPr>
              <w:t>1个优化开发县：</w:t>
            </w:r>
            <w:r>
              <w:rPr>
                <w:rFonts w:ascii="仿宋" w:hAnsi="仿宋" w:eastAsia="仿宋"/>
                <w:sz w:val="24"/>
                <w:szCs w:val="24"/>
              </w:rPr>
              <w:t>镇平</w:t>
            </w:r>
            <w:r>
              <w:rPr>
                <w:rFonts w:hint="eastAsia" w:ascii="仿宋" w:hAnsi="仿宋" w:eastAsia="仿宋"/>
                <w:sz w:val="24"/>
                <w:szCs w:val="24"/>
              </w:rPr>
              <w:t>县</w:t>
            </w:r>
            <w:r>
              <w:rPr>
                <w:rFonts w:ascii="仿宋" w:hAnsi="仿宋" w:eastAsia="仿宋"/>
                <w:sz w:val="24"/>
                <w:szCs w:val="24"/>
              </w:rPr>
              <w:t>。</w:t>
            </w:r>
          </w:p>
          <w:p>
            <w:pPr>
              <w:spacing w:line="400" w:lineRule="exact"/>
              <w:ind w:firstLine="470" w:firstLineChars="196"/>
              <w:contextualSpacing/>
              <w:rPr>
                <w:rFonts w:ascii="仿宋" w:hAnsi="仿宋" w:eastAsia="仿宋"/>
                <w:sz w:val="24"/>
                <w:szCs w:val="24"/>
              </w:rPr>
            </w:pPr>
            <w:r>
              <w:rPr>
                <w:rFonts w:hint="eastAsia" w:ascii="楷体" w:hAnsi="楷体" w:eastAsia="楷体" w:cs="楷体"/>
                <w:sz w:val="24"/>
                <w:szCs w:val="24"/>
              </w:rPr>
              <w:t>5个重点发展县：</w:t>
            </w:r>
            <w:r>
              <w:rPr>
                <w:rFonts w:ascii="仿宋" w:hAnsi="仿宋" w:eastAsia="仿宋"/>
                <w:sz w:val="24"/>
                <w:szCs w:val="24"/>
              </w:rPr>
              <w:t>南召</w:t>
            </w:r>
            <w:r>
              <w:rPr>
                <w:rFonts w:hint="eastAsia" w:ascii="仿宋" w:hAnsi="仿宋" w:eastAsia="仿宋"/>
                <w:sz w:val="24"/>
                <w:szCs w:val="24"/>
              </w:rPr>
              <w:t>县</w:t>
            </w:r>
            <w:r>
              <w:rPr>
                <w:rFonts w:ascii="仿宋" w:hAnsi="仿宋" w:eastAsia="仿宋"/>
                <w:sz w:val="24"/>
                <w:szCs w:val="24"/>
              </w:rPr>
              <w:t>、方城</w:t>
            </w:r>
            <w:r>
              <w:rPr>
                <w:rFonts w:hint="eastAsia" w:ascii="仿宋" w:hAnsi="仿宋" w:eastAsia="仿宋"/>
                <w:sz w:val="24"/>
                <w:szCs w:val="24"/>
              </w:rPr>
              <w:t>县</w:t>
            </w:r>
            <w:r>
              <w:rPr>
                <w:rFonts w:ascii="仿宋" w:hAnsi="仿宋" w:eastAsia="仿宋"/>
                <w:sz w:val="24"/>
                <w:szCs w:val="24"/>
              </w:rPr>
              <w:t>、唐河</w:t>
            </w:r>
            <w:r>
              <w:rPr>
                <w:rFonts w:hint="eastAsia" w:ascii="仿宋" w:hAnsi="仿宋" w:eastAsia="仿宋"/>
                <w:sz w:val="24"/>
                <w:szCs w:val="24"/>
              </w:rPr>
              <w:t>县</w:t>
            </w:r>
            <w:r>
              <w:rPr>
                <w:rFonts w:ascii="仿宋" w:hAnsi="仿宋" w:eastAsia="仿宋"/>
                <w:sz w:val="24"/>
                <w:szCs w:val="24"/>
              </w:rPr>
              <w:t>、社旗</w:t>
            </w:r>
            <w:r>
              <w:rPr>
                <w:rFonts w:hint="eastAsia" w:ascii="仿宋" w:hAnsi="仿宋" w:eastAsia="仿宋"/>
                <w:sz w:val="24"/>
                <w:szCs w:val="24"/>
              </w:rPr>
              <w:t>县</w:t>
            </w:r>
            <w:r>
              <w:rPr>
                <w:rFonts w:ascii="仿宋" w:hAnsi="仿宋" w:eastAsia="仿宋"/>
                <w:sz w:val="24"/>
                <w:szCs w:val="24"/>
              </w:rPr>
              <w:t>、新野</w:t>
            </w:r>
            <w:r>
              <w:rPr>
                <w:rFonts w:hint="eastAsia" w:ascii="仿宋" w:hAnsi="仿宋" w:eastAsia="仿宋"/>
                <w:sz w:val="24"/>
                <w:szCs w:val="24"/>
              </w:rPr>
              <w:t>县</w:t>
            </w:r>
            <w:r>
              <w:rPr>
                <w:rFonts w:ascii="仿宋" w:hAnsi="仿宋" w:eastAsia="仿宋"/>
                <w:sz w:val="24"/>
                <w:szCs w:val="24"/>
              </w:rPr>
              <w:t>。</w:t>
            </w:r>
          </w:p>
          <w:p>
            <w:pPr>
              <w:spacing w:line="400" w:lineRule="exact"/>
              <w:ind w:firstLine="470" w:firstLineChars="196"/>
              <w:contextualSpacing/>
              <w:rPr>
                <w:rFonts w:ascii="仿宋" w:hAnsi="仿宋" w:eastAsia="仿宋"/>
                <w:sz w:val="24"/>
                <w:szCs w:val="24"/>
              </w:rPr>
            </w:pPr>
            <w:r>
              <w:rPr>
                <w:rFonts w:hint="eastAsia" w:ascii="楷体" w:hAnsi="楷体" w:eastAsia="楷体" w:cs="楷体"/>
                <w:sz w:val="24"/>
                <w:szCs w:val="24"/>
              </w:rPr>
              <w:t>5个生态功能县（市）：</w:t>
            </w:r>
            <w:r>
              <w:rPr>
                <w:rFonts w:ascii="仿宋" w:hAnsi="仿宋" w:eastAsia="仿宋"/>
                <w:sz w:val="24"/>
                <w:szCs w:val="24"/>
              </w:rPr>
              <w:t>西峡</w:t>
            </w:r>
            <w:r>
              <w:rPr>
                <w:rFonts w:hint="eastAsia" w:ascii="仿宋" w:hAnsi="仿宋" w:eastAsia="仿宋"/>
                <w:sz w:val="24"/>
                <w:szCs w:val="24"/>
              </w:rPr>
              <w:t>县</w:t>
            </w:r>
            <w:r>
              <w:rPr>
                <w:rFonts w:ascii="仿宋" w:hAnsi="仿宋" w:eastAsia="仿宋"/>
                <w:sz w:val="24"/>
                <w:szCs w:val="24"/>
              </w:rPr>
              <w:t>、内乡</w:t>
            </w:r>
            <w:r>
              <w:rPr>
                <w:rFonts w:hint="eastAsia" w:ascii="仿宋" w:hAnsi="仿宋" w:eastAsia="仿宋"/>
                <w:sz w:val="24"/>
                <w:szCs w:val="24"/>
              </w:rPr>
              <w:t>县</w:t>
            </w:r>
            <w:r>
              <w:rPr>
                <w:rFonts w:ascii="仿宋" w:hAnsi="仿宋" w:eastAsia="仿宋"/>
                <w:sz w:val="24"/>
                <w:szCs w:val="24"/>
              </w:rPr>
              <w:t>、淅川</w:t>
            </w:r>
            <w:r>
              <w:rPr>
                <w:rFonts w:hint="eastAsia" w:ascii="仿宋" w:hAnsi="仿宋" w:eastAsia="仿宋"/>
                <w:sz w:val="24"/>
                <w:szCs w:val="24"/>
              </w:rPr>
              <w:t>县</w:t>
            </w:r>
            <w:r>
              <w:rPr>
                <w:rFonts w:ascii="仿宋" w:hAnsi="仿宋" w:eastAsia="仿宋"/>
                <w:sz w:val="24"/>
                <w:szCs w:val="24"/>
              </w:rPr>
              <w:t>、桐柏</w:t>
            </w:r>
            <w:r>
              <w:rPr>
                <w:rFonts w:hint="eastAsia" w:ascii="仿宋" w:hAnsi="仿宋" w:eastAsia="仿宋"/>
                <w:sz w:val="24"/>
                <w:szCs w:val="24"/>
              </w:rPr>
              <w:t>县</w:t>
            </w:r>
            <w:r>
              <w:rPr>
                <w:rFonts w:ascii="仿宋" w:hAnsi="仿宋" w:eastAsia="仿宋"/>
                <w:sz w:val="24"/>
                <w:szCs w:val="24"/>
              </w:rPr>
              <w:t>、邓州</w:t>
            </w:r>
            <w:r>
              <w:rPr>
                <w:rFonts w:hint="eastAsia" w:ascii="仿宋" w:hAnsi="仿宋" w:eastAsia="仿宋"/>
                <w:sz w:val="24"/>
                <w:szCs w:val="24"/>
              </w:rPr>
              <w:t>市</w:t>
            </w:r>
            <w:r>
              <w:rPr>
                <w:rFonts w:ascii="仿宋" w:hAnsi="仿宋" w:eastAsia="仿宋"/>
                <w:sz w:val="24"/>
                <w:szCs w:val="24"/>
              </w:rPr>
              <w:t>。</w:t>
            </w:r>
          </w:p>
        </w:tc>
      </w:tr>
    </w:tbl>
    <w:p>
      <w:pPr>
        <w:pStyle w:val="7"/>
        <w:spacing w:line="560" w:lineRule="exact"/>
        <w:contextualSpacing/>
        <w:jc w:val="center"/>
        <w:rPr>
          <w:rStyle w:val="29"/>
          <w:rFonts w:ascii="楷体" w:hAnsi="楷体" w:eastAsia="楷体" w:cstheme="minorBidi"/>
          <w:b w:val="0"/>
        </w:rPr>
      </w:pPr>
      <w:bookmarkStart w:id="967" w:name="_Toc18203"/>
      <w:bookmarkStart w:id="968" w:name="_Toc25878"/>
      <w:bookmarkStart w:id="969" w:name="_Toc98162624"/>
      <w:bookmarkStart w:id="970" w:name="_Toc98086662"/>
      <w:r>
        <w:rPr>
          <w:rStyle w:val="29"/>
          <w:rFonts w:hint="eastAsia" w:ascii="楷体" w:hAnsi="楷体" w:eastAsia="楷体" w:cstheme="minorBidi"/>
          <w:b w:val="0"/>
        </w:rPr>
        <w:t>第二节 推进“一县一省级开发区”建设</w:t>
      </w:r>
      <w:bookmarkEnd w:id="967"/>
      <w:bookmarkEnd w:id="968"/>
      <w:bookmarkEnd w:id="969"/>
      <w:bookmarkEnd w:id="970"/>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bCs/>
          <w:sz w:val="32"/>
        </w:rPr>
        <w:t>1.</w:t>
      </w:r>
      <w:r>
        <w:rPr>
          <w:rFonts w:hint="eastAsia"/>
        </w:rPr>
        <w:t xml:space="preserve"> </w:t>
      </w:r>
      <w:r>
        <w:rPr>
          <w:rFonts w:hint="eastAsia" w:ascii="仿宋" w:hAnsi="仿宋" w:eastAsia="仿宋" w:cs="Arial"/>
          <w:bCs/>
          <w:sz w:val="32"/>
        </w:rPr>
        <w:t>优化开发区空间布局。</w:t>
      </w:r>
      <w:r>
        <w:rPr>
          <w:rFonts w:hint="eastAsia" w:ascii="仿宋" w:hAnsi="仿宋" w:eastAsia="仿宋" w:cs="Arial"/>
          <w:sz w:val="32"/>
        </w:rPr>
        <w:t>围绕“一县一省级开发区”，通过扩区、调规、改制，形成布局合理、错位发展、功能协调的发展格局。科学编制开发区发展规划，与国土空间规划配套衔接，精准核定四至边界，</w:t>
      </w:r>
      <w:r>
        <w:rPr>
          <w:rFonts w:ascii="仿宋" w:hAnsi="仿宋" w:eastAsia="仿宋" w:cs="Arial"/>
          <w:sz w:val="32"/>
        </w:rPr>
        <w:t>严格落实生态保护红线、永久基本农田、城镇开发边界三条控制线。强化产业用地保障，新增建设用地最大限度向开发区倾斜，按照产业用地占比需超过60%的要求，确保产业用地需要，为开发区扩区和产业发展留足空间。</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bCs/>
          <w:sz w:val="32"/>
        </w:rPr>
        <w:t>2.推动开发区产业升级。</w:t>
      </w:r>
      <w:r>
        <w:rPr>
          <w:rFonts w:ascii="仿宋" w:hAnsi="仿宋" w:eastAsia="仿宋" w:cs="Arial"/>
          <w:sz w:val="32"/>
        </w:rPr>
        <w:t>开展新</w:t>
      </w:r>
      <w:r>
        <w:rPr>
          <w:rFonts w:hint="eastAsia" w:ascii="仿宋" w:hAnsi="仿宋" w:eastAsia="仿宋" w:cs="Arial"/>
          <w:sz w:val="32"/>
        </w:rPr>
        <w:t>一轮企业</w:t>
      </w:r>
      <w:r>
        <w:rPr>
          <w:rFonts w:ascii="仿宋" w:hAnsi="仿宋" w:eastAsia="仿宋" w:cs="Arial"/>
          <w:sz w:val="32"/>
        </w:rPr>
        <w:t>技</w:t>
      </w:r>
      <w:r>
        <w:rPr>
          <w:rFonts w:hint="eastAsia" w:ascii="仿宋" w:hAnsi="仿宋" w:eastAsia="仿宋" w:cs="Arial"/>
          <w:sz w:val="32"/>
        </w:rPr>
        <w:t>术</w:t>
      </w:r>
      <w:r>
        <w:rPr>
          <w:rFonts w:ascii="仿宋" w:hAnsi="仿宋" w:eastAsia="仿宋" w:cs="Arial"/>
          <w:sz w:val="32"/>
        </w:rPr>
        <w:t>改</w:t>
      </w:r>
      <w:r>
        <w:rPr>
          <w:rFonts w:hint="eastAsia" w:ascii="仿宋" w:hAnsi="仿宋" w:eastAsia="仿宋" w:cs="Arial"/>
          <w:sz w:val="32"/>
        </w:rPr>
        <w:t>造</w:t>
      </w:r>
      <w:r>
        <w:rPr>
          <w:rFonts w:ascii="仿宋" w:hAnsi="仿宋" w:eastAsia="仿宋" w:cs="Arial"/>
          <w:sz w:val="32"/>
        </w:rPr>
        <w:t>行动，推动纺织服装、化工、冶金、建材等传统产业与前沿技术、跨界创新、颠覆模式对接链接。着力增品种、提品质、创品牌，推动相关产业、产品迈向高端化发展。聚焦电子信息、生物产业、新材料、新能源、智能装备等战略性新兴产业，大力补链强链延链。</w:t>
      </w:r>
      <w:r>
        <w:rPr>
          <w:rFonts w:hint="eastAsia" w:ascii="仿宋" w:hAnsi="仿宋" w:eastAsia="仿宋" w:cs="Arial"/>
          <w:sz w:val="32"/>
        </w:rPr>
        <w:t>加</w:t>
      </w:r>
      <w:r>
        <w:rPr>
          <w:rFonts w:ascii="仿宋" w:hAnsi="仿宋" w:eastAsia="仿宋" w:cs="Arial"/>
          <w:sz w:val="32"/>
        </w:rPr>
        <w:t>快中德</w:t>
      </w:r>
      <w:r>
        <w:rPr>
          <w:rFonts w:hint="eastAsia" w:ascii="仿宋" w:hAnsi="仿宋" w:eastAsia="仿宋" w:cs="Arial"/>
          <w:sz w:val="32"/>
        </w:rPr>
        <w:t>产</w:t>
      </w:r>
      <w:r>
        <w:rPr>
          <w:rFonts w:ascii="仿宋" w:hAnsi="仿宋" w:eastAsia="仿宋" w:cs="Arial"/>
          <w:sz w:val="32"/>
        </w:rPr>
        <w:t>业园建设，</w:t>
      </w:r>
      <w:r>
        <w:rPr>
          <w:rFonts w:hint="eastAsia" w:ascii="仿宋" w:hAnsi="仿宋" w:eastAsia="仿宋" w:cs="Arial"/>
          <w:sz w:val="32"/>
        </w:rPr>
        <w:t>带动高端制造业提档升级。</w:t>
      </w:r>
      <w:r>
        <w:rPr>
          <w:rFonts w:ascii="仿宋" w:hAnsi="仿宋" w:eastAsia="仿宋" w:cs="Arial"/>
          <w:sz w:val="32"/>
        </w:rPr>
        <w:t>“十四五”期间，各县</w:t>
      </w:r>
      <w:r>
        <w:rPr>
          <w:rFonts w:hint="eastAsia" w:ascii="仿宋" w:hAnsi="仿宋" w:eastAsia="仿宋" w:cs="Arial"/>
          <w:sz w:val="32"/>
        </w:rPr>
        <w:t>（</w:t>
      </w:r>
      <w:r>
        <w:rPr>
          <w:rFonts w:ascii="仿宋" w:hAnsi="仿宋" w:eastAsia="仿宋" w:cs="Arial"/>
          <w:sz w:val="32"/>
        </w:rPr>
        <w:t>市</w:t>
      </w:r>
      <w:r>
        <w:rPr>
          <w:rFonts w:hint="eastAsia" w:ascii="仿宋" w:hAnsi="仿宋" w:eastAsia="仿宋" w:cs="Arial"/>
          <w:sz w:val="32"/>
        </w:rPr>
        <w:t>、区）</w:t>
      </w:r>
      <w:r>
        <w:rPr>
          <w:rFonts w:ascii="仿宋" w:hAnsi="仿宋" w:eastAsia="仿宋" w:cs="Arial"/>
          <w:sz w:val="32"/>
        </w:rPr>
        <w:t>要聚焦聚力主导产业，加快提质转型。按照“区中园”模式，每个开发区至少布局1个新兴产业专业园区，推动开发区战略性新兴产业突破性发展，到“十四五”末，战略性新兴产业营业收入占比达到35%以上。</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bCs/>
          <w:sz w:val="32"/>
        </w:rPr>
        <w:t>3.</w:t>
      </w:r>
      <w:bookmarkStart w:id="971" w:name="_Toc15109"/>
      <w:bookmarkStart w:id="972" w:name="_Toc98162625"/>
      <w:bookmarkStart w:id="973" w:name="_Toc18720"/>
      <w:bookmarkStart w:id="974" w:name="_Toc98086663"/>
      <w:r>
        <w:rPr>
          <w:rFonts w:hint="eastAsia" w:ascii="仿宋" w:hAnsi="仿宋" w:eastAsia="仿宋" w:cs="Arial"/>
          <w:bCs/>
          <w:sz w:val="32"/>
        </w:rPr>
        <w:t>加快创新平台建设。</w:t>
      </w:r>
      <w:r>
        <w:rPr>
          <w:rFonts w:hint="eastAsia" w:ascii="仿宋" w:hAnsi="仿宋" w:eastAsia="仿宋" w:cs="Arial"/>
          <w:sz w:val="32"/>
        </w:rPr>
        <w:t>鼓励各开发区企业建设省级及以上重点实验室、技术创新中心、企业技术中心、工程研究中心、制造业创新中心等研发机构，利用</w:t>
      </w:r>
      <w:r>
        <w:rPr>
          <w:rFonts w:ascii="仿宋" w:hAnsi="仿宋" w:eastAsia="仿宋" w:cs="Arial"/>
          <w:sz w:val="32"/>
        </w:rPr>
        <w:t>3</w:t>
      </w:r>
      <w:r>
        <w:rPr>
          <w:rFonts w:hint="eastAsia" w:ascii="仿宋_GB2312" w:hAnsi="仿宋_GB2312" w:cs="仿宋_GB2312"/>
          <w:sz w:val="32"/>
        </w:rPr>
        <w:t>～</w:t>
      </w:r>
      <w:r>
        <w:rPr>
          <w:rFonts w:ascii="仿宋" w:hAnsi="仿宋" w:eastAsia="仿宋" w:cs="Arial"/>
          <w:sz w:val="32"/>
        </w:rPr>
        <w:t>5年时间，实现龙头企业、链主企业、发展前景好的重点企业研发机构全覆盖。围绕产业配套需求，在开发区布局一批技术研发转化、检验检测认证等产业平台，建设产业创新服务综合体。依托高水平院校、科研机构和行业龙头企业，每年每个开发区至少新建1家省级及以上创新平台或新型研发机构。</w:t>
      </w:r>
    </w:p>
    <w:p>
      <w:pPr>
        <w:pStyle w:val="24"/>
        <w:shd w:val="clear" w:color="auto" w:fill="FFFFFF"/>
        <w:spacing w:beforeAutospacing="0" w:afterAutospacing="0" w:line="560" w:lineRule="exact"/>
        <w:ind w:firstLine="160" w:firstLineChars="50"/>
        <w:contextualSpacing/>
        <w:jc w:val="center"/>
        <w:textAlignment w:val="top"/>
        <w:rPr>
          <w:rStyle w:val="29"/>
          <w:rFonts w:ascii="楷体" w:hAnsi="楷体" w:eastAsia="楷体" w:cstheme="minorBidi"/>
          <w:b w:val="0"/>
          <w:sz w:val="32"/>
        </w:rPr>
      </w:pPr>
      <w:r>
        <w:rPr>
          <w:rStyle w:val="29"/>
          <w:rFonts w:hint="eastAsia" w:ascii="楷体" w:hAnsi="楷体" w:eastAsia="楷体" w:cstheme="minorBidi"/>
          <w:b w:val="0"/>
          <w:sz w:val="32"/>
        </w:rPr>
        <w:t>第三节 提升县城综合承载能力</w:t>
      </w:r>
      <w:bookmarkEnd w:id="971"/>
      <w:bookmarkEnd w:id="972"/>
      <w:bookmarkEnd w:id="973"/>
      <w:bookmarkEnd w:id="974"/>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bCs/>
          <w:sz w:val="32"/>
        </w:rPr>
        <w:t>1.深入开展县城补短板强弱项。</w:t>
      </w:r>
      <w:r>
        <w:rPr>
          <w:rFonts w:hint="eastAsia" w:ascii="仿宋" w:hAnsi="仿宋" w:eastAsia="仿宋" w:cs="Arial"/>
          <w:sz w:val="32"/>
        </w:rPr>
        <w:t>适应日益增加的农民到县城就业安家需求，加快推进以县城为重要载体的城镇化建设，着力提升县城首位度，提升公共设施和服务能力，围绕公共服务设施提标扩面、环境卫生设施提级扩能、市政公用设施提档升级、产业培育设施提质增效，加快补齐县城突出短板。积极搭建政银对接服务平台，鼓励政策性开发性银行积极参与县城城镇化补短板强弱项，依托融资综合信用服务平台提升信贷便利化、智能化水平。</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bCs/>
          <w:sz w:val="32"/>
        </w:rPr>
        <w:t>2.强化小城镇连接城乡纽带作用。</w:t>
      </w:r>
      <w:r>
        <w:rPr>
          <w:rFonts w:hint="eastAsia" w:ascii="仿宋" w:hAnsi="仿宋" w:eastAsia="仿宋" w:cs="Arial"/>
          <w:sz w:val="32"/>
        </w:rPr>
        <w:t>因地制宜发展特色鲜明、产城融合、充满魅力的小城镇，增强对周边乡村的辐射带动作用。加强小城镇基础设施和公共服务设施供给，提高生活服务便利化程度，构建以乡镇政府所在地为中心的农村居民半小时生产生活圈。引导小城镇积极对接中心城市发展需求，融入产业链条，逐步发展成为卫星镇。引导区位优势明显、资源禀赋独特的小城镇发展成为先进制造、交通枢纽、商贸流通、文化旅游等专业功能镇；促进远离中心城区的小城镇完善公共基础设施，发展成为服务乡村、带动周边的综合性小城镇。培育发展一批基础</w:t>
      </w:r>
      <w:r>
        <w:rPr>
          <w:rFonts w:ascii="仿宋" w:hAnsi="仿宋" w:eastAsia="仿宋" w:cs="Arial"/>
          <w:sz w:val="32"/>
        </w:rPr>
        <w:t>较好、具</w:t>
      </w:r>
      <w:r>
        <w:rPr>
          <w:rFonts w:hint="eastAsia" w:ascii="仿宋" w:hAnsi="仿宋" w:eastAsia="仿宋" w:cs="Arial"/>
          <w:sz w:val="32"/>
        </w:rPr>
        <w:t>有一定</w:t>
      </w:r>
      <w:r>
        <w:rPr>
          <w:rFonts w:ascii="仿宋" w:hAnsi="仿宋" w:eastAsia="仿宋" w:cs="Arial"/>
          <w:sz w:val="32"/>
        </w:rPr>
        <w:t>人口规模的</w:t>
      </w:r>
      <w:r>
        <w:rPr>
          <w:rFonts w:hint="eastAsia" w:ascii="仿宋" w:hAnsi="仿宋" w:eastAsia="仿宋" w:cs="Arial"/>
          <w:sz w:val="32"/>
        </w:rPr>
        <w:t>小</w:t>
      </w:r>
      <w:r>
        <w:rPr>
          <w:rFonts w:ascii="仿宋" w:hAnsi="仿宋" w:eastAsia="仿宋" w:cs="Arial"/>
          <w:sz w:val="32"/>
        </w:rPr>
        <w:t>城镇</w:t>
      </w:r>
      <w:r>
        <w:rPr>
          <w:rFonts w:hint="eastAsia" w:ascii="仿宋" w:hAnsi="仿宋" w:eastAsia="仿宋" w:cs="Arial"/>
          <w:sz w:val="32"/>
        </w:rPr>
        <w:t>率</w:t>
      </w:r>
      <w:r>
        <w:rPr>
          <w:rFonts w:ascii="仿宋" w:hAnsi="仿宋" w:eastAsia="仿宋" w:cs="Arial"/>
          <w:sz w:val="32"/>
        </w:rPr>
        <w:t>先发展成为小城市</w:t>
      </w:r>
      <w:r>
        <w:rPr>
          <w:rFonts w:hint="eastAsia" w:ascii="仿宋" w:hAnsi="仿宋" w:eastAsia="仿宋" w:cs="Arial"/>
          <w:sz w:val="32"/>
        </w:rPr>
        <w:t>。</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rPr>
      </w:pPr>
      <w:r>
        <w:rPr>
          <w:rFonts w:hint="eastAsia" w:ascii="仿宋" w:hAnsi="仿宋" w:eastAsia="仿宋" w:cs="Arial"/>
          <w:bCs/>
          <w:sz w:val="32"/>
        </w:rPr>
        <w:t>3.促进特色小镇规范健康发展。</w:t>
      </w:r>
      <w:r>
        <w:rPr>
          <w:rFonts w:hint="eastAsia" w:ascii="仿宋" w:hAnsi="仿宋" w:eastAsia="仿宋" w:cs="Arial"/>
          <w:sz w:val="32"/>
        </w:rPr>
        <w:t>聚焦先进制造、科技创新、创意设计、数字经济、创投基金、金融服务、商贸流通、文化旅游、体育运动、三产融合等产业类型，培育建设一批产业特而强、功能聚而合、形态小而美、机制新而活的精品特色小镇。建立特色小镇清单管理制度，加强底线约束和规范纠偏，节约集约利用土地，严防地方政府债务风险，严控房地产化倾向，严守安全生产底线。</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djustRightInd w:val="0"/>
              <w:spacing w:line="400" w:lineRule="exact"/>
              <w:contextualSpacing/>
              <w:jc w:val="center"/>
              <w:rPr>
                <w:rFonts w:ascii="黑体" w:hAnsi="黑体" w:eastAsia="黑体"/>
                <w:bCs/>
                <w:kern w:val="0"/>
                <w:sz w:val="24"/>
                <w:szCs w:val="24"/>
              </w:rPr>
            </w:pPr>
            <w:r>
              <w:rPr>
                <w:rFonts w:hint="eastAsia" w:ascii="黑体" w:hAnsi="黑体" w:eastAsia="黑体" w:cs="黑体"/>
                <w:bCs/>
                <w:kern w:val="0"/>
                <w:sz w:val="28"/>
                <w:szCs w:val="28"/>
              </w:rPr>
              <w:t>专栏4：县城补短板强弱项示范县建设工程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8296" w:type="dxa"/>
          </w:tcPr>
          <w:p>
            <w:pPr>
              <w:spacing w:line="400" w:lineRule="exact"/>
              <w:ind w:firstLine="470" w:firstLineChars="196"/>
              <w:contextualSpacing/>
              <w:rPr>
                <w:rFonts w:ascii="仿宋" w:hAnsi="仿宋" w:eastAsia="仿宋"/>
                <w:kern w:val="0"/>
                <w:sz w:val="24"/>
                <w:szCs w:val="24"/>
              </w:rPr>
            </w:pPr>
            <w:r>
              <w:rPr>
                <w:rFonts w:hint="eastAsia" w:ascii="楷体" w:hAnsi="楷体" w:eastAsia="楷体" w:cs="楷体"/>
                <w:sz w:val="24"/>
                <w:szCs w:val="24"/>
              </w:rPr>
              <w:t>方城县：</w:t>
            </w:r>
            <w:r>
              <w:rPr>
                <w:rFonts w:hint="eastAsia" w:ascii="仿宋" w:hAnsi="仿宋" w:eastAsia="仿宋"/>
                <w:kern w:val="0"/>
                <w:sz w:val="24"/>
                <w:szCs w:val="24"/>
              </w:rPr>
              <w:t>围绕公共服务设施和水利设施等领域补短板强弱项，安排建设任务2</w:t>
            </w:r>
            <w:r>
              <w:rPr>
                <w:rFonts w:ascii="仿宋" w:hAnsi="仿宋" w:eastAsia="仿宋"/>
                <w:kern w:val="0"/>
                <w:sz w:val="24"/>
                <w:szCs w:val="24"/>
              </w:rPr>
              <w:t>5</w:t>
            </w:r>
            <w:r>
              <w:rPr>
                <w:rFonts w:hint="eastAsia" w:ascii="仿宋" w:hAnsi="仿宋" w:eastAsia="仿宋"/>
                <w:kern w:val="0"/>
                <w:sz w:val="24"/>
                <w:szCs w:val="24"/>
              </w:rPr>
              <w:t>处。重点推进县五高中新校区等项目。</w:t>
            </w:r>
          </w:p>
          <w:p>
            <w:pPr>
              <w:spacing w:line="400" w:lineRule="exact"/>
              <w:ind w:firstLine="470" w:firstLineChars="196"/>
              <w:contextualSpacing/>
              <w:rPr>
                <w:rFonts w:ascii="仿宋" w:hAnsi="仿宋" w:eastAsia="仿宋"/>
                <w:kern w:val="0"/>
                <w:sz w:val="24"/>
                <w:szCs w:val="24"/>
              </w:rPr>
            </w:pPr>
            <w:r>
              <w:rPr>
                <w:rFonts w:hint="eastAsia" w:ascii="楷体" w:hAnsi="楷体" w:eastAsia="楷体" w:cs="楷体"/>
                <w:sz w:val="24"/>
                <w:szCs w:val="24"/>
              </w:rPr>
              <w:t>内乡县：</w:t>
            </w:r>
            <w:r>
              <w:rPr>
                <w:rFonts w:hint="eastAsia" w:ascii="仿宋" w:hAnsi="仿宋" w:eastAsia="仿宋"/>
                <w:kern w:val="0"/>
                <w:sz w:val="24"/>
                <w:szCs w:val="24"/>
              </w:rPr>
              <w:t>围绕公共基础设施和公共服务等领域补短板强弱项，其中覆盖交通项目</w:t>
            </w:r>
            <w:r>
              <w:rPr>
                <w:rFonts w:ascii="仿宋" w:hAnsi="仿宋" w:eastAsia="仿宋"/>
                <w:kern w:val="0"/>
                <w:sz w:val="24"/>
                <w:szCs w:val="24"/>
              </w:rPr>
              <w:t>2</w:t>
            </w:r>
            <w:r>
              <w:rPr>
                <w:rFonts w:hint="eastAsia" w:ascii="仿宋" w:hAnsi="仿宋" w:eastAsia="仿宋"/>
                <w:kern w:val="0"/>
                <w:sz w:val="24"/>
                <w:szCs w:val="24"/>
              </w:rPr>
              <w:t>项，住房和城建局项目5项，其他部门项目4项，并继续实施尚未完工的“9</w:t>
            </w:r>
            <w:r>
              <w:rPr>
                <w:rFonts w:ascii="仿宋" w:hAnsi="仿宋" w:eastAsia="仿宋"/>
                <w:kern w:val="0"/>
                <w:sz w:val="24"/>
                <w:szCs w:val="24"/>
              </w:rPr>
              <w:t>82</w:t>
            </w:r>
            <w:r>
              <w:rPr>
                <w:rFonts w:hint="eastAsia" w:ascii="仿宋" w:hAnsi="仿宋" w:eastAsia="仿宋"/>
                <w:kern w:val="0"/>
                <w:sz w:val="24"/>
                <w:szCs w:val="24"/>
              </w:rPr>
              <w:t>”工程项目。</w:t>
            </w:r>
          </w:p>
          <w:p>
            <w:pPr>
              <w:spacing w:line="400" w:lineRule="exact"/>
              <w:ind w:firstLine="470" w:firstLineChars="196"/>
              <w:contextualSpacing/>
              <w:rPr>
                <w:rFonts w:ascii="仿宋" w:hAnsi="仿宋" w:eastAsia="仿宋"/>
                <w:kern w:val="0"/>
                <w:sz w:val="24"/>
                <w:szCs w:val="24"/>
              </w:rPr>
            </w:pPr>
            <w:r>
              <w:rPr>
                <w:rFonts w:hint="eastAsia" w:ascii="楷体" w:hAnsi="楷体" w:eastAsia="楷体" w:cs="楷体"/>
                <w:sz w:val="24"/>
                <w:szCs w:val="24"/>
              </w:rPr>
              <w:t>镇平县：</w:t>
            </w:r>
            <w:r>
              <w:rPr>
                <w:rFonts w:hint="eastAsia" w:ascii="仿宋" w:hAnsi="仿宋" w:eastAsia="仿宋"/>
                <w:kern w:val="0"/>
                <w:sz w:val="24"/>
                <w:szCs w:val="24"/>
              </w:rPr>
              <w:t>围绕公共基础设施和公共服务等领域补短板强弱项，重点推进张林镇数字智慧农业和杨营镇道路、桥涵基础设施等项目。</w:t>
            </w:r>
          </w:p>
          <w:p>
            <w:pPr>
              <w:spacing w:line="400" w:lineRule="exact"/>
              <w:ind w:firstLine="470" w:firstLineChars="196"/>
              <w:contextualSpacing/>
              <w:rPr>
                <w:rFonts w:ascii="仿宋" w:hAnsi="仿宋" w:eastAsia="仿宋"/>
                <w:kern w:val="0"/>
                <w:sz w:val="24"/>
                <w:szCs w:val="24"/>
              </w:rPr>
            </w:pPr>
            <w:r>
              <w:rPr>
                <w:rFonts w:hint="eastAsia" w:ascii="楷体" w:hAnsi="楷体" w:eastAsia="楷体" w:cs="楷体"/>
                <w:sz w:val="24"/>
                <w:szCs w:val="24"/>
              </w:rPr>
              <w:t>桐柏县：</w:t>
            </w:r>
            <w:r>
              <w:rPr>
                <w:rFonts w:hint="eastAsia" w:ascii="仿宋" w:hAnsi="仿宋" w:eastAsia="仿宋"/>
                <w:kern w:val="0"/>
                <w:sz w:val="24"/>
                <w:szCs w:val="24"/>
              </w:rPr>
              <w:t>围绕公共基础设施和公共服务等领域补短板强弱项，其中覆盖“河南省补短板9</w:t>
            </w:r>
            <w:r>
              <w:rPr>
                <w:rFonts w:ascii="仿宋" w:hAnsi="仿宋" w:eastAsia="仿宋"/>
                <w:kern w:val="0"/>
                <w:sz w:val="24"/>
                <w:szCs w:val="24"/>
              </w:rPr>
              <w:t>82</w:t>
            </w:r>
            <w:r>
              <w:rPr>
                <w:rFonts w:hint="eastAsia" w:ascii="仿宋" w:hAnsi="仿宋" w:eastAsia="仿宋"/>
                <w:kern w:val="0"/>
                <w:sz w:val="24"/>
                <w:szCs w:val="24"/>
              </w:rPr>
              <w:t>工程”项目</w:t>
            </w:r>
            <w:r>
              <w:rPr>
                <w:rFonts w:ascii="仿宋" w:hAnsi="仿宋" w:eastAsia="仿宋"/>
                <w:kern w:val="0"/>
                <w:sz w:val="24"/>
                <w:szCs w:val="24"/>
              </w:rPr>
              <w:t>3</w:t>
            </w:r>
            <w:r>
              <w:rPr>
                <w:rFonts w:hint="eastAsia" w:ascii="仿宋" w:hAnsi="仿宋" w:eastAsia="仿宋"/>
                <w:kern w:val="0"/>
                <w:sz w:val="24"/>
                <w:szCs w:val="24"/>
              </w:rPr>
              <w:t>项。重点推进河南省南阳市桐柏县公立中医院门诊医技综合楼建设项目、桐柏县妇儿产科中老年综合楼建设项目。</w:t>
            </w:r>
          </w:p>
          <w:p>
            <w:pPr>
              <w:spacing w:line="400" w:lineRule="exact"/>
              <w:ind w:firstLine="470" w:firstLineChars="196"/>
              <w:contextualSpacing/>
              <w:rPr>
                <w:rFonts w:ascii="仿宋" w:hAnsi="仿宋" w:eastAsia="仿宋"/>
                <w:kern w:val="0"/>
                <w:sz w:val="24"/>
                <w:szCs w:val="24"/>
              </w:rPr>
            </w:pPr>
            <w:r>
              <w:rPr>
                <w:rFonts w:hint="eastAsia" w:ascii="楷体" w:hAnsi="楷体" w:eastAsia="楷体" w:cs="楷体"/>
                <w:sz w:val="24"/>
                <w:szCs w:val="24"/>
              </w:rPr>
              <w:t>唐河县：</w:t>
            </w:r>
            <w:r>
              <w:rPr>
                <w:rFonts w:hint="eastAsia" w:ascii="仿宋" w:hAnsi="仿宋" w:eastAsia="仿宋"/>
                <w:kern w:val="0"/>
                <w:sz w:val="24"/>
                <w:szCs w:val="24"/>
              </w:rPr>
              <w:t>围绕公共基础设施和公共服务等领域补短板强弱项，其中覆盖“河南省补短板9</w:t>
            </w:r>
            <w:r>
              <w:rPr>
                <w:rFonts w:ascii="仿宋" w:hAnsi="仿宋" w:eastAsia="仿宋"/>
                <w:kern w:val="0"/>
                <w:sz w:val="24"/>
                <w:szCs w:val="24"/>
              </w:rPr>
              <w:t>82</w:t>
            </w:r>
            <w:r>
              <w:rPr>
                <w:rFonts w:hint="eastAsia" w:ascii="仿宋" w:hAnsi="仿宋" w:eastAsia="仿宋"/>
                <w:kern w:val="0"/>
                <w:sz w:val="24"/>
                <w:szCs w:val="24"/>
              </w:rPr>
              <w:t>工程”项目3项。重点推进唐河县精神病医院建设项目、唐河县精神病医院张店分院建设项目、唐河县第三人民医院湖阳分院及滨河分院建设项目。</w:t>
            </w:r>
          </w:p>
          <w:p>
            <w:pPr>
              <w:spacing w:line="400" w:lineRule="exact"/>
              <w:ind w:firstLine="470" w:firstLineChars="196"/>
              <w:contextualSpacing/>
              <w:rPr>
                <w:rFonts w:ascii="仿宋" w:hAnsi="仿宋" w:eastAsia="仿宋"/>
                <w:kern w:val="0"/>
                <w:sz w:val="24"/>
                <w:szCs w:val="24"/>
              </w:rPr>
            </w:pPr>
            <w:r>
              <w:rPr>
                <w:rFonts w:hint="eastAsia" w:ascii="楷体" w:hAnsi="楷体" w:eastAsia="楷体" w:cs="楷体"/>
                <w:sz w:val="24"/>
                <w:szCs w:val="24"/>
              </w:rPr>
              <w:t>新野县：</w:t>
            </w:r>
            <w:r>
              <w:rPr>
                <w:rFonts w:hint="eastAsia" w:ascii="仿宋" w:hAnsi="仿宋" w:eastAsia="仿宋"/>
                <w:kern w:val="0"/>
                <w:sz w:val="24"/>
                <w:szCs w:val="24"/>
              </w:rPr>
              <w:t>围绕公共基础设施和公共服务等领域补短板强弱项，其中覆盖“河南省补短板9</w:t>
            </w:r>
            <w:r>
              <w:rPr>
                <w:rFonts w:ascii="仿宋" w:hAnsi="仿宋" w:eastAsia="仿宋"/>
                <w:kern w:val="0"/>
                <w:sz w:val="24"/>
                <w:szCs w:val="24"/>
              </w:rPr>
              <w:t>82</w:t>
            </w:r>
            <w:r>
              <w:rPr>
                <w:rFonts w:hint="eastAsia" w:ascii="仿宋" w:hAnsi="仿宋" w:eastAsia="仿宋"/>
                <w:kern w:val="0"/>
                <w:sz w:val="24"/>
                <w:szCs w:val="24"/>
              </w:rPr>
              <w:t>工程”项目</w:t>
            </w:r>
            <w:r>
              <w:rPr>
                <w:rFonts w:ascii="仿宋" w:hAnsi="仿宋" w:eastAsia="仿宋"/>
                <w:kern w:val="0"/>
                <w:sz w:val="24"/>
                <w:szCs w:val="24"/>
              </w:rPr>
              <w:t>9</w:t>
            </w:r>
            <w:r>
              <w:rPr>
                <w:rFonts w:hint="eastAsia" w:ascii="仿宋" w:hAnsi="仿宋" w:eastAsia="仿宋"/>
                <w:kern w:val="0"/>
                <w:sz w:val="24"/>
                <w:szCs w:val="24"/>
              </w:rPr>
              <w:t>项。重点推进新野新区医院建设项目、南阳市新野县卫生职业中等专业学校附属医院门（急）诊、医技、住院综合楼建设项目、南阳市新野县人民医院呼吸重症病区建设项目、新野县中医院迁建工程建设项目、新野县第二人民医院（汉城社区卫生服务中心）迁址新建项目、新野县公共卫生能力提升工程、新野县中医院门（急）诊（含发热门诊）、医技综合楼建设项目、新野县中医院康养中心、医科教中心及制剂楼建设项目、新野县中医院住院楼及附属工程建设项目。</w:t>
            </w:r>
          </w:p>
          <w:p>
            <w:pPr>
              <w:spacing w:line="400" w:lineRule="exact"/>
              <w:ind w:firstLine="470" w:firstLineChars="196"/>
              <w:contextualSpacing/>
              <w:rPr>
                <w:rFonts w:ascii="仿宋" w:hAnsi="仿宋" w:eastAsia="仿宋"/>
                <w:kern w:val="0"/>
                <w:sz w:val="24"/>
                <w:szCs w:val="24"/>
              </w:rPr>
            </w:pPr>
            <w:r>
              <w:rPr>
                <w:rFonts w:hint="eastAsia" w:ascii="楷体" w:hAnsi="楷体" w:eastAsia="楷体" w:cs="楷体"/>
                <w:sz w:val="24"/>
                <w:szCs w:val="24"/>
              </w:rPr>
              <w:t>卧龙区：</w:t>
            </w:r>
            <w:r>
              <w:rPr>
                <w:rFonts w:hint="eastAsia" w:ascii="仿宋" w:hAnsi="仿宋" w:eastAsia="仿宋"/>
                <w:kern w:val="0"/>
                <w:sz w:val="24"/>
                <w:szCs w:val="24"/>
              </w:rPr>
              <w:t>围绕公共基础设施和公共服务等领域补短板强弱项，其中覆盖“河南省补短板9</w:t>
            </w:r>
            <w:r>
              <w:rPr>
                <w:rFonts w:ascii="仿宋" w:hAnsi="仿宋" w:eastAsia="仿宋"/>
                <w:kern w:val="0"/>
                <w:sz w:val="24"/>
                <w:szCs w:val="24"/>
              </w:rPr>
              <w:t>82</w:t>
            </w:r>
            <w:r>
              <w:rPr>
                <w:rFonts w:hint="eastAsia" w:ascii="仿宋" w:hAnsi="仿宋" w:eastAsia="仿宋"/>
                <w:kern w:val="0"/>
                <w:sz w:val="24"/>
                <w:szCs w:val="24"/>
              </w:rPr>
              <w:t>工程”项目</w:t>
            </w:r>
            <w:r>
              <w:rPr>
                <w:rFonts w:ascii="仿宋" w:hAnsi="仿宋" w:eastAsia="仿宋"/>
                <w:kern w:val="0"/>
                <w:sz w:val="24"/>
                <w:szCs w:val="24"/>
              </w:rPr>
              <w:t>1</w:t>
            </w:r>
            <w:r>
              <w:rPr>
                <w:rFonts w:hint="eastAsia" w:ascii="仿宋" w:hAnsi="仿宋" w:eastAsia="仿宋"/>
                <w:kern w:val="0"/>
                <w:sz w:val="24"/>
                <w:szCs w:val="24"/>
              </w:rPr>
              <w:t>项。重点推进南石医院扩建业务用房建设项目。</w:t>
            </w:r>
          </w:p>
          <w:p>
            <w:pPr>
              <w:spacing w:line="400" w:lineRule="exact"/>
              <w:ind w:firstLine="470" w:firstLineChars="196"/>
              <w:contextualSpacing/>
              <w:rPr>
                <w:rFonts w:ascii="仿宋" w:hAnsi="仿宋" w:eastAsia="仿宋"/>
                <w:kern w:val="0"/>
                <w:sz w:val="24"/>
                <w:szCs w:val="24"/>
              </w:rPr>
            </w:pPr>
            <w:r>
              <w:rPr>
                <w:rFonts w:hint="eastAsia" w:ascii="楷体" w:hAnsi="楷体" w:eastAsia="楷体" w:cs="楷体"/>
                <w:sz w:val="24"/>
                <w:szCs w:val="24"/>
              </w:rPr>
              <w:t>宛城区：</w:t>
            </w:r>
            <w:r>
              <w:rPr>
                <w:rFonts w:hint="eastAsia" w:ascii="仿宋" w:hAnsi="仿宋" w:eastAsia="仿宋"/>
                <w:kern w:val="0"/>
                <w:sz w:val="24"/>
                <w:szCs w:val="24"/>
              </w:rPr>
              <w:t>围绕公共基础设施和公共服务等领域补短板强弱项，其中覆盖“河南省补短板9</w:t>
            </w:r>
            <w:r>
              <w:rPr>
                <w:rFonts w:ascii="仿宋" w:hAnsi="仿宋" w:eastAsia="仿宋"/>
                <w:kern w:val="0"/>
                <w:sz w:val="24"/>
                <w:szCs w:val="24"/>
              </w:rPr>
              <w:t>82</w:t>
            </w:r>
            <w:r>
              <w:rPr>
                <w:rFonts w:hint="eastAsia" w:ascii="仿宋" w:hAnsi="仿宋" w:eastAsia="仿宋"/>
                <w:kern w:val="0"/>
                <w:sz w:val="24"/>
                <w:szCs w:val="24"/>
              </w:rPr>
              <w:t>工程”项目</w:t>
            </w:r>
            <w:r>
              <w:rPr>
                <w:rFonts w:ascii="仿宋" w:hAnsi="仿宋" w:eastAsia="仿宋"/>
                <w:kern w:val="0"/>
                <w:sz w:val="24"/>
                <w:szCs w:val="24"/>
              </w:rPr>
              <w:t>1</w:t>
            </w:r>
            <w:r>
              <w:rPr>
                <w:rFonts w:hint="eastAsia" w:ascii="仿宋" w:hAnsi="仿宋" w:eastAsia="仿宋"/>
                <w:kern w:val="0"/>
                <w:sz w:val="24"/>
                <w:szCs w:val="24"/>
              </w:rPr>
              <w:t>项。重点推进南阳黎明康复医院医疗建设项目。</w:t>
            </w:r>
          </w:p>
          <w:p>
            <w:pPr>
              <w:spacing w:line="400" w:lineRule="exact"/>
              <w:ind w:firstLine="470" w:firstLineChars="196"/>
              <w:contextualSpacing/>
              <w:rPr>
                <w:rFonts w:ascii="仿宋" w:hAnsi="仿宋" w:eastAsia="仿宋"/>
                <w:kern w:val="0"/>
                <w:sz w:val="24"/>
                <w:szCs w:val="24"/>
              </w:rPr>
            </w:pPr>
            <w:r>
              <w:rPr>
                <w:rFonts w:hint="eastAsia" w:ascii="楷体" w:hAnsi="楷体" w:eastAsia="楷体" w:cs="楷体"/>
                <w:sz w:val="24"/>
                <w:szCs w:val="24"/>
              </w:rPr>
              <w:t>高新区：</w:t>
            </w:r>
            <w:r>
              <w:rPr>
                <w:rFonts w:hint="eastAsia" w:ascii="仿宋" w:hAnsi="仿宋" w:eastAsia="仿宋"/>
                <w:kern w:val="0"/>
                <w:sz w:val="24"/>
                <w:szCs w:val="24"/>
              </w:rPr>
              <w:t>围绕公共基础设施和公共服务等领域补短板强弱项，其中覆盖“河南省补短板9</w:t>
            </w:r>
            <w:r>
              <w:rPr>
                <w:rFonts w:ascii="仿宋" w:hAnsi="仿宋" w:eastAsia="仿宋"/>
                <w:kern w:val="0"/>
                <w:sz w:val="24"/>
                <w:szCs w:val="24"/>
              </w:rPr>
              <w:t>82</w:t>
            </w:r>
            <w:r>
              <w:rPr>
                <w:rFonts w:hint="eastAsia" w:ascii="仿宋" w:hAnsi="仿宋" w:eastAsia="仿宋"/>
                <w:kern w:val="0"/>
                <w:sz w:val="24"/>
                <w:szCs w:val="24"/>
              </w:rPr>
              <w:t>工程”项目</w:t>
            </w:r>
            <w:r>
              <w:rPr>
                <w:rFonts w:ascii="仿宋" w:hAnsi="仿宋" w:eastAsia="仿宋"/>
                <w:kern w:val="0"/>
                <w:sz w:val="24"/>
                <w:szCs w:val="24"/>
              </w:rPr>
              <w:t>2</w:t>
            </w:r>
            <w:r>
              <w:rPr>
                <w:rFonts w:hint="eastAsia" w:ascii="仿宋" w:hAnsi="仿宋" w:eastAsia="仿宋"/>
                <w:kern w:val="0"/>
                <w:sz w:val="24"/>
                <w:szCs w:val="24"/>
              </w:rPr>
              <w:t>项。重点推进南阳市高新区医院医养结合中心、南阳骨科医院迁建项目。</w:t>
            </w:r>
          </w:p>
        </w:tc>
      </w:tr>
    </w:tbl>
    <w:p>
      <w:pPr>
        <w:pStyle w:val="7"/>
        <w:spacing w:line="560" w:lineRule="exact"/>
        <w:contextualSpacing/>
        <w:jc w:val="center"/>
        <w:rPr>
          <w:rStyle w:val="29"/>
          <w:rFonts w:ascii="楷体" w:hAnsi="楷体" w:eastAsia="楷体" w:cstheme="minorBidi"/>
          <w:b w:val="0"/>
        </w:rPr>
      </w:pPr>
      <w:bookmarkStart w:id="975" w:name="_Toc98162626"/>
      <w:bookmarkStart w:id="976" w:name="_Toc13274"/>
      <w:bookmarkStart w:id="977" w:name="_Toc98086664"/>
      <w:bookmarkStart w:id="978" w:name="_Toc19791"/>
      <w:r>
        <w:rPr>
          <w:rStyle w:val="29"/>
          <w:rFonts w:hint="eastAsia" w:ascii="楷体" w:hAnsi="楷体" w:eastAsia="楷体" w:cstheme="minorBidi"/>
          <w:b w:val="0"/>
        </w:rPr>
        <w:t>第四节 深化县域放权赋能改革</w:t>
      </w:r>
      <w:bookmarkEnd w:id="975"/>
      <w:bookmarkEnd w:id="976"/>
      <w:bookmarkEnd w:id="977"/>
      <w:bookmarkEnd w:id="978"/>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bCs/>
          <w:sz w:val="32"/>
        </w:rPr>
        <w:t>1.深化扩权强县体制机制改革。</w:t>
      </w:r>
      <w:r>
        <w:rPr>
          <w:rFonts w:hint="eastAsia" w:ascii="仿宋" w:hAnsi="仿宋" w:eastAsia="仿宋" w:cs="Arial"/>
          <w:sz w:val="32"/>
        </w:rPr>
        <w:t>按照“能放尽放”原则推进权力下放，扩大县（市）经济社会发展自主权。选择</w:t>
      </w:r>
      <w:r>
        <w:rPr>
          <w:rFonts w:ascii="仿宋" w:hAnsi="仿宋" w:eastAsia="仿宋" w:cs="Arial"/>
          <w:sz w:val="32"/>
        </w:rPr>
        <w:t>10万人以上的经济发达镇作为试点，赋予同人口规模和经济社会发展相适应的管理权。全面深化</w:t>
      </w:r>
      <w:r>
        <w:rPr>
          <w:rFonts w:hint="eastAsia" w:ascii="仿宋" w:hAnsi="仿宋" w:eastAsia="仿宋" w:cs="Arial"/>
          <w:sz w:val="32"/>
        </w:rPr>
        <w:t>县域财政管理</w:t>
      </w:r>
      <w:r>
        <w:rPr>
          <w:rFonts w:ascii="仿宋" w:hAnsi="仿宋" w:eastAsia="仿宋" w:cs="Arial"/>
          <w:sz w:val="32"/>
        </w:rPr>
        <w:t>改革，围绕县域高新技术产业、新兴产业发展等，建立健全财税激励政策体系，加快形成权责清晰、财力协调、区域均衡的市县财政关系。</w:t>
      </w:r>
    </w:p>
    <w:p>
      <w:pPr>
        <w:pStyle w:val="24"/>
        <w:shd w:val="clear" w:color="auto" w:fill="FFFFFF"/>
        <w:spacing w:beforeAutospacing="0" w:afterAutospacing="0" w:line="560" w:lineRule="exact"/>
        <w:ind w:firstLine="640" w:firstLineChars="200"/>
        <w:contextualSpacing/>
        <w:jc w:val="both"/>
        <w:textAlignment w:val="top"/>
        <w:rPr>
          <w:rStyle w:val="29"/>
          <w:rFonts w:ascii="黑体" w:hAnsi="黑体" w:eastAsia="黑体" w:cs="Meiryo"/>
          <w:b w:val="0"/>
          <w:sz w:val="32"/>
        </w:rPr>
      </w:pPr>
      <w:r>
        <w:rPr>
          <w:rFonts w:hint="eastAsia" w:ascii="仿宋" w:hAnsi="仿宋" w:eastAsia="仿宋" w:cs="Arial"/>
          <w:bCs/>
          <w:sz w:val="32"/>
        </w:rPr>
        <w:t>2.推进县域开放型经济体制改革。</w:t>
      </w:r>
      <w:r>
        <w:rPr>
          <w:rFonts w:hint="eastAsia" w:ascii="仿宋" w:hAnsi="仿宋" w:eastAsia="仿宋" w:cs="Arial"/>
          <w:sz w:val="32"/>
        </w:rPr>
        <w:t>实施审批服务事项权力清单和监管清单“一单规范”管理，全面推进“一网通办”。加强企业家队伍建设，建立健全现代企业制度，提高企业市场竞争力。完善联系服务企业制度，支持设立民营企业纾困救助基金。开展县域营商环境评价试点，逐步实现对县（市）第三方营商环境评价全覆盖。创新招商理念和模式，建好招商引资服务平台，打造专业化招商队伍。</w:t>
      </w:r>
    </w:p>
    <w:p>
      <w:pPr>
        <w:pStyle w:val="6"/>
        <w:spacing w:line="560" w:lineRule="exact"/>
        <w:ind w:firstLine="640"/>
        <w:contextualSpacing/>
        <w:jc w:val="center"/>
        <w:rPr>
          <w:rStyle w:val="29"/>
          <w:rFonts w:ascii="黑体" w:hAnsi="黑体" w:cs="黑体"/>
          <w:b w:val="0"/>
          <w:szCs w:val="32"/>
        </w:rPr>
      </w:pPr>
      <w:bookmarkStart w:id="979" w:name="_Toc98162627"/>
      <w:bookmarkStart w:id="980" w:name="_Toc98086665"/>
      <w:bookmarkStart w:id="981" w:name="_Toc23120"/>
      <w:r>
        <w:rPr>
          <w:rStyle w:val="29"/>
          <w:rFonts w:hint="eastAsia" w:ascii="黑体" w:hAnsi="黑体" w:cs="黑体"/>
          <w:b w:val="0"/>
          <w:szCs w:val="32"/>
        </w:rPr>
        <w:t>第</w:t>
      </w:r>
      <w:r>
        <w:rPr>
          <w:rStyle w:val="29"/>
          <w:rFonts w:ascii="黑体" w:hAnsi="黑体" w:cs="黑体"/>
          <w:b w:val="0"/>
          <w:szCs w:val="32"/>
        </w:rPr>
        <w:t xml:space="preserve">五章 </w:t>
      </w:r>
      <w:r>
        <w:rPr>
          <w:rStyle w:val="29"/>
          <w:rFonts w:hint="eastAsia" w:ascii="黑体" w:hAnsi="黑体" w:cs="黑体"/>
          <w:b w:val="0"/>
          <w:szCs w:val="32"/>
        </w:rPr>
        <w:t>推动农业转移人口全面融入城市</w:t>
      </w:r>
      <w:bookmarkEnd w:id="979"/>
      <w:bookmarkEnd w:id="980"/>
      <w:bookmarkEnd w:id="981"/>
    </w:p>
    <w:p>
      <w:pPr>
        <w:pStyle w:val="24"/>
        <w:shd w:val="clear" w:color="auto" w:fill="FFFFFF"/>
        <w:spacing w:beforeAutospacing="0" w:afterAutospacing="0" w:line="560" w:lineRule="exact"/>
        <w:ind w:firstLine="640" w:firstLineChars="200"/>
        <w:contextualSpacing/>
        <w:jc w:val="both"/>
        <w:textAlignment w:val="top"/>
        <w:rPr>
          <w:rFonts w:ascii="Times New Roman" w:hAnsi="Times New Roman" w:eastAsia="仿宋" w:cs="Arial"/>
          <w:sz w:val="32"/>
        </w:rPr>
      </w:pPr>
      <w:r>
        <w:rPr>
          <w:rFonts w:hint="eastAsia" w:ascii="Times New Roman" w:hAnsi="Times New Roman" w:eastAsia="仿宋" w:cs="Arial"/>
          <w:sz w:val="32"/>
        </w:rPr>
        <w:t>坚持把以人为本作为核心取向，贯穿城镇化发展各方面，以更优的公共服务、更好的资源供给、更智慧的城市管理推动人的全面发展，全面深化户籍制度改革和新型居住证制度，推动常住人口全面享有城市基本公共服务，高质量推动农业转移人口全面融入城市。</w:t>
      </w:r>
    </w:p>
    <w:p>
      <w:pPr>
        <w:pStyle w:val="7"/>
        <w:spacing w:line="560" w:lineRule="exact"/>
        <w:contextualSpacing/>
        <w:jc w:val="center"/>
        <w:rPr>
          <w:rStyle w:val="29"/>
          <w:rFonts w:ascii="楷体" w:hAnsi="楷体" w:eastAsia="楷体" w:cstheme="minorBidi"/>
          <w:b w:val="0"/>
        </w:rPr>
      </w:pPr>
      <w:bookmarkStart w:id="982" w:name="_Toc18434"/>
      <w:bookmarkStart w:id="983" w:name="_Toc98162628"/>
      <w:bookmarkStart w:id="984" w:name="_Toc847"/>
      <w:bookmarkStart w:id="985" w:name="_Toc98086666"/>
      <w:r>
        <w:rPr>
          <w:rStyle w:val="29"/>
          <w:rFonts w:hint="eastAsia" w:ascii="楷体" w:hAnsi="楷体" w:eastAsia="楷体" w:cstheme="minorBidi"/>
          <w:b w:val="0"/>
        </w:rPr>
        <w:t xml:space="preserve">第一节 </w:t>
      </w:r>
      <w:r>
        <w:rPr>
          <w:rStyle w:val="29"/>
          <w:rFonts w:ascii="楷体" w:hAnsi="楷体" w:eastAsia="楷体" w:cstheme="minorBidi"/>
          <w:b w:val="0"/>
        </w:rPr>
        <w:t>打通市民化制度性通道</w:t>
      </w:r>
      <w:bookmarkEnd w:id="982"/>
      <w:bookmarkEnd w:id="983"/>
      <w:bookmarkEnd w:id="984"/>
      <w:bookmarkEnd w:id="985"/>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1.全面放宽城镇落户限制。积极探索实施分区域的差异化落户政策。调整完善以实际居住和社保缴纳年限为主要标准的积分落户政策，以经常居住地登记户口制度，推动全市城镇范围逐步实行“户口通迁”。打通建档立卡低收入农户落户通道，推动有能力在城镇稳定就业生活的低收入农户落户城镇，进一步鼓励引导农业转移人口落户城镇。</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2.维护进城落户农民的农村权益。加强对农村土地权益转让、退出机制改革的制度设计，加快构建土地权益顺畅流转的市场化通道，推动农村土地资源社会效益和经济效益“双提升”。加快完成农村不动产确权登记颁证工作，依法保障进城落户农民农村土地承包权、宅基地使用权、集体收益分配权，不得以退出上述权益作为农民进城落户条件，支持引导其依法自愿有偿转让上述权益，建立健全农户“三权”市场化退出机制和配套政策体系。积极培育农村产权交易市场，推动土地权益转让公开、公平、规范运行。</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3.提高户籍管理和服务效率。进一步完善人口基础信息库建设，以公安户籍信息为基础，持续丰富医保养老、义务教育、卫生健康、婚姻登记、住房保障等社会信息，统一对外提供共享服务，为制定人口发展战略和服务党委、政府科学决策提供数据支撑。深化“互联网</w:t>
      </w:r>
      <w:r>
        <w:rPr>
          <w:rFonts w:ascii="仿宋" w:hAnsi="仿宋" w:eastAsia="仿宋" w:cs="Arial"/>
          <w:sz w:val="32"/>
        </w:rPr>
        <w:t>+政务服务”，加快电子证照、电子档案建设，创新“一次办好”服务模式，实施流程再造，推进户口、居民身份证办理“无纸化”“免填单”，实现全市“通迁、通办”，提高户籍管理和服务效率。</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4.全面推行新型居住证制度。强化基本公共服务与居住证挂钩。推进城镇基本公共服务向常住人口全覆盖，完善以居住证为主要依据的义务教育、就医结算、职业技能培训、保障性住房等制度，逐步拓展居住证持有人可享有基本公共服务范围、提高服务标准。探索与居住年限和社保缴纳情况相挂钩的紧缺优质公共服务梯度供给制度，推动南阳市义务教育资源紧张地区优化积分入学政策。建立健全新型居住证办理与转换制度。积极探索打通各类涉及身份信息的政府数据系统，加快推进电子居住证，探索建立全市居住证互认转换机制，简化加速城市间居住证转换办理手续，推动市域内人口流动便利化。</w:t>
      </w:r>
      <w:bookmarkStart w:id="986" w:name="_Toc98162629"/>
      <w:bookmarkStart w:id="987" w:name="_Toc98086667"/>
    </w:p>
    <w:p>
      <w:pPr>
        <w:pStyle w:val="7"/>
        <w:spacing w:line="560" w:lineRule="exact"/>
        <w:contextualSpacing/>
        <w:jc w:val="center"/>
        <w:rPr>
          <w:rStyle w:val="29"/>
          <w:rFonts w:ascii="楷体" w:hAnsi="楷体" w:eastAsia="楷体" w:cstheme="minorBidi"/>
          <w:b w:val="0"/>
        </w:rPr>
      </w:pPr>
      <w:bookmarkStart w:id="988" w:name="_Toc20794"/>
      <w:bookmarkStart w:id="989" w:name="_Toc24545"/>
      <w:r>
        <w:rPr>
          <w:rStyle w:val="29"/>
          <w:rFonts w:hint="eastAsia" w:ascii="楷体" w:hAnsi="楷体" w:eastAsia="楷体" w:cstheme="minorBidi"/>
          <w:b w:val="0"/>
        </w:rPr>
        <w:t xml:space="preserve">第二节 </w:t>
      </w:r>
      <w:r>
        <w:rPr>
          <w:rStyle w:val="29"/>
          <w:rFonts w:ascii="楷体" w:hAnsi="楷体" w:eastAsia="楷体" w:cstheme="minorBidi"/>
          <w:b w:val="0"/>
        </w:rPr>
        <w:t>扩大基本公共服务覆盖面</w:t>
      </w:r>
      <w:bookmarkEnd w:id="986"/>
      <w:bookmarkEnd w:id="987"/>
      <w:bookmarkEnd w:id="988"/>
      <w:bookmarkEnd w:id="989"/>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1.加强随迁子女教育保障。健全以居住证为主要依据的进城务工人员随迁子女义务教育入学政策，以公办学校为主将随迁子女全部纳入流入地义务教育保障范围，逐步将农业转移人口纳入流入地普惠性学前教育、高中教育、中等职业教育保障范围。对随迁子女和户籍学生实行混合编班、统一管理、平等对待，提升随迁子女与户籍学生教育融合度。加强对随迁子女的教育关爱和人文关怀。</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2.提升就业公共服务水平。完善各级公共就业服务机构功能，加强基层公共就业创业服务平台建设，推动公共就业服务城乡常住人口和用人单位全覆盖。健全劳动合同制度和劳动关系协调机制，完善欠薪治理长效机制和劳动争议调解仲裁制度，探索建立新业态从业人员劳动权益保障机制。畅通失业人员求助渠道，健全失业登记、职业介绍、职业指导、生活保障联动机制。</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3.增强社会保障能力。全面落实企业为进城务工人员缴纳职工养老、医疗、工伤、失业等社会保险费用责任，支持有意愿、有缴费能力的从事灵活就业和新就业形态的农业转移人口参加城镇职工基本养老和医疗保险。对接养老保险全国统筹，加快实现社会保险关系跨地区无障碍转移接续。加强医保关系转移接续服务，推动跨地区异地就医门诊、住院费用直接结算。</w:t>
      </w:r>
    </w:p>
    <w:p>
      <w:pPr>
        <w:pStyle w:val="7"/>
        <w:spacing w:line="560" w:lineRule="exact"/>
        <w:contextualSpacing/>
        <w:jc w:val="center"/>
        <w:rPr>
          <w:rStyle w:val="29"/>
          <w:rFonts w:ascii="楷体" w:hAnsi="楷体" w:eastAsia="楷体" w:cstheme="minorBidi"/>
          <w:b w:val="0"/>
        </w:rPr>
      </w:pPr>
      <w:bookmarkStart w:id="990" w:name="_Toc8692"/>
      <w:bookmarkStart w:id="991" w:name="_Toc98162630"/>
      <w:bookmarkStart w:id="992" w:name="_Toc10448"/>
      <w:bookmarkStart w:id="993" w:name="_Toc98086668"/>
      <w:r>
        <w:rPr>
          <w:rStyle w:val="29"/>
          <w:rFonts w:hint="eastAsia" w:ascii="楷体" w:hAnsi="楷体" w:eastAsia="楷体" w:cstheme="minorBidi"/>
          <w:b w:val="0"/>
        </w:rPr>
        <w:t xml:space="preserve">第三节 </w:t>
      </w:r>
      <w:r>
        <w:rPr>
          <w:rStyle w:val="29"/>
          <w:rFonts w:ascii="楷体" w:hAnsi="楷体" w:eastAsia="楷体" w:cstheme="minorBidi"/>
          <w:b w:val="0"/>
        </w:rPr>
        <w:t>提高农业转移人口劳动技能素质</w:t>
      </w:r>
      <w:bookmarkEnd w:id="990"/>
      <w:bookmarkEnd w:id="991"/>
      <w:bookmarkEnd w:id="992"/>
      <w:bookmarkEnd w:id="993"/>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1.实施高素质农民技能提升计划。建设一批乡村振兴新型农民培育基地和农业农村类高技能人才培训基地，依托农业广播电视学校、涉农院校、科研单位、农技推广机构，培养一批农业生产经营人才、农村二三产业发展人才和乡村公共服务人才，深入实施现代农民培育计划、农村实用人才培养计划，培养高素质农民队伍。</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2.实施农业转移人口技能提升计划。面向农村转移就业劳动者特别是新生代农民工，开展形式多样的技能培训，深化实施农民工“春潮行动”、“求学圆梦行动”、新生代农民工职业技能提升行动，支持企业开展新型学徒制培训并按规定给予培训补贴，提高农业转移人口在城市稳定就业能力。结合促进农民工返乡就业创业和承接产业转移，开展针对性创业技能培训。扩大职业院校面向农业转移人口的招生规模。</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3.深化职业培训供给侧改革。发挥企业主体作用，支持企业设立职工培训中心，培育一批产教融合型企业。企业举办或参与举办职业院校的，可根据毕业生就业人数或培训实训人数给予支持。发挥职业院校基础作用，支持职业院校开展补贴性培训，在核定职业院校绩效工资总量时，可向承担职业技能培训工作的院校倾斜。发挥社会培训和评价机构支持作用，培育发展壮大一批社会培训机构和评价机构。</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4.提升政府补贴资金实效。统筹各级各类职业技能培训资金，优化政府职业技能培训补贴机制，畅通培训补贴直达企业和培训者渠道。对开展项目制培训的企业、职业院校或社会培训机构先行拨付部分补贴资金。严格资金监督管理，定期公开资金使用情况，</w:t>
      </w:r>
      <w:r>
        <w:rPr>
          <w:rFonts w:ascii="仿宋" w:hAnsi="仿宋" w:eastAsia="仿宋" w:cs="Arial"/>
          <w:sz w:val="32"/>
        </w:rPr>
        <w:t>加强监督和专项审计，严肃查处虚假培训等套取、骗取补贴资金行为。</w:t>
      </w:r>
    </w:p>
    <w:p>
      <w:pPr>
        <w:pStyle w:val="24"/>
        <w:shd w:val="clear" w:color="auto" w:fill="FFFFFF"/>
        <w:spacing w:beforeAutospacing="0" w:afterAutospacing="0" w:line="560" w:lineRule="exact"/>
        <w:ind w:firstLine="640" w:firstLineChars="200"/>
        <w:contextualSpacing/>
        <w:jc w:val="both"/>
        <w:textAlignment w:val="top"/>
        <w:rPr>
          <w:rStyle w:val="29"/>
          <w:rFonts w:ascii="仿宋" w:hAnsi="仿宋" w:eastAsia="仿宋" w:cs="Arial"/>
          <w:b w:val="0"/>
          <w:bCs w:val="0"/>
          <w:sz w:val="32"/>
        </w:rPr>
      </w:pPr>
      <w:r>
        <w:rPr>
          <w:rFonts w:hint="eastAsia" w:ascii="仿宋" w:hAnsi="仿宋" w:eastAsia="仿宋" w:cs="Arial"/>
          <w:sz w:val="32"/>
        </w:rPr>
        <w:t>5.深化职业教育机制改革。深入实施职业技能等级证书制度，建立健全职业技能等级与薪资待遇挂钩机制。扩大职业院校招收农业转移人口规模，依托职业教育国家学分银行，实施“学历证书</w:t>
      </w:r>
      <w:r>
        <w:rPr>
          <w:rFonts w:ascii="仿宋" w:hAnsi="仿宋" w:eastAsia="仿宋" w:cs="Arial"/>
          <w:sz w:val="32"/>
        </w:rPr>
        <w:t>+职业技能等级证书”制度，推动各类学习成果认证、积累和转换。完善技能人才培养、评价、使用激励机制，培养更多高素质技能人才、能工巧匠。</w:t>
      </w:r>
    </w:p>
    <w:p>
      <w:pPr>
        <w:pStyle w:val="7"/>
        <w:spacing w:line="560" w:lineRule="exact"/>
        <w:contextualSpacing/>
        <w:jc w:val="center"/>
        <w:rPr>
          <w:rStyle w:val="29"/>
          <w:rFonts w:ascii="楷体" w:hAnsi="楷体" w:eastAsia="楷体" w:cstheme="minorBidi"/>
          <w:b w:val="0"/>
        </w:rPr>
      </w:pPr>
      <w:bookmarkStart w:id="994" w:name="_Toc16906"/>
      <w:bookmarkStart w:id="995" w:name="_Toc98162631"/>
      <w:bookmarkStart w:id="996" w:name="_Toc2632"/>
      <w:bookmarkStart w:id="997" w:name="_Toc98086669"/>
      <w:r>
        <w:rPr>
          <w:rStyle w:val="29"/>
          <w:rFonts w:hint="eastAsia" w:ascii="楷体" w:hAnsi="楷体" w:eastAsia="楷体" w:cstheme="minorBidi"/>
          <w:b w:val="0"/>
        </w:rPr>
        <w:t xml:space="preserve">第四节 </w:t>
      </w:r>
      <w:r>
        <w:rPr>
          <w:rStyle w:val="29"/>
          <w:rFonts w:ascii="楷体" w:hAnsi="楷体" w:eastAsia="楷体" w:cstheme="minorBidi"/>
          <w:b w:val="0"/>
        </w:rPr>
        <w:t>完善农业转移人口市民化配套政策</w:t>
      </w:r>
      <w:bookmarkEnd w:id="994"/>
      <w:bookmarkEnd w:id="995"/>
      <w:bookmarkEnd w:id="996"/>
      <w:bookmarkEnd w:id="997"/>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1.建立以住房需求为导向的住房保障体系。住房保障采取实物与租赁补贴相结合并逐步转向租赁补贴为主。加快推广租赁补贴制度，采取市场提供房源、政府发放补贴的方式，支持符合条件的农业转移人口通过住房租赁市场租房居住。建立和完善住房保障申请、审核、公示、轮候、复核制度，严格保障性住房分配和使用管理，健全退出机制，确保住房保障体系公平、公正和健康运行。鼓励有条件的农民进城购买商品房，政府给予财政补贴。</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2.完善财政转移支付与农业转移人口市民化挂钩机制。统筹用好中央财政农业转移人口市民化奖励资金和省财政预算安排资金，健全农业转移人口市民化财政奖励机制，扩大奖励资金规模，提高财政均衡性转移支付中非户籍常住人口权重系数。加快实施预算内投资和财政专项转移支付安排向吸纳农业转移人口落户多的城市倾斜的政策，重点支持市政公用设施、公共服务设施、环境基础设施建设运行维护。</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3.健全建设用地规模与农业转移人口落户数量挂钩机制。采取规划总量调控和计划单列下达等方式，加快构建科学合理的人地挂钩机制和政策。在充分考虑人口规模因素特别是进城落户人口数量的基础上，科学测算和合理安排城镇新增建设用地规模，编制和修订南阳市国土空间规划。依据国土空间规划和上一年度进城落户人口数量，合理安排各类城镇新增建设用地年度计划。</w:t>
      </w:r>
    </w:p>
    <w:p>
      <w:pPr>
        <w:pStyle w:val="24"/>
        <w:shd w:val="clear" w:color="auto" w:fill="FFFFFF"/>
        <w:spacing w:beforeAutospacing="0" w:afterAutospacing="0" w:line="560" w:lineRule="exact"/>
        <w:ind w:firstLine="640" w:firstLineChars="200"/>
        <w:contextualSpacing/>
        <w:jc w:val="both"/>
        <w:textAlignment w:val="top"/>
      </w:pPr>
      <w:r>
        <w:rPr>
          <w:rFonts w:hint="eastAsia" w:ascii="仿宋" w:hAnsi="仿宋" w:eastAsia="仿宋" w:cs="Arial"/>
          <w:sz w:val="32"/>
        </w:rPr>
        <w:t>4.建立县域内按照常住人口配置公共资源的机制。根据常住人口实际规模合理调整县域内人口流入流出地区教师、医生等编制定额和服务设施布局。对吸纳农业转移人口数量较多的乡镇，县级财政也要进行奖补支持。</w:t>
      </w:r>
    </w:p>
    <w:p>
      <w:pPr>
        <w:pStyle w:val="6"/>
        <w:spacing w:line="560" w:lineRule="exact"/>
        <w:ind w:firstLine="640"/>
        <w:contextualSpacing/>
        <w:jc w:val="center"/>
        <w:rPr>
          <w:rStyle w:val="29"/>
          <w:rFonts w:ascii="黑体" w:hAnsi="黑体" w:cs="黑体"/>
          <w:b w:val="0"/>
          <w:szCs w:val="32"/>
        </w:rPr>
      </w:pPr>
      <w:bookmarkStart w:id="998" w:name="_Toc25588"/>
      <w:bookmarkStart w:id="999" w:name="_Toc26935"/>
      <w:r>
        <w:rPr>
          <w:rStyle w:val="29"/>
          <w:rFonts w:hint="eastAsia" w:ascii="黑体" w:hAnsi="黑体" w:cs="黑体"/>
          <w:b w:val="0"/>
          <w:szCs w:val="32"/>
        </w:rPr>
        <w:t>第六章 建设宜居韧性智慧现代化城市</w:t>
      </w:r>
      <w:bookmarkEnd w:id="998"/>
      <w:bookmarkEnd w:id="999"/>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坚持人民城市人民建、人民城市为人民，加快转变城市发展方式，把安全理念贯穿城市规划、建设、管理全过程，优化城市生产、生活、生态空间，打造宜居、韧性、创新、智慧、绿色、人文城市。</w:t>
      </w:r>
    </w:p>
    <w:p>
      <w:pPr>
        <w:pStyle w:val="7"/>
        <w:spacing w:line="560" w:lineRule="exact"/>
        <w:contextualSpacing/>
        <w:jc w:val="center"/>
        <w:rPr>
          <w:rStyle w:val="29"/>
          <w:rFonts w:ascii="楷体" w:hAnsi="楷体" w:eastAsia="楷体"/>
          <w:b w:val="0"/>
          <w:bCs w:val="0"/>
          <w:szCs w:val="22"/>
        </w:rPr>
      </w:pPr>
      <w:bookmarkStart w:id="1000" w:name="_Toc98086671"/>
      <w:bookmarkStart w:id="1001" w:name="_Toc30825"/>
      <w:bookmarkStart w:id="1002" w:name="_Toc98162633"/>
      <w:bookmarkStart w:id="1003" w:name="_Toc28239"/>
      <w:bookmarkStart w:id="1004" w:name="_Toc31977"/>
      <w:r>
        <w:rPr>
          <w:rStyle w:val="29"/>
          <w:rFonts w:hint="eastAsia" w:ascii="楷体" w:hAnsi="楷体" w:eastAsia="楷体"/>
          <w:b w:val="0"/>
        </w:rPr>
        <w:t>第</w:t>
      </w:r>
      <w:r>
        <w:rPr>
          <w:rStyle w:val="29"/>
          <w:rFonts w:ascii="楷体" w:hAnsi="楷体" w:eastAsia="楷体"/>
          <w:b w:val="0"/>
        </w:rPr>
        <w:t xml:space="preserve">一节 </w:t>
      </w:r>
      <w:r>
        <w:rPr>
          <w:rStyle w:val="29"/>
          <w:rFonts w:hint="eastAsia" w:ascii="楷体" w:hAnsi="楷体" w:eastAsia="楷体"/>
          <w:b w:val="0"/>
        </w:rPr>
        <w:t>建设便捷舒适的宜居城市</w:t>
      </w:r>
      <w:bookmarkEnd w:id="1000"/>
      <w:bookmarkEnd w:id="1001"/>
      <w:bookmarkEnd w:id="1002"/>
      <w:bookmarkEnd w:id="1003"/>
      <w:bookmarkEnd w:id="1004"/>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1.提升公共服务能力。全面提升城镇社区公共服务设施</w:t>
      </w:r>
      <w:r>
        <w:rPr>
          <w:rFonts w:ascii="仿宋" w:hAnsi="仿宋" w:eastAsia="仿宋" w:cs="Arial"/>
          <w:sz w:val="32"/>
        </w:rPr>
        <w:t>15分钟步行可达覆盖率，开展完整居住社区补短板行动，因地制宜实施市政配套设施和康养、育幼、文体等公共服务设施改造。重点提升南阳中心城区高等级服务设施和区域协同服务能力，发展金融、信息、科技与商务服务业等高端服务功能，促进优质公共资源相对集中布局。推动市内其他地区弥补优质医疗资源短板，加快城区教育资源均衡配置，提升文化馆、体育场馆等基本公共服务水平。</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2.完善市政公用设施。融合实施百城建设提质工程和文明城市创建。以县域为整体，统筹规划市政公用设施，推动向城市郊区乡村和规模较大中心镇延伸。推动城乡路网一体规划设计，畅通城乡交通运输连接，推进串联县城的交通环线、旅游专线，加快实现城乡道路客运一体化。统筹规划城乡污染物收运处置体系，因地制宜统筹处理城乡垃圾污水。强化县城综合服务能力，加强乡镇公共服务功能，把乡镇建成服务农民的区域中心。优化县域内公共服务资源配置，推行县域内教师医生交流轮岗模式，推进义务教育学校教师“县管校聘”。</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3.完善住房市场体系和住房保障体系。坚持房子是用来住的、不是用来炒的定位，加快建立多主体供给、多渠道保障、租购并举的住房制度，多途径解决困难群众和新市民、青年人住房问题。全面贯彻房地产市场长效机制。强化政府主体责任，建立住房和用地联动机制，加强房地产金融调控，稳定地价、房价和预期。扩大保障性租赁住房供给，加快建设共有产权住房和人才公寓，大力发展二手房市场和住房租赁市场，有效盘活存量住房资源，完善长租房政策，加强住房租赁市场监管。科学制定土地储备供应计划，单列租赁住房用地计划，探索利用集体建设用地和企事业单位自有闲置土地建设租赁住房，逐步推动租购住房在享受公共服务上具有同等权利。</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4.实施城市更新行动。统筹新城区开发和老城区改造，推进市政基础设施提质升级和智能化改造，完善公共服务和便民设施，提升城市品质。加强城镇老旧小区改造和社区建设，改造提升老旧厂区、老旧街区和城中村等存量片区。优化城市路网结构，完善多层次、多元化的城市公共交通系统，加强自行车道、步行道等慢行网络和重点区域停车、智能充电设施建设，推进城市交通拥堵综合治理，持续开展绿色交通示范城市创建。因地制宜建设城市生态湿地、郊野公园、口袋公园等公共绿地，构建城区绿色生活圈、环城生态防护圈、城外绿色屏障带和城市通风廊道。加强城市重要基础设施安全管理，推动城市防洪排涝设施建设和水系生态修复，建设海绵城市。</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adjustRightInd w:val="0"/>
              <w:spacing w:line="400" w:lineRule="exact"/>
              <w:ind w:firstLine="560" w:firstLineChars="200"/>
              <w:contextualSpacing/>
              <w:jc w:val="center"/>
              <w:rPr>
                <w:rFonts w:ascii="Times New Roman" w:hAnsi="Times New Roman" w:eastAsia="宋体"/>
                <w:bCs/>
                <w:kern w:val="0"/>
                <w:sz w:val="28"/>
                <w:szCs w:val="28"/>
              </w:rPr>
            </w:pPr>
            <w:r>
              <w:rPr>
                <w:rFonts w:hint="eastAsia" w:ascii="黑体" w:hAnsi="黑体" w:eastAsia="黑体" w:cs="黑体"/>
                <w:bCs/>
                <w:kern w:val="0"/>
                <w:sz w:val="28"/>
                <w:szCs w:val="28"/>
              </w:rPr>
              <w:t>专栏5：宜居城市重大工程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hd w:val="clear" w:color="auto" w:fill="FFFFFF"/>
              <w:spacing w:line="400" w:lineRule="exact"/>
              <w:ind w:firstLine="480" w:firstLineChars="200"/>
              <w:contextualSpacing/>
              <w:rPr>
                <w:rFonts w:ascii="Times New Roman" w:hAnsi="Times New Roman" w:eastAsia="宋体"/>
                <w:kern w:val="0"/>
                <w:sz w:val="24"/>
                <w:szCs w:val="24"/>
                <w:shd w:val="clear" w:color="auto" w:fill="FFFFFF"/>
              </w:rPr>
            </w:pPr>
            <w:r>
              <w:rPr>
                <w:rFonts w:hint="eastAsia" w:ascii="楷体" w:hAnsi="楷体" w:eastAsia="楷体" w:cs="楷体"/>
                <w:kern w:val="0"/>
                <w:sz w:val="24"/>
                <w:szCs w:val="24"/>
                <w:shd w:val="clear" w:color="auto" w:fill="FFFFFF"/>
              </w:rPr>
              <w:t>水系连通工程。</w:t>
            </w:r>
            <w:r>
              <w:rPr>
                <w:rFonts w:hint="eastAsia" w:ascii="仿宋" w:hAnsi="仿宋" w:eastAsia="仿宋" w:cs="仿宋"/>
                <w:kern w:val="0"/>
                <w:sz w:val="24"/>
                <w:szCs w:val="24"/>
                <w:shd w:val="clear" w:color="auto" w:fill="FFFFFF"/>
              </w:rPr>
              <w:t>规划“多脉、群星”的水系连通骨架结构，力争到</w:t>
            </w:r>
            <w:r>
              <w:rPr>
                <w:rFonts w:ascii="仿宋" w:hAnsi="仿宋" w:eastAsia="仿宋" w:cs="仿宋"/>
                <w:kern w:val="0"/>
                <w:sz w:val="24"/>
                <w:szCs w:val="24"/>
                <w:shd w:val="clear" w:color="auto" w:fill="FFFFFF"/>
              </w:rPr>
              <w:t>2025年</w:t>
            </w:r>
            <w:r>
              <w:rPr>
                <w:rFonts w:hint="eastAsia" w:ascii="仿宋" w:hAnsi="仿宋" w:eastAsia="仿宋" w:cs="仿宋"/>
                <w:kern w:val="0"/>
                <w:sz w:val="24"/>
                <w:szCs w:val="24"/>
                <w:shd w:val="clear" w:color="auto" w:fill="FFFFFF"/>
              </w:rPr>
              <w:t>，初步建立布局合理、功能完备、循环畅通的水系连通格局；到</w:t>
            </w:r>
            <w:r>
              <w:rPr>
                <w:rFonts w:ascii="仿宋" w:hAnsi="仿宋" w:eastAsia="仿宋" w:cs="仿宋"/>
                <w:kern w:val="0"/>
                <w:sz w:val="24"/>
                <w:szCs w:val="24"/>
                <w:shd w:val="clear" w:color="auto" w:fill="FFFFFF"/>
              </w:rPr>
              <w:t>2035</w:t>
            </w:r>
            <w:r>
              <w:rPr>
                <w:rFonts w:hint="eastAsia" w:ascii="仿宋" w:hAnsi="仿宋" w:eastAsia="仿宋" w:cs="仿宋"/>
                <w:kern w:val="0"/>
                <w:sz w:val="24"/>
                <w:szCs w:val="24"/>
                <w:shd w:val="clear" w:color="auto" w:fill="FFFFFF"/>
              </w:rPr>
              <w:t>年，水网格局不断完善，区域水资源调配能力、供水安全保障能力、水生态环境保护能力得到全面明显提高。</w:t>
            </w:r>
          </w:p>
          <w:p>
            <w:pPr>
              <w:shd w:val="clear" w:color="auto" w:fill="FFFFFF"/>
              <w:spacing w:line="400" w:lineRule="exact"/>
              <w:ind w:firstLine="480" w:firstLineChars="200"/>
              <w:contextualSpacing/>
              <w:rPr>
                <w:rFonts w:ascii="Times New Roman" w:hAnsi="Times New Roman" w:eastAsia="宋体"/>
                <w:kern w:val="0"/>
                <w:sz w:val="24"/>
                <w:szCs w:val="24"/>
                <w:shd w:val="clear" w:color="auto" w:fill="FFFFFF"/>
              </w:rPr>
            </w:pPr>
            <w:r>
              <w:rPr>
                <w:rFonts w:hint="eastAsia" w:ascii="楷体" w:hAnsi="楷体" w:eastAsia="楷体" w:cs="楷体"/>
                <w:kern w:val="0"/>
                <w:sz w:val="24"/>
                <w:szCs w:val="24"/>
                <w:shd w:val="clear" w:color="auto" w:fill="FFFFFF"/>
              </w:rPr>
              <w:t>片区更新提质改造工程。</w:t>
            </w:r>
            <w:r>
              <w:rPr>
                <w:rFonts w:hint="eastAsia" w:ascii="仿宋" w:hAnsi="仿宋" w:eastAsia="仿宋" w:cs="仿宋"/>
                <w:kern w:val="0"/>
                <w:sz w:val="24"/>
                <w:szCs w:val="24"/>
                <w:shd w:val="clear" w:color="auto" w:fill="FFFFFF"/>
              </w:rPr>
              <w:t>加快推进中心城区</w:t>
            </w:r>
            <w:r>
              <w:rPr>
                <w:rFonts w:ascii="仿宋" w:hAnsi="仿宋" w:eastAsia="仿宋" w:cs="仿宋"/>
                <w:kern w:val="0"/>
                <w:sz w:val="24"/>
                <w:szCs w:val="24"/>
                <w:shd w:val="clear" w:color="auto" w:fill="FFFFFF"/>
              </w:rPr>
              <w:t>16个片区综合开发改造</w:t>
            </w:r>
            <w:r>
              <w:rPr>
                <w:rFonts w:hint="eastAsia" w:ascii="仿宋" w:hAnsi="仿宋" w:eastAsia="仿宋" w:cs="仿宋"/>
                <w:kern w:val="0"/>
                <w:sz w:val="24"/>
                <w:szCs w:val="24"/>
                <w:shd w:val="clear" w:color="auto" w:fill="FFFFFF"/>
              </w:rPr>
              <w:t>。</w:t>
            </w:r>
          </w:p>
          <w:p>
            <w:pPr>
              <w:shd w:val="clear" w:color="auto" w:fill="FFFFFF"/>
              <w:spacing w:line="400" w:lineRule="exact"/>
              <w:ind w:firstLine="480" w:firstLineChars="200"/>
              <w:contextualSpacing/>
              <w:rPr>
                <w:rFonts w:ascii="Times New Roman" w:hAnsi="Times New Roman" w:eastAsia="宋体"/>
                <w:kern w:val="0"/>
                <w:sz w:val="24"/>
                <w:szCs w:val="24"/>
                <w:shd w:val="clear" w:color="auto" w:fill="FFFFFF"/>
              </w:rPr>
            </w:pPr>
            <w:r>
              <w:rPr>
                <w:rFonts w:hint="eastAsia" w:ascii="楷体" w:hAnsi="楷体" w:eastAsia="楷体" w:cs="楷体"/>
                <w:kern w:val="0"/>
                <w:sz w:val="24"/>
                <w:szCs w:val="24"/>
                <w:shd w:val="clear" w:color="auto" w:fill="FFFFFF"/>
              </w:rPr>
              <w:t>重点公共建筑建设工程。</w:t>
            </w:r>
            <w:r>
              <w:rPr>
                <w:rFonts w:hint="eastAsia" w:ascii="仿宋" w:hAnsi="仿宋" w:eastAsia="仿宋" w:cs="仿宋"/>
                <w:kern w:val="0"/>
                <w:sz w:val="24"/>
                <w:szCs w:val="24"/>
                <w:shd w:val="clear" w:color="auto" w:fill="FFFFFF"/>
              </w:rPr>
              <w:t>加快推进卧龙岗文化园建设；持续推进医圣祠文化园建设项目；加大新城区建设力度，重点实施新城区片区生态大水系、张仲景国医大学、南阳市中医院新院区等重点项目建设；实施保障性住房建设工程，继续推进2021年中心城区棚户区改造项目5个、5944套，2022年中心城区新开工建设棚户区改造项目30个、31711套。</w:t>
            </w:r>
          </w:p>
          <w:p>
            <w:pPr>
              <w:shd w:val="clear" w:color="auto" w:fill="FFFFFF"/>
              <w:spacing w:line="400" w:lineRule="exact"/>
              <w:ind w:firstLine="480" w:firstLineChars="200"/>
              <w:contextualSpacing/>
              <w:rPr>
                <w:rFonts w:ascii="Times New Roman" w:hAnsi="Times New Roman" w:eastAsia="宋体"/>
                <w:kern w:val="0"/>
                <w:sz w:val="24"/>
                <w:szCs w:val="24"/>
                <w:shd w:val="clear" w:color="auto" w:fill="FFFFFF"/>
              </w:rPr>
            </w:pPr>
            <w:r>
              <w:rPr>
                <w:rFonts w:hint="eastAsia" w:ascii="楷体" w:hAnsi="楷体" w:eastAsia="楷体" w:cs="楷体"/>
                <w:kern w:val="0"/>
                <w:sz w:val="24"/>
                <w:szCs w:val="24"/>
                <w:shd w:val="clear" w:color="auto" w:fill="FFFFFF"/>
              </w:rPr>
              <w:t>一河两岸建设工程。</w:t>
            </w:r>
            <w:r>
              <w:rPr>
                <w:rFonts w:hint="eastAsia" w:ascii="仿宋" w:hAnsi="仿宋" w:eastAsia="仿宋" w:cs="仿宋"/>
                <w:kern w:val="0"/>
                <w:sz w:val="24"/>
                <w:szCs w:val="24"/>
                <w:shd w:val="clear" w:color="auto" w:fill="FFFFFF"/>
              </w:rPr>
              <w:t>启动</w:t>
            </w:r>
            <w:r>
              <w:rPr>
                <w:rFonts w:ascii="仿宋" w:hAnsi="仿宋" w:eastAsia="仿宋" w:cs="仿宋"/>
                <w:kern w:val="0"/>
                <w:sz w:val="24"/>
                <w:szCs w:val="24"/>
                <w:shd w:val="clear" w:color="auto" w:fill="FFFFFF"/>
              </w:rPr>
              <w:t>CBD商务中心开发建设，统筹推进白河生态综合治理、南阳市中介服务产业园、南阳市中央商务区、南阳名人馆等项目；开工建设牧原城项目和南阳迎宾馆等项目。</w:t>
            </w:r>
          </w:p>
          <w:p>
            <w:pPr>
              <w:shd w:val="clear" w:color="auto" w:fill="FFFFFF"/>
              <w:spacing w:line="400" w:lineRule="exact"/>
              <w:ind w:firstLine="480" w:firstLineChars="200"/>
              <w:contextualSpacing/>
              <w:rPr>
                <w:rFonts w:ascii="Times New Roman" w:hAnsi="Times New Roman" w:eastAsia="宋体"/>
                <w:kern w:val="0"/>
                <w:sz w:val="24"/>
                <w:szCs w:val="24"/>
                <w:shd w:val="clear" w:color="auto" w:fill="FFFFFF"/>
              </w:rPr>
            </w:pPr>
            <w:r>
              <w:rPr>
                <w:rFonts w:hint="eastAsia" w:ascii="楷体" w:hAnsi="楷体" w:eastAsia="楷体" w:cs="楷体"/>
                <w:kern w:val="0"/>
                <w:sz w:val="24"/>
                <w:szCs w:val="24"/>
                <w:shd w:val="clear" w:color="auto" w:fill="FFFFFF"/>
              </w:rPr>
              <w:t>出入市口提升工程。</w:t>
            </w:r>
            <w:r>
              <w:rPr>
                <w:rFonts w:hint="eastAsia" w:ascii="仿宋" w:hAnsi="仿宋" w:eastAsia="仿宋" w:cs="仿宋"/>
                <w:kern w:val="0"/>
                <w:sz w:val="24"/>
                <w:szCs w:val="24"/>
                <w:shd w:val="clear" w:color="auto" w:fill="FFFFFF"/>
              </w:rPr>
              <w:t>完成南阳站、独山站出入市口改造；启动卧龙站、双铺站、光武站出入市口改造工程项目前期工作。</w:t>
            </w:r>
          </w:p>
          <w:p>
            <w:pPr>
              <w:shd w:val="clear" w:color="auto" w:fill="FFFFFF"/>
              <w:spacing w:line="400" w:lineRule="exact"/>
              <w:ind w:firstLine="480" w:firstLineChars="200"/>
              <w:contextualSpacing/>
              <w:rPr>
                <w:rFonts w:ascii="Times New Roman" w:hAnsi="Times New Roman" w:eastAsia="宋体"/>
                <w:kern w:val="0"/>
                <w:sz w:val="24"/>
                <w:szCs w:val="24"/>
                <w:shd w:val="clear" w:color="auto" w:fill="FFFFFF"/>
              </w:rPr>
            </w:pPr>
            <w:r>
              <w:rPr>
                <w:rFonts w:hint="eastAsia" w:ascii="楷体" w:hAnsi="楷体" w:eastAsia="楷体" w:cs="楷体"/>
                <w:kern w:val="0"/>
                <w:sz w:val="24"/>
                <w:szCs w:val="24"/>
                <w:shd w:val="clear" w:color="auto" w:fill="FFFFFF"/>
              </w:rPr>
              <w:t>高架桥建设工程。</w:t>
            </w:r>
            <w:r>
              <w:rPr>
                <w:rFonts w:hint="eastAsia" w:ascii="仿宋" w:hAnsi="仿宋" w:eastAsia="仿宋" w:cs="仿宋"/>
                <w:kern w:val="0"/>
                <w:sz w:val="24"/>
                <w:szCs w:val="24"/>
                <w:shd w:val="clear" w:color="auto" w:fill="FFFFFF"/>
              </w:rPr>
              <w:t>开工建设张衡西路跨铁路高架桥；启动光武路高架桥、仲景路高架桥前期工作。</w:t>
            </w:r>
          </w:p>
          <w:p>
            <w:pPr>
              <w:shd w:val="clear" w:color="auto" w:fill="FFFFFF"/>
              <w:spacing w:line="400" w:lineRule="exact"/>
              <w:ind w:firstLine="480" w:firstLineChars="200"/>
              <w:contextualSpacing/>
              <w:rPr>
                <w:rFonts w:ascii="Times New Roman" w:hAnsi="Times New Roman" w:eastAsia="宋体"/>
                <w:kern w:val="0"/>
                <w:sz w:val="24"/>
                <w:szCs w:val="24"/>
                <w:shd w:val="clear" w:color="auto" w:fill="FFFFFF"/>
              </w:rPr>
            </w:pPr>
            <w:r>
              <w:rPr>
                <w:rFonts w:hint="eastAsia" w:ascii="楷体" w:hAnsi="楷体" w:eastAsia="楷体" w:cs="楷体"/>
                <w:kern w:val="0"/>
                <w:sz w:val="24"/>
                <w:szCs w:val="24"/>
                <w:shd w:val="clear" w:color="auto" w:fill="FFFFFF"/>
              </w:rPr>
              <w:t>特色商业街打造工程。</w:t>
            </w:r>
            <w:r>
              <w:rPr>
                <w:rFonts w:hint="eastAsia" w:ascii="仿宋" w:hAnsi="仿宋" w:eastAsia="仿宋" w:cs="仿宋"/>
                <w:kern w:val="0"/>
                <w:sz w:val="24"/>
                <w:szCs w:val="24"/>
                <w:shd w:val="clear" w:color="auto" w:fill="FFFFFF"/>
              </w:rPr>
              <w:t>完成独山大道、金河湾巷、明山路西侧区间路、嵩山路、理想路等</w:t>
            </w:r>
            <w:r>
              <w:rPr>
                <w:rFonts w:ascii="仿宋" w:hAnsi="仿宋" w:eastAsia="仿宋" w:cs="仿宋"/>
                <w:kern w:val="0"/>
                <w:sz w:val="24"/>
                <w:szCs w:val="24"/>
                <w:shd w:val="clear" w:color="auto" w:fill="FFFFFF"/>
              </w:rPr>
              <w:t>5条精品街打造。</w:t>
            </w:r>
          </w:p>
          <w:p>
            <w:pPr>
              <w:shd w:val="clear" w:color="auto" w:fill="FFFFFF"/>
              <w:spacing w:line="400" w:lineRule="exact"/>
              <w:ind w:firstLine="480" w:firstLineChars="200"/>
              <w:contextualSpacing/>
              <w:rPr>
                <w:rFonts w:ascii="Times New Roman" w:hAnsi="Times New Roman" w:eastAsia="宋体"/>
                <w:kern w:val="0"/>
                <w:sz w:val="24"/>
                <w:szCs w:val="24"/>
                <w:shd w:val="clear" w:color="auto" w:fill="FFFFFF"/>
              </w:rPr>
            </w:pPr>
            <w:r>
              <w:rPr>
                <w:rFonts w:hint="eastAsia" w:ascii="楷体" w:hAnsi="楷体" w:eastAsia="楷体" w:cs="楷体"/>
                <w:kern w:val="0"/>
                <w:sz w:val="24"/>
                <w:szCs w:val="24"/>
                <w:shd w:val="clear" w:color="auto" w:fill="FFFFFF"/>
              </w:rPr>
              <w:t>市政基础设施建设工程。</w:t>
            </w:r>
            <w:r>
              <w:rPr>
                <w:rFonts w:hint="eastAsia" w:ascii="仿宋" w:hAnsi="仿宋" w:eastAsia="仿宋" w:cs="仿宋"/>
                <w:kern w:val="0"/>
                <w:sz w:val="24"/>
                <w:szCs w:val="24"/>
                <w:shd w:val="clear" w:color="auto" w:fill="FFFFFF"/>
              </w:rPr>
              <w:t>开工建设白河大道贯通、新东路工程等</w:t>
            </w:r>
            <w:r>
              <w:rPr>
                <w:rFonts w:ascii="仿宋" w:hAnsi="仿宋" w:eastAsia="仿宋" w:cs="仿宋"/>
                <w:kern w:val="0"/>
                <w:sz w:val="24"/>
                <w:szCs w:val="24"/>
                <w:shd w:val="clear" w:color="auto" w:fill="FFFFFF"/>
              </w:rPr>
              <w:t>15项新建城市道路工程，启动中心城区雨污合流管道改造项目和涉铁项目等前期工作；完成淯阳桥重建、原西环路等14项续建城市道路建设项目；完成许庄水厂建设任务，启动白河南污水处理厂二期、污泥处理厂二期工程</w:t>
            </w:r>
            <w:r>
              <w:rPr>
                <w:rFonts w:hint="eastAsia" w:ascii="仿宋" w:hAnsi="仿宋" w:eastAsia="仿宋" w:cs="仿宋"/>
                <w:kern w:val="0"/>
                <w:sz w:val="24"/>
                <w:szCs w:val="24"/>
                <w:shd w:val="clear" w:color="auto" w:fill="FFFFFF"/>
              </w:rPr>
              <w:t>；</w:t>
            </w:r>
            <w:r>
              <w:rPr>
                <w:rFonts w:ascii="仿宋" w:hAnsi="仿宋" w:eastAsia="仿宋" w:cs="仿宋"/>
                <w:kern w:val="0"/>
                <w:sz w:val="24"/>
                <w:szCs w:val="24"/>
                <w:shd w:val="clear" w:color="auto" w:fill="FFFFFF"/>
              </w:rPr>
              <w:t>加大城市管理投入，完成桥梁加固提升、智慧管网建设、积水点整治和排水管网破损修复等建设项目</w:t>
            </w:r>
            <w:r>
              <w:rPr>
                <w:rFonts w:hint="eastAsia" w:ascii="仿宋" w:hAnsi="仿宋" w:eastAsia="仿宋" w:cs="仿宋"/>
                <w:kern w:val="0"/>
                <w:sz w:val="24"/>
                <w:szCs w:val="24"/>
                <w:shd w:val="clear" w:color="auto" w:fill="FFFFFF"/>
              </w:rPr>
              <w:t>；</w:t>
            </w:r>
            <w:r>
              <w:rPr>
                <w:rFonts w:ascii="仿宋" w:hAnsi="仿宋" w:eastAsia="仿宋" w:cs="仿宋"/>
                <w:kern w:val="0"/>
                <w:sz w:val="24"/>
                <w:szCs w:val="24"/>
                <w:shd w:val="clear" w:color="auto" w:fill="FFFFFF"/>
              </w:rPr>
              <w:t>开展“系统化全域推进海绵城市建设示范市”</w:t>
            </w:r>
            <w:r>
              <w:rPr>
                <w:rFonts w:hint="eastAsia" w:ascii="仿宋" w:hAnsi="仿宋" w:eastAsia="仿宋" w:cs="仿宋"/>
                <w:kern w:val="0"/>
                <w:sz w:val="24"/>
                <w:szCs w:val="24"/>
                <w:shd w:val="clear" w:color="auto" w:fill="FFFFFF"/>
              </w:rPr>
              <w:t>“</w:t>
            </w:r>
            <w:r>
              <w:rPr>
                <w:rFonts w:ascii="仿宋" w:hAnsi="仿宋" w:eastAsia="仿宋" w:cs="仿宋"/>
                <w:kern w:val="0"/>
                <w:sz w:val="24"/>
                <w:szCs w:val="24"/>
                <w:shd w:val="clear" w:color="auto" w:fill="FFFFFF"/>
              </w:rPr>
              <w:t>北方地区冬季清洁取暖项目试点城市”的工作。</w:t>
            </w:r>
          </w:p>
          <w:p>
            <w:pPr>
              <w:shd w:val="clear" w:color="auto" w:fill="FFFFFF"/>
              <w:spacing w:line="400" w:lineRule="exact"/>
              <w:ind w:firstLine="480" w:firstLineChars="200"/>
              <w:contextualSpacing/>
              <w:rPr>
                <w:rFonts w:ascii="Times New Roman" w:hAnsi="Times New Roman" w:eastAsia="宋体"/>
                <w:kern w:val="0"/>
                <w:sz w:val="24"/>
                <w:szCs w:val="24"/>
                <w:shd w:val="clear" w:color="auto" w:fill="FFFFFF"/>
              </w:rPr>
            </w:pPr>
            <w:r>
              <w:rPr>
                <w:rFonts w:hint="eastAsia" w:ascii="楷体" w:hAnsi="楷体" w:eastAsia="楷体" w:cs="楷体"/>
                <w:kern w:val="0"/>
                <w:sz w:val="24"/>
                <w:szCs w:val="24"/>
                <w:shd w:val="clear" w:color="auto" w:fill="FFFFFF"/>
              </w:rPr>
              <w:t>园林绿化建设工程。</w:t>
            </w:r>
            <w:r>
              <w:rPr>
                <w:rFonts w:hint="eastAsia" w:ascii="仿宋" w:hAnsi="仿宋" w:eastAsia="仿宋" w:cs="仿宋"/>
                <w:kern w:val="0"/>
                <w:sz w:val="24"/>
                <w:szCs w:val="24"/>
                <w:shd w:val="clear" w:color="auto" w:fill="FFFFFF"/>
              </w:rPr>
              <w:t>完成人民公园提升改造；对中州路、杜诗路等</w:t>
            </w:r>
            <w:r>
              <w:rPr>
                <w:rFonts w:ascii="仿宋" w:hAnsi="仿宋" w:eastAsia="仿宋" w:cs="仿宋"/>
                <w:kern w:val="0"/>
                <w:sz w:val="24"/>
                <w:szCs w:val="24"/>
                <w:shd w:val="clear" w:color="auto" w:fill="FFFFFF"/>
              </w:rPr>
              <w:t>20条城市道路绿化进行提升；完成八一游园、七一游园等20个游园提升改造；启动十里庙遗址公园、申伯公园前期工作。</w:t>
            </w:r>
          </w:p>
          <w:p>
            <w:pPr>
              <w:shd w:val="clear" w:color="auto" w:fill="FFFFFF"/>
              <w:spacing w:line="400" w:lineRule="exact"/>
              <w:ind w:firstLine="480" w:firstLineChars="200"/>
              <w:contextualSpacing/>
              <w:rPr>
                <w:rFonts w:ascii="Times New Roman" w:hAnsi="Times New Roman" w:eastAsia="宋体"/>
                <w:kern w:val="0"/>
                <w:sz w:val="24"/>
                <w:szCs w:val="24"/>
                <w:shd w:val="clear" w:color="auto" w:fill="FFFFFF"/>
              </w:rPr>
            </w:pPr>
            <w:r>
              <w:rPr>
                <w:rFonts w:hint="eastAsia" w:ascii="楷体" w:hAnsi="楷体" w:eastAsia="楷体" w:cs="楷体"/>
                <w:kern w:val="0"/>
                <w:sz w:val="24"/>
                <w:szCs w:val="24"/>
                <w:shd w:val="clear" w:color="auto" w:fill="FFFFFF"/>
              </w:rPr>
              <w:t>内河水系治理工程。</w:t>
            </w:r>
            <w:r>
              <w:rPr>
                <w:rFonts w:hint="eastAsia" w:ascii="仿宋" w:hAnsi="仿宋" w:eastAsia="仿宋" w:cs="仿宋"/>
                <w:kern w:val="0"/>
                <w:sz w:val="24"/>
                <w:szCs w:val="24"/>
                <w:shd w:val="clear" w:color="auto" w:fill="FFFFFF"/>
              </w:rPr>
              <w:t>完成白河零号橡胶坝提水泵站、淯龙泉管道改造、护城河景观提升和溧河治理工程，完成白河第三橡胶坝拆除重建项目、梅溪河等</w:t>
            </w:r>
            <w:r>
              <w:rPr>
                <w:rFonts w:ascii="仿宋" w:hAnsi="仿宋" w:eastAsia="仿宋" w:cs="仿宋"/>
                <w:kern w:val="0"/>
                <w:sz w:val="24"/>
                <w:szCs w:val="24"/>
                <w:shd w:val="clear" w:color="auto" w:fill="FFFFFF"/>
              </w:rPr>
              <w:t>6条内河上游治理工程前期工作</w:t>
            </w:r>
            <w:r>
              <w:rPr>
                <w:rFonts w:hint="eastAsia" w:ascii="仿宋" w:hAnsi="仿宋" w:eastAsia="仿宋" w:cs="仿宋"/>
                <w:kern w:val="0"/>
                <w:sz w:val="24"/>
                <w:szCs w:val="24"/>
                <w:shd w:val="clear" w:color="auto" w:fill="FFFFFF"/>
              </w:rPr>
              <w:t>，</w:t>
            </w:r>
            <w:r>
              <w:rPr>
                <w:rFonts w:ascii="仿宋" w:hAnsi="仿宋" w:eastAsia="仿宋" w:cs="仿宋"/>
                <w:kern w:val="0"/>
                <w:sz w:val="24"/>
                <w:szCs w:val="24"/>
                <w:shd w:val="clear" w:color="auto" w:fill="FFFFFF"/>
              </w:rPr>
              <w:t>实施</w:t>
            </w:r>
            <w:r>
              <w:rPr>
                <w:rFonts w:hint="eastAsia" w:ascii="仿宋" w:hAnsi="仿宋" w:eastAsia="仿宋" w:cs="仿宋"/>
                <w:kern w:val="0"/>
                <w:sz w:val="24"/>
                <w:szCs w:val="24"/>
                <w:shd w:val="clear" w:color="auto" w:fill="FFFFFF"/>
              </w:rPr>
              <w:t>城乡一体化</w:t>
            </w:r>
            <w:r>
              <w:rPr>
                <w:rFonts w:ascii="仿宋" w:hAnsi="仿宋" w:eastAsia="仿宋" w:cs="仿宋"/>
                <w:kern w:val="0"/>
                <w:sz w:val="24"/>
                <w:szCs w:val="24"/>
                <w:shd w:val="clear" w:color="auto" w:fill="FFFFFF"/>
              </w:rPr>
              <w:t>示范区月季西园区水系、三里河与白河的水系连通工程。</w:t>
            </w:r>
          </w:p>
          <w:p>
            <w:pPr>
              <w:shd w:val="clear" w:color="auto" w:fill="FFFFFF"/>
              <w:spacing w:line="400" w:lineRule="exact"/>
              <w:ind w:firstLine="480" w:firstLineChars="200"/>
              <w:contextualSpacing/>
              <w:rPr>
                <w:rFonts w:ascii="Times New Roman" w:hAnsi="Times New Roman" w:eastAsia="宋体"/>
                <w:kern w:val="0"/>
                <w:sz w:val="28"/>
                <w:szCs w:val="28"/>
                <w:shd w:val="clear" w:color="auto" w:fill="FFFFFF"/>
              </w:rPr>
            </w:pPr>
            <w:r>
              <w:rPr>
                <w:rFonts w:hint="eastAsia" w:ascii="楷体" w:hAnsi="楷体" w:eastAsia="楷体" w:cs="楷体"/>
                <w:kern w:val="0"/>
                <w:sz w:val="24"/>
                <w:szCs w:val="24"/>
                <w:shd w:val="clear" w:color="auto" w:fill="FFFFFF"/>
              </w:rPr>
              <w:t>公共停车场建设工程。</w:t>
            </w:r>
            <w:r>
              <w:rPr>
                <w:rFonts w:hint="eastAsia" w:ascii="仿宋" w:hAnsi="仿宋" w:eastAsia="仿宋" w:cs="仿宋"/>
                <w:kern w:val="0"/>
                <w:sz w:val="24"/>
                <w:szCs w:val="24"/>
                <w:shd w:val="clear" w:color="auto" w:fill="FFFFFF"/>
              </w:rPr>
              <w:t>完成中心医院综合立体停车楼建设，启动人民公园、中心广场、解放广场、平安游园、关帝庙路、文化宫停车场项目等</w:t>
            </w:r>
            <w:r>
              <w:rPr>
                <w:rFonts w:ascii="仿宋" w:hAnsi="仿宋" w:eastAsia="仿宋" w:cs="仿宋"/>
                <w:kern w:val="0"/>
                <w:sz w:val="24"/>
                <w:szCs w:val="24"/>
                <w:shd w:val="clear" w:color="auto" w:fill="FFFFFF"/>
              </w:rPr>
              <w:t>6座停车场建设，增加车位5000个。</w:t>
            </w:r>
          </w:p>
        </w:tc>
      </w:tr>
    </w:tbl>
    <w:p>
      <w:pPr>
        <w:pStyle w:val="7"/>
        <w:spacing w:line="560" w:lineRule="exact"/>
        <w:contextualSpacing/>
        <w:jc w:val="center"/>
        <w:rPr>
          <w:rStyle w:val="29"/>
          <w:rFonts w:ascii="楷体" w:hAnsi="楷体" w:eastAsia="楷体" w:cstheme="minorBidi"/>
          <w:b w:val="0"/>
        </w:rPr>
      </w:pPr>
      <w:bookmarkStart w:id="1005" w:name="_Toc98086672"/>
      <w:bookmarkStart w:id="1006" w:name="_Toc98162634"/>
      <w:bookmarkStart w:id="1007" w:name="_Toc13723"/>
      <w:bookmarkStart w:id="1008" w:name="_Toc4453"/>
      <w:bookmarkStart w:id="1009" w:name="_Toc2637"/>
      <w:r>
        <w:rPr>
          <w:rStyle w:val="29"/>
          <w:rFonts w:hint="eastAsia" w:ascii="楷体" w:hAnsi="楷体" w:eastAsia="楷体" w:cstheme="minorBidi"/>
          <w:b w:val="0"/>
        </w:rPr>
        <w:t xml:space="preserve">第二节 </w:t>
      </w:r>
      <w:bookmarkEnd w:id="1005"/>
      <w:bookmarkEnd w:id="1006"/>
      <w:r>
        <w:rPr>
          <w:rStyle w:val="29"/>
          <w:rFonts w:hint="eastAsia" w:ascii="楷体" w:hAnsi="楷体" w:eastAsia="楷体" w:cstheme="minorBidi"/>
          <w:b w:val="0"/>
        </w:rPr>
        <w:t>建设安全可靠的韧性城市</w:t>
      </w:r>
      <w:bookmarkEnd w:id="1007"/>
      <w:bookmarkEnd w:id="1008"/>
      <w:bookmarkEnd w:id="1009"/>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1.加强城市安全</w:t>
      </w:r>
      <w:r>
        <w:rPr>
          <w:rFonts w:ascii="仿宋" w:hAnsi="仿宋" w:eastAsia="仿宋" w:cs="Arial"/>
          <w:sz w:val="32"/>
        </w:rPr>
        <w:t>工程</w:t>
      </w:r>
      <w:r>
        <w:rPr>
          <w:rFonts w:hint="eastAsia" w:ascii="仿宋" w:hAnsi="仿宋" w:eastAsia="仿宋" w:cs="Arial"/>
          <w:sz w:val="32"/>
        </w:rPr>
        <w:t>建设。以燃气管网、交通物流、供电供水、信息通讯、电力系统、热力管网等工程为重点，实施城市生命线补短板工程，建立风险隐患排查整改动态清单。深入开展燃气管网和相关设施排查整治，强化老旧管道检测评估，滚动实施更新改造项目，全面消除安全隐患。推进新城新区高标准规划建设，强化气候可行性论证，提高既有建筑灾害设防标准，完善防御设施。适度超前强化抗险设计，建立完善城市生命线安全运行监测系统，绘制生命线管网数字地图，开展供电供暖负荷预测和气象灾害影响评估，逐步实现风险数字感知、预测预警和高效处置。积极推进既有小区电力设施迁移改造或防涝加固，新建小区配套电力设施原则上应当放置在地面层。坚持地上地下空间相结合，合理规划布局应急避难场所，提升体育场馆等公共建筑和设施的应急避难功能。推动数字孪生城市建设，加快推进城市地上、地面、地下设施数字化建设，全面提升城市安全系数。</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2.开展城市内涝治理。坚持外防进水、内防积水，统筹推进城市防洪排涝设施建设和海绵城市建设，全面提高城市排水管网建设标准，健全定时清淤疏通长效管护机制，建设自然积存、自然渗透、自然净化的海绵城市，有效减少城市建成区内涝现象发生。加强自然山水保护和河湖水系建设联通，保护行洪通道、蓄滞洪区和大型雨水调蓄空间，加强城市排水防涝设施建设和提标改造，形成源头减排、管网排放、蓄排并举、超标应急的城市排水防涝工程体系。推广海绵型道路与广场、公园与绿地、建筑与小区，增强“渗、蓄、排、用”功能。因地制宜建设城市蓄水排水设施，推进海绵城市建设与灾后恢复重建、绿色社区建设与城市更新等有机衔接。</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3.提高城市卫生防治能力。健全传染病救治体系，推进综合医院和疾控中心提标改造，增强传染病科室和重症监护室诊疗救治能力，优化发热门诊等疾控网点布设，预留应急空间，加强业务用房建设和必要设备配置，分级建设重大疫情救治基地，改善提升基层医疗卫生机构疾病防控条件。提升平疫结合能力，确保新建改建的特定大型公共设施具备短期内改造为方舱医院的条件。加强重大疫情应急物资储备、技术储备和产能储备。健全传染病疫情和突发公共卫生事件监测系统，完善公共卫生重大风险研判、评估、决策、防控协同和分级分层分流的疫情救治机制，建立专常兼备、反应灵敏、上下联动的应急响应体系。</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4.健全城市应急管理体系。完善安全生产、消防、森林防火灭火、防汛抗旱、防灾减灾、灾难救助、地震地质灾害等部门联动协同机制，提升突发事件应急处置能力。加强工业园区、老旧市场、老旧小区等重点区域安全管理，在人员密集的重点场所配备安全员和安保设施，逐步在南阳市重点线路、重点时段的公共交通运输工具上配备乘务管理人员。建设医疗、抢险救援等应急物资储备库，主动配合豫南区域性综合应急救援保障基地建设，完善县域应急联动机制。深入开展防灾减灾知识宣传和普及教育，健全防灾减灾演习机制，提高居民自救互救能力。</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tcPr>
          <w:p>
            <w:pPr>
              <w:pStyle w:val="24"/>
              <w:spacing w:beforeAutospacing="0" w:afterAutospacing="0" w:line="400" w:lineRule="exact"/>
              <w:ind w:firstLine="482"/>
              <w:contextualSpacing/>
              <w:jc w:val="center"/>
              <w:rPr>
                <w:rFonts w:ascii="仿宋" w:hAnsi="仿宋" w:eastAsia="仿宋"/>
                <w:sz w:val="28"/>
                <w:szCs w:val="28"/>
              </w:rPr>
            </w:pPr>
            <w:r>
              <w:rPr>
                <w:rFonts w:hint="eastAsia" w:ascii="黑体" w:hAnsi="黑体" w:eastAsia="黑体" w:cs="黑体"/>
                <w:bCs/>
                <w:sz w:val="28"/>
                <w:szCs w:val="28"/>
              </w:rPr>
              <w:t>专栏6：安全韧性城市重大工程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spacing w:line="400" w:lineRule="exact"/>
              <w:ind w:firstLine="470" w:firstLineChars="196"/>
              <w:contextualSpacing/>
              <w:rPr>
                <w:rFonts w:ascii="Times New Roman" w:hAnsi="Times New Roman" w:eastAsia="宋体"/>
                <w:sz w:val="24"/>
                <w:szCs w:val="24"/>
              </w:rPr>
            </w:pPr>
            <w:r>
              <w:rPr>
                <w:rFonts w:hint="eastAsia" w:ascii="楷体" w:hAnsi="楷体" w:eastAsia="楷体" w:cs="楷体"/>
                <w:kern w:val="0"/>
                <w:sz w:val="24"/>
                <w:szCs w:val="24"/>
                <w:shd w:val="clear" w:color="auto" w:fill="FFFFFF"/>
              </w:rPr>
              <w:t>城市应急避难工程。</w:t>
            </w:r>
            <w:r>
              <w:rPr>
                <w:rFonts w:hint="eastAsia" w:ascii="仿宋" w:hAnsi="仿宋" w:eastAsia="仿宋"/>
                <w:sz w:val="24"/>
                <w:szCs w:val="24"/>
              </w:rPr>
              <w:t>建设完善市、县、乡、村四级灾情报送体系，到</w:t>
            </w:r>
            <w:r>
              <w:rPr>
                <w:rFonts w:ascii="仿宋" w:hAnsi="仿宋" w:eastAsia="仿宋"/>
                <w:sz w:val="24"/>
                <w:szCs w:val="24"/>
              </w:rPr>
              <w:t>2025年，市、县两级涉灾部门预警信息共享率达到100%，灾害事故预警信息发布公共覆盖率达到100%。积极尝试创建国家级和省级</w:t>
            </w:r>
            <w:r>
              <w:rPr>
                <w:rFonts w:hint="eastAsia" w:ascii="仿宋" w:hAnsi="仿宋" w:eastAsia="仿宋"/>
                <w:sz w:val="24"/>
                <w:szCs w:val="24"/>
              </w:rPr>
              <w:t>安全发展示范城市。建设</w:t>
            </w:r>
            <w:r>
              <w:rPr>
                <w:rFonts w:ascii="仿宋" w:hAnsi="仿宋" w:eastAsia="仿宋"/>
                <w:sz w:val="24"/>
                <w:szCs w:val="24"/>
              </w:rPr>
              <w:t>2-3支省级骨干专业救援队伍，建设市级不少于100人、县级不少于50人、乡镇级不少于20人的专（兼）职救援队伍，各类工业园区和危险化学品、煤矿、非煤矿山等高危行业企业按标准建立救援队伍。</w:t>
            </w:r>
          </w:p>
          <w:p>
            <w:pPr>
              <w:spacing w:line="400" w:lineRule="exact"/>
              <w:ind w:firstLine="470" w:firstLineChars="196"/>
              <w:contextualSpacing/>
              <w:rPr>
                <w:rFonts w:ascii="仿宋" w:hAnsi="仿宋" w:eastAsia="仿宋"/>
                <w:sz w:val="24"/>
                <w:szCs w:val="24"/>
              </w:rPr>
            </w:pPr>
            <w:r>
              <w:rPr>
                <w:rFonts w:hint="eastAsia" w:ascii="楷体" w:hAnsi="楷体" w:eastAsia="楷体" w:cs="楷体"/>
                <w:kern w:val="0"/>
                <w:sz w:val="24"/>
                <w:szCs w:val="24"/>
                <w:shd w:val="clear" w:color="auto" w:fill="FFFFFF"/>
              </w:rPr>
              <w:t>城市公共卫生工程。</w:t>
            </w:r>
            <w:r>
              <w:rPr>
                <w:rFonts w:hint="eastAsia" w:ascii="仿宋" w:hAnsi="仿宋" w:eastAsia="仿宋"/>
                <w:sz w:val="24"/>
                <w:szCs w:val="24"/>
              </w:rPr>
              <w:t>加快建设国家中医区域医疗中心、省级区域中医专科诊疗中心和中医特色重点医院。加快南阳市中医院新院区建设，与中国中医科学院望京医院合作共建国家中医（骨伤）区域医疗中心。争取现代中医药国家重点实验室布局南阳，建设高能级中医药重点实验室、中医临床医学研究中心、工程技术研究中心等科技创新平台。</w:t>
            </w:r>
          </w:p>
          <w:p>
            <w:pPr>
              <w:spacing w:line="400" w:lineRule="exact"/>
              <w:ind w:firstLine="470" w:firstLineChars="196"/>
              <w:contextualSpacing/>
              <w:rPr>
                <w:rFonts w:ascii="Times New Roman" w:hAnsi="Times New Roman" w:eastAsia="宋体"/>
                <w:sz w:val="24"/>
                <w:szCs w:val="24"/>
              </w:rPr>
            </w:pPr>
            <w:r>
              <w:rPr>
                <w:rFonts w:hint="eastAsia" w:ascii="楷体" w:hAnsi="楷体" w:eastAsia="楷体" w:cs="楷体"/>
                <w:kern w:val="0"/>
                <w:sz w:val="24"/>
                <w:szCs w:val="24"/>
                <w:shd w:val="clear" w:color="auto" w:fill="FFFFFF"/>
              </w:rPr>
              <w:t>城市排水防涝工程。</w:t>
            </w:r>
            <w:r>
              <w:rPr>
                <w:rFonts w:hint="eastAsia" w:ascii="仿宋" w:hAnsi="仿宋" w:eastAsia="仿宋"/>
                <w:sz w:val="24"/>
                <w:szCs w:val="24"/>
              </w:rPr>
              <w:t>推进唐白河、淅川丹江等治理工程，开展鸭河口水库清淤扩容项目、方城汉山水库项目，谋划争取南水北调中线调蓄工程项目。实施“四水同治”，开展“两山擂台赛”，深化河长制“四制四化”工作模式，推进河湖“清四乱”、非法采砂问题整治，确保出境水断面水质稳定达标、城市黑臭水体全面消除。</w:t>
            </w:r>
          </w:p>
          <w:p>
            <w:pPr>
              <w:spacing w:line="400" w:lineRule="exact"/>
              <w:ind w:firstLine="470" w:firstLineChars="196"/>
              <w:contextualSpacing/>
              <w:rPr>
                <w:rFonts w:ascii="Times New Roman" w:hAnsi="Times New Roman" w:eastAsia="宋体"/>
                <w:sz w:val="24"/>
                <w:szCs w:val="24"/>
              </w:rPr>
            </w:pPr>
            <w:r>
              <w:rPr>
                <w:rFonts w:hint="eastAsia" w:ascii="楷体" w:hAnsi="楷体" w:eastAsia="楷体" w:cs="楷体"/>
                <w:kern w:val="0"/>
                <w:sz w:val="24"/>
                <w:szCs w:val="24"/>
                <w:shd w:val="clear" w:color="auto" w:fill="FFFFFF"/>
              </w:rPr>
              <w:t>城市气象服务工程。</w:t>
            </w:r>
            <w:r>
              <w:rPr>
                <w:rFonts w:hint="eastAsia" w:ascii="仿宋" w:hAnsi="仿宋" w:eastAsia="仿宋"/>
                <w:bCs/>
                <w:sz w:val="24"/>
                <w:szCs w:val="24"/>
              </w:rPr>
              <w:t>健全</w:t>
            </w:r>
            <w:r>
              <w:rPr>
                <w:rFonts w:hint="eastAsia" w:ascii="仿宋" w:hAnsi="仿宋" w:eastAsia="仿宋"/>
                <w:sz w:val="24"/>
                <w:szCs w:val="24"/>
              </w:rPr>
              <w:t>市、县两级突发事件预警信息发布系统，</w:t>
            </w:r>
            <w:r>
              <w:rPr>
                <w:rFonts w:ascii="仿宋" w:hAnsi="仿宋" w:eastAsia="仿宋"/>
                <w:sz w:val="24"/>
                <w:szCs w:val="24"/>
              </w:rPr>
              <w:t>构建精准、直达和广覆盖的预警信息发布网络</w:t>
            </w:r>
            <w:r>
              <w:rPr>
                <w:rFonts w:hint="eastAsia" w:ascii="仿宋" w:hAnsi="仿宋" w:eastAsia="仿宋"/>
                <w:sz w:val="24"/>
                <w:szCs w:val="24"/>
              </w:rPr>
              <w:t>，</w:t>
            </w:r>
            <w:r>
              <w:rPr>
                <w:rFonts w:ascii="仿宋" w:hAnsi="仿宋" w:eastAsia="仿宋"/>
                <w:sz w:val="24"/>
                <w:szCs w:val="24"/>
              </w:rPr>
              <w:t>预警信息覆盖率稳定在97%以上。完成南阳主要气象灾害风险普查和精细化风险评估及区划</w:t>
            </w:r>
            <w:r>
              <w:rPr>
                <w:rFonts w:hint="eastAsia" w:ascii="仿宋" w:hAnsi="仿宋" w:eastAsia="仿宋"/>
                <w:sz w:val="24"/>
                <w:szCs w:val="24"/>
              </w:rPr>
              <w:t>，</w:t>
            </w:r>
            <w:r>
              <w:rPr>
                <w:rFonts w:ascii="仿宋" w:hAnsi="仿宋" w:eastAsia="仿宋"/>
                <w:sz w:val="24"/>
                <w:szCs w:val="24"/>
              </w:rPr>
              <w:t>形成气象防灾减灾数据“一本账”。建立伏牛山、桐柏山、丹江口湿地生态功能区、淮河源头气象服务业务。</w:t>
            </w:r>
          </w:p>
          <w:p>
            <w:pPr>
              <w:spacing w:line="400" w:lineRule="exact"/>
              <w:ind w:firstLine="470" w:firstLineChars="196"/>
              <w:contextualSpacing/>
              <w:rPr>
                <w:rFonts w:ascii="仿宋" w:hAnsi="仿宋" w:eastAsia="仿宋"/>
              </w:rPr>
            </w:pPr>
            <w:r>
              <w:rPr>
                <w:rFonts w:hint="eastAsia" w:ascii="楷体" w:hAnsi="楷体" w:eastAsia="楷体" w:cs="楷体"/>
                <w:kern w:val="0"/>
                <w:sz w:val="24"/>
                <w:szCs w:val="24"/>
                <w:shd w:val="clear" w:color="auto" w:fill="FFFFFF"/>
              </w:rPr>
              <w:t>城市燃气管网更新改造工程。</w:t>
            </w:r>
            <w:r>
              <w:rPr>
                <w:rFonts w:ascii="仿宋" w:hAnsi="仿宋" w:eastAsia="仿宋"/>
                <w:sz w:val="24"/>
                <w:szCs w:val="24"/>
              </w:rPr>
              <w:t>将建成时间20年以上的老旧燃气管网全部纳入改造计划，强力推进、滚动实施老旧燃气管网、燃气立管改造提升和不符合安全条件的门站、调压站、储配站、加气站等改造搬迁。</w:t>
            </w:r>
          </w:p>
        </w:tc>
      </w:tr>
    </w:tbl>
    <w:p>
      <w:pPr>
        <w:pStyle w:val="7"/>
        <w:spacing w:line="560" w:lineRule="exact"/>
        <w:contextualSpacing/>
        <w:jc w:val="center"/>
        <w:rPr>
          <w:rStyle w:val="29"/>
          <w:rFonts w:ascii="楷体" w:hAnsi="楷体" w:eastAsia="楷体" w:cstheme="minorBidi"/>
          <w:b w:val="0"/>
        </w:rPr>
      </w:pPr>
      <w:bookmarkStart w:id="1010" w:name="_Toc18605"/>
      <w:bookmarkStart w:id="1011" w:name="_Toc8970"/>
      <w:bookmarkStart w:id="1012" w:name="_Toc98086673"/>
      <w:bookmarkStart w:id="1013" w:name="_Toc98162635"/>
      <w:bookmarkStart w:id="1014" w:name="_Toc3013"/>
      <w:r>
        <w:rPr>
          <w:rStyle w:val="29"/>
          <w:rFonts w:hint="eastAsia" w:ascii="楷体" w:hAnsi="楷体" w:eastAsia="楷体" w:cstheme="minorBidi"/>
          <w:b w:val="0"/>
        </w:rPr>
        <w:t>第三节 建设更具活力的创新城市</w:t>
      </w:r>
      <w:bookmarkEnd w:id="1010"/>
      <w:bookmarkEnd w:id="1011"/>
      <w:bookmarkEnd w:id="1012"/>
      <w:bookmarkEnd w:id="1013"/>
      <w:bookmarkEnd w:id="1014"/>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1.优化产业创新布局。构建产业创新发展格局，加快布局专业型产业创新基地，夯实产业基础，加大产业创新资源引进力度，打造新兴产业创新发展策源地，持续推进国家创新型城市建设。鼓励国家自主创新示范区等重大平台探索差异化创新发展路径，促进人才、技术和资金等高端要素集聚，积极创建国家区域科技创新中心。推动城市产业发展、创新创造与功能布局融合互动，打造集成科技、商务、金融、文化等复合功能的创新街区，有序布局市场化、特色化、专业化众创平台。推进产城融合示范区提质发展。</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2.建设创新平台载体。围绕我市先进制造、光电信息、新能源、新材料、生物、节能环保等产业，整合科技创新资源，以企业和高校、科研院所深度合作为重点，新建一批技术创新中心、工程技术研究中心、企业技术中心、产业创新中心、共性技术平台、检测试验平台等，鼓励企业建立重点实验室、院士专家工作站、博士后科研工作站、博士后创新实践基地、学会（协会）服务站。培育一批新兴研发机构，重点支持南阳防研所、南阳师范学院、南阳理工学院等建设重点实验室，乐凯华光、卧龙电气南阳防爆集团、中光学集团、中南钻石、牧原食品等建设工程技术研究中心。鼓励龙头企业设立海外离岸创新中心。加强科学研究实验设施和标准计量检测认证平台建设，完善大型仪器设备共享平台、科技信息情报共享平台等基础条件。</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3.营造一流创新生态。深入实施创新驱动战略，培育壮大创新企业群体，推进产学研深度融合，支持企业牵头组建创新联合体、行业研究院、共性技术平台，承担国家和省重大科技项目、创新能力建设专项、关键核心技术攻关专项。推广“智慧岛”双创载体，探索形成能够自我盈利和可持续发展的标准化模式，打造一批未来产业先行区、创新创业引领区和省级以上高新区。推动国家级省级双创示范基地提质增效，探索建设“楼上楼下”创新创业综合体，建立科技成果“沿途下蛋”高效转化机制。</w:t>
      </w:r>
    </w:p>
    <w:p>
      <w:pPr>
        <w:pStyle w:val="24"/>
        <w:shd w:val="clear" w:color="auto" w:fill="FFFFFF"/>
        <w:spacing w:beforeAutospacing="0" w:afterAutospacing="0" w:line="560" w:lineRule="exact"/>
        <w:ind w:firstLine="640" w:firstLineChars="200"/>
        <w:contextualSpacing/>
        <w:jc w:val="both"/>
        <w:textAlignment w:val="top"/>
        <w:rPr>
          <w:rStyle w:val="29"/>
          <w:rFonts w:ascii="楷体" w:hAnsi="楷体" w:eastAsia="楷体" w:cs="楷体"/>
          <w:b w:val="0"/>
          <w:bCs w:val="0"/>
          <w:sz w:val="32"/>
        </w:rPr>
      </w:pPr>
      <w:r>
        <w:rPr>
          <w:rFonts w:hint="eastAsia" w:ascii="仿宋" w:hAnsi="仿宋" w:eastAsia="仿宋" w:cs="Arial"/>
          <w:sz w:val="32"/>
        </w:rPr>
        <w:t>4.吸引汇聚专</w:t>
      </w:r>
      <w:r>
        <w:rPr>
          <w:rFonts w:ascii="仿宋" w:hAnsi="仿宋" w:eastAsia="仿宋" w:cs="Arial"/>
          <w:sz w:val="32"/>
        </w:rPr>
        <w:t>家</w:t>
      </w:r>
      <w:r>
        <w:rPr>
          <w:rFonts w:hint="eastAsia" w:ascii="仿宋" w:hAnsi="仿宋" w:eastAsia="仿宋" w:cs="Arial"/>
          <w:sz w:val="32"/>
        </w:rPr>
        <w:t>人才。统筹城市创新要素、企业产业需求和研发平台载体，加强行业龙头企业和科技型企业与高校院所、中介服务机构、行业组织等沟通联系，构建以市场为导向、大中小企业和各类主体融通、产学研深度融合的创新生态。强化对企业技术研发环节的政策支持，加大企业研发后补助等财政奖补力度，引导企业加大研发投入。支持双创示范基地与金融机构建立长期稳定合作关系，加强新兴领域创业投资服务，建立覆盖全过程的科技金融服务体系。</w:t>
      </w:r>
      <w:bookmarkStart w:id="1015" w:name="_Toc98086674"/>
      <w:bookmarkStart w:id="1016" w:name="_Toc26815"/>
      <w:bookmarkStart w:id="1017" w:name="_Toc98162636"/>
    </w:p>
    <w:p>
      <w:pPr>
        <w:pStyle w:val="7"/>
        <w:spacing w:line="560" w:lineRule="exact"/>
        <w:contextualSpacing/>
        <w:jc w:val="center"/>
        <w:rPr>
          <w:rStyle w:val="29"/>
          <w:rFonts w:ascii="楷体" w:hAnsi="楷体" w:eastAsia="楷体" w:cstheme="minorBidi"/>
          <w:b w:val="0"/>
        </w:rPr>
      </w:pPr>
      <w:bookmarkStart w:id="1018" w:name="_Toc13093"/>
      <w:bookmarkStart w:id="1019" w:name="_Toc20102"/>
      <w:r>
        <w:rPr>
          <w:rStyle w:val="29"/>
          <w:rFonts w:hint="eastAsia" w:ascii="楷体" w:hAnsi="楷体" w:eastAsia="楷体" w:cstheme="minorBidi"/>
          <w:b w:val="0"/>
        </w:rPr>
        <w:t>第四节 建设运行高效的智慧城市</w:t>
      </w:r>
      <w:bookmarkEnd w:id="1015"/>
      <w:bookmarkEnd w:id="1016"/>
      <w:bookmarkEnd w:id="1017"/>
      <w:bookmarkEnd w:id="1018"/>
      <w:bookmarkEnd w:id="1019"/>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1.前瞻布局新型数字基础设施。推动传统基础设施数字化改造，提升智慧化管理和运营水平。加快交通基础设施智能化升级，建设智慧枢纽、智慧公路、推进重要路段和节点交通感知网络覆盖，开展车路协同网络推广。推动“</w:t>
      </w:r>
      <w:r>
        <w:rPr>
          <w:rFonts w:ascii="仿宋" w:hAnsi="仿宋" w:eastAsia="仿宋" w:cs="Arial"/>
          <w:sz w:val="32"/>
        </w:rPr>
        <w:t>5G+北斗卫星”高精度定位及高分卫星遥感技术应用，开展多途综合服务。建设智慧能源基础设施，加快电网基础设施智能化改造、智能微电网和充电桩建设，强化电力、</w:t>
      </w:r>
      <w:r>
        <w:rPr>
          <w:rFonts w:hint="eastAsia" w:ascii="仿宋" w:hAnsi="仿宋" w:eastAsia="仿宋" w:cs="Arial"/>
          <w:sz w:val="32"/>
        </w:rPr>
        <w:t>天然气</w:t>
      </w:r>
      <w:r>
        <w:rPr>
          <w:rFonts w:ascii="仿宋" w:hAnsi="仿宋" w:eastAsia="仿宋" w:cs="Arial"/>
          <w:sz w:val="32"/>
        </w:rPr>
        <w:t>、热力等能源网络信息系统互联互通和数据共享。</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2.搭建智慧城市规划和运行管理平台。把社会应急、公共安全、政务服务管理、营商环境优化作为智慧城市建设的重点，优先建设智慧城市基础设施，同步开展前沿应用开发和建设。坚持市县一体统建为原则、特色应用为补充的指导思想，把县城纳入“智慧城市总体规划”，统一部署，统筹推进。建立健全大数据资产管理体系，推动全域智能化应用服务实时可见、即时可判、全域可控、全程可溯，打造集运行管理、决策指挥、交流展示为一体的智慧南阳调度中心。实施智慧公安、智慧安全、智慧应急、智慧消防、智慧交通、智慧城管、智慧监管等信息惠民工程。依托政务数据共享交换平台，接入全市各领域数据、视频、系统、热线服务电话等实时共享信息，实现城市运行管理实况实时更新、多维展现，有效提升城市运行监控预警、应急响应和跨领域协同能力。建设“城市门户</w:t>
      </w:r>
      <w:r>
        <w:rPr>
          <w:rFonts w:ascii="仿宋" w:hAnsi="仿宋" w:eastAsia="仿宋" w:cs="Arial"/>
          <w:sz w:val="32"/>
        </w:rPr>
        <w:t>”APP和城市一卡通。</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3.拓展新型智慧城市应用领域。丰富应用场景，推进智慧交通、智慧城管、智慧水务、智慧能源、智慧政务等发展，提升城市治理效率。实施数字政府建设工程，推进一体化政务服务平台、“互联网</w:t>
      </w:r>
      <w:r>
        <w:rPr>
          <w:rFonts w:ascii="仿宋" w:hAnsi="仿宋" w:eastAsia="仿宋" w:cs="Arial"/>
          <w:sz w:val="32"/>
        </w:rPr>
        <w:t>+监管平台”、金融服务共享平台迭代升级，实现信息基础设施、数据服务、应用系统等集约化、一体化建设运营，全面实现政务服务“一网通办”、社会治理“一网通管”、政务数据“一网通享”。推进标准化、规范化智慧小区建设，完善便民惠民智慧服务圈，打造集成社区服务和管理功能的一体化智慧社区。</w:t>
      </w:r>
    </w:p>
    <w:tbl>
      <w:tblPr>
        <w:tblStyle w:val="26"/>
        <w:tblpPr w:leftFromText="180" w:rightFromText="180" w:vertAnchor="text" w:horzAnchor="margin" w:tblpXSpec="center" w:tblpY="2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04" w:type="dxa"/>
            <w:vAlign w:val="center"/>
          </w:tcPr>
          <w:p>
            <w:pPr>
              <w:adjustRightInd w:val="0"/>
              <w:spacing w:line="400" w:lineRule="exact"/>
              <w:contextualSpacing/>
              <w:jc w:val="center"/>
              <w:rPr>
                <w:rFonts w:ascii="仿宋" w:hAnsi="仿宋" w:eastAsia="仿宋"/>
                <w:bCs/>
                <w:sz w:val="28"/>
                <w:szCs w:val="28"/>
              </w:rPr>
            </w:pPr>
            <w:r>
              <w:rPr>
                <w:rFonts w:hint="eastAsia" w:ascii="黑体" w:hAnsi="黑体" w:eastAsia="黑体" w:cs="黑体"/>
                <w:bCs/>
                <w:kern w:val="0"/>
                <w:sz w:val="28"/>
                <w:szCs w:val="28"/>
              </w:rPr>
              <w:t>专栏7：“十四五”智慧城市建设目标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8" w:hRule="atLeast"/>
          <w:jc w:val="center"/>
        </w:trPr>
        <w:tc>
          <w:tcPr>
            <w:tcW w:w="8504" w:type="dxa"/>
            <w:vAlign w:val="center"/>
          </w:tcPr>
          <w:p>
            <w:pPr>
              <w:shd w:val="clear" w:color="auto" w:fill="FFFFFF"/>
              <w:spacing w:line="400" w:lineRule="exact"/>
              <w:ind w:firstLine="480" w:firstLineChars="200"/>
              <w:contextualSpacing/>
              <w:jc w:val="left"/>
              <w:rPr>
                <w:rFonts w:ascii="仿宋" w:hAnsi="仿宋" w:eastAsia="仿宋"/>
                <w:sz w:val="24"/>
                <w:szCs w:val="24"/>
              </w:rPr>
            </w:pPr>
            <w:r>
              <w:rPr>
                <w:rFonts w:hint="eastAsia" w:ascii="仿宋" w:hAnsi="仿宋" w:eastAsia="仿宋"/>
                <w:sz w:val="24"/>
                <w:szCs w:val="24"/>
              </w:rPr>
              <w:t>到</w:t>
            </w:r>
            <w:r>
              <w:rPr>
                <w:rFonts w:ascii="仿宋" w:hAnsi="仿宋" w:eastAsia="仿宋"/>
                <w:sz w:val="24"/>
                <w:szCs w:val="24"/>
              </w:rPr>
              <w:t>2022年，特色智慧应用体系基本建成。城市综合治理水平得到有效提升，综合指挥调度系统、数字城管系统、综治系统得到深度应用；政务服务水平得到进一步提升，“全程网办”“秒批</w:t>
            </w:r>
            <w:r>
              <w:rPr>
                <w:rFonts w:hint="eastAsia" w:ascii="仿宋" w:hAnsi="仿宋" w:eastAsia="仿宋"/>
                <w:sz w:val="24"/>
                <w:szCs w:val="24"/>
              </w:rPr>
              <w:t>”</w:t>
            </w:r>
            <w:r>
              <w:rPr>
                <w:rFonts w:ascii="仿宋" w:hAnsi="仿宋" w:eastAsia="仿宋"/>
                <w:sz w:val="24"/>
                <w:szCs w:val="24"/>
              </w:rPr>
              <w:t>“并联审批”等广泛应用，政民互动、政企互动更加通畅，政府服务便捷性、高效性得到较大提升；智慧社区、智慧医疗、智慧教育、智慧交通等惠民系统得到广泛应用，实现智慧服务惠及全民；智能技术应用提升产业发展能力，在智慧城市整体解决方案供应、软硬件建设、人工智能研发、产业园区建设等方面成效显著。南阳</w:t>
            </w:r>
            <w:r>
              <w:rPr>
                <w:rFonts w:hint="eastAsia" w:ascii="仿宋" w:hAnsi="仿宋" w:eastAsia="仿宋"/>
                <w:sz w:val="24"/>
                <w:szCs w:val="24"/>
              </w:rPr>
              <w:t>市新型智慧城市建设总体水平进入全省前列，并争取进入国家新型智慧城市试点。</w:t>
            </w:r>
          </w:p>
          <w:p>
            <w:pPr>
              <w:shd w:val="clear" w:color="auto" w:fill="FFFFFF"/>
              <w:spacing w:line="400" w:lineRule="exact"/>
              <w:ind w:firstLine="480" w:firstLineChars="200"/>
              <w:contextualSpacing/>
              <w:jc w:val="left"/>
              <w:rPr>
                <w:rFonts w:ascii="仿宋" w:hAnsi="仿宋" w:eastAsia="仿宋" w:cs="仿宋"/>
                <w:sz w:val="28"/>
                <w:szCs w:val="28"/>
                <w:shd w:val="clear" w:color="auto" w:fill="FFFFFF"/>
              </w:rPr>
            </w:pPr>
            <w:r>
              <w:rPr>
                <w:rFonts w:hint="eastAsia" w:ascii="仿宋" w:hAnsi="仿宋" w:eastAsia="仿宋"/>
                <w:sz w:val="24"/>
                <w:szCs w:val="24"/>
              </w:rPr>
              <w:t>到</w:t>
            </w:r>
            <w:r>
              <w:rPr>
                <w:rFonts w:ascii="仿宋" w:hAnsi="仿宋" w:eastAsia="仿宋"/>
                <w:sz w:val="24"/>
                <w:szCs w:val="24"/>
              </w:rPr>
              <w:t>2025年，全市智慧化水平整体大幅提升，城市基础设施更加智能，城市管理更加精细，公共服务更加智慧，生态环境更加宜居，产业体系更加优化，发展机制更加完善；县域新型智慧城市建设全面展开，覆盖城乡的智慧社会初步形成；争取建成全国一流的新型智慧城市。</w:t>
            </w:r>
          </w:p>
        </w:tc>
      </w:tr>
    </w:tbl>
    <w:p>
      <w:pPr>
        <w:pStyle w:val="7"/>
        <w:spacing w:line="560" w:lineRule="exact"/>
        <w:contextualSpacing/>
        <w:jc w:val="center"/>
        <w:rPr>
          <w:rStyle w:val="29"/>
          <w:rFonts w:ascii="楷体" w:hAnsi="楷体" w:eastAsia="楷体" w:cstheme="minorBidi"/>
          <w:b w:val="0"/>
        </w:rPr>
      </w:pPr>
      <w:bookmarkStart w:id="1020" w:name="_Toc98162637"/>
      <w:bookmarkStart w:id="1021" w:name="_Toc98086675"/>
      <w:bookmarkStart w:id="1022" w:name="_Toc12258"/>
      <w:bookmarkStart w:id="1023" w:name="_Toc20991"/>
      <w:bookmarkStart w:id="1024" w:name="_Toc1565"/>
      <w:r>
        <w:rPr>
          <w:rStyle w:val="29"/>
          <w:rFonts w:hint="eastAsia" w:ascii="楷体" w:hAnsi="楷体" w:eastAsia="楷体" w:cstheme="minorBidi"/>
          <w:b w:val="0"/>
        </w:rPr>
        <w:t>第五节 建设美丽低碳的绿色城市</w:t>
      </w:r>
      <w:bookmarkEnd w:id="1020"/>
      <w:bookmarkEnd w:id="1021"/>
      <w:bookmarkEnd w:id="1022"/>
      <w:bookmarkEnd w:id="1023"/>
      <w:bookmarkEnd w:id="1024"/>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1.完善城市生态空间。持续开展国土绿化建设，推动城市实现森林公园、湿地公园、郊野公园广覆盖。依托山水林田湖草沙等自然基底建设城市生态绿色廊道，将城市公园、休闲空间、滨水绿带等串联，保护城市内部及周边地区的山地、林地、湿地，推进城市绿环、绿廊、绿楔和绿道建设，保持城市自然水域面积和生态用地规模，不断丰富优质生态产品供给。加强城市中心区、老城区园林绿化建设和绿地品质功能提升，形成点状绿色空间与线性绿道相结合的绿色服务网络。积极创建国家生态文明建设示范市。</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2.倡导绿色生活方式。积极开展绿色消费行动，引导居民选择原生态、低污染、低消耗绿色产品，引导企业选择必需型、健康型、生态化生产消费方式，逐步形成科学合理的消费结构。加强生态文明宣传教育，开展世界环境日、世界水日、节能宣传月等主题宣传，发布生活方式绿色化指南，引导公众积极践行绿色简约生活和低碳休闲模式。倡导文明用餐、节俭消费，坚决制止餐饮浪费行为。推行垃圾分类和减量化、资源化，建立健全分类收运、回收和处理体系。鼓励绿色产品消费，扩大政府绿色采购规模。</w:t>
      </w:r>
    </w:p>
    <w:p>
      <w:pPr>
        <w:pStyle w:val="24"/>
        <w:shd w:val="clear" w:color="auto" w:fill="FFFFFF"/>
        <w:spacing w:beforeAutospacing="0" w:afterAutospacing="0" w:line="560" w:lineRule="exact"/>
        <w:ind w:firstLine="640" w:firstLineChars="200"/>
        <w:contextualSpacing/>
        <w:jc w:val="both"/>
        <w:textAlignment w:val="top"/>
        <w:rPr>
          <w:rStyle w:val="29"/>
          <w:rFonts w:ascii="楷体" w:hAnsi="楷体" w:eastAsia="楷体"/>
          <w:b w:val="0"/>
          <w:bCs w:val="0"/>
          <w:sz w:val="32"/>
        </w:rPr>
      </w:pPr>
      <w:r>
        <w:rPr>
          <w:rFonts w:hint="eastAsia" w:ascii="仿宋" w:hAnsi="仿宋" w:eastAsia="仿宋" w:cs="Arial"/>
          <w:sz w:val="32"/>
        </w:rPr>
        <w:t>3.推进产业绿色发展。加快推动产业结构绿色低碳转型，积极发展节能环保、清洁生产、清洁能源等绿色产业，支持重点用能单位节能降碳改造、重点园区循环化改造。构建以新能源为主体的城市能源系统，加快可再生能源就近就地并网消纳，推动互联网与分布式能源、先进电网、储能技术深度融合，深入实施屋顶光伏发电开发行动，</w:t>
      </w:r>
      <w:r>
        <w:rPr>
          <w:rFonts w:ascii="仿宋" w:hAnsi="仿宋" w:eastAsia="仿宋" w:cs="Arial"/>
          <w:sz w:val="32"/>
        </w:rPr>
        <w:t>开展</w:t>
      </w:r>
      <w:r>
        <w:rPr>
          <w:rFonts w:hint="eastAsia" w:ascii="仿宋" w:hAnsi="仿宋" w:eastAsia="仿宋" w:cs="Arial"/>
          <w:sz w:val="32"/>
        </w:rPr>
        <w:t>整县（市、区）屋顶分布式光伏开发试点行动。建设资源循环利用基地和大宗固体废弃物综合利用基地，实现建筑垃圾、餐厨废弃物等无害化处置及资源化利用，开展城市公交、出租、环卫、物流配送等领域新能源汽车推广，</w:t>
      </w:r>
      <w:r>
        <w:rPr>
          <w:rFonts w:ascii="仿宋" w:hAnsi="仿宋" w:eastAsia="仿宋" w:cs="Arial"/>
          <w:sz w:val="32"/>
        </w:rPr>
        <w:t>创建“无</w:t>
      </w:r>
      <w:r>
        <w:rPr>
          <w:rFonts w:hint="eastAsia" w:ascii="仿宋" w:hAnsi="仿宋" w:eastAsia="仿宋" w:cs="Arial"/>
          <w:sz w:val="32"/>
        </w:rPr>
        <w:t>废城市”。大力发展绿色建筑和装配式建筑，推行绿色建筑和建筑节能标准，加强对既有建筑绿色改造的政策引导。支持金融机构增加有利于促进产业结构优化升级、企业绿色低碳发展的金融供给。</w:t>
      </w:r>
      <w:bookmarkStart w:id="1025" w:name="_Toc98162638"/>
      <w:bookmarkStart w:id="1026" w:name="_Toc14626"/>
      <w:bookmarkStart w:id="1027" w:name="_Toc98086676"/>
    </w:p>
    <w:p>
      <w:pPr>
        <w:pStyle w:val="7"/>
        <w:spacing w:line="560" w:lineRule="exact"/>
        <w:contextualSpacing/>
        <w:jc w:val="center"/>
        <w:rPr>
          <w:rStyle w:val="29"/>
          <w:rFonts w:ascii="楷体" w:hAnsi="楷体" w:eastAsia="楷体" w:cstheme="minorBidi"/>
          <w:b w:val="0"/>
        </w:rPr>
      </w:pPr>
      <w:bookmarkStart w:id="1028" w:name="_Toc3232"/>
      <w:bookmarkStart w:id="1029" w:name="_Toc20985"/>
      <w:r>
        <w:rPr>
          <w:rStyle w:val="29"/>
          <w:rFonts w:hint="eastAsia" w:ascii="楷体" w:hAnsi="楷体" w:eastAsia="楷体" w:cstheme="minorBidi"/>
          <w:b w:val="0"/>
        </w:rPr>
        <w:t>第六节 建设包容共享的人文城市</w:t>
      </w:r>
      <w:bookmarkEnd w:id="1025"/>
      <w:bookmarkEnd w:id="1026"/>
      <w:bookmarkEnd w:id="1027"/>
      <w:bookmarkEnd w:id="1028"/>
      <w:bookmarkEnd w:id="1029"/>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ascii="仿宋" w:hAnsi="仿宋" w:eastAsia="仿宋" w:cs="Arial"/>
          <w:sz w:val="32"/>
        </w:rPr>
        <w:t>1</w:t>
      </w:r>
      <w:r>
        <w:rPr>
          <w:rFonts w:hint="eastAsia" w:ascii="仿宋" w:hAnsi="仿宋" w:eastAsia="仿宋" w:cs="Arial"/>
          <w:sz w:val="32"/>
        </w:rPr>
        <w:t>.激发城市现代人文基因。坚持“以文化城”，以社会主义核心价值观为引领，打造有时代特色的城市文化标识。创新发展新型公共文化空间，广泛开展丰富多样的城市文化活动，打造一批文化街区、艺术走廊、城市书房、文化驿站、睦邻中心。建设一批特色彰显、富有魅力的博物馆群，规划布局世界级文化创意园区、国际艺术社区。推进文旅文创融合创新，打造数字文旅、考古旅游、遗产旅游、康养旅游等未来业态。完善城市文明公约制度，深化文明城市创建，推动志愿服务制度化和常态化，塑造和弘扬现代城市文明。</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2.传承城市历史文脉。发挥南阳文化资源优势，开展多层次、广领域的国内外文化传播交流贸易。办好张仲景医药文化节、玉文化博览会、月季博览会等重大活动，鼓励举办体现民族、民俗、民间特色的各类群众文化活动，宣传展示南阳文化风采。加强非物质文化遗产保护与传承，振兴镇平玉雕、方城石猴、南阳烙画等传统工艺，打响汉文化、中医药文化、“四圣”文化、官德文化、商埠文化等文化品牌，传承发展板头曲、大调曲、三弦书等传统音乐曲艺，争创“中国曲艺名城”。加强文物和历史文化遗址保护利用，积极参与万里茶道等申报世界文化遗产工作。加大南阳文化网络传播力度，讲好南阳故事，塑好南阳形象。</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napToGrid w:val="0"/>
          <w:sz w:val="32"/>
        </w:rPr>
        <w:t>3.强化文体服务供给。统筹规划文化和旅游公共服务设施，建设一批重大文化场馆，鼓励市级图书馆、博物馆等拓展分支机构和服务网点，扩大公共文化服务覆盖面和提升参与度。发挥南阳汉文化、中医药文化、“四圣”文化、官德文化、商埠文化优势，推进历史文化街区、旅游景区、遗址公园、文化公园建设。鼓励城市商圈、文化园区建设集图书阅读、艺术展览、文化沙龙等服务为</w:t>
      </w:r>
      <w:r>
        <w:rPr>
          <w:rFonts w:ascii="仿宋" w:hAnsi="仿宋" w:eastAsia="仿宋" w:cs="Arial"/>
          <w:snapToGrid w:val="0"/>
          <w:sz w:val="32"/>
        </w:rPr>
        <w:t>一体</w:t>
      </w:r>
      <w:r>
        <w:rPr>
          <w:rFonts w:hint="eastAsia" w:ascii="仿宋" w:hAnsi="仿宋" w:eastAsia="仿宋" w:cs="Arial"/>
          <w:snapToGrid w:val="0"/>
          <w:sz w:val="32"/>
        </w:rPr>
        <w:t>的“诸葛书屋”“城市书房”“文化驿站”。鼓励公共文化设施延时开放、提供夜间主题服务。加强群众体育“六个身边”工程建设，大力发展单项体育协会、行业体育协会、青少年体育俱乐部、社区体育俱乐部等体育社会组织，实现市、县、乡、村四级群众体育组织网络全覆盖。推动县（市）城区“两场三馆”建设，完善城</w:t>
      </w:r>
      <w:r>
        <w:rPr>
          <w:rFonts w:ascii="仿宋" w:hAnsi="仿宋" w:eastAsia="仿宋" w:cs="Arial"/>
          <w:snapToGrid w:val="0"/>
          <w:sz w:val="32"/>
        </w:rPr>
        <w:t>市</w:t>
      </w:r>
      <w:r>
        <w:rPr>
          <w:rFonts w:hint="eastAsia" w:ascii="仿宋" w:hAnsi="仿宋" w:eastAsia="仿宋" w:cs="Arial"/>
          <w:snapToGrid w:val="0"/>
          <w:sz w:val="32"/>
        </w:rPr>
        <w:t>社区健身设施，</w:t>
      </w:r>
      <w:r>
        <w:rPr>
          <w:rFonts w:ascii="仿宋" w:hAnsi="仿宋" w:eastAsia="仿宋" w:cs="Arial"/>
          <w:snapToGrid w:val="0"/>
          <w:sz w:val="32"/>
        </w:rPr>
        <w:t>打造10分钟健身圈</w:t>
      </w:r>
      <w:r>
        <w:rPr>
          <w:rFonts w:hint="eastAsia" w:ascii="仿宋" w:hAnsi="仿宋" w:eastAsia="仿宋" w:cs="Arial"/>
          <w:snapToGrid w:val="0"/>
          <w:sz w:val="32"/>
        </w:rPr>
        <w:t>。支持各类公共体育场馆免费或低收费开放，推进社会和学校体育场地设施开放共享。</w:t>
      </w:r>
    </w:p>
    <w:tbl>
      <w:tblPr>
        <w:tblStyle w:val="26"/>
        <w:tblpPr w:leftFromText="180" w:rightFromText="180" w:vertAnchor="text" w:horzAnchor="margin" w:tblpXSpec="center" w:tblpY="2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04" w:type="dxa"/>
            <w:vAlign w:val="center"/>
          </w:tcPr>
          <w:p>
            <w:pPr>
              <w:adjustRightInd w:val="0"/>
              <w:spacing w:line="400" w:lineRule="exact"/>
              <w:contextualSpacing/>
              <w:jc w:val="center"/>
              <w:rPr>
                <w:rFonts w:ascii="仿宋" w:hAnsi="仿宋" w:eastAsia="仿宋"/>
                <w:bCs/>
                <w:sz w:val="28"/>
                <w:szCs w:val="28"/>
              </w:rPr>
            </w:pPr>
            <w:r>
              <w:rPr>
                <w:rFonts w:hint="eastAsia" w:ascii="黑体" w:hAnsi="黑体" w:eastAsia="黑体" w:cs="黑体"/>
                <w:bCs/>
                <w:kern w:val="0"/>
                <w:sz w:val="28"/>
                <w:szCs w:val="28"/>
              </w:rPr>
              <w:t>专栏8：“十四五”时期文体设施建设和服务工程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6" w:hRule="atLeast"/>
          <w:jc w:val="center"/>
        </w:trPr>
        <w:tc>
          <w:tcPr>
            <w:tcW w:w="8504" w:type="dxa"/>
            <w:vAlign w:val="center"/>
          </w:tcPr>
          <w:p>
            <w:pPr>
              <w:shd w:val="clear" w:color="auto" w:fill="FFFFFF"/>
              <w:spacing w:line="400" w:lineRule="exact"/>
              <w:ind w:firstLine="480" w:firstLineChars="200"/>
              <w:contextualSpacing/>
              <w:rPr>
                <w:rFonts w:ascii="仿宋" w:hAnsi="仿宋" w:eastAsia="仿宋"/>
                <w:sz w:val="24"/>
                <w:szCs w:val="24"/>
              </w:rPr>
            </w:pPr>
            <w:r>
              <w:rPr>
                <w:rFonts w:hint="eastAsia" w:ascii="楷体" w:hAnsi="楷体" w:eastAsia="楷体" w:cs="楷体"/>
                <w:sz w:val="24"/>
                <w:szCs w:val="24"/>
              </w:rPr>
              <w:t>全民健身公共服务工程。</w:t>
            </w:r>
            <w:r>
              <w:rPr>
                <w:rFonts w:ascii="仿宋" w:hAnsi="仿宋" w:eastAsia="仿宋"/>
                <w:sz w:val="24"/>
                <w:szCs w:val="24"/>
              </w:rPr>
              <w:t>完善各县</w:t>
            </w:r>
            <w:r>
              <w:rPr>
                <w:rFonts w:hint="eastAsia" w:ascii="仿宋" w:hAnsi="仿宋" w:eastAsia="仿宋"/>
                <w:sz w:val="24"/>
                <w:szCs w:val="24"/>
              </w:rPr>
              <w:t>（市、</w:t>
            </w:r>
            <w:r>
              <w:rPr>
                <w:rFonts w:ascii="仿宋" w:hAnsi="仿宋" w:eastAsia="仿宋"/>
                <w:sz w:val="24"/>
                <w:szCs w:val="24"/>
              </w:rPr>
              <w:t>区</w:t>
            </w:r>
            <w:r>
              <w:rPr>
                <w:rFonts w:hint="eastAsia" w:ascii="仿宋" w:hAnsi="仿宋" w:eastAsia="仿宋"/>
                <w:sz w:val="24"/>
                <w:szCs w:val="24"/>
              </w:rPr>
              <w:t>）</w:t>
            </w:r>
            <w:r>
              <w:rPr>
                <w:rFonts w:ascii="仿宋" w:hAnsi="仿宋" w:eastAsia="仿宋"/>
                <w:sz w:val="24"/>
                <w:szCs w:val="24"/>
              </w:rPr>
              <w:t>“两场三馆”和城市10分钟健身圈</w:t>
            </w:r>
            <w:r>
              <w:rPr>
                <w:rFonts w:hint="eastAsia" w:ascii="仿宋" w:hAnsi="仿宋" w:eastAsia="仿宋"/>
                <w:sz w:val="24"/>
                <w:szCs w:val="24"/>
              </w:rPr>
              <w:t>建设，</w:t>
            </w:r>
            <w:r>
              <w:rPr>
                <w:rFonts w:ascii="仿宋" w:hAnsi="仿宋" w:eastAsia="仿宋"/>
                <w:sz w:val="24"/>
                <w:szCs w:val="24"/>
              </w:rPr>
              <w:t>推进社区老年康养设施建设</w:t>
            </w:r>
            <w:r>
              <w:rPr>
                <w:rFonts w:hint="eastAsia" w:ascii="仿宋" w:hAnsi="仿宋" w:eastAsia="仿宋"/>
                <w:sz w:val="24"/>
                <w:szCs w:val="24"/>
              </w:rPr>
              <w:t>。</w:t>
            </w:r>
            <w:r>
              <w:rPr>
                <w:rFonts w:ascii="仿宋" w:hAnsi="仿宋" w:eastAsia="仿宋"/>
                <w:sz w:val="24"/>
                <w:szCs w:val="24"/>
              </w:rPr>
              <w:t>到2025年，人均体育场地面积达到2.6平方米，</w:t>
            </w:r>
            <w:r>
              <w:rPr>
                <w:rFonts w:hint="eastAsia" w:ascii="仿宋" w:hAnsi="仿宋" w:eastAsia="仿宋"/>
                <w:sz w:val="24"/>
                <w:szCs w:val="24"/>
              </w:rPr>
              <w:t>社会体育指导员比例达到</w:t>
            </w:r>
            <w:r>
              <w:rPr>
                <w:rFonts w:ascii="仿宋" w:hAnsi="仿宋" w:eastAsia="仿宋"/>
                <w:sz w:val="24"/>
                <w:szCs w:val="24"/>
              </w:rPr>
              <w:t>3‰，经常参加体育锻炼的人数比例达到38.5%，每万人体育组织达到1个，全民健身活动站点达到5万个，实施好央级36个行政村农民健身工程和省级188个农民健身工程、40条常规健身路径、10个二代智能健身驿站、8个多功能运动场、3个户外全民健身活动中心、2套室外智慧健身房、1个室内全民健身中心和1条健身步道建设。使全民健身活动和群众性体育赛事更加丰富，人民群众的身体素养和健康水平显著提高。</w:t>
            </w:r>
          </w:p>
          <w:p>
            <w:pPr>
              <w:shd w:val="clear" w:color="auto" w:fill="FFFFFF"/>
              <w:spacing w:line="400" w:lineRule="exact"/>
              <w:ind w:firstLine="480" w:firstLineChars="200"/>
              <w:contextualSpacing/>
              <w:rPr>
                <w:rFonts w:ascii="仿宋" w:hAnsi="仿宋" w:eastAsia="仿宋" w:cs="仿宋"/>
                <w:sz w:val="28"/>
                <w:szCs w:val="28"/>
                <w:shd w:val="clear" w:color="auto" w:fill="FFFFFF"/>
              </w:rPr>
            </w:pPr>
            <w:r>
              <w:rPr>
                <w:rFonts w:hint="eastAsia" w:ascii="楷体" w:hAnsi="楷体" w:eastAsia="楷体" w:cs="楷体"/>
                <w:sz w:val="24"/>
                <w:szCs w:val="24"/>
              </w:rPr>
              <w:t>基层全民健身组织建设。</w:t>
            </w:r>
            <w:r>
              <w:rPr>
                <w:rFonts w:hint="eastAsia" w:ascii="仿宋" w:hAnsi="仿宋" w:eastAsia="仿宋"/>
                <w:sz w:val="24"/>
                <w:szCs w:val="24"/>
              </w:rPr>
              <w:t>截止到</w:t>
            </w:r>
            <w:r>
              <w:rPr>
                <w:rFonts w:ascii="仿宋" w:hAnsi="仿宋" w:eastAsia="仿宋"/>
                <w:sz w:val="24"/>
                <w:szCs w:val="24"/>
              </w:rPr>
              <w:t>2025年，培养二级社会体育指导员不少于4000人，三级社会体育指导员7500名。开展社会体育指导员公益服务活动，普及开展太极拳、健身气功、健身操、广播操等机关体育运动，推动社会体育指导员、体育志愿者进社区、</w:t>
            </w:r>
            <w:r>
              <w:rPr>
                <w:rFonts w:hint="eastAsia" w:ascii="仿宋" w:hAnsi="仿宋" w:eastAsia="仿宋"/>
                <w:sz w:val="24"/>
                <w:szCs w:val="24"/>
              </w:rPr>
              <w:t>乡村等基层站点志愿服务常态化开展。常态化开展国民体质监测工作，持续实施国民体质测试进单位、进商场、进学校、进社区、进乡村等免费服务，全年免费服务群众不少于</w:t>
            </w:r>
            <w:r>
              <w:rPr>
                <w:rFonts w:ascii="仿宋" w:hAnsi="仿宋" w:eastAsia="仿宋"/>
                <w:sz w:val="24"/>
                <w:szCs w:val="24"/>
              </w:rPr>
              <w:t>3万人。</w:t>
            </w:r>
          </w:p>
        </w:tc>
      </w:tr>
    </w:tbl>
    <w:p>
      <w:pPr>
        <w:shd w:val="clear" w:color="auto" w:fill="FFFFFF"/>
        <w:spacing w:line="560" w:lineRule="exact"/>
        <w:contextualSpacing/>
        <w:jc w:val="center"/>
        <w:textAlignment w:val="top"/>
        <w:outlineLvl w:val="0"/>
        <w:rPr>
          <w:rStyle w:val="29"/>
          <w:rFonts w:ascii="黑体" w:hAnsi="黑体" w:eastAsia="黑体" w:cs="Meiryo"/>
          <w:b w:val="0"/>
        </w:rPr>
      </w:pPr>
      <w:bookmarkStart w:id="1030" w:name="_Toc10949"/>
      <w:bookmarkStart w:id="1031" w:name="_Toc5772"/>
      <w:r>
        <w:rPr>
          <w:rStyle w:val="29"/>
          <w:rFonts w:hint="eastAsia" w:ascii="黑体" w:hAnsi="黑体" w:eastAsia="黑体" w:cs="Meiryo"/>
          <w:b w:val="0"/>
        </w:rPr>
        <w:t>第</w:t>
      </w:r>
      <w:r>
        <w:rPr>
          <w:rStyle w:val="29"/>
          <w:rFonts w:ascii="黑体" w:hAnsi="黑体" w:eastAsia="黑体" w:cs="Meiryo"/>
          <w:b w:val="0"/>
        </w:rPr>
        <w:t xml:space="preserve">七章 </w:t>
      </w:r>
      <w:r>
        <w:rPr>
          <w:rStyle w:val="29"/>
          <w:rFonts w:hint="eastAsia" w:ascii="黑体" w:hAnsi="黑体" w:eastAsia="黑体" w:cs="Meiryo"/>
          <w:b w:val="0"/>
        </w:rPr>
        <w:t>促进城乡深度融合发展</w:t>
      </w:r>
      <w:bookmarkEnd w:id="938"/>
      <w:bookmarkEnd w:id="939"/>
      <w:bookmarkEnd w:id="1030"/>
      <w:bookmarkEnd w:id="1031"/>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坚持以工补农、以城带乡，促进城乡要素双向自由流动和公共资源合理配置，缩小城乡发展差距和居民生活水平差距，形成工农互促、城乡互补、协调发展、共同繁荣的新型工农城乡关系。</w:t>
      </w:r>
    </w:p>
    <w:p>
      <w:pPr>
        <w:pStyle w:val="7"/>
        <w:spacing w:line="560" w:lineRule="exact"/>
        <w:contextualSpacing/>
        <w:jc w:val="center"/>
        <w:rPr>
          <w:rStyle w:val="29"/>
          <w:rFonts w:ascii="楷体" w:hAnsi="楷体" w:eastAsia="楷体" w:cstheme="minorBidi"/>
          <w:b w:val="0"/>
          <w:bCs w:val="0"/>
          <w:szCs w:val="22"/>
        </w:rPr>
      </w:pPr>
      <w:bookmarkStart w:id="1032" w:name="_Toc4161"/>
      <w:bookmarkStart w:id="1033" w:name="_Toc98162640"/>
      <w:bookmarkStart w:id="1034" w:name="_Toc98086678"/>
      <w:bookmarkStart w:id="1035" w:name="_Toc27515"/>
      <w:r>
        <w:rPr>
          <w:rStyle w:val="29"/>
          <w:rFonts w:hint="eastAsia" w:ascii="楷体" w:hAnsi="楷体" w:eastAsia="楷体"/>
          <w:b w:val="0"/>
        </w:rPr>
        <w:t>第</w:t>
      </w:r>
      <w:r>
        <w:rPr>
          <w:rStyle w:val="29"/>
          <w:rFonts w:ascii="楷体" w:hAnsi="楷体" w:eastAsia="楷体"/>
          <w:b w:val="0"/>
        </w:rPr>
        <w:t xml:space="preserve">一节 </w:t>
      </w:r>
      <w:r>
        <w:rPr>
          <w:rStyle w:val="29"/>
          <w:rFonts w:hint="eastAsia" w:ascii="楷体" w:hAnsi="楷体" w:eastAsia="楷体"/>
          <w:b w:val="0"/>
        </w:rPr>
        <w:t>合理配置城乡发展要素</w:t>
      </w:r>
      <w:bookmarkEnd w:id="1032"/>
      <w:bookmarkEnd w:id="1033"/>
      <w:bookmarkEnd w:id="1034"/>
      <w:bookmarkEnd w:id="1035"/>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1.深化农村土地制度改革。积极稳妥推进农村集体经营性建设用地入市制度，建立土地征收公共利益用地认定机制，建立公平合理的入市增值收益分配机制。探索建立农村集体经营性建设用地效率，严格控制农村集体建设用地规模，提高建设用地效率。探索建立农村集体经营性建设用地使用权转让、出租、抵押二级市场，加快推进南阳农村集体经营性建设用地建设租赁住房试点工作。保障进城落户农民的土地承包权、宅基地使用权、集体收益分配权，鼓励进城落户农民依法自愿有偿转让退出农村权益。探索宅基地所有权、资格权、使用权“三权”分置有效实现和自愿有偿退出机制，建立健全宅基地审批、监管制度，推进闲置宅基地和闲置房屋盘活。深化农村集体产权制度改革，平等保护并进一步放活土地经营权。</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2.完善支持乡村发展投融资机制。落实国家、省惠农融资政策，通过争取发行地方专项债券、地方金融机构加大信贷投放、政策性银行提供低成本长期贷款等方式，加大对城乡融合发展项目的支持力度，深入推动金融服务向农村更大范围延伸。完善乡村金融服务体系，完善金融支农激励机制。强化农村中小金融机构支农主力军定位，加大政策性开发性银行支农力度，鼓励商业银行发展支农业务，扩大业务覆盖面，增强普惠性。加强鼓励工商资本参与乡村产业发展和基础设施建设，建立工商资本下乡负面清单制度及工商资本租赁农地风险防范机制。拓宽融资渠道，多元筹措资金，解决资金短缺瓶颈。加强与银行、保险、担保、投资机构合作，创新“政企银”合作模式，撬动金融资本和社会资本助推集群发展。</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3.加快科技成果入乡转化。完善农业科技创新机制，积极发展种质资源等领域的新技术、新成果，建设一批重点实验室、工程（技术）研究中心、企业技术中心、检验检测中心等研发服务平台。完善农业科技成果推广机制，增强信息交流、价值评价、技术交易等科技成果入乡转化综合服务功能。健全县级农技推广中心、乡镇农技推广区域站、村农业技术服务站点和科技示范主体三级科技服务网络。建立科技成果入乡转化激励机制，依法完善赋予科研人员涉农科技成果所有权、使用权、收益分配权等制度，允许农技人员通过提供增值服务合理取得报酬。深入实施科技特派员制度，壮大涉农科技人才队伍。</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4.鼓励和引导人才向乡村流动。推进返乡下乡、下乡服务创业工程，支持高校毕业生、在外乡贤、科技人员、外务工经商人员、复员退伍军人等返乡入乡创业。发挥省农民工返乡创业投资基金作用，完善财税、金融、社会保障等支持政策。引导各类人才参与乡村经济发展和社会治理。搭建创业平台，推进返乡创业示范县（园区、项目）建设。强化创业指导，建设创业指导师资队伍，为创业人员提供创业项目、技术、政策、市场等指导服务，健全指导服务机制。优化创业环境，强化创业服务，支持地方依托县乡政府政务大厅设立创新创业服务窗口。加大乡村本土人才培养力度，实施高素质农民培育计划、农村实用人才培训计划，大力培养现代农民，鼓励涉农院校开展“订单式”人才培养，通过星创天地等创业平台载体建设提升农民职业技能。加强农村经营管理人才队伍建设，培育家庭农场经营者、农民合作社带头人。</w:t>
      </w:r>
    </w:p>
    <w:p>
      <w:pPr>
        <w:pStyle w:val="7"/>
        <w:keepNext w:val="0"/>
        <w:keepLines w:val="0"/>
        <w:spacing w:line="560" w:lineRule="exact"/>
        <w:contextualSpacing/>
        <w:jc w:val="center"/>
        <w:rPr>
          <w:rStyle w:val="29"/>
          <w:rFonts w:ascii="楷体" w:hAnsi="楷体" w:eastAsia="楷体" w:cstheme="minorBidi"/>
          <w:b w:val="0"/>
          <w:bCs w:val="0"/>
          <w:szCs w:val="22"/>
        </w:rPr>
      </w:pPr>
      <w:bookmarkStart w:id="1036" w:name="_Toc98086679"/>
      <w:bookmarkStart w:id="1037" w:name="_Toc1881"/>
      <w:bookmarkStart w:id="1038" w:name="_Toc98162641"/>
      <w:bookmarkStart w:id="1039" w:name="_Toc19974"/>
      <w:r>
        <w:rPr>
          <w:rStyle w:val="29"/>
          <w:rFonts w:hint="eastAsia" w:ascii="楷体" w:hAnsi="楷体" w:eastAsia="楷体"/>
          <w:b w:val="0"/>
        </w:rPr>
        <w:t>第</w:t>
      </w:r>
      <w:r>
        <w:rPr>
          <w:rStyle w:val="29"/>
          <w:rFonts w:ascii="楷体" w:hAnsi="楷体" w:eastAsia="楷体"/>
          <w:b w:val="0"/>
        </w:rPr>
        <w:t xml:space="preserve">二节 </w:t>
      </w:r>
      <w:r>
        <w:rPr>
          <w:rStyle w:val="29"/>
          <w:rFonts w:hint="eastAsia" w:ascii="楷体" w:hAnsi="楷体" w:eastAsia="楷体"/>
          <w:b w:val="0"/>
        </w:rPr>
        <w:t>深入开展乡村建设行动</w:t>
      </w:r>
      <w:bookmarkEnd w:id="1036"/>
      <w:bookmarkEnd w:id="1037"/>
      <w:bookmarkEnd w:id="1038"/>
      <w:bookmarkEnd w:id="1039"/>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1.推进城乡基础设施统筹</w:t>
      </w:r>
      <w:r>
        <w:rPr>
          <w:rFonts w:ascii="仿宋" w:hAnsi="仿宋" w:eastAsia="仿宋" w:cs="Arial"/>
          <w:sz w:val="32"/>
        </w:rPr>
        <w:t>建设</w:t>
      </w:r>
      <w:r>
        <w:rPr>
          <w:rFonts w:hint="eastAsia" w:ascii="仿宋" w:hAnsi="仿宋" w:eastAsia="仿宋" w:cs="Arial"/>
          <w:sz w:val="32"/>
        </w:rPr>
        <w:t>。以县域为整体，分区域统筹供水、污水垃圾处理等城乡基础设施规划建设。推动市政公用设施向城郊村和中心镇延伸，改造农村公路危桥，加强农村数字路、资源路、产业路、旅游路建设，推动“四好农村路、美丽乡村路”提质扩面。实施“气化乡村”工程，推动城区管道天然气向重点乡镇、农村新社区延伸，基本实现重点乡镇燃气管网全覆盖。推进农村清洁能源发展。实施农村电网巩固提升工程，推动老区电网改造升级。培育一批县域冷链、快递、电商物流示范园区和乡村物流龙头企业，构建设施完善、运转高效、多方协同、绿色创新的县域城乡物流体系。健全基础设施分级分类投入机制，鼓励社会资本参与，积极引导农民投入。</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2.深化城乡基本公共服务普惠共享。完善乡村公共服务队伍补充机制，推动职称评定、工资待遇等向乡村岗位倾斜。推进义务教育教师“县管校聘”改革，完善乡村教师队伍建设保障机制，切实保障乡村教师待遇。深化优质高效的紧密型县域共体，推进县域医疗卫生服务体系。支持远程诊疗、互联网健康咨询广泛应用，推行基层卫生人才“县管乡用”“乡聘村用”制度。实施基层医疗卫生能力提升工程，提升防病治病、健康管理和传染病防控处置能力。完善统一的城乡居民基本医疗保险制度。加强农村留守儿童、妇女、老年人关爱服务，健全县、乡、村衔接的三级养老服务网络，发展农村普惠型养老服务和互助式养老，不断完善以居家为基础、社区为依托、机构为补充、医养相结合的养老服务体系。</w:t>
      </w:r>
      <w:r>
        <w:rPr>
          <w:rFonts w:hint="eastAsia" w:ascii="Times New Roman" w:hAnsi="Times New Roman" w:eastAsia="仿宋" w:cs="Arial"/>
          <w:sz w:val="32"/>
        </w:rPr>
        <w:t>提升完善村基层综合性文化服务中心设施设备，加强基层文化队伍建设，培育乡村文艺队伍、文艺骨干、文化志愿者，广泛开展文艺活动，推进县域基本公共文化服务均衡发展。</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3.建设城乡一体新型数字基础设施。</w:t>
      </w:r>
      <w:r>
        <w:rPr>
          <w:rFonts w:ascii="仿宋" w:hAnsi="仿宋" w:eastAsia="仿宋" w:cs="Arial"/>
          <w:sz w:val="32"/>
        </w:rPr>
        <w:t>以5G网络、政务数据中心、电子政务网络建设优化为基础，发展智慧农业，推动物联网、云计算、大数据等新一代信息技术在农业领域融合应用，打造一批示范标杆。深入推进城乡信息通信网络设施建设升级，到2025年，市域内5G基站数量达到4000个，乡镇以上区域和重点行政村5G网络实现全覆盖，开展省级数字乡村示范县创建</w:t>
      </w:r>
      <w:r>
        <w:rPr>
          <w:rFonts w:hint="eastAsia" w:ascii="仿宋" w:hAnsi="仿宋" w:eastAsia="仿宋" w:cs="Arial"/>
          <w:sz w:val="32"/>
        </w:rPr>
        <w:t>，</w:t>
      </w:r>
      <w:r>
        <w:rPr>
          <w:rFonts w:ascii="仿宋" w:hAnsi="仿宋" w:eastAsia="仿宋" w:cs="Arial"/>
          <w:sz w:val="32"/>
        </w:rPr>
        <w:t>加快推动遥感卫星数据在农业农村领域中的应用，农村固定宽带家庭普及率和移动宽带用户普及率得到大幅提升，城乡“数字鸿沟”进一步弥合。建立乡村重要资源天空地一体化全</w:t>
      </w:r>
      <w:r>
        <w:rPr>
          <w:rFonts w:hint="eastAsia" w:ascii="仿宋" w:hAnsi="仿宋" w:eastAsia="仿宋" w:cs="Arial"/>
          <w:sz w:val="32"/>
        </w:rPr>
        <w:t>域地理信息“一张图”，推行乡村山水林田湖草等资源数字化管理。构建农村数字化生产生活场景，在智慧教育、智慧养老、智慧医疗等领域先行突破。加大城市生产管理、流通商贸、行业监管、公共服务、社区治理等数字化应用手段与技术向乡村倾斜力度。实施“雪亮工程”，建设平安乡村，提高农村社会综合治理精细化、现代化水平。</w:t>
      </w:r>
    </w:p>
    <w:p>
      <w:pPr>
        <w:pStyle w:val="7"/>
        <w:spacing w:line="560" w:lineRule="exact"/>
        <w:contextualSpacing/>
        <w:jc w:val="center"/>
        <w:rPr>
          <w:rStyle w:val="29"/>
          <w:rFonts w:ascii="楷体" w:hAnsi="楷体" w:eastAsia="楷体" w:cstheme="minorBidi"/>
          <w:b w:val="0"/>
          <w:bCs w:val="0"/>
          <w:szCs w:val="22"/>
        </w:rPr>
      </w:pPr>
      <w:bookmarkStart w:id="1040" w:name="_Toc98162642"/>
      <w:bookmarkStart w:id="1041" w:name="_Toc19310"/>
      <w:bookmarkStart w:id="1042" w:name="_Toc98086680"/>
      <w:bookmarkStart w:id="1043" w:name="_Toc20603"/>
      <w:r>
        <w:rPr>
          <w:rStyle w:val="29"/>
          <w:rFonts w:hint="eastAsia" w:ascii="楷体" w:hAnsi="楷体" w:eastAsia="楷体"/>
          <w:b w:val="0"/>
        </w:rPr>
        <w:t>第</w:t>
      </w:r>
      <w:r>
        <w:rPr>
          <w:rStyle w:val="29"/>
          <w:rFonts w:ascii="楷体" w:hAnsi="楷体" w:eastAsia="楷体"/>
          <w:b w:val="0"/>
        </w:rPr>
        <w:t xml:space="preserve">三节 </w:t>
      </w:r>
      <w:r>
        <w:rPr>
          <w:rStyle w:val="29"/>
          <w:rFonts w:hint="eastAsia" w:ascii="楷体" w:hAnsi="楷体" w:eastAsia="楷体"/>
          <w:b w:val="0"/>
        </w:rPr>
        <w:t>扎实推动城乡共同富裕</w:t>
      </w:r>
      <w:bookmarkEnd w:id="1040"/>
      <w:bookmarkEnd w:id="1041"/>
      <w:bookmarkEnd w:id="1042"/>
      <w:bookmarkEnd w:id="1043"/>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1.构建农民收入增长长效机制。增加农民工资性收入，健全农民工就业对接服务机制，畅通劳务输出通道；鼓励产业园区、农业龙头企业、小微企业以多种形式提供就业岗位，加强乡村公益性岗位开发，引导农村劳动力转移就业和就地就近就业。增加农民经营性收入，加快培育农民专业合作社家庭农场等新型农业经营主体；完善企业、农民专业合作社等与农民利益联结机制，引导农户自愿以土地经营权等入股，通过利润返还、保底分红、股份合作等多种形式促进农民增收。增加农民财产性收入，丰富创新集体经济发展形态，开辟资产租赁、企业股份、农业开发等多种路径，促进村级集体经济发展壮大。</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2.推进农村一二三产业融合发展。发展生态农业、精品农业和科技农业，因地制宜发展沟域经济、林下经济和乡土特色产业。建设一批农产品仓储、保鲜、冷藏等冷链物流设施，强化农村电子商务支撑，加快农产品出村进城，促进与城市市场高效衔接，构建城乡协同、全程可追溯的绿色安全食品供应链。推动农业与休闲旅游、文化体验、健康养老等深度融合，发展休闲农业、乡村旅游、创意农业、特色民宿等新产业新业态，形成特色乡村文旅品牌。支持城乡结对、村企挂钩，鼓励发展订单农业、观光农业、农业生产性服务业。</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bCs/>
          <w:sz w:val="32"/>
        </w:rPr>
        <w:t>3.巩固拓展脱贫攻坚成果同乡村振兴有效衔接。</w:t>
      </w:r>
      <w:r>
        <w:rPr>
          <w:rFonts w:hint="eastAsia" w:ascii="仿宋" w:hAnsi="仿宋" w:eastAsia="仿宋" w:cs="Arial"/>
          <w:sz w:val="32"/>
        </w:rPr>
        <w:t>推动减贫战略和工作体系平稳转型，建立健全巩固脱贫攻坚成果长效机制，保持过渡期间主要帮扶政策总体稳定。健全防止返贫动态监测和帮扶机制，确保已脱贫人口不返贫、易致贫人口不入贫。持续抓好产业帮扶、就业帮扶、易地扶贫搬迁后续帮扶工作，持续开展消费帮扶。加强扶贫项目资金资产管理和监督。推动特色产业可持续发展。健全农村社会保障和救助制度，巩固提升农村特困群体</w:t>
      </w:r>
      <w:r>
        <w:rPr>
          <w:rFonts w:hint="cs" w:ascii="仿宋" w:hAnsi="仿宋" w:eastAsia="仿宋" w:cs="Arial"/>
          <w:sz w:val="32"/>
        </w:rPr>
        <w:t>“</w:t>
      </w:r>
      <w:r>
        <w:rPr>
          <w:rFonts w:hint="eastAsia" w:ascii="仿宋" w:hAnsi="仿宋" w:eastAsia="仿宋" w:cs="Arial"/>
          <w:sz w:val="32"/>
        </w:rPr>
        <w:t>四集中</w:t>
      </w:r>
      <w:r>
        <w:rPr>
          <w:rFonts w:hint="cs" w:ascii="仿宋" w:hAnsi="仿宋" w:eastAsia="仿宋" w:cs="Arial"/>
          <w:sz w:val="32"/>
        </w:rPr>
        <w:t>”</w:t>
      </w:r>
      <w:r>
        <w:rPr>
          <w:rFonts w:hint="eastAsia" w:ascii="仿宋" w:hAnsi="仿宋" w:eastAsia="仿宋" w:cs="Arial"/>
          <w:sz w:val="32"/>
        </w:rPr>
        <w:t>、防贫堵贫保险等兜底保障成效，实现应保尽保、应兜尽兜。做好脱贫人口稳岗就业，加强扶志扶智，加大职业培训和劳务输出力度，优化公益岗位政策。积极推广以工代赈方式，加大以工代赈投入，扩大实施范围和受益对象。在脱贫县集中支持一批乡村振兴重点帮扶乡镇，增强其巩固脱贫成果及内生发展动力。充分运用脱贫攻坚成功经验推动乡村振兴，实现脱贫攻坚与乡村振兴在规划、政策、产业、组织和人才等方面有效衔接。</w:t>
      </w:r>
    </w:p>
    <w:p>
      <w:pPr>
        <w:pStyle w:val="6"/>
        <w:spacing w:line="560" w:lineRule="exact"/>
        <w:ind w:firstLine="640"/>
        <w:contextualSpacing/>
        <w:jc w:val="center"/>
        <w:rPr>
          <w:rStyle w:val="29"/>
          <w:rFonts w:ascii="黑体" w:hAnsi="黑体" w:cs="Meiryo"/>
          <w:b w:val="0"/>
          <w:bCs w:val="0"/>
          <w:kern w:val="2"/>
          <w:szCs w:val="32"/>
        </w:rPr>
      </w:pPr>
      <w:bookmarkStart w:id="1044" w:name="_Toc98162643"/>
      <w:bookmarkStart w:id="1045" w:name="_Toc8321"/>
      <w:bookmarkStart w:id="1046" w:name="_Toc98086681"/>
      <w:bookmarkStart w:id="1047" w:name="_Toc25365"/>
      <w:r>
        <w:rPr>
          <w:rStyle w:val="29"/>
          <w:rFonts w:hint="eastAsia" w:ascii="黑体" w:hAnsi="黑体" w:cs="Meiryo"/>
          <w:b w:val="0"/>
          <w:bCs w:val="0"/>
          <w:kern w:val="2"/>
          <w:szCs w:val="32"/>
        </w:rPr>
        <w:t>第八章 推进城镇治理体系和治理能力现代化</w:t>
      </w:r>
      <w:bookmarkEnd w:id="1044"/>
      <w:bookmarkEnd w:id="1045"/>
      <w:bookmarkEnd w:id="1046"/>
      <w:bookmarkEnd w:id="1047"/>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树立全生命周期理念，协同发挥政府、市场、社会等各方力量，创新治理模式，完善治理结构，构建经济治理、社会治理、城市治理统筹推进和有机衔接的治理体系。</w:t>
      </w:r>
    </w:p>
    <w:p>
      <w:pPr>
        <w:pStyle w:val="7"/>
        <w:spacing w:line="560" w:lineRule="exact"/>
        <w:contextualSpacing/>
        <w:jc w:val="center"/>
        <w:rPr>
          <w:rStyle w:val="29"/>
          <w:rFonts w:ascii="楷体" w:hAnsi="楷体" w:eastAsia="楷体" w:cstheme="minorBidi"/>
          <w:b w:val="0"/>
        </w:rPr>
      </w:pPr>
      <w:bookmarkStart w:id="1048" w:name="_Toc12188"/>
      <w:bookmarkStart w:id="1049" w:name="_Toc18986"/>
      <w:bookmarkStart w:id="1050" w:name="_Toc98086682"/>
      <w:bookmarkStart w:id="1051" w:name="_Toc98162644"/>
      <w:r>
        <w:rPr>
          <w:rStyle w:val="29"/>
          <w:rFonts w:hint="eastAsia" w:ascii="楷体" w:hAnsi="楷体" w:eastAsia="楷体" w:cstheme="minorBidi"/>
          <w:b w:val="0"/>
        </w:rPr>
        <w:t>第一节 提高城镇空间治理水平</w:t>
      </w:r>
      <w:bookmarkEnd w:id="1048"/>
      <w:bookmarkEnd w:id="1049"/>
      <w:bookmarkEnd w:id="1050"/>
      <w:bookmarkEnd w:id="1051"/>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bCs/>
          <w:sz w:val="32"/>
        </w:rPr>
        <w:t>1.创新城乡区域空间规划理念。</w:t>
      </w:r>
      <w:r>
        <w:rPr>
          <w:rFonts w:hint="eastAsia" w:ascii="仿宋" w:hAnsi="仿宋" w:eastAsia="仿宋" w:cs="Arial"/>
          <w:sz w:val="32"/>
        </w:rPr>
        <w:t>坚持城镇建设用地集约化、高效化，</w:t>
      </w:r>
      <w:r>
        <w:rPr>
          <w:rFonts w:ascii="仿宋" w:hAnsi="仿宋" w:eastAsia="仿宋" w:cs="Arial"/>
          <w:sz w:val="32"/>
        </w:rPr>
        <w:t>推动建设用地资源向</w:t>
      </w:r>
      <w:r>
        <w:rPr>
          <w:rFonts w:hint="eastAsia" w:ascii="仿宋" w:hAnsi="仿宋" w:eastAsia="仿宋" w:cs="Arial"/>
          <w:sz w:val="32"/>
        </w:rPr>
        <w:t>中</w:t>
      </w:r>
      <w:r>
        <w:rPr>
          <w:rFonts w:ascii="仿宋" w:hAnsi="仿宋" w:eastAsia="仿宋" w:cs="Arial"/>
          <w:sz w:val="32"/>
        </w:rPr>
        <w:t>心城区、</w:t>
      </w:r>
      <w:r>
        <w:rPr>
          <w:rFonts w:hint="eastAsia" w:ascii="仿宋" w:hAnsi="仿宋" w:eastAsia="仿宋" w:cs="Arial"/>
          <w:sz w:val="32"/>
        </w:rPr>
        <w:t>县</w:t>
      </w:r>
      <w:r>
        <w:rPr>
          <w:rFonts w:ascii="仿宋" w:hAnsi="仿宋" w:eastAsia="仿宋" w:cs="Arial"/>
          <w:sz w:val="32"/>
        </w:rPr>
        <w:t>域城市倾斜，完善地下空间开发利用管理制度。因地制宜优化乡村空间布局，尊重乡村自然地理格局，深化乡村全域土地综合整治与生态修复，推进美丽宜居乡村建设。树立区域协调发展理念，统筹不同区域之间的改造与开发，加强对城镇的空间立体性、平面协调性、风貌整体性、文脉延续性等方面的规划和管控，建立国土空间规划“留白”机制。</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bCs/>
          <w:sz w:val="32"/>
        </w:rPr>
        <w:t>2.健全“多规合一”</w:t>
      </w:r>
      <w:r>
        <w:rPr>
          <w:rFonts w:ascii="仿宋" w:hAnsi="仿宋" w:eastAsia="仿宋" w:cs="Arial"/>
          <w:bCs/>
          <w:sz w:val="32"/>
        </w:rPr>
        <w:t>协同机制。</w:t>
      </w:r>
      <w:r>
        <w:rPr>
          <w:rFonts w:ascii="仿宋" w:hAnsi="仿宋" w:eastAsia="仿宋" w:cs="Arial"/>
          <w:sz w:val="32"/>
        </w:rPr>
        <w:t>坚持经济社会发展规划的全面统领作用，发挥国土空间规划基础作用，突出专项规划对规划体系的补充完善和对特定领域的支撑作用，立足实际需求编制都市圈等跨区域发展规划和各类专项规划。落实</w:t>
      </w:r>
      <w:r>
        <w:rPr>
          <w:rFonts w:hint="eastAsia" w:ascii="仿宋" w:hAnsi="仿宋" w:eastAsia="仿宋" w:cs="Arial"/>
          <w:sz w:val="32"/>
        </w:rPr>
        <w:t>四级三类国土空间规划体系，优化国土空间开发保护格局，合理确定城市规模、人口密度、空间结构、开发强度，加强各类规划信息互联互通和归集共享，</w:t>
      </w:r>
      <w:r>
        <w:rPr>
          <w:rFonts w:ascii="仿宋" w:hAnsi="仿宋" w:eastAsia="仿宋" w:cs="Arial"/>
          <w:sz w:val="32"/>
        </w:rPr>
        <w:t>强化衔接协调，</w:t>
      </w:r>
      <w:r>
        <w:rPr>
          <w:rFonts w:hint="eastAsia" w:ascii="仿宋" w:hAnsi="仿宋" w:eastAsia="仿宋" w:cs="Arial"/>
          <w:sz w:val="32"/>
        </w:rPr>
        <w:t>统筹</w:t>
      </w:r>
      <w:r>
        <w:rPr>
          <w:rFonts w:ascii="仿宋" w:hAnsi="仿宋" w:eastAsia="仿宋" w:cs="Arial"/>
          <w:sz w:val="32"/>
        </w:rPr>
        <w:t>推进重大基础设施、公共服务、产业平台布局，实现一张蓝图绘到底。</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bCs/>
          <w:sz w:val="32"/>
        </w:rPr>
        <w:t>3.塑造特色空间布局风貌。</w:t>
      </w:r>
      <w:r>
        <w:rPr>
          <w:rFonts w:hint="eastAsia" w:ascii="仿宋" w:hAnsi="仿宋" w:eastAsia="仿宋" w:cs="Arial"/>
          <w:sz w:val="32"/>
        </w:rPr>
        <w:t>统筹“空铁公水”四位一体建设，着力构建布局合理、功能完善、内捷外畅、安全高效的现代交通体系；</w:t>
      </w:r>
      <w:r>
        <w:rPr>
          <w:rFonts w:ascii="仿宋" w:hAnsi="仿宋" w:eastAsia="仿宋" w:cs="Arial"/>
          <w:sz w:val="32"/>
        </w:rPr>
        <w:t>坚持产业布局相对集中原则，健全闲置用地盘活利用和低效用地退出机制；合理规划公共空间布局，践行以人为本的规划理念，健全公共服务体系，完善公共服务和便民设施；完善城市生态用地布局，系统推进自然保护地建设，构筑安全稳固的生态屏障；</w:t>
      </w:r>
      <w:r>
        <w:rPr>
          <w:rFonts w:hint="eastAsia" w:ascii="仿宋" w:hAnsi="仿宋" w:eastAsia="仿宋" w:cs="Arial"/>
          <w:sz w:val="32"/>
        </w:rPr>
        <w:t>开展历史文化资源普查认定，推进历史文化名城名镇名村、历史文化街区、历史建筑保护工作。加强城市建筑设计管理，科学确定风貌管控和开发强度，推进超低能耗示范建筑，打造塑造特色形象的“城市客厅”。</w:t>
      </w:r>
      <w:r>
        <w:rPr>
          <w:rFonts w:ascii="仿宋" w:hAnsi="仿宋" w:eastAsia="仿宋" w:cs="Arial"/>
          <w:sz w:val="32"/>
        </w:rPr>
        <w:t>协调特色小镇在城市中的布局，对其建筑风格、色彩、街道界面等提出导控要求，彰显城市特色文化风采。</w:t>
      </w:r>
    </w:p>
    <w:p>
      <w:pPr>
        <w:pStyle w:val="7"/>
        <w:spacing w:line="560" w:lineRule="exact"/>
        <w:contextualSpacing/>
        <w:jc w:val="center"/>
        <w:rPr>
          <w:rStyle w:val="29"/>
          <w:rFonts w:ascii="楷体" w:hAnsi="楷体" w:eastAsia="楷体" w:cstheme="minorBidi"/>
          <w:b w:val="0"/>
        </w:rPr>
      </w:pPr>
      <w:bookmarkStart w:id="1052" w:name="_Toc4606"/>
      <w:bookmarkStart w:id="1053" w:name="_Toc98162645"/>
      <w:bookmarkStart w:id="1054" w:name="_Toc24624"/>
      <w:bookmarkStart w:id="1055" w:name="_Toc98086683"/>
      <w:r>
        <w:rPr>
          <w:rStyle w:val="29"/>
          <w:rFonts w:hint="eastAsia" w:ascii="楷体" w:hAnsi="楷体" w:eastAsia="楷体" w:cstheme="minorBidi"/>
          <w:b w:val="0"/>
        </w:rPr>
        <w:t>第二节 提升基层社会治理能力</w:t>
      </w:r>
      <w:bookmarkEnd w:id="1052"/>
      <w:bookmarkEnd w:id="1053"/>
      <w:bookmarkEnd w:id="1054"/>
      <w:bookmarkEnd w:id="1055"/>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bCs/>
          <w:sz w:val="32"/>
        </w:rPr>
        <w:t>1.优化基层社会治理方式。</w:t>
      </w:r>
      <w:r>
        <w:rPr>
          <w:rFonts w:hint="eastAsia" w:ascii="仿宋" w:hAnsi="仿宋" w:eastAsia="仿宋" w:cs="Arial"/>
          <w:sz w:val="32"/>
        </w:rPr>
        <w:t>加强“网络化”综合治理，建立健全网络综合治理体系，加强“基层治理四平台”运行管理和全科网格建设，完善网络纠纷网上人民调解机制，强化网民合法权益保护，探索数字经济发展和网络空间治理规则制度；推进“民主化”基层治理，推动多元主体共同参与基层治理，深化社区、社会组织、社会工作者、社会资源、社区自治组织“五社联动”的城市治理模式，完善共建共治共享的社会治理制度；牢固“法治化”治理意识，一体推进法治南阳、法治政府、法治社会建设，加强重点领域立法，提高依法执政、依法行政水平，完善监察权、审判权、检察权运行和监督机制，促进司法公正，弘扬社会主义法治精神，有效发挥法治固根本、稳预期、利长远的保障作用。</w:t>
      </w:r>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bCs/>
          <w:sz w:val="32"/>
        </w:rPr>
        <w:t>2.强化社会治安综合治理。</w:t>
      </w:r>
      <w:r>
        <w:rPr>
          <w:rFonts w:hint="eastAsia" w:ascii="仿宋" w:hAnsi="仿宋" w:eastAsia="仿宋" w:cs="Arial"/>
          <w:sz w:val="32"/>
        </w:rPr>
        <w:t>坚持和发展新时代“枫桥经验”，加强信访矛盾源头防治，完善“一村（格）一警”、村（居）法律顾问长效机制，畅通和规范群众诉求表达、利益协调、权益保障通道，完善各类调解联动工作体系，推进信访制度改革措施落实，完善领导干部接访下访包案制度，把矛盾纠纷化解在基层、消除在萌芽状态。</w:t>
      </w:r>
      <w:r>
        <w:rPr>
          <w:rFonts w:hint="eastAsia" w:ascii="仿宋_GB2312" w:hAnsi="仿宋_GB2312" w:cs="仿宋_GB2312"/>
          <w:sz w:val="32"/>
        </w:rPr>
        <w:t>实施“四单一表”排隐除患动态清零机制、大力开展“三不五零”创建、创新发展涉疆服务管理、“六防六促”活动等内容。</w:t>
      </w:r>
      <w:r>
        <w:rPr>
          <w:rFonts w:hint="eastAsia" w:ascii="仿宋" w:hAnsi="仿宋" w:eastAsia="仿宋" w:cs="Arial"/>
          <w:sz w:val="32"/>
        </w:rPr>
        <w:t>健全社会心理服务体系和危机干预机制。坚持专群结合、群防群治，深化平安创建活动，全面推进市县乡村四级综治中心标准化、实体化建设，深化“雪亮工程”</w:t>
      </w:r>
      <w:r>
        <w:rPr>
          <w:rFonts w:ascii="仿宋" w:hAnsi="仿宋" w:eastAsia="仿宋" w:cs="Arial"/>
          <w:sz w:val="32"/>
        </w:rPr>
        <w:t>建设，打造立体化、法治化、专业化、智能化的社会治安防控体系，始终保持对突出犯</w:t>
      </w:r>
      <w:r>
        <w:rPr>
          <w:rFonts w:hint="eastAsia" w:ascii="仿宋" w:hAnsi="仿宋" w:eastAsia="仿宋" w:cs="Arial"/>
          <w:sz w:val="32"/>
        </w:rPr>
        <w:t>罪的严打高压态势，常态化推进扫黑除恶斗争，强化治安重点地区排查整治，保持社会大局安全稳定。</w:t>
      </w:r>
    </w:p>
    <w:p>
      <w:pPr>
        <w:pStyle w:val="7"/>
        <w:spacing w:line="560" w:lineRule="exact"/>
        <w:contextualSpacing/>
        <w:jc w:val="center"/>
        <w:rPr>
          <w:rStyle w:val="29"/>
          <w:rFonts w:ascii="楷体" w:hAnsi="楷体" w:eastAsia="楷体" w:cstheme="minorBidi"/>
          <w:b w:val="0"/>
          <w:bCs w:val="0"/>
          <w:szCs w:val="22"/>
        </w:rPr>
      </w:pPr>
      <w:bookmarkStart w:id="1056" w:name="_Toc19365"/>
      <w:bookmarkStart w:id="1057" w:name="_Toc1164"/>
      <w:bookmarkStart w:id="1058" w:name="_Toc98086684"/>
      <w:bookmarkStart w:id="1059" w:name="_Toc98162646"/>
      <w:r>
        <w:rPr>
          <w:rStyle w:val="29"/>
          <w:rFonts w:hint="eastAsia" w:ascii="楷体" w:hAnsi="楷体" w:eastAsia="楷体"/>
          <w:b w:val="0"/>
        </w:rPr>
        <w:t>第三</w:t>
      </w:r>
      <w:r>
        <w:rPr>
          <w:rStyle w:val="29"/>
          <w:rFonts w:ascii="楷体" w:hAnsi="楷体" w:eastAsia="楷体"/>
          <w:b w:val="0"/>
        </w:rPr>
        <w:t xml:space="preserve">节 </w:t>
      </w:r>
      <w:r>
        <w:rPr>
          <w:rStyle w:val="29"/>
          <w:rFonts w:hint="eastAsia" w:ascii="楷体" w:hAnsi="楷体" w:eastAsia="楷体"/>
          <w:b w:val="0"/>
        </w:rPr>
        <w:t>深化体制机制改革</w:t>
      </w:r>
      <w:bookmarkEnd w:id="1056"/>
      <w:bookmarkEnd w:id="1057"/>
    </w:p>
    <w:p>
      <w:pPr>
        <w:spacing w:line="560" w:lineRule="exact"/>
        <w:ind w:firstLine="640" w:firstLineChars="200"/>
        <w:contextualSpacing/>
        <w:rPr>
          <w:rFonts w:ascii="仿宋" w:hAnsi="仿宋" w:eastAsia="仿宋" w:cs="Arial"/>
          <w:kern w:val="0"/>
        </w:rPr>
      </w:pPr>
      <w:r>
        <w:rPr>
          <w:rFonts w:hint="eastAsia" w:ascii="仿宋" w:hAnsi="仿宋" w:eastAsia="仿宋" w:cs="Arial"/>
          <w:bCs/>
          <w:kern w:val="0"/>
        </w:rPr>
        <w:t>1.创新人口服务管理制度。</w:t>
      </w:r>
      <w:r>
        <w:rPr>
          <w:rFonts w:hint="eastAsia" w:ascii="仿宋" w:hAnsi="仿宋" w:eastAsia="仿宋" w:cs="Arial"/>
          <w:kern w:val="0"/>
        </w:rPr>
        <w:t>突出“一老一小一青壮”，建立健全覆盖全生命周期的人口服务体系。依法实施“三孩”政策，取消社会抚养费等制约措施，探索实行父母带薪育儿假，提升生育服务管理水平，落实孕前优生健康检查，推进妇幼保健机构标准化建设和规范化管理，增加产科、儿科资源供给，加强孕产妇与新生儿危急重症救治能力建设。制定社区居家养老服务规范，积极推进老年友好型社区建设，建立以社区为平台、社会组织为载体、社会工作者为支撑的居家社区养老服务“三社联动”机制，分级分区规划设置养老服务设施，支持社会力量投资兴办养老服务机构，逐步提高养老机构床位补助和运营补贴。实施公共资源按常住人口配套。完善人口统计调查制度，构建人口综合信息系统，实施人口动态监测，逐步建立城市市域、市区、城区常住人口常态化统计发布机制。</w:t>
      </w:r>
    </w:p>
    <w:p>
      <w:pPr>
        <w:spacing w:line="560" w:lineRule="exact"/>
        <w:ind w:firstLine="640" w:firstLineChars="200"/>
        <w:contextualSpacing/>
        <w:rPr>
          <w:rFonts w:ascii="仿宋_GB2312" w:hAnsi="仿宋_GB2312" w:cs="仿宋_GB2312"/>
        </w:rPr>
      </w:pPr>
      <w:r>
        <w:rPr>
          <w:rFonts w:hint="eastAsia" w:ascii="仿宋" w:hAnsi="仿宋" w:eastAsia="仿宋" w:cs="Arial"/>
          <w:bCs/>
          <w:kern w:val="0"/>
        </w:rPr>
        <w:t>2.推动实现城市财务平衡。</w:t>
      </w:r>
      <w:r>
        <w:rPr>
          <w:rFonts w:hint="eastAsia" w:ascii="仿宋" w:hAnsi="仿宋" w:eastAsia="仿宋" w:cs="Arial"/>
          <w:kern w:val="0"/>
        </w:rPr>
        <w:t>持续深化投融资体制改革，建立规范有效可持续的城市建设投融资机制。完善城市财政资金预算管理制度，建立预算编制与预算执行、人员定编、资产管理、绩效评价结果运用有效结合的机制，强化义务教育、养老保险、公共卫生、应急管理、跨区域生态环境保护等方面财政支出。完善投资前评估和投资绩效评价机制，确保建设项目综合收益平衡稳定。引导保险资金、社保基金等加大投入力度，鼓励政策性、商业性金融机构加大中长期贷款投放规模，探索设立新型城镇化发展投资基金。引导社会资本参与城市开发建设运营，规范有序推进政府和社会资本合作（PPP），推进基础设施不动产投资信托基金（REITs）试点。完善地方政府债务风险评估和预警机制，加强城市政府信用评级和投融资风险定价指导，有效防范各类债务风险。</w:t>
      </w:r>
    </w:p>
    <w:p>
      <w:pPr>
        <w:shd w:val="clear" w:color="auto" w:fill="FFFFFF"/>
        <w:spacing w:line="560" w:lineRule="exact"/>
        <w:ind w:firstLine="640" w:firstLineChars="200"/>
        <w:contextualSpacing/>
        <w:textAlignment w:val="top"/>
        <w:rPr>
          <w:rFonts w:ascii="仿宋" w:hAnsi="仿宋" w:eastAsia="仿宋" w:cs="Arial"/>
          <w:kern w:val="0"/>
        </w:rPr>
      </w:pPr>
      <w:r>
        <w:rPr>
          <w:rFonts w:hint="eastAsia" w:ascii="仿宋" w:hAnsi="仿宋" w:eastAsia="仿宋" w:cs="Arial"/>
          <w:bCs/>
          <w:kern w:val="0"/>
        </w:rPr>
        <w:t>3.优化行政区划设置。</w:t>
      </w:r>
      <w:r>
        <w:rPr>
          <w:rFonts w:hint="eastAsia" w:ascii="仿宋" w:hAnsi="仿宋" w:eastAsia="仿宋" w:cs="Arial"/>
          <w:kern w:val="0"/>
        </w:rPr>
        <w:t>推进符合条件的县实行城区化管理，提升中心城区发展规模能级。支持发展能级快速提升、社会治理高效有序、服务功能较为完善的功能区纳入或有序设置为市辖区。依照现有设镇设街道标准，优化现有街道设置，有序均衡推进符合条件的地方开展设镇设街道工作。</w:t>
      </w:r>
    </w:p>
    <w:bookmarkEnd w:id="1058"/>
    <w:bookmarkEnd w:id="1059"/>
    <w:p>
      <w:pPr>
        <w:pStyle w:val="6"/>
        <w:spacing w:line="560" w:lineRule="exact"/>
        <w:ind w:firstLine="640"/>
        <w:contextualSpacing/>
        <w:jc w:val="center"/>
        <w:rPr>
          <w:rStyle w:val="29"/>
          <w:rFonts w:ascii="黑体" w:hAnsi="黑体" w:cs="黑体"/>
          <w:b w:val="0"/>
          <w:szCs w:val="32"/>
        </w:rPr>
      </w:pPr>
      <w:bookmarkStart w:id="1060" w:name="_Toc17889"/>
      <w:bookmarkStart w:id="1061" w:name="_Toc98086685"/>
      <w:bookmarkStart w:id="1062" w:name="_Toc4666"/>
      <w:bookmarkStart w:id="1063" w:name="_Toc98162647"/>
      <w:r>
        <w:rPr>
          <w:rStyle w:val="29"/>
          <w:rFonts w:hint="eastAsia" w:ascii="黑体" w:hAnsi="黑体" w:cs="黑体"/>
          <w:b w:val="0"/>
          <w:szCs w:val="32"/>
        </w:rPr>
        <w:t>第</w:t>
      </w:r>
      <w:r>
        <w:rPr>
          <w:rStyle w:val="29"/>
          <w:rFonts w:ascii="黑体" w:hAnsi="黑体" w:cs="黑体"/>
          <w:b w:val="0"/>
          <w:szCs w:val="32"/>
        </w:rPr>
        <w:t xml:space="preserve">九章 </w:t>
      </w:r>
      <w:r>
        <w:rPr>
          <w:rStyle w:val="29"/>
          <w:rFonts w:hint="eastAsia" w:ascii="黑体" w:hAnsi="黑体" w:cs="黑体"/>
          <w:b w:val="0"/>
          <w:szCs w:val="32"/>
        </w:rPr>
        <w:t>规划实施</w:t>
      </w:r>
      <w:bookmarkEnd w:id="1060"/>
      <w:bookmarkEnd w:id="1061"/>
      <w:bookmarkEnd w:id="1062"/>
      <w:bookmarkEnd w:id="1063"/>
    </w:p>
    <w:p>
      <w:pPr>
        <w:pStyle w:val="7"/>
        <w:spacing w:line="560" w:lineRule="exact"/>
        <w:contextualSpacing/>
        <w:jc w:val="center"/>
        <w:rPr>
          <w:rStyle w:val="29"/>
          <w:rFonts w:ascii="楷体" w:hAnsi="楷体" w:eastAsia="楷体" w:cstheme="minorBidi"/>
          <w:b w:val="0"/>
        </w:rPr>
      </w:pPr>
      <w:bookmarkStart w:id="1064" w:name="_Toc98086686"/>
      <w:bookmarkStart w:id="1065" w:name="_Toc25101"/>
      <w:bookmarkStart w:id="1066" w:name="_Toc4499"/>
      <w:bookmarkStart w:id="1067" w:name="_Toc98162648"/>
      <w:r>
        <w:rPr>
          <w:rStyle w:val="29"/>
          <w:rFonts w:hint="eastAsia" w:ascii="楷体" w:hAnsi="楷体" w:eastAsia="楷体" w:cstheme="minorBidi"/>
          <w:b w:val="0"/>
        </w:rPr>
        <w:t>第一节 坚持党的全面领导</w:t>
      </w:r>
      <w:bookmarkEnd w:id="1064"/>
      <w:bookmarkEnd w:id="1065"/>
      <w:bookmarkEnd w:id="1066"/>
      <w:bookmarkEnd w:id="1067"/>
    </w:p>
    <w:p>
      <w:pPr>
        <w:pStyle w:val="24"/>
        <w:shd w:val="clear" w:color="auto" w:fill="FFFFFF"/>
        <w:spacing w:beforeAutospacing="0" w:afterAutospacing="0" w:line="560" w:lineRule="exact"/>
        <w:ind w:firstLine="640" w:firstLineChars="200"/>
        <w:contextualSpacing/>
        <w:jc w:val="both"/>
        <w:textAlignment w:val="top"/>
        <w:rPr>
          <w:rStyle w:val="29"/>
          <w:rFonts w:ascii="仿宋" w:hAnsi="仿宋" w:eastAsia="仿宋" w:cs="Arial"/>
          <w:b w:val="0"/>
          <w:bCs w:val="0"/>
          <w:sz w:val="32"/>
        </w:rPr>
      </w:pPr>
      <w:r>
        <w:rPr>
          <w:rFonts w:ascii="仿宋" w:hAnsi="仿宋" w:eastAsia="仿宋" w:cs="Arial"/>
          <w:sz w:val="32"/>
        </w:rPr>
        <w:t>把</w:t>
      </w:r>
      <w:r>
        <w:rPr>
          <w:rFonts w:hint="eastAsia" w:ascii="仿宋" w:hAnsi="仿宋" w:eastAsia="仿宋" w:cs="Arial"/>
          <w:sz w:val="32"/>
        </w:rPr>
        <w:t>党的领导贯穿新型城镇化“十四五”规划全过程。建立市领导牵头、部门协同、上下联动的新型城镇化工作领导机制，统筹协调、及时解决重点难点问题，为推进新型城镇化建设提供组织保障。市直有关部门要根据本规划提出的重点任务和政策措施，研究制定具体实施方案。各县（市）要建立健全工作机制，结合实际制定本地区推进新型城镇化规划或实施方案，抓好贯彻落实。</w:t>
      </w:r>
      <w:bookmarkStart w:id="1068" w:name="_Toc98086687"/>
      <w:bookmarkStart w:id="1069" w:name="_Toc98162649"/>
    </w:p>
    <w:bookmarkEnd w:id="1068"/>
    <w:bookmarkEnd w:id="1069"/>
    <w:p>
      <w:pPr>
        <w:pStyle w:val="7"/>
        <w:spacing w:line="560" w:lineRule="exact"/>
        <w:contextualSpacing/>
        <w:jc w:val="center"/>
        <w:rPr>
          <w:rStyle w:val="29"/>
          <w:rFonts w:ascii="楷体" w:hAnsi="楷体" w:eastAsia="楷体" w:cstheme="minorBidi"/>
          <w:b w:val="0"/>
        </w:rPr>
      </w:pPr>
      <w:bookmarkStart w:id="1070" w:name="_Toc19788"/>
      <w:bookmarkStart w:id="1071" w:name="_Toc28311"/>
      <w:r>
        <w:rPr>
          <w:rStyle w:val="29"/>
          <w:rFonts w:hint="eastAsia" w:ascii="楷体" w:hAnsi="楷体" w:eastAsia="楷体" w:cstheme="minorBidi"/>
          <w:b w:val="0"/>
        </w:rPr>
        <w:t>第二节 加强政策</w:t>
      </w:r>
      <w:r>
        <w:rPr>
          <w:rStyle w:val="29"/>
          <w:rFonts w:ascii="楷体" w:hAnsi="楷体" w:eastAsia="楷体" w:cstheme="minorBidi"/>
          <w:b w:val="0"/>
        </w:rPr>
        <w:t>统筹</w:t>
      </w:r>
      <w:bookmarkEnd w:id="1070"/>
      <w:bookmarkEnd w:id="1071"/>
    </w:p>
    <w:p>
      <w:pPr>
        <w:pStyle w:val="24"/>
        <w:shd w:val="clear" w:color="auto" w:fill="FFFFFF"/>
        <w:spacing w:beforeAutospacing="0" w:afterAutospacing="0" w:line="560" w:lineRule="exact"/>
        <w:ind w:firstLine="640" w:firstLineChars="200"/>
        <w:contextualSpacing/>
        <w:jc w:val="both"/>
        <w:textAlignment w:val="top"/>
        <w:rPr>
          <w:rStyle w:val="29"/>
          <w:rFonts w:ascii="仿宋" w:hAnsi="仿宋" w:eastAsia="仿宋" w:cs="Arial"/>
          <w:b w:val="0"/>
          <w:bCs w:val="0"/>
          <w:sz w:val="32"/>
        </w:rPr>
      </w:pPr>
      <w:r>
        <w:rPr>
          <w:rFonts w:hint="eastAsia" w:ascii="仿宋" w:hAnsi="仿宋" w:eastAsia="仿宋" w:cs="Arial"/>
          <w:sz w:val="32"/>
        </w:rPr>
        <w:t>市</w:t>
      </w:r>
      <w:r>
        <w:rPr>
          <w:rFonts w:ascii="仿宋" w:hAnsi="仿宋" w:eastAsia="仿宋" w:cs="Arial"/>
          <w:sz w:val="32"/>
        </w:rPr>
        <w:t>直</w:t>
      </w:r>
      <w:r>
        <w:rPr>
          <w:rFonts w:hint="eastAsia" w:ascii="仿宋" w:hAnsi="仿宋" w:eastAsia="仿宋" w:cs="Arial"/>
          <w:sz w:val="32"/>
        </w:rPr>
        <w:t>有关部门按照职责分工，出台配套政策、推进体制机制改革，加强政策间协同配合，推动人口、土地、就业、社保、投融资、住房、生态环境等方面政策和改革举措形成合力。对纳入本规划的重大工程项目，在项目审批、土地供应等方面给予重点支持。鼓励探索创新、先行先试，及时总结推广先进经验做法。</w:t>
      </w:r>
      <w:bookmarkStart w:id="1072" w:name="_Toc98086688"/>
      <w:bookmarkStart w:id="1073" w:name="_Toc98162650"/>
    </w:p>
    <w:p>
      <w:pPr>
        <w:pStyle w:val="7"/>
        <w:spacing w:line="560" w:lineRule="exact"/>
        <w:contextualSpacing/>
        <w:jc w:val="center"/>
        <w:rPr>
          <w:rStyle w:val="29"/>
          <w:rFonts w:ascii="楷体" w:hAnsi="楷体" w:eastAsia="楷体" w:cstheme="minorBidi"/>
          <w:b w:val="0"/>
        </w:rPr>
      </w:pPr>
      <w:bookmarkStart w:id="1074" w:name="_Toc2479"/>
      <w:bookmarkStart w:id="1075" w:name="_Toc27415"/>
      <w:r>
        <w:rPr>
          <w:rStyle w:val="29"/>
          <w:rFonts w:hint="eastAsia" w:ascii="楷体" w:hAnsi="楷体" w:eastAsia="楷体" w:cstheme="minorBidi"/>
          <w:b w:val="0"/>
        </w:rPr>
        <w:t xml:space="preserve">第三节 </w:t>
      </w:r>
      <w:r>
        <w:rPr>
          <w:rStyle w:val="29"/>
          <w:rFonts w:ascii="楷体" w:hAnsi="楷体" w:eastAsia="楷体" w:cstheme="minorBidi"/>
          <w:b w:val="0"/>
        </w:rPr>
        <w:t>健全监测评估</w:t>
      </w:r>
      <w:bookmarkEnd w:id="1072"/>
      <w:bookmarkEnd w:id="1073"/>
      <w:bookmarkEnd w:id="1074"/>
      <w:bookmarkEnd w:id="1075"/>
    </w:p>
    <w:p>
      <w:pPr>
        <w:pStyle w:val="24"/>
        <w:shd w:val="clear" w:color="auto" w:fill="FFFFFF"/>
        <w:spacing w:beforeAutospacing="0" w:afterAutospacing="0" w:line="560" w:lineRule="exact"/>
        <w:ind w:firstLine="640" w:firstLineChars="200"/>
        <w:contextualSpacing/>
        <w:jc w:val="both"/>
        <w:textAlignment w:val="top"/>
        <w:rPr>
          <w:rFonts w:ascii="仿宋" w:hAnsi="仿宋" w:eastAsia="仿宋" w:cs="Arial"/>
          <w:sz w:val="32"/>
        </w:rPr>
      </w:pPr>
      <w:r>
        <w:rPr>
          <w:rFonts w:hint="eastAsia" w:ascii="仿宋" w:hAnsi="仿宋" w:eastAsia="仿宋" w:cs="Arial"/>
          <w:sz w:val="32"/>
        </w:rPr>
        <w:t>加强对新型城镇化工作进展的日常监测和评估督导，结合高质量发展综合绩效评价指标体系，建立新型城镇化监测评估指标体系，进一步健全统计体系，规范统计口径、统计标准和统计制度方法，开展动态监测、中期评估、总结评估相结合的全过程规划评估，确保规划主要目标和重点任务顺利实施。充分运用第三方评估和大数据评估，提高监测评估的客观性和科学性。</w:t>
      </w:r>
    </w:p>
    <w:p>
      <w:pPr>
        <w:pStyle w:val="24"/>
        <w:shd w:val="clear" w:color="auto" w:fill="FFFFFF"/>
        <w:spacing w:beforeAutospacing="0" w:afterAutospacing="0" w:line="560" w:lineRule="exact"/>
        <w:contextualSpacing/>
        <w:jc w:val="both"/>
        <w:textAlignment w:val="top"/>
        <w:rPr>
          <w:rFonts w:ascii="仿宋" w:hAnsi="仿宋" w:eastAsia="仿宋" w:cs="Arial"/>
          <w:sz w:val="32"/>
        </w:rPr>
      </w:pPr>
    </w:p>
    <w:p>
      <w:pPr>
        <w:spacing w:line="560" w:lineRule="exact"/>
        <w:contextualSpacing/>
      </w:pPr>
    </w:p>
    <w:p>
      <w:pPr>
        <w:spacing w:line="560" w:lineRule="exact"/>
        <w:contextualSpacing/>
        <w:rPr>
          <w:rFonts w:ascii="Times New Roman" w:hAnsi="Times New Roman"/>
          <w:sz w:val="24"/>
        </w:rPr>
      </w:pPr>
      <w:bookmarkStart w:id="1076" w:name="_Toc21499"/>
      <w:bookmarkStart w:id="1077" w:name="_Toc21629"/>
      <w:bookmarkStart w:id="1078" w:name="_Toc11633"/>
      <w:bookmarkStart w:id="1079" w:name="_Toc31632"/>
      <w:bookmarkStart w:id="1080" w:name="_Toc5877"/>
      <w:bookmarkStart w:id="1081" w:name="_Toc22424"/>
      <w:bookmarkStart w:id="1082" w:name="_Toc7957"/>
      <w:bookmarkStart w:id="1083" w:name="_Toc849"/>
    </w:p>
    <w:p>
      <w:pPr>
        <w:pStyle w:val="25"/>
        <w:spacing w:before="0" w:after="0" w:line="560" w:lineRule="exact"/>
        <w:ind w:firstLine="880"/>
        <w:contextualSpacing/>
        <w:jc w:val="both"/>
        <w:outlineLvl w:val="9"/>
        <w:rPr>
          <w:rFonts w:ascii="Times New Roman" w:hAnsi="Times New Roman"/>
          <w:b w:val="0"/>
          <w:sz w:val="44"/>
          <w:szCs w:val="44"/>
        </w:rPr>
      </w:pPr>
    </w:p>
    <w:p>
      <w:pPr>
        <w:spacing w:line="560" w:lineRule="exact"/>
        <w:ind w:firstLine="880"/>
        <w:contextualSpacing/>
        <w:rPr>
          <w:rFonts w:ascii="Times New Roman" w:hAnsi="Times New Roman"/>
          <w:sz w:val="44"/>
          <w:szCs w:val="44"/>
        </w:rPr>
      </w:pPr>
    </w:p>
    <w:p>
      <w:pPr>
        <w:spacing w:line="560" w:lineRule="exact"/>
        <w:contextualSpacing/>
        <w:rPr>
          <w:rFonts w:eastAsia="楷体_GB2312"/>
          <w:bCs/>
          <w:spacing w:val="20"/>
        </w:rPr>
      </w:pPr>
    </w:p>
    <w:p>
      <w:pPr>
        <w:spacing w:line="560" w:lineRule="exact"/>
        <w:contextualSpacing/>
        <w:rPr>
          <w:rFonts w:eastAsia="楷体_GB2312"/>
          <w:bCs/>
          <w:spacing w:val="20"/>
        </w:rPr>
      </w:pPr>
      <w:r>
        <w:rPr>
          <w:rFonts w:eastAsia="楷体_GB2312"/>
          <w:bCs/>
          <w:spacing w:val="20"/>
        </w:rPr>
        <w:t xml:space="preserve"> </w:t>
      </w:r>
    </w:p>
    <w:p>
      <w:pPr>
        <w:spacing w:line="560" w:lineRule="exact"/>
        <w:contextualSpacing/>
        <w:rPr>
          <w:rFonts w:eastAsia="楷体_GB2312"/>
          <w:bCs/>
          <w:spacing w:val="20"/>
        </w:rPr>
      </w:pPr>
      <w:r>
        <w:rPr>
          <w:rFonts w:eastAsia="楷体_GB2312"/>
          <w:bCs/>
          <w:spacing w:val="20"/>
        </w:rPr>
        <w:t xml:space="preserve"> </w:t>
      </w:r>
    </w:p>
    <w:p>
      <w:pPr>
        <w:spacing w:line="560" w:lineRule="exact"/>
        <w:contextualSpacing/>
        <w:jc w:val="center"/>
        <w:rPr>
          <w:rFonts w:ascii="黑体" w:hAnsi="黑体" w:eastAsia="黑体" w:cs="仿宋"/>
          <w:spacing w:val="-10"/>
          <w:kern w:val="0"/>
          <w:sz w:val="54"/>
          <w:lang w:val="zh-CN" w:bidi="zh-CN"/>
        </w:rPr>
      </w:pPr>
      <w:r>
        <w:rPr>
          <w:rFonts w:ascii="方正小标宋简体" w:hAnsi="方正小标宋简体" w:eastAsia="方正小标宋简体" w:cs="方正小标宋简体"/>
          <w:spacing w:val="-10"/>
          <w:kern w:val="0"/>
          <w:sz w:val="54"/>
          <w:lang w:val="zh-CN" w:bidi="zh-CN"/>
        </w:rPr>
        <w:br w:type="page"/>
      </w:r>
      <w:r>
        <w:rPr>
          <w:rFonts w:hint="eastAsia" w:ascii="方正小标宋简体" w:hAnsi="方正小标宋简体" w:eastAsia="方正小标宋简体" w:cs="方正小标宋简体"/>
          <w:spacing w:val="-10"/>
          <w:kern w:val="0"/>
          <w:sz w:val="44"/>
          <w:szCs w:val="44"/>
          <w:lang w:val="zh-CN" w:bidi="zh-CN"/>
        </w:rPr>
        <w:t>南阳市“十四五”现代供应链发展规划</w:t>
      </w:r>
    </w:p>
    <w:p>
      <w:pPr>
        <w:pStyle w:val="25"/>
        <w:spacing w:before="0" w:after="0" w:line="560" w:lineRule="exact"/>
        <w:contextualSpacing/>
        <w:jc w:val="both"/>
        <w:rPr>
          <w:b w:val="0"/>
        </w:rPr>
      </w:pPr>
    </w:p>
    <w:bookmarkEnd w:id="1076"/>
    <w:bookmarkEnd w:id="1077"/>
    <w:bookmarkEnd w:id="1078"/>
    <w:bookmarkEnd w:id="1079"/>
    <w:bookmarkEnd w:id="1080"/>
    <w:bookmarkEnd w:id="1081"/>
    <w:bookmarkEnd w:id="1082"/>
    <w:bookmarkEnd w:id="1083"/>
    <w:p>
      <w:pPr>
        <w:spacing w:line="560" w:lineRule="exact"/>
        <w:ind w:firstLine="640"/>
        <w:contextualSpacing/>
        <w:rPr>
          <w:rFonts w:ascii="仿宋_GB2312" w:hAnsi="仿宋_GB2312" w:cs="仿宋_GB2312"/>
        </w:rPr>
      </w:pPr>
      <w:r>
        <w:rPr>
          <w:rFonts w:hint="eastAsia" w:ascii="仿宋_GB2312" w:hAnsi="仿宋_GB2312" w:cs="仿宋_GB2312"/>
        </w:rPr>
        <w:t>供应链是以客户需求为导向，以提高质量和效率为目标，以整合资源为主要手段，实现产品设计、采购、生产、销售、服务等全过程高效协同的组织形态。发展现代供应链是落实新发展理念、构建新发展格局、推进供给侧结构性改革和实现高质量发展的重要抓手。</w:t>
      </w:r>
      <w:bookmarkStart w:id="1084" w:name="_Hlk88248752"/>
      <w:r>
        <w:rPr>
          <w:rFonts w:hint="eastAsia" w:ascii="仿宋_GB2312" w:hAnsi="仿宋_GB2312" w:cs="仿宋_GB2312"/>
          <w:lang w:val="en"/>
        </w:rPr>
        <w:t>我市</w:t>
      </w:r>
      <w:r>
        <w:rPr>
          <w:rFonts w:hint="eastAsia" w:ascii="仿宋_GB2312" w:hAnsi="仿宋_GB2312" w:cs="仿宋_GB2312"/>
        </w:rPr>
        <w:t>是人口大市、经济大市、生态大市、农业大市</w:t>
      </w:r>
      <w:bookmarkEnd w:id="1084"/>
      <w:r>
        <w:rPr>
          <w:rFonts w:hint="eastAsia" w:ascii="仿宋_GB2312" w:hAnsi="仿宋_GB2312" w:cs="仿宋_GB2312"/>
        </w:rPr>
        <w:t>，市场空间广阔、人力资源丰富、产业门类齐全、农产品供给能力突出、城镇化潜力巨大，全国性综合交通枢纽加快建设，商贸服务型国家物流枢纽逐步形成，具备打造现代供应链的基础和优势。为深入贯彻国家、省、市相关战略部署和市第七次党代会精神，加快我市现代供应链创新发展，结合《南阳市国民经济和社会发展第十四个五年规划和二〇三五年远景目标纲要》和《河南省“十四五”现代供应链发展规划》，制定本规划。</w:t>
      </w:r>
      <w:bookmarkStart w:id="1085" w:name="_Toc2090638796"/>
      <w:bookmarkStart w:id="1086" w:name="_Toc79842235"/>
      <w:bookmarkStart w:id="1087" w:name="_Toc1667026031"/>
    </w:p>
    <w:p>
      <w:pPr>
        <w:spacing w:line="560" w:lineRule="exact"/>
        <w:ind w:firstLine="640"/>
        <w:contextualSpacing/>
        <w:jc w:val="center"/>
        <w:rPr>
          <w:rFonts w:ascii="黑体" w:hAnsi="黑体" w:eastAsia="黑体" w:cs="黑体"/>
          <w:bCs/>
        </w:rPr>
      </w:pPr>
      <w:r>
        <w:rPr>
          <w:rFonts w:hint="eastAsia" w:ascii="黑体" w:hAnsi="黑体" w:eastAsia="黑体" w:cs="黑体"/>
          <w:bCs/>
          <w:lang w:val="zh-CN"/>
        </w:rPr>
        <w:t>第一章 发展基础与</w:t>
      </w:r>
      <w:r>
        <w:rPr>
          <w:rFonts w:hint="eastAsia" w:ascii="黑体" w:hAnsi="黑体" w:eastAsia="黑体" w:cs="黑体"/>
          <w:bCs/>
        </w:rPr>
        <w:t>面临形势</w:t>
      </w:r>
      <w:bookmarkEnd w:id="1085"/>
      <w:bookmarkEnd w:id="1086"/>
      <w:bookmarkEnd w:id="1087"/>
    </w:p>
    <w:p>
      <w:pPr>
        <w:pStyle w:val="8"/>
        <w:spacing w:line="560" w:lineRule="exact"/>
        <w:ind w:firstLine="640"/>
        <w:contextualSpacing/>
        <w:jc w:val="center"/>
        <w:rPr>
          <w:rFonts w:ascii="楷体_GB2312" w:hAnsi="楷体_GB2312" w:eastAsia="楷体_GB2312" w:cs="楷体_GB2312"/>
          <w:b w:val="0"/>
          <w:lang w:val="zh-CN"/>
        </w:rPr>
      </w:pPr>
      <w:bookmarkStart w:id="1088" w:name="_Toc31378197"/>
      <w:bookmarkStart w:id="1089" w:name="_Toc237558368"/>
      <w:r>
        <w:rPr>
          <w:rFonts w:hint="eastAsia" w:ascii="楷体_GB2312" w:hAnsi="楷体_GB2312" w:eastAsia="楷体_GB2312" w:cs="楷体_GB2312"/>
          <w:b w:val="0"/>
          <w:lang w:val="zh-CN"/>
        </w:rPr>
        <w:t>第一节 发展基础</w:t>
      </w:r>
      <w:bookmarkEnd w:id="1088"/>
      <w:bookmarkEnd w:id="1089"/>
    </w:p>
    <w:p>
      <w:pPr>
        <w:spacing w:line="560" w:lineRule="exact"/>
        <w:ind w:firstLine="640" w:firstLineChars="200"/>
        <w:contextualSpacing/>
        <w:rPr>
          <w:rFonts w:ascii="仿宋_GB2312" w:hAnsi="仿宋_GB2312" w:cs="仿宋_GB2312"/>
        </w:rPr>
      </w:pPr>
      <w:r>
        <w:rPr>
          <w:rFonts w:hint="eastAsia" w:ascii="仿宋_GB2312" w:hAnsi="仿宋_GB2312" w:cs="仿宋_GB2312"/>
        </w:rPr>
        <w:t>“十三五”期间，我市深入贯彻《国务院办公厅关于积极推进供应链创新与应用的指导意见》（国办发〔</w:t>
      </w:r>
      <w:r>
        <w:rPr>
          <w:rFonts w:hint="eastAsia" w:ascii="Times New Roman" w:hAnsi="Times New Roman" w:cs="仿宋_GB2312"/>
          <w:lang w:val="en"/>
        </w:rPr>
        <w:t>2021</w:t>
      </w:r>
      <w:r>
        <w:rPr>
          <w:rFonts w:hint="eastAsia" w:ascii="仿宋_GB2312" w:hAnsi="仿宋_GB2312" w:cs="仿宋_GB2312"/>
          <w:lang w:val="en"/>
        </w:rPr>
        <w:t>〕</w:t>
      </w:r>
      <w:r>
        <w:rPr>
          <w:rFonts w:hint="eastAsia" w:ascii="Times New Roman" w:hAnsi="Times New Roman" w:cs="仿宋_GB2312"/>
          <w:lang w:val="en"/>
        </w:rPr>
        <w:t>84</w:t>
      </w:r>
      <w:r>
        <w:rPr>
          <w:rFonts w:hint="eastAsia" w:ascii="仿宋_GB2312" w:hAnsi="仿宋_GB2312" w:cs="仿宋_GB2312"/>
        </w:rPr>
        <w:t>号）、《河南省人民政府办公厅关于积极推进供应链创新与应用的实施意见》（豫政办</w:t>
      </w:r>
      <w:r>
        <w:rPr>
          <w:rFonts w:hint="eastAsia" w:ascii="仿宋_GB2312" w:hAnsi="仿宋_GB2312" w:cs="仿宋_GB2312"/>
          <w:lang w:val="en"/>
        </w:rPr>
        <w:t>〔</w:t>
      </w:r>
      <w:r>
        <w:rPr>
          <w:rFonts w:hint="eastAsia" w:ascii="Times New Roman" w:hAnsi="Times New Roman" w:cs="仿宋_GB2312"/>
          <w:lang w:val="en"/>
        </w:rPr>
        <w:t>2018</w:t>
      </w:r>
      <w:r>
        <w:rPr>
          <w:rFonts w:hint="eastAsia" w:ascii="仿宋_GB2312" w:hAnsi="仿宋_GB2312" w:cs="仿宋_GB2312"/>
          <w:lang w:val="en"/>
        </w:rPr>
        <w:t>〕</w:t>
      </w:r>
      <w:r>
        <w:rPr>
          <w:rFonts w:hint="eastAsia" w:ascii="Times New Roman" w:hAnsi="Times New Roman" w:cs="仿宋_GB2312"/>
          <w:lang w:val="en"/>
        </w:rPr>
        <w:t>75</w:t>
      </w:r>
      <w:r>
        <w:rPr>
          <w:rFonts w:hint="eastAsia" w:ascii="仿宋_GB2312" w:hAnsi="仿宋_GB2312" w:cs="仿宋_GB2312"/>
        </w:rPr>
        <w:t>号）和省商务厅等</w:t>
      </w:r>
      <w:r>
        <w:rPr>
          <w:rFonts w:hint="eastAsia" w:ascii="Times New Roman" w:hAnsi="Times New Roman" w:cs="仿宋_GB2312"/>
          <w:lang w:val="en"/>
        </w:rPr>
        <w:t>7</w:t>
      </w:r>
      <w:r>
        <w:rPr>
          <w:rFonts w:hint="eastAsia" w:ascii="仿宋_GB2312" w:hAnsi="仿宋_GB2312" w:cs="仿宋_GB2312"/>
        </w:rPr>
        <w:t>部门联合印发的《关于进一步推进供应链创新与应用试点工作的通知》（豫商体系</w:t>
      </w:r>
      <w:r>
        <w:rPr>
          <w:rFonts w:hint="eastAsia" w:ascii="仿宋_GB2312" w:hAnsi="仿宋_GB2312" w:cs="仿宋_GB2312"/>
          <w:lang w:val="en"/>
        </w:rPr>
        <w:t>〔</w:t>
      </w:r>
      <w:r>
        <w:rPr>
          <w:rFonts w:hint="eastAsia" w:ascii="Times New Roman" w:hAnsi="Times New Roman" w:cs="仿宋_GB2312"/>
          <w:lang w:val="en"/>
        </w:rPr>
        <w:t>2020</w:t>
      </w:r>
      <w:r>
        <w:rPr>
          <w:rFonts w:hint="eastAsia" w:ascii="仿宋_GB2312" w:hAnsi="仿宋_GB2312" w:cs="仿宋_GB2312"/>
          <w:lang w:val="en"/>
        </w:rPr>
        <w:t>〕</w:t>
      </w:r>
      <w:r>
        <w:rPr>
          <w:rFonts w:hint="eastAsia" w:ascii="Times New Roman" w:hAnsi="Times New Roman" w:cs="仿宋_GB2312"/>
          <w:lang w:val="en"/>
        </w:rPr>
        <w:t>16</w:t>
      </w:r>
      <w:r>
        <w:rPr>
          <w:rFonts w:hint="eastAsia" w:ascii="仿宋_GB2312" w:hAnsi="仿宋_GB2312" w:cs="仿宋_GB2312"/>
        </w:rPr>
        <w:t>号）要求，积极推进供应链组织方式、商业模式和政府治理方式创新，供应链企业、平台、网络等发展取得了明显成效。</w:t>
      </w:r>
    </w:p>
    <w:p>
      <w:pPr>
        <w:spacing w:line="560" w:lineRule="exact"/>
        <w:ind w:firstLine="640" w:firstLineChars="200"/>
        <w:contextualSpacing/>
        <w:rPr>
          <w:rFonts w:ascii="仿宋_GB2312" w:hAnsi="仿宋_GB2312" w:cs="仿宋_GB2312"/>
        </w:rPr>
      </w:pPr>
      <w:r>
        <w:rPr>
          <w:rFonts w:hint="eastAsia" w:ascii="仿宋_GB2312" w:hAnsi="仿宋_GB2312" w:cs="仿宋_GB2312"/>
          <w:bCs/>
          <w:lang w:val="zh-CN"/>
        </w:rPr>
        <w:t>供应链企业</w:t>
      </w:r>
      <w:r>
        <w:rPr>
          <w:rFonts w:hint="eastAsia" w:ascii="仿宋_GB2312" w:hAnsi="仿宋_GB2312" w:cs="仿宋_GB2312"/>
          <w:bCs/>
        </w:rPr>
        <w:t>加快发展壮大</w:t>
      </w:r>
      <w:r>
        <w:rPr>
          <w:rFonts w:hint="eastAsia" w:ascii="仿宋_GB2312" w:hAnsi="仿宋_GB2312" w:cs="仿宋_GB2312"/>
          <w:bCs/>
          <w:lang w:val="zh-CN"/>
        </w:rPr>
        <w:t>。</w:t>
      </w:r>
      <w:r>
        <w:rPr>
          <w:rFonts w:hint="eastAsia" w:ascii="仿宋_GB2312" w:hAnsi="仿宋_GB2312" w:cs="仿宋_GB2312"/>
        </w:rPr>
        <w:t>豫西工业集团有限公司、卧龙电气南阳防爆集团股份有限公司、金冠电气股份有限公司、牧原实业集团有限公司、想念食品股份有限公司、仲景食品股份有限公司、福森药业有限公司、仲景宛西制药股份有限公司、大统商贸集团有限公司、万德隆商贸有限责任公司等一批龙头骨干企业发挥资本、技术、市场等优势，聚焦供应链质效提升，积极“强链拓链补链”，发展势头日益迅猛，“链主”地位持续巩固。牧原实业集团有限公司、龙成集团有限公司跻身中国民营企业</w:t>
      </w:r>
      <w:r>
        <w:rPr>
          <w:rFonts w:hint="eastAsia" w:ascii="Times New Roman" w:hAnsi="Times New Roman" w:cs="仿宋_GB2312"/>
        </w:rPr>
        <w:t>500</w:t>
      </w:r>
      <w:r>
        <w:rPr>
          <w:rFonts w:hint="eastAsia" w:ascii="仿宋_GB2312" w:hAnsi="仿宋_GB2312" w:cs="仿宋_GB2312"/>
        </w:rPr>
        <w:t>强，</w:t>
      </w:r>
      <w:r>
        <w:rPr>
          <w:rFonts w:hint="eastAsia" w:ascii="Times New Roman" w:hAnsi="Times New Roman" w:cs="仿宋_GB2312"/>
        </w:rPr>
        <w:t>11</w:t>
      </w:r>
      <w:r>
        <w:rPr>
          <w:rFonts w:hint="eastAsia" w:ascii="仿宋_GB2312" w:hAnsi="仿宋_GB2312" w:cs="仿宋_GB2312"/>
        </w:rPr>
        <w:t>家企业进入河南民营企业</w:t>
      </w:r>
      <w:r>
        <w:rPr>
          <w:rFonts w:hint="eastAsia" w:ascii="Times New Roman" w:hAnsi="Times New Roman" w:cs="仿宋_GB2312"/>
        </w:rPr>
        <w:t>100</w:t>
      </w:r>
      <w:r>
        <w:rPr>
          <w:rFonts w:hint="eastAsia" w:ascii="仿宋_GB2312" w:hAnsi="仿宋_GB2312" w:cs="仿宋_GB2312"/>
        </w:rPr>
        <w:t>强，</w:t>
      </w:r>
      <w:r>
        <w:rPr>
          <w:rFonts w:hint="eastAsia" w:ascii="Times New Roman" w:hAnsi="Times New Roman" w:cs="仿宋_GB2312"/>
        </w:rPr>
        <w:t>6</w:t>
      </w:r>
      <w:r>
        <w:rPr>
          <w:rFonts w:hint="eastAsia" w:ascii="仿宋_GB2312" w:hAnsi="仿宋_GB2312" w:cs="仿宋_GB2312"/>
        </w:rPr>
        <w:t>家企业入选全省制造业头雁企业。寅兴牧业设备有限公司、镀邦光电股份有限公司、迈松医用设备制造有限公司等一批优势企业专注供应链细分领域，持续加强科技投入、技术创新和产品研发，</w:t>
      </w:r>
      <w:r>
        <w:rPr>
          <w:rFonts w:hint="eastAsia" w:ascii="Times New Roman" w:hAnsi="Times New Roman" w:cs="仿宋_GB2312"/>
        </w:rPr>
        <w:t>7</w:t>
      </w:r>
      <w:r>
        <w:rPr>
          <w:rFonts w:hint="eastAsia" w:ascii="仿宋_GB2312" w:hAnsi="仿宋_GB2312" w:cs="仿宋_GB2312"/>
        </w:rPr>
        <w:t>家企业获评国家专精特新“小巨人”、</w:t>
      </w:r>
      <w:r>
        <w:rPr>
          <w:rFonts w:hint="eastAsia" w:ascii="Times New Roman" w:hAnsi="Times New Roman" w:cs="仿宋_GB2312"/>
        </w:rPr>
        <w:t>79</w:t>
      </w:r>
      <w:r>
        <w:rPr>
          <w:rFonts w:hint="eastAsia" w:ascii="仿宋_GB2312" w:hAnsi="仿宋_GB2312" w:cs="仿宋_GB2312"/>
        </w:rPr>
        <w:t>家上榜省级“专精特新”中小企业名单。</w:t>
      </w:r>
    </w:p>
    <w:p>
      <w:pPr>
        <w:spacing w:line="560" w:lineRule="exact"/>
        <w:ind w:firstLine="640" w:firstLineChars="200"/>
        <w:contextualSpacing/>
        <w:rPr>
          <w:rFonts w:ascii="仿宋_GB2312" w:hAnsi="仿宋_GB2312" w:cs="仿宋_GB2312"/>
        </w:rPr>
      </w:pPr>
      <w:r>
        <w:rPr>
          <w:rFonts w:hint="eastAsia" w:ascii="仿宋_GB2312" w:hAnsi="仿宋_GB2312" w:cs="仿宋_GB2312"/>
          <w:bCs/>
          <w:lang w:val="zh-CN"/>
        </w:rPr>
        <w:t>产业供应链发展成效明显。</w:t>
      </w:r>
      <w:r>
        <w:rPr>
          <w:rFonts w:hint="eastAsia" w:ascii="仿宋_GB2312" w:hAnsi="仿宋_GB2312" w:cs="仿宋_GB2312"/>
        </w:rPr>
        <w:t>一批科技含量高、市场前景好、经济效益优的产业项目相继建成投产，装备制造、绿色食品产业集群规模分别达到</w:t>
      </w:r>
      <w:r>
        <w:rPr>
          <w:rFonts w:hint="eastAsia" w:ascii="Times New Roman" w:hAnsi="Times New Roman" w:cs="仿宋_GB2312"/>
        </w:rPr>
        <w:t>690</w:t>
      </w:r>
      <w:r>
        <w:rPr>
          <w:rFonts w:hint="eastAsia" w:ascii="仿宋_GB2312" w:hAnsi="仿宋_GB2312" w:cs="仿宋_GB2312"/>
        </w:rPr>
        <w:t>亿元、</w:t>
      </w:r>
      <w:r>
        <w:rPr>
          <w:rFonts w:hint="eastAsia" w:ascii="Times New Roman" w:hAnsi="Times New Roman" w:cs="仿宋_GB2312"/>
        </w:rPr>
        <w:t>580</w:t>
      </w:r>
      <w:r>
        <w:rPr>
          <w:rFonts w:hint="eastAsia" w:ascii="仿宋_GB2312" w:hAnsi="仿宋_GB2312" w:cs="仿宋_GB2312"/>
        </w:rPr>
        <w:t>亿元，电子信息、超硬材料、纺织服装等产业规模超百亿级，产业规模的快速膨胀为供应链的稳步发展奠定了坚实基础。抢抓国家和省级试点培育政策机遇，打造出一批产业供应链协同创新标杆。卧龙电气南阳防爆集团股份有限公司联合</w:t>
      </w:r>
      <w:r>
        <w:rPr>
          <w:rFonts w:hint="eastAsia" w:ascii="Times New Roman" w:hAnsi="Times New Roman" w:cs="仿宋_GB2312"/>
        </w:rPr>
        <w:t>1000</w:t>
      </w:r>
      <w:r>
        <w:rPr>
          <w:rFonts w:hint="eastAsia" w:ascii="仿宋_GB2312" w:hAnsi="仿宋_GB2312" w:cs="仿宋_GB2312"/>
        </w:rPr>
        <w:t>余家原材料供应商和</w:t>
      </w:r>
      <w:r>
        <w:rPr>
          <w:rFonts w:hint="eastAsia" w:ascii="Times New Roman" w:hAnsi="Times New Roman" w:cs="仿宋_GB2312"/>
        </w:rPr>
        <w:t>8000</w:t>
      </w:r>
      <w:r>
        <w:rPr>
          <w:rFonts w:hint="eastAsia" w:ascii="仿宋_GB2312" w:hAnsi="仿宋_GB2312" w:cs="仿宋_GB2312"/>
        </w:rPr>
        <w:t>余家销售客户，构建起完备的防爆电气装备供应链，实现集团四大物料的全球采购。牧原实业集团有限公司以生猪养殖为核心，引进上游</w:t>
      </w:r>
      <w:r>
        <w:rPr>
          <w:rFonts w:hint="eastAsia" w:ascii="Times New Roman" w:hAnsi="Times New Roman" w:cs="仿宋_GB2312"/>
        </w:rPr>
        <w:t>1500</w:t>
      </w:r>
      <w:r>
        <w:rPr>
          <w:rFonts w:hint="eastAsia" w:ascii="仿宋_GB2312" w:hAnsi="仿宋_GB2312" w:cs="仿宋_GB2312"/>
        </w:rPr>
        <w:t>家优质供应商就近落户，建立了集饲料加工、种猪育种、商品猪饲养、屠宰加工为一体的猪肉供应链，实现政府、银行、供应商、核心企业四方共赢。</w:t>
      </w:r>
    </w:p>
    <w:p>
      <w:pPr>
        <w:spacing w:line="560" w:lineRule="exact"/>
        <w:ind w:firstLine="640" w:firstLineChars="200"/>
        <w:contextualSpacing/>
        <w:rPr>
          <w:rFonts w:ascii="仿宋_GB2312" w:hAnsi="仿宋_GB2312" w:cs="仿宋_GB2312"/>
        </w:rPr>
      </w:pPr>
      <w:r>
        <w:rPr>
          <w:rFonts w:hint="eastAsia" w:ascii="仿宋_GB2312" w:hAnsi="仿宋_GB2312" w:cs="仿宋_GB2312"/>
          <w:bCs/>
          <w:lang w:val="zh-CN"/>
        </w:rPr>
        <w:t>供应链</w:t>
      </w:r>
      <w:r>
        <w:rPr>
          <w:rFonts w:hint="eastAsia" w:ascii="仿宋_GB2312" w:hAnsi="仿宋_GB2312" w:cs="仿宋_GB2312"/>
          <w:bCs/>
        </w:rPr>
        <w:t>改革</w:t>
      </w:r>
      <w:r>
        <w:rPr>
          <w:rFonts w:hint="eastAsia" w:ascii="仿宋_GB2312" w:hAnsi="仿宋_GB2312" w:cs="仿宋_GB2312"/>
          <w:bCs/>
          <w:lang w:val="zh-CN"/>
        </w:rPr>
        <w:t>创新</w:t>
      </w:r>
      <w:r>
        <w:rPr>
          <w:rFonts w:hint="eastAsia" w:ascii="仿宋_GB2312" w:hAnsi="仿宋_GB2312" w:cs="仿宋_GB2312"/>
          <w:bCs/>
        </w:rPr>
        <w:t>持续深化</w:t>
      </w:r>
      <w:r>
        <w:rPr>
          <w:rFonts w:hint="eastAsia" w:ascii="仿宋_GB2312" w:hAnsi="仿宋_GB2312" w:cs="仿宋_GB2312"/>
          <w:bCs/>
          <w:lang w:val="zh-CN"/>
        </w:rPr>
        <w:t>。</w:t>
      </w:r>
      <w:r>
        <w:rPr>
          <w:rFonts w:hint="eastAsia" w:ascii="仿宋_GB2312" w:hAnsi="仿宋_GB2312" w:cs="仿宋_GB2312"/>
        </w:rPr>
        <w:t>坚持示范带动，推动供应链智能化、绿色化发展。完成国家贯标企业</w:t>
      </w:r>
      <w:r>
        <w:rPr>
          <w:rFonts w:hint="eastAsia" w:ascii="Times New Roman" w:hAnsi="Times New Roman" w:cs="仿宋_GB2312"/>
        </w:rPr>
        <w:t>104</w:t>
      </w:r>
      <w:r>
        <w:rPr>
          <w:rFonts w:hint="eastAsia" w:ascii="仿宋_GB2312" w:hAnsi="仿宋_GB2312" w:cs="仿宋_GB2312"/>
        </w:rPr>
        <w:t>家、对标企业</w:t>
      </w:r>
      <w:r>
        <w:rPr>
          <w:rFonts w:hint="eastAsia" w:ascii="Times New Roman" w:hAnsi="Times New Roman" w:cs="仿宋_GB2312"/>
        </w:rPr>
        <w:t>921</w:t>
      </w:r>
      <w:r>
        <w:rPr>
          <w:rFonts w:hint="eastAsia" w:ascii="仿宋_GB2312" w:hAnsi="仿宋_GB2312" w:cs="仿宋_GB2312"/>
        </w:rPr>
        <w:t>家，建成省级智能工厂</w:t>
      </w:r>
      <w:r>
        <w:rPr>
          <w:rFonts w:hint="eastAsia" w:ascii="Times New Roman" w:hAnsi="Times New Roman" w:cs="仿宋_GB2312"/>
        </w:rPr>
        <w:t>16</w:t>
      </w:r>
      <w:r>
        <w:rPr>
          <w:rFonts w:hint="eastAsia" w:ascii="仿宋_GB2312" w:hAnsi="仿宋_GB2312" w:cs="仿宋_GB2312"/>
        </w:rPr>
        <w:t>家、智能车间</w:t>
      </w:r>
      <w:r>
        <w:rPr>
          <w:rFonts w:hint="eastAsia" w:ascii="Times New Roman" w:hAnsi="Times New Roman" w:cs="仿宋_GB2312"/>
        </w:rPr>
        <w:t>44</w:t>
      </w:r>
      <w:r>
        <w:rPr>
          <w:rFonts w:hint="eastAsia" w:ascii="仿宋_GB2312" w:hAnsi="仿宋_GB2312" w:cs="仿宋_GB2312"/>
        </w:rPr>
        <w:t>个，牧原食品股份有限公司被评为河南省智能制造标杆企业。“十三五”期间全市规模以上工业企业单位增加值能耗降低</w:t>
      </w:r>
      <w:r>
        <w:rPr>
          <w:rFonts w:hint="eastAsia" w:ascii="Times New Roman" w:hAnsi="Times New Roman" w:cs="仿宋_GB2312"/>
        </w:rPr>
        <w:t>17</w:t>
      </w:r>
      <w:r>
        <w:rPr>
          <w:rFonts w:hint="eastAsia" w:ascii="仿宋_GB2312" w:hAnsi="仿宋_GB2312" w:cs="仿宋_GB2312"/>
        </w:rPr>
        <w:t>.</w:t>
      </w:r>
      <w:r>
        <w:rPr>
          <w:rFonts w:hint="eastAsia" w:ascii="Times New Roman" w:hAnsi="Times New Roman" w:cs="仿宋_GB2312"/>
        </w:rPr>
        <w:t>8</w:t>
      </w:r>
      <w:r>
        <w:rPr>
          <w:rFonts w:hint="eastAsia" w:ascii="仿宋_GB2312" w:hAnsi="仿宋_GB2312" w:cs="仿宋_GB2312"/>
        </w:rPr>
        <w:t>%、水耗降低</w:t>
      </w:r>
      <w:r>
        <w:rPr>
          <w:rFonts w:hint="eastAsia" w:ascii="Times New Roman" w:hAnsi="Times New Roman" w:cs="仿宋_GB2312"/>
        </w:rPr>
        <w:t>29</w:t>
      </w:r>
      <w:r>
        <w:rPr>
          <w:rFonts w:hint="eastAsia" w:ascii="仿宋_GB2312" w:hAnsi="仿宋_GB2312" w:cs="仿宋_GB2312"/>
        </w:rPr>
        <w:t>.</w:t>
      </w:r>
      <w:r>
        <w:rPr>
          <w:rFonts w:hint="eastAsia" w:ascii="Times New Roman" w:hAnsi="Times New Roman" w:cs="仿宋_GB2312"/>
        </w:rPr>
        <w:t>8</w:t>
      </w:r>
      <w:r>
        <w:rPr>
          <w:rFonts w:hint="eastAsia" w:ascii="仿宋_GB2312" w:hAnsi="仿宋_GB2312" w:cs="仿宋_GB2312"/>
        </w:rPr>
        <w:t>%，新创建国家级绿色工厂</w:t>
      </w:r>
      <w:r>
        <w:rPr>
          <w:rFonts w:hint="eastAsia" w:ascii="Times New Roman" w:hAnsi="Times New Roman" w:cs="仿宋_GB2312"/>
        </w:rPr>
        <w:t>10</w:t>
      </w:r>
      <w:r>
        <w:rPr>
          <w:rFonts w:hint="eastAsia" w:ascii="仿宋_GB2312" w:hAnsi="仿宋_GB2312" w:cs="仿宋_GB2312"/>
        </w:rPr>
        <w:t>家、省级绿色工厂</w:t>
      </w:r>
      <w:r>
        <w:rPr>
          <w:rFonts w:hint="eastAsia" w:ascii="Times New Roman" w:hAnsi="Times New Roman" w:cs="仿宋_GB2312"/>
        </w:rPr>
        <w:t>3</w:t>
      </w:r>
      <w:r>
        <w:rPr>
          <w:rFonts w:hint="eastAsia" w:ascii="仿宋_GB2312" w:hAnsi="仿宋_GB2312" w:cs="仿宋_GB2312"/>
        </w:rPr>
        <w:t>家，</w:t>
      </w:r>
      <w:r>
        <w:rPr>
          <w:rFonts w:hint="eastAsia" w:ascii="Times New Roman" w:hAnsi="Times New Roman" w:cs="仿宋_GB2312"/>
        </w:rPr>
        <w:t>7</w:t>
      </w:r>
      <w:r>
        <w:rPr>
          <w:rFonts w:hint="eastAsia" w:ascii="仿宋_GB2312" w:hAnsi="仿宋_GB2312" w:cs="仿宋_GB2312"/>
        </w:rPr>
        <w:t>个产品入选第一批河南省节能环保产品目录，天瑞水泥被评为河南省绿色供应链管理示范企业。</w:t>
      </w:r>
    </w:p>
    <w:p>
      <w:pPr>
        <w:spacing w:line="560" w:lineRule="exact"/>
        <w:ind w:firstLine="640" w:firstLineChars="200"/>
        <w:contextualSpacing/>
        <w:rPr>
          <w:rFonts w:ascii="仿宋_GB2312" w:hAnsi="仿宋_GB2312" w:cs="仿宋_GB2312"/>
        </w:rPr>
      </w:pPr>
      <w:r>
        <w:rPr>
          <w:rFonts w:hint="eastAsia" w:ascii="仿宋_GB2312" w:hAnsi="仿宋_GB2312" w:cs="仿宋_GB2312"/>
          <w:bCs/>
          <w:lang w:val="zh-CN"/>
        </w:rPr>
        <w:t>供应链金融</w:t>
      </w:r>
      <w:r>
        <w:rPr>
          <w:rFonts w:hint="eastAsia" w:ascii="仿宋_GB2312" w:hAnsi="仿宋_GB2312" w:cs="仿宋_GB2312"/>
          <w:bCs/>
        </w:rPr>
        <w:t>实现稳妥发展</w:t>
      </w:r>
      <w:r>
        <w:rPr>
          <w:rFonts w:hint="eastAsia" w:ascii="仿宋_GB2312" w:hAnsi="仿宋_GB2312" w:cs="仿宋_GB2312"/>
          <w:bCs/>
          <w:lang w:val="zh-CN"/>
        </w:rPr>
        <w:t>。</w:t>
      </w:r>
      <w:r>
        <w:rPr>
          <w:rFonts w:hint="eastAsia" w:ascii="仿宋_GB2312" w:hAnsi="仿宋_GB2312" w:cs="仿宋_GB2312"/>
        </w:rPr>
        <w:t>各银行业金融机构以大中型“链主”企业为核心，全力满足种植业、制造业、商贸流通等企业融资需求，有效缓解供应链上企业融资难、融资贵问题。全市银行业金融机构供应链金融融资规模近</w:t>
      </w:r>
      <w:r>
        <w:rPr>
          <w:rFonts w:hint="eastAsia" w:ascii="Times New Roman" w:hAnsi="Times New Roman" w:cs="仿宋_GB2312"/>
          <w:lang w:val="en"/>
        </w:rPr>
        <w:t>30</w:t>
      </w:r>
      <w:r>
        <w:rPr>
          <w:rFonts w:hint="eastAsia" w:ascii="仿宋_GB2312" w:hAnsi="仿宋_GB2312" w:cs="仿宋_GB2312"/>
        </w:rPr>
        <w:t>亿元，受益企业</w:t>
      </w:r>
      <w:r>
        <w:rPr>
          <w:rFonts w:hint="eastAsia" w:ascii="Times New Roman" w:hAnsi="Times New Roman" w:cs="仿宋_GB2312"/>
          <w:lang w:val="en"/>
        </w:rPr>
        <w:t>293</w:t>
      </w:r>
      <w:r>
        <w:rPr>
          <w:rFonts w:hint="eastAsia" w:ascii="仿宋_GB2312" w:hAnsi="仿宋_GB2312" w:cs="仿宋_GB2312"/>
        </w:rPr>
        <w:t>户，普惠小微企业贷款余额稳居全省第三位。农行南阳分行与牧原食品股份有限公司合作，上线运行“供应链商圈—牧原股份商圈”，为核心企业上游供应商整体授信</w:t>
      </w:r>
      <w:r>
        <w:rPr>
          <w:rFonts w:hint="eastAsia" w:ascii="Times New Roman" w:hAnsi="Times New Roman" w:cs="仿宋_GB2312"/>
          <w:lang w:val="en"/>
        </w:rPr>
        <w:t>2</w:t>
      </w:r>
      <w:r>
        <w:rPr>
          <w:rFonts w:hint="eastAsia" w:ascii="仿宋_GB2312" w:hAnsi="仿宋_GB2312" w:cs="仿宋_GB2312"/>
        </w:rPr>
        <w:t>亿元，单户授信额度达到</w:t>
      </w:r>
      <w:r>
        <w:rPr>
          <w:rFonts w:hint="eastAsia" w:ascii="Times New Roman" w:hAnsi="Times New Roman" w:cs="仿宋_GB2312"/>
          <w:lang w:val="en"/>
        </w:rPr>
        <w:t>500</w:t>
      </w:r>
      <w:r>
        <w:rPr>
          <w:rFonts w:hint="eastAsia" w:ascii="仿宋_GB2312" w:hAnsi="仿宋_GB2312" w:cs="仿宋_GB2312"/>
        </w:rPr>
        <w:t>万元。农发行南阳分行运用牧原</w:t>
      </w:r>
      <w:r>
        <w:rPr>
          <w:rFonts w:hint="eastAsia" w:ascii="仿宋_GB2312" w:hAnsi="仿宋_GB2312" w:cs="仿宋_GB2312"/>
          <w:lang w:val="en"/>
        </w:rPr>
        <w:t>“</w:t>
      </w:r>
      <w:r>
        <w:rPr>
          <w:rFonts w:hint="eastAsia" w:ascii="Times New Roman" w:hAnsi="Times New Roman" w:cs="仿宋_GB2312"/>
          <w:lang w:val="en"/>
        </w:rPr>
        <w:t>5</w:t>
      </w:r>
      <w:r>
        <w:rPr>
          <w:rFonts w:hint="eastAsia" w:ascii="仿宋_GB2312" w:hAnsi="仿宋_GB2312" w:cs="仿宋_GB2312"/>
          <w:lang w:val="en"/>
        </w:rPr>
        <w:t>+</w:t>
      </w:r>
      <w:r>
        <w:rPr>
          <w:rFonts w:hint="eastAsia" w:ascii="仿宋_GB2312" w:hAnsi="仿宋_GB2312" w:cs="仿宋_GB2312"/>
        </w:rPr>
        <w:t>融资模式”、订购贷供应链金融模式，向想念食品股份有限公司、牧原食品股份有限公司</w:t>
      </w:r>
      <w:r>
        <w:rPr>
          <w:rFonts w:hint="eastAsia" w:ascii="Times New Roman" w:hAnsi="Times New Roman" w:cs="仿宋_GB2312"/>
          <w:lang w:val="en"/>
        </w:rPr>
        <w:t>37</w:t>
      </w:r>
      <w:r>
        <w:rPr>
          <w:rFonts w:hint="eastAsia" w:ascii="仿宋_GB2312" w:hAnsi="仿宋_GB2312" w:cs="仿宋_GB2312"/>
        </w:rPr>
        <w:t>家上游客户投放贷款</w:t>
      </w:r>
      <w:r>
        <w:rPr>
          <w:rFonts w:hint="eastAsia" w:ascii="Times New Roman" w:hAnsi="Times New Roman" w:cs="仿宋_GB2312"/>
          <w:lang w:val="en"/>
        </w:rPr>
        <w:t>3</w:t>
      </w:r>
      <w:r>
        <w:rPr>
          <w:rFonts w:hint="eastAsia" w:ascii="仿宋_GB2312" w:hAnsi="仿宋_GB2312" w:cs="仿宋_GB2312"/>
        </w:rPr>
        <w:t>.</w:t>
      </w:r>
      <w:r>
        <w:rPr>
          <w:rFonts w:hint="eastAsia" w:ascii="Times New Roman" w:hAnsi="Times New Roman" w:cs="仿宋_GB2312"/>
          <w:lang w:val="en"/>
        </w:rPr>
        <w:t>14</w:t>
      </w:r>
      <w:r>
        <w:rPr>
          <w:rFonts w:hint="eastAsia" w:ascii="仿宋_GB2312" w:hAnsi="仿宋_GB2312" w:cs="仿宋_GB2312"/>
        </w:rPr>
        <w:t>亿元，解决了小微企业融资难题。工行南阳分行以工银</w:t>
      </w:r>
      <w:r>
        <w:rPr>
          <w:rFonts w:hint="eastAsia" w:ascii="仿宋_GB2312" w:hAnsi="仿宋_GB2312" w:cs="仿宋_GB2312"/>
          <w:lang w:val="en"/>
        </w:rPr>
        <w:t>E</w:t>
      </w:r>
      <w:r>
        <w:rPr>
          <w:rFonts w:hint="eastAsia" w:ascii="仿宋_GB2312" w:hAnsi="仿宋_GB2312" w:cs="仿宋_GB2312"/>
        </w:rPr>
        <w:t>信电子付款凭证为载体，面向卧龙电气南阳防爆集团股份有限公司、乐凯华光印刷科技有限公司、赊店酒业有限公司、飞龙汽车部件股份有限公司等核心客户，发展供应链金融业务余额</w:t>
      </w:r>
      <w:r>
        <w:rPr>
          <w:rFonts w:hint="eastAsia" w:ascii="Times New Roman" w:hAnsi="Times New Roman" w:cs="仿宋_GB2312"/>
          <w:lang w:val="en"/>
        </w:rPr>
        <w:t>1</w:t>
      </w:r>
      <w:r>
        <w:rPr>
          <w:rFonts w:hint="eastAsia" w:ascii="仿宋_GB2312" w:hAnsi="仿宋_GB2312" w:cs="仿宋_GB2312"/>
          <w:lang w:val="en"/>
        </w:rPr>
        <w:t>.</w:t>
      </w:r>
      <w:r>
        <w:rPr>
          <w:rFonts w:hint="eastAsia" w:ascii="Times New Roman" w:hAnsi="Times New Roman" w:cs="仿宋_GB2312"/>
          <w:lang w:val="en"/>
        </w:rPr>
        <w:t>86</w:t>
      </w:r>
      <w:r>
        <w:rPr>
          <w:rFonts w:hint="eastAsia" w:ascii="仿宋_GB2312" w:hAnsi="仿宋_GB2312" w:cs="仿宋_GB2312"/>
        </w:rPr>
        <w:t>亿元。</w:t>
      </w:r>
    </w:p>
    <w:p>
      <w:pPr>
        <w:spacing w:line="560" w:lineRule="exact"/>
        <w:ind w:firstLine="640" w:firstLineChars="200"/>
        <w:contextualSpacing/>
        <w:rPr>
          <w:rFonts w:ascii="仿宋_GB2312" w:hAnsi="仿宋_GB2312" w:cs="仿宋_GB2312"/>
        </w:rPr>
      </w:pPr>
      <w:r>
        <w:rPr>
          <w:rFonts w:hint="eastAsia" w:ascii="仿宋_GB2312" w:hAnsi="仿宋_GB2312" w:cs="仿宋_GB2312"/>
          <w:bCs/>
          <w:lang w:val="zh-CN"/>
        </w:rPr>
        <w:t>供应链网络持续完善优化。</w:t>
      </w:r>
      <w:r>
        <w:rPr>
          <w:rFonts w:hint="eastAsia" w:ascii="仿宋_GB2312" w:hAnsi="仿宋_GB2312" w:cs="仿宋_GB2312"/>
          <w:lang w:val="zh-CN"/>
        </w:rPr>
        <w:t>浩吉铁路建成通车，铁路货运能力显著增强。</w:t>
      </w:r>
      <w:r>
        <w:rPr>
          <w:rFonts w:hint="eastAsia" w:ascii="仿宋_GB2312" w:hAnsi="仿宋_GB2312" w:cs="仿宋_GB2312"/>
        </w:rPr>
        <w:t>周南高速等项目建成投用，高速公路通车里程</w:t>
      </w:r>
      <w:r>
        <w:rPr>
          <w:rFonts w:hint="eastAsia" w:ascii="Times New Roman" w:hAnsi="Times New Roman" w:cs="仿宋_GB2312"/>
        </w:rPr>
        <w:t>794</w:t>
      </w:r>
      <w:r>
        <w:rPr>
          <w:rFonts w:hint="eastAsia" w:ascii="仿宋_GB2312" w:hAnsi="仿宋_GB2312" w:cs="仿宋_GB2312"/>
        </w:rPr>
        <w:t>公里，干线公路通车里程</w:t>
      </w:r>
      <w:r>
        <w:rPr>
          <w:rFonts w:hint="eastAsia" w:ascii="Times New Roman" w:hAnsi="Times New Roman" w:cs="仿宋_GB2312"/>
        </w:rPr>
        <w:t>3837</w:t>
      </w:r>
      <w:r>
        <w:rPr>
          <w:rFonts w:hint="eastAsia" w:ascii="仿宋_GB2312" w:hAnsi="仿宋_GB2312" w:cs="仿宋_GB2312"/>
        </w:rPr>
        <w:t>公里。南阳机场通航城市</w:t>
      </w:r>
      <w:r>
        <w:rPr>
          <w:rFonts w:hint="eastAsia" w:ascii="Times New Roman" w:hAnsi="Times New Roman" w:cs="仿宋_GB2312"/>
        </w:rPr>
        <w:t>26</w:t>
      </w:r>
      <w:r>
        <w:rPr>
          <w:rFonts w:hint="eastAsia" w:ascii="仿宋_GB2312" w:hAnsi="仿宋_GB2312" w:cs="仿宋_GB2312"/>
        </w:rPr>
        <w:t>个，货邮吞吐量快速增长。我市被确定为国家二级物流园区布局城市、区域级流通节点城市、区域性商贸物流节点城市、商贸服务型国家物流枢纽承载城市。全市登记注册物流业企业</w:t>
      </w:r>
      <w:r>
        <w:rPr>
          <w:rFonts w:hint="eastAsia" w:ascii="Times New Roman" w:hAnsi="Times New Roman" w:cs="仿宋_GB2312"/>
          <w:lang w:val="en"/>
        </w:rPr>
        <w:t>836</w:t>
      </w:r>
      <w:r>
        <w:rPr>
          <w:rFonts w:hint="eastAsia" w:ascii="Times New Roman" w:hAnsi="Times New Roman" w:cs="仿宋_GB2312"/>
        </w:rPr>
        <w:t>3</w:t>
      </w:r>
      <w:r>
        <w:rPr>
          <w:rFonts w:hint="eastAsia" w:ascii="仿宋_GB2312" w:hAnsi="仿宋_GB2312" w:cs="仿宋_GB2312"/>
        </w:rPr>
        <w:t>家，其中</w:t>
      </w:r>
      <w:r>
        <w:rPr>
          <w:rFonts w:hint="eastAsia" w:ascii="Times New Roman" w:hAnsi="Times New Roman" w:cs="仿宋_GB2312"/>
          <w:lang w:val="en"/>
        </w:rPr>
        <w:t>4</w:t>
      </w:r>
      <w:r>
        <w:rPr>
          <w:rFonts w:hint="eastAsia" w:ascii="仿宋_GB2312" w:hAnsi="仿宋_GB2312" w:cs="仿宋_GB2312"/>
          <w:lang w:val="en"/>
        </w:rPr>
        <w:t>A</w:t>
      </w:r>
      <w:r>
        <w:rPr>
          <w:rFonts w:hint="eastAsia" w:ascii="仿宋_GB2312" w:hAnsi="仿宋_GB2312" w:cs="仿宋_GB2312"/>
        </w:rPr>
        <w:t>级</w:t>
      </w:r>
      <w:r>
        <w:rPr>
          <w:rFonts w:hint="eastAsia" w:ascii="Times New Roman" w:hAnsi="Times New Roman" w:cs="仿宋_GB2312"/>
          <w:lang w:val="en"/>
        </w:rPr>
        <w:t>4</w:t>
      </w:r>
      <w:r>
        <w:rPr>
          <w:rFonts w:hint="eastAsia" w:ascii="仿宋_GB2312" w:hAnsi="仿宋_GB2312" w:cs="仿宋_GB2312"/>
        </w:rPr>
        <w:t>家、</w:t>
      </w:r>
      <w:r>
        <w:rPr>
          <w:rFonts w:hint="eastAsia" w:ascii="Times New Roman" w:hAnsi="Times New Roman" w:cs="仿宋_GB2312"/>
          <w:lang w:val="en"/>
        </w:rPr>
        <w:t>3</w:t>
      </w:r>
      <w:r>
        <w:rPr>
          <w:rFonts w:hint="eastAsia" w:ascii="仿宋_GB2312" w:hAnsi="仿宋_GB2312" w:cs="仿宋_GB2312"/>
          <w:lang w:val="en"/>
        </w:rPr>
        <w:t>A</w:t>
      </w:r>
      <w:r>
        <w:rPr>
          <w:rFonts w:hint="eastAsia" w:ascii="仿宋_GB2312" w:hAnsi="仿宋_GB2312" w:cs="仿宋_GB2312"/>
        </w:rPr>
        <w:t>级</w:t>
      </w:r>
      <w:r>
        <w:rPr>
          <w:rFonts w:hint="eastAsia" w:ascii="Times New Roman" w:hAnsi="Times New Roman" w:cs="仿宋_GB2312"/>
          <w:lang w:val="en"/>
        </w:rPr>
        <w:t>5</w:t>
      </w:r>
      <w:r>
        <w:rPr>
          <w:rFonts w:hint="eastAsia" w:ascii="仿宋_GB2312" w:hAnsi="仿宋_GB2312" w:cs="仿宋_GB2312"/>
        </w:rPr>
        <w:t>家，品牌快递企业</w:t>
      </w:r>
      <w:r>
        <w:rPr>
          <w:rFonts w:hint="eastAsia" w:ascii="Times New Roman" w:hAnsi="Times New Roman" w:cs="仿宋_GB2312"/>
          <w:lang w:val="en"/>
        </w:rPr>
        <w:t>19</w:t>
      </w:r>
      <w:r>
        <w:rPr>
          <w:rFonts w:hint="eastAsia" w:ascii="仿宋_GB2312" w:hAnsi="仿宋_GB2312" w:cs="仿宋_GB2312"/>
        </w:rPr>
        <w:t>家、营业网点</w:t>
      </w:r>
      <w:r>
        <w:rPr>
          <w:rFonts w:hint="eastAsia" w:ascii="Times New Roman" w:hAnsi="Times New Roman" w:cs="仿宋_GB2312"/>
          <w:lang w:val="en"/>
        </w:rPr>
        <w:t>1280</w:t>
      </w:r>
      <w:r>
        <w:rPr>
          <w:rFonts w:hint="eastAsia" w:ascii="仿宋_GB2312" w:hAnsi="仿宋_GB2312" w:cs="仿宋_GB2312"/>
        </w:rPr>
        <w:t>个。中心城区建成投用百亩以上物流园</w:t>
      </w:r>
      <w:r>
        <w:rPr>
          <w:rFonts w:hint="eastAsia" w:ascii="Times New Roman" w:hAnsi="Times New Roman" w:cs="仿宋_GB2312"/>
          <w:lang w:val="en"/>
        </w:rPr>
        <w:t>8</w:t>
      </w:r>
      <w:r>
        <w:rPr>
          <w:rFonts w:hint="eastAsia" w:ascii="仿宋_GB2312" w:hAnsi="仿宋_GB2312" w:cs="仿宋_GB2312"/>
        </w:rPr>
        <w:t>个（溧河物流园、汇融物流园、东森物流园区等），银海钢材市场、盈泰粮油市场分别发展为豫西南最大的钢材批发市场和粮油批发市场。</w:t>
      </w:r>
    </w:p>
    <w:p>
      <w:pPr>
        <w:spacing w:line="560" w:lineRule="exact"/>
        <w:ind w:firstLine="640" w:firstLineChars="200"/>
        <w:contextualSpacing/>
        <w:rPr>
          <w:rFonts w:ascii="仿宋_GB2312" w:hAnsi="仿宋_GB2312" w:cs="仿宋_GB2312"/>
        </w:rPr>
      </w:pPr>
      <w:r>
        <w:rPr>
          <w:rFonts w:hint="eastAsia" w:ascii="仿宋_GB2312" w:hAnsi="仿宋_GB2312" w:cs="仿宋_GB2312"/>
          <w:bCs/>
          <w:lang w:val="zh-CN"/>
        </w:rPr>
        <w:t>电商供应链实力保持领先。</w:t>
      </w:r>
      <w:r>
        <w:rPr>
          <w:rFonts w:hint="eastAsia" w:ascii="仿宋_GB2312" w:hAnsi="仿宋_GB2312" w:cs="仿宋_GB2312"/>
          <w:lang w:val="zh-CN"/>
        </w:rPr>
        <w:t>建成投用电商园区</w:t>
      </w:r>
      <w:r>
        <w:rPr>
          <w:rFonts w:hint="eastAsia" w:ascii="Times New Roman" w:hAnsi="Times New Roman" w:cs="仿宋_GB2312"/>
          <w:lang w:val="zh-CN"/>
        </w:rPr>
        <w:t>21</w:t>
      </w:r>
      <w:r>
        <w:rPr>
          <w:rFonts w:hint="eastAsia" w:ascii="仿宋_GB2312" w:hAnsi="仿宋_GB2312" w:cs="仿宋_GB2312"/>
          <w:lang w:val="zh-CN"/>
        </w:rPr>
        <w:t>个、乡镇服务站</w:t>
      </w:r>
      <w:r>
        <w:rPr>
          <w:rFonts w:hint="eastAsia" w:ascii="Times New Roman" w:hAnsi="Times New Roman" w:cs="仿宋_GB2312"/>
          <w:lang w:val="zh-CN"/>
        </w:rPr>
        <w:t>315</w:t>
      </w:r>
      <w:r>
        <w:rPr>
          <w:rFonts w:hint="eastAsia" w:ascii="仿宋_GB2312" w:hAnsi="仿宋_GB2312" w:cs="仿宋_GB2312"/>
          <w:lang w:val="zh-CN"/>
        </w:rPr>
        <w:t>个、村服务点</w:t>
      </w:r>
      <w:r>
        <w:rPr>
          <w:rFonts w:hint="eastAsia" w:ascii="Times New Roman" w:hAnsi="Times New Roman" w:cs="仿宋_GB2312"/>
          <w:lang w:val="zh-CN"/>
        </w:rPr>
        <w:t>3679</w:t>
      </w:r>
      <w:r>
        <w:rPr>
          <w:rFonts w:hint="eastAsia" w:ascii="仿宋_GB2312" w:hAnsi="仿宋_GB2312" w:cs="仿宋_GB2312"/>
          <w:lang w:val="zh-CN"/>
        </w:rPr>
        <w:t>个、城镇社区门店</w:t>
      </w:r>
      <w:r>
        <w:rPr>
          <w:rFonts w:hint="eastAsia" w:ascii="Times New Roman" w:hAnsi="Times New Roman" w:cs="仿宋_GB2312"/>
          <w:lang w:val="zh-CN"/>
        </w:rPr>
        <w:t>2000</w:t>
      </w:r>
      <w:r>
        <w:rPr>
          <w:rFonts w:hint="eastAsia" w:ascii="仿宋_GB2312" w:hAnsi="仿宋_GB2312" w:cs="仿宋_GB2312"/>
          <w:lang w:val="zh-CN"/>
        </w:rPr>
        <w:t>余个，电子商务公共服务网络基本覆盖市、县、乡、村四级。</w:t>
      </w:r>
      <w:r>
        <w:rPr>
          <w:rFonts w:hint="eastAsia" w:ascii="仿宋_GB2312" w:hAnsi="仿宋_GB2312" w:cs="仿宋_GB2312"/>
        </w:rPr>
        <w:t>现有网商</w:t>
      </w:r>
      <w:r>
        <w:rPr>
          <w:rFonts w:hint="eastAsia" w:ascii="Times New Roman" w:hAnsi="Times New Roman" w:cs="仿宋_GB2312"/>
          <w:lang w:val="en"/>
        </w:rPr>
        <w:t>35</w:t>
      </w:r>
      <w:r>
        <w:rPr>
          <w:rFonts w:hint="eastAsia" w:ascii="仿宋_GB2312" w:hAnsi="仿宋_GB2312" w:cs="仿宋_GB2312"/>
        </w:rPr>
        <w:t>万余家，直接从业人员</w:t>
      </w:r>
      <w:r>
        <w:rPr>
          <w:rFonts w:hint="eastAsia" w:ascii="Times New Roman" w:hAnsi="Times New Roman" w:cs="仿宋_GB2312"/>
          <w:lang w:val="en"/>
        </w:rPr>
        <w:t>50</w:t>
      </w:r>
      <w:r>
        <w:rPr>
          <w:rFonts w:hint="eastAsia" w:ascii="仿宋_GB2312" w:hAnsi="仿宋_GB2312" w:cs="仿宋_GB2312"/>
        </w:rPr>
        <w:t>万余人。</w:t>
      </w:r>
      <w:r>
        <w:rPr>
          <w:rFonts w:hint="eastAsia" w:ascii="仿宋_GB2312" w:hAnsi="仿宋_GB2312" w:cs="仿宋_GB2312"/>
          <w:lang w:val="zh-CN"/>
        </w:rPr>
        <w:t>“十三五”末，全市电商交易额</w:t>
      </w:r>
      <w:r>
        <w:rPr>
          <w:rFonts w:hint="eastAsia" w:ascii="仿宋_GB2312" w:hAnsi="仿宋_GB2312" w:cs="仿宋_GB2312"/>
        </w:rPr>
        <w:t>超</w:t>
      </w:r>
      <w:r>
        <w:rPr>
          <w:rFonts w:hint="eastAsia" w:ascii="Times New Roman" w:hAnsi="Times New Roman" w:cs="仿宋_GB2312"/>
          <w:lang w:val="zh-CN"/>
        </w:rPr>
        <w:t>2336</w:t>
      </w:r>
      <w:r>
        <w:rPr>
          <w:rFonts w:hint="eastAsia" w:ascii="仿宋_GB2312" w:hAnsi="仿宋_GB2312" w:cs="仿宋_GB2312"/>
          <w:lang w:val="zh-CN"/>
        </w:rPr>
        <w:t>亿元。</w:t>
      </w:r>
      <w:r>
        <w:rPr>
          <w:rFonts w:hint="eastAsia" w:ascii="仿宋_GB2312" w:hAnsi="仿宋_GB2312" w:cs="仿宋_GB2312"/>
        </w:rPr>
        <w:t>创建国家级电商进农村综合示范县</w:t>
      </w:r>
      <w:r>
        <w:rPr>
          <w:rFonts w:hint="eastAsia" w:ascii="Times New Roman" w:hAnsi="Times New Roman" w:cs="仿宋_GB2312"/>
          <w:lang w:val="en"/>
        </w:rPr>
        <w:t>8</w:t>
      </w:r>
      <w:r>
        <w:rPr>
          <w:rFonts w:hint="eastAsia" w:ascii="仿宋_GB2312" w:hAnsi="仿宋_GB2312" w:cs="仿宋_GB2312"/>
        </w:rPr>
        <w:t>个、省级示范县</w:t>
      </w:r>
      <w:r>
        <w:rPr>
          <w:rFonts w:hint="eastAsia" w:ascii="Times New Roman" w:hAnsi="Times New Roman" w:cs="仿宋_GB2312"/>
          <w:lang w:val="en"/>
        </w:rPr>
        <w:t>3</w:t>
      </w:r>
      <w:r>
        <w:rPr>
          <w:rFonts w:hint="eastAsia" w:ascii="仿宋_GB2312" w:hAnsi="仿宋_GB2312" w:cs="仿宋_GB2312"/>
        </w:rPr>
        <w:t>个、国家级示范县升级版</w:t>
      </w:r>
      <w:r>
        <w:rPr>
          <w:rFonts w:hint="eastAsia" w:ascii="Times New Roman" w:hAnsi="Times New Roman" w:cs="仿宋_GB2312"/>
          <w:lang w:val="en"/>
        </w:rPr>
        <w:t>3</w:t>
      </w:r>
      <w:r>
        <w:rPr>
          <w:rFonts w:hint="eastAsia" w:ascii="仿宋_GB2312" w:hAnsi="仿宋_GB2312" w:cs="仿宋_GB2312"/>
        </w:rPr>
        <w:t>个，示范县总数全省第一。设立老家镇平、水源西峡、淅有山川、桐柏云商、老家赊店、南都古召等区域公共品牌，南阳艾制品、西峡猕猴桃和香菇、方城黄金梨和蜂蜜、桐柏朱砂红桃和茶叶等产品热销全网。镇平县与淘宝合作建设全国第一个“淘宝珠宝”直播基地，入驻企业</w:t>
      </w:r>
      <w:r>
        <w:rPr>
          <w:rFonts w:hint="eastAsia" w:ascii="Times New Roman" w:hAnsi="Times New Roman" w:cs="仿宋_GB2312"/>
          <w:lang w:val="en"/>
        </w:rPr>
        <w:t>200</w:t>
      </w:r>
      <w:r>
        <w:rPr>
          <w:rFonts w:hint="eastAsia" w:ascii="仿宋_GB2312" w:hAnsi="仿宋_GB2312" w:cs="仿宋_GB2312"/>
        </w:rPr>
        <w:t>余家、销售额突破</w:t>
      </w:r>
      <w:r>
        <w:rPr>
          <w:rFonts w:hint="eastAsia" w:ascii="Times New Roman" w:hAnsi="Times New Roman" w:cs="仿宋_GB2312"/>
          <w:lang w:val="en"/>
        </w:rPr>
        <w:t>4</w:t>
      </w:r>
      <w:r>
        <w:rPr>
          <w:rFonts w:hint="eastAsia" w:ascii="仿宋_GB2312" w:hAnsi="仿宋_GB2312" w:cs="仿宋_GB2312"/>
        </w:rPr>
        <w:t>亿，西峡县龙成集团旗下钢易网线上交易额突破</w:t>
      </w:r>
      <w:r>
        <w:rPr>
          <w:rFonts w:hint="eastAsia" w:ascii="Times New Roman" w:hAnsi="Times New Roman" w:cs="仿宋_GB2312"/>
          <w:lang w:val="en"/>
        </w:rPr>
        <w:t>2</w:t>
      </w:r>
      <w:r>
        <w:rPr>
          <w:rFonts w:hint="eastAsia" w:ascii="仿宋_GB2312" w:hAnsi="仿宋_GB2312" w:cs="仿宋_GB2312"/>
        </w:rPr>
        <w:t>亿元。</w:t>
      </w:r>
    </w:p>
    <w:p>
      <w:pPr>
        <w:spacing w:line="560" w:lineRule="exact"/>
        <w:ind w:firstLine="640" w:firstLineChars="200"/>
        <w:contextualSpacing/>
        <w:rPr>
          <w:rFonts w:ascii="仿宋_GB2312" w:hAnsi="仿宋_GB2312" w:cs="仿宋_GB2312"/>
        </w:rPr>
      </w:pPr>
      <w:r>
        <w:rPr>
          <w:rFonts w:hint="eastAsia" w:ascii="仿宋_GB2312" w:hAnsi="仿宋_GB2312" w:cs="仿宋_GB2312"/>
          <w:bCs/>
          <w:lang w:val="zh-CN"/>
        </w:rPr>
        <w:t>全球供应链布局不断拓展。</w:t>
      </w:r>
      <w:r>
        <w:rPr>
          <w:rFonts w:hint="eastAsia" w:ascii="仿宋_GB2312" w:hAnsi="仿宋_GB2312" w:cs="仿宋_GB2312"/>
        </w:rPr>
        <w:t>卧龙综合保税区封关运行，加工、保税、物流、仓储、国际中转、交易等功能日趋完善，逐步成为连接东部沿海与内陆腹地的中转枢纽和国际经济合作平台。“西峡县食用菌外贸转型升级基地”和“西峡县复合材料外贸转型升级基地”升格为国家级。“宛-西-欧”“宛-渝-欧”及南阳与俄罗斯、中亚间“中欧班列”、南阳至青岛、宁波舟山港铁海联运线路成功开通。跨境电商线上综合服务平台建成投用，开通跨境电商</w:t>
      </w:r>
      <w:r>
        <w:rPr>
          <w:rFonts w:hint="eastAsia" w:ascii="Times New Roman" w:hAnsi="Times New Roman" w:cs="仿宋_GB2312"/>
          <w:lang w:val="en"/>
        </w:rPr>
        <w:t>9610</w:t>
      </w:r>
      <w:r>
        <w:rPr>
          <w:rFonts w:hint="eastAsia" w:ascii="仿宋_GB2312" w:hAnsi="仿宋_GB2312" w:cs="仿宋_GB2312"/>
          <w:lang w:val="en"/>
        </w:rPr>
        <w:t>、</w:t>
      </w:r>
      <w:r>
        <w:rPr>
          <w:rFonts w:hint="eastAsia" w:ascii="Times New Roman" w:hAnsi="Times New Roman" w:cs="仿宋_GB2312"/>
          <w:lang w:val="en"/>
        </w:rPr>
        <w:t>9710</w:t>
      </w:r>
      <w:r>
        <w:rPr>
          <w:rFonts w:hint="eastAsia" w:ascii="仿宋_GB2312" w:hAnsi="仿宋_GB2312" w:cs="仿宋_GB2312"/>
          <w:lang w:val="en"/>
        </w:rPr>
        <w:t>、</w:t>
      </w:r>
      <w:r>
        <w:rPr>
          <w:rFonts w:hint="eastAsia" w:ascii="Times New Roman" w:hAnsi="Times New Roman" w:cs="仿宋_GB2312"/>
          <w:lang w:val="en"/>
        </w:rPr>
        <w:t>9810</w:t>
      </w:r>
      <w:r>
        <w:rPr>
          <w:rFonts w:hint="eastAsia" w:ascii="仿宋_GB2312" w:hAnsi="仿宋_GB2312" w:cs="仿宋_GB2312"/>
          <w:lang w:val="en"/>
        </w:rPr>
        <w:t>、</w:t>
      </w:r>
      <w:r>
        <w:rPr>
          <w:rFonts w:hint="eastAsia" w:ascii="Times New Roman" w:hAnsi="Times New Roman" w:cs="仿宋_GB2312"/>
          <w:lang w:val="en"/>
        </w:rPr>
        <w:t>1210</w:t>
      </w:r>
      <w:r>
        <w:rPr>
          <w:rFonts w:hint="eastAsia" w:ascii="仿宋_GB2312" w:hAnsi="仿宋_GB2312" w:cs="仿宋_GB2312"/>
        </w:rPr>
        <w:t>模式，跨境电商交易额位居全省第三位，我市被国务院批准为跨境电子商务综合试验区，被商务部等六部委批准为跨境电商零售进口试点城市。一批龙头骨干企业跨境拓链，提升供应链国际化水平，</w:t>
      </w:r>
      <w:r>
        <w:rPr>
          <w:rFonts w:hint="eastAsia" w:ascii="Times New Roman" w:hAnsi="Times New Roman" w:cs="仿宋_GB2312"/>
        </w:rPr>
        <w:t>2020</w:t>
      </w:r>
      <w:r>
        <w:rPr>
          <w:rFonts w:hint="eastAsia" w:ascii="仿宋_GB2312" w:hAnsi="仿宋_GB2312" w:cs="仿宋_GB2312"/>
        </w:rPr>
        <w:t>年全市完成</w:t>
      </w:r>
      <w:r>
        <w:rPr>
          <w:rFonts w:hint="eastAsia" w:ascii="仿宋_GB2312" w:hAnsi="仿宋_GB2312" w:cs="仿宋_GB2312"/>
          <w:lang w:val="zh-CN"/>
        </w:rPr>
        <w:t>对外直接投资</w:t>
      </w:r>
      <w:r>
        <w:rPr>
          <w:rFonts w:hint="eastAsia" w:ascii="Times New Roman" w:hAnsi="Times New Roman" w:cs="仿宋_GB2312"/>
          <w:lang w:val="zh-CN"/>
        </w:rPr>
        <w:t>0</w:t>
      </w:r>
      <w:r>
        <w:rPr>
          <w:rFonts w:hint="eastAsia" w:ascii="仿宋_GB2312" w:hAnsi="仿宋_GB2312" w:cs="仿宋_GB2312"/>
          <w:lang w:val="zh-CN"/>
        </w:rPr>
        <w:t>.</w:t>
      </w:r>
      <w:r>
        <w:rPr>
          <w:rFonts w:hint="eastAsia" w:ascii="Times New Roman" w:hAnsi="Times New Roman" w:cs="仿宋_GB2312"/>
          <w:lang w:val="zh-CN"/>
        </w:rPr>
        <w:t>99</w:t>
      </w:r>
      <w:r>
        <w:rPr>
          <w:rFonts w:hint="eastAsia" w:ascii="仿宋_GB2312" w:hAnsi="仿宋_GB2312" w:cs="仿宋_GB2312"/>
          <w:lang w:val="zh-CN"/>
        </w:rPr>
        <w:t>亿美元</w:t>
      </w:r>
      <w:r>
        <w:rPr>
          <w:rFonts w:hint="eastAsia" w:ascii="仿宋_GB2312" w:hAnsi="仿宋_GB2312" w:cs="仿宋_GB2312"/>
        </w:rPr>
        <w:t>。</w:t>
      </w:r>
    </w:p>
    <w:p>
      <w:pPr>
        <w:pStyle w:val="8"/>
        <w:spacing w:line="560" w:lineRule="exact"/>
        <w:ind w:firstLine="640"/>
        <w:contextualSpacing/>
        <w:jc w:val="center"/>
        <w:rPr>
          <w:rFonts w:ascii="楷体_GB2312" w:hAnsi="楷体_GB2312" w:eastAsia="楷体_GB2312" w:cs="楷体_GB2312"/>
          <w:b w:val="0"/>
        </w:rPr>
      </w:pPr>
      <w:bookmarkStart w:id="1090" w:name="_Toc2036687909"/>
      <w:bookmarkStart w:id="1091" w:name="_Toc581444098"/>
      <w:r>
        <w:rPr>
          <w:rFonts w:hint="eastAsia" w:ascii="楷体_GB2312" w:hAnsi="楷体_GB2312" w:eastAsia="楷体_GB2312" w:cs="楷体_GB2312"/>
          <w:b w:val="0"/>
          <w:lang w:val="zh-CN"/>
        </w:rPr>
        <w:t xml:space="preserve">第二节 </w:t>
      </w:r>
      <w:r>
        <w:rPr>
          <w:rFonts w:hint="eastAsia" w:ascii="楷体_GB2312" w:hAnsi="楷体_GB2312" w:eastAsia="楷体_GB2312" w:cs="楷体_GB2312"/>
          <w:b w:val="0"/>
        </w:rPr>
        <w:t>面临形势</w:t>
      </w:r>
      <w:bookmarkEnd w:id="1090"/>
      <w:bookmarkEnd w:id="1091"/>
    </w:p>
    <w:p>
      <w:pPr>
        <w:spacing w:line="560" w:lineRule="exact"/>
        <w:ind w:firstLine="640" w:firstLineChars="200"/>
        <w:contextualSpacing/>
        <w:rPr>
          <w:rFonts w:ascii="仿宋_GB2312" w:hAnsi="仿宋_GB2312" w:cs="仿宋_GB2312"/>
        </w:rPr>
      </w:pPr>
      <w:r>
        <w:rPr>
          <w:rFonts w:hint="eastAsia" w:ascii="仿宋_GB2312" w:hAnsi="仿宋_GB2312" w:cs="仿宋_GB2312"/>
        </w:rPr>
        <w:t>我市供应链发展整体仍处于自发状态和起步阶段，发展理念、平台设施、组织方式、技术水平、综合能效等方面与先进地区差距很大。大部分企业习惯采用传统的纵向一体化管理方式直接控制企业资源，缺乏外包非核心业务的供应链思维和上中下游协作意识。国际国内供应链格局加速调整，给我市供应链稳定带来挑战，缺“芯”缺“箱”、关键原材料涨价、断供等风险犹存。供应链平台设施和标准体系不够完善，公共服务平台和专业化平台数量不多、功能不强。供应链创新发展环境亟待优化，跨部门协同、多级政府联动的治理方式尚未建立，相关支持政策体系等需要进一步完善。</w:t>
      </w:r>
    </w:p>
    <w:p>
      <w:pPr>
        <w:spacing w:line="560" w:lineRule="exact"/>
        <w:ind w:firstLine="640"/>
        <w:contextualSpacing/>
        <w:rPr>
          <w:rFonts w:ascii="仿宋_GB2312" w:hAnsi="仿宋_GB2312" w:cs="仿宋_GB2312"/>
        </w:rPr>
      </w:pPr>
      <w:r>
        <w:rPr>
          <w:rFonts w:hint="eastAsia" w:ascii="仿宋_GB2312" w:hAnsi="仿宋_GB2312" w:cs="仿宋_GB2312"/>
        </w:rPr>
        <w:t>与此同时，也要看到我们所面临的系列重要机遇，坚定信心、抢抓机遇、加快发展。</w:t>
      </w:r>
    </w:p>
    <w:p>
      <w:pPr>
        <w:spacing w:line="560" w:lineRule="exact"/>
        <w:ind w:firstLine="640"/>
        <w:contextualSpacing/>
        <w:rPr>
          <w:rFonts w:ascii="仿宋_GB2312" w:hAnsi="仿宋_GB2312" w:cs="仿宋_GB2312"/>
        </w:rPr>
      </w:pPr>
      <w:r>
        <w:rPr>
          <w:rFonts w:hint="eastAsia" w:ascii="仿宋_GB2312" w:hAnsi="仿宋_GB2312" w:cs="仿宋_GB2312"/>
          <w:bCs/>
          <w:lang w:val="zh-CN"/>
        </w:rPr>
        <w:t>建设副中心城市对现代供应链提出更高要求。</w:t>
      </w:r>
      <w:r>
        <w:rPr>
          <w:rFonts w:hint="eastAsia" w:ascii="仿宋_GB2312" w:hAnsi="仿宋_GB2312" w:cs="仿宋_GB2312"/>
        </w:rPr>
        <w:t>省第十一次党代会明确“支持南阳建设河南省副中心城市”，这既是我市加快发展的重大战略机遇，也对我们提出了协同信阳、驻马店，辐射带动周边等更高要求。我市加快发展现代供应链，是以市场化方式推进供给侧结构性改革的重要抓手，是以产业跨界与融合发展培育新动能的重要领域，是促进降本增效、有效配置资源、加快产业升级的重要途径，更是示范带动豫南高效生态经济示范区经济发展质量变革、效率变革、动力变革的内在要求。我们必须抢抓现代供应链体系建设机遇，培育一批行业带动能力强的供应链龙头企业，形成一批行业领先的绿色供应链技术和模式，建设一批整合能力强、协同效率高的供应链平台，打造一批体系完整、具有较强竞争力的供应链产业集群，积累一批可复制推广的供应链创新与使用实践经验。</w:t>
      </w:r>
    </w:p>
    <w:p>
      <w:pPr>
        <w:spacing w:line="560" w:lineRule="exact"/>
        <w:ind w:firstLine="640"/>
        <w:contextualSpacing/>
        <w:rPr>
          <w:rFonts w:ascii="仿宋_GB2312" w:hAnsi="仿宋_GB2312" w:cs="仿宋_GB2312"/>
        </w:rPr>
      </w:pPr>
      <w:r>
        <w:rPr>
          <w:rFonts w:hint="eastAsia" w:ascii="仿宋_GB2312" w:hAnsi="仿宋_GB2312" w:cs="仿宋_GB2312"/>
          <w:bCs/>
          <w:lang w:val="zh-CN"/>
        </w:rPr>
        <w:t>构建新发展格局为发展现代供应链指明方向。</w:t>
      </w:r>
      <w:r>
        <w:rPr>
          <w:rFonts w:hint="eastAsia" w:ascii="仿宋_GB2312" w:hAnsi="仿宋_GB2312" w:cs="仿宋_GB2312"/>
          <w:lang w:val="zh-CN"/>
        </w:rPr>
        <w:t>大国战略博弈叠加新冠肺炎疫情全球蔓延，单边主义和保护主义抬头，经济全球化遭遇逆流，世界经济供需两侧同时受到冲击，</w:t>
      </w:r>
      <w:r>
        <w:rPr>
          <w:rFonts w:hint="eastAsia" w:ascii="仿宋_GB2312" w:hAnsi="仿宋_GB2312" w:cs="仿宋_GB2312"/>
        </w:rPr>
        <w:t>全球产业链供应链布局加快调整</w:t>
      </w:r>
      <w:r>
        <w:rPr>
          <w:rFonts w:hint="eastAsia" w:ascii="仿宋_GB2312" w:hAnsi="仿宋_GB2312" w:cs="仿宋_GB2312"/>
          <w:lang w:val="zh-CN"/>
        </w:rPr>
        <w:t>。</w:t>
      </w:r>
      <w:r>
        <w:rPr>
          <w:rFonts w:hint="eastAsia" w:ascii="仿宋_GB2312" w:hAnsi="仿宋_GB2312" w:cs="仿宋_GB2312"/>
        </w:rPr>
        <w:t>国家致力于构建以国内大循环为主体、国内国际双循环相互促进的发展格局，将持续提升产业链供应链完整性和现代化水平，提升供给体系与国内需求的适配性，最终形成需求牵引供给、供给创造需求的更高水平动态平衡。我市市场空间广阔、人力资源丰富、产业门类齐全、农产品供给能力突出、城镇化潜力巨大，具备打造现代供应链的基础和优势。我们必须依托全国性综合交通枢纽、商贸服务型国家物流枢纽建设，加快新格局、双循环，成为双循环的重要衔接，形成引领区域经济高质量发展的重要增长极。</w:t>
      </w:r>
    </w:p>
    <w:p>
      <w:pPr>
        <w:spacing w:line="560" w:lineRule="exact"/>
        <w:ind w:firstLine="640"/>
        <w:contextualSpacing/>
        <w:rPr>
          <w:rFonts w:ascii="仿宋_GB2312" w:hAnsi="仿宋_GB2312" w:cs="仿宋_GB2312"/>
        </w:rPr>
      </w:pPr>
      <w:r>
        <w:rPr>
          <w:rFonts w:hint="eastAsia" w:ascii="仿宋_GB2312" w:hAnsi="仿宋_GB2312" w:cs="仿宋_GB2312"/>
          <w:bCs/>
          <w:lang w:val="zh-CN"/>
        </w:rPr>
        <w:t>产业变革</w:t>
      </w:r>
      <w:r>
        <w:rPr>
          <w:rFonts w:hint="eastAsia" w:ascii="仿宋_GB2312" w:hAnsi="仿宋_GB2312" w:cs="仿宋_GB2312"/>
          <w:bCs/>
        </w:rPr>
        <w:t>为</w:t>
      </w:r>
      <w:r>
        <w:rPr>
          <w:rFonts w:hint="eastAsia" w:ascii="仿宋_GB2312" w:hAnsi="仿宋_GB2312" w:cs="仿宋_GB2312"/>
          <w:bCs/>
          <w:lang w:val="zh-CN"/>
        </w:rPr>
        <w:t>现代供应链注入新的发展动能。</w:t>
      </w:r>
      <w:r>
        <w:rPr>
          <w:rFonts w:hint="eastAsia" w:ascii="仿宋_GB2312" w:hAnsi="仿宋_GB2312" w:cs="仿宋_GB2312"/>
        </w:rPr>
        <w:t>新旧动能转换速度加快，以新技术、新产业、新业态、新模式为代表的新动能不断发力，数字经济、共享经济、平台经济等新型经济快速成长。我市正处在转型攻坚、爬坡过坎的紧要时期，发展不平衡不充分的问题仍然突出。制造业占</w:t>
      </w:r>
      <w:r>
        <w:rPr>
          <w:rFonts w:hint="eastAsia" w:ascii="仿宋_GB2312" w:hAnsi="仿宋_GB2312" w:cs="仿宋_GB2312"/>
          <w:lang w:val="en"/>
        </w:rPr>
        <w:t>GDP</w:t>
      </w:r>
      <w:r>
        <w:rPr>
          <w:rFonts w:hint="eastAsia" w:ascii="仿宋_GB2312" w:hAnsi="仿宋_GB2312" w:cs="仿宋_GB2312"/>
        </w:rPr>
        <w:t>比重仅为</w:t>
      </w:r>
      <w:r>
        <w:rPr>
          <w:rFonts w:hint="eastAsia" w:ascii="Times New Roman" w:hAnsi="Times New Roman" w:cs="仿宋_GB2312"/>
          <w:lang w:val="en"/>
        </w:rPr>
        <w:t>21</w:t>
      </w:r>
      <w:r>
        <w:rPr>
          <w:rFonts w:hint="eastAsia" w:ascii="仿宋_GB2312" w:hAnsi="仿宋_GB2312" w:cs="仿宋_GB2312"/>
          <w:lang w:val="en"/>
        </w:rPr>
        <w:t>.</w:t>
      </w:r>
      <w:r>
        <w:rPr>
          <w:rFonts w:hint="eastAsia" w:ascii="Times New Roman" w:hAnsi="Times New Roman" w:cs="仿宋_GB2312"/>
          <w:lang w:val="en"/>
        </w:rPr>
        <w:t>5</w:t>
      </w:r>
      <w:r>
        <w:rPr>
          <w:rFonts w:hint="eastAsia" w:ascii="仿宋_GB2312" w:hAnsi="仿宋_GB2312" w:cs="仿宋_GB2312"/>
          <w:lang w:val="en"/>
        </w:rPr>
        <w:t>%</w:t>
      </w:r>
      <w:r>
        <w:rPr>
          <w:rFonts w:hint="eastAsia" w:ascii="仿宋_GB2312" w:hAnsi="仿宋_GB2312" w:cs="仿宋_GB2312"/>
        </w:rPr>
        <w:t>，对全市经济的支撑作用不够明显，全市规模以上工业企业仅有</w:t>
      </w:r>
      <w:r>
        <w:rPr>
          <w:rFonts w:hint="eastAsia" w:ascii="Times New Roman" w:hAnsi="Times New Roman" w:cs="仿宋_GB2312"/>
          <w:lang w:val="en"/>
        </w:rPr>
        <w:t>1460</w:t>
      </w:r>
      <w:r>
        <w:rPr>
          <w:rFonts w:hint="eastAsia" w:ascii="仿宋_GB2312" w:hAnsi="仿宋_GB2312" w:cs="仿宋_GB2312"/>
        </w:rPr>
        <w:t>家，超百亿的只有</w:t>
      </w:r>
      <w:r>
        <w:rPr>
          <w:rFonts w:hint="eastAsia" w:ascii="Times New Roman" w:hAnsi="Times New Roman" w:cs="仿宋_GB2312"/>
          <w:lang w:val="en"/>
        </w:rPr>
        <w:t>2</w:t>
      </w:r>
      <w:r>
        <w:rPr>
          <w:rFonts w:hint="eastAsia" w:ascii="仿宋_GB2312" w:hAnsi="仿宋_GB2312" w:cs="仿宋_GB2312"/>
        </w:rPr>
        <w:t>家。战略性新兴产业不到</w:t>
      </w:r>
      <w:r>
        <w:rPr>
          <w:rFonts w:hint="eastAsia" w:ascii="Times New Roman" w:hAnsi="Times New Roman" w:cs="仿宋_GB2312"/>
        </w:rPr>
        <w:t>4</w:t>
      </w:r>
      <w:r>
        <w:rPr>
          <w:rFonts w:hint="eastAsia" w:ascii="仿宋_GB2312" w:hAnsi="仿宋_GB2312" w:cs="仿宋_GB2312"/>
        </w:rPr>
        <w:t>成，大部分制造业处在供应链前端、价值链低端，产业链条短，产品附加值低，知名品牌、优质产品较少，占领行业制高点的高精尖技术不多。这就要求我们把现代供应链建设摆在更加突出的位置，弥补供应链短板、谋划供应链布局，以健全现代供应链提升产业发展韧性和综合竞争力，推动产业加速进入中高端、成为关键环。</w:t>
      </w:r>
    </w:p>
    <w:p>
      <w:pPr>
        <w:spacing w:line="560" w:lineRule="exact"/>
        <w:ind w:firstLine="640"/>
        <w:contextualSpacing/>
        <w:rPr>
          <w:rFonts w:ascii="仿宋_GB2312" w:hAnsi="仿宋_GB2312" w:cs="仿宋_GB2312"/>
        </w:rPr>
      </w:pPr>
      <w:r>
        <w:rPr>
          <w:rFonts w:hint="eastAsia" w:ascii="仿宋_GB2312" w:hAnsi="仿宋_GB2312" w:cs="仿宋_GB2312"/>
          <w:bCs/>
          <w:lang w:val="zh-CN"/>
        </w:rPr>
        <w:t>产业数字化技术向现代供应链深度渗透。</w:t>
      </w:r>
      <w:r>
        <w:rPr>
          <w:rFonts w:hint="eastAsia" w:ascii="仿宋_GB2312" w:hAnsi="仿宋_GB2312" w:cs="仿宋_GB2312"/>
        </w:rPr>
        <w:t>数字化、网络化、智能化为主导的新一轮科技革命已是大势所趋，并加速从市场消费端渗透至供应链各环节。大数据、云计算、人工智能、物联网、区块链、</w:t>
      </w:r>
      <w:r>
        <w:rPr>
          <w:rFonts w:hint="eastAsia" w:ascii="Times New Roman" w:hAnsi="Times New Roman" w:cs="仿宋_GB2312"/>
          <w:lang w:val="en"/>
        </w:rPr>
        <w:t>5</w:t>
      </w:r>
      <w:r>
        <w:rPr>
          <w:rFonts w:hint="eastAsia" w:ascii="仿宋_GB2312" w:hAnsi="仿宋_GB2312" w:cs="仿宋_GB2312"/>
          <w:lang w:val="en"/>
        </w:rPr>
        <w:t>G</w:t>
      </w:r>
      <w:r>
        <w:rPr>
          <w:rFonts w:hint="eastAsia" w:ascii="仿宋_GB2312" w:hAnsi="仿宋_GB2312" w:cs="仿宋_GB2312"/>
        </w:rPr>
        <w:t>等先进技术应用日趋成熟，必将加快企业全链全程数字化转型，逐步形成无缝链接、高效协同的数字供应链合作生态。我市工业互联网、物联网等产业数字化概念尚未全面普及，产业智能化水平偏低，这就要求我们大力推进现代信息技术与供应链深度融合，以技术革新促进供应链管理模式、组织模式、发展模式的优化升级，实现研发设计、生产组织、市场销售等环节快速响应、精准匹配，提升供应链整体运行效能和企业质量效益。</w:t>
      </w:r>
    </w:p>
    <w:p>
      <w:pPr>
        <w:pStyle w:val="7"/>
        <w:spacing w:line="560" w:lineRule="exact"/>
        <w:contextualSpacing/>
        <w:jc w:val="center"/>
        <w:rPr>
          <w:rFonts w:ascii="黑体" w:hAnsi="仿宋" w:cs="仿宋"/>
          <w:b w:val="0"/>
          <w:szCs w:val="32"/>
          <w:lang w:val="zh-CN" w:bidi="zh-CN"/>
        </w:rPr>
      </w:pPr>
      <w:bookmarkStart w:id="1092" w:name="_Toc1015279568"/>
      <w:bookmarkStart w:id="1093" w:name="_Toc1496866885"/>
      <w:bookmarkStart w:id="1094" w:name="_Toc1579974186"/>
      <w:r>
        <w:rPr>
          <w:rFonts w:hint="eastAsia"/>
          <w:b w:val="0"/>
          <w:lang w:val="zh-CN"/>
        </w:rPr>
        <w:t>第</w:t>
      </w:r>
      <w:r>
        <w:rPr>
          <w:b w:val="0"/>
          <w:lang w:val="zh-CN"/>
        </w:rPr>
        <w:t>二</w:t>
      </w:r>
      <w:r>
        <w:rPr>
          <w:rFonts w:hint="eastAsia"/>
          <w:b w:val="0"/>
          <w:lang w:val="zh-CN"/>
        </w:rPr>
        <w:t xml:space="preserve">章 </w:t>
      </w:r>
      <w:r>
        <w:rPr>
          <w:b w:val="0"/>
          <w:lang w:val="zh-CN"/>
        </w:rPr>
        <w:t>总体要求和发展目标</w:t>
      </w:r>
      <w:bookmarkEnd w:id="1092"/>
      <w:bookmarkEnd w:id="1093"/>
      <w:bookmarkEnd w:id="1094"/>
    </w:p>
    <w:p>
      <w:pPr>
        <w:pStyle w:val="8"/>
        <w:spacing w:line="560" w:lineRule="exact"/>
        <w:ind w:firstLine="640"/>
        <w:contextualSpacing/>
        <w:jc w:val="center"/>
        <w:rPr>
          <w:rFonts w:ascii="楷体_GB2312" w:hAnsi="楷体_GB2312" w:eastAsia="楷体_GB2312" w:cs="楷体_GB2312"/>
          <w:b w:val="0"/>
          <w:lang w:val="zh-CN"/>
        </w:rPr>
      </w:pPr>
      <w:bookmarkStart w:id="1095" w:name="_Toc1942857884"/>
      <w:bookmarkStart w:id="1096" w:name="_Toc725235975"/>
      <w:r>
        <w:rPr>
          <w:rFonts w:hint="eastAsia" w:ascii="楷体_GB2312" w:hAnsi="楷体_GB2312" w:eastAsia="楷体_GB2312" w:cs="楷体_GB2312"/>
          <w:b w:val="0"/>
        </w:rPr>
        <w:t>第</w:t>
      </w:r>
      <w:r>
        <w:rPr>
          <w:rFonts w:hint="eastAsia" w:ascii="楷体_GB2312" w:hAnsi="楷体_GB2312" w:eastAsia="楷体_GB2312" w:cs="楷体_GB2312"/>
          <w:b w:val="0"/>
          <w:lang w:val="zh-CN"/>
        </w:rPr>
        <w:t>一节 总体要求</w:t>
      </w:r>
      <w:bookmarkEnd w:id="1095"/>
      <w:bookmarkEnd w:id="1096"/>
    </w:p>
    <w:p>
      <w:pPr>
        <w:spacing w:line="560" w:lineRule="exact"/>
        <w:ind w:firstLine="640" w:firstLineChars="200"/>
        <w:contextualSpacing/>
        <w:rPr>
          <w:rFonts w:ascii="Times New Roman" w:hAnsi="Times New Roman"/>
        </w:rPr>
      </w:pPr>
      <w:r>
        <w:rPr>
          <w:rFonts w:hint="eastAsia" w:ascii="Times New Roman" w:hAnsi="Times New Roman"/>
        </w:rPr>
        <w:t>坚持</w:t>
      </w:r>
      <w:r>
        <w:rPr>
          <w:rFonts w:ascii="Times New Roman" w:hAnsi="Times New Roman"/>
        </w:rPr>
        <w:t>以习近平新时代中国特色社会主义思想为指导，深入贯彻党的十九大和十九届</w:t>
      </w:r>
      <w:r>
        <w:rPr>
          <w:rFonts w:hint="eastAsia" w:ascii="Times New Roman" w:hAnsi="Times New Roman"/>
        </w:rPr>
        <w:t>历次</w:t>
      </w:r>
      <w:r>
        <w:rPr>
          <w:rFonts w:ascii="Times New Roman" w:hAnsi="Times New Roman"/>
        </w:rPr>
        <w:t>全会精神，</w:t>
      </w:r>
      <w:r>
        <w:rPr>
          <w:rFonts w:hint="eastAsia" w:ascii="Times New Roman" w:hAnsi="Times New Roman"/>
        </w:rPr>
        <w:t>认真落实省、市党代会安排部署，完整准确全面</w:t>
      </w:r>
      <w:r>
        <w:rPr>
          <w:rFonts w:ascii="Times New Roman" w:hAnsi="Times New Roman"/>
        </w:rPr>
        <w:t>贯彻新发展理念、</w:t>
      </w:r>
      <w:r>
        <w:rPr>
          <w:rFonts w:hint="eastAsia" w:ascii="Times New Roman" w:hAnsi="Times New Roman"/>
        </w:rPr>
        <w:t>积极对接融入</w:t>
      </w:r>
      <w:r>
        <w:rPr>
          <w:rFonts w:ascii="Times New Roman" w:hAnsi="Times New Roman"/>
        </w:rPr>
        <w:t>新发展格局，</w:t>
      </w:r>
      <w:r>
        <w:rPr>
          <w:rFonts w:hint="eastAsia" w:ascii="Times New Roman" w:hAnsi="Times New Roman"/>
        </w:rPr>
        <w:t>以数智化、绿色化、自主化、可控化为方向，以完善网络、搭建平台、畅通金融为路径，创新发展供应链新理念、新技术、新业态、新模式，实施供应链重点领域八大战略，着力提升供应链现代化水平，打造高效协同、安全可控的现代供应链体系，建设先进制造业供应链资源配置中心、现代服务业供应链组织管理中心、“一带一路”重要的供应链物流中心和全国供应链创新应用先行区。</w:t>
      </w:r>
    </w:p>
    <w:p>
      <w:pPr>
        <w:pStyle w:val="8"/>
        <w:spacing w:line="560" w:lineRule="exact"/>
        <w:ind w:firstLine="640"/>
        <w:contextualSpacing/>
        <w:jc w:val="center"/>
        <w:rPr>
          <w:rFonts w:ascii="楷体_GB2312" w:hAnsi="楷体_GB2312" w:eastAsia="楷体_GB2312" w:cs="楷体_GB2312"/>
          <w:b w:val="0"/>
          <w:lang w:val="zh-CN"/>
        </w:rPr>
      </w:pPr>
      <w:bookmarkStart w:id="1097" w:name="_Toc163355805"/>
      <w:bookmarkStart w:id="1098" w:name="_Toc795192660"/>
      <w:r>
        <w:rPr>
          <w:rFonts w:hint="eastAsia" w:ascii="楷体_GB2312" w:hAnsi="楷体_GB2312" w:eastAsia="楷体_GB2312" w:cs="楷体_GB2312"/>
          <w:b w:val="0"/>
        </w:rPr>
        <w:t>第</w:t>
      </w:r>
      <w:r>
        <w:rPr>
          <w:rFonts w:hint="eastAsia" w:ascii="楷体_GB2312" w:hAnsi="楷体_GB2312" w:eastAsia="楷体_GB2312" w:cs="楷体_GB2312"/>
          <w:b w:val="0"/>
          <w:lang w:val="zh-CN"/>
        </w:rPr>
        <w:t>二节 基本原则</w:t>
      </w:r>
      <w:bookmarkEnd w:id="1097"/>
      <w:bookmarkEnd w:id="1098"/>
    </w:p>
    <w:p>
      <w:pPr>
        <w:spacing w:line="560" w:lineRule="exact"/>
        <w:ind w:firstLine="640" w:firstLineChars="200"/>
        <w:contextualSpacing/>
        <w:rPr>
          <w:rFonts w:ascii="仿宋_GB2312" w:hAnsi="仿宋_GB2312" w:cs="仿宋_GB2312"/>
        </w:rPr>
      </w:pPr>
      <w:r>
        <w:rPr>
          <w:rFonts w:hint="eastAsia" w:ascii="仿宋_GB2312" w:hAnsi="仿宋_GB2312" w:cs="仿宋_GB2312"/>
          <w:bCs/>
          <w:lang w:val="zh-CN"/>
        </w:rPr>
        <w:t>问题导向，需求驱动。</w:t>
      </w:r>
      <w:r>
        <w:rPr>
          <w:rFonts w:hint="eastAsia" w:ascii="仿宋_GB2312" w:hAnsi="仿宋_GB2312" w:cs="仿宋_GB2312"/>
        </w:rPr>
        <w:t>围绕当前产业发展中存在的产能过剩、供需错配、创新不足、效率较低等问题，充分发挥人口大市的消费潜力，以满足人民美好生活需求为驱动，积极推进重要产业供应链延链补链强链，培育经济发展新动能，推动形成协同发展、优质高效的产业供应链体系，推动形成支撑中高端消费的市场体系。</w:t>
      </w:r>
    </w:p>
    <w:p>
      <w:pPr>
        <w:spacing w:line="560" w:lineRule="exact"/>
        <w:ind w:firstLine="640" w:firstLineChars="200"/>
        <w:contextualSpacing/>
        <w:rPr>
          <w:rFonts w:ascii="仿宋_GB2312" w:hAnsi="仿宋_GB2312" w:cs="仿宋_GB2312"/>
        </w:rPr>
      </w:pPr>
      <w:r>
        <w:rPr>
          <w:rFonts w:hint="eastAsia" w:ascii="仿宋_GB2312" w:hAnsi="仿宋_GB2312" w:cs="仿宋_GB2312"/>
          <w:bCs/>
          <w:lang w:val="zh-CN"/>
        </w:rPr>
        <w:t>企业主体，政府主导。</w:t>
      </w:r>
      <w:r>
        <w:rPr>
          <w:rFonts w:hint="eastAsia" w:ascii="仿宋_GB2312" w:hAnsi="仿宋_GB2312" w:cs="仿宋_GB2312"/>
        </w:rPr>
        <w:t>发挥企业主体作用，推动供应链技术创新、模式创新和业态创新，夯实基础设施建设，营造良好的供应链合作环境。发挥政府职能作用，加强政府的规划引导、政策扶持、公共服务，优化监管服务，引导社会资源优化配置，加快我市供应链现代化发展步伐。</w:t>
      </w:r>
    </w:p>
    <w:p>
      <w:pPr>
        <w:spacing w:line="560" w:lineRule="exact"/>
        <w:ind w:firstLine="640" w:firstLineChars="200"/>
        <w:contextualSpacing/>
        <w:rPr>
          <w:rFonts w:ascii="仿宋_GB2312" w:hAnsi="仿宋_GB2312" w:cs="仿宋_GB2312"/>
        </w:rPr>
      </w:pPr>
      <w:r>
        <w:rPr>
          <w:rFonts w:hint="eastAsia" w:ascii="仿宋_GB2312" w:hAnsi="仿宋_GB2312" w:cs="仿宋_GB2312"/>
          <w:bCs/>
          <w:lang w:val="zh-CN"/>
        </w:rPr>
        <w:t>立足优势，内外协同。</w:t>
      </w:r>
      <w:r>
        <w:rPr>
          <w:rFonts w:hint="eastAsia" w:ascii="仿宋_GB2312" w:hAnsi="仿宋_GB2312" w:cs="仿宋_GB2312"/>
        </w:rPr>
        <w:t>充分发挥经济大市、生态大市、农业大市等比较优势，用足用好国内国际两个市场、两种资源，让更多企业、产品、服务进入到国内大循环和国内国际双循环的关键环节。加强区域间、产业间、部门间协同联动，实现信息、资源、技术、成果共享共用，形成推进供应链创新发展的合力。</w:t>
      </w:r>
    </w:p>
    <w:p>
      <w:pPr>
        <w:spacing w:line="560" w:lineRule="exact"/>
        <w:ind w:firstLine="640" w:firstLineChars="200"/>
        <w:contextualSpacing/>
        <w:rPr>
          <w:rFonts w:ascii="仿宋_GB2312" w:hAnsi="仿宋_GB2312" w:cs="仿宋_GB2312"/>
        </w:rPr>
      </w:pPr>
      <w:r>
        <w:rPr>
          <w:rFonts w:hint="eastAsia" w:ascii="仿宋_GB2312" w:hAnsi="仿宋_GB2312" w:cs="仿宋_GB2312"/>
          <w:bCs/>
          <w:lang w:val="zh-CN"/>
        </w:rPr>
        <w:t>绿色低碳，创新引领。</w:t>
      </w:r>
      <w:r>
        <w:rPr>
          <w:rFonts w:hint="eastAsia" w:ascii="仿宋_GB2312" w:hAnsi="仿宋_GB2312" w:cs="仿宋_GB2312"/>
        </w:rPr>
        <w:t>以全链条、全过程、全环节绿色转型为导向，大力发展绿色制造、绿色流通、绿色消费，打造资源消耗低、环境污染少的现代供应链体系；以数智技术创新为引领，推动供应链组织方式创新、商业模式创新和治理方式创新，实现现代供应链高质量发展。</w:t>
      </w:r>
    </w:p>
    <w:p>
      <w:pPr>
        <w:pStyle w:val="8"/>
        <w:spacing w:line="560" w:lineRule="exact"/>
        <w:ind w:firstLine="640"/>
        <w:contextualSpacing/>
        <w:jc w:val="center"/>
        <w:rPr>
          <w:rFonts w:ascii="楷体_GB2312" w:hAnsi="楷体_GB2312" w:eastAsia="楷体_GB2312" w:cs="楷体_GB2312"/>
          <w:b w:val="0"/>
          <w:lang w:val="zh-CN"/>
        </w:rPr>
      </w:pPr>
      <w:bookmarkStart w:id="1099" w:name="_Toc1746341265"/>
      <w:bookmarkStart w:id="1100" w:name="_Toc64944366"/>
      <w:r>
        <w:rPr>
          <w:rFonts w:hint="eastAsia" w:ascii="楷体_GB2312" w:hAnsi="楷体_GB2312" w:eastAsia="楷体_GB2312" w:cs="楷体_GB2312"/>
          <w:b w:val="0"/>
        </w:rPr>
        <w:t>第</w:t>
      </w:r>
      <w:r>
        <w:rPr>
          <w:rFonts w:hint="eastAsia" w:ascii="楷体_GB2312" w:hAnsi="楷体_GB2312" w:eastAsia="楷体_GB2312" w:cs="楷体_GB2312"/>
          <w:b w:val="0"/>
          <w:lang w:val="zh-CN"/>
        </w:rPr>
        <w:t>三节 发展定位</w:t>
      </w:r>
      <w:bookmarkEnd w:id="1099"/>
      <w:bookmarkEnd w:id="1100"/>
    </w:p>
    <w:p>
      <w:pPr>
        <w:spacing w:line="560" w:lineRule="exact"/>
        <w:ind w:firstLine="640" w:firstLineChars="200"/>
        <w:contextualSpacing/>
        <w:rPr>
          <w:rFonts w:ascii="仿宋_GB2312" w:hAnsi="仿宋_GB2312" w:cs="仿宋_GB2312"/>
        </w:rPr>
      </w:pPr>
      <w:r>
        <w:rPr>
          <w:rFonts w:hint="eastAsia" w:ascii="仿宋_GB2312" w:hAnsi="仿宋_GB2312" w:cs="仿宋_GB2312"/>
        </w:rPr>
        <w:t>我市现代供应链“十四五”发展的核心定位是“一区三中心”，即先进制造业供应链资源配置中心、现代服务业供应链组织管理中心、“一带一路”重要的供应链物流中心、全国供应链创新应用先行区。</w:t>
      </w:r>
    </w:p>
    <w:p>
      <w:pPr>
        <w:spacing w:line="560" w:lineRule="exact"/>
        <w:ind w:firstLine="640" w:firstLineChars="200"/>
        <w:contextualSpacing/>
        <w:rPr>
          <w:rFonts w:ascii="仿宋_GB2312" w:hAnsi="仿宋_GB2312" w:cs="仿宋_GB2312"/>
        </w:rPr>
      </w:pPr>
      <w:bookmarkStart w:id="1101" w:name="_Hlk90144380"/>
      <w:r>
        <w:rPr>
          <w:rFonts w:hint="eastAsia" w:ascii="仿宋_GB2312" w:hAnsi="仿宋_GB2312" w:cs="仿宋_GB2312"/>
          <w:bCs/>
          <w:lang w:val="zh-CN"/>
        </w:rPr>
        <w:t>先进制造业供应链资源配置中心</w:t>
      </w:r>
      <w:bookmarkEnd w:id="1101"/>
      <w:r>
        <w:rPr>
          <w:rFonts w:hint="eastAsia" w:ascii="仿宋_GB2312" w:hAnsi="仿宋_GB2312" w:cs="仿宋_GB2312"/>
          <w:bCs/>
          <w:lang w:val="zh-CN"/>
        </w:rPr>
        <w:t>。</w:t>
      </w:r>
      <w:r>
        <w:rPr>
          <w:rFonts w:hint="eastAsia" w:ascii="仿宋_GB2312" w:hAnsi="仿宋_GB2312" w:cs="仿宋_GB2312"/>
        </w:rPr>
        <w:t>立足构建新发展格局，紧密衔接促进中部地区崛起、黄河流域生态保护和高质量发展等重大国家战略，以完善网络、搭建平台、畅通金融为路径，围绕装备制造、电子信息、生物产业等高成长性制造业集群，打造一批数据多元集成、服务全链共享、资源跨域协同的特色行业供应链平台，有效整合需求、物流、信息、资金等要素资源，建设先进制造业供应链资源配置中心，重点产业的供应链竞争力进入行业、全国前列。</w:t>
      </w:r>
    </w:p>
    <w:p>
      <w:pPr>
        <w:spacing w:line="560" w:lineRule="exact"/>
        <w:ind w:firstLine="640" w:firstLineChars="200"/>
        <w:contextualSpacing/>
        <w:rPr>
          <w:rFonts w:ascii="仿宋_GB2312" w:hAnsi="仿宋_GB2312" w:cs="仿宋_GB2312"/>
        </w:rPr>
      </w:pPr>
      <w:r>
        <w:rPr>
          <w:rFonts w:hint="eastAsia" w:ascii="仿宋_GB2312" w:hAnsi="仿宋_GB2312" w:cs="仿宋_GB2312"/>
          <w:bCs/>
          <w:lang w:val="zh-CN"/>
        </w:rPr>
        <w:t>现代服务业供应链组织管理中心。</w:t>
      </w:r>
      <w:r>
        <w:rPr>
          <w:rFonts w:hint="eastAsia" w:ascii="仿宋_GB2312" w:hAnsi="仿宋_GB2312" w:cs="仿宋_GB2312"/>
        </w:rPr>
        <w:t>实施现代商贸休闲经济发展计划，培育夜间经济、首店经济、小店经济、“宅经济”、康养经济、体验经济、休闲经济、研学经济、网络经济等新型消费模式。持续实施“招金入宛”工程，吸引基金、证券、保险、担保、投资公司等各类金融机构设立区域总部及分支机构，争创国家绿色金融改革创新试验区，积极发展供应链金融等新业态。实施总部经济发展计划，引进行业龙头企业建立地区性总部或功能性中心。吸引国家级、区域性品牌展会落户，组织举办道地中药材、花卉苗木等全国性会展活动，推动“国家中医药服务出口基地”建设，提升张仲景医药文化节、仲景论坛、中国艾产业发展大会等办会规格和水平。</w:t>
      </w:r>
    </w:p>
    <w:p>
      <w:pPr>
        <w:spacing w:line="560" w:lineRule="exact"/>
        <w:ind w:firstLine="628" w:firstLineChars="200"/>
        <w:contextualSpacing/>
        <w:rPr>
          <w:rFonts w:ascii="仿宋_GB2312" w:hAnsi="仿宋_GB2312" w:cs="仿宋_GB2312"/>
        </w:rPr>
      </w:pPr>
      <w:r>
        <w:rPr>
          <w:rFonts w:hint="eastAsia" w:ascii="仿宋_GB2312" w:hAnsi="仿宋_GB2312" w:cs="仿宋_GB2312"/>
          <w:spacing w:val="5"/>
          <w:w w:val="95"/>
          <w:kern w:val="0"/>
          <w:lang w:val="zh-CN" w:bidi="zh-CN"/>
        </w:rPr>
        <w:t>“一带一路”重要的供应链物流中心。</w:t>
      </w:r>
      <w:r>
        <w:rPr>
          <w:rFonts w:hint="eastAsia" w:ascii="仿宋_GB2312" w:hAnsi="仿宋_GB2312" w:cs="仿宋_GB2312"/>
        </w:rPr>
        <w:t>依托商贸服务型国家物流枢纽建设，逐步打造成为以服务豫鄂陕市场为主，辐射全国、联通国际的区域性物流中心。依托正在建设的国际陆港、中欧班列等国际通道、卧龙综合保税区，完善多式联运网络体系，增强通道外溢效应，搭建高效、柔性、低成本全球物流网络，积极参与全省“四路协同”和国家级开放平台联动发展，深度融入“一带一路”建设，打造服务“一带一路”沿线的供应链物流枢纽。</w:t>
      </w:r>
    </w:p>
    <w:p>
      <w:pPr>
        <w:spacing w:line="560" w:lineRule="exact"/>
        <w:ind w:firstLine="628" w:firstLineChars="200"/>
        <w:contextualSpacing/>
        <w:rPr>
          <w:rFonts w:ascii="仿宋_GB2312" w:hAnsi="仿宋_GB2312" w:cs="仿宋_GB2312"/>
        </w:rPr>
      </w:pPr>
      <w:r>
        <w:rPr>
          <w:rFonts w:hint="eastAsia" w:ascii="仿宋_GB2312" w:hAnsi="仿宋_GB2312" w:cs="仿宋_GB2312"/>
          <w:spacing w:val="5"/>
          <w:w w:val="95"/>
          <w:kern w:val="0"/>
          <w:lang w:val="zh-CN" w:bidi="zh-CN"/>
        </w:rPr>
        <w:t>全国供应链创新</w:t>
      </w:r>
      <w:r>
        <w:rPr>
          <w:rFonts w:hint="eastAsia" w:ascii="仿宋_GB2312" w:hAnsi="仿宋_GB2312" w:cs="仿宋_GB2312"/>
          <w:spacing w:val="5"/>
          <w:w w:val="95"/>
          <w:kern w:val="0"/>
          <w:lang w:bidi="zh-CN"/>
        </w:rPr>
        <w:t>应用</w:t>
      </w:r>
      <w:r>
        <w:rPr>
          <w:rFonts w:hint="eastAsia" w:ascii="仿宋_GB2312" w:hAnsi="仿宋_GB2312" w:cs="仿宋_GB2312"/>
          <w:spacing w:val="5"/>
          <w:w w:val="95"/>
          <w:kern w:val="0"/>
          <w:lang w:val="zh-CN" w:bidi="zh-CN"/>
        </w:rPr>
        <w:t>先行区。</w:t>
      </w:r>
      <w:r>
        <w:rPr>
          <w:rFonts w:hint="eastAsia" w:ascii="仿宋_GB2312" w:hAnsi="仿宋_GB2312" w:cs="仿宋_GB2312"/>
        </w:rPr>
        <w:t>以数字化、智能化、绿色化、共享化为引领，以数智化、绿色化、可控化为方向，以供应链与现代信息技术深度融合为关键，推动创建全国供应链创新与应用试点城市、流通领域现代供应链体系建设试点城市，形成创新引领、协同发展、产融结合、供需匹配、优质高效、绿色低碳、全球布局、安全可靠的现代供应链体系，为全国全省供应链创新应用积累一批可复制推广的实践经验。</w:t>
      </w:r>
    </w:p>
    <w:p>
      <w:pPr>
        <w:pStyle w:val="8"/>
        <w:spacing w:line="560" w:lineRule="exact"/>
        <w:ind w:firstLine="640"/>
        <w:contextualSpacing/>
        <w:jc w:val="center"/>
        <w:rPr>
          <w:rFonts w:ascii="楷体_GB2312" w:hAnsi="楷体_GB2312" w:eastAsia="楷体_GB2312" w:cs="楷体_GB2312"/>
          <w:b w:val="0"/>
          <w:szCs w:val="32"/>
        </w:rPr>
      </w:pPr>
      <w:bookmarkStart w:id="1102" w:name="_Toc503586317"/>
      <w:bookmarkStart w:id="1103" w:name="_Toc1433457462"/>
      <w:r>
        <w:rPr>
          <w:rFonts w:hint="eastAsia" w:ascii="楷体_GB2312" w:hAnsi="楷体_GB2312" w:eastAsia="楷体_GB2312" w:cs="楷体_GB2312"/>
          <w:b w:val="0"/>
        </w:rPr>
        <w:t>第四</w:t>
      </w:r>
      <w:r>
        <w:rPr>
          <w:rFonts w:hint="eastAsia" w:ascii="楷体_GB2312" w:hAnsi="楷体_GB2312" w:eastAsia="楷体_GB2312" w:cs="楷体_GB2312"/>
          <w:b w:val="0"/>
          <w:lang w:val="zh-CN"/>
        </w:rPr>
        <w:t xml:space="preserve">节  </w:t>
      </w:r>
      <w:r>
        <w:rPr>
          <w:rFonts w:hint="eastAsia" w:ascii="楷体_GB2312" w:hAnsi="楷体_GB2312" w:eastAsia="楷体_GB2312" w:cs="楷体_GB2312"/>
          <w:b w:val="0"/>
        </w:rPr>
        <w:t>发展</w:t>
      </w:r>
      <w:r>
        <w:rPr>
          <w:rFonts w:hint="eastAsia" w:ascii="楷体_GB2312" w:hAnsi="楷体_GB2312" w:eastAsia="楷体_GB2312" w:cs="楷体_GB2312"/>
          <w:b w:val="0"/>
          <w:lang w:val="zh-CN"/>
        </w:rPr>
        <w:t>目标</w:t>
      </w:r>
      <w:bookmarkEnd w:id="1102"/>
      <w:bookmarkEnd w:id="1103"/>
    </w:p>
    <w:p>
      <w:pPr>
        <w:spacing w:line="560" w:lineRule="exact"/>
        <w:ind w:firstLine="640" w:firstLineChars="200"/>
        <w:contextualSpacing/>
        <w:rPr>
          <w:rFonts w:ascii="仿宋_GB2312" w:hAnsi="仿宋_GB2312" w:cs="仿宋_GB2312"/>
          <w:lang w:val="en"/>
        </w:rPr>
      </w:pPr>
      <w:r>
        <w:rPr>
          <w:rFonts w:hint="eastAsia" w:ascii="仿宋_GB2312" w:hAnsi="仿宋_GB2312" w:cs="仿宋_GB2312"/>
        </w:rPr>
        <w:t>到</w:t>
      </w:r>
      <w:r>
        <w:rPr>
          <w:rFonts w:hint="eastAsia" w:ascii="Times New Roman" w:hAnsi="Times New Roman" w:cs="仿宋_GB2312"/>
        </w:rPr>
        <w:t>2025</w:t>
      </w:r>
      <w:r>
        <w:rPr>
          <w:rFonts w:hint="eastAsia" w:ascii="仿宋_GB2312" w:hAnsi="仿宋_GB2312" w:cs="仿宋_GB2312"/>
        </w:rPr>
        <w:t>年，</w:t>
      </w:r>
      <w:r>
        <w:rPr>
          <w:rFonts w:hint="eastAsia" w:ascii="仿宋_GB2312" w:hAnsi="仿宋_GB2312" w:cs="仿宋_GB2312"/>
          <w:lang w:val="en"/>
        </w:rPr>
        <w:t>全市</w:t>
      </w:r>
      <w:r>
        <w:rPr>
          <w:rFonts w:hint="eastAsia" w:ascii="仿宋_GB2312" w:hAnsi="仿宋_GB2312" w:cs="仿宋_GB2312"/>
        </w:rPr>
        <w:t>供应链体系促进降本增效、供需匹配和产业升级的作用显著增强，基本形成覆盖全面、协同高效、保障有力的现代化供应链体系</w:t>
      </w:r>
      <w:r>
        <w:rPr>
          <w:rFonts w:hint="eastAsia" w:ascii="仿宋_GB2312" w:hAnsi="仿宋_GB2312" w:cs="仿宋_GB2312"/>
          <w:lang w:val="en"/>
        </w:rPr>
        <w:t>。</w:t>
      </w:r>
    </w:p>
    <w:p>
      <w:pPr>
        <w:spacing w:line="560" w:lineRule="exact"/>
        <w:ind w:firstLine="640" w:firstLineChars="200"/>
        <w:contextualSpacing/>
        <w:rPr>
          <w:rFonts w:ascii="仿宋_GB2312" w:hAnsi="仿宋_GB2312" w:cs="仿宋_GB2312"/>
        </w:rPr>
      </w:pPr>
      <w:r>
        <w:rPr>
          <w:rFonts w:hint="eastAsia" w:ascii="仿宋_GB2312" w:hAnsi="仿宋_GB2312" w:cs="仿宋_GB2312"/>
          <w:bCs/>
          <w:lang w:val="zh-CN"/>
        </w:rPr>
        <w:t>供应链竞争能力显著增强。</w:t>
      </w:r>
      <w:r>
        <w:rPr>
          <w:rFonts w:hint="eastAsia" w:ascii="仿宋_GB2312" w:hAnsi="仿宋_GB2312" w:cs="仿宋_GB2312"/>
        </w:rPr>
        <w:t>培育形成装备制造、绿色食品、电子信息、生物产业、新型建材等</w:t>
      </w:r>
      <w:r>
        <w:rPr>
          <w:rFonts w:hint="eastAsia" w:ascii="Times New Roman" w:hAnsi="Times New Roman" w:cs="仿宋_GB2312"/>
        </w:rPr>
        <w:t>5</w:t>
      </w:r>
      <w:r>
        <w:rPr>
          <w:rFonts w:hint="eastAsia" w:ascii="仿宋_GB2312" w:hAnsi="仿宋_GB2312" w:cs="仿宋_GB2312"/>
        </w:rPr>
        <w:t>个千亿级制造业供应链，现代化工、纺织服装、新材料、新能源、现代物流、电子商务等一批百亿级产业供应链。引进培育</w:t>
      </w:r>
      <w:bookmarkStart w:id="1104" w:name="_Hlk89350273"/>
      <w:r>
        <w:rPr>
          <w:rFonts w:hint="eastAsia" w:ascii="仿宋_GB2312" w:hAnsi="仿宋_GB2312" w:cs="仿宋_GB2312"/>
        </w:rPr>
        <w:t>具有国际影响力的供应链龙头企业</w:t>
      </w:r>
      <w:r>
        <w:rPr>
          <w:rFonts w:hint="eastAsia" w:ascii="Times New Roman" w:hAnsi="Times New Roman" w:cs="仿宋_GB2312"/>
        </w:rPr>
        <w:t>2</w:t>
      </w:r>
      <w:r>
        <w:rPr>
          <w:rFonts w:hint="eastAsia" w:ascii="仿宋_GB2312" w:hAnsi="仿宋_GB2312" w:cs="仿宋_GB2312"/>
        </w:rPr>
        <w:t>家，具有全国影响力的知名供应链领先企业</w:t>
      </w:r>
      <w:r>
        <w:rPr>
          <w:rFonts w:hint="eastAsia" w:ascii="Times New Roman" w:hAnsi="Times New Roman" w:cs="仿宋_GB2312"/>
        </w:rPr>
        <w:t>5</w:t>
      </w:r>
      <w:r>
        <w:rPr>
          <w:rFonts w:hint="eastAsia" w:ascii="仿宋_GB2312" w:hAnsi="仿宋_GB2312" w:cs="仿宋_GB2312"/>
        </w:rPr>
        <w:t>家，具有行业影响力的供应链“链主”企业</w:t>
      </w:r>
      <w:r>
        <w:rPr>
          <w:rFonts w:hint="eastAsia" w:ascii="Times New Roman" w:hAnsi="Times New Roman" w:cs="仿宋_GB2312"/>
        </w:rPr>
        <w:t>20</w:t>
      </w:r>
      <w:r>
        <w:rPr>
          <w:rFonts w:hint="eastAsia" w:ascii="仿宋_GB2312" w:hAnsi="仿宋_GB2312" w:cs="仿宋_GB2312"/>
        </w:rPr>
        <w:t>家，重点产业的供应链竞争力进入全国前列。</w:t>
      </w:r>
      <w:bookmarkEnd w:id="1104"/>
    </w:p>
    <w:p>
      <w:pPr>
        <w:spacing w:line="560" w:lineRule="exact"/>
        <w:ind w:firstLine="640" w:firstLineChars="200"/>
        <w:contextualSpacing/>
        <w:rPr>
          <w:rFonts w:ascii="仿宋_GB2312" w:hAnsi="仿宋_GB2312" w:cs="仿宋_GB2312"/>
        </w:rPr>
      </w:pPr>
      <w:r>
        <w:rPr>
          <w:rFonts w:hint="eastAsia" w:ascii="仿宋_GB2312" w:hAnsi="仿宋_GB2312" w:cs="仿宋_GB2312"/>
          <w:bCs/>
          <w:lang w:val="zh-CN"/>
        </w:rPr>
        <w:t>供应链创新能力持续提升。</w:t>
      </w:r>
      <w:r>
        <w:rPr>
          <w:rFonts w:hint="eastAsia" w:ascii="仿宋_GB2312" w:hAnsi="仿宋_GB2312" w:cs="仿宋_GB2312"/>
        </w:rPr>
        <w:t>数字供应链创新与应用水平持续提升，建成省级以上供应链创新与应用试点城市</w:t>
      </w:r>
      <w:r>
        <w:rPr>
          <w:rFonts w:hint="eastAsia" w:ascii="Times New Roman" w:hAnsi="Times New Roman" w:cs="仿宋_GB2312"/>
        </w:rPr>
        <w:t>1</w:t>
      </w:r>
      <w:r>
        <w:rPr>
          <w:rFonts w:hint="eastAsia" w:ascii="仿宋_GB2312" w:hAnsi="仿宋_GB2312" w:cs="仿宋_GB2312"/>
        </w:rPr>
        <w:t>个，打造省级以上供应链创新示范企业</w:t>
      </w:r>
      <w:r>
        <w:rPr>
          <w:rFonts w:hint="eastAsia" w:ascii="Times New Roman" w:hAnsi="Times New Roman" w:cs="仿宋_GB2312"/>
        </w:rPr>
        <w:t>5</w:t>
      </w:r>
      <w:r>
        <w:rPr>
          <w:rFonts w:hint="eastAsia" w:ascii="仿宋_GB2312" w:hAnsi="仿宋_GB2312" w:cs="仿宋_GB2312"/>
        </w:rPr>
        <w:t>家，培育模式先进的供应链创新服务平台</w:t>
      </w:r>
      <w:r>
        <w:rPr>
          <w:rFonts w:hint="eastAsia" w:ascii="Times New Roman" w:hAnsi="Times New Roman" w:cs="仿宋_GB2312"/>
        </w:rPr>
        <w:t>10</w:t>
      </w:r>
      <w:r>
        <w:rPr>
          <w:rFonts w:hint="eastAsia" w:ascii="仿宋_GB2312" w:hAnsi="仿宋_GB2312" w:cs="仿宋_GB2312"/>
        </w:rPr>
        <w:t>个。供应链金融成为企业融资的重要渠道，供应链融资信贷余额比</w:t>
      </w:r>
      <w:r>
        <w:rPr>
          <w:rFonts w:hint="eastAsia" w:ascii="Times New Roman" w:hAnsi="Times New Roman" w:cs="仿宋_GB2312"/>
        </w:rPr>
        <w:t>2020</w:t>
      </w:r>
      <w:r>
        <w:rPr>
          <w:rFonts w:hint="eastAsia" w:ascii="仿宋_GB2312" w:hAnsi="仿宋_GB2312" w:cs="仿宋_GB2312"/>
        </w:rPr>
        <w:t>年翻一番。供应链绿色化水平明显提高，绿色低碳的生产、流通、消费体系初步形成。</w:t>
      </w:r>
    </w:p>
    <w:p>
      <w:pPr>
        <w:spacing w:line="560" w:lineRule="exact"/>
        <w:ind w:firstLine="640" w:firstLineChars="200"/>
        <w:contextualSpacing/>
        <w:rPr>
          <w:rFonts w:ascii="仿宋_GB2312" w:hAnsi="仿宋_GB2312" w:cs="仿宋_GB2312"/>
        </w:rPr>
      </w:pPr>
      <w:r>
        <w:rPr>
          <w:rFonts w:hint="eastAsia" w:ascii="仿宋_GB2312" w:hAnsi="仿宋_GB2312" w:cs="仿宋_GB2312"/>
          <w:bCs/>
          <w:lang w:val="zh-CN"/>
        </w:rPr>
        <w:t>供应链基础支撑不断强化。</w:t>
      </w:r>
      <w:r>
        <w:rPr>
          <w:rFonts w:hint="eastAsia" w:ascii="仿宋_GB2312" w:hAnsi="仿宋_GB2312" w:cs="仿宋_GB2312"/>
        </w:rPr>
        <w:t>商贸服务型国家物流枢纽功能充分发挥，“</w:t>
      </w:r>
      <w:r>
        <w:rPr>
          <w:rFonts w:hint="eastAsia" w:ascii="Times New Roman" w:hAnsi="Times New Roman" w:cs="仿宋_GB2312"/>
        </w:rPr>
        <w:t>1</w:t>
      </w:r>
      <w:r>
        <w:rPr>
          <w:rFonts w:hint="eastAsia" w:ascii="仿宋_GB2312" w:hAnsi="仿宋_GB2312" w:cs="仿宋_GB2312"/>
        </w:rPr>
        <w:t>+</w:t>
      </w:r>
      <w:r>
        <w:rPr>
          <w:rFonts w:hint="eastAsia" w:ascii="Times New Roman" w:hAnsi="Times New Roman" w:cs="仿宋_GB2312"/>
        </w:rPr>
        <w:t>3</w:t>
      </w:r>
      <w:r>
        <w:rPr>
          <w:rFonts w:hint="eastAsia" w:ascii="仿宋_GB2312" w:hAnsi="仿宋_GB2312" w:cs="仿宋_GB2312"/>
        </w:rPr>
        <w:t>+</w:t>
      </w:r>
      <w:r>
        <w:rPr>
          <w:rFonts w:hint="eastAsia" w:ascii="Times New Roman" w:hAnsi="Times New Roman" w:cs="仿宋_GB2312"/>
        </w:rPr>
        <w:t>4</w:t>
      </w:r>
      <w:r>
        <w:rPr>
          <w:rFonts w:hint="eastAsia" w:ascii="仿宋_GB2312" w:hAnsi="仿宋_GB2312" w:cs="仿宋_GB2312"/>
        </w:rPr>
        <w:t>+N”（一基地、三片区、四通道、多节点）流通体系空间布局基本完成。全市货物运输量达到</w:t>
      </w:r>
      <w:r>
        <w:rPr>
          <w:rFonts w:hint="eastAsia" w:ascii="Times New Roman" w:hAnsi="Times New Roman" w:cs="仿宋_GB2312"/>
        </w:rPr>
        <w:t>4</w:t>
      </w:r>
      <w:r>
        <w:rPr>
          <w:rFonts w:hint="eastAsia" w:ascii="仿宋_GB2312" w:hAnsi="仿宋_GB2312" w:cs="仿宋_GB2312"/>
        </w:rPr>
        <w:t>亿吨，社会物流总费用与GDP的比率降至</w:t>
      </w:r>
      <w:r>
        <w:rPr>
          <w:rFonts w:hint="eastAsia" w:ascii="Times New Roman" w:hAnsi="Times New Roman" w:cs="仿宋_GB2312"/>
        </w:rPr>
        <w:t>13</w:t>
      </w:r>
      <w:r>
        <w:rPr>
          <w:rFonts w:hint="eastAsia" w:ascii="仿宋_GB2312" w:hAnsi="仿宋_GB2312" w:cs="仿宋_GB2312"/>
        </w:rPr>
        <w:t>.</w:t>
      </w:r>
      <w:r>
        <w:rPr>
          <w:rFonts w:hint="eastAsia" w:ascii="Times New Roman" w:hAnsi="Times New Roman" w:cs="仿宋_GB2312"/>
        </w:rPr>
        <w:t>1</w:t>
      </w:r>
      <w:r>
        <w:rPr>
          <w:rFonts w:hint="eastAsia" w:ascii="仿宋_GB2312" w:hAnsi="仿宋_GB2312" w:cs="仿宋_GB2312"/>
        </w:rPr>
        <w:t>%以下。新增国家A级以上物流企业</w:t>
      </w:r>
      <w:r>
        <w:rPr>
          <w:rFonts w:hint="eastAsia" w:ascii="Times New Roman" w:hAnsi="Times New Roman" w:cs="仿宋_GB2312"/>
        </w:rPr>
        <w:t>20</w:t>
      </w:r>
      <w:r>
        <w:rPr>
          <w:rFonts w:hint="eastAsia" w:ascii="仿宋_GB2312" w:hAnsi="仿宋_GB2312" w:cs="仿宋_GB2312"/>
        </w:rPr>
        <w:t>家，其中</w:t>
      </w:r>
      <w:r>
        <w:rPr>
          <w:rFonts w:hint="eastAsia" w:ascii="Times New Roman" w:hAnsi="Times New Roman" w:cs="仿宋_GB2312"/>
        </w:rPr>
        <w:t>5</w:t>
      </w:r>
      <w:r>
        <w:rPr>
          <w:rFonts w:hint="eastAsia" w:ascii="仿宋_GB2312" w:hAnsi="仿宋_GB2312" w:cs="仿宋_GB2312"/>
        </w:rPr>
        <w:t>A级物流企业实现零的突破。电商交易额突破</w:t>
      </w:r>
      <w:r>
        <w:rPr>
          <w:rFonts w:hint="eastAsia" w:ascii="Times New Roman" w:hAnsi="Times New Roman" w:cs="仿宋_GB2312"/>
        </w:rPr>
        <w:t>3700</w:t>
      </w:r>
      <w:r>
        <w:rPr>
          <w:rFonts w:hint="eastAsia" w:ascii="仿宋_GB2312" w:hAnsi="仿宋_GB2312" w:cs="仿宋_GB2312"/>
        </w:rPr>
        <w:t>亿元，网商数量达到</w:t>
      </w:r>
      <w:r>
        <w:rPr>
          <w:rFonts w:hint="eastAsia" w:ascii="Times New Roman" w:hAnsi="Times New Roman" w:cs="仿宋_GB2312"/>
        </w:rPr>
        <w:t>50</w:t>
      </w:r>
      <w:r>
        <w:rPr>
          <w:rFonts w:hint="eastAsia" w:ascii="仿宋_GB2312" w:hAnsi="仿宋_GB2312" w:cs="仿宋_GB2312"/>
        </w:rPr>
        <w:t>万家，注册电商企业数</w:t>
      </w:r>
      <w:r>
        <w:rPr>
          <w:rFonts w:hint="eastAsia" w:ascii="Times New Roman" w:hAnsi="Times New Roman" w:cs="仿宋_GB2312"/>
        </w:rPr>
        <w:t>4</w:t>
      </w:r>
      <w:r>
        <w:rPr>
          <w:rFonts w:hint="eastAsia" w:ascii="仿宋_GB2312" w:hAnsi="仿宋_GB2312" w:cs="仿宋_GB2312"/>
        </w:rPr>
        <w:t>万家，电商产业集散效应明显增强。</w:t>
      </w:r>
    </w:p>
    <w:p>
      <w:pPr>
        <w:spacing w:line="560" w:lineRule="exact"/>
        <w:ind w:firstLine="640" w:firstLineChars="200"/>
        <w:contextualSpacing/>
        <w:rPr>
          <w:rFonts w:ascii="仿宋_GB2312" w:hAnsi="仿宋_GB2312" w:cs="仿宋_GB2312"/>
        </w:rPr>
      </w:pPr>
      <w:r>
        <w:rPr>
          <w:rFonts w:hint="eastAsia" w:ascii="仿宋_GB2312" w:hAnsi="仿宋_GB2312" w:cs="仿宋_GB2312"/>
          <w:bCs/>
          <w:lang w:val="zh-CN"/>
        </w:rPr>
        <w:t>供应链服务体系基本形成。</w:t>
      </w:r>
      <w:r>
        <w:rPr>
          <w:rFonts w:hint="eastAsia" w:ascii="仿宋_GB2312" w:hAnsi="仿宋_GB2312" w:cs="仿宋_GB2312"/>
        </w:rPr>
        <w:t>供应链领域“最多跑一次”和“放管服效”改革纵深推进，供应链领域的数字化治理方式创新走在全省前列。建成市县共享、跨部门协同的供应链公共服务平台，基本形成覆盖全市、联动内外的现代供应链公共服务体系，供应链创业创新环境持续优化、全省领先。</w:t>
      </w:r>
    </w:p>
    <w:p>
      <w:pPr>
        <w:pStyle w:val="7"/>
        <w:spacing w:line="560" w:lineRule="exact"/>
        <w:contextualSpacing/>
        <w:jc w:val="center"/>
        <w:rPr>
          <w:rFonts w:ascii="黑体" w:hAnsi="仿宋" w:cs="仿宋"/>
          <w:b w:val="0"/>
          <w:szCs w:val="32"/>
          <w:lang w:val="zh-CN" w:bidi="zh-CN"/>
        </w:rPr>
      </w:pPr>
      <w:bookmarkStart w:id="1105" w:name="_Toc1442210623"/>
      <w:bookmarkStart w:id="1106" w:name="_Toc230354857"/>
      <w:bookmarkStart w:id="1107" w:name="_Toc1710664003"/>
      <w:r>
        <w:rPr>
          <w:rFonts w:hint="eastAsia"/>
          <w:b w:val="0"/>
          <w:lang w:val="zh-CN"/>
        </w:rPr>
        <w:t>第</w:t>
      </w:r>
      <w:r>
        <w:rPr>
          <w:b w:val="0"/>
          <w:lang w:val="zh-CN"/>
        </w:rPr>
        <w:t>三</w:t>
      </w:r>
      <w:r>
        <w:rPr>
          <w:rFonts w:hint="eastAsia"/>
          <w:b w:val="0"/>
          <w:lang w:val="zh-CN"/>
        </w:rPr>
        <w:t xml:space="preserve">章 </w:t>
      </w:r>
      <w:r>
        <w:rPr>
          <w:b w:val="0"/>
          <w:lang w:val="zh-CN"/>
        </w:rPr>
        <w:t>实施制造业优先发展战略，</w:t>
      </w:r>
      <w:r>
        <w:rPr>
          <w:rFonts w:hint="eastAsia"/>
          <w:b w:val="0"/>
        </w:rPr>
        <w:t>升级高端</w:t>
      </w:r>
      <w:r>
        <w:rPr>
          <w:b w:val="0"/>
          <w:lang w:val="zh-CN"/>
        </w:rPr>
        <w:t>制造业供应链</w:t>
      </w:r>
      <w:bookmarkEnd w:id="1105"/>
      <w:bookmarkEnd w:id="1106"/>
      <w:bookmarkEnd w:id="1107"/>
    </w:p>
    <w:p>
      <w:pPr>
        <w:spacing w:line="560" w:lineRule="exact"/>
        <w:ind w:firstLine="640" w:firstLineChars="200"/>
        <w:contextualSpacing/>
        <w:rPr>
          <w:rFonts w:ascii="Times New Roman" w:hAnsi="Times New Roman"/>
        </w:rPr>
      </w:pPr>
      <w:bookmarkStart w:id="1108" w:name="_Toc1575"/>
      <w:bookmarkStart w:id="1109" w:name="_Toc10868"/>
      <w:bookmarkStart w:id="1110" w:name="_Toc24507"/>
      <w:bookmarkStart w:id="1111" w:name="_Toc21550"/>
      <w:bookmarkStart w:id="1112" w:name="_Toc32001"/>
      <w:bookmarkStart w:id="1113" w:name="_Toc12337"/>
      <w:bookmarkStart w:id="1114" w:name="_Toc4539"/>
      <w:bookmarkStart w:id="1115" w:name="_Toc19519"/>
      <w:bookmarkStart w:id="1116" w:name="_Toc23168"/>
      <w:bookmarkStart w:id="1117" w:name="_Toc10039"/>
      <w:bookmarkStart w:id="1118" w:name="_Toc14496"/>
      <w:bookmarkStart w:id="1119" w:name="_Toc27522"/>
      <w:bookmarkStart w:id="1120" w:name="_Toc27296"/>
      <w:bookmarkStart w:id="1121" w:name="_Toc1728"/>
      <w:bookmarkStart w:id="1122" w:name="_Toc12701"/>
      <w:bookmarkStart w:id="1123" w:name="_Toc22652"/>
      <w:r>
        <w:rPr>
          <w:rFonts w:ascii="Times New Roman" w:hAnsi="Times New Roman"/>
        </w:rPr>
        <w:t>聚焦先进制造业强市建设，实施</w:t>
      </w:r>
      <w:bookmarkStart w:id="1124" w:name="_Hlk90108385"/>
      <w:r>
        <w:rPr>
          <w:rFonts w:ascii="Times New Roman" w:hAnsi="Times New Roman"/>
        </w:rPr>
        <w:t>制造业优先发展战略</w:t>
      </w:r>
      <w:bookmarkEnd w:id="1124"/>
      <w:r>
        <w:rPr>
          <w:rFonts w:ascii="Times New Roman" w:hAnsi="Times New Roman"/>
        </w:rPr>
        <w:t>，</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r>
        <w:rPr>
          <w:rFonts w:ascii="Times New Roman" w:hAnsi="Times New Roman"/>
        </w:rPr>
        <w:t>强化造链、补链、强链、延链。围绕</w:t>
      </w:r>
      <w:r>
        <w:rPr>
          <w:rFonts w:hint="eastAsia" w:ascii="Times New Roman" w:hAnsi="Times New Roman"/>
        </w:rPr>
        <w:t>“</w:t>
      </w:r>
      <w:r>
        <w:rPr>
          <w:rFonts w:ascii="Times New Roman" w:hAnsi="Times New Roman"/>
        </w:rPr>
        <w:t>降低成本、提高效率、增强市场反应能力</w:t>
      </w:r>
      <w:r>
        <w:rPr>
          <w:rFonts w:hint="eastAsia" w:ascii="Times New Roman" w:hAnsi="Times New Roman"/>
        </w:rPr>
        <w:t>”</w:t>
      </w:r>
      <w:r>
        <w:rPr>
          <w:rFonts w:ascii="Times New Roman" w:hAnsi="Times New Roman"/>
        </w:rPr>
        <w:t>的供应链</w:t>
      </w:r>
      <w:r>
        <w:rPr>
          <w:rFonts w:hint="eastAsia" w:ascii="Times New Roman" w:hAnsi="Times New Roman"/>
        </w:rPr>
        <w:t>发展</w:t>
      </w:r>
      <w:r>
        <w:rPr>
          <w:rFonts w:ascii="Times New Roman" w:hAnsi="Times New Roman"/>
        </w:rPr>
        <w:t>目标，推动高品质、高性能、高科技含量、高附加值、绿色低碳的新产品、新服务、新技术发展，全面推动制造业</w:t>
      </w:r>
      <w:r>
        <w:rPr>
          <w:rFonts w:hint="eastAsia" w:ascii="Times New Roman" w:hAnsi="Times New Roman"/>
        </w:rPr>
        <w:t>供应链</w:t>
      </w:r>
      <w:r>
        <w:rPr>
          <w:rFonts w:ascii="Times New Roman" w:hAnsi="Times New Roman"/>
        </w:rPr>
        <w:t>提质增效。</w:t>
      </w:r>
    </w:p>
    <w:p>
      <w:pPr>
        <w:pStyle w:val="8"/>
        <w:spacing w:line="560" w:lineRule="exact"/>
        <w:ind w:firstLine="640"/>
        <w:contextualSpacing/>
        <w:jc w:val="center"/>
        <w:rPr>
          <w:rFonts w:ascii="楷体_GB2312" w:hAnsi="楷体_GB2312" w:eastAsia="楷体_GB2312" w:cs="楷体_GB2312"/>
          <w:b w:val="0"/>
        </w:rPr>
      </w:pPr>
      <w:bookmarkStart w:id="1125" w:name="_Toc1055119382"/>
      <w:bookmarkStart w:id="1126" w:name="_Toc160646906"/>
      <w:r>
        <w:rPr>
          <w:rFonts w:hint="eastAsia" w:ascii="楷体_GB2312" w:hAnsi="楷体_GB2312" w:eastAsia="楷体_GB2312" w:cs="楷体_GB2312"/>
          <w:b w:val="0"/>
        </w:rPr>
        <w:t>第一</w:t>
      </w:r>
      <w:r>
        <w:rPr>
          <w:rFonts w:hint="eastAsia" w:ascii="楷体_GB2312" w:hAnsi="楷体_GB2312" w:eastAsia="楷体_GB2312" w:cs="楷体_GB2312"/>
          <w:b w:val="0"/>
          <w:lang w:val="zh-CN"/>
        </w:rPr>
        <w:t>节 重构传统产业供应链</w:t>
      </w:r>
      <w:bookmarkEnd w:id="1125"/>
      <w:bookmarkEnd w:id="1126"/>
    </w:p>
    <w:p>
      <w:pPr>
        <w:spacing w:line="560" w:lineRule="exact"/>
        <w:ind w:firstLine="640" w:firstLineChars="200"/>
        <w:contextualSpacing/>
      </w:pPr>
      <w:r>
        <w:rPr>
          <w:rFonts w:hint="eastAsia"/>
        </w:rPr>
        <w:t>推动钢铁、化工、建材等行业向先进钢铁、精细化工、绿色建材等链条延伸，加快实施西峡龙成新材料智能化生产、桐柏亿森源新型材料、镇平绿色建材产业园、南召立邦和东方雨虹涂料等项目建设。推动传统装备向高端智能装备转型发展，加快推进内乡农牧装备加工基地、牧原智能科技装备研发及兽药生产、新野智能制造产业园、唐河南商农牧电子饲喂生产线项目、镇平盈田智能制造产业园建设，加快推进拉贝液压翻转犁成套设备装备制造、秸秆塑化处理装备制造、种养固废物碳化处理装备制造、腐植酸生产装备制造等项目落地建设。推动食品加工向品牌高端、绿色有机方向发展，加快实施内乡牧原国际食品城二期、镇平想念食品产业园二期、仲景食品股份有限公司调味酱及调味料生产线等项目，重点支持牧原集团发展生猪全产业链，推动肉食品关联产业率先达到千亿级规模；邓州、新野、宛城、镇平等要推动传统轻纺向时尚化、智能化、链条化转型发展；西峡、淅川、邓州、社旗等要推动传统汽车零部件向新能源及智能网联汽车换道发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8720" w:type="dxa"/>
            <w:tcBorders>
              <w:tl2br w:val="nil"/>
              <w:tr2bl w:val="nil"/>
            </w:tcBorders>
            <w:vAlign w:val="center"/>
          </w:tcPr>
          <w:p>
            <w:pPr>
              <w:spacing w:line="400" w:lineRule="exact"/>
              <w:ind w:firstLine="600"/>
              <w:contextualSpacing/>
              <w:jc w:val="center"/>
              <w:rPr>
                <w:rFonts w:ascii="Times New Roman" w:hAnsi="Times New Roman" w:eastAsia="仿宋"/>
              </w:rPr>
            </w:pPr>
            <w:r>
              <w:rPr>
                <w:rFonts w:hint="eastAsia" w:ascii="黑体" w:hAnsi="黑体" w:eastAsia="黑体" w:cs="黑体"/>
                <w:sz w:val="28"/>
                <w:szCs w:val="28"/>
              </w:rPr>
              <w:t>专栏</w:t>
            </w:r>
            <w:r>
              <w:rPr>
                <w:rFonts w:hint="eastAsia" w:ascii="Times New Roman" w:hAnsi="Times New Roman" w:eastAsia="黑体" w:cs="黑体"/>
                <w:sz w:val="28"/>
                <w:szCs w:val="28"/>
              </w:rPr>
              <w:t>1：</w:t>
            </w:r>
            <w:r>
              <w:rPr>
                <w:rFonts w:hint="eastAsia" w:ascii="黑体" w:hAnsi="黑体" w:eastAsia="黑体" w:cs="黑体"/>
                <w:sz w:val="28"/>
                <w:szCs w:val="28"/>
              </w:rPr>
              <w:t>传统产业供应链建设工程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Borders>
              <w:tl2br w:val="nil"/>
              <w:tr2bl w:val="nil"/>
            </w:tcBorders>
          </w:tcPr>
          <w:p>
            <w:pPr>
              <w:spacing w:line="400" w:lineRule="exact"/>
              <w:ind w:firstLine="480" w:firstLineChars="200"/>
              <w:contextualSpacing/>
              <w:rPr>
                <w:rFonts w:ascii="仿宋_GB2312" w:hAnsi="仿宋_GB2312" w:cs="仿宋_GB2312"/>
                <w:sz w:val="24"/>
                <w:szCs w:val="24"/>
              </w:rPr>
            </w:pPr>
            <w:r>
              <w:rPr>
                <w:rFonts w:hint="eastAsia" w:ascii="楷体" w:hAnsi="楷体" w:eastAsia="楷体" w:cs="楷体"/>
                <w:sz w:val="24"/>
                <w:szCs w:val="24"/>
              </w:rPr>
              <w:t>1.碱硝化工产业供应链</w:t>
            </w:r>
            <w:r>
              <w:rPr>
                <w:rFonts w:hint="eastAsia" w:ascii="楷体" w:hAnsi="楷体" w:eastAsia="楷体" w:cs="楷体"/>
                <w:spacing w:val="-3"/>
                <w:kern w:val="0"/>
                <w:sz w:val="24"/>
                <w:lang w:val="zh-CN" w:bidi="zh-CN"/>
              </w:rPr>
              <w:t>建设工程</w:t>
            </w:r>
            <w:r>
              <w:rPr>
                <w:rFonts w:hint="eastAsia" w:ascii="楷体" w:hAnsi="楷体" w:eastAsia="楷体" w:cs="楷体"/>
                <w:sz w:val="24"/>
                <w:szCs w:val="24"/>
              </w:rPr>
              <w:t>。</w:t>
            </w:r>
            <w:r>
              <w:rPr>
                <w:rFonts w:hint="eastAsia" w:ascii="仿宋_GB2312" w:hAnsi="仿宋_GB2312" w:cs="仿宋_GB2312"/>
                <w:sz w:val="24"/>
                <w:szCs w:val="24"/>
              </w:rPr>
              <w:t>围绕桐柏博源、明星化工、中源化工等骨干企业，依托天然碱资源，围绕废渣、废气、废液、废水等废物循环综合利用，着力提升优质纯碱、元明粉产品生产能力，重点发展轻质纯碱、食品级纯碱和低钙低氯纯度特种元明粉等精细化产品，加快发展小苏打、碳酸钙等延伸产品，积极拓展硫化染料、蛋白酶及可降解塑料、玻璃、日化等终端化工产品，全面构建天然碱硝、精细化工、新型化工产品为一体的碱硝化工产业供应链。</w:t>
            </w:r>
          </w:p>
          <w:p>
            <w:pPr>
              <w:spacing w:line="400" w:lineRule="exact"/>
              <w:ind w:firstLine="468"/>
              <w:contextualSpacing/>
              <w:rPr>
                <w:rFonts w:ascii="仿宋_GB2312" w:hAnsi="仿宋_GB2312" w:cs="仿宋_GB2312"/>
                <w:sz w:val="24"/>
                <w:szCs w:val="24"/>
              </w:rPr>
            </w:pPr>
            <w:r>
              <w:rPr>
                <w:rFonts w:hint="eastAsia" w:ascii="楷体" w:hAnsi="楷体" w:eastAsia="楷体" w:cs="楷体"/>
                <w:sz w:val="24"/>
                <w:szCs w:val="24"/>
                <w:lang w:val="zh-CN"/>
              </w:rPr>
              <w:t>2</w:t>
            </w:r>
            <w:r>
              <w:rPr>
                <w:rFonts w:hint="eastAsia" w:ascii="楷体" w:hAnsi="楷体" w:eastAsia="楷体" w:cs="楷体"/>
                <w:sz w:val="24"/>
                <w:szCs w:val="24"/>
              </w:rPr>
              <w:t>.石油化工产业供应链</w:t>
            </w:r>
            <w:r>
              <w:rPr>
                <w:rFonts w:hint="eastAsia" w:ascii="楷体" w:hAnsi="楷体" w:eastAsia="楷体" w:cs="楷体"/>
                <w:sz w:val="24"/>
                <w:szCs w:val="24"/>
                <w:lang w:val="zh-CN"/>
              </w:rPr>
              <w:t>建设工程。</w:t>
            </w:r>
            <w:r>
              <w:rPr>
                <w:rFonts w:hint="eastAsia" w:ascii="仿宋_GB2312" w:hAnsi="仿宋_GB2312" w:cs="仿宋_GB2312"/>
                <w:sz w:val="24"/>
                <w:szCs w:val="24"/>
              </w:rPr>
              <w:t>以南阳能源化工企业为龙头，以精蜡产品为基础，大力发展改性蜡、合成蜡、乳化蜡、微粉蜡等石蜡精加工产品和防护、铸造、储能等高附加值特种蜡系列产品，积极拓展特种蜡关联度高的食品、医药、日化、包装项目，推动特种蜡产业集群供应链发展。</w:t>
            </w:r>
          </w:p>
          <w:p>
            <w:pPr>
              <w:spacing w:line="400" w:lineRule="exact"/>
              <w:ind w:firstLine="468"/>
              <w:contextualSpacing/>
              <w:rPr>
                <w:rFonts w:ascii="仿宋_GB2312" w:hAnsi="仿宋_GB2312" w:cs="仿宋_GB2312"/>
                <w:sz w:val="24"/>
                <w:szCs w:val="24"/>
              </w:rPr>
            </w:pPr>
            <w:r>
              <w:rPr>
                <w:rFonts w:hint="eastAsia" w:ascii="楷体" w:hAnsi="楷体" w:eastAsia="楷体" w:cs="楷体"/>
                <w:sz w:val="24"/>
                <w:szCs w:val="24"/>
                <w:lang w:val="zh-CN"/>
              </w:rPr>
              <w:t>3.绿色建材产业供应链建设工程。</w:t>
            </w:r>
            <w:r>
              <w:rPr>
                <w:rFonts w:hint="eastAsia" w:ascii="仿宋_GB2312" w:hAnsi="仿宋_GB2312" w:cs="仿宋_GB2312"/>
                <w:sz w:val="24"/>
                <w:szCs w:val="24"/>
              </w:rPr>
              <w:t>以南阳中联水泥为龙头，配套形成金港建材、中联商砼、星港涂料等企业集群，围绕建设绿色建材全产业链，支持鼓励大型水泥企业集团整合石灰石矿山开采、骨料开采等上游产业，向商品混凝土、水泥制品和建筑部品延伸，推动资源整合、研发设计、精深加工、物流营销和工程服务一体化发展，由建材供应商向综合建材服务商转变。发挥水泥窑炉“一窑多用”功能，开展水泥窑协同处置危险废物示范试点。</w:t>
            </w:r>
          </w:p>
          <w:p>
            <w:pPr>
              <w:spacing w:line="400" w:lineRule="exact"/>
              <w:ind w:firstLine="468"/>
              <w:contextualSpacing/>
              <w:rPr>
                <w:rFonts w:ascii="Times New Roman" w:hAnsi="Times New Roman" w:eastAsia="仿宋"/>
              </w:rPr>
            </w:pPr>
            <w:r>
              <w:rPr>
                <w:rFonts w:hint="eastAsia" w:ascii="楷体" w:hAnsi="楷体" w:eastAsia="楷体" w:cs="楷体"/>
                <w:sz w:val="24"/>
                <w:szCs w:val="24"/>
                <w:lang w:val="zh-CN"/>
              </w:rPr>
              <w:t>4.装配式建筑发展壮大工程。</w:t>
            </w:r>
            <w:r>
              <w:rPr>
                <w:rFonts w:hint="eastAsia" w:ascii="仿宋_GB2312" w:hAnsi="仿宋_GB2312" w:cs="仿宋_GB2312"/>
                <w:sz w:val="24"/>
                <w:szCs w:val="24"/>
              </w:rPr>
              <w:t>发挥南阳钢铁、水泥等建材产业优势，以钢结构装配式建筑为重点，鼓励龙头企业向下游延伸，组建装配式建筑联合体，推进信息技术在装配式建筑项目中的应用，推动设计、施工一体化建设模式和预制构配件市场发展。开展试点示范，加快装配式建筑基地建设。</w:t>
            </w:r>
          </w:p>
        </w:tc>
      </w:tr>
    </w:tbl>
    <w:p>
      <w:pPr>
        <w:pStyle w:val="8"/>
        <w:spacing w:line="560" w:lineRule="exact"/>
        <w:ind w:firstLine="640"/>
        <w:contextualSpacing/>
        <w:jc w:val="center"/>
        <w:rPr>
          <w:rFonts w:ascii="楷体_GB2312" w:hAnsi="楷体_GB2312" w:eastAsia="楷体_GB2312" w:cs="楷体_GB2312"/>
          <w:b w:val="0"/>
          <w:lang w:val="zh-CN"/>
        </w:rPr>
      </w:pPr>
      <w:bookmarkStart w:id="1127" w:name="_Toc1919936027"/>
      <w:bookmarkStart w:id="1128" w:name="_Toc237246452"/>
      <w:r>
        <w:rPr>
          <w:rFonts w:hint="eastAsia" w:ascii="楷体_GB2312" w:hAnsi="楷体_GB2312" w:eastAsia="楷体_GB2312" w:cs="楷体_GB2312"/>
          <w:b w:val="0"/>
          <w:lang w:val="zh-CN"/>
        </w:rPr>
        <w:t>第二节 壮大新兴产业供应链</w:t>
      </w:r>
      <w:bookmarkEnd w:id="1127"/>
      <w:bookmarkEnd w:id="1128"/>
    </w:p>
    <w:p>
      <w:pPr>
        <w:spacing w:line="560" w:lineRule="exact"/>
        <w:ind w:firstLine="640" w:firstLineChars="200"/>
        <w:contextualSpacing/>
      </w:pPr>
      <w:r>
        <w:rPr>
          <w:rFonts w:hint="eastAsia" w:ascii="仿宋_GB2312" w:hAnsi="仿宋_GB2312" w:cs="仿宋_GB2312"/>
        </w:rPr>
        <w:t>中心城区重点发展电子信息、生物产业和高端装备。聚焦提升光电产业链群发展能力，加快中光学集团年产</w:t>
      </w:r>
      <w:r>
        <w:rPr>
          <w:rFonts w:hint="eastAsia" w:ascii="Times New Roman" w:hAnsi="Times New Roman" w:cs="仿宋_GB2312"/>
        </w:rPr>
        <w:t>220</w:t>
      </w:r>
      <w:r>
        <w:rPr>
          <w:rFonts w:hint="eastAsia" w:ascii="仿宋_GB2312" w:hAnsi="仿宋_GB2312" w:cs="仿宋_GB2312"/>
        </w:rPr>
        <w:t>万套微纳、AR、激光智能显示系统和高新区投资集团光学高端显示模组、豫信电科年产10亿件光学元器件生产基地、高新区博星光电有限公司联合光电高端显示模组、中光学新型显示和智能终端、盛峰光电年产</w:t>
      </w:r>
      <w:r>
        <w:rPr>
          <w:rFonts w:hint="eastAsia" w:ascii="Times New Roman" w:hAnsi="Times New Roman" w:cs="仿宋_GB2312"/>
        </w:rPr>
        <w:t>3000</w:t>
      </w:r>
      <w:r>
        <w:rPr>
          <w:rFonts w:hint="eastAsia" w:ascii="仿宋_GB2312" w:hAnsi="仿宋_GB2312" w:cs="仿宋_GB2312"/>
        </w:rPr>
        <w:t>万片光学镜片及组装</w:t>
      </w:r>
      <w:r>
        <w:rPr>
          <w:rFonts w:hint="eastAsia" w:ascii="Times New Roman" w:hAnsi="Times New Roman" w:cs="仿宋_GB2312"/>
        </w:rPr>
        <w:t>500</w:t>
      </w:r>
      <w:r>
        <w:rPr>
          <w:rFonts w:hint="eastAsia" w:ascii="仿宋_GB2312" w:hAnsi="仿宋_GB2312" w:cs="仿宋_GB2312"/>
        </w:rPr>
        <w:t>万套光学镜头、镀邦光电股份有限公司超硬功能镀膜面板、南阳福通实业有限公司中欧智能医疗及光电创新创业产业园、中德产业园等项目建设，</w:t>
      </w:r>
      <w:r>
        <w:rPr>
          <w:rFonts w:hint="eastAsia" w:ascii="仿宋_GB2312" w:hAnsi="仿宋_GB2312" w:cs="仿宋_GB2312"/>
          <w:lang w:val="en"/>
        </w:rPr>
        <w:t>着力打响“中光学</w:t>
      </w:r>
      <w:r>
        <w:rPr>
          <w:rFonts w:hint="eastAsia" w:ascii="仿宋_GB2312" w:hAnsi="仿宋_GB2312" w:cs="仿宋_GB2312"/>
        </w:rPr>
        <w:t>·</w:t>
      </w:r>
      <w:r>
        <w:rPr>
          <w:rFonts w:hint="eastAsia" w:ascii="仿宋_GB2312" w:hAnsi="仿宋_GB2312" w:cs="仿宋_GB2312"/>
          <w:lang w:val="en"/>
        </w:rPr>
        <w:t>COSTAR”“利达</w:t>
      </w:r>
      <w:r>
        <w:rPr>
          <w:rFonts w:hint="eastAsia" w:ascii="仿宋_GB2312" w:hAnsi="仿宋_GB2312" w:cs="仿宋_GB2312"/>
        </w:rPr>
        <w:t>·</w:t>
      </w:r>
      <w:r>
        <w:rPr>
          <w:rFonts w:hint="eastAsia" w:ascii="仿宋_GB2312" w:hAnsi="仿宋_GB2312" w:cs="仿宋_GB2312"/>
          <w:lang w:val="en"/>
        </w:rPr>
        <w:t>LIDA”“森霸传感”三大品牌，提高产业附加值和影响力,</w:t>
      </w:r>
      <w:r>
        <w:rPr>
          <w:rFonts w:hint="eastAsia" w:ascii="仿宋_GB2312" w:hAnsi="仿宋_GB2312" w:cs="仿宋_GB2312"/>
        </w:rPr>
        <w:t>努力打造“三中心，一基地”，推动光电产业“十四五”期间实现</w:t>
      </w:r>
      <w:r>
        <w:rPr>
          <w:rFonts w:hint="eastAsia" w:ascii="Times New Roman" w:hAnsi="Times New Roman" w:cs="仿宋_GB2312"/>
        </w:rPr>
        <w:t>1000</w:t>
      </w:r>
      <w:r>
        <w:rPr>
          <w:rFonts w:hint="eastAsia" w:ascii="仿宋_GB2312" w:hAnsi="仿宋_GB2312" w:cs="仿宋_GB2312"/>
        </w:rPr>
        <w:t>亿元产值、年产</w:t>
      </w:r>
      <w:r>
        <w:rPr>
          <w:rFonts w:hint="eastAsia" w:ascii="Times New Roman" w:hAnsi="Times New Roman" w:cs="仿宋_GB2312"/>
        </w:rPr>
        <w:t>10</w:t>
      </w:r>
      <w:r>
        <w:rPr>
          <w:rFonts w:hint="eastAsia" w:ascii="仿宋_GB2312" w:hAnsi="仿宋_GB2312" w:cs="仿宋_GB2312"/>
        </w:rPr>
        <w:t>亿只镜片、推出“N”个畅销终端名牌产品的“</w:t>
      </w:r>
      <w:r>
        <w:rPr>
          <w:rFonts w:hint="eastAsia" w:ascii="Times New Roman" w:hAnsi="Times New Roman" w:cs="仿宋_GB2312"/>
        </w:rPr>
        <w:t>1</w:t>
      </w:r>
      <w:r>
        <w:rPr>
          <w:rFonts w:hint="eastAsia" w:ascii="仿宋_GB2312" w:hAnsi="仿宋_GB2312" w:cs="仿宋_GB2312"/>
        </w:rPr>
        <w:t>＋</w:t>
      </w:r>
      <w:r>
        <w:rPr>
          <w:rFonts w:hint="eastAsia" w:ascii="Times New Roman" w:hAnsi="Times New Roman" w:cs="仿宋_GB2312"/>
        </w:rPr>
        <w:t>10</w:t>
      </w:r>
      <w:r>
        <w:rPr>
          <w:rFonts w:hint="eastAsia" w:ascii="仿宋_GB2312" w:hAnsi="仿宋_GB2312" w:cs="仿宋_GB2312"/>
        </w:rPr>
        <w:t>＋N”战略目标</w:t>
      </w:r>
      <w:r>
        <w:rPr>
          <w:rFonts w:hint="eastAsia" w:ascii="仿宋_GB2312" w:hAnsi="仿宋_GB2312" w:cs="仿宋_GB2312"/>
          <w:lang w:val="en"/>
        </w:rPr>
        <w:t>,</w:t>
      </w:r>
      <w:r>
        <w:rPr>
          <w:rFonts w:hint="eastAsia" w:ascii="仿宋_GB2312" w:hAnsi="仿宋_GB2312" w:cs="仿宋_GB2312"/>
        </w:rPr>
        <w:t>建设数字光电产业谷</w:t>
      </w:r>
      <w:r>
        <w:rPr>
          <w:rFonts w:hint="eastAsia" w:ascii="仿宋_GB2312" w:hAnsi="仿宋_GB2312" w:cs="仿宋_GB2312"/>
          <w:lang w:val="en"/>
        </w:rPr>
        <w:t>。</w:t>
      </w:r>
      <w:r>
        <w:rPr>
          <w:rFonts w:hint="eastAsia" w:ascii="仿宋_GB2312" w:hAnsi="仿宋_GB2312" w:cs="仿宋_GB2312"/>
        </w:rPr>
        <w:t>着力提升防爆产品智能化水平，加快防爆产业园、电驱产业园建设。在高新区谋划布局生物和新医药、中医药产业公共服务平台，加快推进广州博济医药研发平台落地建设；加快实施官庄工区启泰创新药物工业园和普康恒旺药业有限公司注射剂、玻尿酸及碳酸氢钠原料药项目。</w:t>
      </w:r>
      <w:r>
        <w:rPr>
          <w:rFonts w:hint="eastAsia" w:ascii="仿宋_GB2312" w:hAnsi="仿宋_GB2312" w:cs="仿宋_GB2312"/>
          <w:lang w:bidi="ar"/>
        </w:rPr>
        <w:t>依托新招引的上海浦科投资公司集成电路产业项目，制定半导体集成电路产业发展规划，努力打造河南省半导体集成电路产业基地</w:t>
      </w:r>
      <w:r>
        <w:rPr>
          <w:rFonts w:hint="eastAsia" w:ascii="仿宋_GB2312" w:hAnsi="仿宋_GB2312" w:cs="仿宋_GB2312"/>
          <w:bCs/>
        </w:rPr>
        <w:t>。</w:t>
      </w:r>
      <w:r>
        <w:rPr>
          <w:rFonts w:hint="eastAsia" w:ascii="仿宋_GB2312" w:hAnsi="仿宋_GB2312" w:cs="仿宋_GB2312"/>
        </w:rPr>
        <w:t>各县（市、区）根据确定的新兴产业建立推进机制，实施“一群一策”，培育一批各具特色的新兴产业集群。设立市级新兴产业投资引导基金和创业投资引导基金，建立省、市、县三级政府引导基金体系。力争“十四五”末，各县（市、区）设立</w:t>
      </w:r>
      <w:r>
        <w:rPr>
          <w:rFonts w:hint="eastAsia" w:ascii="Times New Roman" w:hAnsi="Times New Roman" w:cs="仿宋_GB2312"/>
        </w:rPr>
        <w:t>1</w:t>
      </w:r>
      <w:r>
        <w:rPr>
          <w:rFonts w:hint="eastAsia" w:ascii="仿宋_GB2312" w:hAnsi="仿宋_GB2312" w:cs="仿宋_GB2312"/>
        </w:rPr>
        <w:t>支新兴产业投资引导基金，每个先进制造业开发区内建设</w:t>
      </w:r>
      <w:r>
        <w:rPr>
          <w:rFonts w:hint="eastAsia" w:ascii="Times New Roman" w:hAnsi="Times New Roman" w:cs="仿宋_GB2312"/>
        </w:rPr>
        <w:t>1</w:t>
      </w:r>
      <w:r>
        <w:rPr>
          <w:rFonts w:hint="eastAsia" w:ascii="仿宋_GB2312" w:hAnsi="仿宋_GB2312" w:cs="仿宋_GB2312"/>
        </w:rPr>
        <w:t>个新兴产业专业园区。</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2" w:hRule="atLeast"/>
        </w:trPr>
        <w:tc>
          <w:tcPr>
            <w:tcW w:w="8720" w:type="dxa"/>
            <w:tcBorders>
              <w:tl2br w:val="nil"/>
              <w:tr2bl w:val="nil"/>
            </w:tcBorders>
            <w:vAlign w:val="center"/>
          </w:tcPr>
          <w:p>
            <w:pPr>
              <w:spacing w:line="400" w:lineRule="exact"/>
              <w:ind w:firstLine="600"/>
              <w:contextualSpacing/>
              <w:jc w:val="center"/>
              <w:rPr>
                <w:rFonts w:ascii="Times New Roman" w:hAnsi="Times New Roman" w:eastAsia="仿宋"/>
              </w:rPr>
            </w:pPr>
            <w:r>
              <w:rPr>
                <w:rFonts w:hint="eastAsia" w:ascii="黑体" w:hAnsi="黑体" w:eastAsia="黑体" w:cs="黑体"/>
                <w:sz w:val="28"/>
                <w:szCs w:val="28"/>
              </w:rPr>
              <w:t>专栏</w:t>
            </w:r>
            <w:r>
              <w:rPr>
                <w:rFonts w:hint="eastAsia" w:ascii="Times New Roman" w:hAnsi="Times New Roman" w:eastAsia="黑体" w:cs="黑体"/>
                <w:sz w:val="28"/>
                <w:szCs w:val="28"/>
              </w:rPr>
              <w:t>2：</w:t>
            </w:r>
            <w:r>
              <w:rPr>
                <w:rFonts w:hint="eastAsia" w:ascii="黑体" w:hAnsi="黑体" w:eastAsia="黑体" w:cs="黑体"/>
                <w:sz w:val="28"/>
                <w:szCs w:val="28"/>
              </w:rPr>
              <w:t>新兴产业供应链建设工程</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c>
          <w:tcPr>
            <w:tcW w:w="8720" w:type="dxa"/>
            <w:tcBorders>
              <w:tl2br w:val="nil"/>
              <w:tr2bl w:val="nil"/>
            </w:tcBorders>
          </w:tcPr>
          <w:p>
            <w:pPr>
              <w:spacing w:line="400" w:lineRule="exact"/>
              <w:ind w:firstLine="480" w:firstLineChars="200"/>
              <w:contextualSpacing/>
              <w:rPr>
                <w:rFonts w:ascii="仿宋_GB2312" w:hAnsi="仿宋_GB2312" w:cs="仿宋_GB2312"/>
                <w:sz w:val="24"/>
                <w:szCs w:val="24"/>
              </w:rPr>
            </w:pPr>
            <w:r>
              <w:rPr>
                <w:rFonts w:hint="eastAsia" w:ascii="楷体" w:hAnsi="楷体" w:eastAsia="楷体" w:cs="楷体"/>
                <w:sz w:val="24"/>
                <w:szCs w:val="24"/>
              </w:rPr>
              <w:t>1.电子信息产业供应链</w:t>
            </w:r>
            <w:r>
              <w:rPr>
                <w:rFonts w:hint="eastAsia" w:ascii="楷体" w:hAnsi="楷体" w:eastAsia="楷体" w:cs="楷体"/>
                <w:spacing w:val="-3"/>
                <w:kern w:val="0"/>
                <w:sz w:val="24"/>
                <w:lang w:val="zh-CN" w:bidi="zh-CN"/>
              </w:rPr>
              <w:t>建设工程</w:t>
            </w:r>
            <w:r>
              <w:rPr>
                <w:rFonts w:hint="eastAsia" w:ascii="楷体" w:hAnsi="楷体" w:eastAsia="楷体" w:cs="楷体"/>
                <w:sz w:val="24"/>
                <w:szCs w:val="24"/>
              </w:rPr>
              <w:t>。</w:t>
            </w:r>
            <w:r>
              <w:rPr>
                <w:rFonts w:hint="eastAsia" w:ascii="仿宋_GB2312" w:hAnsi="仿宋_GB2312" w:cs="仿宋_GB2312"/>
                <w:sz w:val="24"/>
                <w:szCs w:val="24"/>
              </w:rPr>
              <w:t>以中光学集团有限公司、乐凯华光印刷科技有限公司等企业为依托，巩固提升光学镀膜、镜片、镜头等冷光学元器件市场优势。加快推进超硬功能光学薄膜、柔性显示功能薄膜、特种功能薄膜及相关模组集成技术，提高真空镀膜设备、红外镀膜设备和溅射镀膜设备产业化进程。实施镀邦光电产业园等重点项目建设，建设国内外有较大影响的光学元组件基地、中国“膜都”和印刷电子新材料基地。</w:t>
            </w:r>
          </w:p>
          <w:p>
            <w:pPr>
              <w:spacing w:line="400" w:lineRule="exact"/>
              <w:ind w:firstLine="468"/>
              <w:contextualSpacing/>
              <w:rPr>
                <w:rFonts w:ascii="仿宋_GB2312" w:hAnsi="仿宋_GB2312" w:cs="仿宋_GB2312"/>
                <w:sz w:val="24"/>
                <w:szCs w:val="24"/>
              </w:rPr>
            </w:pPr>
            <w:r>
              <w:rPr>
                <w:rFonts w:hint="eastAsia" w:ascii="楷体" w:hAnsi="楷体" w:eastAsia="楷体" w:cs="楷体"/>
                <w:sz w:val="24"/>
                <w:szCs w:val="24"/>
                <w:lang w:val="zh-CN"/>
              </w:rPr>
              <w:t>2</w:t>
            </w:r>
            <w:r>
              <w:rPr>
                <w:rFonts w:hint="eastAsia" w:ascii="楷体" w:hAnsi="楷体" w:eastAsia="楷体" w:cs="楷体"/>
                <w:sz w:val="24"/>
                <w:szCs w:val="24"/>
              </w:rPr>
              <w:t>.现代中药产业供应链</w:t>
            </w:r>
            <w:r>
              <w:rPr>
                <w:rFonts w:hint="eastAsia" w:ascii="楷体" w:hAnsi="楷体" w:eastAsia="楷体" w:cs="楷体"/>
                <w:sz w:val="24"/>
                <w:szCs w:val="24"/>
                <w:lang w:val="zh-CN"/>
              </w:rPr>
              <w:t>建设工程。</w:t>
            </w:r>
            <w:r>
              <w:rPr>
                <w:rFonts w:hint="eastAsia" w:ascii="仿宋_GB2312" w:hAnsi="仿宋_GB2312" w:cs="仿宋_GB2312"/>
                <w:sz w:val="24"/>
                <w:szCs w:val="24"/>
              </w:rPr>
              <w:t>以仲景宛西制药股份有限公司、福森药业有限公司等为龙头，形成种植-加工-成药完整产业链条。加快南阳道地中药材开发，打响山茱萸、辛夷、裕丹参、桐桔梗、夏枯草、金银花等宛药品牌，推动大宗中药材规范化种植与特色中药材原生态种植。做大做强六味地黄丸、双黄连、小柴胡口服液等传统知名品牌，开展南阳道地中药材及特色品种现代化炮制提纯，深化品牌中药二次开发及仲景古方验方中成药开发，加快中药配方颗粒市场推广。</w:t>
            </w:r>
          </w:p>
          <w:p>
            <w:pPr>
              <w:spacing w:line="400" w:lineRule="exact"/>
              <w:ind w:firstLine="468"/>
              <w:contextualSpacing/>
              <w:rPr>
                <w:rFonts w:ascii="仿宋_GB2312" w:hAnsi="仿宋_GB2312" w:cs="仿宋_GB2312"/>
                <w:sz w:val="24"/>
                <w:szCs w:val="24"/>
              </w:rPr>
            </w:pPr>
            <w:r>
              <w:rPr>
                <w:rFonts w:hint="eastAsia" w:ascii="楷体" w:hAnsi="楷体" w:eastAsia="楷体" w:cs="楷体"/>
                <w:sz w:val="24"/>
                <w:szCs w:val="24"/>
                <w:lang w:val="zh-CN"/>
              </w:rPr>
              <w:t>3.防爆电气装备产业供应链建设工程。</w:t>
            </w:r>
            <w:r>
              <w:rPr>
                <w:rFonts w:hint="eastAsia" w:ascii="仿宋_GB2312" w:hAnsi="仿宋_GB2312" w:cs="仿宋_GB2312"/>
                <w:sz w:val="24"/>
                <w:szCs w:val="24"/>
              </w:rPr>
              <w:t>依托卧龙电气南阳防爆集团股份有限公司、防爆研究所、瑞发电气集团有限公司等龙头企业，重点开发防爆电机、高效节能电机、防爆节能风机等防爆电动机产品系列，以防爆材料和元器件为基础，以防爆电机为核心，推动南阳防爆技术研发、产品制造、集成服务和技术检测协同发展，提升航空航天、轨道交通、海洋工程等领域防爆设备集成化能力。推进卧龙电气出口型电机和大型电机生产基地建设，加快全球产业集聚和品牌国际化。</w:t>
            </w:r>
          </w:p>
          <w:p>
            <w:pPr>
              <w:spacing w:line="400" w:lineRule="exact"/>
              <w:ind w:firstLine="468"/>
              <w:contextualSpacing/>
              <w:rPr>
                <w:rFonts w:ascii="Times New Roman" w:hAnsi="Times New Roman" w:eastAsia="仿宋"/>
              </w:rPr>
            </w:pPr>
            <w:r>
              <w:rPr>
                <w:rFonts w:hint="eastAsia" w:ascii="楷体" w:hAnsi="楷体" w:eastAsia="楷体" w:cs="楷体"/>
                <w:sz w:val="24"/>
                <w:szCs w:val="24"/>
                <w:lang w:val="zh-CN"/>
              </w:rPr>
              <w:t>4.输变电装备产业供应链建设工程。</w:t>
            </w:r>
            <w:r>
              <w:rPr>
                <w:rFonts w:hint="eastAsia" w:ascii="仿宋_GB2312" w:hAnsi="仿宋_GB2312" w:cs="仿宋_GB2312"/>
                <w:sz w:val="24"/>
                <w:szCs w:val="24"/>
              </w:rPr>
              <w:t>以金冠电气股份有限公司、飞龙电力集团等龙头企业为引领，围绕避雷器、互感器、变压器、高压开关四大优势产品线，推动核心产品升级，积极开发特高压变电设备、新能源储能并网设备、坚强电网智能配电设备等高端产品，加快构建以变配电装备、输变电控制装备、输变电保护与监控装备、特高压交直流输变电成套装备、新能源并网设备的电力装备制造产业链条。推动金冠智能电气装备产业园建设，引领南阳输变电产业向高端化发展。</w:t>
            </w:r>
          </w:p>
        </w:tc>
      </w:tr>
    </w:tbl>
    <w:p>
      <w:pPr>
        <w:pStyle w:val="8"/>
        <w:spacing w:line="560" w:lineRule="exact"/>
        <w:ind w:firstLine="640"/>
        <w:contextualSpacing/>
        <w:jc w:val="center"/>
        <w:rPr>
          <w:rFonts w:ascii="楷体_GB2312" w:hAnsi="楷体_GB2312" w:eastAsia="楷体_GB2312" w:cs="楷体_GB2312"/>
          <w:b w:val="0"/>
          <w:lang w:val="zh-CN"/>
        </w:rPr>
      </w:pPr>
      <w:bookmarkStart w:id="1129" w:name="_Toc2060336968"/>
      <w:bookmarkStart w:id="1130" w:name="_Toc2137990456"/>
      <w:r>
        <w:rPr>
          <w:rFonts w:hint="eastAsia" w:ascii="楷体_GB2312" w:hAnsi="楷体_GB2312" w:eastAsia="楷体_GB2312" w:cs="楷体_GB2312"/>
          <w:b w:val="0"/>
          <w:lang w:val="zh-CN"/>
        </w:rPr>
        <w:t>第三节 布局未来产业供应链</w:t>
      </w:r>
      <w:bookmarkEnd w:id="1129"/>
      <w:bookmarkEnd w:id="1130"/>
    </w:p>
    <w:p>
      <w:pPr>
        <w:spacing w:line="560" w:lineRule="exact"/>
        <w:ind w:firstLine="640" w:firstLineChars="200"/>
        <w:contextualSpacing/>
        <w:rPr>
          <w:rFonts w:ascii="Times New Roman" w:hAnsi="Times New Roman" w:eastAsia="仿宋"/>
        </w:rPr>
      </w:pPr>
      <w:r>
        <w:rPr>
          <w:rFonts w:hint="eastAsia" w:ascii="仿宋_GB2312" w:hAnsi="仿宋_GB2312" w:cs="仿宋_GB2312"/>
          <w:shd w:val="clear" w:color="auto" w:fill="FFFFFF"/>
        </w:rPr>
        <w:t>把握全球技术变革和产业发展趋势，坚持“现有产业未来化”“未来技术产业化”思路，以中心城区为主，重点围绕氢能与储能、前沿新材料、量子信息、生命健康等未来产业，加快引进培育一批行业龙头企业和新型研发机构，推动一批未来产业项目落地。在氢能与储能、量子信息领域，探索前沿技术多路径融合，加强技术储备，奠定产业基础；在生命健康、前沿新材料产业领域，坚持超前部署，力争在关键环节、细分领域抢占发展先机。到</w:t>
      </w:r>
      <w:r>
        <w:rPr>
          <w:rFonts w:hint="eastAsia" w:ascii="Times New Roman" w:hAnsi="Times New Roman" w:cs="仿宋_GB2312"/>
          <w:shd w:val="clear" w:color="auto" w:fill="FFFFFF"/>
        </w:rPr>
        <w:t>2025</w:t>
      </w:r>
      <w:r>
        <w:rPr>
          <w:rFonts w:hint="eastAsia" w:ascii="仿宋_GB2312" w:hAnsi="仿宋_GB2312" w:cs="仿宋_GB2312"/>
          <w:shd w:val="clear" w:color="auto" w:fill="FFFFFF"/>
        </w:rPr>
        <w:t>年，力争全市</w:t>
      </w:r>
      <w:r>
        <w:rPr>
          <w:rFonts w:hint="eastAsia" w:ascii="仿宋_GB2312" w:hAnsi="仿宋_GB2312" w:cs="仿宋_GB2312"/>
        </w:rPr>
        <w:t>先导布局</w:t>
      </w:r>
      <w:r>
        <w:rPr>
          <w:rFonts w:hint="eastAsia" w:ascii="Times New Roman" w:hAnsi="Times New Roman" w:cs="仿宋_GB2312"/>
        </w:rPr>
        <w:t>2</w:t>
      </w:r>
      <w:r>
        <w:rPr>
          <w:rFonts w:hint="eastAsia" w:ascii="仿宋_GB2312" w:hAnsi="仿宋_GB2312" w:cs="仿宋_GB2312"/>
        </w:rPr>
        <w:t>～</w:t>
      </w:r>
      <w:r>
        <w:rPr>
          <w:rFonts w:hint="eastAsia" w:ascii="Times New Roman" w:hAnsi="Times New Roman" w:cs="仿宋_GB2312"/>
        </w:rPr>
        <w:t>3</w:t>
      </w:r>
      <w:r>
        <w:rPr>
          <w:rFonts w:hint="eastAsia" w:ascii="仿宋_GB2312" w:hAnsi="仿宋_GB2312" w:cs="仿宋_GB2312"/>
        </w:rPr>
        <w:t>个未来产业链。</w:t>
      </w:r>
    </w:p>
    <w:p>
      <w:pPr>
        <w:pStyle w:val="7"/>
        <w:spacing w:line="560" w:lineRule="exact"/>
        <w:contextualSpacing/>
        <w:jc w:val="center"/>
        <w:rPr>
          <w:b w:val="0"/>
          <w:lang w:val="zh-CN"/>
        </w:rPr>
      </w:pPr>
      <w:bookmarkStart w:id="1131" w:name="_Toc514655636"/>
      <w:bookmarkStart w:id="1132" w:name="_Toc634848307"/>
      <w:bookmarkStart w:id="1133" w:name="_Toc744023297"/>
      <w:r>
        <w:rPr>
          <w:rFonts w:hint="eastAsia"/>
          <w:b w:val="0"/>
          <w:lang w:val="zh-CN"/>
        </w:rPr>
        <w:t>第</w:t>
      </w:r>
      <w:r>
        <w:rPr>
          <w:b w:val="0"/>
          <w:lang w:val="zh-CN"/>
        </w:rPr>
        <w:t>四</w:t>
      </w:r>
      <w:r>
        <w:rPr>
          <w:rFonts w:hint="eastAsia"/>
          <w:b w:val="0"/>
          <w:lang w:val="zh-CN"/>
        </w:rPr>
        <w:t xml:space="preserve">章 </w:t>
      </w:r>
      <w:r>
        <w:rPr>
          <w:rFonts w:hint="eastAsia"/>
          <w:b w:val="0"/>
        </w:rPr>
        <w:t>实施</w:t>
      </w:r>
      <w:r>
        <w:rPr>
          <w:rFonts w:hint="eastAsia"/>
          <w:b w:val="0"/>
          <w:lang w:val="zh-CN"/>
        </w:rPr>
        <w:t>农</w:t>
      </w:r>
      <w:r>
        <w:rPr>
          <w:b w:val="0"/>
          <w:lang w:val="zh-CN"/>
        </w:rPr>
        <w:t>业集群</w:t>
      </w:r>
      <w:r>
        <w:rPr>
          <w:rFonts w:hint="eastAsia"/>
          <w:b w:val="0"/>
        </w:rPr>
        <w:t>化</w:t>
      </w:r>
      <w:r>
        <w:rPr>
          <w:b w:val="0"/>
          <w:lang w:val="zh-CN"/>
        </w:rPr>
        <w:t>发展</w:t>
      </w:r>
      <w:r>
        <w:rPr>
          <w:rFonts w:hint="eastAsia"/>
          <w:b w:val="0"/>
        </w:rPr>
        <w:t>战略</w:t>
      </w:r>
      <w:r>
        <w:rPr>
          <w:b w:val="0"/>
          <w:lang w:val="zh-CN"/>
        </w:rPr>
        <w:t>，优化农产品供应链</w:t>
      </w:r>
      <w:bookmarkEnd w:id="1131"/>
      <w:bookmarkEnd w:id="1132"/>
      <w:bookmarkEnd w:id="1133"/>
    </w:p>
    <w:p>
      <w:pPr>
        <w:spacing w:line="560" w:lineRule="exact"/>
        <w:ind w:firstLine="640"/>
        <w:contextualSpacing/>
        <w:rPr>
          <w:rFonts w:ascii="Times New Roman" w:hAnsi="Times New Roman"/>
        </w:rPr>
      </w:pPr>
      <w:r>
        <w:rPr>
          <w:rFonts w:ascii="Times New Roman" w:hAnsi="Times New Roman"/>
        </w:rPr>
        <w:t>立足八大</w:t>
      </w:r>
      <w:r>
        <w:rPr>
          <w:rFonts w:hint="eastAsia" w:ascii="Times New Roman" w:hAnsi="Times New Roman"/>
        </w:rPr>
        <w:t>特色</w:t>
      </w:r>
      <w:r>
        <w:rPr>
          <w:rFonts w:ascii="Times New Roman" w:hAnsi="Times New Roman"/>
        </w:rPr>
        <w:t>农业产业集群，以龙头企业为核心，以园区建设为载体，以现代科技为支撑，加快聚集资源要素，构建特色鲜明、结构合理、链条完整的农产品供应链。</w:t>
      </w:r>
    </w:p>
    <w:p>
      <w:pPr>
        <w:pStyle w:val="8"/>
        <w:spacing w:line="560" w:lineRule="exact"/>
        <w:ind w:firstLine="640"/>
        <w:contextualSpacing/>
        <w:jc w:val="center"/>
        <w:rPr>
          <w:rFonts w:ascii="楷体_GB2312" w:hAnsi="楷体_GB2312" w:eastAsia="楷体_GB2312" w:cs="楷体_GB2312"/>
          <w:b w:val="0"/>
        </w:rPr>
      </w:pPr>
      <w:bookmarkStart w:id="1134" w:name="_Toc319467227"/>
      <w:bookmarkStart w:id="1135" w:name="_Toc102673804"/>
      <w:r>
        <w:rPr>
          <w:rFonts w:hint="eastAsia" w:ascii="楷体_GB2312" w:hAnsi="楷体_GB2312" w:eastAsia="楷体_GB2312" w:cs="楷体_GB2312"/>
          <w:b w:val="0"/>
        </w:rPr>
        <w:t>第一</w:t>
      </w:r>
      <w:r>
        <w:rPr>
          <w:rFonts w:hint="eastAsia" w:ascii="楷体_GB2312" w:hAnsi="楷体_GB2312" w:eastAsia="楷体_GB2312" w:cs="楷体_GB2312"/>
          <w:b w:val="0"/>
          <w:lang w:val="zh-CN"/>
        </w:rPr>
        <w:t xml:space="preserve">节 </w:t>
      </w:r>
      <w:r>
        <w:rPr>
          <w:rFonts w:hint="eastAsia" w:ascii="楷体_GB2312" w:hAnsi="楷体_GB2312" w:eastAsia="楷体_GB2312" w:cs="楷体_GB2312"/>
          <w:b w:val="0"/>
        </w:rPr>
        <w:t>培育具有地域特色的</w:t>
      </w:r>
      <w:r>
        <w:rPr>
          <w:rFonts w:hint="eastAsia" w:ascii="楷体_GB2312" w:hAnsi="楷体_GB2312" w:eastAsia="楷体_GB2312" w:cs="楷体_GB2312"/>
          <w:b w:val="0"/>
          <w:lang w:val="zh-CN"/>
        </w:rPr>
        <w:t>现代</w:t>
      </w:r>
      <w:r>
        <w:rPr>
          <w:rFonts w:hint="eastAsia" w:ascii="楷体_GB2312" w:hAnsi="楷体_GB2312" w:eastAsia="楷体_GB2312" w:cs="楷体_GB2312"/>
          <w:b w:val="0"/>
        </w:rPr>
        <w:t>农业供应链</w:t>
      </w:r>
      <w:bookmarkEnd w:id="1134"/>
      <w:bookmarkEnd w:id="1135"/>
    </w:p>
    <w:p>
      <w:pPr>
        <w:spacing w:line="560" w:lineRule="exact"/>
        <w:ind w:firstLine="640"/>
        <w:contextualSpacing/>
        <w:rPr>
          <w:rFonts w:ascii="Times New Roman" w:hAnsi="Times New Roman"/>
        </w:rPr>
      </w:pPr>
      <w:r>
        <w:rPr>
          <w:rFonts w:ascii="Times New Roman" w:hAnsi="Times New Roman"/>
        </w:rPr>
        <w:t>以</w:t>
      </w:r>
      <w:r>
        <w:rPr>
          <w:rFonts w:hint="eastAsia" w:ascii="仿宋_GB2312" w:hAnsi="仿宋_GB2312" w:cs="仿宋_GB2312"/>
        </w:rPr>
        <w:t>牧原实业集团有限公司</w:t>
      </w:r>
      <w:r>
        <w:rPr>
          <w:rFonts w:ascii="Times New Roman" w:hAnsi="Times New Roman"/>
        </w:rPr>
        <w:t>为龙头，正大食品</w:t>
      </w:r>
      <w:r>
        <w:rPr>
          <w:rFonts w:hint="eastAsia" w:ascii="Times New Roman" w:hAnsi="Times New Roman"/>
        </w:rPr>
        <w:t>有限公司</w:t>
      </w:r>
      <w:r>
        <w:rPr>
          <w:rFonts w:ascii="Times New Roman" w:hAnsi="Times New Roman"/>
        </w:rPr>
        <w:t>、黄志牧业</w:t>
      </w:r>
      <w:r>
        <w:rPr>
          <w:rFonts w:hint="eastAsia" w:ascii="Times New Roman" w:hAnsi="Times New Roman"/>
        </w:rPr>
        <w:t>集团有限公司</w:t>
      </w:r>
      <w:r>
        <w:rPr>
          <w:rFonts w:ascii="Times New Roman" w:hAnsi="Times New Roman"/>
        </w:rPr>
        <w:t>、东嘉农牧</w:t>
      </w:r>
      <w:r>
        <w:rPr>
          <w:rFonts w:hint="eastAsia" w:ascii="Times New Roman" w:hAnsi="Times New Roman"/>
        </w:rPr>
        <w:t>开发有限公司</w:t>
      </w:r>
      <w:r>
        <w:rPr>
          <w:rFonts w:ascii="Times New Roman" w:hAnsi="Times New Roman"/>
        </w:rPr>
        <w:t>、科尔沁</w:t>
      </w:r>
      <w:r>
        <w:rPr>
          <w:rFonts w:hint="eastAsia" w:ascii="Times New Roman" w:hAnsi="Times New Roman"/>
        </w:rPr>
        <w:t>牛业南阳有限公司</w:t>
      </w:r>
      <w:r>
        <w:rPr>
          <w:rFonts w:ascii="Times New Roman" w:hAnsi="Times New Roman"/>
        </w:rPr>
        <w:t>、丰园禽业</w:t>
      </w:r>
      <w:r>
        <w:rPr>
          <w:rFonts w:hint="eastAsia" w:ascii="Times New Roman" w:hAnsi="Times New Roman"/>
        </w:rPr>
        <w:t>有限公司</w:t>
      </w:r>
      <w:r>
        <w:rPr>
          <w:rFonts w:ascii="Times New Roman" w:hAnsi="Times New Roman"/>
        </w:rPr>
        <w:t>、众益食业</w:t>
      </w:r>
      <w:r>
        <w:rPr>
          <w:rFonts w:hint="eastAsia" w:ascii="Times New Roman" w:hAnsi="Times New Roman"/>
        </w:rPr>
        <w:t>有限责任公司</w:t>
      </w:r>
      <w:r>
        <w:rPr>
          <w:rFonts w:ascii="Times New Roman" w:hAnsi="Times New Roman"/>
        </w:rPr>
        <w:t>等</w:t>
      </w:r>
      <w:r>
        <w:rPr>
          <w:rFonts w:hint="eastAsia" w:ascii="Times New Roman" w:hAnsi="Times New Roman"/>
        </w:rPr>
        <w:t>企业</w:t>
      </w:r>
      <w:r>
        <w:rPr>
          <w:rFonts w:ascii="Times New Roman" w:hAnsi="Times New Roman"/>
        </w:rPr>
        <w:t>为骨干</w:t>
      </w:r>
      <w:r>
        <w:rPr>
          <w:rFonts w:hint="eastAsia" w:ascii="Times New Roman" w:hAnsi="Times New Roman"/>
        </w:rPr>
        <w:t>，加快培育</w:t>
      </w:r>
      <w:r>
        <w:rPr>
          <w:rFonts w:ascii="Times New Roman" w:hAnsi="Times New Roman"/>
        </w:rPr>
        <w:t>肉食</w:t>
      </w:r>
      <w:r>
        <w:rPr>
          <w:rFonts w:hint="eastAsia" w:ascii="Times New Roman" w:hAnsi="Times New Roman"/>
        </w:rPr>
        <w:t>产业</w:t>
      </w:r>
      <w:r>
        <w:rPr>
          <w:rFonts w:ascii="Times New Roman" w:hAnsi="Times New Roman"/>
        </w:rPr>
        <w:t>供应链</w:t>
      </w:r>
      <w:r>
        <w:rPr>
          <w:rFonts w:hint="eastAsia" w:ascii="Times New Roman" w:hAnsi="Times New Roman"/>
        </w:rPr>
        <w:t>。</w:t>
      </w:r>
      <w:r>
        <w:rPr>
          <w:rFonts w:ascii="Times New Roman" w:hAnsi="Times New Roman"/>
        </w:rPr>
        <w:t>以</w:t>
      </w:r>
      <w:r>
        <w:rPr>
          <w:rFonts w:hint="eastAsia" w:ascii="仿宋_GB2312" w:hAnsi="仿宋_GB2312" w:cs="仿宋_GB2312"/>
        </w:rPr>
        <w:t>想念食品股份有限公司</w:t>
      </w:r>
      <w:r>
        <w:rPr>
          <w:rFonts w:ascii="Times New Roman" w:hAnsi="Times New Roman"/>
        </w:rPr>
        <w:t>为龙头，曹氏百川</w:t>
      </w:r>
      <w:r>
        <w:rPr>
          <w:rFonts w:hint="eastAsia" w:ascii="Times New Roman" w:hAnsi="Times New Roman"/>
        </w:rPr>
        <w:t>粮油食品股份有限公司</w:t>
      </w:r>
      <w:r>
        <w:rPr>
          <w:rFonts w:ascii="Times New Roman" w:hAnsi="Times New Roman"/>
        </w:rPr>
        <w:t>、久友面粉</w:t>
      </w:r>
      <w:r>
        <w:rPr>
          <w:rFonts w:hint="eastAsia" w:ascii="Times New Roman" w:hAnsi="Times New Roman"/>
        </w:rPr>
        <w:t>有限公司</w:t>
      </w:r>
      <w:r>
        <w:rPr>
          <w:rFonts w:ascii="Times New Roman" w:hAnsi="Times New Roman"/>
        </w:rPr>
        <w:t>、三源粮油</w:t>
      </w:r>
      <w:r>
        <w:rPr>
          <w:rFonts w:hint="eastAsia" w:ascii="Times New Roman" w:hAnsi="Times New Roman"/>
        </w:rPr>
        <w:t>食品有限责任公司</w:t>
      </w:r>
      <w:r>
        <w:rPr>
          <w:rFonts w:ascii="Times New Roman" w:hAnsi="Times New Roman"/>
        </w:rPr>
        <w:t>、吉祥结粮油</w:t>
      </w:r>
      <w:r>
        <w:rPr>
          <w:rFonts w:hint="eastAsia" w:ascii="Times New Roman" w:hAnsi="Times New Roman"/>
        </w:rPr>
        <w:t>食品有限公司</w:t>
      </w:r>
      <w:r>
        <w:rPr>
          <w:rFonts w:ascii="Times New Roman" w:hAnsi="Times New Roman"/>
        </w:rPr>
        <w:t>等为</w:t>
      </w:r>
      <w:r>
        <w:rPr>
          <w:rFonts w:hint="eastAsia" w:ascii="Times New Roman" w:hAnsi="Times New Roman"/>
        </w:rPr>
        <w:t>骨干，加快培育</w:t>
      </w:r>
      <w:r>
        <w:rPr>
          <w:rFonts w:ascii="Times New Roman" w:hAnsi="Times New Roman"/>
        </w:rPr>
        <w:t>粮</w:t>
      </w:r>
      <w:r>
        <w:rPr>
          <w:rFonts w:hint="eastAsia" w:ascii="Times New Roman" w:hAnsi="Times New Roman"/>
        </w:rPr>
        <w:t>油制品产业</w:t>
      </w:r>
      <w:r>
        <w:rPr>
          <w:rFonts w:ascii="Times New Roman" w:hAnsi="Times New Roman"/>
        </w:rPr>
        <w:t>供应链</w:t>
      </w:r>
      <w:r>
        <w:rPr>
          <w:rFonts w:hint="eastAsia" w:ascii="Times New Roman" w:hAnsi="Times New Roman"/>
        </w:rPr>
        <w:t>。</w:t>
      </w:r>
      <w:r>
        <w:rPr>
          <w:rFonts w:ascii="Times New Roman" w:hAnsi="Times New Roman"/>
        </w:rPr>
        <w:t>以</w:t>
      </w:r>
      <w:r>
        <w:rPr>
          <w:rFonts w:hint="eastAsia" w:ascii="仿宋_GB2312" w:hAnsi="仿宋_GB2312" w:cs="仿宋_GB2312"/>
        </w:rPr>
        <w:t>仲景食品股份有限公司</w:t>
      </w:r>
      <w:r>
        <w:rPr>
          <w:rFonts w:ascii="Times New Roman" w:hAnsi="Times New Roman"/>
        </w:rPr>
        <w:t>为龙头，家家宝食品</w:t>
      </w:r>
      <w:r>
        <w:rPr>
          <w:rFonts w:hint="eastAsia" w:ascii="Times New Roman" w:hAnsi="Times New Roman"/>
        </w:rPr>
        <w:t>有限公司</w:t>
      </w:r>
      <w:r>
        <w:rPr>
          <w:rFonts w:ascii="Times New Roman" w:hAnsi="Times New Roman"/>
        </w:rPr>
        <w:t>、百菌园生态农业</w:t>
      </w:r>
      <w:r>
        <w:rPr>
          <w:rFonts w:hint="eastAsia" w:ascii="Times New Roman" w:hAnsi="Times New Roman"/>
        </w:rPr>
        <w:t>科技有限公司</w:t>
      </w:r>
      <w:r>
        <w:rPr>
          <w:rFonts w:ascii="Times New Roman" w:hAnsi="Times New Roman"/>
        </w:rPr>
        <w:t>、九顺达实业</w:t>
      </w:r>
      <w:r>
        <w:rPr>
          <w:rFonts w:hint="eastAsia" w:ascii="Times New Roman" w:hAnsi="Times New Roman"/>
        </w:rPr>
        <w:t>有限公司</w:t>
      </w:r>
      <w:r>
        <w:rPr>
          <w:rFonts w:ascii="Times New Roman" w:hAnsi="Times New Roman"/>
        </w:rPr>
        <w:t>、康润源食品等为</w:t>
      </w:r>
      <w:r>
        <w:rPr>
          <w:rFonts w:hint="eastAsia" w:ascii="Times New Roman" w:hAnsi="Times New Roman"/>
        </w:rPr>
        <w:t>骨干，加快培育</w:t>
      </w:r>
      <w:r>
        <w:rPr>
          <w:rFonts w:ascii="Times New Roman" w:hAnsi="Times New Roman"/>
        </w:rPr>
        <w:t>食用菌</w:t>
      </w:r>
      <w:r>
        <w:rPr>
          <w:rFonts w:hint="eastAsia" w:ascii="Times New Roman" w:hAnsi="Times New Roman"/>
        </w:rPr>
        <w:t>产业</w:t>
      </w:r>
      <w:r>
        <w:rPr>
          <w:rFonts w:ascii="Times New Roman" w:hAnsi="Times New Roman"/>
        </w:rPr>
        <w:t>供应链</w:t>
      </w:r>
      <w:r>
        <w:rPr>
          <w:rFonts w:hint="eastAsia" w:ascii="Times New Roman" w:hAnsi="Times New Roman"/>
        </w:rPr>
        <w:t>。</w:t>
      </w:r>
      <w:r>
        <w:rPr>
          <w:rFonts w:ascii="Times New Roman" w:hAnsi="Times New Roman"/>
        </w:rPr>
        <w:t>以</w:t>
      </w:r>
      <w:r>
        <w:rPr>
          <w:rFonts w:hint="eastAsia" w:ascii="仿宋_GB2312" w:hAnsi="仿宋_GB2312" w:cs="仿宋_GB2312"/>
        </w:rPr>
        <w:t>仲景宛西制药股份有限公司</w:t>
      </w:r>
      <w:r>
        <w:rPr>
          <w:rFonts w:ascii="Times New Roman" w:hAnsi="Times New Roman"/>
        </w:rPr>
        <w:t>为龙头，</w:t>
      </w:r>
      <w:r>
        <w:rPr>
          <w:rFonts w:hint="eastAsia" w:ascii="仿宋_GB2312" w:hAnsi="仿宋_GB2312" w:cs="仿宋_GB2312"/>
        </w:rPr>
        <w:t>福森药业有限公司</w:t>
      </w:r>
      <w:r>
        <w:rPr>
          <w:rFonts w:ascii="Times New Roman" w:hAnsi="Times New Roman"/>
        </w:rPr>
        <w:t>、国医仲景艾草</w:t>
      </w:r>
      <w:r>
        <w:rPr>
          <w:rFonts w:hint="eastAsia" w:ascii="Times New Roman" w:hAnsi="Times New Roman"/>
        </w:rPr>
        <w:t>产业集团有限公司</w:t>
      </w:r>
      <w:r>
        <w:rPr>
          <w:rFonts w:ascii="Times New Roman" w:hAnsi="Times New Roman"/>
        </w:rPr>
        <w:t>、芝元堂药业</w:t>
      </w:r>
      <w:r>
        <w:rPr>
          <w:rFonts w:hint="eastAsia" w:ascii="Times New Roman" w:hAnsi="Times New Roman"/>
        </w:rPr>
        <w:t>有限公司</w:t>
      </w:r>
      <w:r>
        <w:rPr>
          <w:rFonts w:ascii="Times New Roman" w:hAnsi="Times New Roman"/>
        </w:rPr>
        <w:t>等为</w:t>
      </w:r>
      <w:r>
        <w:rPr>
          <w:rFonts w:hint="eastAsia" w:ascii="Times New Roman" w:hAnsi="Times New Roman"/>
        </w:rPr>
        <w:t>骨干，加快培育</w:t>
      </w:r>
      <w:r>
        <w:rPr>
          <w:rFonts w:ascii="Times New Roman" w:hAnsi="Times New Roman"/>
        </w:rPr>
        <w:t>中药材</w:t>
      </w:r>
      <w:r>
        <w:rPr>
          <w:rFonts w:hint="eastAsia" w:ascii="Times New Roman" w:hAnsi="Times New Roman"/>
        </w:rPr>
        <w:t>产业</w:t>
      </w:r>
      <w:r>
        <w:rPr>
          <w:rFonts w:ascii="Times New Roman" w:hAnsi="Times New Roman"/>
        </w:rPr>
        <w:t>供应链</w:t>
      </w:r>
      <w:r>
        <w:rPr>
          <w:rFonts w:hint="eastAsia" w:ascii="Times New Roman" w:hAnsi="Times New Roman"/>
        </w:rPr>
        <w:t>。</w:t>
      </w:r>
      <w:r>
        <w:rPr>
          <w:rFonts w:ascii="Times New Roman" w:hAnsi="Times New Roman"/>
        </w:rPr>
        <w:t>以南阳月季基地为龙头，新艺木业、锦天园林、东方茧丝绸、丹峰山茶叶、昌宇农林等为</w:t>
      </w:r>
      <w:r>
        <w:rPr>
          <w:rFonts w:hint="eastAsia" w:ascii="Times New Roman" w:hAnsi="Times New Roman"/>
        </w:rPr>
        <w:t>骨干，加快培育</w:t>
      </w:r>
      <w:r>
        <w:rPr>
          <w:rFonts w:ascii="Times New Roman" w:hAnsi="Times New Roman"/>
        </w:rPr>
        <w:t>林产品</w:t>
      </w:r>
      <w:r>
        <w:rPr>
          <w:rFonts w:hint="eastAsia" w:ascii="Times New Roman" w:hAnsi="Times New Roman"/>
        </w:rPr>
        <w:t>产业</w:t>
      </w:r>
      <w:r>
        <w:rPr>
          <w:rFonts w:ascii="Times New Roman" w:hAnsi="Times New Roman"/>
        </w:rPr>
        <w:t>供应链</w:t>
      </w:r>
      <w:r>
        <w:rPr>
          <w:rFonts w:hint="eastAsia" w:ascii="Times New Roman" w:hAnsi="Times New Roman"/>
        </w:rPr>
        <w:t>。</w:t>
      </w:r>
      <w:r>
        <w:rPr>
          <w:rFonts w:ascii="Times New Roman" w:hAnsi="Times New Roman"/>
        </w:rPr>
        <w:t>以恒利康</w:t>
      </w:r>
      <w:r>
        <w:rPr>
          <w:rFonts w:hint="eastAsia" w:ascii="Times New Roman" w:hAnsi="Times New Roman"/>
        </w:rPr>
        <w:t>生物科技股份有限公司</w:t>
      </w:r>
      <w:r>
        <w:rPr>
          <w:rFonts w:ascii="Times New Roman" w:hAnsi="Times New Roman"/>
        </w:rPr>
        <w:t>为龙头，果然风情</w:t>
      </w:r>
      <w:r>
        <w:rPr>
          <w:rFonts w:hint="eastAsia" w:ascii="Times New Roman" w:hAnsi="Times New Roman"/>
        </w:rPr>
        <w:t>实业有限公司</w:t>
      </w:r>
      <w:r>
        <w:rPr>
          <w:rFonts w:ascii="Times New Roman" w:hAnsi="Times New Roman"/>
        </w:rPr>
        <w:t>、满义农业</w:t>
      </w:r>
      <w:r>
        <w:rPr>
          <w:rFonts w:hint="eastAsia" w:ascii="Times New Roman" w:hAnsi="Times New Roman"/>
        </w:rPr>
        <w:t>发展有限公司</w:t>
      </w:r>
      <w:r>
        <w:rPr>
          <w:rFonts w:ascii="Times New Roman" w:hAnsi="Times New Roman"/>
        </w:rPr>
        <w:t>、三乐元</w:t>
      </w:r>
      <w:r>
        <w:rPr>
          <w:rFonts w:hint="eastAsia" w:ascii="Times New Roman" w:hAnsi="Times New Roman"/>
        </w:rPr>
        <w:t>食品科技有限公司、</w:t>
      </w:r>
      <w:r>
        <w:rPr>
          <w:rFonts w:ascii="Times New Roman" w:hAnsi="Times New Roman"/>
        </w:rPr>
        <w:t>仁和康源</w:t>
      </w:r>
      <w:r>
        <w:rPr>
          <w:rFonts w:hint="eastAsia" w:ascii="Times New Roman" w:hAnsi="Times New Roman"/>
        </w:rPr>
        <w:t>农业发展有限公司</w:t>
      </w:r>
      <w:r>
        <w:rPr>
          <w:rFonts w:ascii="Times New Roman" w:hAnsi="Times New Roman"/>
        </w:rPr>
        <w:t>等为</w:t>
      </w:r>
      <w:r>
        <w:rPr>
          <w:rFonts w:hint="eastAsia" w:ascii="Times New Roman" w:hAnsi="Times New Roman"/>
        </w:rPr>
        <w:t>骨干，加快培育</w:t>
      </w:r>
      <w:r>
        <w:rPr>
          <w:rFonts w:ascii="Times New Roman" w:hAnsi="Times New Roman"/>
        </w:rPr>
        <w:t>果蔬</w:t>
      </w:r>
      <w:r>
        <w:rPr>
          <w:rFonts w:hint="eastAsia" w:ascii="Times New Roman" w:hAnsi="Times New Roman"/>
        </w:rPr>
        <w:t>产业</w:t>
      </w:r>
      <w:r>
        <w:rPr>
          <w:rFonts w:ascii="Times New Roman" w:hAnsi="Times New Roman"/>
        </w:rPr>
        <w:t>供应链</w:t>
      </w:r>
      <w:r>
        <w:rPr>
          <w:rFonts w:hint="eastAsia" w:ascii="Times New Roman" w:hAnsi="Times New Roman"/>
        </w:rPr>
        <w:t>。</w:t>
      </w:r>
      <w:r>
        <w:rPr>
          <w:rFonts w:ascii="Times New Roman" w:hAnsi="Times New Roman"/>
        </w:rPr>
        <w:t>以三色鸽</w:t>
      </w:r>
      <w:r>
        <w:rPr>
          <w:rFonts w:hint="eastAsia" w:ascii="Times New Roman" w:hAnsi="Times New Roman"/>
        </w:rPr>
        <w:t>食品有限公司</w:t>
      </w:r>
      <w:r>
        <w:rPr>
          <w:rFonts w:ascii="Times New Roman" w:hAnsi="Times New Roman"/>
        </w:rPr>
        <w:t>为龙头，盛全农牧</w:t>
      </w:r>
      <w:r>
        <w:rPr>
          <w:rFonts w:hint="eastAsia" w:ascii="Times New Roman" w:hAnsi="Times New Roman"/>
        </w:rPr>
        <w:t>有限公司</w:t>
      </w:r>
      <w:r>
        <w:rPr>
          <w:rFonts w:ascii="Times New Roman" w:hAnsi="Times New Roman"/>
        </w:rPr>
        <w:t>、新太阳乳业</w:t>
      </w:r>
      <w:r>
        <w:rPr>
          <w:rFonts w:hint="eastAsia" w:ascii="Times New Roman" w:hAnsi="Times New Roman"/>
        </w:rPr>
        <w:t>有限公司</w:t>
      </w:r>
      <w:r>
        <w:rPr>
          <w:rFonts w:ascii="Times New Roman" w:hAnsi="Times New Roman"/>
        </w:rPr>
        <w:t>、健羊牧业</w:t>
      </w:r>
      <w:r>
        <w:rPr>
          <w:rFonts w:hint="eastAsia" w:ascii="Times New Roman" w:hAnsi="Times New Roman"/>
        </w:rPr>
        <w:t>有限公司</w:t>
      </w:r>
      <w:r>
        <w:rPr>
          <w:rFonts w:ascii="Times New Roman" w:hAnsi="Times New Roman"/>
        </w:rPr>
        <w:t>等为</w:t>
      </w:r>
      <w:r>
        <w:rPr>
          <w:rFonts w:hint="eastAsia" w:ascii="Times New Roman" w:hAnsi="Times New Roman"/>
        </w:rPr>
        <w:t>骨干，加快培育</w:t>
      </w:r>
      <w:r>
        <w:rPr>
          <w:rFonts w:ascii="Times New Roman" w:hAnsi="Times New Roman"/>
        </w:rPr>
        <w:t>乳制品</w:t>
      </w:r>
      <w:r>
        <w:rPr>
          <w:rFonts w:hint="eastAsia" w:ascii="Times New Roman" w:hAnsi="Times New Roman"/>
        </w:rPr>
        <w:t>产业</w:t>
      </w:r>
      <w:r>
        <w:rPr>
          <w:rFonts w:ascii="Times New Roman" w:hAnsi="Times New Roman"/>
        </w:rPr>
        <w:t>供应链</w:t>
      </w:r>
      <w:r>
        <w:rPr>
          <w:rFonts w:hint="eastAsia" w:ascii="Times New Roman" w:hAnsi="Times New Roman"/>
        </w:rPr>
        <w:t>。</w:t>
      </w:r>
      <w:r>
        <w:rPr>
          <w:rFonts w:ascii="Times New Roman" w:hAnsi="Times New Roman"/>
        </w:rPr>
        <w:t>以</w:t>
      </w:r>
      <w:r>
        <w:rPr>
          <w:rFonts w:hint="eastAsia" w:ascii="仿宋_GB2312" w:hAnsi="仿宋_GB2312" w:cs="仿宋_GB2312"/>
        </w:rPr>
        <w:t>赊店酒业有限公司</w:t>
      </w:r>
      <w:r>
        <w:rPr>
          <w:rFonts w:ascii="Times New Roman" w:hAnsi="Times New Roman"/>
        </w:rPr>
        <w:t>为龙头，邓州光照酒业</w:t>
      </w:r>
      <w:r>
        <w:rPr>
          <w:rFonts w:hint="eastAsia" w:ascii="Times New Roman" w:hAnsi="Times New Roman"/>
        </w:rPr>
        <w:t>有限公司</w:t>
      </w:r>
      <w:r>
        <w:rPr>
          <w:rFonts w:ascii="Times New Roman" w:hAnsi="Times New Roman"/>
        </w:rPr>
        <w:t>、新野</w:t>
      </w:r>
      <w:r>
        <w:rPr>
          <w:rFonts w:hint="eastAsia" w:ascii="Times New Roman" w:hAnsi="Times New Roman"/>
        </w:rPr>
        <w:t>龙潭尧宝黄酒有限公司等为骨干，加快培育</w:t>
      </w:r>
      <w:r>
        <w:rPr>
          <w:rFonts w:ascii="Times New Roman" w:hAnsi="Times New Roman"/>
        </w:rPr>
        <w:t>酒业供应链。</w:t>
      </w:r>
    </w:p>
    <w:p>
      <w:pPr>
        <w:pStyle w:val="8"/>
        <w:spacing w:line="560" w:lineRule="exact"/>
        <w:ind w:firstLine="640"/>
        <w:contextualSpacing/>
        <w:jc w:val="center"/>
        <w:rPr>
          <w:rFonts w:ascii="楷体_GB2312" w:hAnsi="楷体_GB2312" w:eastAsia="楷体_GB2312" w:cs="楷体_GB2312"/>
          <w:b w:val="0"/>
        </w:rPr>
      </w:pPr>
      <w:bookmarkStart w:id="1136" w:name="_Toc1341535625"/>
      <w:bookmarkStart w:id="1137" w:name="_Toc1637900265"/>
      <w:r>
        <w:rPr>
          <w:rFonts w:hint="eastAsia" w:ascii="楷体_GB2312" w:hAnsi="楷体_GB2312" w:eastAsia="楷体_GB2312" w:cs="楷体_GB2312"/>
          <w:b w:val="0"/>
        </w:rPr>
        <w:t>第二</w:t>
      </w:r>
      <w:r>
        <w:rPr>
          <w:rFonts w:hint="eastAsia" w:ascii="楷体_GB2312" w:hAnsi="楷体_GB2312" w:eastAsia="楷体_GB2312" w:cs="楷体_GB2312"/>
          <w:b w:val="0"/>
          <w:lang w:val="zh-CN"/>
        </w:rPr>
        <w:t xml:space="preserve">节 </w:t>
      </w:r>
      <w:r>
        <w:rPr>
          <w:rFonts w:hint="eastAsia" w:ascii="楷体_GB2312" w:hAnsi="楷体_GB2312" w:eastAsia="楷体_GB2312" w:cs="楷体_GB2312"/>
          <w:b w:val="0"/>
        </w:rPr>
        <w:t>建设全国生猪全链条生产加工基地</w:t>
      </w:r>
      <w:bookmarkEnd w:id="1136"/>
      <w:bookmarkEnd w:id="1137"/>
    </w:p>
    <w:p>
      <w:pPr>
        <w:spacing w:line="560" w:lineRule="exact"/>
        <w:ind w:firstLine="640"/>
        <w:contextualSpacing/>
        <w:rPr>
          <w:rFonts w:ascii="Times New Roman" w:hAnsi="Times New Roman"/>
        </w:rPr>
      </w:pPr>
      <w:r>
        <w:rPr>
          <w:rFonts w:hint="eastAsia" w:ascii="Times New Roman" w:hAnsi="Times New Roman"/>
        </w:rPr>
        <w:t>抢抓生猪产业升级重大机遇，加快推进牧原集团“百场千万”工程，配套建设饲料加工、生猪屠宰、食品加工、装备制造等项目，形成生猪养殖2000万头、产值1500亿元以上的肉食产业集群。以建设全球猪肉食品链链长为目标，加快发展生猪养殖上游的农牧装备产业和下游的肉食品加工产业，打通从饲料加工、</w:t>
      </w:r>
      <w:r>
        <w:rPr>
          <w:rFonts w:ascii="Times New Roman" w:hAnsi="Times New Roman"/>
        </w:rPr>
        <w:t>种猪育种、养殖到生猪屠宰、肉食品加工以及配套的物流、冷链、金融等现代猪产业全链条各环节，建设食品产业园、养猪产业大数据云中心、农牧装备制造园、智能装备制造园、生物制品生产、疫病检测等产业园区、工程技术研究中心和重点实验室，将南阳建成全国最大的肉食品生产加工基地。</w:t>
      </w:r>
    </w:p>
    <w:p>
      <w:pPr>
        <w:pStyle w:val="8"/>
        <w:spacing w:line="560" w:lineRule="exact"/>
        <w:ind w:firstLine="640"/>
        <w:contextualSpacing/>
        <w:jc w:val="center"/>
        <w:rPr>
          <w:rFonts w:ascii="楷体_GB2312" w:hAnsi="楷体_GB2312" w:eastAsia="楷体_GB2312" w:cs="楷体_GB2312"/>
          <w:b w:val="0"/>
        </w:rPr>
      </w:pPr>
      <w:bookmarkStart w:id="1138" w:name="_Toc197930291"/>
      <w:bookmarkStart w:id="1139" w:name="_Toc296647915"/>
      <w:r>
        <w:rPr>
          <w:rFonts w:hint="eastAsia" w:ascii="楷体_GB2312" w:hAnsi="楷体_GB2312" w:eastAsia="楷体_GB2312" w:cs="楷体_GB2312"/>
          <w:b w:val="0"/>
        </w:rPr>
        <w:t>第三</w:t>
      </w:r>
      <w:r>
        <w:rPr>
          <w:rFonts w:hint="eastAsia" w:ascii="楷体_GB2312" w:hAnsi="楷体_GB2312" w:eastAsia="楷体_GB2312" w:cs="楷体_GB2312"/>
          <w:b w:val="0"/>
          <w:lang w:val="zh-CN"/>
        </w:rPr>
        <w:t xml:space="preserve">节 </w:t>
      </w:r>
      <w:r>
        <w:rPr>
          <w:rFonts w:hint="eastAsia" w:ascii="楷体_GB2312" w:hAnsi="楷体_GB2312" w:eastAsia="楷体_GB2312" w:cs="楷体_GB2312"/>
          <w:b w:val="0"/>
        </w:rPr>
        <w:t>打造豫鄂陕毗邻地区重要的农副产品冷链基地</w:t>
      </w:r>
      <w:bookmarkEnd w:id="1138"/>
      <w:bookmarkEnd w:id="1139"/>
    </w:p>
    <w:p>
      <w:pPr>
        <w:spacing w:line="560" w:lineRule="exact"/>
        <w:ind w:firstLine="640"/>
        <w:contextualSpacing/>
        <w:rPr>
          <w:rFonts w:ascii="Times New Roman" w:hAnsi="Times New Roman"/>
        </w:rPr>
      </w:pPr>
      <w:r>
        <w:rPr>
          <w:rFonts w:hint="eastAsia" w:ascii="Times New Roman" w:hAnsi="Times New Roman"/>
        </w:rPr>
        <w:t>加强冷链物流设施设备信息化改造，加快推进农产品冷链物流产业园、东森医药物流中心、牧原智慧物流园等重点冷链项目建设，形成一批规模较大、信息化较强的冷链基础设施。</w:t>
      </w:r>
      <w:bookmarkStart w:id="1140" w:name="_Hlk85742032"/>
      <w:r>
        <w:rPr>
          <w:rFonts w:hint="eastAsia" w:ascii="Times New Roman" w:hAnsi="Times New Roman"/>
        </w:rPr>
        <w:t>引进食品、药品类区域性冷链仓储、分拨中心项目，支持发展“电商+冷链物流”“农批零对接”等零售模式，建设城市大型生鲜农产品直供中心，将我市打造成为服务豫鄂陕餐饮、食品产业的“大冰柜”“中央厨房”。规范冷链物流市场，利用大数据、物联网等数字技术，构建冷链物流产业全程质量监控和追溯体系。</w:t>
      </w:r>
      <w:bookmarkEnd w:id="1140"/>
    </w:p>
    <w:p>
      <w:pPr>
        <w:pStyle w:val="8"/>
        <w:spacing w:line="560" w:lineRule="exact"/>
        <w:ind w:firstLine="640"/>
        <w:contextualSpacing/>
        <w:jc w:val="center"/>
        <w:rPr>
          <w:rFonts w:ascii="楷体_GB2312" w:hAnsi="楷体_GB2312" w:eastAsia="楷体_GB2312" w:cs="楷体_GB2312"/>
          <w:b w:val="0"/>
        </w:rPr>
      </w:pPr>
      <w:bookmarkStart w:id="1141" w:name="_Toc1374451806"/>
      <w:bookmarkStart w:id="1142" w:name="_Toc773480091"/>
      <w:r>
        <w:rPr>
          <w:rFonts w:hint="eastAsia" w:ascii="楷体_GB2312" w:hAnsi="楷体_GB2312" w:eastAsia="楷体_GB2312" w:cs="楷体_GB2312"/>
          <w:b w:val="0"/>
        </w:rPr>
        <w:t>第四</w:t>
      </w:r>
      <w:r>
        <w:rPr>
          <w:rFonts w:hint="eastAsia" w:ascii="楷体_GB2312" w:hAnsi="楷体_GB2312" w:eastAsia="楷体_GB2312" w:cs="楷体_GB2312"/>
          <w:b w:val="0"/>
          <w:lang w:val="zh-CN"/>
        </w:rPr>
        <w:t xml:space="preserve">节 </w:t>
      </w:r>
      <w:r>
        <w:rPr>
          <w:rFonts w:hint="eastAsia" w:ascii="楷体_GB2312" w:hAnsi="楷体_GB2312" w:eastAsia="楷体_GB2312" w:cs="楷体_GB2312"/>
          <w:b w:val="0"/>
        </w:rPr>
        <w:t>创新农业供应链组织形式</w:t>
      </w:r>
      <w:bookmarkEnd w:id="1141"/>
      <w:bookmarkEnd w:id="1142"/>
    </w:p>
    <w:p>
      <w:pPr>
        <w:spacing w:line="560" w:lineRule="exact"/>
        <w:ind w:firstLine="640"/>
        <w:contextualSpacing/>
        <w:rPr>
          <w:rFonts w:ascii="Times New Roman" w:hAnsi="Times New Roman"/>
        </w:rPr>
      </w:pPr>
      <w:r>
        <w:rPr>
          <w:rFonts w:hint="eastAsia" w:ascii="Times New Roman" w:hAnsi="Times New Roman"/>
        </w:rPr>
        <w:t>大力培育以龙头企业为核心、农民专业合作社为纽带、家庭农场和种养大户为基础的农业产业化联合体，引导经营主体间通过订单、合同等契约方式，以入股分红、利润返还、贷款担保、土地流转等方式形成紧密的供应链利益共同体。优先选择粮食、果蔬、茶叶、药材、乳制品、蛋品、肉品等我市优势农产品，以规模化种养基地为基础，大力发展“公司+基地”“公司+合作社+基地”等组织模式，打造集农产品生产、加工、流通和服务于一体的供应链体系。积极培育壮大社会化、市场化农产品产销对接平台，大力推广小麦、花生、家禽、林果等订单化生产模式，鼓励发展水果干果、蔬菜食用菌、牛肉、牛奶等特色农产品直销，打造“厂家直供、基地直采”高效便捷的农产品供应链。充分利用京宛合作、豫沪合作平台，支持农业产业化龙头企业与北京、上海等城市农产品经销商建立长期合作关系，提高我市优质特色农产品市场占有率。</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trPr>
        <w:tc>
          <w:tcPr>
            <w:tcW w:w="8720" w:type="dxa"/>
            <w:tcBorders>
              <w:top w:val="single" w:color="auto" w:sz="4" w:space="0"/>
              <w:left w:val="single" w:color="auto" w:sz="4" w:space="0"/>
              <w:right w:val="single" w:color="auto" w:sz="4" w:space="0"/>
            </w:tcBorders>
            <w:vAlign w:val="center"/>
          </w:tcPr>
          <w:p>
            <w:pPr>
              <w:spacing w:line="400" w:lineRule="exact"/>
              <w:ind w:firstLine="600"/>
              <w:contextualSpacing/>
              <w:jc w:val="center"/>
              <w:rPr>
                <w:rFonts w:ascii="Times New Roman" w:hAnsi="Times New Roman" w:eastAsia="仿宋"/>
              </w:rPr>
            </w:pPr>
            <w:bookmarkStart w:id="1143" w:name="_Toc89370861"/>
            <w:bookmarkStart w:id="1144" w:name="_Toc89415770"/>
            <w:r>
              <w:rPr>
                <w:rFonts w:hint="eastAsia" w:ascii="黑体" w:hAnsi="黑体" w:eastAsia="黑体" w:cs="黑体"/>
                <w:sz w:val="28"/>
                <w:szCs w:val="28"/>
              </w:rPr>
              <w:t>专栏3：重点农产品供应链建设工程</w:t>
            </w:r>
            <w:bookmarkEnd w:id="1143"/>
            <w:bookmarkEnd w:id="11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20" w:type="dxa"/>
          </w:tcPr>
          <w:p>
            <w:pPr>
              <w:spacing w:line="400" w:lineRule="exact"/>
              <w:ind w:firstLine="480" w:firstLineChars="200"/>
              <w:contextualSpacing/>
              <w:rPr>
                <w:rFonts w:ascii="仿宋_GB2312" w:hAnsi="仿宋_GB2312" w:cs="仿宋_GB2312"/>
                <w:sz w:val="24"/>
                <w:szCs w:val="24"/>
              </w:rPr>
            </w:pPr>
            <w:r>
              <w:rPr>
                <w:rFonts w:hint="eastAsia" w:ascii="楷体" w:hAnsi="楷体" w:eastAsia="楷体" w:cs="楷体"/>
                <w:sz w:val="24"/>
                <w:szCs w:val="24"/>
              </w:rPr>
              <w:t>1.粮食</w:t>
            </w:r>
            <w:r>
              <w:rPr>
                <w:rFonts w:hint="eastAsia" w:ascii="楷体" w:hAnsi="楷体" w:eastAsia="楷体" w:cs="楷体"/>
                <w:spacing w:val="-3"/>
                <w:kern w:val="0"/>
                <w:sz w:val="24"/>
                <w:lang w:val="zh-CN" w:bidi="zh-CN"/>
              </w:rPr>
              <w:t>供应链建设工程</w:t>
            </w:r>
            <w:r>
              <w:rPr>
                <w:rFonts w:hint="eastAsia" w:ascii="楷体" w:hAnsi="楷体" w:eastAsia="楷体" w:cs="楷体"/>
                <w:sz w:val="24"/>
                <w:szCs w:val="24"/>
              </w:rPr>
              <w:t>。</w:t>
            </w:r>
            <w:r>
              <w:rPr>
                <w:rFonts w:hint="eastAsia" w:ascii="仿宋_GB2312" w:hAnsi="仿宋_GB2312" w:cs="仿宋_GB2312"/>
                <w:sz w:val="24"/>
                <w:szCs w:val="24"/>
              </w:rPr>
              <w:t>依托想念集团等龙头加工企业既有设施，完善各县（市、区）粮食物流节点，加快构建南阳域内粮食物流网络体系。推进镇平想念产业园二期、唐河曹氏百川有机粮油深加工产业园、吉祥结食品产业园、南召粮食产业园、新野粮食产业园等</w:t>
            </w:r>
            <w:r>
              <w:rPr>
                <w:rFonts w:hint="eastAsia" w:ascii="Times New Roman" w:hAnsi="Times New Roman" w:cs="仿宋_GB2312"/>
                <w:sz w:val="24"/>
                <w:szCs w:val="24"/>
              </w:rPr>
              <w:t>5</w:t>
            </w:r>
            <w:r>
              <w:rPr>
                <w:rFonts w:hint="eastAsia" w:ascii="仿宋_GB2312" w:hAnsi="仿宋_GB2312" w:cs="仿宋_GB2312"/>
                <w:sz w:val="24"/>
                <w:szCs w:val="24"/>
              </w:rPr>
              <w:t>个产业园建设，支持内乡牧原物流园、唐河粮食物流园等</w:t>
            </w:r>
            <w:r>
              <w:rPr>
                <w:rFonts w:hint="eastAsia" w:ascii="Times New Roman" w:hAnsi="Times New Roman" w:cs="仿宋_GB2312"/>
                <w:sz w:val="24"/>
                <w:szCs w:val="24"/>
              </w:rPr>
              <w:t>2</w:t>
            </w:r>
            <w:r>
              <w:rPr>
                <w:rFonts w:hint="eastAsia" w:ascii="仿宋_GB2312" w:hAnsi="仿宋_GB2312" w:cs="仿宋_GB2312"/>
                <w:sz w:val="24"/>
                <w:szCs w:val="24"/>
              </w:rPr>
              <w:t>个粮食物流园建设。</w:t>
            </w:r>
          </w:p>
          <w:p>
            <w:pPr>
              <w:spacing w:line="400" w:lineRule="exact"/>
              <w:ind w:firstLine="468"/>
              <w:contextualSpacing/>
              <w:rPr>
                <w:rFonts w:ascii="仿宋_GB2312" w:hAnsi="仿宋_GB2312" w:cs="仿宋_GB2312"/>
                <w:sz w:val="24"/>
                <w:szCs w:val="24"/>
              </w:rPr>
            </w:pPr>
            <w:r>
              <w:rPr>
                <w:rFonts w:hint="eastAsia" w:ascii="楷体" w:hAnsi="楷体" w:eastAsia="楷体" w:cs="楷体"/>
                <w:sz w:val="24"/>
                <w:szCs w:val="24"/>
                <w:lang w:val="zh-CN"/>
              </w:rPr>
              <w:t>2</w:t>
            </w:r>
            <w:r>
              <w:rPr>
                <w:rFonts w:hint="eastAsia" w:ascii="楷体" w:hAnsi="楷体" w:eastAsia="楷体" w:cs="楷体"/>
                <w:sz w:val="24"/>
                <w:szCs w:val="24"/>
              </w:rPr>
              <w:t>.</w:t>
            </w:r>
            <w:r>
              <w:rPr>
                <w:rFonts w:hint="eastAsia" w:ascii="楷体" w:hAnsi="楷体" w:eastAsia="楷体" w:cs="楷体"/>
                <w:sz w:val="24"/>
                <w:szCs w:val="24"/>
                <w:lang w:val="zh-CN"/>
              </w:rPr>
              <w:t>生猪供应链建设工程。</w:t>
            </w:r>
            <w:r>
              <w:rPr>
                <w:rFonts w:hint="eastAsia" w:ascii="仿宋_GB2312" w:hAnsi="仿宋_GB2312" w:cs="仿宋_GB2312"/>
                <w:sz w:val="24"/>
                <w:szCs w:val="24"/>
              </w:rPr>
              <w:t>实施牧原集团生猪养殖屠宰加工食品产业园、牧原食品生猪屠宰等项目，建设形成养殖-屠宰-肉制品加工-饲料加工及综合利用-现代化智能仓储物流等一体化的产业供应链。推进牧原集团“百场千万”工程建设，配套建设饲料加工、生猪屠宰、食品加工、装备制造等项目。</w:t>
            </w:r>
          </w:p>
          <w:p>
            <w:pPr>
              <w:spacing w:line="400" w:lineRule="exact"/>
              <w:ind w:firstLine="468"/>
              <w:contextualSpacing/>
              <w:rPr>
                <w:rFonts w:ascii="Times New Roman" w:hAnsi="Times New Roman" w:eastAsia="仿宋"/>
              </w:rPr>
            </w:pPr>
            <w:r>
              <w:rPr>
                <w:rFonts w:hint="eastAsia" w:ascii="楷体" w:hAnsi="楷体" w:eastAsia="楷体" w:cs="楷体"/>
                <w:sz w:val="24"/>
                <w:szCs w:val="24"/>
                <w:lang w:val="zh-CN"/>
              </w:rPr>
              <w:t>3.特色产品供应链建设工程。</w:t>
            </w:r>
            <w:r>
              <w:rPr>
                <w:rFonts w:hint="eastAsia" w:ascii="仿宋_GB2312" w:hAnsi="仿宋_GB2312" w:cs="仿宋_GB2312"/>
                <w:sz w:val="24"/>
                <w:szCs w:val="24"/>
              </w:rPr>
              <w:t>实施特色农产品品质提升、质量创优计划，扩大本地饮料、酒及乳制品的市场占有率，重构宛奶、宛酒、宛饮产业供应链。聚焦花、药、果、菌、茶“五特”经济，扩大香菇、猕猴桃等特色产品生产基地规模，构建集“研发-种植-包装-储存加工-销售”为一体的特色农副产品产业供应链。</w:t>
            </w:r>
          </w:p>
        </w:tc>
      </w:tr>
    </w:tbl>
    <w:p>
      <w:pPr>
        <w:pStyle w:val="7"/>
        <w:spacing w:line="560" w:lineRule="exact"/>
        <w:contextualSpacing/>
        <w:jc w:val="center"/>
        <w:rPr>
          <w:b w:val="0"/>
          <w:lang w:val="zh-CN"/>
        </w:rPr>
      </w:pPr>
      <w:bookmarkStart w:id="1145" w:name="_Toc719647880"/>
      <w:bookmarkStart w:id="1146" w:name="_Toc2072127309"/>
      <w:bookmarkStart w:id="1147" w:name="_Toc213372793"/>
      <w:r>
        <w:rPr>
          <w:rFonts w:hint="eastAsia"/>
          <w:b w:val="0"/>
          <w:lang w:val="zh-CN"/>
        </w:rPr>
        <w:t>第</w:t>
      </w:r>
      <w:r>
        <w:rPr>
          <w:b w:val="0"/>
          <w:lang w:val="zh-CN"/>
        </w:rPr>
        <w:t>五</w:t>
      </w:r>
      <w:r>
        <w:rPr>
          <w:rFonts w:hint="eastAsia"/>
          <w:b w:val="0"/>
          <w:lang w:val="zh-CN"/>
        </w:rPr>
        <w:t xml:space="preserve">章 </w:t>
      </w:r>
      <w:r>
        <w:rPr>
          <w:rFonts w:hint="eastAsia"/>
          <w:b w:val="0"/>
        </w:rPr>
        <w:t>实施枢纽优化发展战略</w:t>
      </w:r>
      <w:r>
        <w:rPr>
          <w:b w:val="0"/>
          <w:lang w:val="zh-CN"/>
        </w:rPr>
        <w:t>，提升供应链</w:t>
      </w:r>
      <w:r>
        <w:rPr>
          <w:rFonts w:hint="eastAsia"/>
          <w:b w:val="0"/>
        </w:rPr>
        <w:t>联通</w:t>
      </w:r>
      <w:r>
        <w:rPr>
          <w:b w:val="0"/>
          <w:lang w:val="zh-CN"/>
        </w:rPr>
        <w:t>效率</w:t>
      </w:r>
      <w:bookmarkEnd w:id="1145"/>
      <w:bookmarkEnd w:id="1146"/>
      <w:bookmarkEnd w:id="1147"/>
    </w:p>
    <w:p>
      <w:pPr>
        <w:spacing w:line="560" w:lineRule="exact"/>
        <w:ind w:firstLine="640"/>
        <w:contextualSpacing/>
        <w:rPr>
          <w:rFonts w:ascii="Times New Roman" w:hAnsi="Times New Roman" w:eastAsia="楷体_GB2312"/>
        </w:rPr>
      </w:pPr>
      <w:r>
        <w:rPr>
          <w:rFonts w:hint="eastAsia" w:ascii="Times New Roman" w:hAnsi="Times New Roman"/>
        </w:rPr>
        <w:t>推动</w:t>
      </w:r>
      <w:r>
        <w:rPr>
          <w:rFonts w:ascii="Times New Roman" w:hAnsi="Times New Roman"/>
        </w:rPr>
        <w:t>商贸服务型国家物流枢纽承载城市发展，重点建设国际陆港物流片区、农产品物流片区、高铁商贸物流片区三个核心片区，畅通</w:t>
      </w:r>
      <w:r>
        <w:rPr>
          <w:rFonts w:hint="eastAsia" w:ascii="Times New Roman" w:hAnsi="Times New Roman"/>
        </w:rPr>
        <w:t>“</w:t>
      </w:r>
      <w:r>
        <w:rPr>
          <w:rFonts w:ascii="Times New Roman" w:hAnsi="Times New Roman"/>
        </w:rPr>
        <w:t>空水铁公</w:t>
      </w:r>
      <w:r>
        <w:rPr>
          <w:rFonts w:hint="eastAsia" w:ascii="Times New Roman" w:hAnsi="Times New Roman"/>
        </w:rPr>
        <w:t>”</w:t>
      </w:r>
      <w:r>
        <w:rPr>
          <w:rFonts w:ascii="Times New Roman" w:hAnsi="Times New Roman"/>
        </w:rPr>
        <w:t>高效衔接的物流通道，联动发展县（区）物流园区和物流企业，</w:t>
      </w:r>
      <w:r>
        <w:rPr>
          <w:rFonts w:hint="eastAsia" w:ascii="Times New Roman" w:hAnsi="Times New Roman"/>
        </w:rPr>
        <w:t>完善城乡供应链设施网络，</w:t>
      </w:r>
      <w:r>
        <w:rPr>
          <w:rFonts w:ascii="Times New Roman" w:hAnsi="Times New Roman"/>
        </w:rPr>
        <w:t>打造以服务豫鄂陕市场为主，辐射全国、联通国际的区域性供应链物流中心。</w:t>
      </w:r>
    </w:p>
    <w:p>
      <w:pPr>
        <w:pStyle w:val="8"/>
        <w:spacing w:line="560" w:lineRule="exact"/>
        <w:ind w:firstLine="640"/>
        <w:contextualSpacing/>
        <w:jc w:val="center"/>
        <w:rPr>
          <w:rFonts w:ascii="楷体_GB2312" w:hAnsi="楷体_GB2312" w:eastAsia="楷体_GB2312" w:cs="楷体_GB2312"/>
          <w:b w:val="0"/>
        </w:rPr>
      </w:pPr>
      <w:bookmarkStart w:id="1148" w:name="_Toc545902085"/>
      <w:bookmarkStart w:id="1149" w:name="_Toc1867272756"/>
      <w:r>
        <w:rPr>
          <w:rFonts w:hint="eastAsia" w:ascii="楷体_GB2312" w:hAnsi="楷体_GB2312" w:eastAsia="楷体_GB2312" w:cs="楷体_GB2312"/>
          <w:b w:val="0"/>
        </w:rPr>
        <w:t>第一</w:t>
      </w:r>
      <w:r>
        <w:rPr>
          <w:rFonts w:hint="eastAsia" w:ascii="楷体_GB2312" w:hAnsi="楷体_GB2312" w:eastAsia="楷体_GB2312" w:cs="楷体_GB2312"/>
          <w:b w:val="0"/>
          <w:lang w:val="zh-CN"/>
        </w:rPr>
        <w:t xml:space="preserve">节 </w:t>
      </w:r>
      <w:r>
        <w:rPr>
          <w:rFonts w:hint="eastAsia" w:ascii="楷体_GB2312" w:hAnsi="楷体_GB2312" w:eastAsia="楷体_GB2312" w:cs="楷体_GB2312"/>
          <w:b w:val="0"/>
        </w:rPr>
        <w:t>畅通</w:t>
      </w:r>
      <w:r>
        <w:rPr>
          <w:rFonts w:hint="eastAsia" w:ascii="楷体_GB2312" w:hAnsi="楷体_GB2312" w:eastAsia="楷体_GB2312" w:cs="楷体_GB2312"/>
          <w:b w:val="0"/>
          <w:lang w:val="zh-CN"/>
        </w:rPr>
        <w:t>供应</w:t>
      </w:r>
      <w:r>
        <w:rPr>
          <w:rFonts w:hint="eastAsia" w:ascii="楷体_GB2312" w:hAnsi="楷体_GB2312" w:eastAsia="楷体_GB2312" w:cs="楷体_GB2312"/>
          <w:b w:val="0"/>
        </w:rPr>
        <w:t>链物流通道</w:t>
      </w:r>
      <w:bookmarkEnd w:id="1148"/>
      <w:bookmarkEnd w:id="1149"/>
    </w:p>
    <w:p>
      <w:pPr>
        <w:spacing w:line="560" w:lineRule="exact"/>
        <w:ind w:firstLine="640"/>
        <w:contextualSpacing/>
        <w:rPr>
          <w:rFonts w:ascii="Times New Roman" w:hAnsi="Times New Roman"/>
        </w:rPr>
      </w:pPr>
      <w:r>
        <w:rPr>
          <w:rFonts w:hint="eastAsia" w:ascii="Times New Roman" w:hAnsi="Times New Roman"/>
        </w:rPr>
        <w:t>围绕打造全国性综合交通枢纽城市，统筹推进“空水铁公”立体化现代综合运输体系建设</w:t>
      </w:r>
      <w:r>
        <w:rPr>
          <w:rFonts w:ascii="Times New Roman" w:hAnsi="Times New Roman"/>
        </w:rPr>
        <w:t>。</w:t>
      </w:r>
      <w:r>
        <w:rPr>
          <w:rFonts w:hint="eastAsia" w:ascii="Times New Roman" w:hAnsi="Times New Roman"/>
        </w:rPr>
        <w:t>全面提速南阳机场迁建，规划建设临空经济区。加密南阳至京津冀、长三角、粤港澳大湾区和成渝地区双城经济圈主要城市航线，适时开通南阳机场与国内大中城市的直达货运航线。全力争取开放航空口岸，开通港澳台、东南亚、日韩等国际和地区的航线航班。推动合西高铁南阳至信阳至合肥段建设，谋划南阳至西安高铁，争取呼南高铁豫西通道洛阳至南阳段、南阳经驻马店至阜阳高铁、南阳至十堰高铁进入国家相关规划。建成铁路二级物流基地，提升铁路货运能力。实施铁路专用线进企入园工程，打通铁路运输“最后一公里”。</w:t>
      </w:r>
      <w:r>
        <w:rPr>
          <w:rFonts w:ascii="Times New Roman" w:hAnsi="Times New Roman"/>
        </w:rPr>
        <w:t>畅达公路通道，加快推进郑西、渑淅、焦唐、南邓等高速公路建设，形成各</w:t>
      </w:r>
      <w:r>
        <w:rPr>
          <w:rFonts w:hint="eastAsia" w:ascii="Times New Roman" w:hAnsi="Times New Roman"/>
        </w:rPr>
        <w:t>县（市、区）</w:t>
      </w:r>
      <w:r>
        <w:rPr>
          <w:rFonts w:ascii="Times New Roman" w:hAnsi="Times New Roman"/>
        </w:rPr>
        <w:t>间的直达货运通道，提高公路物流通达能力</w:t>
      </w:r>
      <w:r>
        <w:rPr>
          <w:rFonts w:hint="eastAsia" w:ascii="Times New Roman" w:hAnsi="Times New Roman"/>
        </w:rPr>
        <w:t>。</w:t>
      </w:r>
      <w:r>
        <w:rPr>
          <w:rFonts w:ascii="Times New Roman" w:hAnsi="Times New Roman"/>
        </w:rPr>
        <w:t>推进唐河、白河复航工程及唐河港、南阳港等内河港口建设，实现南阳物流通江达海</w:t>
      </w:r>
      <w:r>
        <w:rPr>
          <w:rFonts w:hint="eastAsia" w:ascii="Times New Roman" w:hAnsi="Times New Roman"/>
        </w:rPr>
        <w:t>。</w:t>
      </w:r>
      <w:r>
        <w:rPr>
          <w:rFonts w:ascii="Times New Roman" w:hAnsi="Times New Roman"/>
        </w:rPr>
        <w:t>加强与宁波港、天津港等</w:t>
      </w:r>
      <w:r>
        <w:rPr>
          <w:rFonts w:hint="eastAsia" w:ascii="Times New Roman" w:hAnsi="Times New Roman"/>
        </w:rPr>
        <w:t>的</w:t>
      </w:r>
      <w:r>
        <w:rPr>
          <w:rFonts w:ascii="Times New Roman" w:hAnsi="Times New Roman"/>
        </w:rPr>
        <w:t>合作，组织开行铁海联运班列，实现</w:t>
      </w:r>
      <w:r>
        <w:rPr>
          <w:rFonts w:hint="eastAsia" w:ascii="Times New Roman" w:hAnsi="Times New Roman"/>
        </w:rPr>
        <w:t>“</w:t>
      </w:r>
      <w:r>
        <w:rPr>
          <w:rFonts w:ascii="Times New Roman" w:hAnsi="Times New Roman"/>
        </w:rPr>
        <w:t>借港出海</w:t>
      </w:r>
      <w:r>
        <w:rPr>
          <w:rFonts w:hint="eastAsia" w:ascii="Times New Roman" w:hAnsi="Times New Roman"/>
        </w:rPr>
        <w:t>”</w:t>
      </w:r>
      <w:r>
        <w:rPr>
          <w:rFonts w:ascii="Times New Roman" w:hAnsi="Times New Roman"/>
        </w:rPr>
        <w:t>，打通南阳国际海运通道。</w:t>
      </w:r>
    </w:p>
    <w:p>
      <w:pPr>
        <w:pStyle w:val="8"/>
        <w:spacing w:line="560" w:lineRule="exact"/>
        <w:ind w:firstLine="640"/>
        <w:contextualSpacing/>
        <w:jc w:val="center"/>
        <w:rPr>
          <w:rFonts w:ascii="楷体_GB2312" w:hAnsi="楷体_GB2312" w:eastAsia="楷体_GB2312" w:cs="楷体_GB2312"/>
          <w:b w:val="0"/>
        </w:rPr>
      </w:pPr>
      <w:bookmarkStart w:id="1150" w:name="_Toc1526080436"/>
      <w:bookmarkStart w:id="1151" w:name="_Toc2041789228"/>
      <w:r>
        <w:rPr>
          <w:rFonts w:hint="eastAsia" w:ascii="楷体_GB2312" w:hAnsi="楷体_GB2312" w:eastAsia="楷体_GB2312" w:cs="楷体_GB2312"/>
          <w:b w:val="0"/>
        </w:rPr>
        <w:t>第二</w:t>
      </w:r>
      <w:r>
        <w:rPr>
          <w:rFonts w:hint="eastAsia" w:ascii="楷体_GB2312" w:hAnsi="楷体_GB2312" w:eastAsia="楷体_GB2312" w:cs="楷体_GB2312"/>
          <w:b w:val="0"/>
          <w:lang w:val="zh-CN"/>
        </w:rPr>
        <w:t>节 优化</w:t>
      </w:r>
      <w:r>
        <w:rPr>
          <w:rFonts w:hint="eastAsia" w:ascii="楷体_GB2312" w:hAnsi="楷体_GB2312" w:eastAsia="楷体_GB2312" w:cs="楷体_GB2312"/>
          <w:b w:val="0"/>
        </w:rPr>
        <w:t>供应链节点布局</w:t>
      </w:r>
      <w:bookmarkEnd w:id="1150"/>
      <w:bookmarkEnd w:id="1151"/>
    </w:p>
    <w:p>
      <w:pPr>
        <w:spacing w:line="560" w:lineRule="exact"/>
        <w:ind w:firstLine="640"/>
        <w:contextualSpacing/>
        <w:jc w:val="left"/>
        <w:rPr>
          <w:rFonts w:ascii="仿宋_GB2312" w:hAnsi="仿宋_GB2312" w:cs="仿宋_GB2312"/>
        </w:rPr>
      </w:pPr>
      <w:r>
        <w:rPr>
          <w:rFonts w:hint="eastAsia" w:ascii="仿宋_GB2312" w:hAnsi="仿宋_GB2312" w:cs="仿宋_GB2312"/>
        </w:rPr>
        <w:t>立足打造商贸服务型国家物流枢纽和区域物流枢纽（节点），支持卧龙区现代物流产业园国家级枢纽、唐河港区临港物流园省级物流枢纽建设，规划建设白河临港国际物流产业园、新野港区物流园、社旗港区物流园，积极争取将其纳入国家级、省级物流枢纽。加快推进邓州区域物流枢纽建设，为跨区域产业合作和居民消费提供集散分拨、衔接转运等专业化服务，争取布局建设国家骨干冷链物流基地。出台优惠政策，推动资源要素向物流枢纽集聚，建设形成一批物流设施集群和供应链组织中心，构建“通道+枢纽+平台+网络+主体”一体化运行体系，放大集聚发展的规模经济效益和辐射带动效应。引导物流枢纽跨区域业务对接、设施联通、功能联合和资源共享，支撑带动周边地区产业链供应链协同发展。</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 w:hRule="atLeast"/>
        </w:trPr>
        <w:tc>
          <w:tcPr>
            <w:tcW w:w="8720" w:type="dxa"/>
            <w:tcBorders>
              <w:top w:val="single" w:color="auto" w:sz="4" w:space="0"/>
              <w:left w:val="single" w:color="auto" w:sz="4" w:space="0"/>
              <w:right w:val="single" w:color="auto" w:sz="4" w:space="0"/>
            </w:tcBorders>
            <w:vAlign w:val="center"/>
          </w:tcPr>
          <w:p>
            <w:pPr>
              <w:spacing w:line="400" w:lineRule="exact"/>
              <w:ind w:firstLine="600"/>
              <w:contextualSpacing/>
              <w:jc w:val="center"/>
              <w:rPr>
                <w:rFonts w:ascii="Times New Roman" w:hAnsi="Times New Roman" w:eastAsia="仿宋"/>
              </w:rPr>
            </w:pPr>
            <w:bookmarkStart w:id="1152" w:name="_Toc89415775"/>
            <w:r>
              <w:rPr>
                <w:rFonts w:hint="eastAsia" w:ascii="黑体" w:hAnsi="黑体" w:eastAsia="黑体" w:cs="黑体"/>
                <w:sz w:val="28"/>
                <w:szCs w:val="28"/>
              </w:rPr>
              <w:t>专栏4：供应链物流网络提升工程</w:t>
            </w:r>
            <w:bookmarkEnd w:id="11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spacing w:line="400" w:lineRule="exact"/>
              <w:ind w:firstLine="468"/>
              <w:contextualSpacing/>
              <w:rPr>
                <w:rFonts w:ascii="仿宋_GB2312" w:hAnsi="仿宋_GB2312" w:cs="仿宋_GB2312"/>
                <w:sz w:val="24"/>
                <w:szCs w:val="24"/>
              </w:rPr>
            </w:pPr>
            <w:r>
              <w:rPr>
                <w:rFonts w:hint="eastAsia" w:ascii="楷体" w:hAnsi="楷体" w:eastAsia="楷体" w:cs="楷体"/>
                <w:spacing w:val="-3"/>
                <w:kern w:val="0"/>
                <w:sz w:val="24"/>
                <w:lang w:val="zh-CN" w:bidi="zh-CN"/>
              </w:rPr>
              <w:t>1</w:t>
            </w:r>
            <w:r>
              <w:rPr>
                <w:rFonts w:hint="eastAsia" w:ascii="楷体" w:hAnsi="楷体" w:eastAsia="楷体" w:cs="楷体"/>
                <w:spacing w:val="-3"/>
                <w:kern w:val="0"/>
                <w:sz w:val="24"/>
                <w:lang w:bidi="zh-CN"/>
              </w:rPr>
              <w:t>.</w:t>
            </w:r>
            <w:r>
              <w:rPr>
                <w:rFonts w:hint="eastAsia" w:ascii="楷体" w:hAnsi="楷体" w:eastAsia="楷体" w:cs="楷体"/>
                <w:spacing w:val="-3"/>
                <w:kern w:val="0"/>
                <w:sz w:val="24"/>
                <w:lang w:val="zh-CN" w:bidi="zh-CN"/>
              </w:rPr>
              <w:t>物流基地建设工程。</w:t>
            </w:r>
            <w:r>
              <w:rPr>
                <w:rFonts w:hint="eastAsia" w:ascii="仿宋_GB2312" w:hAnsi="仿宋_GB2312" w:cs="仿宋_GB2312"/>
                <w:sz w:val="24"/>
                <w:szCs w:val="24"/>
              </w:rPr>
              <w:t>规划建设南阳综合物流分拨中心，提供区域级物流分拨、城市商贸总仓及配送服务，承担外埠货物进入南阳中心城区的分拨集散任务，重点开展仓储配送物流、物流信息服务、电商快递物流、商贸物流、冷链物流等综合物流业态，通过汇集不同业态的物流企业、提供多样的物流服务，打造南阳市物流服务产业集群和综合物流服务枢纽。</w:t>
            </w:r>
          </w:p>
          <w:p>
            <w:pPr>
              <w:spacing w:line="400" w:lineRule="exact"/>
              <w:ind w:firstLine="468"/>
              <w:contextualSpacing/>
              <w:rPr>
                <w:rFonts w:ascii="仿宋_GB2312" w:hAnsi="仿宋_GB2312" w:cs="仿宋_GB2312"/>
                <w:sz w:val="24"/>
                <w:szCs w:val="24"/>
              </w:rPr>
            </w:pPr>
            <w:r>
              <w:rPr>
                <w:rFonts w:hint="eastAsia" w:ascii="楷体" w:hAnsi="楷体" w:eastAsia="楷体" w:cs="楷体"/>
                <w:spacing w:val="-3"/>
                <w:kern w:val="0"/>
                <w:sz w:val="24"/>
                <w:lang w:val="zh-CN" w:bidi="zh-CN"/>
              </w:rPr>
              <w:t>2.高速公路扩容工程。</w:t>
            </w:r>
            <w:r>
              <w:rPr>
                <w:rFonts w:hint="eastAsia" w:ascii="仿宋_GB2312" w:hAnsi="仿宋_GB2312" w:cs="仿宋_GB2312"/>
                <w:sz w:val="24"/>
                <w:szCs w:val="24"/>
              </w:rPr>
              <w:t>建成郑西高速栾川至双龙段和双龙至西峡段、渑淅高速西峡至淅川段和淅川至豫鄂省界段、焦唐高速汝州至方城段和方城至唐河段、南阳至邓州高速公路。实施中心城区新增绕城高速（G</w:t>
            </w:r>
            <w:r>
              <w:rPr>
                <w:rFonts w:hint="eastAsia" w:ascii="Times New Roman" w:hAnsi="Times New Roman" w:cs="仿宋_GB2312"/>
                <w:sz w:val="24"/>
                <w:szCs w:val="24"/>
              </w:rPr>
              <w:t>55</w:t>
            </w:r>
            <w:r>
              <w:rPr>
                <w:rFonts w:hint="eastAsia" w:ascii="仿宋_GB2312" w:hAnsi="仿宋_GB2312" w:cs="仿宋_GB2312"/>
                <w:sz w:val="24"/>
                <w:szCs w:val="24"/>
              </w:rPr>
              <w:t>）S</w:t>
            </w:r>
            <w:r>
              <w:rPr>
                <w:rFonts w:hint="eastAsia" w:ascii="Times New Roman" w:hAnsi="Times New Roman" w:cs="仿宋_GB2312"/>
                <w:sz w:val="24"/>
                <w:szCs w:val="24"/>
              </w:rPr>
              <w:t>330</w:t>
            </w:r>
            <w:r>
              <w:rPr>
                <w:rFonts w:hint="eastAsia" w:ascii="仿宋_GB2312" w:hAnsi="仿宋_GB2312" w:cs="仿宋_GB2312"/>
                <w:sz w:val="24"/>
                <w:szCs w:val="24"/>
              </w:rPr>
              <w:t>出入口、绕城高速（G</w:t>
            </w:r>
            <w:r>
              <w:rPr>
                <w:rFonts w:hint="eastAsia" w:ascii="Times New Roman" w:hAnsi="Times New Roman" w:cs="仿宋_GB2312"/>
                <w:sz w:val="24"/>
                <w:szCs w:val="24"/>
              </w:rPr>
              <w:t>55</w:t>
            </w:r>
            <w:r>
              <w:rPr>
                <w:rFonts w:hint="eastAsia" w:ascii="仿宋_GB2312" w:hAnsi="仿宋_GB2312" w:cs="仿宋_GB2312"/>
                <w:sz w:val="24"/>
                <w:szCs w:val="24"/>
              </w:rPr>
              <w:t>）中州大道出入口、绕城高速（G</w:t>
            </w:r>
            <w:r>
              <w:rPr>
                <w:rFonts w:hint="eastAsia" w:ascii="Times New Roman" w:hAnsi="Times New Roman" w:cs="仿宋_GB2312"/>
                <w:sz w:val="24"/>
                <w:szCs w:val="24"/>
              </w:rPr>
              <w:t>40</w:t>
            </w:r>
            <w:r>
              <w:rPr>
                <w:rFonts w:hint="eastAsia" w:ascii="仿宋_GB2312" w:hAnsi="仿宋_GB2312" w:cs="仿宋_GB2312"/>
                <w:sz w:val="24"/>
                <w:szCs w:val="24"/>
              </w:rPr>
              <w:t>）车站路出入口、绕城高速（G</w:t>
            </w:r>
            <w:r>
              <w:rPr>
                <w:rFonts w:hint="eastAsia" w:ascii="Times New Roman" w:hAnsi="Times New Roman" w:cs="仿宋_GB2312"/>
                <w:sz w:val="24"/>
                <w:szCs w:val="24"/>
              </w:rPr>
              <w:t>40</w:t>
            </w:r>
            <w:r>
              <w:rPr>
                <w:rFonts w:hint="eastAsia" w:ascii="仿宋_GB2312" w:hAnsi="仿宋_GB2312" w:cs="仿宋_GB2312"/>
                <w:sz w:val="24"/>
                <w:szCs w:val="24"/>
              </w:rPr>
              <w:t>）白河大道出入口、绕城高速（G</w:t>
            </w:r>
            <w:r>
              <w:rPr>
                <w:rFonts w:hint="eastAsia" w:ascii="Times New Roman" w:hAnsi="Times New Roman" w:cs="仿宋_GB2312"/>
                <w:sz w:val="24"/>
                <w:szCs w:val="24"/>
              </w:rPr>
              <w:t>83</w:t>
            </w:r>
            <w:r>
              <w:rPr>
                <w:rFonts w:hint="eastAsia" w:ascii="仿宋_GB2312" w:hAnsi="仿宋_GB2312" w:cs="仿宋_GB2312"/>
                <w:sz w:val="24"/>
                <w:szCs w:val="24"/>
              </w:rPr>
              <w:t>）Y</w:t>
            </w:r>
            <w:r>
              <w:rPr>
                <w:rFonts w:hint="eastAsia" w:ascii="Times New Roman" w:hAnsi="Times New Roman" w:cs="仿宋_GB2312"/>
                <w:sz w:val="24"/>
                <w:szCs w:val="24"/>
              </w:rPr>
              <w:t>015</w:t>
            </w:r>
            <w:r>
              <w:rPr>
                <w:rFonts w:hint="eastAsia" w:ascii="仿宋_GB2312" w:hAnsi="仿宋_GB2312" w:cs="仿宋_GB2312"/>
                <w:sz w:val="24"/>
                <w:szCs w:val="24"/>
              </w:rPr>
              <w:t>出入口、兰南高速（S</w:t>
            </w:r>
            <w:r>
              <w:rPr>
                <w:rFonts w:hint="eastAsia" w:ascii="Times New Roman" w:hAnsi="Times New Roman" w:cs="仿宋_GB2312"/>
                <w:sz w:val="24"/>
                <w:szCs w:val="24"/>
              </w:rPr>
              <w:t>83</w:t>
            </w:r>
            <w:r>
              <w:rPr>
                <w:rFonts w:hint="eastAsia" w:ascii="仿宋_GB2312" w:hAnsi="仿宋_GB2312" w:cs="仿宋_GB2312"/>
                <w:sz w:val="24"/>
                <w:szCs w:val="24"/>
              </w:rPr>
              <w:t>）独树出入口、兰南高速（S</w:t>
            </w:r>
            <w:r>
              <w:rPr>
                <w:rFonts w:hint="eastAsia" w:ascii="Times New Roman" w:hAnsi="Times New Roman" w:cs="仿宋_GB2312"/>
                <w:sz w:val="24"/>
                <w:szCs w:val="24"/>
              </w:rPr>
              <w:t>83</w:t>
            </w:r>
            <w:r>
              <w:rPr>
                <w:rFonts w:hint="eastAsia" w:ascii="仿宋_GB2312" w:hAnsi="仿宋_GB2312" w:cs="仿宋_GB2312"/>
                <w:sz w:val="24"/>
                <w:szCs w:val="24"/>
              </w:rPr>
              <w:t>）赵河出入口、二广高速（G</w:t>
            </w:r>
            <w:r>
              <w:rPr>
                <w:rFonts w:hint="eastAsia" w:ascii="Times New Roman" w:hAnsi="Times New Roman" w:cs="仿宋_GB2312"/>
                <w:sz w:val="24"/>
                <w:szCs w:val="24"/>
              </w:rPr>
              <w:t>55</w:t>
            </w:r>
            <w:r>
              <w:rPr>
                <w:rFonts w:hint="eastAsia" w:ascii="仿宋_GB2312" w:hAnsi="仿宋_GB2312" w:cs="仿宋_GB2312"/>
                <w:sz w:val="24"/>
                <w:szCs w:val="24"/>
              </w:rPr>
              <w:t xml:space="preserve">）潦河坡出入口等 </w:t>
            </w:r>
            <w:r>
              <w:rPr>
                <w:rFonts w:hint="eastAsia" w:ascii="Times New Roman" w:hAnsi="Times New Roman" w:cs="仿宋_GB2312"/>
                <w:sz w:val="24"/>
                <w:szCs w:val="24"/>
              </w:rPr>
              <w:t>8</w:t>
            </w:r>
            <w:r>
              <w:rPr>
                <w:rFonts w:hint="eastAsia" w:ascii="仿宋_GB2312" w:hAnsi="仿宋_GB2312" w:cs="仿宋_GB2312"/>
                <w:sz w:val="24"/>
                <w:szCs w:val="24"/>
              </w:rPr>
              <w:t xml:space="preserve"> 个高速出入口建设项目。</w:t>
            </w:r>
          </w:p>
          <w:p>
            <w:pPr>
              <w:spacing w:line="400" w:lineRule="exact"/>
              <w:ind w:firstLine="468"/>
              <w:contextualSpacing/>
              <w:rPr>
                <w:rFonts w:ascii="仿宋_GB2312" w:hAnsi="仿宋_GB2312" w:cs="仿宋_GB2312"/>
                <w:sz w:val="24"/>
                <w:szCs w:val="24"/>
              </w:rPr>
            </w:pPr>
            <w:r>
              <w:rPr>
                <w:rFonts w:hint="eastAsia" w:ascii="楷体" w:hAnsi="楷体" w:eastAsia="楷体" w:cs="楷体"/>
                <w:spacing w:val="-3"/>
                <w:kern w:val="0"/>
                <w:sz w:val="24"/>
                <w:lang w:val="zh-CN" w:bidi="zh-CN"/>
              </w:rPr>
              <w:t xml:space="preserve"> 3.内河水陆联运工程。</w:t>
            </w:r>
            <w:r>
              <w:rPr>
                <w:rFonts w:hint="eastAsia" w:ascii="仿宋_GB2312" w:hAnsi="仿宋_GB2312" w:cs="仿宋_GB2312"/>
                <w:sz w:val="24"/>
                <w:szCs w:val="24"/>
              </w:rPr>
              <w:t>加快唐河航运工程（马店至省界段）建设，开工唐河航运工程（社旗至马店段）、白河航道工程，做好唐沙运河线位空间预留，统筹预控跨航、涉航相关设施建设标准。加快推动南阳港中心港区、唐河港区、新野港区、社旗港区集装箱码头等配套设施建设，同步实施桥梁等碍航设施改造，满足</w:t>
            </w:r>
            <w:r>
              <w:rPr>
                <w:rFonts w:hint="eastAsia" w:ascii="Times New Roman" w:hAnsi="Times New Roman" w:cs="仿宋_GB2312"/>
                <w:sz w:val="24"/>
                <w:szCs w:val="24"/>
              </w:rPr>
              <w:t>500</w:t>
            </w:r>
            <w:r>
              <w:rPr>
                <w:rFonts w:hint="eastAsia" w:ascii="仿宋_GB2312" w:hAnsi="仿宋_GB2312" w:cs="仿宋_GB2312"/>
                <w:sz w:val="24"/>
                <w:szCs w:val="24"/>
              </w:rPr>
              <w:t>至</w:t>
            </w:r>
            <w:r>
              <w:rPr>
                <w:rFonts w:hint="eastAsia" w:ascii="Times New Roman" w:hAnsi="Times New Roman" w:cs="仿宋_GB2312"/>
                <w:sz w:val="24"/>
                <w:szCs w:val="24"/>
              </w:rPr>
              <w:t>1000</w:t>
            </w:r>
            <w:r>
              <w:rPr>
                <w:rFonts w:hint="eastAsia" w:ascii="仿宋_GB2312" w:hAnsi="仿宋_GB2312" w:cs="仿宋_GB2312"/>
                <w:sz w:val="24"/>
                <w:szCs w:val="24"/>
              </w:rPr>
              <w:t>吨级内河集装箱船舶满载通行需要。</w:t>
            </w:r>
          </w:p>
          <w:p>
            <w:pPr>
              <w:spacing w:line="400" w:lineRule="exact"/>
              <w:ind w:firstLine="468"/>
              <w:contextualSpacing/>
              <w:rPr>
                <w:rFonts w:ascii="Times New Roman" w:hAnsi="Times New Roman" w:eastAsia="仿宋"/>
                <w:bCs/>
              </w:rPr>
            </w:pPr>
            <w:r>
              <w:rPr>
                <w:rFonts w:hint="eastAsia" w:ascii="楷体" w:hAnsi="楷体" w:eastAsia="楷体" w:cs="楷体"/>
                <w:spacing w:val="-3"/>
                <w:kern w:val="0"/>
                <w:sz w:val="24"/>
                <w:lang w:val="zh-CN" w:bidi="zh-CN"/>
              </w:rPr>
              <w:t>4.铁路专用线进企入园工程。</w:t>
            </w:r>
            <w:r>
              <w:rPr>
                <w:rFonts w:hint="eastAsia" w:ascii="仿宋_GB2312" w:hAnsi="仿宋_GB2312" w:cs="仿宋_GB2312"/>
                <w:sz w:val="24"/>
                <w:szCs w:val="24"/>
              </w:rPr>
              <w:t>推进西峡公铁联动物流园专用线、南阳港唐河临港物流园铁路专用线、南阳港中心港区临港物流园铁路专用线、内乡牧原智慧物流园铁路专用线、南召中铁路港物流园铁路专用线、卧龙综合保税区国际陆港铁路专用线、新野县工业园区铁路专用线、方城县铁路货运专用线规划建设。</w:t>
            </w:r>
          </w:p>
        </w:tc>
      </w:tr>
    </w:tbl>
    <w:p>
      <w:pPr>
        <w:spacing w:line="560" w:lineRule="exact"/>
        <w:ind w:firstLine="640"/>
        <w:contextualSpacing/>
        <w:rPr>
          <w:rFonts w:ascii="Times New Roman" w:hAnsi="Times New Roman" w:eastAsia="仿宋"/>
        </w:rPr>
      </w:pPr>
    </w:p>
    <w:p>
      <w:pPr>
        <w:pStyle w:val="8"/>
        <w:spacing w:line="560" w:lineRule="exact"/>
        <w:ind w:firstLine="640"/>
        <w:contextualSpacing/>
        <w:jc w:val="center"/>
        <w:rPr>
          <w:rFonts w:ascii="楷体_GB2312" w:hAnsi="楷体_GB2312" w:eastAsia="楷体_GB2312" w:cs="楷体_GB2312"/>
          <w:b w:val="0"/>
        </w:rPr>
      </w:pPr>
      <w:bookmarkStart w:id="1153" w:name="_Toc1158773304"/>
      <w:bookmarkStart w:id="1154" w:name="_Toc560803068"/>
      <w:r>
        <w:rPr>
          <w:rFonts w:hint="eastAsia" w:ascii="楷体_GB2312" w:hAnsi="楷体_GB2312" w:eastAsia="楷体_GB2312" w:cs="楷体_GB2312"/>
          <w:b w:val="0"/>
        </w:rPr>
        <w:t>第三节 完善城乡供应链设施网络</w:t>
      </w:r>
      <w:bookmarkEnd w:id="1153"/>
      <w:bookmarkEnd w:id="1154"/>
    </w:p>
    <w:p>
      <w:pPr>
        <w:spacing w:line="560" w:lineRule="exact"/>
        <w:ind w:firstLine="640"/>
        <w:contextualSpacing/>
        <w:jc w:val="left"/>
        <w:rPr>
          <w:rFonts w:ascii="仿宋_GB2312" w:hAnsi="仿宋_GB2312" w:cs="仿宋_GB2312"/>
        </w:rPr>
      </w:pPr>
      <w:r>
        <w:rPr>
          <w:rFonts w:hint="eastAsia" w:ascii="仿宋_GB2312" w:hAnsi="仿宋_GB2312" w:cs="仿宋_GB2312"/>
        </w:rPr>
        <w:t>引导大型商贸流通企业向县域下沉供销网络，鼓励新零售企业在乡镇开设体验店，支持各类商贸企业向农村地区发展营销网点、延伸服务网络，扩大电商、快递、品牌商超农村覆盖面。规划建设一批公益性农产品流通设施，将农贸市场、社区直供店（点）、平价店、医保定点药店、家政服务网点、再生资源回收点等纳入微利经营的流通设施范围。新建和改造一批县域电商产业园区、乡村电商服务站点，推动其向“一区多园、功能集聚”发展。加快田间地头流通设施建设，推进农产品产地市场、集配中心和低温加工处理中心改造升级。引导大型连锁企业服务网点向乡村延伸，建立城乡结合部产品展销中心、服务中心、物流配送网点，推动资源要素向农村市场倾斜，构建农产品上行、工业品下乡的双向供应体系。</w:t>
      </w:r>
    </w:p>
    <w:tbl>
      <w:tblPr>
        <w:tblStyle w:val="26"/>
        <w:tblW w:w="0" w:type="auto"/>
        <w:tblInd w:w="13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816" w:type="dxa"/>
            <w:tcBorders>
              <w:tl2br w:val="nil"/>
              <w:tr2bl w:val="nil"/>
            </w:tcBorders>
          </w:tcPr>
          <w:p>
            <w:pPr>
              <w:topLinePunct/>
              <w:spacing w:line="400" w:lineRule="exact"/>
              <w:contextualSpacing/>
              <w:jc w:val="center"/>
              <w:rPr>
                <w:rFonts w:ascii="Times New Roman" w:hAnsi="Times New Roman" w:cs="仿宋_GB2312"/>
                <w:bCs/>
                <w:sz w:val="24"/>
                <w:szCs w:val="24"/>
              </w:rPr>
            </w:pPr>
            <w:r>
              <w:rPr>
                <w:rFonts w:hint="eastAsia" w:ascii="Times New Roman" w:hAnsi="Times New Roman" w:eastAsia="黑体" w:cs="黑体"/>
                <w:sz w:val="28"/>
                <w:szCs w:val="28"/>
              </w:rPr>
              <w:t>专栏5：城乡供应链设施网络完善工程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816" w:type="dxa"/>
            <w:tcBorders>
              <w:tl2br w:val="nil"/>
              <w:tr2bl w:val="nil"/>
            </w:tcBorders>
          </w:tcPr>
          <w:p>
            <w:pPr>
              <w:spacing w:line="400" w:lineRule="exact"/>
              <w:ind w:firstLine="480" w:firstLineChars="200"/>
              <w:contextualSpacing/>
              <w:rPr>
                <w:rFonts w:ascii="仿宋_GB2312" w:hAnsi="仿宋_GB2312" w:cs="仿宋_GB2312"/>
                <w:sz w:val="24"/>
                <w:szCs w:val="24"/>
              </w:rPr>
            </w:pPr>
            <w:r>
              <w:rPr>
                <w:rFonts w:hint="eastAsia" w:ascii="楷体" w:hAnsi="楷体" w:eastAsia="楷体" w:cs="楷体"/>
                <w:bCs/>
                <w:sz w:val="24"/>
                <w:szCs w:val="24"/>
              </w:rPr>
              <w:t>1.建设农特产品网供分拨基地。</w:t>
            </w:r>
            <w:r>
              <w:rPr>
                <w:rFonts w:hint="eastAsia" w:ascii="仿宋_GB2312" w:hAnsi="仿宋_GB2312" w:cs="仿宋_GB2312"/>
                <w:sz w:val="24"/>
                <w:szCs w:val="24"/>
              </w:rPr>
              <w:t>改造、建设一批县域物流分拨中心，引导县域电商产业园、物流园区整合特色农产品、快消品、工业品等资源，开展货源直采和统仓共配，打造农特产品网供分拨基地。</w:t>
            </w:r>
          </w:p>
          <w:p>
            <w:pPr>
              <w:spacing w:line="400" w:lineRule="exact"/>
              <w:ind w:firstLine="480" w:firstLineChars="200"/>
              <w:contextualSpacing/>
              <w:rPr>
                <w:rFonts w:ascii="Times New Roman" w:hAnsi="Times New Roman" w:cs="仿宋_GB2312"/>
              </w:rPr>
            </w:pPr>
            <w:r>
              <w:rPr>
                <w:rFonts w:hint="eastAsia" w:ascii="楷体" w:hAnsi="楷体" w:eastAsia="楷体" w:cs="楷体"/>
                <w:bCs/>
                <w:sz w:val="24"/>
                <w:szCs w:val="24"/>
              </w:rPr>
              <w:t>2.建设加工配送中心、集配中心和田头市场。</w:t>
            </w:r>
            <w:r>
              <w:rPr>
                <w:rFonts w:hint="eastAsia" w:ascii="仿宋_GB2312" w:hAnsi="仿宋_GB2312" w:cs="仿宋_GB2312"/>
                <w:sz w:val="24"/>
                <w:szCs w:val="24"/>
              </w:rPr>
              <w:t>引导专业冷链物流企业适应农产品产地多点布局和小批量、多批次运输需求特点，开展从冷链源头基点到冷链集配中心、国家骨干冷链物流基地的干支衔接运输组织，构建稳定、高效、低成本运行的农产品出村进城冷链物流网络。</w:t>
            </w:r>
          </w:p>
        </w:tc>
      </w:tr>
    </w:tbl>
    <w:p>
      <w:pPr>
        <w:pStyle w:val="7"/>
        <w:spacing w:line="560" w:lineRule="exact"/>
        <w:contextualSpacing/>
        <w:jc w:val="center"/>
        <w:rPr>
          <w:b w:val="0"/>
          <w:lang w:val="zh-CN"/>
        </w:rPr>
      </w:pPr>
      <w:bookmarkStart w:id="1155" w:name="_Toc232110622"/>
      <w:bookmarkStart w:id="1156" w:name="_Toc758928774"/>
      <w:bookmarkStart w:id="1157" w:name="_Toc100324021"/>
      <w:r>
        <w:rPr>
          <w:rFonts w:hint="eastAsia"/>
          <w:b w:val="0"/>
          <w:lang w:val="zh-CN"/>
        </w:rPr>
        <w:t>第</w:t>
      </w:r>
      <w:r>
        <w:rPr>
          <w:b w:val="0"/>
          <w:lang w:val="zh-CN"/>
        </w:rPr>
        <w:t>六</w:t>
      </w:r>
      <w:r>
        <w:rPr>
          <w:rFonts w:hint="eastAsia"/>
          <w:b w:val="0"/>
          <w:lang w:val="zh-CN"/>
        </w:rPr>
        <w:t xml:space="preserve">章 </w:t>
      </w:r>
      <w:r>
        <w:rPr>
          <w:rFonts w:hint="eastAsia"/>
          <w:b w:val="0"/>
        </w:rPr>
        <w:t>实施平台经济发展战略，</w:t>
      </w:r>
      <w:r>
        <w:rPr>
          <w:b w:val="0"/>
          <w:lang w:val="zh-CN"/>
        </w:rPr>
        <w:t>打造重点领域供应链创新平台</w:t>
      </w:r>
      <w:bookmarkEnd w:id="1155"/>
      <w:bookmarkEnd w:id="1156"/>
      <w:bookmarkEnd w:id="1157"/>
    </w:p>
    <w:p>
      <w:pPr>
        <w:spacing w:line="560" w:lineRule="exact"/>
        <w:ind w:firstLine="640"/>
        <w:contextualSpacing/>
        <w:rPr>
          <w:rFonts w:ascii="Times New Roman" w:hAnsi="Times New Roman"/>
        </w:rPr>
      </w:pPr>
      <w:r>
        <w:rPr>
          <w:rFonts w:ascii="Times New Roman" w:hAnsi="Times New Roman"/>
        </w:rPr>
        <w:t>依托</w:t>
      </w:r>
      <w:r>
        <w:rPr>
          <w:rFonts w:hint="eastAsia" w:ascii="Times New Roman" w:hAnsi="Times New Roman"/>
        </w:rPr>
        <w:t>专业</w:t>
      </w:r>
      <w:r>
        <w:rPr>
          <w:rFonts w:ascii="Times New Roman" w:hAnsi="Times New Roman"/>
        </w:rPr>
        <w:t>园区、</w:t>
      </w:r>
      <w:r>
        <w:rPr>
          <w:rFonts w:hint="eastAsia" w:ascii="Times New Roman" w:hAnsi="Times New Roman"/>
        </w:rPr>
        <w:t>重点</w:t>
      </w:r>
      <w:r>
        <w:rPr>
          <w:rFonts w:ascii="Times New Roman" w:hAnsi="Times New Roman"/>
        </w:rPr>
        <w:t>市场</w:t>
      </w:r>
      <w:r>
        <w:rPr>
          <w:rFonts w:hint="eastAsia" w:ascii="Times New Roman" w:hAnsi="Times New Roman"/>
        </w:rPr>
        <w:t>、</w:t>
      </w:r>
      <w:r>
        <w:rPr>
          <w:rFonts w:ascii="Times New Roman" w:hAnsi="Times New Roman"/>
        </w:rPr>
        <w:t>龙头企业等，整合资本、技术、人才和政策等，分类引导培育一批供应链协同平台，带动重点产业供应链组织方式、商业模式创新，加速形成高效协同、竞争力强的现代产业供应链体系。</w:t>
      </w:r>
    </w:p>
    <w:p>
      <w:pPr>
        <w:pStyle w:val="8"/>
        <w:spacing w:line="560" w:lineRule="exact"/>
        <w:ind w:firstLine="640"/>
        <w:contextualSpacing/>
        <w:jc w:val="center"/>
        <w:rPr>
          <w:rFonts w:ascii="楷体_GB2312" w:hAnsi="楷体_GB2312" w:eastAsia="楷体_GB2312" w:cs="楷体_GB2312"/>
          <w:b w:val="0"/>
        </w:rPr>
      </w:pPr>
      <w:bookmarkStart w:id="1158" w:name="_Toc2026464284"/>
      <w:bookmarkStart w:id="1159" w:name="_Toc712363250"/>
      <w:r>
        <w:rPr>
          <w:rFonts w:hint="eastAsia" w:ascii="楷体_GB2312" w:hAnsi="楷体_GB2312" w:eastAsia="楷体_GB2312" w:cs="楷体_GB2312"/>
          <w:b w:val="0"/>
        </w:rPr>
        <w:t>第一</w:t>
      </w:r>
      <w:r>
        <w:rPr>
          <w:rFonts w:hint="eastAsia" w:ascii="楷体_GB2312" w:hAnsi="楷体_GB2312" w:eastAsia="楷体_GB2312" w:cs="楷体_GB2312"/>
          <w:b w:val="0"/>
          <w:lang w:val="zh-CN"/>
        </w:rPr>
        <w:t xml:space="preserve">节 </w:t>
      </w:r>
      <w:r>
        <w:rPr>
          <w:rFonts w:hint="eastAsia" w:ascii="楷体_GB2312" w:hAnsi="楷体_GB2312" w:eastAsia="楷体_GB2312" w:cs="楷体_GB2312"/>
          <w:b w:val="0"/>
        </w:rPr>
        <w:t>发展电子商务供应链平台</w:t>
      </w:r>
      <w:bookmarkEnd w:id="1158"/>
      <w:bookmarkEnd w:id="1159"/>
    </w:p>
    <w:p>
      <w:pPr>
        <w:spacing w:line="560" w:lineRule="exact"/>
        <w:ind w:firstLine="640"/>
        <w:contextualSpacing/>
        <w:rPr>
          <w:rFonts w:ascii="仿宋_GB2312" w:hAnsi="仿宋_GB2312" w:cs="仿宋_GB2312"/>
        </w:rPr>
      </w:pPr>
      <w:r>
        <w:rPr>
          <w:rFonts w:hint="eastAsia" w:ascii="仿宋_GB2312" w:hAnsi="仿宋_GB2312" w:cs="仿宋_GB2312"/>
        </w:rPr>
        <w:t>围绕我市玉雕、艾制品、农产品、地毯等优势产业，建立</w:t>
      </w:r>
      <w:r>
        <w:rPr>
          <w:rFonts w:hint="eastAsia" w:ascii="Times New Roman" w:hAnsi="Times New Roman" w:cs="仿宋_GB2312"/>
        </w:rPr>
        <w:t>100</w:t>
      </w:r>
      <w:r>
        <w:rPr>
          <w:rFonts w:hint="eastAsia" w:ascii="仿宋_GB2312" w:hAnsi="仿宋_GB2312" w:cs="仿宋_GB2312"/>
        </w:rPr>
        <w:t>家重点电商企业培育清单，为重点企业提供精准化服务。积极对接引进国内外知名电商企业，深化与阿里集团、敦煌网、京东、字节跳动等企业合作。支持“聚爱优选”“香菜网”“爆团猫”“云防爆”“钢易网”等本土平台做大做强，鼓励建设有产业特色支撑的光电、配变电设备、汽车配件等本土电商垂直细分平台。实施跨境电商培育发展工程，建设</w:t>
      </w:r>
      <w:r>
        <w:rPr>
          <w:rFonts w:hint="eastAsia" w:ascii="Times New Roman" w:hAnsi="Times New Roman" w:cs="仿宋_GB2312"/>
        </w:rPr>
        <w:t>10</w:t>
      </w:r>
      <w:r>
        <w:rPr>
          <w:rFonts w:hint="eastAsia" w:ascii="仿宋_GB2312" w:hAnsi="仿宋_GB2312" w:cs="仿宋_GB2312"/>
        </w:rPr>
        <w:t>个跨境电子商务园区，打造</w:t>
      </w:r>
      <w:r>
        <w:rPr>
          <w:rFonts w:hint="eastAsia" w:ascii="Times New Roman" w:hAnsi="Times New Roman" w:cs="仿宋_GB2312"/>
        </w:rPr>
        <w:t>10</w:t>
      </w:r>
      <w:r>
        <w:rPr>
          <w:rFonts w:hint="eastAsia" w:ascii="仿宋_GB2312" w:hAnsi="仿宋_GB2312" w:cs="仿宋_GB2312"/>
        </w:rPr>
        <w:t>个跨境电商培训孵化基地，引进</w:t>
      </w:r>
      <w:r>
        <w:rPr>
          <w:rFonts w:hint="eastAsia" w:ascii="Times New Roman" w:hAnsi="Times New Roman" w:cs="仿宋_GB2312"/>
        </w:rPr>
        <w:t>10</w:t>
      </w:r>
      <w:r>
        <w:rPr>
          <w:rFonts w:hint="eastAsia" w:ascii="仿宋_GB2312" w:hAnsi="仿宋_GB2312" w:cs="仿宋_GB2312"/>
        </w:rPr>
        <w:t>家跨境电商平台和服务企业，着力打造食用菌、艾草、月季、光学、仿真花、食品等十大产业带，培育十大知名品牌，打造区域电商供应链集散基地。</w:t>
      </w:r>
    </w:p>
    <w:p>
      <w:pPr>
        <w:pStyle w:val="8"/>
        <w:spacing w:line="560" w:lineRule="exact"/>
        <w:ind w:firstLine="640"/>
        <w:contextualSpacing/>
        <w:jc w:val="center"/>
        <w:rPr>
          <w:rFonts w:ascii="楷体_GB2312" w:hAnsi="楷体_GB2312" w:eastAsia="楷体_GB2312" w:cs="楷体_GB2312"/>
          <w:b w:val="0"/>
        </w:rPr>
      </w:pPr>
      <w:bookmarkStart w:id="1160" w:name="_Toc1091877887"/>
      <w:bookmarkStart w:id="1161" w:name="_Toc877296181"/>
      <w:r>
        <w:rPr>
          <w:rFonts w:hint="eastAsia" w:ascii="楷体_GB2312" w:hAnsi="楷体_GB2312" w:eastAsia="楷体_GB2312" w:cs="楷体_GB2312"/>
          <w:b w:val="0"/>
        </w:rPr>
        <w:t>第二</w:t>
      </w:r>
      <w:r>
        <w:rPr>
          <w:rFonts w:hint="eastAsia" w:ascii="楷体_GB2312" w:hAnsi="楷体_GB2312" w:eastAsia="楷体_GB2312" w:cs="楷体_GB2312"/>
          <w:b w:val="0"/>
          <w:lang w:val="zh-CN"/>
        </w:rPr>
        <w:t xml:space="preserve">节 </w:t>
      </w:r>
      <w:r>
        <w:rPr>
          <w:rFonts w:hint="eastAsia" w:ascii="楷体_GB2312" w:hAnsi="楷体_GB2312" w:eastAsia="楷体_GB2312" w:cs="楷体_GB2312"/>
          <w:b w:val="0"/>
        </w:rPr>
        <w:t>发展制造业</w:t>
      </w:r>
      <w:r>
        <w:rPr>
          <w:rFonts w:hint="eastAsia" w:ascii="楷体_GB2312" w:hAnsi="楷体_GB2312" w:eastAsia="楷体_GB2312" w:cs="楷体_GB2312"/>
          <w:b w:val="0"/>
          <w:lang w:val="zh-CN"/>
        </w:rPr>
        <w:t>供应</w:t>
      </w:r>
      <w:r>
        <w:rPr>
          <w:rFonts w:hint="eastAsia" w:ascii="楷体_GB2312" w:hAnsi="楷体_GB2312" w:eastAsia="楷体_GB2312" w:cs="楷体_GB2312"/>
          <w:b w:val="0"/>
        </w:rPr>
        <w:t>链平台</w:t>
      </w:r>
      <w:bookmarkEnd w:id="1160"/>
      <w:bookmarkEnd w:id="1161"/>
    </w:p>
    <w:p>
      <w:pPr>
        <w:spacing w:line="560" w:lineRule="exact"/>
        <w:ind w:firstLine="640"/>
        <w:contextualSpacing/>
        <w:rPr>
          <w:rFonts w:ascii="华文仿宋" w:hAnsi="华文仿宋" w:eastAsia="华文仿宋" w:cs="华文仿宋"/>
        </w:rPr>
      </w:pPr>
      <w:r>
        <w:rPr>
          <w:rFonts w:hint="eastAsia" w:ascii="仿宋_GB2312" w:hAnsi="仿宋_GB2312" w:cs="仿宋_GB2312"/>
        </w:rPr>
        <w:t>聚焦中药材、花卉苗木、汽车展销、超硬材料、轴承系列等领域，依托宛西制药、防爆集团、柯丽尔等“链主”企业优势，发展供应链协同平台，整合上下游商流、物流、信息流、资金流，推动供需对接、集中采购、统管库存、支付结算、物流配送功能，提高供应链自动补货、快速响应及资源共享能力。主动融入河南省“</w:t>
      </w:r>
      <w:r>
        <w:rPr>
          <w:rFonts w:hint="eastAsia" w:ascii="Times New Roman" w:hAnsi="Times New Roman" w:cs="仿宋_GB2312"/>
        </w:rPr>
        <w:t>1</w:t>
      </w:r>
      <w:r>
        <w:rPr>
          <w:rFonts w:hint="eastAsia" w:ascii="仿宋_GB2312" w:hAnsi="仿宋_GB2312" w:cs="仿宋_GB2312"/>
        </w:rPr>
        <w:t>+N+N”工业互联网平台培育计划，聚焦南阳优势制造领域，打造一批数据多源集成、服务全链共享、资源跨域协同的特色行业供应链平台，提升产业集群资源配置能力和市场竞争力。支持建设基础性、功能性、具有明显公益属性的行业供应链公共服务平台，重点集聚政策咨询、信息聚集、经济预警、研发支持、物流配送、金融服务、技术推广等服务功能。</w:t>
      </w:r>
    </w:p>
    <w:p>
      <w:pPr>
        <w:pStyle w:val="8"/>
        <w:spacing w:line="560" w:lineRule="exact"/>
        <w:ind w:firstLine="640"/>
        <w:contextualSpacing/>
        <w:jc w:val="center"/>
        <w:rPr>
          <w:rFonts w:ascii="楷体_GB2312" w:hAnsi="楷体_GB2312" w:eastAsia="楷体_GB2312" w:cs="楷体_GB2312"/>
          <w:b w:val="0"/>
        </w:rPr>
      </w:pPr>
      <w:bookmarkStart w:id="1162" w:name="_Toc1902637710"/>
      <w:bookmarkStart w:id="1163" w:name="_Toc496306627"/>
      <w:r>
        <w:rPr>
          <w:rFonts w:hint="eastAsia" w:ascii="楷体_GB2312" w:hAnsi="楷体_GB2312" w:eastAsia="楷体_GB2312" w:cs="楷体_GB2312"/>
          <w:b w:val="0"/>
        </w:rPr>
        <w:t>第三</w:t>
      </w:r>
      <w:r>
        <w:rPr>
          <w:rFonts w:hint="eastAsia" w:ascii="楷体_GB2312" w:hAnsi="楷体_GB2312" w:eastAsia="楷体_GB2312" w:cs="楷体_GB2312"/>
          <w:b w:val="0"/>
          <w:lang w:val="zh-CN"/>
        </w:rPr>
        <w:t xml:space="preserve">节 </w:t>
      </w:r>
      <w:r>
        <w:rPr>
          <w:rFonts w:hint="eastAsia" w:ascii="楷体_GB2312" w:hAnsi="楷体_GB2312" w:eastAsia="楷体_GB2312" w:cs="楷体_GB2312"/>
          <w:b w:val="0"/>
        </w:rPr>
        <w:t>发展农产品</w:t>
      </w:r>
      <w:r>
        <w:rPr>
          <w:rFonts w:hint="eastAsia" w:ascii="楷体_GB2312" w:hAnsi="楷体_GB2312" w:eastAsia="楷体_GB2312" w:cs="楷体_GB2312"/>
          <w:b w:val="0"/>
          <w:lang w:val="zh-CN"/>
        </w:rPr>
        <w:t>供应</w:t>
      </w:r>
      <w:r>
        <w:rPr>
          <w:rFonts w:hint="eastAsia" w:ascii="楷体_GB2312" w:hAnsi="楷体_GB2312" w:eastAsia="楷体_GB2312" w:cs="楷体_GB2312"/>
          <w:b w:val="0"/>
        </w:rPr>
        <w:t>链平台</w:t>
      </w:r>
      <w:bookmarkEnd w:id="1162"/>
      <w:bookmarkEnd w:id="1163"/>
    </w:p>
    <w:p>
      <w:pPr>
        <w:spacing w:line="560" w:lineRule="exact"/>
        <w:ind w:firstLine="640"/>
        <w:contextualSpacing/>
        <w:rPr>
          <w:rFonts w:ascii="Times New Roman" w:hAnsi="Times New Roman"/>
        </w:rPr>
      </w:pPr>
      <w:r>
        <w:rPr>
          <w:rFonts w:ascii="Times New Roman" w:hAnsi="Times New Roman"/>
        </w:rPr>
        <w:t>依托牧原集团、想念食品等农业产业化龙头企业，着力培育一批全程物联、全链可溯、全域可视的特色农产品供应链平台。建立完善智慧农业云平台，构建云端协同、全程覆盖、开放共享的农业供应链大数据体系。建设大宗农产品交易平台、统仓统配供应链服务平台，发展农产品电商零售终端，推进农产品产销线上对接交易。支持农产品批发市场完善平台功能，为市场商户提供线上展示、网上支付、订单管理、统一结算等电子商务服务，打造线上线下融合的农产品供应链交易平台。</w:t>
      </w:r>
    </w:p>
    <w:p>
      <w:pPr>
        <w:pStyle w:val="7"/>
        <w:spacing w:line="560" w:lineRule="exact"/>
        <w:contextualSpacing/>
        <w:jc w:val="center"/>
        <w:rPr>
          <w:b w:val="0"/>
          <w:lang w:val="zh-CN"/>
        </w:rPr>
      </w:pPr>
      <w:bookmarkStart w:id="1164" w:name="_Toc2107850517"/>
      <w:bookmarkStart w:id="1165" w:name="_Toc796609771"/>
      <w:bookmarkStart w:id="1166" w:name="_Toc253709678"/>
      <w:r>
        <w:rPr>
          <w:rFonts w:hint="eastAsia"/>
          <w:b w:val="0"/>
          <w:lang w:val="zh-CN"/>
        </w:rPr>
        <w:t>第</w:t>
      </w:r>
      <w:r>
        <w:rPr>
          <w:b w:val="0"/>
          <w:lang w:val="zh-CN"/>
        </w:rPr>
        <w:t>七</w:t>
      </w:r>
      <w:r>
        <w:rPr>
          <w:rFonts w:hint="eastAsia"/>
          <w:b w:val="0"/>
          <w:lang w:val="zh-CN"/>
        </w:rPr>
        <w:t xml:space="preserve">章 </w:t>
      </w:r>
      <w:r>
        <w:rPr>
          <w:rFonts w:hint="eastAsia"/>
          <w:b w:val="0"/>
        </w:rPr>
        <w:t>实施</w:t>
      </w:r>
      <w:r>
        <w:rPr>
          <w:b w:val="0"/>
          <w:lang w:val="zh-CN"/>
        </w:rPr>
        <w:t>“招金入宛”</w:t>
      </w:r>
      <w:r>
        <w:rPr>
          <w:rFonts w:hint="eastAsia"/>
          <w:b w:val="0"/>
        </w:rPr>
        <w:t>战略</w:t>
      </w:r>
      <w:r>
        <w:rPr>
          <w:b w:val="0"/>
          <w:lang w:val="zh-CN"/>
        </w:rPr>
        <w:t>，</w:t>
      </w:r>
      <w:r>
        <w:rPr>
          <w:rFonts w:hint="eastAsia"/>
          <w:b w:val="0"/>
          <w:lang w:val="zh-CN"/>
        </w:rPr>
        <w:t>大力</w:t>
      </w:r>
      <w:r>
        <w:rPr>
          <w:b w:val="0"/>
          <w:lang w:val="zh-CN"/>
        </w:rPr>
        <w:t>发展供应链金融</w:t>
      </w:r>
      <w:bookmarkEnd w:id="1164"/>
      <w:bookmarkEnd w:id="1165"/>
      <w:bookmarkEnd w:id="1166"/>
    </w:p>
    <w:p>
      <w:pPr>
        <w:spacing w:line="560" w:lineRule="exact"/>
        <w:ind w:firstLine="640"/>
        <w:contextualSpacing/>
        <w:rPr>
          <w:rFonts w:ascii="Times New Roman" w:hAnsi="Times New Roman"/>
        </w:rPr>
      </w:pPr>
      <w:r>
        <w:rPr>
          <w:rFonts w:hint="eastAsia" w:ascii="Times New Roman" w:hAnsi="Times New Roman"/>
        </w:rPr>
        <w:t>深入实施“招金入宛”战略，</w:t>
      </w:r>
      <w:r>
        <w:rPr>
          <w:rFonts w:ascii="Times New Roman" w:hAnsi="Times New Roman"/>
        </w:rPr>
        <w:t>规范发展供应链金融，增加金融总量、丰富金融业态、推进金融创新</w:t>
      </w:r>
      <w:r>
        <w:rPr>
          <w:rFonts w:hint="eastAsia" w:ascii="Times New Roman" w:hAnsi="Times New Roman"/>
        </w:rPr>
        <w:t>，</w:t>
      </w:r>
      <w:r>
        <w:rPr>
          <w:rFonts w:ascii="Times New Roman" w:hAnsi="Times New Roman"/>
        </w:rPr>
        <w:t>服务实体经济高质量发展。</w:t>
      </w:r>
    </w:p>
    <w:p>
      <w:pPr>
        <w:pStyle w:val="8"/>
        <w:spacing w:line="560" w:lineRule="exact"/>
        <w:ind w:firstLine="640"/>
        <w:contextualSpacing/>
        <w:jc w:val="center"/>
        <w:rPr>
          <w:rFonts w:ascii="楷体_GB2312" w:hAnsi="楷体_GB2312" w:eastAsia="楷体_GB2312" w:cs="楷体_GB2312"/>
          <w:b w:val="0"/>
        </w:rPr>
      </w:pPr>
      <w:bookmarkStart w:id="1167" w:name="_Toc772401477"/>
      <w:bookmarkStart w:id="1168" w:name="_Toc751480746"/>
      <w:r>
        <w:rPr>
          <w:rFonts w:hint="eastAsia" w:ascii="楷体_GB2312" w:hAnsi="楷体_GB2312" w:eastAsia="楷体_GB2312" w:cs="楷体_GB2312"/>
          <w:b w:val="0"/>
        </w:rPr>
        <w:t>第一</w:t>
      </w:r>
      <w:r>
        <w:rPr>
          <w:rFonts w:hint="eastAsia" w:ascii="楷体_GB2312" w:hAnsi="楷体_GB2312" w:eastAsia="楷体_GB2312" w:cs="楷体_GB2312"/>
          <w:b w:val="0"/>
          <w:lang w:val="zh-CN"/>
        </w:rPr>
        <w:t>节 增加</w:t>
      </w:r>
      <w:r>
        <w:rPr>
          <w:rFonts w:hint="eastAsia" w:ascii="楷体_GB2312" w:hAnsi="楷体_GB2312" w:eastAsia="楷体_GB2312" w:cs="楷体_GB2312"/>
          <w:b w:val="0"/>
        </w:rPr>
        <w:t>金融供给总量</w:t>
      </w:r>
      <w:bookmarkEnd w:id="1167"/>
      <w:bookmarkEnd w:id="1168"/>
    </w:p>
    <w:p>
      <w:pPr>
        <w:spacing w:line="560" w:lineRule="exact"/>
        <w:ind w:firstLine="640"/>
        <w:contextualSpacing/>
        <w:rPr>
          <w:rFonts w:ascii="Times New Roman" w:hAnsi="Times New Roman"/>
        </w:rPr>
      </w:pPr>
      <w:r>
        <w:rPr>
          <w:rFonts w:ascii="Times New Roman" w:hAnsi="Times New Roman"/>
        </w:rPr>
        <w:t>鼓励各类金融机构在宛设立分支机构，深化农信社、村镇银行等地方金融机构改革，支持设立财务公司、融资租赁、商业保理等地方金融组织，探索建立市级资产管理公司，推进金融集聚区建设，加快金融机构、金融资源、金融人才集聚。综合运用信贷、基金、股票、债券、保险等金融工具，实现金融与城市经营、产业发展、企业层面的良性循环。加强与国开行、进出口银行、农发行和大型保险公司等合作，争取更多开发性资金、政策性资金支持，大力吸引保险资金投入地方建设。</w:t>
      </w:r>
    </w:p>
    <w:p>
      <w:pPr>
        <w:pStyle w:val="8"/>
        <w:spacing w:line="560" w:lineRule="exact"/>
        <w:ind w:firstLine="640"/>
        <w:contextualSpacing/>
        <w:jc w:val="center"/>
        <w:rPr>
          <w:rFonts w:ascii="楷体_GB2312" w:hAnsi="楷体_GB2312" w:eastAsia="楷体_GB2312" w:cs="楷体_GB2312"/>
          <w:b w:val="0"/>
        </w:rPr>
      </w:pPr>
      <w:bookmarkStart w:id="1169" w:name="_Toc1490532821"/>
      <w:bookmarkStart w:id="1170" w:name="_Toc1194527118"/>
      <w:r>
        <w:rPr>
          <w:rFonts w:hint="eastAsia" w:ascii="楷体_GB2312" w:hAnsi="楷体_GB2312" w:eastAsia="楷体_GB2312" w:cs="楷体_GB2312"/>
          <w:b w:val="0"/>
        </w:rPr>
        <w:t>第二</w:t>
      </w:r>
      <w:r>
        <w:rPr>
          <w:rFonts w:hint="eastAsia" w:ascii="楷体_GB2312" w:hAnsi="楷体_GB2312" w:eastAsia="楷体_GB2312" w:cs="楷体_GB2312"/>
          <w:b w:val="0"/>
          <w:lang w:val="zh-CN"/>
        </w:rPr>
        <w:t xml:space="preserve">节 </w:t>
      </w:r>
      <w:r>
        <w:rPr>
          <w:rFonts w:hint="eastAsia" w:ascii="楷体_GB2312" w:hAnsi="楷体_GB2312" w:eastAsia="楷体_GB2312" w:cs="楷体_GB2312"/>
          <w:b w:val="0"/>
        </w:rPr>
        <w:t>健全供应链金融发展机制</w:t>
      </w:r>
      <w:bookmarkEnd w:id="1169"/>
      <w:bookmarkEnd w:id="1170"/>
    </w:p>
    <w:p>
      <w:pPr>
        <w:spacing w:line="560" w:lineRule="exact"/>
        <w:ind w:firstLine="640"/>
        <w:contextualSpacing/>
        <w:rPr>
          <w:rFonts w:ascii="Times New Roman" w:hAnsi="Times New Roman"/>
        </w:rPr>
      </w:pPr>
      <w:r>
        <w:rPr>
          <w:rFonts w:hint="eastAsia" w:ascii="Times New Roman" w:hAnsi="Times New Roman"/>
        </w:rPr>
        <w:t>围绕纺织服装、生物产业、超硬材料、肉食品加工、农牧装备、汽车零部件等20个重点产业链，引导银行业金融机构加强与核心企业合作，创新发展应收账款融资、存货融资、预付款融资、保险、保理等现代供应链金融服务。支持符合条件的企业基于真实交易场景，开展应收账款、仓单质押、存货质押、预付款融资。研究设立供应链金融专项引导基金，提供银行、基金、风投、保理、保险等专业服务，为供应链企业提供全流程、生态化、复合型的金融咨询服务和业务场景的定制化解决方案。</w:t>
      </w:r>
    </w:p>
    <w:p>
      <w:pPr>
        <w:pStyle w:val="8"/>
        <w:spacing w:line="560" w:lineRule="exact"/>
        <w:ind w:firstLine="640"/>
        <w:contextualSpacing/>
        <w:jc w:val="center"/>
        <w:rPr>
          <w:rFonts w:ascii="楷体_GB2312" w:hAnsi="楷体_GB2312" w:eastAsia="楷体_GB2312" w:cs="楷体_GB2312"/>
          <w:b w:val="0"/>
        </w:rPr>
      </w:pPr>
      <w:bookmarkStart w:id="1171" w:name="_Toc514510649"/>
      <w:bookmarkStart w:id="1172" w:name="_Toc1360766542"/>
      <w:r>
        <w:rPr>
          <w:rFonts w:hint="eastAsia" w:ascii="楷体_GB2312" w:hAnsi="楷体_GB2312" w:eastAsia="楷体_GB2312" w:cs="楷体_GB2312"/>
          <w:b w:val="0"/>
        </w:rPr>
        <w:t>第三</w:t>
      </w:r>
      <w:r>
        <w:rPr>
          <w:rFonts w:hint="eastAsia" w:ascii="楷体_GB2312" w:hAnsi="楷体_GB2312" w:eastAsia="楷体_GB2312" w:cs="楷体_GB2312"/>
          <w:b w:val="0"/>
          <w:lang w:val="zh-CN"/>
        </w:rPr>
        <w:t xml:space="preserve">节 </w:t>
      </w:r>
      <w:r>
        <w:rPr>
          <w:rFonts w:hint="eastAsia" w:ascii="楷体_GB2312" w:hAnsi="楷体_GB2312" w:eastAsia="楷体_GB2312" w:cs="楷体_GB2312"/>
          <w:b w:val="0"/>
        </w:rPr>
        <w:t>加强供应链金融规范管理</w:t>
      </w:r>
      <w:bookmarkEnd w:id="1171"/>
      <w:bookmarkEnd w:id="1172"/>
    </w:p>
    <w:p>
      <w:pPr>
        <w:spacing w:line="560" w:lineRule="exact"/>
        <w:ind w:firstLine="640"/>
        <w:contextualSpacing/>
        <w:rPr>
          <w:rFonts w:ascii="Times New Roman" w:hAnsi="Times New Roman"/>
        </w:rPr>
      </w:pPr>
      <w:r>
        <w:rPr>
          <w:rFonts w:ascii="Times New Roman" w:hAnsi="Times New Roman"/>
        </w:rPr>
        <w:t>引导金融机构规范开展供应链相关的资产证券化、提供资管产品等表外融资服务。探索区块链技术应用，创新供应链风险识别和风险管理机制，建立基于核心企业、真实交易行为、上下游企业一体化的风险评估体系，警惕虚增、虚构应收账款行为，防止重复质押和空单质押，确保资金流向实体经济。加强业务专营管理，推进金融机构成立供应链金融业务专业管理部门（中心），培育专业人才队伍，实行供应链金融业务集中统一管理。加强风险全面控制，推进金融机构建立面向供应链金融多维度、全链条、跨机构的风险防控体系，监控宏观、中观、微观三个层次风险变化，涵盖链条所有企业及风险关键环节，开展核心企业同业联合授信管理。</w:t>
      </w:r>
    </w:p>
    <w:p>
      <w:pPr>
        <w:pStyle w:val="8"/>
        <w:spacing w:line="560" w:lineRule="exact"/>
        <w:ind w:firstLine="640"/>
        <w:contextualSpacing/>
        <w:jc w:val="center"/>
        <w:rPr>
          <w:rFonts w:ascii="楷体_GB2312" w:hAnsi="楷体_GB2312" w:eastAsia="楷体_GB2312" w:cs="楷体_GB2312"/>
          <w:b w:val="0"/>
        </w:rPr>
      </w:pPr>
      <w:bookmarkStart w:id="1173" w:name="_Toc363631575"/>
      <w:bookmarkStart w:id="1174" w:name="_Toc1975810819"/>
      <w:r>
        <w:rPr>
          <w:rFonts w:hint="eastAsia" w:ascii="楷体_GB2312" w:hAnsi="楷体_GB2312" w:eastAsia="楷体_GB2312" w:cs="楷体_GB2312"/>
          <w:b w:val="0"/>
        </w:rPr>
        <w:t>第四</w:t>
      </w:r>
      <w:r>
        <w:rPr>
          <w:rFonts w:hint="eastAsia" w:ascii="楷体_GB2312" w:hAnsi="楷体_GB2312" w:eastAsia="楷体_GB2312" w:cs="楷体_GB2312"/>
          <w:b w:val="0"/>
          <w:lang w:val="zh-CN"/>
        </w:rPr>
        <w:t xml:space="preserve">节 </w:t>
      </w:r>
      <w:r>
        <w:rPr>
          <w:rFonts w:hint="eastAsia" w:ascii="楷体_GB2312" w:hAnsi="楷体_GB2312" w:eastAsia="楷体_GB2312" w:cs="楷体_GB2312"/>
          <w:b w:val="0"/>
        </w:rPr>
        <w:t>优化供应链金融发展环境</w:t>
      </w:r>
      <w:bookmarkEnd w:id="1173"/>
      <w:bookmarkEnd w:id="1174"/>
    </w:p>
    <w:p>
      <w:pPr>
        <w:spacing w:line="560" w:lineRule="exact"/>
        <w:ind w:firstLine="640"/>
        <w:contextualSpacing/>
        <w:rPr>
          <w:rFonts w:ascii="Times New Roman" w:hAnsi="Times New Roman"/>
        </w:rPr>
      </w:pPr>
      <w:r>
        <w:rPr>
          <w:rFonts w:ascii="Times New Roman" w:hAnsi="Times New Roman"/>
        </w:rPr>
        <w:t>增强供应链协同发展意识，引导核心企业利用金融、科技资源搭建供应链管理平台，支持上下游企业依托其开展融资，积极采用供应链金融模式解决上下游应收应付款问题，为供应链金融业务推广发展创造条件。加强数据信息共享共用。整合核心企业供应链管理平台、金融机构供应链金融服务平台和地方金融服务共享平台信息数据，</w:t>
      </w:r>
      <w:r>
        <w:rPr>
          <w:rFonts w:hint="eastAsia" w:ascii="Times New Roman" w:hAnsi="Times New Roman"/>
        </w:rPr>
        <w:t>鼓励金融机构深入开展信息挖掘、信用评估、交易执行、风险预警等业务，</w:t>
      </w:r>
      <w:r>
        <w:rPr>
          <w:rFonts w:ascii="Times New Roman" w:hAnsi="Times New Roman"/>
        </w:rPr>
        <w:t>利用大数据对供应链上下游客户进行多维度精准画像，解决中小企业缺信息、缺信用问题</w:t>
      </w:r>
      <w:r>
        <w:rPr>
          <w:rFonts w:hint="eastAsia" w:ascii="Times New Roman" w:hAnsi="Times New Roman"/>
        </w:rPr>
        <w:t>，提高供应链金融服务智能化、便利化水平。</w:t>
      </w:r>
    </w:p>
    <w:p>
      <w:pPr>
        <w:pStyle w:val="7"/>
        <w:spacing w:line="560" w:lineRule="exact"/>
        <w:contextualSpacing/>
        <w:jc w:val="center"/>
        <w:rPr>
          <w:b w:val="0"/>
          <w:lang w:val="zh-CN"/>
        </w:rPr>
      </w:pPr>
      <w:bookmarkStart w:id="1175" w:name="_Toc942549545"/>
      <w:bookmarkStart w:id="1176" w:name="_Toc1718082770"/>
      <w:bookmarkStart w:id="1177" w:name="_Toc1752129380"/>
      <w:r>
        <w:rPr>
          <w:rFonts w:hint="eastAsia"/>
          <w:b w:val="0"/>
          <w:lang w:val="zh-CN"/>
        </w:rPr>
        <w:t>第</w:t>
      </w:r>
      <w:r>
        <w:rPr>
          <w:b w:val="0"/>
          <w:lang w:val="zh-CN"/>
        </w:rPr>
        <w:t>八</w:t>
      </w:r>
      <w:r>
        <w:rPr>
          <w:rFonts w:hint="eastAsia"/>
          <w:b w:val="0"/>
          <w:lang w:val="zh-CN"/>
        </w:rPr>
        <w:t xml:space="preserve">章 </w:t>
      </w:r>
      <w:r>
        <w:rPr>
          <w:rFonts w:hint="eastAsia"/>
          <w:b w:val="0"/>
        </w:rPr>
        <w:t>实施绿色转型发展战略</w:t>
      </w:r>
      <w:r>
        <w:rPr>
          <w:b w:val="0"/>
          <w:lang w:val="zh-CN"/>
        </w:rPr>
        <w:t>，积极发展绿色供应链</w:t>
      </w:r>
      <w:bookmarkEnd w:id="1175"/>
      <w:bookmarkEnd w:id="1176"/>
      <w:bookmarkEnd w:id="1177"/>
    </w:p>
    <w:p>
      <w:pPr>
        <w:spacing w:line="560" w:lineRule="exact"/>
        <w:ind w:firstLine="640"/>
        <w:contextualSpacing/>
        <w:rPr>
          <w:rFonts w:ascii="仿宋_GB2312" w:hAnsi="仿宋_GB2312" w:cs="仿宋_GB2312"/>
        </w:rPr>
      </w:pPr>
      <w:r>
        <w:rPr>
          <w:rFonts w:hint="eastAsia" w:ascii="仿宋_GB2312" w:hAnsi="仿宋_GB2312" w:cs="仿宋_GB2312"/>
        </w:rPr>
        <w:t>开展重点行业绿色供应链管理示范，打造绿色制造供应链。倡导绿色采购、绿色物流、绿色销售、绿色消费，构建绿色流通供应链，力争“十四五”期间新增国家级绿色工厂</w:t>
      </w:r>
      <w:r>
        <w:rPr>
          <w:rFonts w:hint="eastAsia" w:ascii="Times New Roman" w:hAnsi="Times New Roman" w:cs="仿宋_GB2312"/>
        </w:rPr>
        <w:t>20</w:t>
      </w:r>
      <w:r>
        <w:rPr>
          <w:rFonts w:hint="eastAsia" w:ascii="仿宋_GB2312" w:hAnsi="仿宋_GB2312" w:cs="仿宋_GB2312"/>
        </w:rPr>
        <w:t>家、省级绿色工厂</w:t>
      </w:r>
      <w:r>
        <w:rPr>
          <w:rFonts w:hint="eastAsia" w:ascii="Times New Roman" w:hAnsi="Times New Roman" w:cs="仿宋_GB2312"/>
        </w:rPr>
        <w:t>20</w:t>
      </w:r>
      <w:r>
        <w:rPr>
          <w:rFonts w:hint="eastAsia" w:ascii="仿宋_GB2312" w:hAnsi="仿宋_GB2312" w:cs="仿宋_GB2312"/>
        </w:rPr>
        <w:t>家，省级绿色供应链管理企业</w:t>
      </w:r>
      <w:r>
        <w:rPr>
          <w:rFonts w:hint="eastAsia" w:ascii="Times New Roman" w:hAnsi="Times New Roman" w:cs="仿宋_GB2312"/>
        </w:rPr>
        <w:t>10</w:t>
      </w:r>
      <w:r>
        <w:rPr>
          <w:rFonts w:hint="eastAsia" w:ascii="仿宋_GB2312" w:hAnsi="仿宋_GB2312" w:cs="仿宋_GB2312"/>
        </w:rPr>
        <w:t>家。</w:t>
      </w:r>
    </w:p>
    <w:p>
      <w:pPr>
        <w:pStyle w:val="8"/>
        <w:spacing w:line="560" w:lineRule="exact"/>
        <w:ind w:firstLine="640"/>
        <w:contextualSpacing/>
        <w:jc w:val="center"/>
        <w:rPr>
          <w:rFonts w:ascii="楷体_GB2312" w:hAnsi="楷体_GB2312" w:eastAsia="楷体_GB2312" w:cs="楷体_GB2312"/>
          <w:b w:val="0"/>
        </w:rPr>
      </w:pPr>
      <w:bookmarkStart w:id="1178" w:name="_Toc1440608777"/>
      <w:bookmarkStart w:id="1179" w:name="_Toc457665797"/>
      <w:r>
        <w:rPr>
          <w:rFonts w:hint="eastAsia" w:ascii="楷体_GB2312" w:hAnsi="楷体_GB2312" w:eastAsia="楷体_GB2312" w:cs="楷体_GB2312"/>
          <w:b w:val="0"/>
        </w:rPr>
        <w:t>第一</w:t>
      </w:r>
      <w:r>
        <w:rPr>
          <w:rFonts w:hint="eastAsia" w:ascii="楷体_GB2312" w:hAnsi="楷体_GB2312" w:eastAsia="楷体_GB2312" w:cs="楷体_GB2312"/>
          <w:b w:val="0"/>
          <w:lang w:val="zh-CN"/>
        </w:rPr>
        <w:t xml:space="preserve">节 </w:t>
      </w:r>
      <w:r>
        <w:rPr>
          <w:rFonts w:hint="eastAsia" w:ascii="楷体_GB2312" w:hAnsi="楷体_GB2312" w:eastAsia="楷体_GB2312" w:cs="楷体_GB2312"/>
          <w:b w:val="0"/>
        </w:rPr>
        <w:t>大力发展</w:t>
      </w:r>
      <w:r>
        <w:rPr>
          <w:rFonts w:hint="eastAsia" w:ascii="楷体_GB2312" w:hAnsi="楷体_GB2312" w:eastAsia="楷体_GB2312" w:cs="楷体_GB2312"/>
          <w:b w:val="0"/>
          <w:lang w:val="zh-CN"/>
        </w:rPr>
        <w:t>绿色</w:t>
      </w:r>
      <w:r>
        <w:rPr>
          <w:rFonts w:hint="eastAsia" w:ascii="楷体_GB2312" w:hAnsi="楷体_GB2312" w:eastAsia="楷体_GB2312" w:cs="楷体_GB2312"/>
          <w:b w:val="0"/>
        </w:rPr>
        <w:t>制造</w:t>
      </w:r>
      <w:bookmarkEnd w:id="1178"/>
      <w:bookmarkEnd w:id="1179"/>
    </w:p>
    <w:p>
      <w:pPr>
        <w:spacing w:line="560" w:lineRule="exact"/>
        <w:ind w:firstLine="640"/>
        <w:contextualSpacing/>
        <w:rPr>
          <w:rFonts w:ascii="Times New Roman" w:hAnsi="Times New Roman"/>
        </w:rPr>
      </w:pPr>
      <w:r>
        <w:rPr>
          <w:rFonts w:hint="eastAsia" w:ascii="Times New Roman" w:hAnsi="Times New Roman"/>
        </w:rPr>
        <w:t>聚焦新能源、纺织印染、金属加工和机械装备等行业，开展绿色供应链管理示范。</w:t>
      </w:r>
      <w:r>
        <w:rPr>
          <w:rFonts w:ascii="Times New Roman" w:hAnsi="Times New Roman"/>
        </w:rPr>
        <w:t>实施</w:t>
      </w:r>
      <w:r>
        <w:rPr>
          <w:rFonts w:hint="eastAsia" w:ascii="Times New Roman" w:hAnsi="Times New Roman"/>
        </w:rPr>
        <w:t>一批</w:t>
      </w:r>
      <w:r>
        <w:rPr>
          <w:rFonts w:ascii="Times New Roman" w:hAnsi="Times New Roman"/>
        </w:rPr>
        <w:t>绿色制造重点项目，</w:t>
      </w:r>
      <w:r>
        <w:rPr>
          <w:rFonts w:hint="eastAsia" w:ascii="Times New Roman" w:hAnsi="Times New Roman"/>
        </w:rPr>
        <w:t>推进</w:t>
      </w:r>
      <w:r>
        <w:rPr>
          <w:rFonts w:ascii="Times New Roman" w:hAnsi="Times New Roman"/>
        </w:rPr>
        <w:t>绿色工厂、绿色园区</w:t>
      </w:r>
      <w:r>
        <w:rPr>
          <w:rFonts w:hint="eastAsia" w:ascii="Times New Roman" w:hAnsi="Times New Roman"/>
        </w:rPr>
        <w:t>建设，推动</w:t>
      </w:r>
      <w:r>
        <w:rPr>
          <w:rFonts w:ascii="Times New Roman" w:hAnsi="Times New Roman"/>
        </w:rPr>
        <w:t>产业结构低碳化、生产过程清洁化、能源资源利用高效化、区域经济循环化。发挥供应链核心企业的主体作用，带动供应链上下游企业持续提高资源能源利用效率，实现绿色发展。围绕绿色设计、绿色供应、绿色生产、绿色包装与运输、绿色营销、绿色回收，探索建立统一的绿色产品标准、认证和标识，打造贯穿产品全生命周期的绿色供应链体系。实施绿色化改造对标提升工程，持续开展绿色工厂、绿色产品、绿色园区、绿色供应链创建，构建高效、清洁、低碳、循环的绿色制造体系。</w:t>
      </w:r>
    </w:p>
    <w:p>
      <w:pPr>
        <w:pStyle w:val="8"/>
        <w:spacing w:line="560" w:lineRule="exact"/>
        <w:ind w:firstLine="640"/>
        <w:contextualSpacing/>
        <w:jc w:val="center"/>
        <w:rPr>
          <w:rFonts w:ascii="楷体_GB2312" w:hAnsi="楷体_GB2312" w:eastAsia="楷体_GB2312" w:cs="楷体_GB2312"/>
          <w:b w:val="0"/>
        </w:rPr>
      </w:pPr>
      <w:bookmarkStart w:id="1180" w:name="_Toc395009772"/>
      <w:bookmarkStart w:id="1181" w:name="_Toc65885539"/>
      <w:r>
        <w:rPr>
          <w:rFonts w:hint="eastAsia" w:ascii="楷体_GB2312" w:hAnsi="楷体_GB2312" w:eastAsia="楷体_GB2312" w:cs="楷体_GB2312"/>
          <w:b w:val="0"/>
        </w:rPr>
        <w:t>第二</w:t>
      </w:r>
      <w:r>
        <w:rPr>
          <w:rFonts w:hint="eastAsia" w:ascii="楷体_GB2312" w:hAnsi="楷体_GB2312" w:eastAsia="楷体_GB2312" w:cs="楷体_GB2312"/>
          <w:b w:val="0"/>
          <w:lang w:val="zh-CN"/>
        </w:rPr>
        <w:t xml:space="preserve">节 </w:t>
      </w:r>
      <w:r>
        <w:rPr>
          <w:rFonts w:hint="eastAsia" w:ascii="楷体_GB2312" w:hAnsi="楷体_GB2312" w:eastAsia="楷体_GB2312" w:cs="楷体_GB2312"/>
          <w:b w:val="0"/>
        </w:rPr>
        <w:t>推进</w:t>
      </w:r>
      <w:r>
        <w:rPr>
          <w:rFonts w:hint="eastAsia" w:ascii="楷体_GB2312" w:hAnsi="楷体_GB2312" w:eastAsia="楷体_GB2312" w:cs="楷体_GB2312"/>
          <w:b w:val="0"/>
          <w:lang w:val="zh-CN"/>
        </w:rPr>
        <w:t>节能</w:t>
      </w:r>
      <w:r>
        <w:rPr>
          <w:rFonts w:hint="eastAsia" w:ascii="楷体_GB2312" w:hAnsi="楷体_GB2312" w:eastAsia="楷体_GB2312" w:cs="楷体_GB2312"/>
          <w:b w:val="0"/>
        </w:rPr>
        <w:t>减排降耗</w:t>
      </w:r>
      <w:bookmarkEnd w:id="1180"/>
      <w:bookmarkEnd w:id="1181"/>
    </w:p>
    <w:p>
      <w:pPr>
        <w:spacing w:line="560" w:lineRule="exact"/>
        <w:ind w:firstLine="640"/>
        <w:contextualSpacing/>
        <w:rPr>
          <w:rFonts w:ascii="Times New Roman" w:hAnsi="Times New Roman"/>
        </w:rPr>
      </w:pPr>
      <w:r>
        <w:rPr>
          <w:rFonts w:hint="eastAsia" w:ascii="仿宋_GB2312" w:hAnsi="仿宋_GB2312" w:cs="仿宋_GB2312"/>
        </w:rPr>
        <w:t>聚焦建材、纺织、化工等传统行业和高耗能产业，分行业研究制定“碳达峰”“碳中和”行动方案及路线图。推广节能技术和装备，实施系统节能改造，鼓励先进节能技术的集成优化运用，推动工业节能从局部、单体节能向全流程、供应链系统节能转变。推动重点企业能源管理体系建设，支持钢铁、化工、纺织、造纸等行业企业建设能源管控中心。实施数字能效推进计划，鼓励企业通过物联网、大数据、云计算、先进过程控制等技术应用，对能源消耗情况实施动态监测、控制和优化管理，实现企业能源管理数字化和精细化。组织重点行业企业开展能效、水效对标达标活动，力争“十四五”期间新增省级能效水效“领跑者”企业</w:t>
      </w:r>
      <w:r>
        <w:rPr>
          <w:rFonts w:hint="eastAsia" w:ascii="Times New Roman" w:hAnsi="Times New Roman" w:cs="仿宋_GB2312"/>
        </w:rPr>
        <w:t>5</w:t>
      </w:r>
      <w:r>
        <w:rPr>
          <w:rFonts w:hint="eastAsia" w:ascii="仿宋_GB2312" w:hAnsi="仿宋_GB2312" w:cs="仿宋_GB2312"/>
        </w:rPr>
        <w:t>家、省级节水型企业</w:t>
      </w:r>
      <w:r>
        <w:rPr>
          <w:rFonts w:hint="eastAsia" w:ascii="Times New Roman" w:hAnsi="Times New Roman" w:cs="仿宋_GB2312"/>
        </w:rPr>
        <w:t>10</w:t>
      </w:r>
      <w:r>
        <w:rPr>
          <w:rFonts w:hint="eastAsia" w:ascii="仿宋_GB2312" w:hAnsi="仿宋_GB2312" w:cs="仿宋_GB2312"/>
        </w:rPr>
        <w:t>家，</w:t>
      </w:r>
      <w:r>
        <w:rPr>
          <w:rFonts w:hint="eastAsia" w:ascii="Times New Roman" w:hAnsi="Times New Roman" w:cs="仿宋_GB2312"/>
        </w:rPr>
        <w:t>2</w:t>
      </w:r>
      <w:r>
        <w:rPr>
          <w:rFonts w:hint="eastAsia" w:ascii="仿宋_GB2312" w:hAnsi="仿宋_GB2312" w:cs="仿宋_GB2312"/>
        </w:rPr>
        <w:t>家企业（产品）进入国家节能技术装备、“能效之星”产品目录。</w:t>
      </w:r>
    </w:p>
    <w:p>
      <w:pPr>
        <w:pStyle w:val="8"/>
        <w:spacing w:line="560" w:lineRule="exact"/>
        <w:ind w:firstLine="640"/>
        <w:contextualSpacing/>
        <w:jc w:val="center"/>
        <w:rPr>
          <w:rFonts w:ascii="楷体_GB2312" w:hAnsi="楷体_GB2312" w:eastAsia="楷体_GB2312" w:cs="楷体_GB2312"/>
          <w:b w:val="0"/>
        </w:rPr>
      </w:pPr>
      <w:bookmarkStart w:id="1182" w:name="_Toc152043221"/>
      <w:bookmarkStart w:id="1183" w:name="_Toc1641333641"/>
      <w:r>
        <w:rPr>
          <w:rFonts w:hint="eastAsia" w:ascii="楷体_GB2312" w:hAnsi="楷体_GB2312" w:eastAsia="楷体_GB2312" w:cs="楷体_GB2312"/>
          <w:b w:val="0"/>
        </w:rPr>
        <w:t>第三</w:t>
      </w:r>
      <w:r>
        <w:rPr>
          <w:rFonts w:hint="eastAsia" w:ascii="楷体_GB2312" w:hAnsi="楷体_GB2312" w:eastAsia="楷体_GB2312" w:cs="楷体_GB2312"/>
          <w:b w:val="0"/>
          <w:lang w:val="zh-CN"/>
        </w:rPr>
        <w:t xml:space="preserve">节 </w:t>
      </w:r>
      <w:r>
        <w:rPr>
          <w:rFonts w:hint="eastAsia" w:ascii="楷体_GB2312" w:hAnsi="楷体_GB2312" w:eastAsia="楷体_GB2312" w:cs="楷体_GB2312"/>
          <w:b w:val="0"/>
        </w:rPr>
        <w:t>积极发展绿色流通</w:t>
      </w:r>
      <w:bookmarkEnd w:id="1182"/>
      <w:bookmarkEnd w:id="1183"/>
    </w:p>
    <w:p>
      <w:pPr>
        <w:spacing w:line="560" w:lineRule="exact"/>
        <w:ind w:firstLine="640"/>
        <w:contextualSpacing/>
        <w:rPr>
          <w:rFonts w:ascii="Times New Roman" w:hAnsi="Times New Roman"/>
        </w:rPr>
      </w:pPr>
      <w:r>
        <w:rPr>
          <w:rFonts w:ascii="Times New Roman" w:hAnsi="Times New Roman"/>
        </w:rPr>
        <w:t>推动绿色运输、仓储和包装等环节协同运行，实现物流全链条绿色化发展。推广先进运输组织模式，推进公共</w:t>
      </w:r>
      <w:r>
        <w:rPr>
          <w:rFonts w:hint="eastAsia" w:ascii="Times New Roman" w:hAnsi="Times New Roman"/>
        </w:rPr>
        <w:t>“</w:t>
      </w:r>
      <w:r>
        <w:rPr>
          <w:rFonts w:ascii="Times New Roman" w:hAnsi="Times New Roman"/>
        </w:rPr>
        <w:t>挂车池</w:t>
      </w:r>
      <w:r>
        <w:rPr>
          <w:rFonts w:hint="eastAsia" w:ascii="Times New Roman" w:hAnsi="Times New Roman"/>
        </w:rPr>
        <w:t>”“</w:t>
      </w:r>
      <w:r>
        <w:rPr>
          <w:rFonts w:ascii="Times New Roman" w:hAnsi="Times New Roman"/>
        </w:rPr>
        <w:t>运力池</w:t>
      </w:r>
      <w:r>
        <w:rPr>
          <w:rFonts w:hint="eastAsia" w:ascii="Times New Roman" w:hAnsi="Times New Roman"/>
        </w:rPr>
        <w:t>”“</w:t>
      </w:r>
      <w:r>
        <w:rPr>
          <w:rFonts w:ascii="Times New Roman" w:hAnsi="Times New Roman"/>
        </w:rPr>
        <w:t>托盘池</w:t>
      </w:r>
      <w:r>
        <w:rPr>
          <w:rFonts w:hint="eastAsia" w:ascii="Times New Roman" w:hAnsi="Times New Roman"/>
        </w:rPr>
        <w:t>”</w:t>
      </w:r>
      <w:r>
        <w:rPr>
          <w:rFonts w:ascii="Times New Roman" w:hAnsi="Times New Roman"/>
        </w:rPr>
        <w:t>等共享模式和甩挂运输等绿色运输方式发展。推动物流枢纽、示范物流园区等采用能源合同管理等节能管理模式。推广普及电子面单、环保袋、循环箱、绿色回收箱，推进物流企业与制造、商贸流通企业包装循环共用，推广使用循环包装和生物降解包装材料，推行实施货物包装和物流器具绿色化、减量化。创新逆向物流回收模式，围绕家用电器、电子产品、汽车、快递包装等废旧物资，构建线上线下融合的逆向物流服务平台和回收网络。引导生产企业建立逆向物流回收体系，推动汽车、工程机械、电子产品等生产企业利用售后服务体系建立再制造逆向物流回收网络。</w:t>
      </w:r>
    </w:p>
    <w:tbl>
      <w:tblPr>
        <w:tblStyle w:val="26"/>
        <w:tblW w:w="0" w:type="auto"/>
        <w:tblInd w:w="9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6" w:hRule="atLeast"/>
        </w:trPr>
        <w:tc>
          <w:tcPr>
            <w:tcW w:w="8854" w:type="dxa"/>
            <w:tcBorders>
              <w:tl2br w:val="nil"/>
              <w:tr2bl w:val="nil"/>
            </w:tcBorders>
            <w:vAlign w:val="center"/>
          </w:tcPr>
          <w:p>
            <w:pPr>
              <w:topLinePunct/>
              <w:spacing w:line="400" w:lineRule="exact"/>
              <w:contextualSpacing/>
              <w:jc w:val="center"/>
              <w:rPr>
                <w:rFonts w:ascii="Times New Roman" w:hAnsi="Times New Roman" w:eastAsia="黑体" w:cs="黑体"/>
              </w:rPr>
            </w:pPr>
            <w:r>
              <w:rPr>
                <w:rFonts w:hint="eastAsia" w:ascii="Times New Roman" w:hAnsi="Times New Roman" w:eastAsia="黑体" w:cs="黑体"/>
                <w:sz w:val="28"/>
                <w:szCs w:val="28"/>
              </w:rPr>
              <w:t>专栏6：</w:t>
            </w:r>
            <w:r>
              <w:rPr>
                <w:rFonts w:hint="eastAsia" w:ascii="黑体" w:hAnsi="黑体" w:eastAsia="黑体" w:cs="黑体"/>
                <w:sz w:val="28"/>
                <w:szCs w:val="28"/>
              </w:rPr>
              <w:t>流通体系绿色化发展工程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8854" w:type="dxa"/>
            <w:tcBorders>
              <w:tl2br w:val="nil"/>
              <w:tr2bl w:val="nil"/>
            </w:tcBorders>
          </w:tcPr>
          <w:p>
            <w:pPr>
              <w:spacing w:line="400" w:lineRule="exact"/>
              <w:ind w:firstLine="480" w:firstLineChars="200"/>
              <w:contextualSpacing/>
              <w:rPr>
                <w:rFonts w:ascii="仿宋_GB2312" w:hAnsi="仿宋_GB2312" w:cs="仿宋_GB2312"/>
                <w:sz w:val="24"/>
                <w:szCs w:val="24"/>
              </w:rPr>
            </w:pPr>
            <w:r>
              <w:rPr>
                <w:rFonts w:hint="eastAsia" w:ascii="楷体" w:hAnsi="楷体" w:eastAsia="楷体" w:cs="楷体"/>
                <w:bCs/>
                <w:sz w:val="24"/>
                <w:szCs w:val="24"/>
              </w:rPr>
              <w:t>1.商贸企业绿色化转型工程。</w:t>
            </w:r>
            <w:r>
              <w:rPr>
                <w:rFonts w:hint="eastAsia" w:ascii="仿宋_GB2312" w:hAnsi="仿宋_GB2312" w:cs="仿宋_GB2312"/>
                <w:sz w:val="24"/>
                <w:szCs w:val="24"/>
              </w:rPr>
              <w:t>引导流通企业扩大绿色商品采购和销售，加强设施设备绿色低碳化改造，开展绿色企业和绿色商场创建活动，培育一批集节能改造和节能产品销售于一体的绿色流通企业。培育一批专业化逆向物流服务企业，提高回收物品的收集、分拣、加工、搬运、仓储、包装、维修等管理水平。</w:t>
            </w:r>
          </w:p>
          <w:p>
            <w:pPr>
              <w:spacing w:line="400" w:lineRule="exact"/>
              <w:ind w:firstLine="480" w:firstLineChars="200"/>
              <w:contextualSpacing/>
              <w:rPr>
                <w:rFonts w:ascii="Times New Roman" w:hAnsi="Times New Roman" w:cs="仿宋_GB2312"/>
              </w:rPr>
            </w:pPr>
            <w:r>
              <w:rPr>
                <w:rFonts w:hint="eastAsia" w:ascii="楷体" w:hAnsi="楷体" w:eastAsia="楷体" w:cs="楷体"/>
                <w:bCs/>
                <w:sz w:val="24"/>
                <w:szCs w:val="24"/>
              </w:rPr>
              <w:t>2.交通运输绿色化转型工程。</w:t>
            </w:r>
            <w:r>
              <w:rPr>
                <w:rFonts w:hint="eastAsia" w:ascii="仿宋_GB2312" w:hAnsi="仿宋_GB2312" w:cs="仿宋_GB2312"/>
                <w:sz w:val="24"/>
                <w:szCs w:val="24"/>
              </w:rPr>
              <w:t>全面淘汰老旧车、黄标车，限制高污染、高耗能机动车的销售和使用。加快发展清洁绿色运输装备，扩大新能源和清洁能源车辆的应用领域，推广新能源物流配送车辆，构建以低排放车、新能源车为主的短途货运系统。到</w:t>
            </w:r>
            <w:r>
              <w:rPr>
                <w:rFonts w:hint="eastAsia" w:ascii="Times New Roman" w:hAnsi="Times New Roman" w:cs="仿宋_GB2312"/>
                <w:sz w:val="24"/>
                <w:szCs w:val="24"/>
              </w:rPr>
              <w:t>2025</w:t>
            </w:r>
            <w:r>
              <w:rPr>
                <w:rFonts w:hint="eastAsia" w:ascii="仿宋_GB2312" w:hAnsi="仿宋_GB2312" w:cs="仿宋_GB2312"/>
                <w:sz w:val="24"/>
                <w:szCs w:val="24"/>
              </w:rPr>
              <w:t>年，力争节能型环保型营运客货车占比达到</w:t>
            </w:r>
            <w:r>
              <w:rPr>
                <w:rFonts w:hint="eastAsia" w:ascii="Times New Roman" w:hAnsi="Times New Roman" w:cs="仿宋_GB2312"/>
                <w:sz w:val="24"/>
                <w:szCs w:val="24"/>
              </w:rPr>
              <w:t>10</w:t>
            </w:r>
            <w:r>
              <w:rPr>
                <w:rFonts w:hint="eastAsia" w:ascii="仿宋_GB2312" w:hAnsi="仿宋_GB2312" w:cs="仿宋_GB2312"/>
                <w:sz w:val="24"/>
                <w:szCs w:val="24"/>
              </w:rPr>
              <w:t>%，客货运车辆单位运输周转量能耗大幅下降。</w:t>
            </w:r>
          </w:p>
        </w:tc>
      </w:tr>
    </w:tbl>
    <w:p>
      <w:pPr>
        <w:pStyle w:val="7"/>
        <w:spacing w:line="560" w:lineRule="exact"/>
        <w:contextualSpacing/>
        <w:jc w:val="center"/>
        <w:rPr>
          <w:b w:val="0"/>
          <w:lang w:val="zh-CN"/>
        </w:rPr>
      </w:pPr>
      <w:bookmarkStart w:id="1184" w:name="_Toc2037639984"/>
      <w:bookmarkStart w:id="1185" w:name="_Toc308404697"/>
      <w:bookmarkStart w:id="1186" w:name="_Toc1143118437"/>
      <w:r>
        <w:rPr>
          <w:rFonts w:hint="eastAsia"/>
          <w:b w:val="0"/>
          <w:lang w:val="zh-CN"/>
        </w:rPr>
        <w:t>第</w:t>
      </w:r>
      <w:r>
        <w:rPr>
          <w:b w:val="0"/>
          <w:lang w:val="zh-CN"/>
        </w:rPr>
        <w:t>九</w:t>
      </w:r>
      <w:r>
        <w:rPr>
          <w:rFonts w:hint="eastAsia"/>
          <w:b w:val="0"/>
          <w:lang w:val="zh-CN"/>
        </w:rPr>
        <w:t xml:space="preserve">章 </w:t>
      </w:r>
      <w:r>
        <w:rPr>
          <w:rFonts w:hint="eastAsia"/>
          <w:b w:val="0"/>
        </w:rPr>
        <w:t>实施</w:t>
      </w:r>
      <w:r>
        <w:rPr>
          <w:b w:val="0"/>
          <w:lang w:val="zh-CN"/>
        </w:rPr>
        <w:t>数字经济发展</w:t>
      </w:r>
      <w:r>
        <w:rPr>
          <w:rFonts w:hint="eastAsia"/>
          <w:b w:val="0"/>
        </w:rPr>
        <w:t>战略</w:t>
      </w:r>
      <w:r>
        <w:rPr>
          <w:b w:val="0"/>
          <w:lang w:val="zh-CN"/>
        </w:rPr>
        <w:t>，提升供应链数智化水平</w:t>
      </w:r>
      <w:bookmarkEnd w:id="1184"/>
      <w:bookmarkEnd w:id="1185"/>
      <w:bookmarkEnd w:id="1186"/>
    </w:p>
    <w:p>
      <w:pPr>
        <w:spacing w:line="560" w:lineRule="exact"/>
        <w:ind w:firstLine="640"/>
        <w:contextualSpacing/>
        <w:rPr>
          <w:rFonts w:ascii="仿宋_GB2312" w:hAnsi="仿宋_GB2312" w:cs="仿宋_GB2312"/>
        </w:rPr>
      </w:pPr>
      <w:r>
        <w:rPr>
          <w:rFonts w:hint="eastAsia" w:ascii="仿宋_GB2312" w:hAnsi="仿宋_GB2312" w:cs="仿宋_GB2312"/>
        </w:rPr>
        <w:t>推进企业“上云用数赋智”全覆盖，加速新一代网络信息技术及数智管理方法在供应链领域的创新应用，打造数字化转型企业标杆和典型应用场景，打造一批全链服务领先、全域资源集成、全程高效响应的供应链协同创新综合体。</w:t>
      </w:r>
    </w:p>
    <w:p>
      <w:pPr>
        <w:pStyle w:val="8"/>
        <w:spacing w:line="560" w:lineRule="exact"/>
        <w:ind w:firstLine="0" w:firstLineChars="0"/>
        <w:contextualSpacing/>
        <w:jc w:val="center"/>
        <w:rPr>
          <w:rFonts w:ascii="楷体_GB2312" w:hAnsi="楷体_GB2312" w:eastAsia="楷体_GB2312" w:cs="楷体_GB2312"/>
          <w:b w:val="0"/>
        </w:rPr>
      </w:pPr>
      <w:bookmarkStart w:id="1187" w:name="_Toc2008743423"/>
      <w:bookmarkStart w:id="1188" w:name="_Toc1120245748"/>
      <w:r>
        <w:rPr>
          <w:rFonts w:hint="eastAsia" w:ascii="楷体_GB2312" w:hAnsi="楷体_GB2312" w:eastAsia="楷体_GB2312" w:cs="楷体_GB2312"/>
          <w:b w:val="0"/>
        </w:rPr>
        <w:t>第一</w:t>
      </w:r>
      <w:r>
        <w:rPr>
          <w:rFonts w:hint="eastAsia" w:ascii="楷体_GB2312" w:hAnsi="楷体_GB2312" w:eastAsia="楷体_GB2312" w:cs="楷体_GB2312"/>
          <w:b w:val="0"/>
          <w:lang w:val="zh-CN"/>
        </w:rPr>
        <w:t xml:space="preserve">节 </w:t>
      </w:r>
      <w:bookmarkStart w:id="1189" w:name="_Hlk90108566"/>
      <w:r>
        <w:rPr>
          <w:rFonts w:hint="eastAsia" w:ascii="楷体_GB2312" w:hAnsi="楷体_GB2312" w:eastAsia="楷体_GB2312" w:cs="楷体_GB2312"/>
          <w:b w:val="0"/>
        </w:rPr>
        <w:t>打造数字经济发展高地</w:t>
      </w:r>
      <w:bookmarkEnd w:id="1187"/>
      <w:bookmarkEnd w:id="1188"/>
      <w:bookmarkEnd w:id="1189"/>
    </w:p>
    <w:p>
      <w:pPr>
        <w:spacing w:line="560" w:lineRule="exact"/>
        <w:ind w:firstLine="640"/>
        <w:contextualSpacing/>
        <w:rPr>
          <w:rFonts w:ascii="仿宋_GB2312" w:hAnsi="仿宋_GB2312" w:cs="仿宋_GB2312"/>
        </w:rPr>
      </w:pPr>
      <w:r>
        <w:rPr>
          <w:rFonts w:hint="eastAsia" w:ascii="仿宋_GB2312" w:hAnsi="仿宋_GB2312" w:cs="仿宋_GB2312"/>
        </w:rPr>
        <w:t>大力引进和培育大数据产业发展上下游企业，积极与数脑、数网、数纽、数链、数盾等独角兽企业沟通对接，助推我市特色大数据产业发展。加大对产业园政策支持力度，以中关村e谷（南阳）软件创新创业基地、白河大数据产业园等为载体，提升产业园数据汇聚、融合、处理、应用、交易、流通能力。紧盯新技术、新业态市场化发展方向，加快发展无人驾驶车载显示系统、安防系统、工业视觉系统、生物医疗检测设备和微显示投影设备、LED显示及照明器件等高端产品。加快南阳柯丽尔智慧医疗产业园、卧龙综合保税区数字经济产业园建设。争取国家北斗导航位置服务河南分中心落户南阳。</w:t>
      </w:r>
    </w:p>
    <w:p>
      <w:pPr>
        <w:pStyle w:val="8"/>
        <w:spacing w:line="560" w:lineRule="exact"/>
        <w:ind w:firstLine="0" w:firstLineChars="0"/>
        <w:contextualSpacing/>
        <w:jc w:val="center"/>
        <w:rPr>
          <w:rFonts w:ascii="楷体_GB2312" w:hAnsi="楷体_GB2312" w:eastAsia="楷体_GB2312" w:cs="楷体_GB2312"/>
          <w:b w:val="0"/>
        </w:rPr>
      </w:pPr>
      <w:bookmarkStart w:id="1190" w:name="_Toc947235881"/>
      <w:bookmarkStart w:id="1191" w:name="_Toc1804689446"/>
      <w:r>
        <w:rPr>
          <w:rFonts w:hint="eastAsia" w:ascii="楷体_GB2312" w:hAnsi="楷体_GB2312" w:eastAsia="楷体_GB2312" w:cs="楷体_GB2312"/>
          <w:b w:val="0"/>
        </w:rPr>
        <w:t>第二</w:t>
      </w:r>
      <w:r>
        <w:rPr>
          <w:rFonts w:hint="eastAsia" w:ascii="楷体_GB2312" w:hAnsi="楷体_GB2312" w:eastAsia="楷体_GB2312" w:cs="楷体_GB2312"/>
          <w:b w:val="0"/>
          <w:lang w:val="zh-CN"/>
        </w:rPr>
        <w:t>节</w:t>
      </w:r>
      <w:r>
        <w:rPr>
          <w:rFonts w:hint="eastAsia" w:ascii="楷体_GB2312" w:hAnsi="楷体_GB2312" w:eastAsia="楷体_GB2312" w:cs="楷体_GB2312"/>
          <w:b w:val="0"/>
        </w:rPr>
        <w:t xml:space="preserve"> 建立供应链创新应用体系</w:t>
      </w:r>
      <w:bookmarkEnd w:id="1190"/>
      <w:bookmarkEnd w:id="1191"/>
    </w:p>
    <w:p>
      <w:pPr>
        <w:spacing w:line="560" w:lineRule="exact"/>
        <w:ind w:firstLine="640"/>
        <w:contextualSpacing/>
        <w:rPr>
          <w:rFonts w:ascii="仿宋_GB2312" w:hAnsi="仿宋_GB2312" w:cs="仿宋_GB2312"/>
        </w:rPr>
      </w:pPr>
      <w:r>
        <w:rPr>
          <w:rFonts w:hint="eastAsia" w:ascii="仿宋_GB2312" w:hAnsi="仿宋_GB2312" w:cs="仿宋_GB2312"/>
        </w:rPr>
        <w:t>加大以信息技术为核心的新型基础设施投入，积极推动区块链、大数据、</w:t>
      </w:r>
      <w:r>
        <w:rPr>
          <w:rFonts w:hint="eastAsia" w:ascii="Times New Roman" w:hAnsi="Times New Roman" w:cs="仿宋_GB2312"/>
        </w:rPr>
        <w:t>5</w:t>
      </w:r>
      <w:r>
        <w:rPr>
          <w:rFonts w:hint="eastAsia" w:ascii="仿宋_GB2312" w:hAnsi="仿宋_GB2312" w:cs="仿宋_GB2312"/>
        </w:rPr>
        <w:t>G、物联网、云计算等新兴技术在供应链领域的集成应用，推动供应链协同高效化、智能化，实现供应链即时、可视、可感知，提高供应链整体应变能力和智能化水平。重点围绕传统优势产业和战略新兴产业，建立健全供应链产学研用合作创新机制，支持南阳高校、科研院所和重点企业建立一批供应链协同创新综合体，着力开展重点产业供应链数智融合技术、物流仓储数智技术、品牌质量监控追溯管理标准等研究，推进新技术和现代管理方法在供应链领域的创新应用。加快培育一批软件开发、数据服务、风险控制、管理咨询、商业流程外包等第三方供应链服务商，引导知名供应链服务企业在我市设立地区总部或分支机构。</w:t>
      </w:r>
    </w:p>
    <w:p>
      <w:pPr>
        <w:pStyle w:val="8"/>
        <w:spacing w:line="560" w:lineRule="exact"/>
        <w:ind w:firstLine="0" w:firstLineChars="0"/>
        <w:contextualSpacing/>
        <w:jc w:val="center"/>
        <w:rPr>
          <w:rFonts w:ascii="楷体_GB2312" w:hAnsi="楷体_GB2312" w:eastAsia="楷体_GB2312" w:cs="楷体_GB2312"/>
          <w:b w:val="0"/>
        </w:rPr>
      </w:pPr>
      <w:bookmarkStart w:id="1192" w:name="_Toc2102584350"/>
      <w:bookmarkStart w:id="1193" w:name="_Toc2054745963"/>
      <w:bookmarkStart w:id="1194" w:name="_Toc14363708"/>
      <w:r>
        <w:rPr>
          <w:rFonts w:hint="eastAsia" w:ascii="楷体_GB2312" w:hAnsi="楷体_GB2312" w:eastAsia="楷体_GB2312" w:cs="楷体_GB2312"/>
          <w:b w:val="0"/>
        </w:rPr>
        <w:t>第三</w:t>
      </w:r>
      <w:r>
        <w:rPr>
          <w:rFonts w:hint="eastAsia" w:ascii="楷体_GB2312" w:hAnsi="楷体_GB2312" w:eastAsia="楷体_GB2312" w:cs="楷体_GB2312"/>
          <w:b w:val="0"/>
          <w:lang w:val="zh-CN"/>
        </w:rPr>
        <w:t xml:space="preserve">节 </w:t>
      </w:r>
      <w:r>
        <w:rPr>
          <w:rFonts w:hint="eastAsia" w:ascii="楷体_GB2312" w:hAnsi="楷体_GB2312" w:eastAsia="楷体_GB2312" w:cs="楷体_GB2312"/>
          <w:b w:val="0"/>
        </w:rPr>
        <w:t>实施数字赋能提升工程</w:t>
      </w:r>
      <w:bookmarkEnd w:id="1192"/>
      <w:bookmarkEnd w:id="1193"/>
      <w:bookmarkEnd w:id="1194"/>
    </w:p>
    <w:p>
      <w:pPr>
        <w:spacing w:line="560" w:lineRule="exact"/>
        <w:ind w:firstLine="640"/>
        <w:contextualSpacing/>
        <w:rPr>
          <w:rFonts w:ascii="仿宋_GB2312" w:hAnsi="仿宋_GB2312" w:cs="仿宋_GB2312"/>
        </w:rPr>
      </w:pPr>
      <w:r>
        <w:rPr>
          <w:rFonts w:hint="eastAsia" w:ascii="仿宋_GB2312" w:hAnsi="仿宋_GB2312" w:cs="仿宋_GB2312"/>
        </w:rPr>
        <w:t>以深化新一代信息技术与制造业融合发展为主线，拓展“数字+”“智能+”应用领域，推进企业“上云用数赋能”，打造“智能制造+智能服务”全产业链，助推传统制造产业改造升级。持续实施“企业上云”专项行动，积极对接省云服务资源池，支持云服务商落地南阳发展适合中小微企业的智能化解决方案和工具包，力争</w:t>
      </w:r>
      <w:r>
        <w:rPr>
          <w:rFonts w:hint="eastAsia" w:ascii="Times New Roman" w:hAnsi="Times New Roman" w:cs="仿宋_GB2312"/>
        </w:rPr>
        <w:t>5</w:t>
      </w:r>
      <w:r>
        <w:rPr>
          <w:rFonts w:hint="eastAsia" w:ascii="仿宋_GB2312" w:hAnsi="仿宋_GB2312" w:cs="仿宋_GB2312"/>
        </w:rPr>
        <w:t>年完成企业上云</w:t>
      </w:r>
      <w:r>
        <w:rPr>
          <w:rFonts w:hint="eastAsia" w:ascii="Times New Roman" w:hAnsi="Times New Roman" w:cs="仿宋_GB2312"/>
        </w:rPr>
        <w:t>10000</w:t>
      </w:r>
      <w:r>
        <w:rPr>
          <w:rFonts w:hint="eastAsia" w:ascii="仿宋_GB2312" w:hAnsi="仿宋_GB2312" w:cs="仿宋_GB2312"/>
        </w:rPr>
        <w:t>家。围绕“两化融合贯标、智能工厂（智能车间）、智能园区、工业互联网引培、</w:t>
      </w:r>
      <w:r>
        <w:rPr>
          <w:rFonts w:hint="eastAsia" w:ascii="Times New Roman" w:hAnsi="Times New Roman" w:cs="仿宋_GB2312"/>
        </w:rPr>
        <w:t>5</w:t>
      </w:r>
      <w:r>
        <w:rPr>
          <w:rFonts w:hint="eastAsia" w:ascii="仿宋_GB2312" w:hAnsi="仿宋_GB2312" w:cs="仿宋_GB2312"/>
        </w:rPr>
        <w:t>G场景示范、企业上云、机器换人（设备换芯、生产换线）、精益制造”等</w:t>
      </w:r>
      <w:r>
        <w:rPr>
          <w:rFonts w:hint="eastAsia" w:ascii="Times New Roman" w:hAnsi="Times New Roman" w:cs="仿宋_GB2312"/>
        </w:rPr>
        <w:t>8</w:t>
      </w:r>
      <w:r>
        <w:rPr>
          <w:rFonts w:hint="eastAsia" w:ascii="仿宋_GB2312" w:hAnsi="仿宋_GB2312" w:cs="仿宋_GB2312"/>
        </w:rPr>
        <w:t>大领域，每年滚动实施“</w:t>
      </w:r>
      <w:r>
        <w:rPr>
          <w:rFonts w:hint="eastAsia" w:ascii="Times New Roman" w:hAnsi="Times New Roman" w:cs="仿宋_GB2312"/>
        </w:rPr>
        <w:t>100</w:t>
      </w:r>
      <w:r>
        <w:rPr>
          <w:rFonts w:hint="eastAsia" w:ascii="仿宋_GB2312" w:hAnsi="仿宋_GB2312" w:cs="仿宋_GB2312"/>
        </w:rPr>
        <w:t>+”重点项目。持续推进两化融合管理体系贯标，逐步实现重点区域和优势产业贯标全覆盖。</w:t>
      </w:r>
    </w:p>
    <w:p>
      <w:pPr>
        <w:pStyle w:val="7"/>
        <w:spacing w:line="560" w:lineRule="exact"/>
        <w:contextualSpacing/>
        <w:jc w:val="center"/>
        <w:rPr>
          <w:b w:val="0"/>
          <w:lang w:val="zh-CN"/>
        </w:rPr>
      </w:pPr>
      <w:bookmarkStart w:id="1195" w:name="_Toc1004703273"/>
      <w:bookmarkStart w:id="1196" w:name="_Toc364846092"/>
      <w:bookmarkStart w:id="1197" w:name="_Toc406219562"/>
      <w:r>
        <w:rPr>
          <w:rFonts w:hint="eastAsia"/>
          <w:b w:val="0"/>
          <w:lang w:val="zh-CN"/>
        </w:rPr>
        <w:t>第</w:t>
      </w:r>
      <w:r>
        <w:rPr>
          <w:b w:val="0"/>
          <w:lang w:val="zh-CN"/>
        </w:rPr>
        <w:t>十</w:t>
      </w:r>
      <w:r>
        <w:rPr>
          <w:rFonts w:hint="eastAsia"/>
          <w:b w:val="0"/>
          <w:lang w:val="zh-CN"/>
        </w:rPr>
        <w:t xml:space="preserve">章 </w:t>
      </w:r>
      <w:r>
        <w:rPr>
          <w:rFonts w:hint="eastAsia"/>
          <w:b w:val="0"/>
        </w:rPr>
        <w:t>实施互联互通发展战略，</w:t>
      </w:r>
      <w:r>
        <w:rPr>
          <w:b w:val="0"/>
          <w:lang w:val="zh-CN"/>
        </w:rPr>
        <w:t>对接融入</w:t>
      </w:r>
      <w:r>
        <w:rPr>
          <w:rFonts w:hint="eastAsia"/>
          <w:b w:val="0"/>
          <w:lang w:val="zh-CN"/>
        </w:rPr>
        <w:t>全球</w:t>
      </w:r>
      <w:r>
        <w:rPr>
          <w:b w:val="0"/>
          <w:lang w:val="zh-CN"/>
        </w:rPr>
        <w:t>供应链</w:t>
      </w:r>
      <w:bookmarkEnd w:id="1195"/>
      <w:bookmarkEnd w:id="1196"/>
      <w:bookmarkEnd w:id="1197"/>
    </w:p>
    <w:p>
      <w:pPr>
        <w:spacing w:line="560" w:lineRule="exact"/>
        <w:ind w:firstLine="640"/>
        <w:contextualSpacing/>
        <w:rPr>
          <w:rFonts w:ascii="仿宋_GB2312" w:hAnsi="仿宋_GB2312" w:cs="仿宋_GB2312"/>
        </w:rPr>
      </w:pPr>
      <w:r>
        <w:rPr>
          <w:rFonts w:hint="eastAsia" w:ascii="仿宋_GB2312" w:hAnsi="仿宋_GB2312" w:cs="仿宋_GB2312"/>
        </w:rPr>
        <w:t>融入国内国际双循环新发展格局，深化与欧盟、东盟、日韩等重点市场区域的合作，拓展“一带一路”沿线国家（地区）贸易网络，突出南阳卧龙综合保税区平台支撑，强化高铁、机场、水运通道优势，积极对接融入全球供应链体系。</w:t>
      </w:r>
    </w:p>
    <w:p>
      <w:pPr>
        <w:pStyle w:val="8"/>
        <w:spacing w:line="560" w:lineRule="exact"/>
        <w:ind w:firstLine="0" w:firstLineChars="0"/>
        <w:contextualSpacing/>
        <w:jc w:val="center"/>
        <w:rPr>
          <w:rFonts w:ascii="楷体_GB2312" w:hAnsi="楷体_GB2312" w:eastAsia="楷体_GB2312" w:cs="楷体_GB2312"/>
          <w:b w:val="0"/>
        </w:rPr>
      </w:pPr>
      <w:bookmarkStart w:id="1198" w:name="_Toc1099416422"/>
      <w:bookmarkStart w:id="1199" w:name="_Toc510416236"/>
      <w:r>
        <w:rPr>
          <w:rFonts w:hint="eastAsia" w:ascii="楷体_GB2312" w:hAnsi="楷体_GB2312" w:eastAsia="楷体_GB2312" w:cs="楷体_GB2312"/>
          <w:b w:val="0"/>
        </w:rPr>
        <w:t>第一</w:t>
      </w:r>
      <w:r>
        <w:rPr>
          <w:rFonts w:hint="eastAsia" w:ascii="楷体_GB2312" w:hAnsi="楷体_GB2312" w:eastAsia="楷体_GB2312" w:cs="楷体_GB2312"/>
          <w:b w:val="0"/>
          <w:lang w:val="zh-CN"/>
        </w:rPr>
        <w:t xml:space="preserve">节 </w:t>
      </w:r>
      <w:r>
        <w:rPr>
          <w:rFonts w:hint="eastAsia" w:ascii="楷体_GB2312" w:hAnsi="楷体_GB2312" w:eastAsia="楷体_GB2312" w:cs="楷体_GB2312"/>
          <w:b w:val="0"/>
        </w:rPr>
        <w:t>打通国际供应链进出口通道</w:t>
      </w:r>
      <w:bookmarkEnd w:id="1198"/>
      <w:bookmarkEnd w:id="1199"/>
    </w:p>
    <w:p>
      <w:pPr>
        <w:spacing w:line="560" w:lineRule="exact"/>
        <w:ind w:firstLine="640"/>
        <w:contextualSpacing/>
        <w:rPr>
          <w:rFonts w:ascii="仿宋_GB2312" w:hAnsi="仿宋_GB2312" w:cs="仿宋_GB2312"/>
        </w:rPr>
      </w:pPr>
      <w:r>
        <w:rPr>
          <w:rFonts w:hint="eastAsia" w:ascii="仿宋_GB2312" w:hAnsi="仿宋_GB2312" w:cs="仿宋_GB2312"/>
        </w:rPr>
        <w:t>强化南阳机场与国内外主要枢纽机场战略合作，发展全货机航班，建成连接国内主要经济体的航空运输网络，拓展连接日韩及东南亚等国家航空运输通道。力争打通卧龙综合保税区货物经北京、上海等机场转运出口的航空物流通道，增加中欧班列、南阳-宁波、南阳-青岛、南阳-连云港等多港口海铁联运班列开行频次，稳步拓展海铁联运线路，打造覆盖豫西南、连接国内主要经济区、联通“一带一路”沿线国家的综合交通物流枢纽。强化与郑州国际陆港、西安国际港务区、成都国际陆港合作，常态化开通“宛西欧”“宛渝欧”中欧班列，助力南阳进一步融入“丝绸之路经济带”。推动国际展销、进出口加工和先进生产制造业发展，培育高端物流业态。</w:t>
      </w:r>
    </w:p>
    <w:p>
      <w:pPr>
        <w:pStyle w:val="8"/>
        <w:spacing w:line="560" w:lineRule="exact"/>
        <w:ind w:firstLine="0" w:firstLineChars="0"/>
        <w:contextualSpacing/>
        <w:jc w:val="center"/>
        <w:rPr>
          <w:rFonts w:ascii="楷体_GB2312" w:hAnsi="楷体_GB2312" w:eastAsia="楷体_GB2312" w:cs="楷体_GB2312"/>
          <w:b w:val="0"/>
        </w:rPr>
      </w:pPr>
      <w:bookmarkStart w:id="1200" w:name="_Toc115747608"/>
      <w:bookmarkStart w:id="1201" w:name="_Toc962381697"/>
      <w:r>
        <w:rPr>
          <w:rFonts w:hint="eastAsia" w:ascii="楷体_GB2312" w:hAnsi="楷体_GB2312" w:eastAsia="楷体_GB2312" w:cs="楷体_GB2312"/>
          <w:b w:val="0"/>
        </w:rPr>
        <w:t>第二</w:t>
      </w:r>
      <w:r>
        <w:rPr>
          <w:rFonts w:hint="eastAsia" w:ascii="楷体_GB2312" w:hAnsi="楷体_GB2312" w:eastAsia="楷体_GB2312" w:cs="楷体_GB2312"/>
          <w:b w:val="0"/>
          <w:lang w:val="zh-CN"/>
        </w:rPr>
        <w:t xml:space="preserve">节 </w:t>
      </w:r>
      <w:r>
        <w:rPr>
          <w:rFonts w:hint="eastAsia" w:ascii="楷体_GB2312" w:hAnsi="楷体_GB2312" w:eastAsia="楷体_GB2312" w:cs="楷体_GB2312"/>
          <w:b w:val="0"/>
        </w:rPr>
        <w:t>提升</w:t>
      </w:r>
      <w:r>
        <w:rPr>
          <w:rFonts w:hint="eastAsia" w:ascii="楷体_GB2312" w:hAnsi="楷体_GB2312" w:eastAsia="楷体_GB2312" w:cs="楷体_GB2312"/>
          <w:b w:val="0"/>
          <w:lang w:val="zh-CN"/>
        </w:rPr>
        <w:t>开放</w:t>
      </w:r>
      <w:r>
        <w:rPr>
          <w:rFonts w:hint="eastAsia" w:ascii="楷体_GB2312" w:hAnsi="楷体_GB2312" w:eastAsia="楷体_GB2312" w:cs="楷体_GB2312"/>
          <w:b w:val="0"/>
        </w:rPr>
        <w:t>平台服务供应链的水平</w:t>
      </w:r>
      <w:bookmarkEnd w:id="1200"/>
      <w:bookmarkEnd w:id="1201"/>
    </w:p>
    <w:p>
      <w:pPr>
        <w:spacing w:line="560" w:lineRule="exact"/>
        <w:ind w:firstLine="640"/>
        <w:contextualSpacing/>
        <w:rPr>
          <w:rFonts w:ascii="仿宋_GB2312" w:hAnsi="仿宋_GB2312" w:cs="仿宋_GB2312"/>
        </w:rPr>
      </w:pPr>
      <w:r>
        <w:rPr>
          <w:rFonts w:hint="eastAsia" w:ascii="仿宋_GB2312" w:hAnsi="仿宋_GB2312" w:cs="仿宋_GB2312"/>
        </w:rPr>
        <w:t>依托卧龙综合保税区打造中外产业合作载体，吸引大型外贸企业建设生产基地，吸引跨国企业、研发机构、品牌孵化器等设立区域性研发中心和孵化基地，打造中外产业合作示范区。发挥卧龙综合保税区保税物流功能，重点开展保税仓储、保税加工、保税维修、保税展示等业务，打造豫鄂陕毗邻地区跨境电商服务中心和国际快件物流分拨配送中心。加快推动申建进境粮食、肉类等指定监管场地，加快建设国际陆港物流产业园、进境粮食口岸等项目，打造国家级对外开放平台。构建进出口商品制造产业集群，加强提升产业经济发展层级，促进外向型经济和高新技术产业融合发展。积极争取纳入河南自贸区开放政策范围，探索金融、保险、物流等领域开放试点政策，促进国际知名金融、贸易服务类企业集聚。</w:t>
      </w:r>
    </w:p>
    <w:p>
      <w:pPr>
        <w:pStyle w:val="8"/>
        <w:spacing w:line="560" w:lineRule="exact"/>
        <w:ind w:firstLine="0" w:firstLineChars="0"/>
        <w:contextualSpacing/>
        <w:jc w:val="center"/>
        <w:rPr>
          <w:rFonts w:ascii="楷体_GB2312" w:hAnsi="楷体_GB2312" w:eastAsia="楷体_GB2312" w:cs="楷体_GB2312"/>
          <w:b w:val="0"/>
        </w:rPr>
      </w:pPr>
      <w:bookmarkStart w:id="1202" w:name="_Toc137298471"/>
      <w:bookmarkStart w:id="1203" w:name="_Toc643466014"/>
      <w:r>
        <w:rPr>
          <w:rFonts w:hint="eastAsia" w:ascii="楷体_GB2312" w:hAnsi="楷体_GB2312" w:eastAsia="楷体_GB2312" w:cs="楷体_GB2312"/>
          <w:b w:val="0"/>
        </w:rPr>
        <w:t>第三</w:t>
      </w:r>
      <w:r>
        <w:rPr>
          <w:rFonts w:hint="eastAsia" w:ascii="楷体_GB2312" w:hAnsi="楷体_GB2312" w:eastAsia="楷体_GB2312" w:cs="楷体_GB2312"/>
          <w:b w:val="0"/>
          <w:lang w:val="zh-CN"/>
        </w:rPr>
        <w:t xml:space="preserve">节 </w:t>
      </w:r>
      <w:r>
        <w:rPr>
          <w:rFonts w:hint="eastAsia" w:ascii="楷体_GB2312" w:hAnsi="楷体_GB2312" w:eastAsia="楷体_GB2312" w:cs="楷体_GB2312"/>
          <w:b w:val="0"/>
        </w:rPr>
        <w:t>发挥外贸产业基地带动作用</w:t>
      </w:r>
      <w:bookmarkEnd w:id="1202"/>
      <w:bookmarkEnd w:id="1203"/>
    </w:p>
    <w:p>
      <w:pPr>
        <w:spacing w:line="560" w:lineRule="exact"/>
        <w:ind w:firstLine="640"/>
        <w:contextualSpacing/>
        <w:rPr>
          <w:rFonts w:ascii="Times New Roman" w:hAnsi="Times New Roman"/>
        </w:rPr>
      </w:pPr>
      <w:r>
        <w:rPr>
          <w:rFonts w:ascii="Times New Roman" w:hAnsi="Times New Roman"/>
        </w:rPr>
        <w:t>以产业基地建设为抓手，夯实外贸发展产业基础，不断加强外贸转型升级基地建设。按照商务部、省商务厅加强外贸转型升级基地建设的有关要求，一方面促进食用菌、冶金新材料两个国家级基地健康稳定发展，特别是食用菌基地要进一步完善发展规划、做大龙头企业、加强行业自律、依法合规经营、树立保护品牌，另一方面贸易与产业联动，着力培育光电产业和石油装备、汽车零部件产业建设国家级基地，同时，积极</w:t>
      </w:r>
      <w:r>
        <w:rPr>
          <w:rFonts w:hint="eastAsia" w:ascii="Times New Roman" w:hAnsi="Times New Roman"/>
        </w:rPr>
        <w:t>推动</w:t>
      </w:r>
      <w:r>
        <w:rPr>
          <w:rFonts w:ascii="Times New Roman" w:hAnsi="Times New Roman"/>
        </w:rPr>
        <w:t>卧龙区艾产业、唐河县纺织品产业和桐柏县茶叶产业做强做优做大，申建省级外经贸发展转型升级基地，夯实外贸产业基础，</w:t>
      </w:r>
      <w:r>
        <w:rPr>
          <w:rFonts w:hint="eastAsia" w:ascii="Times New Roman" w:hAnsi="Times New Roman"/>
        </w:rPr>
        <w:t>促进</w:t>
      </w:r>
      <w:r>
        <w:rPr>
          <w:rFonts w:ascii="Times New Roman" w:hAnsi="Times New Roman"/>
        </w:rPr>
        <w:t>外贸与产业融合发展。</w:t>
      </w:r>
      <w:r>
        <w:rPr>
          <w:rFonts w:hint="eastAsia" w:ascii="楷体" w:hAnsi="仿宋" w:eastAsia="楷体" w:cs="仿宋"/>
          <w:kern w:val="0"/>
          <w:lang w:val="zh-CN" w:bidi="zh-CN"/>
        </w:rPr>
        <w:t xml:space="preserve"> </w:t>
      </w:r>
    </w:p>
    <w:p>
      <w:pPr>
        <w:pStyle w:val="8"/>
        <w:spacing w:line="560" w:lineRule="exact"/>
        <w:ind w:firstLine="0" w:firstLineChars="0"/>
        <w:contextualSpacing/>
        <w:jc w:val="center"/>
        <w:rPr>
          <w:rFonts w:ascii="楷体_GB2312" w:hAnsi="楷体_GB2312" w:eastAsia="楷体_GB2312" w:cs="楷体_GB2312"/>
          <w:b w:val="0"/>
        </w:rPr>
      </w:pPr>
      <w:bookmarkStart w:id="1204" w:name="_Toc500923044"/>
      <w:bookmarkStart w:id="1205" w:name="_Toc1012269742"/>
      <w:r>
        <w:rPr>
          <w:rFonts w:hint="eastAsia" w:ascii="楷体_GB2312" w:hAnsi="楷体_GB2312" w:eastAsia="楷体_GB2312" w:cs="楷体_GB2312"/>
          <w:b w:val="0"/>
        </w:rPr>
        <w:t>第四</w:t>
      </w:r>
      <w:r>
        <w:rPr>
          <w:rFonts w:hint="eastAsia" w:ascii="楷体_GB2312" w:hAnsi="楷体_GB2312" w:eastAsia="楷体_GB2312" w:cs="楷体_GB2312"/>
          <w:b w:val="0"/>
          <w:lang w:val="zh-CN"/>
        </w:rPr>
        <w:t xml:space="preserve">节 </w:t>
      </w:r>
      <w:r>
        <w:rPr>
          <w:rFonts w:hint="eastAsia" w:ascii="楷体_GB2312" w:hAnsi="楷体_GB2312" w:eastAsia="楷体_GB2312" w:cs="楷体_GB2312"/>
          <w:b w:val="0"/>
        </w:rPr>
        <w:t>推动优势</w:t>
      </w:r>
      <w:r>
        <w:rPr>
          <w:rFonts w:hint="eastAsia" w:ascii="楷体_GB2312" w:hAnsi="楷体_GB2312" w:eastAsia="楷体_GB2312" w:cs="楷体_GB2312"/>
          <w:b w:val="0"/>
          <w:lang w:val="zh-CN"/>
        </w:rPr>
        <w:t>链主</w:t>
      </w:r>
      <w:r>
        <w:rPr>
          <w:rFonts w:hint="eastAsia" w:ascii="楷体_GB2312" w:hAnsi="楷体_GB2312" w:eastAsia="楷体_GB2312" w:cs="楷体_GB2312"/>
          <w:b w:val="0"/>
        </w:rPr>
        <w:t>企业</w:t>
      </w:r>
      <w:r>
        <w:rPr>
          <w:rFonts w:hint="eastAsia" w:ascii="楷体_GB2312" w:hAnsi="楷体_GB2312" w:eastAsia="楷体_GB2312" w:cs="楷体_GB2312"/>
          <w:b w:val="0"/>
          <w:lang w:val="zh-CN"/>
        </w:rPr>
        <w:t>“</w:t>
      </w:r>
      <w:r>
        <w:rPr>
          <w:rFonts w:hint="eastAsia" w:ascii="楷体_GB2312" w:hAnsi="楷体_GB2312" w:eastAsia="楷体_GB2312" w:cs="楷体_GB2312"/>
          <w:b w:val="0"/>
        </w:rPr>
        <w:t>走出去</w:t>
      </w:r>
      <w:r>
        <w:rPr>
          <w:rFonts w:hint="eastAsia" w:ascii="楷体_GB2312" w:hAnsi="楷体_GB2312" w:eastAsia="楷体_GB2312" w:cs="楷体_GB2312"/>
          <w:b w:val="0"/>
          <w:lang w:val="zh-CN"/>
        </w:rPr>
        <w:t>”</w:t>
      </w:r>
      <w:bookmarkEnd w:id="1204"/>
      <w:bookmarkEnd w:id="1205"/>
    </w:p>
    <w:p>
      <w:pPr>
        <w:spacing w:line="560" w:lineRule="exact"/>
        <w:ind w:firstLine="640"/>
        <w:contextualSpacing/>
        <w:rPr>
          <w:rFonts w:ascii="Times New Roman" w:hAnsi="Times New Roman"/>
        </w:rPr>
      </w:pPr>
      <w:r>
        <w:rPr>
          <w:rFonts w:ascii="Times New Roman" w:hAnsi="Times New Roman"/>
        </w:rPr>
        <w:t>深化</w:t>
      </w:r>
      <w:r>
        <w:rPr>
          <w:rFonts w:hint="eastAsia" w:ascii="Times New Roman" w:hAnsi="Times New Roman"/>
        </w:rPr>
        <w:t>“</w:t>
      </w:r>
      <w:r>
        <w:rPr>
          <w:rFonts w:ascii="Times New Roman" w:hAnsi="Times New Roman"/>
        </w:rPr>
        <w:t>以质取胜</w:t>
      </w:r>
      <w:r>
        <w:rPr>
          <w:rFonts w:hint="eastAsia" w:ascii="Times New Roman" w:hAnsi="Times New Roman"/>
        </w:rPr>
        <w:t>”“</w:t>
      </w:r>
      <w:r>
        <w:rPr>
          <w:rFonts w:ascii="Times New Roman" w:hAnsi="Times New Roman"/>
        </w:rPr>
        <w:t>科技兴贸</w:t>
      </w:r>
      <w:r>
        <w:rPr>
          <w:rFonts w:hint="eastAsia" w:ascii="Times New Roman" w:hAnsi="Times New Roman"/>
        </w:rPr>
        <w:t>”“</w:t>
      </w:r>
      <w:r>
        <w:rPr>
          <w:rFonts w:ascii="Times New Roman" w:hAnsi="Times New Roman"/>
        </w:rPr>
        <w:t>出口品牌</w:t>
      </w:r>
      <w:r>
        <w:rPr>
          <w:rFonts w:hint="eastAsia" w:ascii="Times New Roman" w:hAnsi="Times New Roman"/>
        </w:rPr>
        <w:t>”</w:t>
      </w:r>
      <w:r>
        <w:rPr>
          <w:rFonts w:ascii="Times New Roman" w:hAnsi="Times New Roman"/>
        </w:rPr>
        <w:t>战略，优化出口商品结构，提高出口质量效益</w:t>
      </w:r>
      <w:r>
        <w:rPr>
          <w:rFonts w:hint="eastAsia" w:ascii="Times New Roman" w:hAnsi="Times New Roman"/>
        </w:rPr>
        <w:t>，</w:t>
      </w:r>
      <w:r>
        <w:rPr>
          <w:rFonts w:ascii="Times New Roman" w:hAnsi="Times New Roman"/>
        </w:rPr>
        <w:t>推进外贸转型升级</w:t>
      </w:r>
      <w:r>
        <w:rPr>
          <w:rFonts w:hint="eastAsia" w:ascii="Times New Roman" w:hAnsi="Times New Roman"/>
        </w:rPr>
        <w:t>。</w:t>
      </w:r>
      <w:r>
        <w:rPr>
          <w:rFonts w:ascii="Times New Roman" w:hAnsi="Times New Roman"/>
        </w:rPr>
        <w:t>强化机电、装备制造、纺织等传统出口产品优势，培育以技术、标准、品牌、质量、服务为核心的外贸竞争</w:t>
      </w:r>
      <w:r>
        <w:rPr>
          <w:rFonts w:hint="eastAsia" w:ascii="Times New Roman" w:hAnsi="Times New Roman"/>
        </w:rPr>
        <w:t>力</w:t>
      </w:r>
      <w:r>
        <w:rPr>
          <w:rFonts w:ascii="Times New Roman" w:hAnsi="Times New Roman"/>
        </w:rPr>
        <w:t>。支持农产品出口企业境外产品认证和管理体系认证，提升食用菌、中药材、花卉苗木等农副产品竞争</w:t>
      </w:r>
      <w:r>
        <w:rPr>
          <w:rFonts w:hint="eastAsia" w:ascii="Times New Roman" w:hAnsi="Times New Roman"/>
        </w:rPr>
        <w:t>力</w:t>
      </w:r>
      <w:r>
        <w:rPr>
          <w:rFonts w:ascii="Times New Roman" w:hAnsi="Times New Roman"/>
        </w:rPr>
        <w:t>。鼓励优势企业国际化发展，支持</w:t>
      </w:r>
      <w:r>
        <w:rPr>
          <w:rFonts w:hint="eastAsia" w:ascii="Times New Roman" w:hAnsi="Times New Roman"/>
        </w:rPr>
        <w:t>卧龙防爆电机</w:t>
      </w:r>
      <w:r>
        <w:rPr>
          <w:rFonts w:ascii="Times New Roman" w:hAnsi="Times New Roman"/>
        </w:rPr>
        <w:t>、淅川</w:t>
      </w:r>
      <w:r>
        <w:rPr>
          <w:rFonts w:hint="eastAsia" w:ascii="Times New Roman" w:hAnsi="Times New Roman"/>
        </w:rPr>
        <w:t>汽车</w:t>
      </w:r>
      <w:r>
        <w:rPr>
          <w:rFonts w:ascii="Times New Roman" w:hAnsi="Times New Roman"/>
        </w:rPr>
        <w:t>减震器等企业拓展国际市场，参与全球资源整合配置，布局全球研发中心、生产基地和营销网络，</w:t>
      </w:r>
      <w:r>
        <w:rPr>
          <w:rFonts w:hint="eastAsia" w:ascii="Times New Roman" w:hAnsi="Times New Roman"/>
        </w:rPr>
        <w:t>打造一批</w:t>
      </w:r>
      <w:r>
        <w:rPr>
          <w:rFonts w:ascii="Times New Roman" w:hAnsi="Times New Roman"/>
        </w:rPr>
        <w:t>具有较强国际竞争力的跨国公司。</w:t>
      </w:r>
    </w:p>
    <w:p>
      <w:pPr>
        <w:pStyle w:val="8"/>
        <w:spacing w:line="560" w:lineRule="exact"/>
        <w:ind w:firstLine="0" w:firstLineChars="0"/>
        <w:contextualSpacing/>
        <w:jc w:val="center"/>
        <w:rPr>
          <w:rFonts w:ascii="楷体_GB2312" w:hAnsi="楷体_GB2312" w:eastAsia="楷体_GB2312" w:cs="楷体_GB2312"/>
          <w:b w:val="0"/>
        </w:rPr>
      </w:pPr>
      <w:bookmarkStart w:id="1206" w:name="_Toc750595915"/>
      <w:bookmarkStart w:id="1207" w:name="_Toc1477037333"/>
      <w:r>
        <w:rPr>
          <w:rFonts w:hint="eastAsia" w:ascii="楷体_GB2312" w:hAnsi="楷体_GB2312" w:eastAsia="楷体_GB2312" w:cs="楷体_GB2312"/>
          <w:b w:val="0"/>
        </w:rPr>
        <w:t>第五</w:t>
      </w:r>
      <w:r>
        <w:rPr>
          <w:rFonts w:hint="eastAsia" w:ascii="楷体_GB2312" w:hAnsi="楷体_GB2312" w:eastAsia="楷体_GB2312" w:cs="楷体_GB2312"/>
          <w:b w:val="0"/>
          <w:lang w:val="zh-CN"/>
        </w:rPr>
        <w:t xml:space="preserve">节 </w:t>
      </w:r>
      <w:r>
        <w:rPr>
          <w:rFonts w:hint="eastAsia" w:ascii="楷体_GB2312" w:hAnsi="楷体_GB2312" w:eastAsia="楷体_GB2312" w:cs="楷体_GB2312"/>
          <w:b w:val="0"/>
        </w:rPr>
        <w:t>维护</w:t>
      </w:r>
      <w:r>
        <w:rPr>
          <w:rFonts w:hint="eastAsia" w:ascii="楷体_GB2312" w:hAnsi="楷体_GB2312" w:eastAsia="楷体_GB2312" w:cs="楷体_GB2312"/>
          <w:b w:val="0"/>
          <w:lang w:val="zh-CN"/>
        </w:rPr>
        <w:t>供应</w:t>
      </w:r>
      <w:r>
        <w:rPr>
          <w:rFonts w:hint="eastAsia" w:ascii="楷体_GB2312" w:hAnsi="楷体_GB2312" w:eastAsia="楷体_GB2312" w:cs="楷体_GB2312"/>
          <w:b w:val="0"/>
        </w:rPr>
        <w:t>链安全稳定</w:t>
      </w:r>
      <w:bookmarkEnd w:id="1206"/>
      <w:bookmarkEnd w:id="1207"/>
    </w:p>
    <w:p>
      <w:pPr>
        <w:spacing w:line="560" w:lineRule="exact"/>
        <w:ind w:firstLine="640"/>
        <w:contextualSpacing/>
        <w:rPr>
          <w:rFonts w:ascii="Times New Roman" w:hAnsi="Times New Roman"/>
        </w:rPr>
      </w:pPr>
      <w:r>
        <w:rPr>
          <w:rFonts w:hint="eastAsia" w:ascii="Times New Roman" w:hAnsi="Times New Roman"/>
        </w:rPr>
        <w:t>坚持</w:t>
      </w:r>
      <w:r>
        <w:rPr>
          <w:rFonts w:ascii="Times New Roman" w:hAnsi="Times New Roman"/>
        </w:rPr>
        <w:t>供应链多元化发展</w:t>
      </w:r>
      <w:r>
        <w:rPr>
          <w:rFonts w:hint="eastAsia" w:ascii="Times New Roman" w:hAnsi="Times New Roman"/>
        </w:rPr>
        <w:t>方向</w:t>
      </w:r>
      <w:r>
        <w:rPr>
          <w:rFonts w:ascii="Times New Roman" w:hAnsi="Times New Roman"/>
        </w:rPr>
        <w:t>，引导供应链企业</w:t>
      </w:r>
      <w:r>
        <w:rPr>
          <w:rFonts w:hint="eastAsia" w:ascii="Times New Roman" w:hAnsi="Times New Roman"/>
        </w:rPr>
        <w:t>强化底线思维，</w:t>
      </w:r>
      <w:r>
        <w:rPr>
          <w:rFonts w:ascii="Times New Roman" w:hAnsi="Times New Roman"/>
        </w:rPr>
        <w:t>增强网络布局、流程管控、物流保障、应急储备、技术人员等方面</w:t>
      </w:r>
      <w:r>
        <w:rPr>
          <w:rFonts w:hint="eastAsia" w:ascii="Times New Roman" w:hAnsi="Times New Roman"/>
        </w:rPr>
        <w:t>的</w:t>
      </w:r>
      <w:r>
        <w:rPr>
          <w:rFonts w:ascii="Times New Roman" w:hAnsi="Times New Roman"/>
        </w:rPr>
        <w:t>弹性，</w:t>
      </w:r>
      <w:r>
        <w:rPr>
          <w:rFonts w:hint="eastAsia" w:ascii="Times New Roman" w:hAnsi="Times New Roman"/>
        </w:rPr>
        <w:t>确保</w:t>
      </w:r>
      <w:r>
        <w:rPr>
          <w:rFonts w:ascii="Times New Roman" w:hAnsi="Times New Roman"/>
        </w:rPr>
        <w:t>供应链全链条安全稳定、可持续发展。落实国家供应链安全计划，建立关键产业供应链安全评估制度，引导重点产业龙头骨干企业全面排查供应链关键节点、主要供应商等风险点，</w:t>
      </w:r>
      <w:r>
        <w:rPr>
          <w:rFonts w:hint="eastAsia" w:ascii="Times New Roman" w:hAnsi="Times New Roman"/>
        </w:rPr>
        <w:t>制定</w:t>
      </w:r>
      <w:r>
        <w:rPr>
          <w:rFonts w:ascii="Times New Roman" w:hAnsi="Times New Roman"/>
        </w:rPr>
        <w:t>重点行业龙头企业全球供应链“备链”</w:t>
      </w:r>
      <w:r>
        <w:rPr>
          <w:rFonts w:hint="eastAsia" w:ascii="Times New Roman" w:hAnsi="Times New Roman"/>
        </w:rPr>
        <w:t>方案</w:t>
      </w:r>
      <w:r>
        <w:rPr>
          <w:rFonts w:ascii="Times New Roman" w:hAnsi="Times New Roman"/>
        </w:rPr>
        <w:t>，</w:t>
      </w:r>
      <w:r>
        <w:rPr>
          <w:rFonts w:hint="eastAsia" w:ascii="Times New Roman" w:hAnsi="Times New Roman"/>
        </w:rPr>
        <w:t>持续</w:t>
      </w:r>
      <w:r>
        <w:rPr>
          <w:rFonts w:ascii="Times New Roman" w:hAnsi="Times New Roman"/>
        </w:rPr>
        <w:t>提升风险防范和抵御</w:t>
      </w:r>
      <w:r>
        <w:rPr>
          <w:rFonts w:hint="eastAsia" w:ascii="Times New Roman" w:hAnsi="Times New Roman"/>
        </w:rPr>
        <w:t>化解</w:t>
      </w:r>
      <w:r>
        <w:rPr>
          <w:rFonts w:ascii="Times New Roman" w:hAnsi="Times New Roman"/>
        </w:rPr>
        <w:t>能力。</w:t>
      </w:r>
    </w:p>
    <w:p>
      <w:pPr>
        <w:pStyle w:val="7"/>
        <w:spacing w:line="560" w:lineRule="exact"/>
        <w:contextualSpacing/>
        <w:jc w:val="center"/>
        <w:rPr>
          <w:rFonts w:ascii="黑体" w:hAnsi="仿宋" w:cs="仿宋"/>
          <w:b w:val="0"/>
          <w:szCs w:val="32"/>
          <w:lang w:val="zh-CN" w:bidi="zh-CN"/>
        </w:rPr>
      </w:pPr>
      <w:bookmarkStart w:id="1208" w:name="_Toc1610732360"/>
      <w:bookmarkStart w:id="1209" w:name="_Toc456765699"/>
      <w:bookmarkStart w:id="1210" w:name="_Toc746139818"/>
      <w:r>
        <w:rPr>
          <w:rFonts w:hint="eastAsia"/>
          <w:b w:val="0"/>
          <w:lang w:val="zh-CN"/>
        </w:rPr>
        <w:t>第</w:t>
      </w:r>
      <w:r>
        <w:rPr>
          <w:b w:val="0"/>
          <w:lang w:val="zh-CN"/>
        </w:rPr>
        <w:t>十一</w:t>
      </w:r>
      <w:r>
        <w:rPr>
          <w:rFonts w:hint="eastAsia"/>
          <w:b w:val="0"/>
          <w:lang w:val="zh-CN"/>
        </w:rPr>
        <w:t xml:space="preserve">章 </w:t>
      </w:r>
      <w:r>
        <w:rPr>
          <w:b w:val="0"/>
          <w:lang w:val="zh-CN"/>
        </w:rPr>
        <w:t>保障措施</w:t>
      </w:r>
      <w:bookmarkEnd w:id="1208"/>
      <w:bookmarkEnd w:id="1209"/>
      <w:bookmarkEnd w:id="1210"/>
    </w:p>
    <w:p>
      <w:pPr>
        <w:pStyle w:val="8"/>
        <w:spacing w:line="560" w:lineRule="exact"/>
        <w:ind w:firstLine="0" w:firstLineChars="0"/>
        <w:contextualSpacing/>
        <w:jc w:val="center"/>
        <w:rPr>
          <w:rFonts w:ascii="楷体_GB2312" w:hAnsi="楷体_GB2312" w:eastAsia="楷体_GB2312" w:cs="楷体_GB2312"/>
          <w:b w:val="0"/>
          <w:szCs w:val="32"/>
        </w:rPr>
      </w:pPr>
      <w:bookmarkStart w:id="1211" w:name="_Toc2138823309"/>
      <w:bookmarkStart w:id="1212" w:name="_Toc206321719"/>
      <w:r>
        <w:rPr>
          <w:rFonts w:hint="eastAsia" w:ascii="楷体_GB2312" w:hAnsi="楷体_GB2312" w:eastAsia="楷体_GB2312" w:cs="楷体_GB2312"/>
          <w:b w:val="0"/>
        </w:rPr>
        <w:t>第一</w:t>
      </w:r>
      <w:r>
        <w:rPr>
          <w:rFonts w:hint="eastAsia" w:ascii="楷体_GB2312" w:hAnsi="楷体_GB2312" w:eastAsia="楷体_GB2312" w:cs="楷体_GB2312"/>
          <w:b w:val="0"/>
          <w:lang w:val="zh-CN"/>
        </w:rPr>
        <w:t xml:space="preserve">节 </w:t>
      </w:r>
      <w:r>
        <w:rPr>
          <w:rFonts w:hint="eastAsia" w:ascii="楷体_GB2312" w:hAnsi="楷体_GB2312" w:eastAsia="楷体_GB2312" w:cs="楷体_GB2312"/>
          <w:b w:val="0"/>
        </w:rPr>
        <w:t>加强组织领导</w:t>
      </w:r>
      <w:bookmarkEnd w:id="1211"/>
      <w:bookmarkEnd w:id="1212"/>
    </w:p>
    <w:p>
      <w:pPr>
        <w:spacing w:line="560" w:lineRule="exact"/>
        <w:ind w:firstLine="640"/>
        <w:contextualSpacing/>
        <w:rPr>
          <w:rFonts w:ascii="Times New Roman" w:hAnsi="Times New Roman"/>
        </w:rPr>
      </w:pPr>
      <w:r>
        <w:rPr>
          <w:rFonts w:ascii="Times New Roman" w:hAnsi="Times New Roman"/>
        </w:rPr>
        <w:t>成立</w:t>
      </w:r>
      <w:r>
        <w:rPr>
          <w:rFonts w:hint="eastAsia" w:ascii="Times New Roman" w:hAnsi="Times New Roman"/>
        </w:rPr>
        <w:t>南阳市现代供应链发展工作领导小组，</w:t>
      </w:r>
      <w:r>
        <w:rPr>
          <w:rFonts w:ascii="Times New Roman" w:hAnsi="Times New Roman"/>
        </w:rPr>
        <w:t>由市政府分管副市长任组长</w:t>
      </w:r>
      <w:r>
        <w:rPr>
          <w:rFonts w:hint="eastAsia" w:ascii="Times New Roman" w:hAnsi="Times New Roman"/>
        </w:rPr>
        <w:t>，商务、工业和信息化、发展改革、交通运输、农业农村等相关部门参加，</w:t>
      </w:r>
      <w:r>
        <w:rPr>
          <w:rFonts w:ascii="Times New Roman" w:hAnsi="Times New Roman"/>
        </w:rPr>
        <w:t>负责政策制定、业务指导、</w:t>
      </w:r>
      <w:r>
        <w:rPr>
          <w:rFonts w:hint="eastAsia" w:ascii="Times New Roman" w:hAnsi="Times New Roman"/>
        </w:rPr>
        <w:t>任务</w:t>
      </w:r>
      <w:r>
        <w:rPr>
          <w:rFonts w:ascii="Times New Roman" w:hAnsi="Times New Roman"/>
        </w:rPr>
        <w:t>落实和综合评价</w:t>
      </w:r>
      <w:r>
        <w:rPr>
          <w:rFonts w:hint="eastAsia" w:ascii="Times New Roman" w:hAnsi="Times New Roman"/>
        </w:rPr>
        <w:t>。</w:t>
      </w:r>
      <w:r>
        <w:rPr>
          <w:rFonts w:ascii="Times New Roman" w:hAnsi="Times New Roman"/>
        </w:rPr>
        <w:t>领导小组定期召开工作推进会议，研究制</w:t>
      </w:r>
      <w:r>
        <w:rPr>
          <w:rFonts w:hint="eastAsia" w:ascii="Times New Roman" w:hAnsi="Times New Roman"/>
        </w:rPr>
        <w:t>定</w:t>
      </w:r>
      <w:r>
        <w:rPr>
          <w:rFonts w:ascii="Times New Roman" w:hAnsi="Times New Roman"/>
        </w:rPr>
        <w:t>相关政策措施，督促</w:t>
      </w:r>
      <w:r>
        <w:rPr>
          <w:rFonts w:hint="eastAsia" w:ascii="Times New Roman" w:hAnsi="Times New Roman"/>
        </w:rPr>
        <w:t>推进</w:t>
      </w:r>
      <w:r>
        <w:rPr>
          <w:rFonts w:ascii="Times New Roman" w:hAnsi="Times New Roman"/>
        </w:rPr>
        <w:t>重点工作和项目。探索建立现代供应链发展专家咨询委员会，</w:t>
      </w:r>
      <w:r>
        <w:rPr>
          <w:rFonts w:hint="eastAsia" w:ascii="Times New Roman" w:hAnsi="Times New Roman"/>
        </w:rPr>
        <w:t>为</w:t>
      </w:r>
      <w:r>
        <w:rPr>
          <w:rFonts w:ascii="Times New Roman" w:hAnsi="Times New Roman"/>
        </w:rPr>
        <w:t>研究谋划重大政策、重</w:t>
      </w:r>
      <w:r>
        <w:rPr>
          <w:rFonts w:hint="eastAsia" w:ascii="Times New Roman" w:hAnsi="Times New Roman"/>
        </w:rPr>
        <w:t>大</w:t>
      </w:r>
      <w:r>
        <w:rPr>
          <w:rFonts w:ascii="Times New Roman" w:hAnsi="Times New Roman"/>
        </w:rPr>
        <w:t>工程、重</w:t>
      </w:r>
      <w:r>
        <w:rPr>
          <w:rFonts w:hint="eastAsia" w:ascii="Times New Roman" w:hAnsi="Times New Roman"/>
        </w:rPr>
        <w:t>大项目</w:t>
      </w:r>
      <w:r>
        <w:rPr>
          <w:rFonts w:ascii="Times New Roman" w:hAnsi="Times New Roman"/>
        </w:rPr>
        <w:t>等提供智力支持。</w:t>
      </w:r>
      <w:r>
        <w:rPr>
          <w:rFonts w:hint="eastAsia" w:ascii="Times New Roman" w:hAnsi="Times New Roman"/>
        </w:rPr>
        <w:t>各县（市、区）</w:t>
      </w:r>
      <w:r>
        <w:rPr>
          <w:rFonts w:ascii="Times New Roman" w:hAnsi="Times New Roman"/>
        </w:rPr>
        <w:t>要建立相应的工作协调机制，</w:t>
      </w:r>
      <w:r>
        <w:rPr>
          <w:rFonts w:hint="eastAsia" w:ascii="Times New Roman" w:hAnsi="Times New Roman"/>
        </w:rPr>
        <w:t>视情况</w:t>
      </w:r>
      <w:r>
        <w:rPr>
          <w:rFonts w:ascii="Times New Roman" w:hAnsi="Times New Roman"/>
        </w:rPr>
        <w:t>制定</w:t>
      </w:r>
      <w:r>
        <w:rPr>
          <w:rFonts w:hint="eastAsia" w:ascii="Times New Roman" w:hAnsi="Times New Roman"/>
        </w:rPr>
        <w:t>工作</w:t>
      </w:r>
      <w:r>
        <w:rPr>
          <w:rFonts w:ascii="Times New Roman" w:hAnsi="Times New Roman"/>
        </w:rPr>
        <w:t>方案和工作举措，</w:t>
      </w:r>
      <w:r>
        <w:rPr>
          <w:rFonts w:hint="eastAsia" w:ascii="Times New Roman" w:hAnsi="Times New Roman"/>
        </w:rPr>
        <w:t>统筹</w:t>
      </w:r>
      <w:r>
        <w:rPr>
          <w:rFonts w:ascii="Times New Roman" w:hAnsi="Times New Roman"/>
        </w:rPr>
        <w:t>生产制造、商贸流通、交通运输等重点领域</w:t>
      </w:r>
      <w:r>
        <w:rPr>
          <w:rFonts w:hint="eastAsia" w:ascii="Times New Roman" w:hAnsi="Times New Roman"/>
        </w:rPr>
        <w:t>，协调</w:t>
      </w:r>
      <w:r>
        <w:rPr>
          <w:rFonts w:ascii="Times New Roman" w:hAnsi="Times New Roman"/>
        </w:rPr>
        <w:t>推动本地</w:t>
      </w:r>
      <w:r>
        <w:rPr>
          <w:rFonts w:hint="eastAsia" w:ascii="Times New Roman" w:hAnsi="Times New Roman"/>
        </w:rPr>
        <w:t>区</w:t>
      </w:r>
      <w:r>
        <w:rPr>
          <w:rFonts w:ascii="Times New Roman" w:hAnsi="Times New Roman"/>
        </w:rPr>
        <w:t>供应链创新发展</w:t>
      </w:r>
      <w:r>
        <w:rPr>
          <w:rFonts w:hint="eastAsia" w:ascii="Times New Roman" w:hAnsi="Times New Roman"/>
        </w:rPr>
        <w:t>。</w:t>
      </w:r>
    </w:p>
    <w:p>
      <w:pPr>
        <w:pStyle w:val="8"/>
        <w:spacing w:line="560" w:lineRule="exact"/>
        <w:ind w:firstLine="0" w:firstLineChars="0"/>
        <w:contextualSpacing/>
        <w:jc w:val="center"/>
        <w:rPr>
          <w:rFonts w:ascii="楷体_GB2312" w:hAnsi="楷体_GB2312" w:eastAsia="楷体_GB2312" w:cs="楷体_GB2312"/>
          <w:b w:val="0"/>
        </w:rPr>
      </w:pPr>
      <w:bookmarkStart w:id="1213" w:name="_Toc948526207"/>
      <w:bookmarkStart w:id="1214" w:name="_Toc1773685248"/>
      <w:r>
        <w:rPr>
          <w:rFonts w:hint="eastAsia" w:ascii="楷体_GB2312" w:hAnsi="楷体_GB2312" w:eastAsia="楷体_GB2312" w:cs="楷体_GB2312"/>
          <w:b w:val="0"/>
        </w:rPr>
        <w:t>第二</w:t>
      </w:r>
      <w:r>
        <w:rPr>
          <w:rFonts w:hint="eastAsia" w:ascii="楷体_GB2312" w:hAnsi="楷体_GB2312" w:eastAsia="楷体_GB2312" w:cs="楷体_GB2312"/>
          <w:b w:val="0"/>
          <w:lang w:val="zh-CN"/>
        </w:rPr>
        <w:t xml:space="preserve">节 </w:t>
      </w:r>
      <w:r>
        <w:rPr>
          <w:rFonts w:hint="eastAsia" w:ascii="楷体_GB2312" w:hAnsi="楷体_GB2312" w:eastAsia="楷体_GB2312" w:cs="楷体_GB2312"/>
          <w:b w:val="0"/>
        </w:rPr>
        <w:t>打造</w:t>
      </w:r>
      <w:r>
        <w:rPr>
          <w:rFonts w:hint="eastAsia" w:ascii="楷体_GB2312" w:hAnsi="楷体_GB2312" w:eastAsia="楷体_GB2312" w:cs="楷体_GB2312"/>
          <w:b w:val="0"/>
          <w:lang w:val="zh-CN"/>
        </w:rPr>
        <w:t>优势</w:t>
      </w:r>
      <w:r>
        <w:rPr>
          <w:rFonts w:hint="eastAsia" w:ascii="楷体_GB2312" w:hAnsi="楷体_GB2312" w:eastAsia="楷体_GB2312" w:cs="楷体_GB2312"/>
          <w:b w:val="0"/>
        </w:rPr>
        <w:t>供应链</w:t>
      </w:r>
      <w:bookmarkEnd w:id="1213"/>
      <w:bookmarkEnd w:id="1214"/>
    </w:p>
    <w:p>
      <w:pPr>
        <w:spacing w:line="560" w:lineRule="exact"/>
        <w:ind w:firstLine="640"/>
        <w:contextualSpacing/>
        <w:rPr>
          <w:rFonts w:ascii="Times New Roman" w:hAnsi="Times New Roman"/>
        </w:rPr>
      </w:pPr>
      <w:r>
        <w:rPr>
          <w:rFonts w:ascii="Times New Roman" w:hAnsi="Times New Roman"/>
        </w:rPr>
        <w:t>聚焦防爆电机、超硬材料</w:t>
      </w:r>
      <w:r>
        <w:rPr>
          <w:rFonts w:hint="eastAsia" w:ascii="Times New Roman" w:hAnsi="Times New Roman"/>
        </w:rPr>
        <w:t>、</w:t>
      </w:r>
      <w:r>
        <w:rPr>
          <w:rFonts w:ascii="Times New Roman" w:hAnsi="Times New Roman"/>
        </w:rPr>
        <w:t>肉食品深加工等</w:t>
      </w:r>
      <w:r>
        <w:rPr>
          <w:rFonts w:hint="eastAsia" w:ascii="Times New Roman" w:hAnsi="Times New Roman"/>
        </w:rPr>
        <w:t>优势领域</w:t>
      </w:r>
      <w:r>
        <w:rPr>
          <w:rFonts w:ascii="Times New Roman" w:hAnsi="Times New Roman"/>
        </w:rPr>
        <w:t>，分行业制定</w:t>
      </w:r>
      <w:r>
        <w:rPr>
          <w:rFonts w:hint="eastAsia" w:ascii="Times New Roman" w:hAnsi="Times New Roman"/>
        </w:rPr>
        <w:t>供应</w:t>
      </w:r>
      <w:r>
        <w:rPr>
          <w:rFonts w:ascii="Times New Roman" w:hAnsi="Times New Roman"/>
        </w:rPr>
        <w:t>链现代化提升方案，</w:t>
      </w:r>
      <w:r>
        <w:rPr>
          <w:rFonts w:hint="eastAsia" w:ascii="Times New Roman" w:hAnsi="Times New Roman"/>
        </w:rPr>
        <w:t>实施供应链</w:t>
      </w:r>
      <w:r>
        <w:rPr>
          <w:rFonts w:ascii="Times New Roman" w:hAnsi="Times New Roman"/>
        </w:rPr>
        <w:t>固链、补链、强链</w:t>
      </w:r>
      <w:r>
        <w:rPr>
          <w:rFonts w:hint="eastAsia" w:ascii="Times New Roman" w:hAnsi="Times New Roman"/>
        </w:rPr>
        <w:t>行动</w:t>
      </w:r>
      <w:r>
        <w:rPr>
          <w:rFonts w:ascii="Times New Roman" w:hAnsi="Times New Roman"/>
        </w:rPr>
        <w:t>，深化</w:t>
      </w:r>
      <w:r>
        <w:rPr>
          <w:rFonts w:hint="eastAsia" w:ascii="Times New Roman" w:hAnsi="Times New Roman"/>
        </w:rPr>
        <w:t>供应</w:t>
      </w:r>
      <w:r>
        <w:rPr>
          <w:rFonts w:ascii="Times New Roman" w:hAnsi="Times New Roman"/>
        </w:rPr>
        <w:t>链上</w:t>
      </w:r>
      <w:r>
        <w:rPr>
          <w:rFonts w:hint="eastAsia" w:ascii="Times New Roman" w:hAnsi="Times New Roman"/>
        </w:rPr>
        <w:t>、</w:t>
      </w:r>
      <w:r>
        <w:rPr>
          <w:rFonts w:ascii="Times New Roman" w:hAnsi="Times New Roman"/>
        </w:rPr>
        <w:t>中</w:t>
      </w:r>
      <w:r>
        <w:rPr>
          <w:rFonts w:hint="eastAsia" w:ascii="Times New Roman" w:hAnsi="Times New Roman"/>
        </w:rPr>
        <w:t>、</w:t>
      </w:r>
      <w:r>
        <w:rPr>
          <w:rFonts w:ascii="Times New Roman" w:hAnsi="Times New Roman"/>
        </w:rPr>
        <w:t>下游战略合作，</w:t>
      </w:r>
      <w:r>
        <w:rPr>
          <w:rFonts w:hint="eastAsia" w:ascii="Times New Roman" w:hAnsi="Times New Roman"/>
        </w:rPr>
        <w:t>支持</w:t>
      </w:r>
      <w:r>
        <w:rPr>
          <w:rFonts w:ascii="Times New Roman" w:hAnsi="Times New Roman"/>
        </w:rPr>
        <w:t>龙头企业利用技术和市场优势，以并购、参股等方式</w:t>
      </w:r>
      <w:r>
        <w:rPr>
          <w:rFonts w:hint="eastAsia" w:ascii="Times New Roman" w:hAnsi="Times New Roman"/>
        </w:rPr>
        <w:t>直接</w:t>
      </w:r>
      <w:r>
        <w:rPr>
          <w:rFonts w:ascii="Times New Roman" w:hAnsi="Times New Roman"/>
        </w:rPr>
        <w:t>向</w:t>
      </w:r>
      <w:r>
        <w:rPr>
          <w:rFonts w:hint="eastAsia" w:ascii="Times New Roman" w:hAnsi="Times New Roman"/>
        </w:rPr>
        <w:t>相关</w:t>
      </w:r>
      <w:r>
        <w:rPr>
          <w:rFonts w:ascii="Times New Roman" w:hAnsi="Times New Roman"/>
        </w:rPr>
        <w:t>企业延伸，提升优势产业链</w:t>
      </w:r>
      <w:r>
        <w:rPr>
          <w:rFonts w:hint="eastAsia" w:ascii="Times New Roman" w:hAnsi="Times New Roman"/>
        </w:rPr>
        <w:t>、供应链</w:t>
      </w:r>
      <w:r>
        <w:rPr>
          <w:rFonts w:ascii="Times New Roman" w:hAnsi="Times New Roman"/>
        </w:rPr>
        <w:t>垂直整合度，形成龙头企业牵引全链优化、“链主企业”带动全链受益、“隐形冠军”打造单链特色的发展格局。</w:t>
      </w:r>
    </w:p>
    <w:p>
      <w:pPr>
        <w:pStyle w:val="8"/>
        <w:spacing w:line="560" w:lineRule="exact"/>
        <w:ind w:firstLine="0" w:firstLineChars="0"/>
        <w:contextualSpacing/>
        <w:jc w:val="center"/>
        <w:rPr>
          <w:rFonts w:ascii="楷体_GB2312" w:hAnsi="楷体_GB2312" w:eastAsia="楷体_GB2312" w:cs="楷体_GB2312"/>
          <w:b w:val="0"/>
        </w:rPr>
      </w:pPr>
      <w:bookmarkStart w:id="1215" w:name="_Toc1230245790"/>
      <w:bookmarkStart w:id="1216" w:name="_Toc2120591624"/>
      <w:r>
        <w:rPr>
          <w:rFonts w:hint="eastAsia" w:ascii="楷体_GB2312" w:hAnsi="楷体_GB2312" w:eastAsia="楷体_GB2312" w:cs="楷体_GB2312"/>
          <w:b w:val="0"/>
        </w:rPr>
        <w:t>第三</w:t>
      </w:r>
      <w:r>
        <w:rPr>
          <w:rFonts w:hint="eastAsia" w:ascii="楷体_GB2312" w:hAnsi="楷体_GB2312" w:eastAsia="楷体_GB2312" w:cs="楷体_GB2312"/>
          <w:b w:val="0"/>
          <w:lang w:val="zh-CN"/>
        </w:rPr>
        <w:t xml:space="preserve">节 </w:t>
      </w:r>
      <w:r>
        <w:rPr>
          <w:rFonts w:hint="eastAsia" w:ascii="楷体_GB2312" w:hAnsi="楷体_GB2312" w:eastAsia="楷体_GB2312" w:cs="楷体_GB2312"/>
          <w:b w:val="0"/>
        </w:rPr>
        <w:t>开展试点示范</w:t>
      </w:r>
      <w:bookmarkEnd w:id="1215"/>
      <w:bookmarkEnd w:id="1216"/>
    </w:p>
    <w:p>
      <w:pPr>
        <w:spacing w:line="560" w:lineRule="exact"/>
        <w:ind w:firstLine="640"/>
        <w:contextualSpacing/>
        <w:rPr>
          <w:rFonts w:ascii="Times New Roman" w:hAnsi="Times New Roman"/>
        </w:rPr>
      </w:pPr>
      <w:r>
        <w:rPr>
          <w:rFonts w:hint="eastAsia" w:ascii="Times New Roman" w:hAnsi="Times New Roman"/>
        </w:rPr>
        <w:t>积极</w:t>
      </w:r>
      <w:r>
        <w:rPr>
          <w:rFonts w:ascii="Times New Roman" w:hAnsi="Times New Roman"/>
        </w:rPr>
        <w:t>申报国家和省供应链创新与应用试点市（县）</w:t>
      </w:r>
      <w:r>
        <w:rPr>
          <w:rFonts w:hint="eastAsia" w:ascii="Times New Roman" w:hAnsi="Times New Roman"/>
        </w:rPr>
        <w:t>，指导符合条件的企业申报</w:t>
      </w:r>
      <w:r>
        <w:rPr>
          <w:rFonts w:ascii="Times New Roman" w:hAnsi="Times New Roman"/>
        </w:rPr>
        <w:t>试点企业</w:t>
      </w:r>
      <w:r>
        <w:rPr>
          <w:rFonts w:hint="eastAsia" w:ascii="Times New Roman" w:hAnsi="Times New Roman"/>
        </w:rPr>
        <w:t>，打造一批</w:t>
      </w:r>
      <w:r>
        <w:rPr>
          <w:rFonts w:ascii="Times New Roman" w:hAnsi="Times New Roman"/>
        </w:rPr>
        <w:t>跨行业、跨领域，</w:t>
      </w:r>
      <w:r>
        <w:rPr>
          <w:rFonts w:hint="eastAsia" w:ascii="Times New Roman" w:hAnsi="Times New Roman"/>
        </w:rPr>
        <w:t>具有影响力的示范企业、示范平台和示范项目。</w:t>
      </w:r>
      <w:r>
        <w:rPr>
          <w:rFonts w:ascii="Times New Roman" w:hAnsi="Times New Roman"/>
        </w:rPr>
        <w:t>对获得全国或省级供应链创新与应用示范企业称号的企业</w:t>
      </w:r>
      <w:r>
        <w:rPr>
          <w:rFonts w:hint="eastAsia" w:ascii="Times New Roman" w:hAnsi="Times New Roman"/>
        </w:rPr>
        <w:t>和</w:t>
      </w:r>
      <w:r>
        <w:rPr>
          <w:rFonts w:ascii="Times New Roman" w:hAnsi="Times New Roman"/>
        </w:rPr>
        <w:t>运营模式成熟、服务能力强的供应链综合服务平台</w:t>
      </w:r>
      <w:r>
        <w:rPr>
          <w:rFonts w:hint="eastAsia" w:ascii="Times New Roman" w:hAnsi="Times New Roman"/>
        </w:rPr>
        <w:t>，</w:t>
      </w:r>
      <w:r>
        <w:rPr>
          <w:rFonts w:ascii="Times New Roman" w:hAnsi="Times New Roman"/>
        </w:rPr>
        <w:t>采取</w:t>
      </w:r>
      <w:r>
        <w:rPr>
          <w:rFonts w:hint="eastAsia" w:ascii="Times New Roman" w:hAnsi="Times New Roman"/>
        </w:rPr>
        <w:t>“</w:t>
      </w:r>
      <w:r>
        <w:rPr>
          <w:rFonts w:ascii="Times New Roman" w:hAnsi="Times New Roman"/>
        </w:rPr>
        <w:t>以奖代补</w:t>
      </w:r>
      <w:r>
        <w:rPr>
          <w:rFonts w:hint="eastAsia" w:ascii="Times New Roman" w:hAnsi="Times New Roman"/>
        </w:rPr>
        <w:t>”方式</w:t>
      </w:r>
      <w:r>
        <w:rPr>
          <w:rFonts w:ascii="Times New Roman" w:hAnsi="Times New Roman"/>
        </w:rPr>
        <w:t>给予资金扶持</w:t>
      </w:r>
      <w:r>
        <w:rPr>
          <w:rFonts w:hint="eastAsia" w:ascii="Times New Roman" w:hAnsi="Times New Roman"/>
        </w:rPr>
        <w:t>。优先推荐</w:t>
      </w:r>
      <w:r>
        <w:rPr>
          <w:rFonts w:ascii="Times New Roman" w:hAnsi="Times New Roman"/>
        </w:rPr>
        <w:t>符合条件的供应链企业申报高新技术企业。</w:t>
      </w:r>
    </w:p>
    <w:p>
      <w:pPr>
        <w:pStyle w:val="8"/>
        <w:spacing w:line="560" w:lineRule="exact"/>
        <w:ind w:firstLine="0" w:firstLineChars="0"/>
        <w:contextualSpacing/>
        <w:jc w:val="center"/>
        <w:rPr>
          <w:rFonts w:ascii="楷体_GB2312" w:hAnsi="楷体_GB2312" w:eastAsia="楷体_GB2312" w:cs="楷体_GB2312"/>
          <w:b w:val="0"/>
        </w:rPr>
      </w:pPr>
      <w:bookmarkStart w:id="1217" w:name="_Toc130965380"/>
      <w:bookmarkStart w:id="1218" w:name="_Toc710987541"/>
      <w:r>
        <w:rPr>
          <w:rFonts w:hint="eastAsia" w:ascii="楷体_GB2312" w:hAnsi="楷体_GB2312" w:eastAsia="楷体_GB2312" w:cs="楷体_GB2312"/>
          <w:b w:val="0"/>
        </w:rPr>
        <w:t>第四</w:t>
      </w:r>
      <w:r>
        <w:rPr>
          <w:rFonts w:hint="eastAsia" w:ascii="楷体_GB2312" w:hAnsi="楷体_GB2312" w:eastAsia="楷体_GB2312" w:cs="楷体_GB2312"/>
          <w:b w:val="0"/>
          <w:lang w:val="zh-CN"/>
        </w:rPr>
        <w:t xml:space="preserve">节 </w:t>
      </w:r>
      <w:r>
        <w:rPr>
          <w:rFonts w:hint="eastAsia" w:ascii="楷体_GB2312" w:hAnsi="楷体_GB2312" w:eastAsia="楷体_GB2312" w:cs="楷体_GB2312"/>
          <w:b w:val="0"/>
        </w:rPr>
        <w:t>强化</w:t>
      </w:r>
      <w:r>
        <w:rPr>
          <w:rFonts w:hint="eastAsia" w:ascii="楷体_GB2312" w:hAnsi="楷体_GB2312" w:eastAsia="楷体_GB2312" w:cs="楷体_GB2312"/>
          <w:b w:val="0"/>
          <w:lang w:val="zh-CN"/>
        </w:rPr>
        <w:t>政策</w:t>
      </w:r>
      <w:r>
        <w:rPr>
          <w:rFonts w:hint="eastAsia" w:ascii="楷体_GB2312" w:hAnsi="楷体_GB2312" w:eastAsia="楷体_GB2312" w:cs="楷体_GB2312"/>
          <w:b w:val="0"/>
        </w:rPr>
        <w:t>支持</w:t>
      </w:r>
      <w:bookmarkEnd w:id="1217"/>
      <w:bookmarkEnd w:id="1218"/>
    </w:p>
    <w:p>
      <w:pPr>
        <w:spacing w:line="560" w:lineRule="exact"/>
        <w:ind w:firstLine="640"/>
        <w:contextualSpacing/>
        <w:rPr>
          <w:rFonts w:ascii="Times New Roman" w:hAnsi="Times New Roman"/>
        </w:rPr>
      </w:pPr>
      <w:r>
        <w:rPr>
          <w:rFonts w:hint="eastAsia" w:ascii="Times New Roman" w:hAnsi="Times New Roman"/>
        </w:rPr>
        <w:t>优先将符合条件的供应链项目列入省市重点项目库，</w:t>
      </w:r>
      <w:r>
        <w:rPr>
          <w:rFonts w:ascii="Times New Roman" w:hAnsi="Times New Roman"/>
        </w:rPr>
        <w:t>加强用地、</w:t>
      </w:r>
      <w:r>
        <w:rPr>
          <w:rFonts w:hint="eastAsia" w:ascii="Times New Roman" w:hAnsi="Times New Roman"/>
        </w:rPr>
        <w:t>用</w:t>
      </w:r>
      <w:r>
        <w:rPr>
          <w:rFonts w:ascii="Times New Roman" w:hAnsi="Times New Roman"/>
        </w:rPr>
        <w:t>能</w:t>
      </w:r>
      <w:r>
        <w:rPr>
          <w:rFonts w:hint="eastAsia" w:ascii="Times New Roman" w:hAnsi="Times New Roman"/>
        </w:rPr>
        <w:t>、环境容量</w:t>
      </w:r>
      <w:r>
        <w:rPr>
          <w:rFonts w:ascii="Times New Roman" w:hAnsi="Times New Roman"/>
        </w:rPr>
        <w:t>等资源要素保障。</w:t>
      </w:r>
      <w:r>
        <w:rPr>
          <w:rFonts w:hint="eastAsia" w:ascii="Times New Roman" w:hAnsi="Times New Roman"/>
        </w:rPr>
        <w:t>激励</w:t>
      </w:r>
      <w:r>
        <w:rPr>
          <w:rFonts w:ascii="Times New Roman" w:hAnsi="Times New Roman"/>
        </w:rPr>
        <w:t>引导金融机构</w:t>
      </w:r>
      <w:r>
        <w:rPr>
          <w:rFonts w:hint="eastAsia" w:ascii="Times New Roman" w:hAnsi="Times New Roman"/>
        </w:rPr>
        <w:t>强化供应链融资支持</w:t>
      </w:r>
      <w:r>
        <w:rPr>
          <w:rFonts w:ascii="Times New Roman" w:hAnsi="Times New Roman"/>
        </w:rPr>
        <w:t>，支持符合条件的供应链企业上市和并购重组，</w:t>
      </w:r>
      <w:r>
        <w:rPr>
          <w:rFonts w:hint="eastAsia" w:ascii="Times New Roman" w:hAnsi="Times New Roman"/>
        </w:rPr>
        <w:t>研究</w:t>
      </w:r>
      <w:r>
        <w:rPr>
          <w:rFonts w:ascii="Times New Roman" w:hAnsi="Times New Roman"/>
        </w:rPr>
        <w:t>设立配套的供应链发展投资基金，为</w:t>
      </w:r>
      <w:r>
        <w:rPr>
          <w:rFonts w:hint="eastAsia" w:ascii="Times New Roman" w:hAnsi="Times New Roman"/>
        </w:rPr>
        <w:t>相关</w:t>
      </w:r>
      <w:r>
        <w:rPr>
          <w:rFonts w:ascii="Times New Roman" w:hAnsi="Times New Roman"/>
        </w:rPr>
        <w:t>企业开展供应链业务提供融资支持。</w:t>
      </w:r>
      <w:r>
        <w:rPr>
          <w:rFonts w:hint="eastAsia" w:ascii="Times New Roman" w:hAnsi="Times New Roman"/>
        </w:rPr>
        <w:t>引导南阳师范学院、南阳理工学院本地</w:t>
      </w:r>
      <w:r>
        <w:rPr>
          <w:rFonts w:ascii="Times New Roman" w:hAnsi="Times New Roman"/>
        </w:rPr>
        <w:t>高等院校和职业学校设置供应链相关专业和课程，</w:t>
      </w:r>
      <w:r>
        <w:rPr>
          <w:rFonts w:hint="eastAsia" w:ascii="Times New Roman" w:hAnsi="Times New Roman"/>
        </w:rPr>
        <w:t>加快</w:t>
      </w:r>
      <w:r>
        <w:rPr>
          <w:rFonts w:ascii="Times New Roman" w:hAnsi="Times New Roman"/>
        </w:rPr>
        <w:t>培育高层次、专业化供应链人才。</w:t>
      </w:r>
      <w:r>
        <w:rPr>
          <w:rFonts w:hint="eastAsia" w:ascii="Times New Roman" w:hAnsi="Times New Roman"/>
        </w:rPr>
        <w:t>将</w:t>
      </w:r>
      <w:r>
        <w:rPr>
          <w:rFonts w:ascii="Times New Roman" w:hAnsi="Times New Roman"/>
        </w:rPr>
        <w:t>供应链人才</w:t>
      </w:r>
      <w:r>
        <w:rPr>
          <w:rFonts w:hint="eastAsia" w:ascii="Times New Roman" w:hAnsi="Times New Roman"/>
        </w:rPr>
        <w:t>纳入“诸葛英才”计划范畴，按规定享受人才补贴、人才公寓等优惠政策。</w:t>
      </w:r>
    </w:p>
    <w:p>
      <w:pPr>
        <w:pStyle w:val="8"/>
        <w:spacing w:line="560" w:lineRule="exact"/>
        <w:ind w:firstLine="0" w:firstLineChars="0"/>
        <w:contextualSpacing/>
        <w:jc w:val="center"/>
        <w:rPr>
          <w:rFonts w:ascii="楷体_GB2312" w:hAnsi="楷体_GB2312" w:eastAsia="楷体_GB2312" w:cs="楷体_GB2312"/>
          <w:b w:val="0"/>
        </w:rPr>
      </w:pPr>
      <w:bookmarkStart w:id="1219" w:name="_Toc668315315"/>
      <w:bookmarkStart w:id="1220" w:name="_Toc172103685"/>
      <w:r>
        <w:rPr>
          <w:rFonts w:hint="eastAsia" w:ascii="楷体_GB2312" w:hAnsi="楷体_GB2312" w:eastAsia="楷体_GB2312" w:cs="楷体_GB2312"/>
          <w:b w:val="0"/>
        </w:rPr>
        <w:t>第五</w:t>
      </w:r>
      <w:r>
        <w:rPr>
          <w:rFonts w:hint="eastAsia" w:ascii="楷体_GB2312" w:hAnsi="楷体_GB2312" w:eastAsia="楷体_GB2312" w:cs="楷体_GB2312"/>
          <w:b w:val="0"/>
          <w:lang w:val="zh-CN"/>
        </w:rPr>
        <w:t xml:space="preserve">节 </w:t>
      </w:r>
      <w:r>
        <w:rPr>
          <w:rFonts w:hint="eastAsia" w:ascii="楷体_GB2312" w:hAnsi="楷体_GB2312" w:eastAsia="楷体_GB2312" w:cs="楷体_GB2312"/>
          <w:b w:val="0"/>
        </w:rPr>
        <w:t>营造良好环境</w:t>
      </w:r>
      <w:bookmarkEnd w:id="1219"/>
      <w:bookmarkEnd w:id="1220"/>
    </w:p>
    <w:p>
      <w:pPr>
        <w:spacing w:line="560" w:lineRule="exact"/>
        <w:ind w:firstLine="640"/>
        <w:contextualSpacing/>
        <w:rPr>
          <w:rFonts w:ascii="Times New Roman" w:hAnsi="Times New Roman"/>
        </w:rPr>
      </w:pPr>
      <w:r>
        <w:rPr>
          <w:rFonts w:hint="eastAsia" w:ascii="Times New Roman" w:hAnsi="Times New Roman"/>
        </w:rPr>
        <w:t>深入推进“放管服效”改革，包容审慎监管“供应链+互联网”“供应链+物联网”“供应链+区块链”“供应链+数据智能”等新业态新模式。强力推进</w:t>
      </w:r>
      <w:r>
        <w:rPr>
          <w:rFonts w:ascii="Times New Roman" w:hAnsi="Times New Roman"/>
        </w:rPr>
        <w:t>营商环境优化</w:t>
      </w:r>
      <w:r>
        <w:rPr>
          <w:rFonts w:hint="eastAsia" w:ascii="Times New Roman" w:hAnsi="Times New Roman"/>
        </w:rPr>
        <w:t>，营造良好的政务、市场、法治、信用环境。充分利用媒体、网站等渠道，加强政策解读和舆论宣传，</w:t>
      </w:r>
      <w:r>
        <w:rPr>
          <w:rFonts w:ascii="Times New Roman" w:hAnsi="Times New Roman"/>
        </w:rPr>
        <w:t>推</w:t>
      </w:r>
      <w:r>
        <w:rPr>
          <w:rFonts w:hint="eastAsia" w:ascii="Times New Roman" w:hAnsi="Times New Roman"/>
        </w:rPr>
        <w:t>介</w:t>
      </w:r>
      <w:r>
        <w:rPr>
          <w:rFonts w:ascii="Times New Roman" w:hAnsi="Times New Roman"/>
        </w:rPr>
        <w:t>供应链创新与应用先进经验和典型案例。</w:t>
      </w:r>
      <w:r>
        <w:rPr>
          <w:rFonts w:hint="eastAsia" w:ascii="Times New Roman" w:hAnsi="Times New Roman"/>
        </w:rPr>
        <w:t>整合现有相关行业协会成立供应链协会，积极参加国家、省高峰论坛、资源对接、行业培训、项目推介等活动，营造推动供应链创新发展的良好氛围。</w:t>
      </w:r>
    </w:p>
    <w:p>
      <w:pPr>
        <w:spacing w:line="560" w:lineRule="exact"/>
        <w:contextualSpacing/>
        <w:rPr>
          <w:rFonts w:eastAsia="楷体_GB2312"/>
          <w:spacing w:val="20"/>
        </w:rPr>
      </w:pPr>
      <w:bookmarkStart w:id="1221" w:name="_Toc427919775"/>
      <w:bookmarkStart w:id="1222" w:name="_Toc427502337"/>
      <w:bookmarkStart w:id="1223" w:name="_Toc425083825"/>
    </w:p>
    <w:p>
      <w:pPr>
        <w:spacing w:line="560" w:lineRule="exact"/>
        <w:contextualSpacing/>
        <w:rPr>
          <w:rFonts w:eastAsia="楷体_GB2312"/>
          <w:spacing w:val="20"/>
        </w:rPr>
      </w:pPr>
    </w:p>
    <w:p>
      <w:pPr>
        <w:spacing w:line="560" w:lineRule="exact"/>
        <w:contextualSpacing/>
        <w:rPr>
          <w:rFonts w:eastAsia="楷体_GB2312"/>
          <w:spacing w:val="20"/>
        </w:rPr>
      </w:pPr>
    </w:p>
    <w:p>
      <w:pPr>
        <w:spacing w:line="560" w:lineRule="exact"/>
        <w:contextualSpacing/>
        <w:rPr>
          <w:rFonts w:eastAsia="楷体_GB2312"/>
          <w:spacing w:val="20"/>
        </w:rPr>
      </w:pPr>
    </w:p>
    <w:p>
      <w:pPr>
        <w:widowControl/>
        <w:jc w:val="left"/>
        <w:rPr>
          <w:rFonts w:eastAsia="方正小标宋简体" w:cs="方正小标宋简体"/>
          <w:sz w:val="54"/>
          <w:szCs w:val="54"/>
        </w:rPr>
      </w:pPr>
      <w:r>
        <w:rPr>
          <w:rFonts w:eastAsia="方正小标宋简体" w:cs="方正小标宋简体"/>
          <w:sz w:val="54"/>
          <w:szCs w:val="54"/>
        </w:rPr>
        <w:br w:type="page"/>
      </w:r>
    </w:p>
    <w:p>
      <w:pPr>
        <w:spacing w:line="560" w:lineRule="exact"/>
        <w:contextualSpacing/>
        <w:jc w:val="center"/>
        <w:rPr>
          <w:spacing w:val="-20"/>
        </w:rPr>
      </w:pPr>
      <w:r>
        <w:rPr>
          <w:rFonts w:hint="eastAsia" w:eastAsia="方正小标宋简体" w:cs="方正小标宋简体"/>
          <w:spacing w:val="-20"/>
          <w:sz w:val="44"/>
          <w:szCs w:val="44"/>
        </w:rPr>
        <w:t>南阳市“十四五”现代物流业发展规划</w:t>
      </w:r>
    </w:p>
    <w:bookmarkEnd w:id="1221"/>
    <w:p>
      <w:pPr>
        <w:spacing w:line="560" w:lineRule="exact"/>
        <w:contextualSpacing/>
        <w:jc w:val="center"/>
        <w:outlineLvl w:val="0"/>
        <w:rPr>
          <w:rFonts w:ascii="黑体" w:hAnsi="黑体" w:eastAsia="黑体" w:cs="黑体"/>
        </w:rPr>
      </w:pPr>
      <w:bookmarkStart w:id="1224" w:name="_Toc1425955949"/>
      <w:bookmarkStart w:id="1225" w:name="_Toc458374671"/>
      <w:bookmarkStart w:id="1226" w:name="_Toc425083829"/>
      <w:bookmarkStart w:id="1227" w:name="_Toc427919776"/>
      <w:bookmarkStart w:id="1228" w:name="_Toc427502341"/>
      <w:bookmarkStart w:id="1229" w:name="_Toc425666150"/>
      <w:bookmarkStart w:id="1230" w:name="_Toc276998374"/>
      <w:bookmarkStart w:id="1231" w:name="_Toc280523591"/>
    </w:p>
    <w:bookmarkEnd w:id="1224"/>
    <w:p>
      <w:pPr>
        <w:spacing w:line="560" w:lineRule="exact"/>
        <w:contextualSpacing/>
      </w:pPr>
    </w:p>
    <w:p>
      <w:pPr>
        <w:spacing w:line="560" w:lineRule="exact"/>
        <w:ind w:firstLine="640" w:firstLineChars="200"/>
        <w:contextualSpacing/>
      </w:pPr>
      <w:r>
        <w:rPr>
          <w:rFonts w:hint="eastAsia" w:ascii="仿宋_GB2312" w:hAnsi="仿宋_GB2312" w:cs="仿宋_GB2312"/>
        </w:rPr>
        <w:t>“十四五”是南阳全面开启社会主义现代化建设新征</w:t>
      </w:r>
      <w:r>
        <w:rPr>
          <w:rFonts w:hint="eastAsia" w:ascii="Times New Roman" w:hAnsi="Times New Roman"/>
        </w:rPr>
        <w:t>程的关键时期，是奋力打造河南省副中心城市的战略机遇期，也是南阳建设现代物流强市的重要跨越期。</w:t>
      </w:r>
      <w:r>
        <w:rPr>
          <w:rFonts w:hint="eastAsia"/>
        </w:rPr>
        <w:t>面对新发展形势和要求，</w:t>
      </w:r>
      <w:r>
        <w:rPr>
          <w:rFonts w:hint="eastAsia" w:ascii="Times New Roman" w:hAnsi="Times New Roman"/>
        </w:rPr>
        <w:t>立足新</w:t>
      </w:r>
      <w:r>
        <w:rPr>
          <w:rFonts w:hint="eastAsia"/>
        </w:rPr>
        <w:t>发展阶段，</w:t>
      </w:r>
      <w:r>
        <w:t>推动南阳现代物流业</w:t>
      </w:r>
      <w:r>
        <w:rPr>
          <w:rFonts w:hint="eastAsia"/>
        </w:rPr>
        <w:t>转型升级高质量发展，是贯彻落实省第十一次党代会、市第七次党代会精神的重要举措，对于推进综合交通优势向枢纽经济优势转变，加快融入和服务全国新发展格局，努力开创南阳现代物流发展新局面具有重要意义。根据党中央、国务院和省委、省政府相关决策部署，结合《国家物流枢纽布局和建设规划》《河南省“十四五”现代物流业发展规划》《南阳市国民经济和社会发展第十四个五年规划和二〇三五年远景目标纲要》等文件</w:t>
      </w:r>
      <w:r>
        <w:t>，制定本规划。</w:t>
      </w:r>
    </w:p>
    <w:p>
      <w:pPr>
        <w:spacing w:line="560" w:lineRule="exact"/>
        <w:contextualSpacing/>
        <w:jc w:val="center"/>
        <w:outlineLvl w:val="0"/>
        <w:rPr>
          <w:rFonts w:ascii="黑体" w:hAnsi="黑体" w:eastAsia="黑体" w:cs="黑体"/>
        </w:rPr>
      </w:pPr>
      <w:bookmarkStart w:id="1232" w:name="_Toc2125974763"/>
      <w:r>
        <w:rPr>
          <w:rFonts w:hint="eastAsia" w:ascii="黑体" w:hAnsi="黑体" w:eastAsia="黑体" w:cs="黑体"/>
        </w:rPr>
        <w:t>第一章 发展</w:t>
      </w:r>
      <w:bookmarkEnd w:id="1225"/>
      <w:bookmarkEnd w:id="1226"/>
      <w:bookmarkEnd w:id="1227"/>
      <w:bookmarkEnd w:id="1228"/>
      <w:bookmarkEnd w:id="1229"/>
      <w:r>
        <w:rPr>
          <w:rFonts w:hint="eastAsia" w:ascii="黑体" w:hAnsi="黑体" w:eastAsia="黑体" w:cs="黑体"/>
        </w:rPr>
        <w:t>基础与形势</w:t>
      </w:r>
      <w:bookmarkEnd w:id="1232"/>
    </w:p>
    <w:bookmarkEnd w:id="1230"/>
    <w:bookmarkEnd w:id="1231"/>
    <w:p>
      <w:pPr>
        <w:spacing w:line="560" w:lineRule="exact"/>
        <w:ind w:firstLine="640" w:firstLineChars="200"/>
        <w:contextualSpacing/>
      </w:pPr>
      <w:r>
        <w:rPr>
          <w:rFonts w:hint="eastAsia" w:ascii="仿宋_GB2312" w:hAnsi="仿宋_GB2312" w:cs="仿宋_GB2312"/>
        </w:rPr>
        <w:t>“十三五”以</w:t>
      </w:r>
      <w:r>
        <w:t>来，</w:t>
      </w:r>
      <w:r>
        <w:rPr>
          <w:rFonts w:hint="eastAsia"/>
        </w:rPr>
        <w:t>我市</w:t>
      </w:r>
      <w:r>
        <w:t>物流业</w:t>
      </w:r>
      <w:r>
        <w:rPr>
          <w:rFonts w:hint="eastAsia"/>
        </w:rPr>
        <w:t>总体</w:t>
      </w:r>
      <w:r>
        <w:t>发展势头良好</w:t>
      </w:r>
      <w:r>
        <w:rPr>
          <w:rFonts w:hint="eastAsia"/>
        </w:rPr>
        <w:t>，产业规模和发展水平持续提升，基础设施和网络体系不断完善，物流降本增效成效显著，</w:t>
      </w:r>
      <w:r>
        <w:t>对国民经济发展的推动作用逐步增强</w:t>
      </w:r>
      <w:r>
        <w:rPr>
          <w:rFonts w:hint="eastAsia"/>
        </w:rPr>
        <w:t>，已经成为支撑服务业快速发展的重要力量</w:t>
      </w:r>
      <w:r>
        <w:t>。</w:t>
      </w:r>
    </w:p>
    <w:p>
      <w:pPr>
        <w:spacing w:line="560" w:lineRule="exact"/>
        <w:contextualSpacing/>
        <w:jc w:val="center"/>
        <w:outlineLvl w:val="1"/>
        <w:rPr>
          <w:rFonts w:ascii="Times New Roman" w:hAnsi="Times New Roman" w:eastAsia="楷体_GB2312"/>
          <w:bCs/>
        </w:rPr>
      </w:pPr>
      <w:bookmarkStart w:id="1233" w:name="_Toc1988766009"/>
      <w:r>
        <w:rPr>
          <w:rFonts w:hint="eastAsia" w:ascii="Times New Roman" w:hAnsi="Times New Roman" w:eastAsia="楷体_GB2312"/>
          <w:bCs/>
        </w:rPr>
        <w:t>第一节 取得成效</w:t>
      </w:r>
      <w:bookmarkEnd w:id="1233"/>
    </w:p>
    <w:p>
      <w:pPr>
        <w:spacing w:line="560" w:lineRule="exact"/>
        <w:ind w:firstLine="640" w:firstLineChars="200"/>
        <w:contextualSpacing/>
        <w:rPr>
          <w:rFonts w:ascii="Times New Roman" w:hAnsi="Times New Roman"/>
        </w:rPr>
      </w:pPr>
      <w:r>
        <w:rPr>
          <w:rFonts w:hint="eastAsia" w:ascii="仿宋_GB2312" w:hAnsi="仿宋_GB2312" w:cs="仿宋_GB2312"/>
          <w:bCs/>
        </w:rPr>
        <w:t>1.行业规模持续扩大。</w:t>
      </w:r>
      <w:r>
        <w:rPr>
          <w:rFonts w:hint="eastAsia"/>
        </w:rPr>
        <w:t>截止“十三五”末，全市货物运输量15934.03万吨，货物周转量602.48亿吨公里，不考虑2020年疫情影响，2015-2019年，年均增速分别为9.51%、5.08%；全市邮政业务总量同比增长51%，快递业务总量1.84亿件，物流业总体规模扩大，发展速度提升。</w:t>
      </w:r>
    </w:p>
    <w:p>
      <w:pPr>
        <w:spacing w:line="560" w:lineRule="exact"/>
        <w:ind w:firstLine="640" w:firstLineChars="200"/>
        <w:contextualSpacing/>
      </w:pPr>
      <w:r>
        <w:rPr>
          <w:rFonts w:hint="eastAsia" w:ascii="仿宋_GB2312" w:hAnsi="仿宋_GB2312" w:cs="仿宋_GB2312"/>
          <w:bCs/>
        </w:rPr>
        <w:t>2.市场主体能级提升。</w:t>
      </w:r>
      <w:r>
        <w:rPr>
          <w:rFonts w:hint="eastAsia" w:ascii="仿宋_GB2312"/>
        </w:rPr>
        <w:t>截止</w:t>
      </w:r>
      <w:r>
        <w:rPr>
          <w:rFonts w:hint="eastAsia"/>
        </w:rPr>
        <w:t>“十三五”</w:t>
      </w:r>
      <w:r>
        <w:rPr>
          <w:rFonts w:hint="eastAsia" w:ascii="仿宋_GB2312"/>
        </w:rPr>
        <w:t>末，</w:t>
      </w:r>
      <w:r>
        <w:rPr>
          <w:rFonts w:hint="eastAsia"/>
        </w:rPr>
        <w:t>全市登记注册的物流企业总数量8363家，</w:t>
      </w:r>
      <w:r>
        <w:rPr>
          <w:rFonts w:hint="eastAsia" w:ascii="仿宋_GB2312"/>
        </w:rPr>
        <w:t>经中国物流与采购联合会认定的</w:t>
      </w:r>
      <w:r>
        <w:rPr>
          <w:rFonts w:hint="eastAsia"/>
        </w:rPr>
        <w:t>2A级及以上</w:t>
      </w:r>
      <w:r>
        <w:rPr>
          <w:rFonts w:hint="eastAsia" w:ascii="仿宋_GB2312"/>
        </w:rPr>
        <w:t>物流企业共计</w:t>
      </w:r>
      <w:r>
        <w:rPr>
          <w:rFonts w:hint="eastAsia" w:ascii="Times New Roman" w:hAnsi="Times New Roman"/>
        </w:rPr>
        <w:t>10</w:t>
      </w:r>
      <w:r>
        <w:rPr>
          <w:rFonts w:hint="eastAsia" w:ascii="仿宋_GB2312"/>
        </w:rPr>
        <w:t>家</w:t>
      </w:r>
      <w:r>
        <w:rPr>
          <w:rFonts w:hint="eastAsia"/>
        </w:rPr>
        <w:t>；评为省级物流示范园区的企业4家，拥有品牌快递企业19家，市场主体总量扩大，能级提升。</w:t>
      </w:r>
    </w:p>
    <w:p>
      <w:pPr>
        <w:spacing w:line="560" w:lineRule="exact"/>
        <w:ind w:firstLine="640" w:firstLineChars="200"/>
        <w:contextualSpacing/>
      </w:pPr>
      <w:r>
        <w:rPr>
          <w:rFonts w:hint="eastAsia" w:ascii="仿宋_GB2312" w:hAnsi="仿宋_GB2312" w:cs="仿宋_GB2312"/>
          <w:bCs/>
        </w:rPr>
        <w:t>3.基础设施不断改善。</w:t>
      </w:r>
      <w:r>
        <w:rPr>
          <w:rFonts w:hint="eastAsia"/>
        </w:rPr>
        <w:t>郑渝高铁河南段开通运营，南阳与郑州铁路枢纽全面对接，融入郑州“1小时高铁圈”，浩吉铁路、宁西铁路二线工程、周南高速建成通车，机场迁建、唐河复航、方唐高速、渑淅高速、郑西高速等重大工程有序推进。“十三五”末，全市高速公路通车里程达794公里，居全省第一位；空中交通优势凸显，南阳机场</w:t>
      </w:r>
      <w:r>
        <w:rPr>
          <w:rFonts w:hint="eastAsia" w:ascii="Times New Roman" w:hAnsi="Times New Roman"/>
        </w:rPr>
        <w:t>通航城市达到26个，</w:t>
      </w:r>
      <w:r>
        <w:rPr>
          <w:rFonts w:hint="eastAsia"/>
        </w:rPr>
        <w:t>为航空物流发展奠定良好基础。</w:t>
      </w:r>
    </w:p>
    <w:p>
      <w:pPr>
        <w:spacing w:line="560" w:lineRule="exact"/>
        <w:ind w:firstLine="640" w:firstLineChars="200"/>
        <w:contextualSpacing/>
        <w:rPr>
          <w:rFonts w:ascii="宋体" w:hAnsi="宋体" w:eastAsia="宋体" w:cs="宋体"/>
          <w:bCs/>
          <w:sz w:val="28"/>
          <w:szCs w:val="28"/>
          <w:lang w:bidi="zh-CN"/>
        </w:rPr>
      </w:pPr>
      <w:r>
        <w:rPr>
          <w:rFonts w:hint="eastAsia" w:ascii="仿宋_GB2312" w:hAnsi="仿宋_GB2312" w:cs="仿宋_GB2312"/>
          <w:bCs/>
        </w:rPr>
        <w:t>4.网络体系日益健全。</w:t>
      </w:r>
      <w:r>
        <w:rPr>
          <w:rFonts w:hint="eastAsia"/>
        </w:rPr>
        <w:t>成功列入国家商贸服务型物流枢纽承载城市、国家二级物流园区布局城市。</w:t>
      </w:r>
      <w:r>
        <w:rPr>
          <w:rFonts w:hint="eastAsia" w:ascii="Times New Roman" w:hAnsi="Times New Roman"/>
        </w:rPr>
        <w:t>东森医药物流中心、溧河物流园、宛美物流园、中商农产品批发市场、国药控股医药配送中心、海派物流园、诚远物流基地等一批重点物流园区投入运营，覆盖县、乡、村三级</w:t>
      </w:r>
      <w:r>
        <w:rPr>
          <w:rFonts w:hint="eastAsia"/>
        </w:rPr>
        <w:t>物流网络逐渐健全，全市资源共享、信息互通、便利高效的现代物流体系不断</w:t>
      </w:r>
      <w:bookmarkStart w:id="1234" w:name="_Toc427919778"/>
      <w:r>
        <w:rPr>
          <w:rFonts w:hint="eastAsia"/>
        </w:rPr>
        <w:t>完善。</w:t>
      </w:r>
      <w:r>
        <w:rPr>
          <w:rFonts w:hint="eastAsia" w:ascii="宋体" w:hAnsi="宋体" w:eastAsia="宋体" w:cs="宋体"/>
          <w:bCs/>
          <w:sz w:val="28"/>
          <w:szCs w:val="28"/>
          <w:lang w:bidi="zh-CN"/>
        </w:rPr>
        <w:t xml:space="preserve">     </w:t>
      </w:r>
    </w:p>
    <w:p>
      <w:pPr>
        <w:spacing w:line="560" w:lineRule="exact"/>
        <w:contextualSpacing/>
        <w:jc w:val="center"/>
        <w:outlineLvl w:val="1"/>
        <w:rPr>
          <w:rFonts w:ascii="Times New Roman" w:hAnsi="Times New Roman" w:eastAsia="楷体_GB2312"/>
          <w:bCs/>
        </w:rPr>
      </w:pPr>
      <w:bookmarkStart w:id="1235" w:name="_Toc1423585"/>
      <w:r>
        <w:rPr>
          <w:rFonts w:hint="eastAsia" w:ascii="Times New Roman" w:hAnsi="Times New Roman" w:eastAsia="楷体_GB2312"/>
          <w:bCs/>
        </w:rPr>
        <w:t>第二节 存在问题</w:t>
      </w:r>
      <w:bookmarkEnd w:id="1234"/>
      <w:bookmarkEnd w:id="1235"/>
    </w:p>
    <w:p>
      <w:pPr>
        <w:spacing w:line="560" w:lineRule="exact"/>
        <w:ind w:firstLine="640" w:firstLineChars="200"/>
        <w:contextualSpacing/>
      </w:pPr>
      <w:r>
        <w:rPr>
          <w:rFonts w:hint="eastAsia"/>
        </w:rPr>
        <w:t>我市物流业发展虽已取得显著成效，但与先进地区相比，在高质量发展方面仍有较大差距：</w:t>
      </w:r>
      <w:r>
        <w:rPr>
          <w:rFonts w:hint="eastAsia"/>
          <w:bCs/>
        </w:rPr>
        <w:t>一是物流降本增效仍需加强。</w:t>
      </w:r>
      <w:r>
        <w:rPr>
          <w:rFonts w:hint="eastAsia" w:ascii="Times New Roman" w:hAnsi="Times New Roman"/>
        </w:rPr>
        <w:t>与全省、全国社会物流总费用的平均水平相比，我市物流成本仍有较大下降空间，运输结构不尽合理，公路运输占比过高，铁路与水运在综合交通运输中的优势未得到充分发挥，公铁空水不同运输方式间协调不足、衔接不畅。</w:t>
      </w:r>
      <w:r>
        <w:rPr>
          <w:rFonts w:hint="eastAsia"/>
          <w:bCs/>
        </w:rPr>
        <w:t>二是物流企业整体实力不强。</w:t>
      </w:r>
      <w:r>
        <w:rPr>
          <w:rFonts w:hint="eastAsia"/>
        </w:rPr>
        <w:t>全市登记注册资本千万元以上物流企业仅占市场主体的4%，2A级以上物流企业占全市物流企业数量比例不足千分之五，缺少具有行业整合能力和辐射带动能力的龙头企业和“链主”企业，经营管理模式粗放，业务同质化现象严重，整体服务水平和创新能力较弱。</w:t>
      </w:r>
      <w:r>
        <w:rPr>
          <w:rFonts w:hint="eastAsia" w:ascii="Times New Roman" w:hAnsi="Times New Roman"/>
          <w:bCs/>
        </w:rPr>
        <w:t>三是</w:t>
      </w:r>
      <w:r>
        <w:rPr>
          <w:rFonts w:hint="eastAsia"/>
          <w:bCs/>
        </w:rPr>
        <w:t>物流现代化水平不高。</w:t>
      </w:r>
      <w:r>
        <w:rPr>
          <w:rFonts w:hint="eastAsia" w:ascii="Times New Roman" w:hAnsi="Times New Roman"/>
        </w:rPr>
        <w:t>物流设施设备智能化、自动化程度不高，</w:t>
      </w:r>
      <w:r>
        <w:rPr>
          <w:rFonts w:hint="eastAsia"/>
        </w:rPr>
        <w:t>物流信息系统、电子数据交换技术和货物跟踪系统等现代物流技术尚未广泛应用，</w:t>
      </w:r>
      <w:r>
        <w:rPr>
          <w:rFonts w:hint="eastAsia" w:ascii="Times New Roman" w:hAnsi="Times New Roman"/>
        </w:rPr>
        <w:t>“信息孤岛”问题突出，行业</w:t>
      </w:r>
      <w:r>
        <w:rPr>
          <w:rFonts w:hint="eastAsia"/>
        </w:rPr>
        <w:t>标准化程度不高，物流连接生产与消费的供应链效应未能有效发挥，对运行效率提升带来较大阻梗。</w:t>
      </w:r>
      <w:r>
        <w:rPr>
          <w:rFonts w:hint="eastAsia"/>
          <w:bCs/>
        </w:rPr>
        <w:t>四是设施建设统筹不足。</w:t>
      </w:r>
      <w:r>
        <w:rPr>
          <w:rFonts w:hint="eastAsia"/>
        </w:rPr>
        <w:t>综合性枢纽、大型现代化仓储转运、城乡物流通道、末端配送等基础设施总量不足、布局不优、衔接不强，“干、支、末”物流网络体系有待完善调优。</w:t>
      </w:r>
      <w:r>
        <w:rPr>
          <w:rFonts w:hint="eastAsia"/>
          <w:bCs/>
        </w:rPr>
        <w:t>五是物流与产业缺乏联动。</w:t>
      </w:r>
      <w:r>
        <w:rPr>
          <w:rFonts w:hint="eastAsia"/>
        </w:rPr>
        <w:t>高效协同的物流供应链服务体系尚未形成，与三次产业融合发展程度不高，流通加工、信息服务、库存管理、金融服务等增值业务开展较为滞后，物流跨行业、跨区域资源整合能力亟待加强。</w:t>
      </w:r>
      <w:r>
        <w:rPr>
          <w:rFonts w:hint="eastAsia"/>
          <w:bCs/>
        </w:rPr>
        <w:t>六是物流发展环境有待改善。</w:t>
      </w:r>
      <w:r>
        <w:rPr>
          <w:rFonts w:hint="eastAsia"/>
        </w:rPr>
        <w:t>货运车辆进城难，车辆停靠难、项目“用地难”现象较为突出，市场监管存在多部门交叉重合现象，管理体制机制障碍亟待破除，统一规划和政策体系尚未形成有效合力。</w:t>
      </w:r>
    </w:p>
    <w:p>
      <w:pPr>
        <w:spacing w:line="560" w:lineRule="exact"/>
        <w:contextualSpacing/>
        <w:jc w:val="center"/>
        <w:outlineLvl w:val="1"/>
        <w:rPr>
          <w:rFonts w:ascii="Times New Roman" w:hAnsi="Times New Roman" w:eastAsia="楷体_GB2312"/>
          <w:bCs/>
        </w:rPr>
      </w:pPr>
      <w:bookmarkStart w:id="1236" w:name="_Toc413546141"/>
      <w:bookmarkStart w:id="1237" w:name="_Toc425083833"/>
      <w:bookmarkStart w:id="1238" w:name="_Toc427502345"/>
      <w:bookmarkStart w:id="1239" w:name="_Toc427919781"/>
      <w:bookmarkStart w:id="1240" w:name="_Toc425666154"/>
      <w:r>
        <w:rPr>
          <w:rFonts w:hint="eastAsia" w:ascii="Times New Roman" w:hAnsi="Times New Roman" w:eastAsia="楷体_GB2312"/>
          <w:bCs/>
        </w:rPr>
        <w:t>第三节 发展机遇</w:t>
      </w:r>
      <w:bookmarkEnd w:id="1236"/>
    </w:p>
    <w:p>
      <w:pPr>
        <w:spacing w:line="560" w:lineRule="exact"/>
        <w:ind w:firstLine="640" w:firstLineChars="200"/>
        <w:contextualSpacing/>
      </w:pPr>
      <w:r>
        <w:rPr>
          <w:rFonts w:hint="eastAsia"/>
        </w:rPr>
        <w:t>当前和未来一个时期，南阳现代物流业发展处于重要战略机遇期。</w:t>
      </w:r>
      <w:bookmarkEnd w:id="1237"/>
      <w:bookmarkEnd w:id="1238"/>
      <w:bookmarkEnd w:id="1239"/>
      <w:bookmarkEnd w:id="1240"/>
      <w:r>
        <w:rPr>
          <w:rFonts w:hint="eastAsia"/>
          <w:bCs/>
        </w:rPr>
        <w:t>一是</w:t>
      </w:r>
      <w:r>
        <w:rPr>
          <w:rFonts w:hint="eastAsia" w:ascii="Times New Roman" w:hAnsi="Times New Roman"/>
          <w:bCs/>
        </w:rPr>
        <w:t>多重国家战略叠加实施带来的历史新机遇。</w:t>
      </w:r>
      <w:r>
        <w:t>国家先后提出</w:t>
      </w:r>
      <w:r>
        <w:rPr>
          <w:rFonts w:hint="eastAsia"/>
        </w:rPr>
        <w:t>“</w:t>
      </w:r>
      <w:r>
        <w:t>一带一路</w:t>
      </w:r>
      <w:r>
        <w:rPr>
          <w:rFonts w:hint="eastAsia"/>
        </w:rPr>
        <w:t>”</w:t>
      </w:r>
      <w:r>
        <w:t>、</w:t>
      </w:r>
      <w:r>
        <w:rPr>
          <w:rFonts w:hint="eastAsia" w:ascii="Times New Roman" w:hAnsi="Times New Roman"/>
        </w:rPr>
        <w:t>黄河流域生态保护和高质量发展、</w:t>
      </w:r>
      <w:r>
        <w:rPr>
          <w:rFonts w:hint="eastAsia"/>
        </w:rPr>
        <w:t>汉江生态经济带、淮河生态经济带以及大别山革命老区振兴、</w:t>
      </w:r>
      <w:r>
        <w:rPr>
          <w:rFonts w:hint="eastAsia" w:ascii="Times New Roman" w:hAnsi="Times New Roman"/>
        </w:rPr>
        <w:t>京宛对口协作等重大国家战略和区域发展战略，勾勒出未来一个时期区</w:t>
      </w:r>
      <w:r>
        <w:t>域发展的新格局。</w:t>
      </w:r>
      <w:r>
        <w:rPr>
          <w:rFonts w:hint="eastAsia"/>
        </w:rPr>
        <w:t>我市利用</w:t>
      </w:r>
      <w:r>
        <w:t>区位交通、</w:t>
      </w:r>
      <w:r>
        <w:rPr>
          <w:rFonts w:hint="eastAsia"/>
        </w:rPr>
        <w:t>大规模人口、内需</w:t>
      </w:r>
      <w:r>
        <w:t>市场等综合优势，</w:t>
      </w:r>
      <w:r>
        <w:rPr>
          <w:rFonts w:hint="eastAsia"/>
        </w:rPr>
        <w:t>加强区域合作，建设承东启西、连南贯北的物流枢纽。</w:t>
      </w:r>
      <w:r>
        <w:rPr>
          <w:rFonts w:hint="eastAsia"/>
          <w:bCs/>
        </w:rPr>
        <w:t>二是</w:t>
      </w:r>
      <w:r>
        <w:rPr>
          <w:rFonts w:hint="eastAsia" w:ascii="Times New Roman" w:hAnsi="Times New Roman"/>
          <w:bCs/>
        </w:rPr>
        <w:t>我市列为国家商贸服务型物流枢纽承载城市的机遇。</w:t>
      </w:r>
      <w:r>
        <w:t>《</w:t>
      </w:r>
      <w:r>
        <w:rPr>
          <w:rFonts w:hint="eastAsia"/>
        </w:rPr>
        <w:t>国家物流枢纽布局和建设规划</w:t>
      </w:r>
      <w:r>
        <w:t>》确定南阳</w:t>
      </w:r>
      <w:r>
        <w:rPr>
          <w:rFonts w:hint="eastAsia"/>
        </w:rPr>
        <w:t>为商贸服务型物流枢纽承载城市，</w:t>
      </w:r>
      <w:r>
        <w:t>《全国物流园区发展规划》确定南阳为二级物流园区布局城市</w:t>
      </w:r>
      <w:r>
        <w:rPr>
          <w:rFonts w:hint="eastAsia"/>
        </w:rPr>
        <w:t>，</w:t>
      </w:r>
      <w:r>
        <w:t>《全国流通节点城市布局规划》确定南阳为区域级流通节点城市。依托国家</w:t>
      </w:r>
      <w:r>
        <w:rPr>
          <w:rFonts w:hint="eastAsia"/>
        </w:rPr>
        <w:t>级物流枢纽承载城市、</w:t>
      </w:r>
      <w:r>
        <w:t>区域流通节点城市的政策机遇，南阳建设</w:t>
      </w:r>
      <w:r>
        <w:rPr>
          <w:rFonts w:hint="eastAsia"/>
        </w:rPr>
        <w:t>国家</w:t>
      </w:r>
      <w:r>
        <w:t>物流</w:t>
      </w:r>
      <w:r>
        <w:rPr>
          <w:rFonts w:hint="eastAsia"/>
        </w:rPr>
        <w:t>枢纽具有坚实支撑和难得机遇</w:t>
      </w:r>
      <w:r>
        <w:t>。</w:t>
      </w:r>
      <w:r>
        <w:rPr>
          <w:rFonts w:hint="eastAsia"/>
          <w:bCs/>
        </w:rPr>
        <w:t>三是</w:t>
      </w:r>
      <w:r>
        <w:rPr>
          <w:rFonts w:hint="eastAsia" w:ascii="Times New Roman" w:hAnsi="Times New Roman"/>
          <w:bCs/>
        </w:rPr>
        <w:t>日趋完善的综合交通体系带来的机遇。</w:t>
      </w:r>
      <w:r>
        <w:rPr>
          <w:rFonts w:hint="eastAsia"/>
        </w:rPr>
        <w:t>我市</w:t>
      </w:r>
      <w:r>
        <w:t>加快构建航空、铁路、公路、</w:t>
      </w:r>
      <w:r>
        <w:rPr>
          <w:rFonts w:hint="eastAsia"/>
        </w:rPr>
        <w:t>水</w:t>
      </w:r>
      <w:r>
        <w:t>运</w:t>
      </w:r>
      <w:r>
        <w:rPr>
          <w:rFonts w:hint="eastAsia"/>
        </w:rPr>
        <w:t>综合</w:t>
      </w:r>
      <w:r>
        <w:t>立体交通网络，</w:t>
      </w:r>
      <w:r>
        <w:rPr>
          <w:rFonts w:hint="eastAsia"/>
        </w:rPr>
        <w:t>机场迁建纳入国家民航“十四五”发展规划，集人流、物流于一体的临空经济区建设正在加</w:t>
      </w:r>
      <w:r>
        <w:rPr>
          <w:rFonts w:hint="eastAsia" w:ascii="Times New Roman" w:hAnsi="Times New Roman"/>
        </w:rPr>
        <w:t>快谋划和推进，郑万高铁、浩吉铁路建成通车，郑西、渑淅等高速即将建成投入使用，唐河复航工程启动实施，白河航运工程和城区港口码头谋划推进步伐加快，综合完善的立体交通体系将为南阳发展大物流、服务融入双循环格局提供有力支撑。</w:t>
      </w:r>
      <w:r>
        <w:rPr>
          <w:rFonts w:hint="eastAsia"/>
          <w:bCs/>
        </w:rPr>
        <w:t>四是</w:t>
      </w:r>
      <w:r>
        <w:rPr>
          <w:rFonts w:hint="eastAsia" w:ascii="Times New Roman" w:hAnsi="Times New Roman"/>
          <w:bCs/>
        </w:rPr>
        <w:t>良好的内外部政策环境带来的机遇。</w:t>
      </w:r>
      <w:r>
        <w:rPr>
          <w:rFonts w:hint="eastAsia" w:ascii="Times New Roman" w:hAnsi="Times New Roman"/>
        </w:rPr>
        <w:t>习近平总书记亲临南阳视察指导的巨大政治关怀，</w:t>
      </w:r>
      <w:r>
        <w:t>《</w:t>
      </w:r>
      <w:r>
        <w:rPr>
          <w:rFonts w:hint="eastAsia"/>
        </w:rPr>
        <w:t>国家物流枢纽布局和建设规划</w:t>
      </w:r>
      <w:r>
        <w:t>》</w:t>
      </w:r>
      <w:r>
        <w:rPr>
          <w:rFonts w:hint="eastAsia"/>
        </w:rPr>
        <w:t>《河南省现代物流运行体系布局和建设实施方案》</w:t>
      </w:r>
      <w:r>
        <w:t>等</w:t>
      </w:r>
      <w:r>
        <w:rPr>
          <w:rFonts w:hint="eastAsia" w:ascii="Times New Roman" w:hAnsi="Times New Roman"/>
        </w:rPr>
        <w:t>国家、省级一系列重大规划和战略布局向南阳蓄势汇集，河南省第十一次党代会提出支持南阳建设河南省副中心城市，</w:t>
      </w:r>
      <w:r>
        <w:t>为</w:t>
      </w:r>
      <w:r>
        <w:rPr>
          <w:rFonts w:hint="eastAsia"/>
        </w:rPr>
        <w:t>我市</w:t>
      </w:r>
      <w:r>
        <w:t>物流业</w:t>
      </w:r>
      <w:r>
        <w:rPr>
          <w:rFonts w:hint="eastAsia"/>
        </w:rPr>
        <w:t>转型升级高质量发展</w:t>
      </w:r>
      <w:r>
        <w:t>创造了良好的政策环境。</w:t>
      </w:r>
    </w:p>
    <w:p>
      <w:pPr>
        <w:spacing w:line="560" w:lineRule="exact"/>
        <w:contextualSpacing/>
        <w:jc w:val="center"/>
        <w:outlineLvl w:val="1"/>
        <w:rPr>
          <w:rFonts w:ascii="Times New Roman" w:hAnsi="Times New Roman" w:eastAsia="楷体_GB2312"/>
          <w:bCs/>
        </w:rPr>
      </w:pPr>
      <w:bookmarkStart w:id="1241" w:name="_Toc427919782"/>
      <w:bookmarkStart w:id="1242" w:name="_Toc1705505718"/>
      <w:r>
        <w:rPr>
          <w:rFonts w:hint="eastAsia" w:ascii="Times New Roman" w:hAnsi="Times New Roman" w:eastAsia="楷体_GB2312"/>
          <w:bCs/>
        </w:rPr>
        <w:t>第四节 面临挑战</w:t>
      </w:r>
      <w:bookmarkEnd w:id="1241"/>
      <w:bookmarkEnd w:id="1242"/>
    </w:p>
    <w:p>
      <w:pPr>
        <w:adjustRightInd w:val="0"/>
        <w:spacing w:line="560" w:lineRule="exact"/>
        <w:ind w:firstLine="640" w:firstLineChars="200"/>
        <w:contextualSpacing/>
      </w:pPr>
      <w:r>
        <w:rPr>
          <w:rFonts w:hint="eastAsia"/>
        </w:rPr>
        <w:t>在面临新机遇的同时，我市物流业提质升级也面临诸多挑战。</w:t>
      </w:r>
      <w:r>
        <w:rPr>
          <w:rFonts w:hint="eastAsia"/>
          <w:bCs/>
        </w:rPr>
        <w:t>一是</w:t>
      </w:r>
      <w:r>
        <w:rPr>
          <w:rFonts w:hint="eastAsia" w:ascii="Times New Roman" w:hAnsi="Times New Roman"/>
          <w:bCs/>
        </w:rPr>
        <w:t>物流业总体发展水平亟待提高。</w:t>
      </w:r>
      <w:r>
        <w:t>总体上看，南阳物流业尚处于起步阶段，条块分割严重，行业体系不健全，市场秩序</w:t>
      </w:r>
      <w:r>
        <w:rPr>
          <w:rFonts w:hint="eastAsia"/>
        </w:rPr>
        <w:t>较为</w:t>
      </w:r>
      <w:r>
        <w:t>混乱。物流企业经营模式、服务质量和</w:t>
      </w:r>
      <w:r>
        <w:rPr>
          <w:rFonts w:hint="eastAsia"/>
        </w:rPr>
        <w:t>管理</w:t>
      </w:r>
      <w:r>
        <w:t>效率难以满足社会化物流</w:t>
      </w:r>
      <w:r>
        <w:rPr>
          <w:rFonts w:hint="eastAsia"/>
        </w:rPr>
        <w:t>的</w:t>
      </w:r>
      <w:r>
        <w:t>需要</w:t>
      </w:r>
      <w:r>
        <w:rPr>
          <w:rFonts w:hint="eastAsia"/>
        </w:rPr>
        <w:t>，与新发展阶段和新发展格局要求仍有较大差距。</w:t>
      </w:r>
      <w:r>
        <w:rPr>
          <w:rFonts w:hint="eastAsia"/>
          <w:bCs/>
        </w:rPr>
        <w:t>二是</w:t>
      </w:r>
      <w:r>
        <w:rPr>
          <w:rFonts w:hint="eastAsia" w:ascii="Times New Roman" w:hAnsi="Times New Roman"/>
          <w:bCs/>
        </w:rPr>
        <w:t>物流业新兴业态发展缓慢。</w:t>
      </w:r>
      <w:r>
        <w:t>受传统观念制约和信任机制缺失的影响，大多数企业习惯</w:t>
      </w:r>
      <w:r>
        <w:rPr>
          <w:rFonts w:hint="eastAsia" w:ascii="仿宋_GB2312" w:hAnsi="仿宋_GB2312" w:cs="仿宋_GB2312"/>
        </w:rPr>
        <w:t>于“大而全”“小而全”的生</w:t>
      </w:r>
      <w:r>
        <w:t>产经营模式，物流龙头企业</w:t>
      </w:r>
      <w:r>
        <w:rPr>
          <w:rFonts w:hint="eastAsia"/>
        </w:rPr>
        <w:t>缺乏，物流新技术及连锁经营、供应链管理</w:t>
      </w:r>
      <w:r>
        <w:t>等</w:t>
      </w:r>
      <w:r>
        <w:rPr>
          <w:rFonts w:hint="eastAsia"/>
        </w:rPr>
        <w:t>行业新模式</w:t>
      </w:r>
      <w:r>
        <w:t>发展</w:t>
      </w:r>
      <w:r>
        <w:rPr>
          <w:rFonts w:hint="eastAsia"/>
        </w:rPr>
        <w:t>滞后</w:t>
      </w:r>
      <w:r>
        <w:t>，</w:t>
      </w:r>
      <w:r>
        <w:rPr>
          <w:rFonts w:hint="eastAsia"/>
        </w:rPr>
        <w:t>在降本增效、改革创新、产业融合等方面仍需大力培育新动能</w:t>
      </w:r>
      <w:r>
        <w:t>。</w:t>
      </w:r>
      <w:r>
        <w:rPr>
          <w:rFonts w:hint="eastAsia"/>
          <w:bCs/>
        </w:rPr>
        <w:t>三是</w:t>
      </w:r>
      <w:r>
        <w:rPr>
          <w:rFonts w:hint="eastAsia" w:ascii="Times New Roman" w:hAnsi="Times New Roman"/>
          <w:bCs/>
        </w:rPr>
        <w:t>区域竞争日趋激烈。</w:t>
      </w:r>
      <w:r>
        <w:t>郑州、武汉、西安</w:t>
      </w:r>
      <w:r>
        <w:rPr>
          <w:rFonts w:hint="eastAsia"/>
        </w:rPr>
        <w:t>等城市</w:t>
      </w:r>
      <w:r>
        <w:t>虹吸效应日趋明显，临近的襄阳致力于打造区域物流中心，相继出台了一系列政策措施，对周边地区的辐射影响力不断增强，</w:t>
      </w:r>
      <w:r>
        <w:rPr>
          <w:rFonts w:hint="eastAsia"/>
        </w:rPr>
        <w:t>对我市提升发展现代物流业带来较大挑战</w:t>
      </w:r>
      <w:r>
        <w:t>。</w:t>
      </w:r>
      <w:bookmarkStart w:id="1243" w:name="_Toc458374673"/>
    </w:p>
    <w:bookmarkEnd w:id="1243"/>
    <w:p>
      <w:pPr>
        <w:spacing w:line="560" w:lineRule="exact"/>
        <w:contextualSpacing/>
        <w:jc w:val="center"/>
        <w:outlineLvl w:val="1"/>
        <w:rPr>
          <w:rFonts w:ascii="Times New Roman" w:hAnsi="Times New Roman" w:eastAsia="楷体_GB2312"/>
          <w:bCs/>
        </w:rPr>
      </w:pPr>
      <w:bookmarkStart w:id="1244" w:name="_Toc1416205718"/>
      <w:r>
        <w:rPr>
          <w:rFonts w:hint="eastAsia" w:ascii="Times New Roman" w:hAnsi="Times New Roman" w:eastAsia="楷体_GB2312"/>
          <w:bCs/>
        </w:rPr>
        <w:t>第五节 综合研判</w:t>
      </w:r>
      <w:bookmarkEnd w:id="1244"/>
    </w:p>
    <w:p>
      <w:pPr>
        <w:adjustRightInd w:val="0"/>
        <w:spacing w:line="560" w:lineRule="exact"/>
        <w:ind w:firstLine="640" w:firstLineChars="200"/>
        <w:contextualSpacing/>
      </w:pPr>
      <w:r>
        <w:rPr>
          <w:rFonts w:hint="eastAsia"/>
        </w:rPr>
        <w:t>根据我市现代物流业发展现状以及面临的机遇挑战，结合国内外现代物流业发展趋势，对我市发展现代物流业作出以下判断：</w:t>
      </w:r>
      <w:r>
        <w:rPr>
          <w:rFonts w:hint="eastAsia" w:ascii="Times New Roman" w:hAnsi="Times New Roman"/>
          <w:bCs/>
        </w:rPr>
        <w:t>一是必须从战略高度认识加快现代物流业发展的重要意义。</w:t>
      </w:r>
      <w:r>
        <w:rPr>
          <w:rFonts w:ascii="仿宋_GB2312"/>
        </w:rPr>
        <w:t>把区位、交通、</w:t>
      </w:r>
      <w:r>
        <w:rPr>
          <w:rFonts w:hint="eastAsia" w:ascii="仿宋_GB2312"/>
        </w:rPr>
        <w:t>人口规模、产业特色等</w:t>
      </w:r>
      <w:r>
        <w:rPr>
          <w:rFonts w:ascii="仿宋_GB2312"/>
        </w:rPr>
        <w:t>优势转化为</w:t>
      </w:r>
      <w:r>
        <w:rPr>
          <w:rFonts w:hint="eastAsia" w:ascii="仿宋_GB2312"/>
        </w:rPr>
        <w:t>打造区域现代</w:t>
      </w:r>
      <w:r>
        <w:rPr>
          <w:rFonts w:ascii="仿宋_GB2312"/>
        </w:rPr>
        <w:t>物流</w:t>
      </w:r>
      <w:r>
        <w:rPr>
          <w:rFonts w:hint="eastAsia" w:ascii="仿宋_GB2312"/>
        </w:rPr>
        <w:t>枢纽的</w:t>
      </w:r>
      <w:r>
        <w:rPr>
          <w:rFonts w:ascii="仿宋_GB2312"/>
        </w:rPr>
        <w:t>优势，</w:t>
      </w:r>
      <w:r>
        <w:rPr>
          <w:rFonts w:hint="eastAsia" w:ascii="仿宋_GB2312"/>
        </w:rPr>
        <w:t>将</w:t>
      </w:r>
      <w:r>
        <w:rPr>
          <w:rFonts w:ascii="仿宋_GB2312"/>
        </w:rPr>
        <w:t>现代物流业</w:t>
      </w:r>
      <w:r>
        <w:rPr>
          <w:rFonts w:hint="eastAsia" w:ascii="仿宋_GB2312"/>
        </w:rPr>
        <w:t>发展</w:t>
      </w:r>
      <w:r>
        <w:rPr>
          <w:rFonts w:ascii="仿宋_GB2312"/>
        </w:rPr>
        <w:t>成</w:t>
      </w:r>
      <w:r>
        <w:rPr>
          <w:rFonts w:hint="eastAsia" w:ascii="仿宋_GB2312"/>
        </w:rPr>
        <w:t>南阳</w:t>
      </w:r>
      <w:r>
        <w:rPr>
          <w:rFonts w:ascii="仿宋_GB2312"/>
        </w:rPr>
        <w:t>国民经济</w:t>
      </w:r>
      <w:r>
        <w:rPr>
          <w:rFonts w:hint="eastAsia" w:ascii="仿宋_GB2312"/>
        </w:rPr>
        <w:t>和</w:t>
      </w:r>
      <w:r>
        <w:rPr>
          <w:rFonts w:ascii="仿宋_GB2312"/>
        </w:rPr>
        <w:t>社会发展</w:t>
      </w:r>
      <w:r>
        <w:rPr>
          <w:rFonts w:hint="eastAsia" w:ascii="仿宋_GB2312"/>
        </w:rPr>
        <w:t>的</w:t>
      </w:r>
      <w:r>
        <w:rPr>
          <w:rFonts w:ascii="仿宋_GB2312"/>
        </w:rPr>
        <w:t>重要支柱产业</w:t>
      </w:r>
      <w:r>
        <w:rPr>
          <w:rFonts w:hint="eastAsia" w:ascii="仿宋_GB2312"/>
        </w:rPr>
        <w:t>，培育和塑造枢纽经济新优势</w:t>
      </w:r>
      <w:r>
        <w:rPr>
          <w:rFonts w:ascii="仿宋_GB2312"/>
        </w:rPr>
        <w:t>。</w:t>
      </w:r>
      <w:r>
        <w:rPr>
          <w:rFonts w:hint="eastAsia" w:ascii="Times New Roman" w:hAnsi="Times New Roman"/>
          <w:bCs/>
        </w:rPr>
        <w:t>二是必须抢抓机遇加快现代物流业转型升级。</w:t>
      </w:r>
      <w:r>
        <w:rPr>
          <w:rFonts w:hint="eastAsia" w:ascii="Times New Roman" w:hAnsi="Times New Roman"/>
        </w:rPr>
        <w:t>牢牢把握和积极承担</w:t>
      </w:r>
      <w:r>
        <w:rPr>
          <w:rFonts w:hint="eastAsia"/>
        </w:rPr>
        <w:t>国家、河南省赋予</w:t>
      </w:r>
      <w:r>
        <w:t>南阳</w:t>
      </w:r>
      <w:r>
        <w:rPr>
          <w:rFonts w:hint="eastAsia"/>
        </w:rPr>
        <w:t>物流业发展的重要使命、重要任务，充分利用建设全国性综合交通枢纽城市、</w:t>
      </w:r>
      <w:r>
        <w:rPr>
          <w:rFonts w:hint="eastAsia" w:ascii="Times New Roman" w:hAnsi="Times New Roman"/>
        </w:rPr>
        <w:t>国家跨境电商综试区和零售进口试点城市等机遇，提升发展航空物流、</w:t>
      </w:r>
      <w:r>
        <w:rPr>
          <w:rFonts w:hint="eastAsia"/>
        </w:rPr>
        <w:t>水运物流、保税物流、商贸物流、冷链物流等，积极培育现代物流业发展新动能。</w:t>
      </w:r>
      <w:r>
        <w:rPr>
          <w:rFonts w:hint="eastAsia" w:ascii="Times New Roman" w:hAnsi="Times New Roman"/>
          <w:bCs/>
        </w:rPr>
        <w:t>三是必须统筹推进错位、协调、联动发展。</w:t>
      </w:r>
      <w:r>
        <w:rPr>
          <w:rFonts w:hint="eastAsia"/>
        </w:rPr>
        <w:t>立足城市特色，坚持</w:t>
      </w:r>
      <w:r>
        <w:rPr>
          <w:rFonts w:hint="eastAsia" w:ascii="仿宋_GB2312"/>
        </w:rPr>
        <w:t>城乡统筹和区域协调，</w:t>
      </w:r>
      <w:r>
        <w:rPr>
          <w:rFonts w:hint="eastAsia"/>
        </w:rPr>
        <w:t>强化优势互补，</w:t>
      </w:r>
      <w:r>
        <w:t>避免与</w:t>
      </w:r>
      <w:r>
        <w:rPr>
          <w:rFonts w:ascii="仿宋_GB2312"/>
        </w:rPr>
        <w:t>郑州</w:t>
      </w:r>
      <w:r>
        <w:rPr>
          <w:rFonts w:hint="eastAsia" w:ascii="仿宋_GB2312"/>
        </w:rPr>
        <w:t>、武汉、襄阳等周边地区</w:t>
      </w:r>
      <w:r>
        <w:rPr>
          <w:rFonts w:ascii="仿宋_GB2312"/>
        </w:rPr>
        <w:t>同构竞争，谋求错位发展</w:t>
      </w:r>
      <w:r>
        <w:rPr>
          <w:rFonts w:hint="eastAsia" w:ascii="仿宋_GB2312"/>
        </w:rPr>
        <w:t>和区域联动</w:t>
      </w:r>
      <w:r>
        <w:rPr>
          <w:rFonts w:ascii="仿宋_GB2312"/>
        </w:rPr>
        <w:t>，形成</w:t>
      </w:r>
      <w:r>
        <w:rPr>
          <w:rFonts w:hint="eastAsia" w:ascii="仿宋_GB2312"/>
        </w:rPr>
        <w:t>城乡融合一体、区域</w:t>
      </w:r>
      <w:r>
        <w:rPr>
          <w:rFonts w:ascii="仿宋_GB2312"/>
        </w:rPr>
        <w:t>分工合作、</w:t>
      </w:r>
      <w:r>
        <w:rPr>
          <w:rFonts w:hint="eastAsia" w:ascii="仿宋_GB2312"/>
        </w:rPr>
        <w:t>资源</w:t>
      </w:r>
      <w:r>
        <w:rPr>
          <w:rFonts w:ascii="仿宋_GB2312"/>
        </w:rPr>
        <w:t>互补</w:t>
      </w:r>
      <w:r>
        <w:rPr>
          <w:rFonts w:hint="eastAsia" w:ascii="仿宋_GB2312"/>
        </w:rPr>
        <w:t>共享</w:t>
      </w:r>
      <w:r>
        <w:rPr>
          <w:rFonts w:ascii="仿宋_GB2312"/>
        </w:rPr>
        <w:t>的发展</w:t>
      </w:r>
      <w:r>
        <w:rPr>
          <w:rFonts w:hint="eastAsia" w:ascii="仿宋_GB2312"/>
        </w:rPr>
        <w:t>新</w:t>
      </w:r>
      <w:r>
        <w:rPr>
          <w:rFonts w:ascii="仿宋_GB2312"/>
        </w:rPr>
        <w:t>格局。</w:t>
      </w:r>
      <w:r>
        <w:rPr>
          <w:rFonts w:hint="eastAsia" w:ascii="Times New Roman" w:hAnsi="Times New Roman"/>
          <w:bCs/>
        </w:rPr>
        <w:t>四是必须加快提升物流业智慧化、绿色化水平。</w:t>
      </w:r>
      <w:r>
        <w:rPr>
          <w:rFonts w:hint="eastAsia"/>
        </w:rPr>
        <w:t>适应现代物流业发展新趋势和新要求，大力推动互联网、物联网、大数据、人工智能等新一代</w:t>
      </w:r>
      <w:r>
        <w:t>信息技术</w:t>
      </w:r>
      <w:r>
        <w:rPr>
          <w:rFonts w:hint="eastAsia"/>
        </w:rPr>
        <w:t>及</w:t>
      </w:r>
      <w:r>
        <w:t>供应链管理</w:t>
      </w:r>
      <w:r>
        <w:rPr>
          <w:rFonts w:hint="eastAsia"/>
        </w:rPr>
        <w:t>在现代物流业中的应用，加快发展绿色智慧物流，推动托盘循环共用、挂车交换共享、仓库资源共享，大力推广使用可回收包装和可循环材料，推动全市物流业转型升级。</w:t>
      </w:r>
      <w:r>
        <w:rPr>
          <w:rFonts w:hint="eastAsia" w:ascii="Times New Roman" w:hAnsi="Times New Roman"/>
          <w:bCs/>
        </w:rPr>
        <w:t>五是必须着力破除现代物流业发展的体制机制障碍。</w:t>
      </w:r>
      <w:r>
        <w:rPr>
          <w:rFonts w:hint="eastAsia" w:ascii="仿宋_GB2312" w:hAnsi="Times New Roman"/>
        </w:rPr>
        <w:t>按照新时代市场经济治理体制机制要求，加快提升物流业政府治理能力，推进</w:t>
      </w:r>
      <w:r>
        <w:rPr>
          <w:rFonts w:ascii="仿宋_GB2312"/>
        </w:rPr>
        <w:t>实施促进全</w:t>
      </w:r>
      <w:r>
        <w:rPr>
          <w:rFonts w:hint="eastAsia" w:ascii="仿宋_GB2312"/>
        </w:rPr>
        <w:t>市</w:t>
      </w:r>
      <w:r>
        <w:rPr>
          <w:rFonts w:ascii="仿宋_GB2312"/>
        </w:rPr>
        <w:t>现代物流业发展的战略举措，有效解决影响现代物流业发展的深层次问题和体制性障碍，</w:t>
      </w:r>
      <w:r>
        <w:rPr>
          <w:rFonts w:hint="eastAsia" w:ascii="仿宋_GB2312"/>
        </w:rPr>
        <w:t>促进要素和资源高效流动、市场和产业紧密衔接，</w:t>
      </w:r>
      <w:r>
        <w:rPr>
          <w:rFonts w:ascii="仿宋_GB2312"/>
        </w:rPr>
        <w:t>在</w:t>
      </w:r>
      <w:r>
        <w:rPr>
          <w:rFonts w:hint="eastAsia" w:ascii="仿宋_GB2312"/>
        </w:rPr>
        <w:t>更大范围、更深层次实现</w:t>
      </w:r>
      <w:r>
        <w:rPr>
          <w:rFonts w:ascii="仿宋_GB2312"/>
        </w:rPr>
        <w:t>物流业跨越式发展。</w:t>
      </w:r>
    </w:p>
    <w:bookmarkEnd w:id="1222"/>
    <w:bookmarkEnd w:id="1223"/>
    <w:p>
      <w:pPr>
        <w:spacing w:line="560" w:lineRule="exact"/>
        <w:contextualSpacing/>
        <w:jc w:val="center"/>
        <w:outlineLvl w:val="0"/>
        <w:rPr>
          <w:rFonts w:ascii="黑体" w:hAnsi="黑体" w:eastAsia="黑体" w:cs="黑体"/>
        </w:rPr>
      </w:pPr>
      <w:bookmarkStart w:id="1245" w:name="_Toc956251734"/>
      <w:bookmarkStart w:id="1246" w:name="_Toc427545624"/>
      <w:r>
        <w:rPr>
          <w:rFonts w:hint="eastAsia" w:ascii="黑体" w:hAnsi="黑体" w:eastAsia="黑体" w:cs="黑体"/>
        </w:rPr>
        <w:t>第二章 总体要求</w:t>
      </w:r>
      <w:bookmarkEnd w:id="1245"/>
      <w:bookmarkStart w:id="1247" w:name="_Toc458374675"/>
    </w:p>
    <w:p>
      <w:pPr>
        <w:spacing w:line="560" w:lineRule="exact"/>
        <w:contextualSpacing/>
        <w:jc w:val="center"/>
        <w:outlineLvl w:val="1"/>
        <w:rPr>
          <w:rFonts w:ascii="Times New Roman" w:hAnsi="Times New Roman" w:eastAsia="楷体_GB2312"/>
          <w:bCs/>
        </w:rPr>
      </w:pPr>
      <w:bookmarkStart w:id="1248" w:name="_Toc107234614"/>
      <w:r>
        <w:rPr>
          <w:rFonts w:hint="eastAsia" w:ascii="Times New Roman" w:hAnsi="Times New Roman" w:eastAsia="楷体_GB2312"/>
          <w:bCs/>
        </w:rPr>
        <w:t>第一节 指导思想</w:t>
      </w:r>
      <w:bookmarkEnd w:id="1248"/>
    </w:p>
    <w:p>
      <w:pPr>
        <w:spacing w:line="560" w:lineRule="exact"/>
        <w:ind w:firstLine="640" w:firstLineChars="200"/>
        <w:contextualSpacing/>
        <w:rPr>
          <w:rFonts w:ascii="Times New Roman" w:hAnsi="Times New Roman"/>
        </w:rPr>
      </w:pPr>
      <w:r>
        <w:rPr>
          <w:rFonts w:hint="eastAsia"/>
          <w:lang w:bidi="ar"/>
        </w:rPr>
        <w:t>坚持以习近平新时代中国特色社会主义思想为指导，全面贯彻党的十九大和十九届历次全会精神，深入贯彻落实习近平总书记视察南阳重要讲话重要指示，完整准确贯彻新发展理念，积极融入新发展格局，锚定河南“两个确保、十大战略”和市委“一二三五十”工作布局，以推动现代物流业高质量发展为主题，以深化供给侧结构性改革为主线，以改革创新为动力，以物流业规模化、信息化、标准化、绿色化、国际化为方向，着力降成本、强基础、优格局、提效率、增动力，</w:t>
      </w:r>
      <w:r>
        <w:t>推动物流业与</w:t>
      </w:r>
      <w:r>
        <w:rPr>
          <w:rFonts w:hint="eastAsia"/>
        </w:rPr>
        <w:t>多产业协同</w:t>
      </w:r>
      <w:r>
        <w:t>联动，构建外联内通、便捷高效的</w:t>
      </w:r>
      <w:r>
        <w:rPr>
          <w:rFonts w:hint="eastAsia"/>
        </w:rPr>
        <w:t>集疏运网络</w:t>
      </w:r>
      <w:r>
        <w:t>体系，</w:t>
      </w:r>
      <w:r>
        <w:rPr>
          <w:rFonts w:hint="eastAsia"/>
        </w:rPr>
        <w:t>全力打造服务能力更强、辐射范围更广、产业融合度更高的</w:t>
      </w:r>
      <w:r>
        <w:t>豫鄂陕</w:t>
      </w:r>
      <w:r>
        <w:rPr>
          <w:rFonts w:hint="eastAsia"/>
        </w:rPr>
        <w:t>区域性现代</w:t>
      </w:r>
      <w:r>
        <w:t>物流</w:t>
      </w:r>
      <w:r>
        <w:rPr>
          <w:rFonts w:hint="eastAsia"/>
        </w:rPr>
        <w:t>枢纽城市</w:t>
      </w:r>
      <w:r>
        <w:t>，</w:t>
      </w:r>
      <w:r>
        <w:rPr>
          <w:rFonts w:hint="eastAsia"/>
        </w:rPr>
        <w:t>为高水平建设河南省副中心城市</w:t>
      </w:r>
      <w:r>
        <w:rPr>
          <w:rFonts w:hint="eastAsia" w:ascii="Times New Roman" w:hAnsi="Times New Roman"/>
        </w:rPr>
        <w:t>提供有力支撑。</w:t>
      </w:r>
    </w:p>
    <w:p>
      <w:pPr>
        <w:spacing w:line="560" w:lineRule="exact"/>
        <w:contextualSpacing/>
        <w:jc w:val="center"/>
        <w:outlineLvl w:val="1"/>
        <w:rPr>
          <w:rFonts w:ascii="Times New Roman" w:hAnsi="Times New Roman" w:eastAsia="楷体_GB2312"/>
          <w:bCs/>
        </w:rPr>
      </w:pPr>
      <w:bookmarkStart w:id="1249" w:name="_Toc1715275863"/>
      <w:r>
        <w:rPr>
          <w:rFonts w:hint="eastAsia" w:ascii="Times New Roman" w:hAnsi="Times New Roman" w:eastAsia="楷体_GB2312"/>
          <w:bCs/>
        </w:rPr>
        <w:t>第二节 基本原则</w:t>
      </w:r>
      <w:bookmarkEnd w:id="1249"/>
    </w:p>
    <w:p>
      <w:pPr>
        <w:spacing w:line="560" w:lineRule="exact"/>
        <w:ind w:firstLine="640" w:firstLineChars="200"/>
        <w:contextualSpacing/>
        <w:rPr>
          <w:rFonts w:ascii="Times New Roman" w:hAnsi="Times New Roman"/>
        </w:rPr>
      </w:pPr>
      <w:r>
        <w:rPr>
          <w:rFonts w:hint="eastAsia" w:ascii="Times New Roman" w:hAnsi="Times New Roman"/>
          <w:bCs/>
        </w:rPr>
        <w:t>——坚持市场主导，政府引导。</w:t>
      </w:r>
      <w:r>
        <w:rPr>
          <w:rFonts w:hint="eastAsia" w:ascii="Times New Roman" w:hAnsi="Times New Roman"/>
        </w:rPr>
        <w:t>发挥市场在资源配置中的决定性作用，激发市场主体活力，提高物流要素配置效率。更好发挥政府作用，加强规划引导，完善政策法规体系，优化营商环境，推进建立区域协调发展机制，全面提升现代化治理能力。</w:t>
      </w:r>
    </w:p>
    <w:p>
      <w:pPr>
        <w:spacing w:line="560" w:lineRule="exact"/>
        <w:ind w:firstLine="640" w:firstLineChars="200"/>
        <w:contextualSpacing/>
        <w:rPr>
          <w:rFonts w:ascii="Times New Roman" w:hAnsi="Times New Roman"/>
        </w:rPr>
      </w:pPr>
      <w:r>
        <w:rPr>
          <w:rFonts w:hint="eastAsia" w:ascii="Times New Roman" w:hAnsi="Times New Roman"/>
          <w:bCs/>
        </w:rPr>
        <w:t>——坚持重点突破，协调推进。</w:t>
      </w:r>
      <w:r>
        <w:rPr>
          <w:rFonts w:hint="eastAsia" w:ascii="Times New Roman" w:hAnsi="Times New Roman"/>
        </w:rPr>
        <w:t>突出重点区域、重点领域和重点平台，进一步优化空间布局，加快设施建设，强化项目带动，促进区域物流合作，推动物流网络和配送体系从城市向农村延伸，实现区域、城乡物流协调发展。</w:t>
      </w:r>
    </w:p>
    <w:p>
      <w:pPr>
        <w:spacing w:line="560" w:lineRule="exact"/>
        <w:ind w:firstLine="640" w:firstLineChars="200"/>
        <w:contextualSpacing/>
        <w:rPr>
          <w:rFonts w:ascii="Times New Roman" w:hAnsi="Times New Roman"/>
        </w:rPr>
      </w:pPr>
      <w:r>
        <w:rPr>
          <w:rFonts w:hint="eastAsia" w:ascii="Times New Roman" w:hAnsi="Times New Roman"/>
          <w:bCs/>
        </w:rPr>
        <w:t>——坚持科技驱动，创新发展。</w:t>
      </w:r>
      <w:r>
        <w:rPr>
          <w:rFonts w:hint="eastAsia" w:ascii="Times New Roman" w:hAnsi="Times New Roman"/>
        </w:rPr>
        <w:t>以数字新技术、智能新应用为引领，鼓励业态创新、管理创新和商业模式创新，进一步提升供应链管理和物流服务水平，提升产业质量和发展能级，形成物流业与制造业、商贸业、金融业等多产业融合、协同、创新发展的新格局。</w:t>
      </w:r>
    </w:p>
    <w:p>
      <w:pPr>
        <w:spacing w:line="560" w:lineRule="exact"/>
        <w:ind w:firstLine="640" w:firstLineChars="200"/>
        <w:contextualSpacing/>
        <w:rPr>
          <w:rFonts w:ascii="Times New Roman" w:hAnsi="Times New Roman"/>
        </w:rPr>
      </w:pPr>
      <w:r>
        <w:rPr>
          <w:rFonts w:hint="eastAsia" w:ascii="Times New Roman" w:hAnsi="Times New Roman"/>
          <w:bCs/>
        </w:rPr>
        <w:t>——坚持扩大开放，共享发展。</w:t>
      </w:r>
      <w:r>
        <w:rPr>
          <w:rFonts w:hint="eastAsia" w:ascii="Times New Roman" w:hAnsi="Times New Roman"/>
        </w:rPr>
        <w:t>统筹国内国际两个大局，深入推进国家重大战略实施，建立跨区域物流协同机制，推动资源、要素有序高效流动和合作共享，提升跨区域物流合作层次和水平，增强国际物流链接和服务能力。</w:t>
      </w:r>
    </w:p>
    <w:p>
      <w:pPr>
        <w:spacing w:line="560" w:lineRule="exact"/>
        <w:ind w:firstLine="640" w:firstLineChars="200"/>
        <w:contextualSpacing/>
        <w:rPr>
          <w:rFonts w:ascii="Times New Roman" w:hAnsi="Times New Roman"/>
        </w:rPr>
      </w:pPr>
      <w:r>
        <w:rPr>
          <w:rFonts w:hint="eastAsia" w:ascii="Times New Roman" w:hAnsi="Times New Roman"/>
          <w:bCs/>
        </w:rPr>
        <w:t>——坚持绿色循环，安全高效。</w:t>
      </w:r>
      <w:r>
        <w:rPr>
          <w:rFonts w:hint="eastAsia" w:ascii="Times New Roman" w:hAnsi="Times New Roman"/>
        </w:rPr>
        <w:t>坚持绿色发展理念，鼓励采用节能环保的技术、装备，大力发展各类绿色环保运输模式，降低物流业总体能耗和污染物排放水平。进一步加强物流标准化、信息化建设，促进物流服务体系安全高效运转。</w:t>
      </w:r>
    </w:p>
    <w:bookmarkEnd w:id="1247"/>
    <w:p>
      <w:pPr>
        <w:spacing w:line="560" w:lineRule="exact"/>
        <w:contextualSpacing/>
        <w:jc w:val="center"/>
        <w:outlineLvl w:val="1"/>
        <w:rPr>
          <w:rFonts w:ascii="Times New Roman" w:hAnsi="Times New Roman" w:eastAsia="楷体_GB2312"/>
          <w:bCs/>
        </w:rPr>
      </w:pPr>
      <w:bookmarkStart w:id="1250" w:name="_Toc779062062"/>
      <w:bookmarkStart w:id="1251" w:name="_Toc458374677"/>
      <w:r>
        <w:rPr>
          <w:rFonts w:hint="eastAsia" w:ascii="Times New Roman" w:hAnsi="Times New Roman" w:eastAsia="楷体_GB2312"/>
          <w:bCs/>
        </w:rPr>
        <w:t>第三节 发展目标</w:t>
      </w:r>
      <w:bookmarkEnd w:id="1250"/>
      <w:bookmarkEnd w:id="1251"/>
    </w:p>
    <w:p>
      <w:pPr>
        <w:spacing w:line="560" w:lineRule="exact"/>
        <w:ind w:firstLine="640" w:firstLineChars="200"/>
        <w:contextualSpacing/>
      </w:pPr>
      <w:r>
        <w:t>到202</w:t>
      </w:r>
      <w:r>
        <w:rPr>
          <w:rFonts w:hint="eastAsia"/>
        </w:rPr>
        <w:t>5</w:t>
      </w:r>
      <w:r>
        <w:t>年，</w:t>
      </w:r>
      <w:r>
        <w:rPr>
          <w:rFonts w:hint="eastAsia"/>
        </w:rPr>
        <w:t>基本</w:t>
      </w:r>
      <w:r>
        <w:t>形成</w:t>
      </w:r>
      <w:r>
        <w:rPr>
          <w:rFonts w:hint="eastAsia"/>
        </w:rPr>
        <w:t>枢纽引领、载体支撑、布局合理、智慧共享、集约</w:t>
      </w:r>
      <w:r>
        <w:t>高效</w:t>
      </w:r>
      <w:r>
        <w:rPr>
          <w:rFonts w:hint="eastAsia"/>
        </w:rPr>
        <w:t>、内联外通</w:t>
      </w:r>
      <w:r>
        <w:t>的现代物流体系，</w:t>
      </w:r>
      <w:r>
        <w:rPr>
          <w:rFonts w:hint="eastAsia"/>
        </w:rPr>
        <w:t>建成商贸服务型国家物流枢纽，打造豫鄂陕区域现代物流中心，</w:t>
      </w:r>
      <w:r>
        <w:t>现代物流业成为</w:t>
      </w:r>
      <w:r>
        <w:rPr>
          <w:rFonts w:hint="eastAsia"/>
        </w:rPr>
        <w:t>全市</w:t>
      </w:r>
      <w:r>
        <w:t>服务业</w:t>
      </w:r>
      <w:r>
        <w:rPr>
          <w:rFonts w:hint="eastAsia"/>
        </w:rPr>
        <w:t>高质量发展</w:t>
      </w:r>
      <w:r>
        <w:t>的</w:t>
      </w:r>
      <w:r>
        <w:rPr>
          <w:rFonts w:hint="eastAsia"/>
        </w:rPr>
        <w:t>重要支撑</w:t>
      </w:r>
      <w:r>
        <w:rPr>
          <w:rFonts w:hint="eastAsia" w:ascii="Times New Roman" w:hAnsi="Times New Roman"/>
        </w:rPr>
        <w:t>。</w:t>
      </w:r>
    </w:p>
    <w:p>
      <w:pPr>
        <w:spacing w:line="560" w:lineRule="exact"/>
        <w:ind w:firstLine="640" w:firstLineChars="200"/>
        <w:contextualSpacing/>
      </w:pPr>
      <w:r>
        <w:rPr>
          <w:rFonts w:hint="eastAsia" w:ascii="Times New Roman" w:hAnsi="Times New Roman"/>
          <w:bCs/>
        </w:rPr>
        <w:t>——</w:t>
      </w:r>
      <w:r>
        <w:rPr>
          <w:rFonts w:ascii="Times New Roman" w:hAnsi="Times New Roman"/>
          <w:bCs/>
        </w:rPr>
        <w:t>物流业</w:t>
      </w:r>
      <w:r>
        <w:rPr>
          <w:rFonts w:hint="eastAsia" w:ascii="Times New Roman" w:hAnsi="Times New Roman"/>
          <w:bCs/>
        </w:rPr>
        <w:t>总体</w:t>
      </w:r>
      <w:r>
        <w:rPr>
          <w:rFonts w:ascii="Times New Roman" w:hAnsi="Times New Roman"/>
          <w:bCs/>
        </w:rPr>
        <w:t>规模快速壮大。</w:t>
      </w:r>
      <w:r>
        <w:rPr>
          <w:rFonts w:hint="eastAsia"/>
        </w:rPr>
        <w:t>物流业基础性、战略性作用进一步凸显，物流资源整合调配能力显著提升，物流枢纽跨区域联动取得实效。</w:t>
      </w:r>
      <w:r>
        <w:t>到202</w:t>
      </w:r>
      <w:r>
        <w:rPr>
          <w:rFonts w:hint="eastAsia"/>
        </w:rPr>
        <w:t>5</w:t>
      </w:r>
      <w:r>
        <w:t>年，</w:t>
      </w:r>
      <w:r>
        <w:rPr>
          <w:rFonts w:hint="eastAsia"/>
        </w:rPr>
        <w:t>全市货物运输量达到4亿吨，货物周转量达到1050亿吨公里，物流业增加值达到300亿元，年均增长11%以上。</w:t>
      </w:r>
    </w:p>
    <w:p>
      <w:pPr>
        <w:spacing w:line="560" w:lineRule="exact"/>
        <w:ind w:firstLine="640" w:firstLineChars="200"/>
        <w:contextualSpacing/>
        <w:rPr>
          <w:rFonts w:ascii="Times New Roman" w:hAnsi="Times New Roman"/>
        </w:rPr>
      </w:pPr>
      <w:r>
        <w:rPr>
          <w:rFonts w:hint="eastAsia" w:ascii="Times New Roman" w:hAnsi="Times New Roman"/>
          <w:bCs/>
        </w:rPr>
        <w:t>——物流企业竞争力显著增强。</w:t>
      </w:r>
      <w:r>
        <w:rPr>
          <w:rFonts w:hint="eastAsia"/>
        </w:rPr>
        <w:t>物流市场资源配置能力进一步优化，物流市场主体转型创新能力不断提升，</w:t>
      </w:r>
      <w:r>
        <w:rPr>
          <w:rFonts w:hint="eastAsia" w:ascii="Times New Roman" w:hAnsi="Times New Roman"/>
        </w:rPr>
        <w:t>全市</w:t>
      </w:r>
      <w:r>
        <w:t>主要大型工商</w:t>
      </w:r>
      <w:r>
        <w:rPr>
          <w:rFonts w:hint="eastAsia"/>
        </w:rPr>
        <w:t>业</w:t>
      </w:r>
      <w:r>
        <w:t>企业物流</w:t>
      </w:r>
      <w:r>
        <w:rPr>
          <w:rFonts w:hint="eastAsia"/>
        </w:rPr>
        <w:t>业务</w:t>
      </w:r>
      <w:r>
        <w:t>实现剥离或外包</w:t>
      </w:r>
      <w:r>
        <w:rPr>
          <w:rFonts w:hint="eastAsia"/>
        </w:rPr>
        <w:t>。</w:t>
      </w:r>
      <w:r>
        <w:t>培育和引进</w:t>
      </w:r>
      <w:r>
        <w:rPr>
          <w:rFonts w:hint="eastAsia" w:ascii="Times New Roman" w:hAnsi="Times New Roman"/>
        </w:rPr>
        <w:t>物流龙头企业，</w:t>
      </w:r>
      <w:r>
        <w:t>到202</w:t>
      </w:r>
      <w:r>
        <w:rPr>
          <w:rFonts w:hint="eastAsia"/>
        </w:rPr>
        <w:t>5</w:t>
      </w:r>
      <w:r>
        <w:t>年</w:t>
      </w:r>
      <w:r>
        <w:rPr>
          <w:rFonts w:hint="eastAsia"/>
        </w:rPr>
        <w:t>，</w:t>
      </w:r>
      <w:r>
        <w:rPr>
          <w:rFonts w:hint="eastAsia" w:ascii="Times New Roman" w:hAnsi="Times New Roman"/>
        </w:rPr>
        <w:t>新增国家A级以上物流企业20家。</w:t>
      </w:r>
    </w:p>
    <w:p>
      <w:pPr>
        <w:spacing w:line="560" w:lineRule="exact"/>
        <w:ind w:firstLine="640" w:firstLineChars="200"/>
        <w:contextualSpacing/>
      </w:pPr>
      <w:r>
        <w:rPr>
          <w:rFonts w:hint="eastAsia" w:ascii="Times New Roman" w:hAnsi="Times New Roman"/>
          <w:bCs/>
        </w:rPr>
        <w:t>——物流综合网络体系更趋完善。</w:t>
      </w:r>
      <w:r>
        <w:rPr>
          <w:rFonts w:hint="eastAsia" w:ascii="Times New Roman" w:hAnsi="Times New Roman"/>
        </w:rPr>
        <w:t>综合物流通道系统加快构建，</w:t>
      </w:r>
      <w:r>
        <w:rPr>
          <w:rFonts w:hint="eastAsia"/>
        </w:rPr>
        <w:t>国家物流枢纽、</w:t>
      </w:r>
      <w:r>
        <w:t>综合物流园区、物流节点建设</w:t>
      </w:r>
      <w:r>
        <w:rPr>
          <w:rFonts w:hint="eastAsia"/>
        </w:rPr>
        <w:t>取得明显成效</w:t>
      </w:r>
      <w:r>
        <w:t>，</w:t>
      </w:r>
      <w:r>
        <w:rPr>
          <w:rFonts w:hint="eastAsia"/>
        </w:rPr>
        <w:t>集疏运和通达能力显著增强，“最初一公里”和“最后一公里”的设施短板加快补齐。</w:t>
      </w:r>
      <w:r>
        <w:t>到202</w:t>
      </w:r>
      <w:r>
        <w:rPr>
          <w:rFonts w:hint="eastAsia"/>
        </w:rPr>
        <w:t>5</w:t>
      </w:r>
      <w:r>
        <w:t>年</w:t>
      </w:r>
      <w:r>
        <w:rPr>
          <w:rFonts w:hint="eastAsia"/>
        </w:rPr>
        <w:t>，行政村快递物流通达率达到100%，基本</w:t>
      </w:r>
      <w:r>
        <w:t>形成布局合理、</w:t>
      </w:r>
      <w:r>
        <w:rPr>
          <w:rFonts w:hint="eastAsia"/>
        </w:rPr>
        <w:t>功能互补</w:t>
      </w:r>
      <w:r>
        <w:t>、</w:t>
      </w:r>
      <w:r>
        <w:rPr>
          <w:rFonts w:hint="eastAsia"/>
        </w:rPr>
        <w:t>便捷通畅</w:t>
      </w:r>
      <w:r>
        <w:t>、</w:t>
      </w:r>
      <w:r>
        <w:rPr>
          <w:rFonts w:hint="eastAsia"/>
        </w:rPr>
        <w:t>衔接</w:t>
      </w:r>
      <w:r>
        <w:t>高效</w:t>
      </w:r>
      <w:r>
        <w:rPr>
          <w:rFonts w:hint="eastAsia"/>
        </w:rPr>
        <w:t>的现代</w:t>
      </w:r>
      <w:r>
        <w:t>物流网络</w:t>
      </w:r>
      <w:r>
        <w:rPr>
          <w:rFonts w:hint="eastAsia"/>
        </w:rPr>
        <w:t>体系</w:t>
      </w:r>
      <w:r>
        <w:t>。</w:t>
      </w:r>
    </w:p>
    <w:p>
      <w:pPr>
        <w:spacing w:line="560" w:lineRule="exact"/>
        <w:ind w:firstLine="640" w:firstLineChars="200"/>
        <w:contextualSpacing/>
        <w:rPr>
          <w:rFonts w:ascii="黑体" w:hAnsi="黑体" w:eastAsia="黑体" w:cs="黑体"/>
        </w:rPr>
      </w:pPr>
      <w:r>
        <w:rPr>
          <w:rFonts w:hint="eastAsia" w:ascii="Times New Roman" w:hAnsi="Times New Roman"/>
          <w:bCs/>
        </w:rPr>
        <w:t>——物流组织运行效率明显提高。</w:t>
      </w:r>
      <w:r>
        <w:rPr>
          <w:rFonts w:hint="eastAsia" w:ascii="Times New Roman" w:hAnsi="Times New Roman"/>
        </w:rPr>
        <w:t>5G互联网、大数据、物联网、人工智能等现代新技术、数字新基建、智能新装备在物流领域的应用大幅拓展，</w:t>
      </w:r>
      <w:r>
        <w:rPr>
          <w:rFonts w:hint="eastAsia"/>
        </w:rPr>
        <w:t>多式联运物流运输结构不断优化，物流成本费用持续降低，</w:t>
      </w:r>
      <w:r>
        <w:rPr>
          <w:rFonts w:hint="eastAsia" w:ascii="Times New Roman" w:hAnsi="Times New Roman"/>
        </w:rPr>
        <w:t>物流市场主体智慧化程度和绿色化水平明显提高。到2025年，社会物流总费用达到755亿元，与GDP的比率降至12.6%以下，社会物流成本进一步降低。</w:t>
      </w:r>
    </w:p>
    <w:p>
      <w:pPr>
        <w:pStyle w:val="20"/>
        <w:spacing w:line="560" w:lineRule="exact"/>
        <w:ind w:firstLine="640"/>
        <w:contextualSpacing/>
        <w:jc w:val="center"/>
        <w:rPr>
          <w:rFonts w:ascii="楷体" w:hAnsi="楷体" w:eastAsia="楷体" w:cs="楷体"/>
        </w:rPr>
      </w:pPr>
      <w:r>
        <w:rPr>
          <w:rFonts w:hint="eastAsia" w:ascii="楷体" w:hAnsi="楷体" w:eastAsia="楷体" w:cs="楷体"/>
          <w:sz w:val="32"/>
          <w:szCs w:val="32"/>
        </w:rPr>
        <w:t xml:space="preserve"> </w:t>
      </w:r>
      <w:r>
        <w:rPr>
          <w:rFonts w:hint="eastAsia" w:ascii="黑体" w:hAnsi="黑体" w:eastAsia="黑体" w:cs="黑体"/>
          <w:sz w:val="28"/>
          <w:szCs w:val="28"/>
        </w:rPr>
        <w:t>南阳现代物流业发展主要指标</w:t>
      </w:r>
    </w:p>
    <w:tbl>
      <w:tblPr>
        <w:tblStyle w:val="26"/>
        <w:tblW w:w="8504" w:type="dxa"/>
        <w:jc w:val="center"/>
        <w:tblLayout w:type="fixed"/>
        <w:tblCellMar>
          <w:top w:w="0" w:type="dxa"/>
          <w:left w:w="108" w:type="dxa"/>
          <w:bottom w:w="0" w:type="dxa"/>
          <w:right w:w="108" w:type="dxa"/>
        </w:tblCellMar>
      </w:tblPr>
      <w:tblGrid>
        <w:gridCol w:w="2835"/>
        <w:gridCol w:w="1134"/>
        <w:gridCol w:w="1417"/>
        <w:gridCol w:w="1417"/>
        <w:gridCol w:w="1701"/>
      </w:tblGrid>
      <w:tr>
        <w:tblPrEx>
          <w:tblCellMar>
            <w:top w:w="0" w:type="dxa"/>
            <w:left w:w="108" w:type="dxa"/>
            <w:bottom w:w="0" w:type="dxa"/>
            <w:right w:w="108" w:type="dxa"/>
          </w:tblCellMar>
        </w:tblPrEx>
        <w:trPr>
          <w:trHeight w:val="729" w:hRule="atLeast"/>
          <w:tblHeader/>
          <w:jc w:val="center"/>
        </w:trPr>
        <w:tc>
          <w:tcPr>
            <w:tcW w:w="2835"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黑体" w:hAnsi="黑体" w:eastAsia="黑体" w:cs="黑体"/>
                <w:sz w:val="24"/>
                <w:szCs w:val="24"/>
              </w:rPr>
            </w:pPr>
            <w:r>
              <w:rPr>
                <w:rFonts w:hint="eastAsia" w:ascii="黑体" w:hAnsi="黑体" w:eastAsia="黑体" w:cs="黑体"/>
                <w:sz w:val="24"/>
                <w:szCs w:val="24"/>
              </w:rPr>
              <w:t>物流业关键指标</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黑体" w:hAnsi="黑体" w:eastAsia="黑体" w:cs="黑体"/>
                <w:sz w:val="24"/>
                <w:szCs w:val="24"/>
              </w:rPr>
            </w:pPr>
            <w:r>
              <w:rPr>
                <w:rFonts w:hint="eastAsia" w:ascii="黑体" w:hAnsi="黑体" w:eastAsia="黑体" w:cs="黑体"/>
                <w:sz w:val="24"/>
                <w:szCs w:val="24"/>
              </w:rPr>
              <w:t>单位</w:t>
            </w:r>
          </w:p>
        </w:tc>
        <w:tc>
          <w:tcPr>
            <w:tcW w:w="1417" w:type="dxa"/>
            <w:tcBorders>
              <w:top w:val="single" w:color="auto" w:sz="4" w:space="0"/>
              <w:left w:val="nil"/>
              <w:bottom w:val="single" w:color="auto" w:sz="4" w:space="0"/>
              <w:right w:val="single" w:color="auto" w:sz="4" w:space="0"/>
            </w:tcBorders>
          </w:tcPr>
          <w:p>
            <w:pPr>
              <w:spacing w:line="560" w:lineRule="exact"/>
              <w:contextualSpacing/>
              <w:jc w:val="center"/>
              <w:rPr>
                <w:rFonts w:ascii="黑体" w:hAnsi="黑体" w:eastAsia="黑体" w:cs="黑体"/>
                <w:sz w:val="24"/>
                <w:szCs w:val="24"/>
              </w:rPr>
            </w:pPr>
            <w:r>
              <w:rPr>
                <w:rFonts w:hint="eastAsia" w:ascii="黑体" w:hAnsi="黑体" w:eastAsia="黑体" w:cs="黑体"/>
                <w:sz w:val="24"/>
                <w:szCs w:val="24"/>
              </w:rPr>
              <w:t>2023年</w:t>
            </w:r>
          </w:p>
        </w:tc>
        <w:tc>
          <w:tcPr>
            <w:tcW w:w="1417"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黑体" w:hAnsi="黑体" w:eastAsia="黑体" w:cs="黑体"/>
                <w:sz w:val="24"/>
                <w:szCs w:val="24"/>
              </w:rPr>
            </w:pPr>
            <w:r>
              <w:rPr>
                <w:rFonts w:hint="eastAsia" w:ascii="黑体" w:hAnsi="黑体" w:eastAsia="黑体" w:cs="黑体"/>
                <w:sz w:val="24"/>
                <w:szCs w:val="24"/>
              </w:rPr>
              <w:t>2025年</w:t>
            </w:r>
          </w:p>
        </w:tc>
        <w:tc>
          <w:tcPr>
            <w:tcW w:w="1701"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黑体" w:hAnsi="黑体" w:eastAsia="黑体" w:cs="黑体"/>
                <w:sz w:val="24"/>
                <w:szCs w:val="24"/>
              </w:rPr>
            </w:pPr>
            <w:r>
              <w:rPr>
                <w:rFonts w:hint="eastAsia" w:ascii="黑体" w:hAnsi="黑体" w:eastAsia="黑体" w:cs="黑体"/>
                <w:sz w:val="24"/>
                <w:szCs w:val="24"/>
              </w:rPr>
              <w:t>指标性质</w:t>
            </w:r>
          </w:p>
        </w:tc>
      </w:tr>
      <w:tr>
        <w:tblPrEx>
          <w:tblCellMar>
            <w:top w:w="0" w:type="dxa"/>
            <w:left w:w="108" w:type="dxa"/>
            <w:bottom w:w="0" w:type="dxa"/>
            <w:right w:w="108" w:type="dxa"/>
          </w:tblCellMar>
        </w:tblPrEx>
        <w:trPr>
          <w:trHeight w:val="545" w:hRule="atLeast"/>
          <w:jc w:val="center"/>
        </w:trPr>
        <w:tc>
          <w:tcPr>
            <w:tcW w:w="2835" w:type="dxa"/>
            <w:tcBorders>
              <w:top w:val="nil"/>
              <w:left w:val="single" w:color="auto" w:sz="4" w:space="0"/>
              <w:bottom w:val="single" w:color="auto" w:sz="4" w:space="0"/>
              <w:right w:val="single" w:color="auto" w:sz="4" w:space="0"/>
            </w:tcBorders>
            <w:vAlign w:val="center"/>
          </w:tcPr>
          <w:p>
            <w:pPr>
              <w:spacing w:line="560" w:lineRule="exact"/>
              <w:contextualSpacing/>
              <w:jc w:val="center"/>
              <w:rPr>
                <w:rFonts w:ascii="仿宋" w:hAnsi="仿宋" w:eastAsia="仿宋" w:cs="仿宋"/>
                <w:sz w:val="24"/>
                <w:szCs w:val="24"/>
              </w:rPr>
            </w:pPr>
            <w:r>
              <w:rPr>
                <w:rFonts w:hint="eastAsia" w:ascii="仿宋" w:hAnsi="仿宋" w:eastAsia="仿宋" w:cs="仿宋"/>
                <w:sz w:val="24"/>
                <w:szCs w:val="24"/>
              </w:rPr>
              <w:t>货运量</w:t>
            </w:r>
          </w:p>
        </w:tc>
        <w:tc>
          <w:tcPr>
            <w:tcW w:w="1134" w:type="dxa"/>
            <w:tcBorders>
              <w:top w:val="nil"/>
              <w:left w:val="nil"/>
              <w:bottom w:val="single" w:color="auto" w:sz="4" w:space="0"/>
              <w:right w:val="single" w:color="auto" w:sz="4" w:space="0"/>
            </w:tcBorders>
            <w:vAlign w:val="center"/>
          </w:tcPr>
          <w:p>
            <w:pPr>
              <w:spacing w:line="560" w:lineRule="exact"/>
              <w:contextualSpacing/>
              <w:jc w:val="center"/>
              <w:rPr>
                <w:rFonts w:ascii="仿宋" w:hAnsi="仿宋" w:eastAsia="仿宋" w:cs="仿宋"/>
                <w:sz w:val="24"/>
                <w:szCs w:val="24"/>
              </w:rPr>
            </w:pPr>
            <w:r>
              <w:rPr>
                <w:rFonts w:hint="eastAsia" w:ascii="仿宋" w:hAnsi="仿宋" w:eastAsia="仿宋" w:cs="仿宋"/>
                <w:sz w:val="24"/>
                <w:szCs w:val="24"/>
              </w:rPr>
              <w:t>亿吨</w:t>
            </w:r>
          </w:p>
        </w:tc>
        <w:tc>
          <w:tcPr>
            <w:tcW w:w="1417" w:type="dxa"/>
            <w:tcBorders>
              <w:top w:val="single" w:color="auto" w:sz="4" w:space="0"/>
              <w:left w:val="nil"/>
              <w:bottom w:val="single" w:color="auto" w:sz="4" w:space="0"/>
              <w:right w:val="single" w:color="auto" w:sz="4" w:space="0"/>
            </w:tcBorders>
            <w:vAlign w:val="center"/>
          </w:tcPr>
          <w:p>
            <w:pPr>
              <w:spacing w:line="560" w:lineRule="exact"/>
              <w:contextualSpacing/>
              <w:jc w:val="center"/>
              <w:rPr>
                <w:rFonts w:ascii="仿宋" w:hAnsi="仿宋" w:eastAsia="仿宋" w:cs="仿宋"/>
                <w:sz w:val="24"/>
                <w:szCs w:val="24"/>
              </w:rPr>
            </w:pPr>
            <w:r>
              <w:rPr>
                <w:rFonts w:hint="eastAsia" w:ascii="仿宋" w:hAnsi="仿宋" w:eastAsia="仿宋" w:cs="仿宋"/>
                <w:sz w:val="24"/>
                <w:szCs w:val="24"/>
              </w:rPr>
              <w:t>3</w:t>
            </w:r>
          </w:p>
        </w:tc>
        <w:tc>
          <w:tcPr>
            <w:tcW w:w="1417" w:type="dxa"/>
            <w:tcBorders>
              <w:top w:val="nil"/>
              <w:left w:val="single" w:color="auto" w:sz="4" w:space="0"/>
              <w:bottom w:val="single" w:color="auto" w:sz="4" w:space="0"/>
              <w:right w:val="single" w:color="auto" w:sz="4" w:space="0"/>
            </w:tcBorders>
            <w:vAlign w:val="center"/>
          </w:tcPr>
          <w:p>
            <w:pPr>
              <w:spacing w:line="560" w:lineRule="exact"/>
              <w:contextualSpacing/>
              <w:jc w:val="center"/>
              <w:rPr>
                <w:rFonts w:ascii="仿宋" w:hAnsi="仿宋" w:eastAsia="仿宋" w:cs="仿宋"/>
                <w:sz w:val="24"/>
                <w:szCs w:val="24"/>
              </w:rPr>
            </w:pPr>
            <w:r>
              <w:rPr>
                <w:rFonts w:hint="eastAsia" w:ascii="仿宋" w:hAnsi="仿宋" w:eastAsia="仿宋" w:cs="仿宋"/>
                <w:sz w:val="24"/>
                <w:szCs w:val="24"/>
              </w:rPr>
              <w:t>4</w:t>
            </w:r>
          </w:p>
        </w:tc>
        <w:tc>
          <w:tcPr>
            <w:tcW w:w="1701" w:type="dxa"/>
            <w:tcBorders>
              <w:top w:val="nil"/>
              <w:left w:val="nil"/>
              <w:bottom w:val="single" w:color="auto" w:sz="4" w:space="0"/>
              <w:right w:val="single" w:color="auto" w:sz="4" w:space="0"/>
            </w:tcBorders>
            <w:vAlign w:val="center"/>
          </w:tcPr>
          <w:p>
            <w:pPr>
              <w:spacing w:line="560" w:lineRule="exact"/>
              <w:contextualSpacing/>
              <w:jc w:val="center"/>
              <w:rPr>
                <w:rFonts w:ascii="仿宋" w:hAnsi="仿宋" w:eastAsia="仿宋" w:cs="仿宋"/>
                <w:sz w:val="24"/>
                <w:szCs w:val="24"/>
              </w:rPr>
            </w:pPr>
            <w:r>
              <w:rPr>
                <w:rFonts w:hint="eastAsia" w:ascii="仿宋" w:hAnsi="仿宋" w:eastAsia="仿宋" w:cs="仿宋"/>
                <w:sz w:val="24"/>
                <w:szCs w:val="24"/>
              </w:rPr>
              <w:t>预期性</w:t>
            </w:r>
          </w:p>
        </w:tc>
      </w:tr>
      <w:tr>
        <w:tblPrEx>
          <w:tblCellMar>
            <w:top w:w="0" w:type="dxa"/>
            <w:left w:w="108" w:type="dxa"/>
            <w:bottom w:w="0" w:type="dxa"/>
            <w:right w:w="108" w:type="dxa"/>
          </w:tblCellMar>
        </w:tblPrEx>
        <w:trPr>
          <w:trHeight w:val="460" w:hRule="atLeast"/>
          <w:jc w:val="center"/>
        </w:trPr>
        <w:tc>
          <w:tcPr>
            <w:tcW w:w="2835" w:type="dxa"/>
            <w:tcBorders>
              <w:top w:val="nil"/>
              <w:left w:val="single" w:color="auto" w:sz="4" w:space="0"/>
              <w:bottom w:val="single" w:color="auto" w:sz="4" w:space="0"/>
              <w:right w:val="single" w:color="auto" w:sz="4" w:space="0"/>
            </w:tcBorders>
            <w:vAlign w:val="center"/>
          </w:tcPr>
          <w:p>
            <w:pPr>
              <w:spacing w:line="560" w:lineRule="exact"/>
              <w:contextualSpacing/>
              <w:jc w:val="center"/>
              <w:rPr>
                <w:rFonts w:ascii="仿宋" w:hAnsi="仿宋" w:eastAsia="仿宋" w:cs="仿宋"/>
                <w:sz w:val="24"/>
                <w:szCs w:val="24"/>
              </w:rPr>
            </w:pPr>
            <w:r>
              <w:rPr>
                <w:rFonts w:hint="eastAsia" w:ascii="仿宋" w:hAnsi="仿宋" w:eastAsia="仿宋" w:cs="仿宋"/>
                <w:sz w:val="24"/>
                <w:szCs w:val="24"/>
              </w:rPr>
              <w:t>货物周转量</w:t>
            </w:r>
          </w:p>
        </w:tc>
        <w:tc>
          <w:tcPr>
            <w:tcW w:w="1134" w:type="dxa"/>
            <w:tcBorders>
              <w:top w:val="nil"/>
              <w:left w:val="nil"/>
              <w:bottom w:val="single" w:color="auto" w:sz="4" w:space="0"/>
              <w:right w:val="single" w:color="auto" w:sz="4" w:space="0"/>
            </w:tcBorders>
            <w:vAlign w:val="center"/>
          </w:tcPr>
          <w:p>
            <w:pPr>
              <w:spacing w:line="400" w:lineRule="exact"/>
              <w:contextualSpacing/>
              <w:jc w:val="center"/>
              <w:rPr>
                <w:rFonts w:ascii="仿宋" w:hAnsi="仿宋" w:eastAsia="仿宋" w:cs="仿宋"/>
                <w:sz w:val="24"/>
                <w:szCs w:val="24"/>
              </w:rPr>
            </w:pPr>
            <w:r>
              <w:rPr>
                <w:rFonts w:hint="eastAsia" w:ascii="仿宋" w:hAnsi="仿宋" w:eastAsia="仿宋" w:cs="仿宋"/>
                <w:sz w:val="24"/>
                <w:szCs w:val="24"/>
              </w:rPr>
              <w:t>亿吨公里</w:t>
            </w:r>
          </w:p>
        </w:tc>
        <w:tc>
          <w:tcPr>
            <w:tcW w:w="1417" w:type="dxa"/>
            <w:tcBorders>
              <w:top w:val="single" w:color="auto" w:sz="4" w:space="0"/>
              <w:left w:val="nil"/>
              <w:bottom w:val="single" w:color="auto" w:sz="4" w:space="0"/>
              <w:right w:val="single" w:color="auto" w:sz="4" w:space="0"/>
            </w:tcBorders>
            <w:vAlign w:val="center"/>
          </w:tcPr>
          <w:p>
            <w:pPr>
              <w:spacing w:line="560" w:lineRule="exact"/>
              <w:contextualSpacing/>
              <w:jc w:val="center"/>
              <w:rPr>
                <w:rFonts w:ascii="仿宋" w:hAnsi="仿宋" w:eastAsia="仿宋" w:cs="仿宋"/>
                <w:sz w:val="24"/>
                <w:szCs w:val="24"/>
              </w:rPr>
            </w:pPr>
            <w:r>
              <w:rPr>
                <w:rFonts w:hint="eastAsia" w:ascii="仿宋" w:hAnsi="仿宋" w:eastAsia="仿宋" w:cs="仿宋"/>
                <w:sz w:val="24"/>
                <w:szCs w:val="24"/>
              </w:rPr>
              <w:t>780</w:t>
            </w:r>
          </w:p>
        </w:tc>
        <w:tc>
          <w:tcPr>
            <w:tcW w:w="1417" w:type="dxa"/>
            <w:tcBorders>
              <w:top w:val="nil"/>
              <w:left w:val="single" w:color="auto" w:sz="4" w:space="0"/>
              <w:bottom w:val="single" w:color="auto" w:sz="4" w:space="0"/>
              <w:right w:val="single" w:color="auto" w:sz="4" w:space="0"/>
            </w:tcBorders>
            <w:vAlign w:val="center"/>
          </w:tcPr>
          <w:p>
            <w:pPr>
              <w:spacing w:line="560" w:lineRule="exact"/>
              <w:contextualSpacing/>
              <w:jc w:val="center"/>
              <w:rPr>
                <w:rFonts w:ascii="仿宋" w:hAnsi="仿宋" w:eastAsia="仿宋" w:cs="仿宋"/>
                <w:sz w:val="24"/>
                <w:szCs w:val="24"/>
              </w:rPr>
            </w:pPr>
            <w:r>
              <w:rPr>
                <w:rFonts w:hint="eastAsia" w:ascii="仿宋" w:hAnsi="仿宋" w:eastAsia="仿宋" w:cs="仿宋"/>
                <w:sz w:val="24"/>
                <w:szCs w:val="24"/>
              </w:rPr>
              <w:t>1050</w:t>
            </w:r>
          </w:p>
        </w:tc>
        <w:tc>
          <w:tcPr>
            <w:tcW w:w="1701" w:type="dxa"/>
            <w:tcBorders>
              <w:top w:val="nil"/>
              <w:left w:val="nil"/>
              <w:bottom w:val="single" w:color="auto" w:sz="4" w:space="0"/>
              <w:right w:val="single" w:color="auto" w:sz="4" w:space="0"/>
            </w:tcBorders>
            <w:vAlign w:val="center"/>
          </w:tcPr>
          <w:p>
            <w:pPr>
              <w:spacing w:line="560" w:lineRule="exact"/>
              <w:contextualSpacing/>
              <w:jc w:val="center"/>
              <w:rPr>
                <w:rFonts w:ascii="仿宋" w:hAnsi="仿宋" w:eastAsia="仿宋" w:cs="仿宋"/>
                <w:sz w:val="24"/>
                <w:szCs w:val="24"/>
              </w:rPr>
            </w:pPr>
            <w:r>
              <w:rPr>
                <w:rFonts w:hint="eastAsia" w:ascii="仿宋" w:hAnsi="仿宋" w:eastAsia="仿宋" w:cs="仿宋"/>
                <w:sz w:val="24"/>
                <w:szCs w:val="24"/>
              </w:rPr>
              <w:t>预期性</w:t>
            </w:r>
          </w:p>
        </w:tc>
      </w:tr>
      <w:tr>
        <w:tblPrEx>
          <w:tblCellMar>
            <w:top w:w="0" w:type="dxa"/>
            <w:left w:w="108" w:type="dxa"/>
            <w:bottom w:w="0" w:type="dxa"/>
            <w:right w:w="108" w:type="dxa"/>
          </w:tblCellMar>
        </w:tblPrEx>
        <w:trPr>
          <w:trHeight w:val="761" w:hRule="atLeast"/>
          <w:jc w:val="center"/>
        </w:trPr>
        <w:tc>
          <w:tcPr>
            <w:tcW w:w="2835" w:type="dxa"/>
            <w:tcBorders>
              <w:top w:val="nil"/>
              <w:left w:val="single" w:color="auto" w:sz="4" w:space="0"/>
              <w:bottom w:val="single" w:color="auto" w:sz="4" w:space="0"/>
              <w:right w:val="single" w:color="auto" w:sz="4" w:space="0"/>
            </w:tcBorders>
            <w:vAlign w:val="center"/>
          </w:tcPr>
          <w:p>
            <w:pPr>
              <w:spacing w:line="560" w:lineRule="exact"/>
              <w:contextualSpacing/>
              <w:jc w:val="center"/>
              <w:rPr>
                <w:rFonts w:ascii="仿宋" w:hAnsi="仿宋" w:eastAsia="仿宋" w:cs="仿宋"/>
                <w:sz w:val="24"/>
                <w:szCs w:val="24"/>
              </w:rPr>
            </w:pPr>
            <w:r>
              <w:rPr>
                <w:rFonts w:hint="eastAsia" w:ascii="仿宋" w:hAnsi="仿宋" w:eastAsia="仿宋" w:cs="仿宋"/>
                <w:sz w:val="24"/>
                <w:szCs w:val="24"/>
              </w:rPr>
              <w:t>物流业增加值</w:t>
            </w:r>
          </w:p>
        </w:tc>
        <w:tc>
          <w:tcPr>
            <w:tcW w:w="1134" w:type="dxa"/>
            <w:tcBorders>
              <w:top w:val="nil"/>
              <w:left w:val="nil"/>
              <w:bottom w:val="single" w:color="auto" w:sz="4" w:space="0"/>
              <w:right w:val="single" w:color="auto" w:sz="4" w:space="0"/>
            </w:tcBorders>
            <w:vAlign w:val="center"/>
          </w:tcPr>
          <w:p>
            <w:pPr>
              <w:spacing w:line="560" w:lineRule="exact"/>
              <w:contextualSpacing/>
              <w:jc w:val="center"/>
              <w:rPr>
                <w:rFonts w:ascii="仿宋" w:hAnsi="仿宋" w:eastAsia="仿宋" w:cs="仿宋"/>
                <w:sz w:val="24"/>
                <w:szCs w:val="24"/>
              </w:rPr>
            </w:pPr>
            <w:r>
              <w:rPr>
                <w:rFonts w:hint="eastAsia" w:ascii="仿宋" w:hAnsi="仿宋" w:eastAsia="仿宋" w:cs="仿宋"/>
                <w:sz w:val="24"/>
                <w:szCs w:val="24"/>
              </w:rPr>
              <w:t>亿元</w:t>
            </w:r>
          </w:p>
        </w:tc>
        <w:tc>
          <w:tcPr>
            <w:tcW w:w="1417" w:type="dxa"/>
            <w:tcBorders>
              <w:top w:val="single" w:color="auto" w:sz="4" w:space="0"/>
              <w:left w:val="nil"/>
              <w:bottom w:val="single" w:color="auto" w:sz="4" w:space="0"/>
              <w:right w:val="single" w:color="auto" w:sz="4" w:space="0"/>
            </w:tcBorders>
            <w:vAlign w:val="center"/>
          </w:tcPr>
          <w:p>
            <w:pPr>
              <w:spacing w:line="560" w:lineRule="exact"/>
              <w:contextualSpacing/>
              <w:jc w:val="center"/>
              <w:rPr>
                <w:rFonts w:ascii="仿宋" w:hAnsi="仿宋" w:eastAsia="仿宋" w:cs="仿宋"/>
                <w:sz w:val="24"/>
                <w:szCs w:val="24"/>
              </w:rPr>
            </w:pPr>
            <w:r>
              <w:rPr>
                <w:rFonts w:hint="eastAsia" w:ascii="仿宋" w:hAnsi="仿宋" w:eastAsia="仿宋" w:cs="仿宋"/>
                <w:sz w:val="24"/>
                <w:szCs w:val="24"/>
              </w:rPr>
              <w:t>240</w:t>
            </w:r>
          </w:p>
        </w:tc>
        <w:tc>
          <w:tcPr>
            <w:tcW w:w="1417" w:type="dxa"/>
            <w:tcBorders>
              <w:top w:val="nil"/>
              <w:left w:val="single" w:color="auto" w:sz="4" w:space="0"/>
              <w:bottom w:val="single" w:color="auto" w:sz="4" w:space="0"/>
              <w:right w:val="single" w:color="auto" w:sz="4" w:space="0"/>
            </w:tcBorders>
            <w:vAlign w:val="center"/>
          </w:tcPr>
          <w:p>
            <w:pPr>
              <w:spacing w:line="560" w:lineRule="exact"/>
              <w:contextualSpacing/>
              <w:jc w:val="center"/>
              <w:rPr>
                <w:rFonts w:ascii="仿宋" w:hAnsi="仿宋" w:eastAsia="仿宋" w:cs="仿宋"/>
                <w:sz w:val="24"/>
                <w:szCs w:val="24"/>
              </w:rPr>
            </w:pPr>
            <w:r>
              <w:rPr>
                <w:rFonts w:hint="eastAsia" w:ascii="仿宋" w:hAnsi="仿宋" w:eastAsia="仿宋" w:cs="仿宋"/>
                <w:sz w:val="24"/>
                <w:szCs w:val="24"/>
              </w:rPr>
              <w:t>300</w:t>
            </w:r>
          </w:p>
        </w:tc>
        <w:tc>
          <w:tcPr>
            <w:tcW w:w="1701" w:type="dxa"/>
            <w:tcBorders>
              <w:top w:val="nil"/>
              <w:left w:val="nil"/>
              <w:bottom w:val="single" w:color="auto" w:sz="4" w:space="0"/>
              <w:right w:val="single" w:color="auto" w:sz="4" w:space="0"/>
            </w:tcBorders>
            <w:vAlign w:val="center"/>
          </w:tcPr>
          <w:p>
            <w:pPr>
              <w:spacing w:line="560" w:lineRule="exact"/>
              <w:contextualSpacing/>
              <w:jc w:val="center"/>
              <w:rPr>
                <w:rFonts w:ascii="仿宋" w:hAnsi="仿宋" w:eastAsia="仿宋" w:cs="仿宋"/>
                <w:sz w:val="24"/>
                <w:szCs w:val="24"/>
              </w:rPr>
            </w:pPr>
            <w:r>
              <w:rPr>
                <w:rFonts w:hint="eastAsia" w:ascii="仿宋" w:hAnsi="仿宋" w:eastAsia="仿宋" w:cs="仿宋"/>
                <w:sz w:val="24"/>
                <w:szCs w:val="24"/>
              </w:rPr>
              <w:t>预期性</w:t>
            </w:r>
          </w:p>
        </w:tc>
      </w:tr>
      <w:tr>
        <w:tblPrEx>
          <w:tblCellMar>
            <w:top w:w="0" w:type="dxa"/>
            <w:left w:w="108" w:type="dxa"/>
            <w:bottom w:w="0" w:type="dxa"/>
            <w:right w:w="108" w:type="dxa"/>
          </w:tblCellMar>
        </w:tblPrEx>
        <w:trPr>
          <w:trHeight w:val="460" w:hRule="atLeast"/>
          <w:jc w:val="center"/>
        </w:trPr>
        <w:tc>
          <w:tcPr>
            <w:tcW w:w="2835" w:type="dxa"/>
            <w:tcBorders>
              <w:top w:val="nil"/>
              <w:left w:val="single" w:color="auto" w:sz="4" w:space="0"/>
              <w:bottom w:val="single" w:color="auto" w:sz="4" w:space="0"/>
              <w:right w:val="single" w:color="auto" w:sz="4" w:space="0"/>
            </w:tcBorders>
            <w:vAlign w:val="center"/>
          </w:tcPr>
          <w:p>
            <w:pPr>
              <w:spacing w:line="400" w:lineRule="exact"/>
              <w:contextualSpacing/>
              <w:jc w:val="center"/>
              <w:rPr>
                <w:rFonts w:ascii="仿宋" w:hAnsi="仿宋" w:eastAsia="仿宋" w:cs="仿宋"/>
                <w:sz w:val="24"/>
                <w:szCs w:val="24"/>
              </w:rPr>
            </w:pPr>
            <w:r>
              <w:rPr>
                <w:rFonts w:hint="eastAsia" w:ascii="仿宋" w:hAnsi="仿宋" w:eastAsia="仿宋" w:cs="仿宋"/>
                <w:sz w:val="24"/>
                <w:szCs w:val="24"/>
              </w:rPr>
              <w:t>物流业增加值年均增长速度</w:t>
            </w:r>
          </w:p>
        </w:tc>
        <w:tc>
          <w:tcPr>
            <w:tcW w:w="1134" w:type="dxa"/>
            <w:tcBorders>
              <w:top w:val="nil"/>
              <w:left w:val="nil"/>
              <w:bottom w:val="single" w:color="auto" w:sz="4" w:space="0"/>
              <w:right w:val="single" w:color="auto" w:sz="4" w:space="0"/>
            </w:tcBorders>
            <w:vAlign w:val="center"/>
          </w:tcPr>
          <w:p>
            <w:pPr>
              <w:spacing w:line="560" w:lineRule="exact"/>
              <w:contextualSpacing/>
              <w:jc w:val="center"/>
              <w:rPr>
                <w:rFonts w:ascii="仿宋" w:hAnsi="仿宋" w:eastAsia="仿宋" w:cs="仿宋"/>
                <w:sz w:val="24"/>
                <w:szCs w:val="24"/>
              </w:rPr>
            </w:pPr>
            <w:r>
              <w:rPr>
                <w:rFonts w:hint="eastAsia" w:ascii="仿宋" w:hAnsi="仿宋" w:eastAsia="仿宋" w:cs="仿宋"/>
                <w:sz w:val="24"/>
                <w:szCs w:val="24"/>
              </w:rPr>
              <w:t>%</w:t>
            </w:r>
          </w:p>
        </w:tc>
        <w:tc>
          <w:tcPr>
            <w:tcW w:w="1417" w:type="dxa"/>
            <w:tcBorders>
              <w:top w:val="single" w:color="auto" w:sz="4" w:space="0"/>
              <w:left w:val="nil"/>
              <w:bottom w:val="single" w:color="auto" w:sz="4" w:space="0"/>
              <w:right w:val="single" w:color="auto" w:sz="4" w:space="0"/>
            </w:tcBorders>
            <w:vAlign w:val="center"/>
          </w:tcPr>
          <w:p>
            <w:pPr>
              <w:spacing w:line="560" w:lineRule="exact"/>
              <w:contextualSpacing/>
              <w:jc w:val="center"/>
              <w:rPr>
                <w:rFonts w:ascii="仿宋" w:hAnsi="仿宋" w:eastAsia="仿宋" w:cs="仿宋"/>
                <w:sz w:val="24"/>
                <w:szCs w:val="24"/>
              </w:rPr>
            </w:pPr>
            <w:r>
              <w:rPr>
                <w:rFonts w:hint="eastAsia" w:ascii="仿宋" w:hAnsi="仿宋" w:eastAsia="仿宋" w:cs="仿宋"/>
                <w:sz w:val="24"/>
                <w:szCs w:val="24"/>
              </w:rPr>
              <w:t>＞9</w:t>
            </w:r>
          </w:p>
        </w:tc>
        <w:tc>
          <w:tcPr>
            <w:tcW w:w="1417" w:type="dxa"/>
            <w:tcBorders>
              <w:top w:val="nil"/>
              <w:left w:val="single" w:color="auto" w:sz="4" w:space="0"/>
              <w:bottom w:val="single" w:color="auto" w:sz="4" w:space="0"/>
              <w:right w:val="single" w:color="auto" w:sz="4" w:space="0"/>
            </w:tcBorders>
            <w:vAlign w:val="center"/>
          </w:tcPr>
          <w:p>
            <w:pPr>
              <w:spacing w:line="560" w:lineRule="exact"/>
              <w:contextualSpacing/>
              <w:jc w:val="center"/>
              <w:rPr>
                <w:rFonts w:ascii="仿宋" w:hAnsi="仿宋" w:eastAsia="仿宋" w:cs="仿宋"/>
                <w:sz w:val="24"/>
                <w:szCs w:val="24"/>
              </w:rPr>
            </w:pPr>
            <w:r>
              <w:rPr>
                <w:rFonts w:hint="eastAsia" w:ascii="仿宋" w:hAnsi="仿宋" w:eastAsia="仿宋" w:cs="仿宋"/>
                <w:sz w:val="24"/>
                <w:szCs w:val="24"/>
              </w:rPr>
              <w:t>＞11</w:t>
            </w:r>
          </w:p>
        </w:tc>
        <w:tc>
          <w:tcPr>
            <w:tcW w:w="1701" w:type="dxa"/>
            <w:tcBorders>
              <w:top w:val="nil"/>
              <w:left w:val="nil"/>
              <w:bottom w:val="single" w:color="auto" w:sz="4" w:space="0"/>
              <w:right w:val="single" w:color="auto" w:sz="4" w:space="0"/>
            </w:tcBorders>
            <w:vAlign w:val="center"/>
          </w:tcPr>
          <w:p>
            <w:pPr>
              <w:spacing w:line="560" w:lineRule="exact"/>
              <w:contextualSpacing/>
              <w:jc w:val="center"/>
              <w:rPr>
                <w:rFonts w:ascii="仿宋" w:hAnsi="仿宋" w:eastAsia="仿宋" w:cs="仿宋"/>
                <w:sz w:val="24"/>
                <w:szCs w:val="24"/>
              </w:rPr>
            </w:pPr>
            <w:r>
              <w:rPr>
                <w:rFonts w:hint="eastAsia" w:ascii="仿宋" w:hAnsi="仿宋" w:eastAsia="仿宋" w:cs="仿宋"/>
                <w:sz w:val="24"/>
                <w:szCs w:val="24"/>
              </w:rPr>
              <w:t>预期性</w:t>
            </w:r>
          </w:p>
        </w:tc>
      </w:tr>
      <w:tr>
        <w:tblPrEx>
          <w:tblCellMar>
            <w:top w:w="0" w:type="dxa"/>
            <w:left w:w="108" w:type="dxa"/>
            <w:bottom w:w="0" w:type="dxa"/>
            <w:right w:w="108" w:type="dxa"/>
          </w:tblCellMar>
        </w:tblPrEx>
        <w:trPr>
          <w:trHeight w:val="727" w:hRule="atLeast"/>
          <w:jc w:val="center"/>
        </w:trPr>
        <w:tc>
          <w:tcPr>
            <w:tcW w:w="2835" w:type="dxa"/>
            <w:tcBorders>
              <w:top w:val="nil"/>
              <w:left w:val="single" w:color="auto" w:sz="4" w:space="0"/>
              <w:bottom w:val="single" w:color="auto" w:sz="4" w:space="0"/>
              <w:right w:val="single" w:color="auto" w:sz="4" w:space="0"/>
            </w:tcBorders>
            <w:vAlign w:val="center"/>
          </w:tcPr>
          <w:p>
            <w:pPr>
              <w:spacing w:line="560" w:lineRule="exact"/>
              <w:contextualSpacing/>
              <w:jc w:val="center"/>
              <w:rPr>
                <w:rFonts w:ascii="仿宋" w:hAnsi="仿宋" w:eastAsia="仿宋" w:cs="仿宋"/>
                <w:sz w:val="24"/>
                <w:szCs w:val="24"/>
              </w:rPr>
            </w:pPr>
            <w:r>
              <w:rPr>
                <w:rFonts w:hint="eastAsia" w:ascii="仿宋" w:hAnsi="仿宋" w:eastAsia="仿宋" w:cs="仿宋"/>
                <w:sz w:val="24"/>
                <w:szCs w:val="24"/>
              </w:rPr>
              <w:t>社会物流总费用</w:t>
            </w:r>
          </w:p>
        </w:tc>
        <w:tc>
          <w:tcPr>
            <w:tcW w:w="1134" w:type="dxa"/>
            <w:tcBorders>
              <w:top w:val="nil"/>
              <w:left w:val="nil"/>
              <w:bottom w:val="single" w:color="auto" w:sz="4" w:space="0"/>
              <w:right w:val="single" w:color="auto" w:sz="4" w:space="0"/>
            </w:tcBorders>
            <w:vAlign w:val="center"/>
          </w:tcPr>
          <w:p>
            <w:pPr>
              <w:spacing w:line="560" w:lineRule="exact"/>
              <w:contextualSpacing/>
              <w:jc w:val="center"/>
              <w:rPr>
                <w:rFonts w:ascii="仿宋" w:hAnsi="仿宋" w:eastAsia="仿宋" w:cs="仿宋"/>
                <w:sz w:val="24"/>
                <w:szCs w:val="24"/>
              </w:rPr>
            </w:pPr>
            <w:r>
              <w:rPr>
                <w:rFonts w:hint="eastAsia" w:ascii="仿宋" w:hAnsi="仿宋" w:eastAsia="仿宋" w:cs="仿宋"/>
                <w:sz w:val="24"/>
                <w:szCs w:val="24"/>
              </w:rPr>
              <w:t>亿元</w:t>
            </w:r>
          </w:p>
        </w:tc>
        <w:tc>
          <w:tcPr>
            <w:tcW w:w="1417" w:type="dxa"/>
            <w:tcBorders>
              <w:top w:val="single" w:color="auto" w:sz="4" w:space="0"/>
              <w:left w:val="nil"/>
              <w:bottom w:val="single" w:color="auto" w:sz="4" w:space="0"/>
              <w:right w:val="single" w:color="auto" w:sz="4" w:space="0"/>
            </w:tcBorders>
            <w:vAlign w:val="center"/>
          </w:tcPr>
          <w:p>
            <w:pPr>
              <w:spacing w:line="560" w:lineRule="exact"/>
              <w:contextualSpacing/>
              <w:jc w:val="center"/>
              <w:rPr>
                <w:rFonts w:ascii="仿宋" w:hAnsi="仿宋" w:eastAsia="仿宋" w:cs="仿宋"/>
                <w:sz w:val="24"/>
                <w:szCs w:val="24"/>
              </w:rPr>
            </w:pPr>
            <w:r>
              <w:rPr>
                <w:rFonts w:hint="eastAsia" w:ascii="仿宋" w:hAnsi="仿宋" w:eastAsia="仿宋" w:cs="仿宋"/>
                <w:sz w:val="24"/>
                <w:szCs w:val="24"/>
              </w:rPr>
              <w:t>635</w:t>
            </w:r>
          </w:p>
        </w:tc>
        <w:tc>
          <w:tcPr>
            <w:tcW w:w="1417" w:type="dxa"/>
            <w:tcBorders>
              <w:top w:val="nil"/>
              <w:left w:val="single" w:color="auto" w:sz="4" w:space="0"/>
              <w:bottom w:val="single" w:color="auto" w:sz="4" w:space="0"/>
              <w:right w:val="single" w:color="auto" w:sz="4" w:space="0"/>
            </w:tcBorders>
            <w:vAlign w:val="center"/>
          </w:tcPr>
          <w:p>
            <w:pPr>
              <w:spacing w:line="560" w:lineRule="exact"/>
              <w:contextualSpacing/>
              <w:jc w:val="center"/>
              <w:rPr>
                <w:rFonts w:ascii="仿宋" w:hAnsi="仿宋" w:eastAsia="仿宋" w:cs="仿宋"/>
                <w:sz w:val="24"/>
                <w:szCs w:val="24"/>
              </w:rPr>
            </w:pPr>
            <w:r>
              <w:rPr>
                <w:rFonts w:hint="eastAsia" w:ascii="仿宋" w:hAnsi="仿宋" w:eastAsia="仿宋" w:cs="仿宋"/>
                <w:sz w:val="24"/>
                <w:szCs w:val="24"/>
              </w:rPr>
              <w:t>755</w:t>
            </w:r>
          </w:p>
        </w:tc>
        <w:tc>
          <w:tcPr>
            <w:tcW w:w="1701" w:type="dxa"/>
            <w:tcBorders>
              <w:top w:val="nil"/>
              <w:left w:val="nil"/>
              <w:bottom w:val="single" w:color="auto" w:sz="4" w:space="0"/>
              <w:right w:val="single" w:color="auto" w:sz="4" w:space="0"/>
            </w:tcBorders>
            <w:vAlign w:val="center"/>
          </w:tcPr>
          <w:p>
            <w:pPr>
              <w:spacing w:line="560" w:lineRule="exact"/>
              <w:contextualSpacing/>
              <w:jc w:val="center"/>
              <w:rPr>
                <w:rFonts w:ascii="仿宋" w:hAnsi="仿宋" w:eastAsia="仿宋" w:cs="仿宋"/>
                <w:sz w:val="24"/>
                <w:szCs w:val="24"/>
              </w:rPr>
            </w:pPr>
            <w:r>
              <w:rPr>
                <w:rFonts w:hint="eastAsia" w:ascii="仿宋" w:hAnsi="仿宋" w:eastAsia="仿宋" w:cs="仿宋"/>
                <w:sz w:val="24"/>
                <w:szCs w:val="24"/>
              </w:rPr>
              <w:t>预期性</w:t>
            </w:r>
          </w:p>
        </w:tc>
      </w:tr>
      <w:tr>
        <w:tblPrEx>
          <w:tblCellMar>
            <w:top w:w="0" w:type="dxa"/>
            <w:left w:w="108" w:type="dxa"/>
            <w:bottom w:w="0" w:type="dxa"/>
            <w:right w:w="108" w:type="dxa"/>
          </w:tblCellMar>
        </w:tblPrEx>
        <w:trPr>
          <w:trHeight w:val="460" w:hRule="atLeast"/>
          <w:jc w:val="center"/>
        </w:trPr>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仿宋" w:hAnsi="仿宋" w:eastAsia="仿宋" w:cs="仿宋"/>
                <w:sz w:val="24"/>
                <w:szCs w:val="24"/>
              </w:rPr>
            </w:pPr>
            <w:r>
              <w:rPr>
                <w:rFonts w:hint="eastAsia" w:ascii="仿宋" w:hAnsi="仿宋" w:eastAsia="仿宋" w:cs="仿宋"/>
                <w:sz w:val="24"/>
                <w:szCs w:val="24"/>
              </w:rPr>
              <w:t>社会物流总费用占GDP比率</w:t>
            </w:r>
          </w:p>
        </w:tc>
        <w:tc>
          <w:tcPr>
            <w:tcW w:w="1134" w:type="dxa"/>
            <w:tcBorders>
              <w:top w:val="single" w:color="auto" w:sz="4" w:space="0"/>
              <w:left w:val="nil"/>
              <w:bottom w:val="single" w:color="auto" w:sz="4" w:space="0"/>
              <w:right w:val="single" w:color="auto" w:sz="4" w:space="0"/>
            </w:tcBorders>
            <w:vAlign w:val="center"/>
          </w:tcPr>
          <w:p>
            <w:pPr>
              <w:spacing w:line="560" w:lineRule="exact"/>
              <w:contextualSpacing/>
              <w:jc w:val="center"/>
              <w:rPr>
                <w:rFonts w:ascii="仿宋" w:hAnsi="仿宋" w:eastAsia="仿宋" w:cs="仿宋"/>
                <w:sz w:val="24"/>
                <w:szCs w:val="24"/>
              </w:rPr>
            </w:pPr>
            <w:r>
              <w:rPr>
                <w:rFonts w:hint="eastAsia" w:ascii="仿宋" w:hAnsi="仿宋" w:eastAsia="仿宋" w:cs="仿宋"/>
                <w:sz w:val="24"/>
                <w:szCs w:val="24"/>
              </w:rPr>
              <w:t>%</w:t>
            </w:r>
          </w:p>
        </w:tc>
        <w:tc>
          <w:tcPr>
            <w:tcW w:w="1417" w:type="dxa"/>
            <w:tcBorders>
              <w:top w:val="single" w:color="auto" w:sz="4" w:space="0"/>
              <w:left w:val="nil"/>
              <w:bottom w:val="single" w:color="auto" w:sz="4" w:space="0"/>
              <w:right w:val="single" w:color="auto" w:sz="4" w:space="0"/>
            </w:tcBorders>
            <w:vAlign w:val="center"/>
          </w:tcPr>
          <w:p>
            <w:pPr>
              <w:spacing w:line="560" w:lineRule="exact"/>
              <w:contextualSpacing/>
              <w:jc w:val="center"/>
              <w:rPr>
                <w:rFonts w:ascii="仿宋" w:hAnsi="仿宋" w:eastAsia="仿宋" w:cs="仿宋"/>
                <w:sz w:val="24"/>
                <w:szCs w:val="24"/>
              </w:rPr>
            </w:pPr>
            <w:r>
              <w:rPr>
                <w:rFonts w:hint="eastAsia" w:ascii="仿宋" w:hAnsi="仿宋" w:eastAsia="仿宋" w:cs="仿宋"/>
                <w:sz w:val="24"/>
                <w:szCs w:val="24"/>
              </w:rPr>
              <w:t>＜13</w:t>
            </w:r>
          </w:p>
        </w:tc>
        <w:tc>
          <w:tcPr>
            <w:tcW w:w="1417" w:type="dxa"/>
            <w:tcBorders>
              <w:top w:val="single" w:color="auto" w:sz="4" w:space="0"/>
              <w:left w:val="single" w:color="auto" w:sz="4" w:space="0"/>
              <w:bottom w:val="single" w:color="auto" w:sz="4" w:space="0"/>
              <w:right w:val="single" w:color="auto" w:sz="4" w:space="0"/>
            </w:tcBorders>
            <w:vAlign w:val="center"/>
          </w:tcPr>
          <w:p>
            <w:pPr>
              <w:spacing w:line="560" w:lineRule="exact"/>
              <w:contextualSpacing/>
              <w:jc w:val="center"/>
              <w:rPr>
                <w:rFonts w:ascii="仿宋" w:hAnsi="仿宋" w:eastAsia="仿宋" w:cs="仿宋"/>
                <w:sz w:val="24"/>
                <w:szCs w:val="24"/>
              </w:rPr>
            </w:pPr>
            <w:r>
              <w:rPr>
                <w:rFonts w:hint="eastAsia" w:ascii="仿宋" w:hAnsi="仿宋" w:eastAsia="仿宋" w:cs="仿宋"/>
                <w:sz w:val="24"/>
                <w:szCs w:val="24"/>
              </w:rPr>
              <w:t>＜12.6</w:t>
            </w:r>
          </w:p>
        </w:tc>
        <w:tc>
          <w:tcPr>
            <w:tcW w:w="1701" w:type="dxa"/>
            <w:tcBorders>
              <w:top w:val="single" w:color="auto" w:sz="4" w:space="0"/>
              <w:left w:val="nil"/>
              <w:bottom w:val="single" w:color="auto" w:sz="4" w:space="0"/>
              <w:right w:val="single" w:color="auto" w:sz="4" w:space="0"/>
            </w:tcBorders>
            <w:vAlign w:val="center"/>
          </w:tcPr>
          <w:p>
            <w:pPr>
              <w:spacing w:line="560" w:lineRule="exact"/>
              <w:contextualSpacing/>
              <w:jc w:val="center"/>
              <w:rPr>
                <w:rFonts w:ascii="仿宋" w:hAnsi="仿宋" w:eastAsia="仿宋" w:cs="仿宋"/>
                <w:sz w:val="24"/>
                <w:szCs w:val="24"/>
              </w:rPr>
            </w:pPr>
            <w:r>
              <w:rPr>
                <w:rFonts w:hint="eastAsia" w:ascii="仿宋" w:hAnsi="仿宋" w:eastAsia="仿宋" w:cs="仿宋"/>
                <w:sz w:val="24"/>
                <w:szCs w:val="24"/>
              </w:rPr>
              <w:t>约束性</w:t>
            </w:r>
          </w:p>
        </w:tc>
      </w:tr>
    </w:tbl>
    <w:p>
      <w:pPr>
        <w:spacing w:line="560" w:lineRule="exact"/>
        <w:contextualSpacing/>
        <w:jc w:val="center"/>
        <w:outlineLvl w:val="0"/>
        <w:rPr>
          <w:rFonts w:ascii="黑体" w:hAnsi="黑体" w:eastAsia="黑体" w:cs="黑体"/>
        </w:rPr>
      </w:pPr>
      <w:bookmarkStart w:id="1252" w:name="_Toc528679319"/>
      <w:bookmarkStart w:id="1253" w:name="_Toc458374678"/>
      <w:r>
        <w:rPr>
          <w:rFonts w:hint="eastAsia" w:ascii="黑体" w:hAnsi="黑体" w:eastAsia="黑体" w:cs="黑体"/>
        </w:rPr>
        <w:t>第三章 空间布局</w:t>
      </w:r>
      <w:bookmarkEnd w:id="1252"/>
      <w:bookmarkEnd w:id="1253"/>
    </w:p>
    <w:p>
      <w:pPr>
        <w:pStyle w:val="24"/>
        <w:spacing w:beforeAutospacing="0" w:afterAutospacing="0" w:line="560" w:lineRule="exact"/>
        <w:ind w:firstLine="640" w:firstLineChars="200"/>
        <w:contextualSpacing/>
        <w:jc w:val="both"/>
        <w:rPr>
          <w:rFonts w:ascii="Times New Roman" w:hAnsi="Times New Roman"/>
          <w:kern w:val="2"/>
          <w:sz w:val="32"/>
        </w:rPr>
      </w:pPr>
      <w:r>
        <w:rPr>
          <w:rFonts w:hint="eastAsia" w:ascii="Times New Roman" w:hAnsi="Times New Roman"/>
          <w:kern w:val="2"/>
          <w:sz w:val="32"/>
        </w:rPr>
        <w:t>依托正在形成的综合立体交通体系，立足“中心突破、轴带隆起、全域联动、多点支撑”的城市发展格局和“西联、北引、东进、南下”开放格局，全市现代物流业全力打造一个综合物流分拨中心，重点建设国际陆港物流片区、农产品物流片区、高铁商贸物流片区三个核心片区，畅通“公铁空水”高效衔接的四大物流通道，联动发展县（市、区）物流园区和物流企业多个节点，构建形成“1+3+N”物流发展格局。</w:t>
      </w:r>
    </w:p>
    <w:p>
      <w:pPr>
        <w:spacing w:line="560" w:lineRule="exact"/>
        <w:contextualSpacing/>
        <w:jc w:val="center"/>
        <w:outlineLvl w:val="1"/>
        <w:rPr>
          <w:rFonts w:ascii="Times New Roman" w:hAnsi="Times New Roman" w:eastAsia="楷体_GB2312"/>
          <w:bCs/>
        </w:rPr>
      </w:pPr>
      <w:bookmarkStart w:id="1254" w:name="_Toc1112705194"/>
      <w:r>
        <w:rPr>
          <w:rFonts w:hint="eastAsia" w:ascii="Times New Roman" w:hAnsi="Times New Roman" w:eastAsia="楷体_GB2312"/>
          <w:bCs/>
        </w:rPr>
        <w:t>第一节 建设一个物流分拨中心</w:t>
      </w:r>
      <w:bookmarkEnd w:id="1254"/>
    </w:p>
    <w:p>
      <w:pPr>
        <w:pStyle w:val="24"/>
        <w:spacing w:beforeAutospacing="0" w:afterAutospacing="0" w:line="560" w:lineRule="exact"/>
        <w:ind w:firstLine="640" w:firstLineChars="200"/>
        <w:contextualSpacing/>
        <w:jc w:val="both"/>
        <w:rPr>
          <w:rFonts w:ascii="Times New Roman" w:hAnsi="Times New Roman"/>
          <w:bCs/>
          <w:kern w:val="2"/>
          <w:sz w:val="32"/>
        </w:rPr>
      </w:pPr>
      <w:r>
        <w:rPr>
          <w:rFonts w:hint="eastAsia" w:ascii="Times New Roman" w:hAnsi="Times New Roman"/>
          <w:kern w:val="2"/>
          <w:sz w:val="32"/>
        </w:rPr>
        <w:t>在二广高速遮山站以西以南区域，规划建设南阳综合物流分拨中心，集成货运配载、专线物流、快递分拨、共同配送等功能，打造为公路干线运输与城市物流交换基地、辐射全市的一级分拨配送中心。加快推进万德隆物流配送中心、邮政豫西南寄递分拨中心、镇平泽耀久鸿智慧农博城等重点设施载体建设，健全完善多元要素聚合、供应链资源整合和智慧创新赋能的现代物流产业链生态，放大提升国家商贸服务型物流枢纽承载城市的发展能级。</w:t>
      </w:r>
    </w:p>
    <w:p>
      <w:pPr>
        <w:spacing w:line="560" w:lineRule="exact"/>
        <w:contextualSpacing/>
        <w:jc w:val="center"/>
        <w:outlineLvl w:val="1"/>
        <w:rPr>
          <w:rFonts w:ascii="Times New Roman" w:hAnsi="Times New Roman" w:eastAsia="楷体_GB2312"/>
          <w:bCs/>
        </w:rPr>
      </w:pPr>
      <w:bookmarkStart w:id="1255" w:name="_Toc1449080562"/>
      <w:r>
        <w:rPr>
          <w:rFonts w:hint="eastAsia" w:ascii="Times New Roman" w:hAnsi="Times New Roman" w:eastAsia="楷体_GB2312"/>
          <w:bCs/>
        </w:rPr>
        <w:t>第二节 打造三个专业物流片区</w:t>
      </w:r>
      <w:bookmarkEnd w:id="1255"/>
    </w:p>
    <w:p>
      <w:pPr>
        <w:spacing w:line="560" w:lineRule="exact"/>
        <w:ind w:firstLine="602"/>
        <w:contextualSpacing/>
        <w:rPr>
          <w:rFonts w:ascii="Times New Roman" w:hAnsi="Times New Roman"/>
        </w:rPr>
      </w:pPr>
      <w:r>
        <w:rPr>
          <w:rFonts w:hint="eastAsia" w:ascii="仿宋_GB2312" w:hAnsi="仿宋_GB2312" w:cs="仿宋_GB2312"/>
          <w:bCs/>
        </w:rPr>
        <w:t>1.卧龙现代物流片区。</w:t>
      </w:r>
      <w:r>
        <w:rPr>
          <w:rFonts w:hint="eastAsia" w:ascii="Times New Roman" w:hAnsi="Times New Roman"/>
        </w:rPr>
        <w:t>以南阳西站（货运编组站）区域和卧龙综合保税区为核心载体，加快建设南阳铁路二级物流基地、国际陆港物流园、卧龙现代物流产业园、海元公路港，打造公铁多式联运枢纽。以保税物流、口岸平台、跨境电商、国际贸易为支撑，积极引进和培育第三方、第四方高端物流业态和知名品牌，重点发展工业品原材料、制造业等生产性物流和食品、服装、家居、家电、冷链等生活性物流，支撑南阳国际展销、进出口加工和先进制造业发展，建成重点连接宁西铁路沿线和焦柳铁路沿线重要物流节点、服务豫西南与鄂北地区、联通国际的公铁联运型物流枢纽地。</w:t>
      </w:r>
    </w:p>
    <w:p>
      <w:pPr>
        <w:spacing w:line="560" w:lineRule="exact"/>
        <w:ind w:firstLine="640" w:firstLineChars="200"/>
        <w:contextualSpacing/>
        <w:rPr>
          <w:rFonts w:ascii="Times New Roman" w:hAnsi="Times New Roman"/>
        </w:rPr>
      </w:pPr>
      <w:r>
        <w:rPr>
          <w:rFonts w:hint="eastAsia" w:ascii="仿宋_GB2312" w:hAnsi="仿宋_GB2312" w:cs="仿宋_GB2312"/>
          <w:bCs/>
        </w:rPr>
        <w:t>2.现代冷链物流片区。</w:t>
      </w:r>
      <w:r>
        <w:rPr>
          <w:rFonts w:hint="eastAsia" w:ascii="Times New Roman" w:hAnsi="Times New Roman"/>
        </w:rPr>
        <w:t>在宁西铁路、沪陕高速和二广高速合围区域，依托万邦农产品批发市场、宁西铁路溧河站、白河南阳港等核心载体，打造区域性冷链物流基地，推动食品、中医药（艾草）、农产品等冷链物流项目在片区内集聚发展。开展分级、分类冷链仓储、中转分拨和共同配送，建立完善“集散交易+仓储加工+公铁联运+干支线运输+城市配送”一体化冷链集疏运网络，打造成为豫西南地区重要的鲜活产品集散分拨中心与产销冷链集配中心。</w:t>
      </w:r>
    </w:p>
    <w:p>
      <w:pPr>
        <w:spacing w:line="560" w:lineRule="exact"/>
        <w:ind w:firstLine="602"/>
        <w:contextualSpacing/>
      </w:pPr>
      <w:r>
        <w:rPr>
          <w:rFonts w:hint="eastAsia" w:ascii="仿宋_GB2312" w:hAnsi="仿宋_GB2312" w:cs="仿宋_GB2312"/>
          <w:bCs/>
        </w:rPr>
        <w:t>3.高铁商贸物流片区。</w:t>
      </w:r>
      <w:r>
        <w:rPr>
          <w:rFonts w:hint="eastAsia" w:ascii="Times New Roman" w:hAnsi="Times New Roman"/>
        </w:rPr>
        <w:t>发挥高铁准时高效运量大的优势，依托南阳高铁货运场站和周边区域，规划建设高铁快运物流基地和现代快递产业园区。加强高铁场站功能设施改造升级，鼓励电商、快递等企业参与高铁物流片区建设，就近或一体化布局电商快递分拨与配送中心，完善与高铁物流高效衔接的分拨、配送体系，强化高铁物流片区与铁路陆港片区、空港物流园区、内河航运码头的网络衔接和联动发展。</w:t>
      </w:r>
    </w:p>
    <w:p>
      <w:pPr>
        <w:spacing w:line="560" w:lineRule="exact"/>
        <w:contextualSpacing/>
        <w:jc w:val="center"/>
        <w:outlineLvl w:val="1"/>
        <w:rPr>
          <w:rFonts w:ascii="Times New Roman" w:hAnsi="Times New Roman" w:eastAsia="楷体_GB2312"/>
          <w:bCs/>
        </w:rPr>
      </w:pPr>
      <w:bookmarkStart w:id="1256" w:name="_Toc1331134821"/>
      <w:r>
        <w:rPr>
          <w:rFonts w:hint="eastAsia" w:ascii="Times New Roman" w:hAnsi="Times New Roman" w:eastAsia="楷体_GB2312"/>
          <w:bCs/>
        </w:rPr>
        <w:t>第三节 畅通公铁空水四大通道</w:t>
      </w:r>
      <w:bookmarkEnd w:id="1256"/>
    </w:p>
    <w:p>
      <w:pPr>
        <w:pStyle w:val="24"/>
        <w:spacing w:beforeAutospacing="0" w:afterAutospacing="0" w:line="560" w:lineRule="exact"/>
        <w:ind w:firstLine="640" w:firstLineChars="200"/>
        <w:contextualSpacing/>
        <w:jc w:val="both"/>
        <w:rPr>
          <w:bCs/>
          <w:sz w:val="32"/>
        </w:rPr>
      </w:pPr>
      <w:r>
        <w:rPr>
          <w:rFonts w:hint="eastAsia" w:ascii="Times New Roman" w:hAnsi="Times New Roman"/>
          <w:kern w:val="2"/>
          <w:sz w:val="32"/>
        </w:rPr>
        <w:t>立足南阳公路、铁路、航空、水运立体化综合交通体系，建设完善四位一体的综合物流通道，促进“公铁空水”多种运输方式有机衔接，加快形成向外互联畅通、向内便捷高效的物流通道网络。</w:t>
      </w:r>
    </w:p>
    <w:p>
      <w:pPr>
        <w:pStyle w:val="24"/>
        <w:spacing w:beforeAutospacing="0" w:afterAutospacing="0" w:line="560" w:lineRule="exact"/>
        <w:ind w:firstLine="640" w:firstLineChars="200"/>
        <w:contextualSpacing/>
        <w:jc w:val="both"/>
        <w:rPr>
          <w:rFonts w:ascii="仿宋_GB2312" w:hAnsi="仿宋_GB2312" w:cs="仿宋_GB2312"/>
          <w:bCs/>
          <w:kern w:val="2"/>
          <w:sz w:val="32"/>
        </w:rPr>
      </w:pPr>
      <w:r>
        <w:rPr>
          <w:rFonts w:hint="eastAsia" w:ascii="仿宋_GB2312" w:hAnsi="仿宋_GB2312" w:cs="仿宋_GB2312"/>
          <w:bCs/>
          <w:kern w:val="2"/>
          <w:sz w:val="32"/>
        </w:rPr>
        <w:t>1.公路物流通道</w:t>
      </w:r>
    </w:p>
    <w:p>
      <w:pPr>
        <w:pStyle w:val="24"/>
        <w:spacing w:beforeAutospacing="0" w:afterAutospacing="0" w:line="560" w:lineRule="exact"/>
        <w:ind w:firstLine="640" w:firstLineChars="200"/>
        <w:contextualSpacing/>
        <w:jc w:val="both"/>
        <w:rPr>
          <w:rFonts w:ascii="Times New Roman" w:hAnsi="Times New Roman"/>
          <w:kern w:val="2"/>
          <w:sz w:val="32"/>
        </w:rPr>
      </w:pPr>
      <w:r>
        <w:rPr>
          <w:rFonts w:hint="eastAsia" w:ascii="Times New Roman" w:hAnsi="Times New Roman"/>
          <w:bCs/>
          <w:kern w:val="2"/>
          <w:sz w:val="32"/>
        </w:rPr>
        <w:t>——东部干线通道</w:t>
      </w:r>
      <w:r>
        <w:rPr>
          <w:rFonts w:hint="eastAsia" w:ascii="Times New Roman" w:hAnsi="Times New Roman"/>
          <w:kern w:val="2"/>
          <w:sz w:val="32"/>
        </w:rPr>
        <w:t>：加快建设焦作至唐河（豫鄂界）高速公路汝州至方城段和方城至唐河段、S228 南阳至社旗段、S330线社旗至驻马店等快速物流通道，形成南阳东部联通晋豫鄂三省的纵向大通道。推进淮滨至内乡高速公路桐柏至邓州段前期工作，在区域内形成沪陕高速并行线，提升沪陕通道物流服务能力，进一步加强与长三角城市群间联系，积极融入协同发展。</w:t>
      </w:r>
    </w:p>
    <w:p>
      <w:pPr>
        <w:pStyle w:val="24"/>
        <w:spacing w:beforeAutospacing="0" w:afterAutospacing="0" w:line="560" w:lineRule="exact"/>
        <w:ind w:firstLine="640" w:firstLineChars="200"/>
        <w:contextualSpacing/>
        <w:jc w:val="both"/>
        <w:rPr>
          <w:rFonts w:ascii="Times New Roman" w:hAnsi="Times New Roman"/>
          <w:kern w:val="2"/>
          <w:sz w:val="32"/>
        </w:rPr>
      </w:pPr>
      <w:r>
        <w:rPr>
          <w:rFonts w:hint="eastAsia" w:ascii="Times New Roman" w:hAnsi="Times New Roman"/>
          <w:bCs/>
          <w:kern w:val="2"/>
          <w:sz w:val="32"/>
        </w:rPr>
        <w:t>——西部干线通道：</w:t>
      </w:r>
      <w:r>
        <w:rPr>
          <w:rFonts w:hint="eastAsia" w:ascii="Times New Roman" w:hAnsi="Times New Roman"/>
          <w:kern w:val="2"/>
          <w:sz w:val="32"/>
        </w:rPr>
        <w:t>规划建设二广高速引线，引导疏解西部对外、过境交通，实现客货交通分离。加快建设南阳境内郑州至西峡高速公路、渑池至淅川高速公路，加快推进嵩县至内乡高速公路前期工作，形成南阳西部联通晋豫鄂三省的纵向大通道，积极融入西安、宝鸡等关中平原城市群，构建南阳至陕西、新疆等西部地区的物流通道。</w:t>
      </w:r>
    </w:p>
    <w:p>
      <w:pPr>
        <w:pStyle w:val="24"/>
        <w:spacing w:beforeAutospacing="0" w:afterAutospacing="0" w:line="560" w:lineRule="exact"/>
        <w:ind w:firstLine="640" w:firstLineChars="200"/>
        <w:contextualSpacing/>
        <w:jc w:val="both"/>
        <w:rPr>
          <w:rFonts w:ascii="Times New Roman" w:hAnsi="Times New Roman"/>
          <w:bCs/>
          <w:kern w:val="2"/>
          <w:sz w:val="32"/>
        </w:rPr>
      </w:pPr>
      <w:r>
        <w:rPr>
          <w:rFonts w:hint="eastAsia" w:ascii="Times New Roman" w:hAnsi="Times New Roman"/>
          <w:bCs/>
          <w:kern w:val="2"/>
          <w:sz w:val="32"/>
        </w:rPr>
        <w:t>——南部干线通道：</w:t>
      </w:r>
      <w:r>
        <w:rPr>
          <w:rFonts w:hint="eastAsia" w:ascii="Times New Roman" w:hAnsi="Times New Roman"/>
          <w:kern w:val="2"/>
          <w:sz w:val="32"/>
        </w:rPr>
        <w:t>由二广高速、沪陕高速以及规划的南阳至新野高速公路和国道G312线、省道S103线、S234线等组成，加快推进省道S228线南阳至官庄段公路改建工程，打造南部快速物流通道，支撑南部物流片区及各物流节点的发展。</w:t>
      </w:r>
    </w:p>
    <w:p>
      <w:pPr>
        <w:pStyle w:val="24"/>
        <w:spacing w:beforeAutospacing="0" w:afterAutospacing="0" w:line="560" w:lineRule="exact"/>
        <w:ind w:firstLine="640" w:firstLineChars="200"/>
        <w:contextualSpacing/>
        <w:jc w:val="both"/>
        <w:rPr>
          <w:rFonts w:ascii="Times New Roman" w:hAnsi="Times New Roman"/>
          <w:kern w:val="2"/>
          <w:sz w:val="32"/>
        </w:rPr>
      </w:pPr>
      <w:r>
        <w:rPr>
          <w:rFonts w:hint="eastAsia" w:ascii="Times New Roman" w:hAnsi="Times New Roman"/>
          <w:bCs/>
          <w:kern w:val="2"/>
          <w:sz w:val="32"/>
        </w:rPr>
        <w:t>——北部干线通道：</w:t>
      </w:r>
      <w:r>
        <w:rPr>
          <w:rFonts w:hint="eastAsia" w:ascii="Times New Roman" w:hAnsi="Times New Roman"/>
          <w:kern w:val="2"/>
          <w:sz w:val="32"/>
        </w:rPr>
        <w:t>推动沈丘至卢氏高速公路方城至西峡段工程前期工作，形成南阳北部东西向贯通通道，进一步加强与长三角城市群、关中城市群间联系，依托二广高速、兰南高速、郑南高速（拟争取）以及国道G207线、省道S103线、S234线等快速物流通道，增强与中原城市群其他城市的联系，提升济郑渝通道高速公路服务能力，强化与郑州都市圈互联互通，构建南阳至华北、东北地区的物流通道。</w:t>
      </w:r>
    </w:p>
    <w:p>
      <w:pPr>
        <w:pStyle w:val="24"/>
        <w:spacing w:beforeAutospacing="0" w:afterAutospacing="0" w:line="560" w:lineRule="exact"/>
        <w:ind w:firstLine="640" w:firstLineChars="200"/>
        <w:contextualSpacing/>
        <w:jc w:val="both"/>
        <w:rPr>
          <w:rFonts w:ascii="仿宋_GB2312" w:hAnsi="仿宋_GB2312" w:cs="仿宋_GB2312"/>
          <w:bCs/>
          <w:kern w:val="2"/>
          <w:sz w:val="32"/>
        </w:rPr>
      </w:pPr>
      <w:r>
        <w:rPr>
          <w:rFonts w:hint="eastAsia" w:ascii="仿宋_GB2312" w:hAnsi="仿宋_GB2312" w:cs="仿宋_GB2312"/>
          <w:bCs/>
          <w:kern w:val="2"/>
          <w:sz w:val="32"/>
        </w:rPr>
        <w:t>2.铁路物流通道</w:t>
      </w:r>
    </w:p>
    <w:p>
      <w:pPr>
        <w:pStyle w:val="24"/>
        <w:spacing w:beforeAutospacing="0" w:afterAutospacing="0" w:line="560" w:lineRule="exact"/>
        <w:ind w:firstLine="640" w:firstLineChars="200"/>
        <w:contextualSpacing/>
        <w:jc w:val="both"/>
        <w:rPr>
          <w:rFonts w:ascii="Times New Roman" w:hAnsi="Times New Roman"/>
          <w:kern w:val="2"/>
          <w:sz w:val="32"/>
        </w:rPr>
      </w:pPr>
      <w:r>
        <w:rPr>
          <w:rFonts w:hint="eastAsia" w:ascii="Times New Roman" w:hAnsi="Times New Roman"/>
          <w:bCs/>
          <w:kern w:val="2"/>
          <w:sz w:val="32"/>
        </w:rPr>
        <w:t>——铁路专用线通道：</w:t>
      </w:r>
      <w:r>
        <w:rPr>
          <w:rFonts w:hint="eastAsia" w:ascii="Times New Roman" w:hAnsi="Times New Roman"/>
          <w:kern w:val="2"/>
          <w:sz w:val="32"/>
        </w:rPr>
        <w:t>重点加强进企、入园、入港铁路专用线建设，推动铁路运输“最后一公里”无缝衔接。加快推进南阳卧龙综合保税区国际陆港铁路专用线建设，推进宁西铁路溧河站铁路货场升级改造，加快内乡牧原智慧物流园铁路专用线、邓州现代物流园铁路专用线、唐河港铁水联运物流园铁路专用线、中铁路港南召物流园铁路专用线、西峡公铁联运物流园铁路专用线、邓州电厂铁路专用线、镇平先进制造业开发区铁路专用线、中联水泥铁路专用线等一批重要节点铁路专用线建设，强化铁路港站与航空、公路、水运的无缝衔接，构建多式联运体系，提升铁路集疏运能力和衔接效率。</w:t>
      </w:r>
    </w:p>
    <w:p>
      <w:pPr>
        <w:pStyle w:val="24"/>
        <w:spacing w:beforeAutospacing="0" w:afterAutospacing="0" w:line="560" w:lineRule="exact"/>
        <w:ind w:firstLine="640" w:firstLineChars="200"/>
        <w:contextualSpacing/>
        <w:jc w:val="both"/>
        <w:rPr>
          <w:rFonts w:ascii="Times New Roman" w:hAnsi="Times New Roman"/>
          <w:kern w:val="2"/>
          <w:sz w:val="32"/>
        </w:rPr>
      </w:pPr>
      <w:r>
        <w:rPr>
          <w:rFonts w:hint="eastAsia" w:ascii="Times New Roman" w:hAnsi="Times New Roman"/>
          <w:bCs/>
          <w:kern w:val="2"/>
          <w:sz w:val="32"/>
        </w:rPr>
        <w:t>——</w:t>
      </w:r>
      <w:r>
        <w:rPr>
          <w:rFonts w:ascii="Times New Roman" w:hAnsi="Times New Roman"/>
          <w:bCs/>
          <w:kern w:val="2"/>
          <w:sz w:val="32"/>
        </w:rPr>
        <w:t>中欧班列</w:t>
      </w:r>
      <w:r>
        <w:rPr>
          <w:rFonts w:hint="eastAsia" w:ascii="Times New Roman" w:hAnsi="Times New Roman"/>
          <w:bCs/>
          <w:kern w:val="2"/>
          <w:sz w:val="32"/>
        </w:rPr>
        <w:t>货运通道：</w:t>
      </w:r>
      <w:r>
        <w:rPr>
          <w:rFonts w:hint="eastAsia" w:ascii="Times New Roman" w:hAnsi="Times New Roman"/>
          <w:kern w:val="2"/>
          <w:sz w:val="32"/>
        </w:rPr>
        <w:t>常态化开行“宛西欧”“宛渝欧”班列。</w:t>
      </w:r>
      <w:r>
        <w:rPr>
          <w:rFonts w:ascii="Times New Roman" w:hAnsi="Times New Roman"/>
          <w:kern w:val="2"/>
          <w:sz w:val="32"/>
        </w:rPr>
        <w:t>通过西向通道至西安借助其开通及途经的中欧班列，经阿拉山口出境到达欧洲；通过北向通道至郑州，借助开通的中欧班列，经阿拉山口或二连浩特出境，</w:t>
      </w:r>
      <w:r>
        <w:rPr>
          <w:rFonts w:hint="eastAsia" w:ascii="Times New Roman" w:hAnsi="Times New Roman"/>
          <w:kern w:val="2"/>
          <w:sz w:val="32"/>
        </w:rPr>
        <w:t>通达</w:t>
      </w:r>
      <w:r>
        <w:rPr>
          <w:rFonts w:ascii="Times New Roman" w:hAnsi="Times New Roman"/>
          <w:kern w:val="2"/>
          <w:sz w:val="32"/>
        </w:rPr>
        <w:t>至俄罗斯及欧洲等地。利用中欧班列相较海运运输时间短的优势，助力南阳与欧盟的贸易往来。深度融入RCEP战略，拓展西部陆海新通道，打</w:t>
      </w:r>
      <w:r>
        <w:rPr>
          <w:rFonts w:hint="eastAsia" w:ascii="仿宋_GB2312" w:hAnsi="仿宋_GB2312" w:cs="仿宋_GB2312"/>
          <w:kern w:val="2"/>
          <w:sz w:val="32"/>
        </w:rPr>
        <w:t>造“南阳—郑州—越南”物流通道</w:t>
      </w:r>
      <w:r>
        <w:rPr>
          <w:rFonts w:ascii="Times New Roman" w:hAnsi="Times New Roman"/>
          <w:kern w:val="2"/>
          <w:sz w:val="32"/>
        </w:rPr>
        <w:t>，常态化开行南阳—越南、南阳—老挝RCEP国际货运班列。</w:t>
      </w:r>
    </w:p>
    <w:p>
      <w:pPr>
        <w:pStyle w:val="24"/>
        <w:spacing w:beforeAutospacing="0" w:afterAutospacing="0" w:line="560" w:lineRule="exact"/>
        <w:ind w:firstLine="640" w:firstLineChars="200"/>
        <w:contextualSpacing/>
        <w:jc w:val="both"/>
        <w:rPr>
          <w:rFonts w:ascii="仿宋_GB2312" w:hAnsi="仿宋_GB2312" w:cs="仿宋_GB2312"/>
          <w:bCs/>
          <w:kern w:val="2"/>
          <w:sz w:val="32"/>
        </w:rPr>
      </w:pPr>
      <w:r>
        <w:rPr>
          <w:rFonts w:hint="eastAsia" w:ascii="仿宋_GB2312" w:hAnsi="仿宋_GB2312" w:cs="仿宋_GB2312"/>
          <w:bCs/>
          <w:kern w:val="2"/>
          <w:sz w:val="32"/>
        </w:rPr>
        <w:t>3.航空物流通道</w:t>
      </w:r>
    </w:p>
    <w:p>
      <w:pPr>
        <w:pStyle w:val="24"/>
        <w:spacing w:beforeAutospacing="0" w:afterAutospacing="0" w:line="560" w:lineRule="exact"/>
        <w:ind w:firstLine="640" w:firstLineChars="200"/>
        <w:contextualSpacing/>
        <w:jc w:val="both"/>
        <w:rPr>
          <w:rFonts w:ascii="Times New Roman" w:hAnsi="Times New Roman"/>
          <w:kern w:val="2"/>
          <w:sz w:val="32"/>
        </w:rPr>
      </w:pPr>
      <w:r>
        <w:rPr>
          <w:rFonts w:ascii="Times New Roman" w:hAnsi="Times New Roman"/>
          <w:kern w:val="2"/>
          <w:sz w:val="32"/>
        </w:rPr>
        <w:t>利用南阳机场</w:t>
      </w:r>
      <w:r>
        <w:rPr>
          <w:rFonts w:hint="eastAsia" w:ascii="Times New Roman" w:hAnsi="Times New Roman"/>
          <w:kern w:val="2"/>
          <w:sz w:val="32"/>
        </w:rPr>
        <w:t>现有</w:t>
      </w:r>
      <w:r>
        <w:rPr>
          <w:rFonts w:ascii="Times New Roman" w:hAnsi="Times New Roman"/>
          <w:kern w:val="2"/>
          <w:sz w:val="32"/>
        </w:rPr>
        <w:t>航线，</w:t>
      </w:r>
      <w:r>
        <w:rPr>
          <w:rFonts w:hint="eastAsia" w:ascii="Times New Roman" w:hAnsi="Times New Roman"/>
          <w:kern w:val="2"/>
          <w:sz w:val="32"/>
        </w:rPr>
        <w:t>率先</w:t>
      </w:r>
      <w:r>
        <w:rPr>
          <w:rFonts w:ascii="Times New Roman" w:hAnsi="Times New Roman"/>
          <w:kern w:val="2"/>
          <w:sz w:val="32"/>
        </w:rPr>
        <w:t>开通与南阳有主要贸易往来城市的直达货运航班，逐步开通其他国内外主要城市的货运航班</w:t>
      </w:r>
      <w:r>
        <w:rPr>
          <w:rFonts w:hint="eastAsia" w:ascii="Times New Roman" w:hAnsi="Times New Roman"/>
          <w:kern w:val="2"/>
          <w:sz w:val="32"/>
        </w:rPr>
        <w:t>。积极推动南阳机场迁建，</w:t>
      </w:r>
      <w:r>
        <w:rPr>
          <w:rFonts w:hint="eastAsia" w:ascii="仿宋_GB2312" w:hAnsi="仿宋" w:cs="仿宋"/>
          <w:sz w:val="32"/>
        </w:rPr>
        <w:t>综合发展航空物流业，开通国际货运航线，引入其他航空公司建设基地参与运营、承接国际航空货运、国内快递航空货运和新郑国际机场外溢货运业务</w:t>
      </w:r>
      <w:r>
        <w:rPr>
          <w:rFonts w:hint="eastAsia" w:ascii="Times New Roman" w:hAnsi="Times New Roman"/>
          <w:kern w:val="2"/>
          <w:sz w:val="32"/>
        </w:rPr>
        <w:t>。推动县域通用航空机场建设</w:t>
      </w:r>
      <w:r>
        <w:rPr>
          <w:rFonts w:ascii="Times New Roman" w:hAnsi="Times New Roman"/>
          <w:kern w:val="2"/>
          <w:sz w:val="32"/>
        </w:rPr>
        <w:t>，构建</w:t>
      </w:r>
      <w:r>
        <w:rPr>
          <w:rFonts w:hint="eastAsia" w:ascii="Times New Roman" w:hAnsi="Times New Roman"/>
          <w:kern w:val="2"/>
          <w:sz w:val="32"/>
        </w:rPr>
        <w:t>“一核+多点”的</w:t>
      </w:r>
      <w:r>
        <w:rPr>
          <w:rFonts w:ascii="Times New Roman" w:hAnsi="Times New Roman"/>
          <w:kern w:val="2"/>
          <w:sz w:val="32"/>
        </w:rPr>
        <w:t>航空物流通道</w:t>
      </w:r>
      <w:r>
        <w:rPr>
          <w:rFonts w:hint="eastAsia" w:ascii="Times New Roman" w:hAnsi="Times New Roman"/>
          <w:kern w:val="2"/>
          <w:sz w:val="32"/>
        </w:rPr>
        <w:t>网络</w:t>
      </w:r>
      <w:r>
        <w:rPr>
          <w:rFonts w:ascii="Times New Roman" w:hAnsi="Times New Roman"/>
          <w:kern w:val="2"/>
          <w:sz w:val="32"/>
        </w:rPr>
        <w:t>。</w:t>
      </w:r>
    </w:p>
    <w:p>
      <w:pPr>
        <w:pStyle w:val="24"/>
        <w:spacing w:beforeAutospacing="0" w:afterAutospacing="0" w:line="560" w:lineRule="exact"/>
        <w:ind w:firstLine="640" w:firstLineChars="200"/>
        <w:contextualSpacing/>
        <w:jc w:val="both"/>
        <w:rPr>
          <w:rFonts w:ascii="仿宋_GB2312" w:hAnsi="仿宋_GB2312" w:cs="仿宋_GB2312"/>
          <w:bCs/>
          <w:kern w:val="2"/>
          <w:sz w:val="32"/>
        </w:rPr>
      </w:pPr>
      <w:r>
        <w:rPr>
          <w:rFonts w:hint="eastAsia" w:ascii="仿宋_GB2312" w:hAnsi="仿宋_GB2312" w:cs="仿宋_GB2312"/>
          <w:bCs/>
          <w:kern w:val="2"/>
          <w:sz w:val="32"/>
        </w:rPr>
        <w:t>4.水运物流通道</w:t>
      </w:r>
    </w:p>
    <w:p>
      <w:pPr>
        <w:pStyle w:val="24"/>
        <w:spacing w:beforeAutospacing="0" w:afterAutospacing="0" w:line="560" w:lineRule="exact"/>
        <w:ind w:firstLine="640" w:firstLineChars="200"/>
        <w:contextualSpacing/>
        <w:jc w:val="both"/>
        <w:rPr>
          <w:rFonts w:ascii="Times New Roman" w:hAnsi="Times New Roman"/>
          <w:kern w:val="2"/>
          <w:sz w:val="32"/>
        </w:rPr>
      </w:pPr>
      <w:r>
        <w:rPr>
          <w:rFonts w:hint="eastAsia" w:ascii="Times New Roman" w:hAnsi="Times New Roman"/>
          <w:bCs/>
          <w:kern w:val="2"/>
          <w:sz w:val="32"/>
        </w:rPr>
        <w:t>——内河航运通道：</w:t>
      </w:r>
      <w:r>
        <w:rPr>
          <w:rFonts w:hint="eastAsia" w:ascii="Times New Roman" w:hAnsi="Times New Roman"/>
          <w:kern w:val="2"/>
          <w:sz w:val="32"/>
        </w:rPr>
        <w:t>依托唐河航运工程，加快推进串联新野、唐河、社旗全境的唐河航运通道建设，形成“二干一支一联”内河航道网；规划建设白河航运工程，构建完善水铁公联运体系。以唐河、白河为骨干，丹江为支线，向南接入汉江，并通达长江干线；以唐沙运河为联络线，向北接入沙颍河，并通达淮河干线，打造起于南阳，经唐河、汉江至长江的全新水运通道。</w:t>
      </w:r>
    </w:p>
    <w:p>
      <w:pPr>
        <w:pStyle w:val="24"/>
        <w:spacing w:beforeAutospacing="0" w:afterAutospacing="0" w:line="560" w:lineRule="exact"/>
        <w:ind w:firstLine="640" w:firstLineChars="200"/>
        <w:contextualSpacing/>
        <w:jc w:val="both"/>
        <w:rPr>
          <w:rFonts w:ascii="Times New Roman" w:hAnsi="Times New Roman"/>
          <w:kern w:val="2"/>
          <w:sz w:val="32"/>
        </w:rPr>
      </w:pPr>
      <w:r>
        <w:rPr>
          <w:rFonts w:hint="eastAsia" w:ascii="Times New Roman" w:hAnsi="Times New Roman"/>
          <w:bCs/>
          <w:kern w:val="2"/>
          <w:sz w:val="32"/>
        </w:rPr>
        <w:t>——出海航运</w:t>
      </w:r>
      <w:r>
        <w:rPr>
          <w:rFonts w:ascii="Times New Roman" w:hAnsi="Times New Roman"/>
          <w:bCs/>
          <w:kern w:val="2"/>
          <w:sz w:val="32"/>
        </w:rPr>
        <w:t>通道</w:t>
      </w:r>
      <w:r>
        <w:rPr>
          <w:rFonts w:hint="eastAsia" w:ascii="Times New Roman" w:hAnsi="Times New Roman"/>
          <w:bCs/>
          <w:kern w:val="2"/>
          <w:sz w:val="32"/>
        </w:rPr>
        <w:t>：</w:t>
      </w:r>
      <w:r>
        <w:rPr>
          <w:rFonts w:ascii="Times New Roman" w:hAnsi="Times New Roman"/>
          <w:kern w:val="2"/>
          <w:sz w:val="32"/>
        </w:rPr>
        <w:t>南向通道依托唐河航道、</w:t>
      </w:r>
      <w:r>
        <w:rPr>
          <w:rFonts w:hint="eastAsia" w:ascii="Times New Roman" w:hAnsi="Times New Roman"/>
          <w:kern w:val="2"/>
          <w:sz w:val="32"/>
        </w:rPr>
        <w:t>白河航道、</w:t>
      </w:r>
      <w:r>
        <w:rPr>
          <w:rFonts w:ascii="Times New Roman" w:hAnsi="Times New Roman"/>
          <w:kern w:val="2"/>
          <w:sz w:val="32"/>
        </w:rPr>
        <w:t>汉江航道</w:t>
      </w:r>
      <w:r>
        <w:rPr>
          <w:rFonts w:hint="eastAsia" w:ascii="Times New Roman" w:hAnsi="Times New Roman"/>
          <w:kern w:val="2"/>
          <w:sz w:val="32"/>
        </w:rPr>
        <w:t>打通</w:t>
      </w:r>
      <w:r>
        <w:rPr>
          <w:rFonts w:ascii="Times New Roman" w:hAnsi="Times New Roman"/>
          <w:kern w:val="2"/>
          <w:sz w:val="32"/>
        </w:rPr>
        <w:t>南阳至襄阳、武汉的</w:t>
      </w:r>
      <w:r>
        <w:rPr>
          <w:rFonts w:hint="eastAsia" w:ascii="Times New Roman" w:hAnsi="Times New Roman"/>
          <w:kern w:val="2"/>
          <w:sz w:val="32"/>
        </w:rPr>
        <w:t>出海</w:t>
      </w:r>
      <w:r>
        <w:rPr>
          <w:rFonts w:ascii="Times New Roman" w:hAnsi="Times New Roman"/>
          <w:kern w:val="2"/>
          <w:sz w:val="32"/>
        </w:rPr>
        <w:t>物流通道，加强与武汉等长江中游城市群联系，积极融入其城市群发展，逐步增强与广州、深圳、香港、澳门等粤港澳大湾区城市之间的联系</w:t>
      </w:r>
      <w:r>
        <w:rPr>
          <w:rFonts w:hint="eastAsia" w:ascii="Times New Roman" w:hAnsi="Times New Roman"/>
          <w:kern w:val="2"/>
          <w:sz w:val="32"/>
        </w:rPr>
        <w:t>，通过</w:t>
      </w:r>
      <w:r>
        <w:rPr>
          <w:rFonts w:ascii="Times New Roman" w:hAnsi="Times New Roman"/>
          <w:kern w:val="2"/>
          <w:sz w:val="32"/>
        </w:rPr>
        <w:t>海上丝绸之路，打通南阳与东南亚的联系</w:t>
      </w:r>
      <w:r>
        <w:rPr>
          <w:rFonts w:hint="eastAsia" w:ascii="Times New Roman" w:hAnsi="Times New Roman"/>
          <w:kern w:val="2"/>
          <w:sz w:val="32"/>
        </w:rPr>
        <w:t>。</w:t>
      </w:r>
      <w:r>
        <w:rPr>
          <w:rFonts w:ascii="Times New Roman" w:hAnsi="Times New Roman"/>
          <w:kern w:val="2"/>
          <w:sz w:val="32"/>
        </w:rPr>
        <w:t>通过东向</w:t>
      </w:r>
      <w:r>
        <w:rPr>
          <w:rFonts w:hint="eastAsia" w:ascii="Times New Roman" w:hAnsi="Times New Roman"/>
          <w:kern w:val="2"/>
          <w:sz w:val="32"/>
        </w:rPr>
        <w:t>淮河航道</w:t>
      </w:r>
      <w:r>
        <w:rPr>
          <w:rFonts w:ascii="Times New Roman" w:hAnsi="Times New Roman"/>
          <w:kern w:val="2"/>
          <w:sz w:val="32"/>
        </w:rPr>
        <w:t>至上海、经北向通道至天津，利用</w:t>
      </w:r>
      <w:r>
        <w:rPr>
          <w:rFonts w:hint="eastAsia" w:ascii="Times New Roman" w:hAnsi="Times New Roman"/>
          <w:kern w:val="2"/>
          <w:sz w:val="32"/>
        </w:rPr>
        <w:t>青岛</w:t>
      </w:r>
      <w:r>
        <w:rPr>
          <w:rFonts w:ascii="Times New Roman" w:hAnsi="Times New Roman"/>
          <w:kern w:val="2"/>
          <w:sz w:val="32"/>
        </w:rPr>
        <w:t>港、</w:t>
      </w:r>
      <w:r>
        <w:rPr>
          <w:rFonts w:hint="eastAsia" w:ascii="Times New Roman" w:hAnsi="Times New Roman"/>
          <w:kern w:val="2"/>
          <w:sz w:val="32"/>
        </w:rPr>
        <w:t>宁波</w:t>
      </w:r>
      <w:r>
        <w:rPr>
          <w:rFonts w:ascii="Times New Roman" w:hAnsi="Times New Roman"/>
          <w:kern w:val="2"/>
          <w:sz w:val="32"/>
        </w:rPr>
        <w:t>港开通的国际和地区航线，打通南阳到日韩、澳洲及美洲的海上直航通道</w:t>
      </w:r>
      <w:r>
        <w:rPr>
          <w:rFonts w:hint="eastAsia" w:ascii="Times New Roman" w:hAnsi="Times New Roman"/>
          <w:kern w:val="2"/>
          <w:sz w:val="32"/>
        </w:rPr>
        <w:t>。</w:t>
      </w:r>
    </w:p>
    <w:p>
      <w:pPr>
        <w:spacing w:line="560" w:lineRule="exact"/>
        <w:contextualSpacing/>
        <w:jc w:val="center"/>
        <w:outlineLvl w:val="1"/>
        <w:rPr>
          <w:rFonts w:ascii="Times New Roman" w:hAnsi="Times New Roman" w:eastAsia="楷体_GB2312"/>
          <w:bCs/>
        </w:rPr>
      </w:pPr>
      <w:bookmarkStart w:id="1257" w:name="_Toc739207304"/>
      <w:r>
        <w:rPr>
          <w:rFonts w:hint="eastAsia" w:ascii="Times New Roman" w:hAnsi="Times New Roman" w:eastAsia="楷体_GB2312"/>
          <w:bCs/>
        </w:rPr>
        <w:t>第四节 协调联动多个物流节点</w:t>
      </w:r>
      <w:bookmarkEnd w:id="1257"/>
    </w:p>
    <w:p>
      <w:pPr>
        <w:spacing w:line="560" w:lineRule="exact"/>
        <w:ind w:firstLine="640" w:firstLineChars="200"/>
        <w:contextualSpacing/>
        <w:rPr>
          <w:rFonts w:ascii="Times New Roman" w:hAnsi="Times New Roman"/>
        </w:rPr>
      </w:pPr>
      <w:r>
        <w:rPr>
          <w:rFonts w:hint="eastAsia" w:ascii="Times New Roman" w:hAnsi="Times New Roman"/>
        </w:rPr>
        <w:t>按照“依托产业、突出特色、错位发展、协同联动”的发展思路，完善提升各县（市、区）先进制造业开发区物流空间布局，建设具有当地产业特色的物流园区，重点建设物流分拣和末端配送设施，形成干支衔接紧、覆盖范围广、运作效率高的区域物流基础设施网络和集疏运体系。加快主城区至官庄、鸭河、镇平、社旗等重要节点的快速通道建设，形成城乡联动、全域覆盖的多个特色物流节点网络体系。</w:t>
      </w:r>
    </w:p>
    <w:p>
      <w:pPr>
        <w:spacing w:line="560" w:lineRule="exact"/>
        <w:contextualSpacing/>
        <w:jc w:val="center"/>
        <w:outlineLvl w:val="0"/>
        <w:rPr>
          <w:rFonts w:ascii="黑体" w:hAnsi="黑体" w:eastAsia="黑体" w:cs="黑体"/>
        </w:rPr>
      </w:pPr>
      <w:bookmarkStart w:id="1258" w:name="_Toc1298255885"/>
      <w:bookmarkStart w:id="1259" w:name="_Toc427919802"/>
      <w:r>
        <w:rPr>
          <w:rFonts w:hint="eastAsia" w:ascii="黑体" w:hAnsi="黑体" w:eastAsia="黑体" w:cs="黑体"/>
        </w:rPr>
        <w:t>第四章 主要任务</w:t>
      </w:r>
      <w:bookmarkEnd w:id="1258"/>
    </w:p>
    <w:p>
      <w:pPr>
        <w:spacing w:line="560" w:lineRule="exact"/>
        <w:ind w:firstLine="640" w:firstLineChars="200"/>
        <w:contextualSpacing/>
        <w:rPr>
          <w:rFonts w:eastAsia="黑体"/>
        </w:rPr>
      </w:pPr>
      <w:r>
        <w:t>坚持</w:t>
      </w:r>
      <w:r>
        <w:rPr>
          <w:rFonts w:hint="eastAsia"/>
        </w:rPr>
        <w:t>重点领域突破，聚焦枢纽能级提升，完善物流设施载体和服务网络建设，促进产业融合、强化民生保障，推进城乡一体和区域协同联动，加快物流业智慧化、绿色化转型升级，</w:t>
      </w:r>
      <w:r>
        <w:rPr>
          <w:rFonts w:hint="eastAsia" w:ascii="Times New Roman" w:hAnsi="Times New Roman"/>
        </w:rPr>
        <w:t>积极培育物流新技术、新</w:t>
      </w:r>
      <w:r>
        <w:t>业态</w:t>
      </w:r>
      <w:r>
        <w:rPr>
          <w:rFonts w:hint="eastAsia"/>
        </w:rPr>
        <w:t>和新模式，构建形成</w:t>
      </w:r>
      <w:r>
        <w:t>现代物流业</w:t>
      </w:r>
      <w:r>
        <w:rPr>
          <w:rFonts w:hint="eastAsia"/>
        </w:rPr>
        <w:t>服务城乡、衔接豫鄂陕、辐射全国、联通国际的发展新格局。</w:t>
      </w:r>
    </w:p>
    <w:p>
      <w:pPr>
        <w:spacing w:line="560" w:lineRule="exact"/>
        <w:contextualSpacing/>
        <w:jc w:val="center"/>
        <w:outlineLvl w:val="1"/>
        <w:rPr>
          <w:rFonts w:ascii="Times New Roman" w:hAnsi="Times New Roman" w:eastAsia="楷体_GB2312"/>
          <w:bCs/>
        </w:rPr>
      </w:pPr>
      <w:bookmarkStart w:id="1260" w:name="_Toc1770064441"/>
      <w:bookmarkStart w:id="1261" w:name="_Toc458374680"/>
      <w:bookmarkStart w:id="1262" w:name="_Toc458374681"/>
      <w:r>
        <w:rPr>
          <w:rFonts w:hint="eastAsia" w:ascii="Times New Roman" w:hAnsi="Times New Roman" w:eastAsia="楷体_GB2312"/>
          <w:bCs/>
        </w:rPr>
        <w:t>第一节 大力发展高能级枢纽经济</w:t>
      </w:r>
      <w:bookmarkEnd w:id="1260"/>
    </w:p>
    <w:p>
      <w:pPr>
        <w:pStyle w:val="4"/>
        <w:spacing w:line="560" w:lineRule="exact"/>
        <w:ind w:left="0" w:firstLine="640" w:firstLineChars="200"/>
        <w:contextualSpacing/>
        <w:rPr>
          <w:rFonts w:ascii="Times New Roman" w:hAnsi="Times New Roman"/>
          <w:lang w:val="en-US" w:bidi="ar-SA"/>
        </w:rPr>
      </w:pPr>
      <w:r>
        <w:rPr>
          <w:rFonts w:hint="eastAsia" w:ascii="仿宋_GB2312" w:hAnsi="仿宋_GB2312" w:cs="仿宋_GB2312"/>
          <w:bCs/>
          <w:lang w:val="en-US" w:bidi="ar-SA"/>
        </w:rPr>
        <w:t>1.加快物流枢纽网络体系建设。</w:t>
      </w:r>
      <w:r>
        <w:rPr>
          <w:rFonts w:hint="eastAsia" w:ascii="Times New Roman" w:hAnsi="Times New Roman"/>
          <w:lang w:val="en-US"/>
        </w:rPr>
        <w:t>立足南阳商贸服务型国家物流枢纽和唐河县省级区域性物流枢纽，推动资源要素向物流枢纽集聚，建设物流设施集群和供应链组织中心，构建“通道+枢纽+平台+网络+主体”一体化运行体系，提升枢纽组织能力，放大集聚发展的规模经济效益和辐射带动效应，培育形成要素集聚全、流通效率高、业态模式新、聚合能力强的枢纽经济增长极。推动物流枢纽跨区域业务对接、设施联通、功能联合和资源共享，提升区域物流一体化发展水平，支撑带动周边地区产业链和供应链协同发展</w:t>
      </w:r>
      <w:r>
        <w:rPr>
          <w:rFonts w:hint="eastAsia" w:ascii="Times New Roman" w:hAnsi="Times New Roman"/>
          <w:lang w:val="en-US" w:bidi="ar-SA"/>
        </w:rPr>
        <w:t>，构筑南阳枢纽经济竞争新优势。</w:t>
      </w:r>
    </w:p>
    <w:p>
      <w:pPr>
        <w:pStyle w:val="4"/>
        <w:spacing w:line="560" w:lineRule="exact"/>
        <w:ind w:left="0" w:firstLine="640" w:firstLineChars="200"/>
        <w:contextualSpacing/>
        <w:rPr>
          <w:rFonts w:ascii="Times New Roman" w:hAnsi="Times New Roman"/>
          <w:lang w:val="en-US" w:bidi="ar-SA"/>
        </w:rPr>
      </w:pPr>
      <w:r>
        <w:rPr>
          <w:rFonts w:hint="eastAsia" w:ascii="仿宋_GB2312" w:hAnsi="仿宋_GB2312" w:cs="仿宋_GB2312"/>
          <w:bCs/>
          <w:lang w:val="en-US" w:bidi="ar-SA"/>
        </w:rPr>
        <w:t>2.</w:t>
      </w:r>
      <w:r>
        <w:rPr>
          <w:rFonts w:ascii="仿宋_GB2312" w:hAnsi="仿宋_GB2312" w:cs="仿宋_GB2312"/>
          <w:bCs/>
          <w:lang w:val="en-US" w:bidi="ar-SA"/>
        </w:rPr>
        <w:t>提升内河航运集疏运水平</w:t>
      </w:r>
      <w:r>
        <w:rPr>
          <w:rFonts w:hint="eastAsia" w:ascii="仿宋_GB2312" w:hAnsi="仿宋_GB2312" w:cs="仿宋_GB2312"/>
          <w:bCs/>
          <w:lang w:val="en-US" w:bidi="ar-SA"/>
        </w:rPr>
        <w:t>。</w:t>
      </w:r>
      <w:r>
        <w:rPr>
          <w:rFonts w:hint="eastAsia" w:ascii="Times New Roman" w:hAnsi="Times New Roman"/>
          <w:lang w:val="en-US"/>
        </w:rPr>
        <w:t>加快推进唐河航运工程建设，</w:t>
      </w:r>
      <w:r>
        <w:rPr>
          <w:rFonts w:hint="eastAsia" w:ascii="Times New Roman" w:hAnsi="Times New Roman"/>
          <w:lang w:val="en-US" w:bidi="ar-SA"/>
        </w:rPr>
        <w:t>规划建设白河航道工程和城区港口码头，做好内河水运线位空间预留，统筹预控跨航、涉航相关设</w:t>
      </w:r>
      <w:r>
        <w:rPr>
          <w:rFonts w:hint="eastAsia" w:ascii="Times New Roman" w:hAnsi="Times New Roman"/>
          <w:lang w:val="en-US"/>
        </w:rPr>
        <w:t>施建设标准，以唐河、白河为骨干，丹江为支线，唐沙运河为联络线，构建形成通江达海的内河水运体系。以恢复航道、提高等级、改善设施为重点，强化南阳港中心港区、唐河港等核心港区“公铁水”多式联运、集散分拨、供应链管理、公共信息平台等功能，建设内河港多式联运集疏运中心，实现不同运输方式间无缝高效</w:t>
      </w:r>
      <w:r>
        <w:rPr>
          <w:rFonts w:hint="eastAsia" w:ascii="Times New Roman" w:hAnsi="Times New Roman"/>
          <w:lang w:val="en-US" w:bidi="ar-SA"/>
        </w:rPr>
        <w:t>衔接和信息交互共享，发展内河航运“通道+枢纽+平台”模式，提高与国内主要港口的连通度，积极融入全球海运服务网络，加快构筑南阳临港经济优势，打造中部水陆集散中心。</w:t>
      </w:r>
    </w:p>
    <w:p>
      <w:pPr>
        <w:pStyle w:val="4"/>
        <w:spacing w:line="560" w:lineRule="exact"/>
        <w:ind w:left="0" w:firstLine="640" w:firstLineChars="200"/>
        <w:contextualSpacing/>
        <w:rPr>
          <w:rFonts w:ascii="Times New Roman" w:hAnsi="Times New Roman"/>
          <w:lang w:val="en-US" w:bidi="ar-SA"/>
        </w:rPr>
      </w:pPr>
      <w:r>
        <w:rPr>
          <w:rFonts w:hint="eastAsia" w:ascii="仿宋_GB2312" w:hAnsi="仿宋_GB2312" w:cs="仿宋_GB2312"/>
          <w:bCs/>
          <w:lang w:val="en-US" w:bidi="ar-SA"/>
        </w:rPr>
        <w:t>3.</w:t>
      </w:r>
      <w:r>
        <w:rPr>
          <w:rFonts w:ascii="仿宋_GB2312" w:hAnsi="仿宋_GB2312" w:cs="仿宋_GB2312"/>
          <w:bCs/>
          <w:lang w:val="en-US" w:bidi="ar-SA"/>
        </w:rPr>
        <w:t>增强</w:t>
      </w:r>
      <w:r>
        <w:rPr>
          <w:rFonts w:hint="eastAsia" w:ascii="仿宋_GB2312" w:hAnsi="仿宋_GB2312" w:cs="仿宋_GB2312"/>
          <w:bCs/>
          <w:lang w:val="en-US" w:bidi="ar-SA"/>
        </w:rPr>
        <w:t>航空</w:t>
      </w:r>
      <w:r>
        <w:rPr>
          <w:rFonts w:ascii="仿宋_GB2312" w:hAnsi="仿宋_GB2312" w:cs="仿宋_GB2312"/>
          <w:bCs/>
          <w:lang w:val="en-US" w:bidi="ar-SA"/>
        </w:rPr>
        <w:t>物流</w:t>
      </w:r>
      <w:r>
        <w:rPr>
          <w:rFonts w:hint="eastAsia" w:ascii="仿宋_GB2312" w:hAnsi="仿宋_GB2312" w:cs="仿宋_GB2312"/>
          <w:bCs/>
          <w:lang w:val="en-US" w:bidi="ar-SA"/>
        </w:rPr>
        <w:t>开放</w:t>
      </w:r>
      <w:r>
        <w:rPr>
          <w:rFonts w:ascii="仿宋_GB2312" w:hAnsi="仿宋_GB2312" w:cs="仿宋_GB2312"/>
          <w:bCs/>
          <w:lang w:val="en-US" w:bidi="ar-SA"/>
        </w:rPr>
        <w:t>链接能力</w:t>
      </w:r>
      <w:r>
        <w:rPr>
          <w:rFonts w:hint="eastAsia" w:ascii="仿宋_GB2312" w:hAnsi="仿宋_GB2312" w:cs="仿宋_GB2312"/>
          <w:bCs/>
          <w:lang w:val="en-US" w:bidi="ar-SA"/>
        </w:rPr>
        <w:t>。</w:t>
      </w:r>
      <w:r>
        <w:rPr>
          <w:rFonts w:hint="eastAsia" w:ascii="Times New Roman" w:hAnsi="Times New Roman"/>
          <w:lang w:val="en-US"/>
        </w:rPr>
        <w:t>围绕支撑拓展空中、陆上、海上、网上“丝绸之路”，完善提升国际物流网络。拓展航空物流航线，以现有航线为基础，</w:t>
      </w:r>
      <w:r>
        <w:rPr>
          <w:rFonts w:ascii="Times New Roman" w:hAnsi="Times New Roman"/>
          <w:lang w:val="en-US"/>
        </w:rPr>
        <w:t>加快</w:t>
      </w:r>
      <w:r>
        <w:rPr>
          <w:rFonts w:hint="eastAsia" w:ascii="Times New Roman" w:hAnsi="Times New Roman"/>
          <w:lang w:val="en-US"/>
        </w:rPr>
        <w:t>完善</w:t>
      </w:r>
      <w:r>
        <w:rPr>
          <w:rFonts w:ascii="Times New Roman" w:hAnsi="Times New Roman"/>
          <w:lang w:val="en-US"/>
        </w:rPr>
        <w:t>覆盖京津冀、长三角、粤港澳、成渝城市群主要城市的航</w:t>
      </w:r>
      <w:r>
        <w:rPr>
          <w:rFonts w:hint="eastAsia" w:ascii="Times New Roman" w:hAnsi="Times New Roman"/>
          <w:lang w:val="en-US"/>
        </w:rPr>
        <w:t>空物流</w:t>
      </w:r>
      <w:r>
        <w:rPr>
          <w:rFonts w:ascii="Times New Roman" w:hAnsi="Times New Roman"/>
          <w:lang w:val="en-US"/>
        </w:rPr>
        <w:t>网络布局，适时开通南阳机场与国内大中城市的直达货运航线</w:t>
      </w:r>
      <w:r>
        <w:rPr>
          <w:rFonts w:hint="eastAsia" w:ascii="Times New Roman" w:hAnsi="Times New Roman"/>
          <w:lang w:val="en-US"/>
        </w:rPr>
        <w:t>，</w:t>
      </w:r>
      <w:r>
        <w:rPr>
          <w:rFonts w:ascii="Times New Roman" w:hAnsi="Times New Roman"/>
          <w:lang w:val="en-US"/>
        </w:rPr>
        <w:t>对接豫桂东盟西部陆海新通道，</w:t>
      </w:r>
      <w:r>
        <w:rPr>
          <w:rFonts w:hint="eastAsia" w:ascii="Times New Roman" w:hAnsi="Times New Roman"/>
          <w:lang w:val="en-US"/>
        </w:rPr>
        <w:t>加强</w:t>
      </w:r>
      <w:r>
        <w:rPr>
          <w:rFonts w:ascii="Times New Roman" w:hAnsi="Times New Roman"/>
          <w:lang w:val="en-US"/>
        </w:rPr>
        <w:t>与广西、东盟等地区的物流联系，</w:t>
      </w:r>
      <w:r>
        <w:rPr>
          <w:rFonts w:hint="eastAsia" w:ascii="Times New Roman" w:hAnsi="Times New Roman"/>
          <w:lang w:val="en-US"/>
        </w:rPr>
        <w:t>主动融入“一带一路”空中经济走廊。推进实施南阳机场迁建工程，谋划建设</w:t>
      </w:r>
      <w:r>
        <w:rPr>
          <w:rFonts w:hint="eastAsia" w:ascii="Times New Roman" w:hAnsi="Times New Roman"/>
          <w:lang w:val="en-US" w:bidi="ar-SA"/>
        </w:rPr>
        <w:t>临空经济区，配套建设</w:t>
      </w:r>
      <w:r>
        <w:rPr>
          <w:rFonts w:ascii="Times New Roman" w:hAnsi="Times New Roman"/>
          <w:lang w:val="en-US"/>
        </w:rPr>
        <w:t>机场货物集散中心</w:t>
      </w:r>
      <w:r>
        <w:rPr>
          <w:rFonts w:hint="eastAsia" w:ascii="Times New Roman" w:hAnsi="Times New Roman"/>
          <w:lang w:val="en-US"/>
        </w:rPr>
        <w:t>、</w:t>
      </w:r>
      <w:r>
        <w:rPr>
          <w:rFonts w:ascii="Times New Roman" w:hAnsi="Times New Roman"/>
          <w:lang w:val="en-US"/>
        </w:rPr>
        <w:t>快件分拨中心</w:t>
      </w:r>
      <w:r>
        <w:rPr>
          <w:rFonts w:hint="eastAsia" w:ascii="Times New Roman" w:hAnsi="Times New Roman"/>
          <w:lang w:val="en-US"/>
        </w:rPr>
        <w:t>等集疏运设施，强化与高铁货运无缝衔接，促进公铁水多式联运，打造区域性航空物流枢纽</w:t>
      </w:r>
      <w:r>
        <w:rPr>
          <w:rFonts w:hint="eastAsia" w:ascii="Times New Roman" w:hAnsi="Times New Roman"/>
          <w:lang w:val="en-US" w:bidi="ar-SA"/>
        </w:rPr>
        <w:t>。</w:t>
      </w:r>
    </w:p>
    <w:p>
      <w:pPr>
        <w:spacing w:line="560" w:lineRule="exact"/>
        <w:ind w:firstLine="627" w:firstLineChars="196"/>
        <w:contextualSpacing/>
      </w:pPr>
      <w:r>
        <w:rPr>
          <w:rFonts w:hint="eastAsia" w:ascii="仿宋_GB2312" w:hAnsi="仿宋_GB2312" w:cs="仿宋_GB2312"/>
          <w:bCs/>
        </w:rPr>
        <w:t>4.拓展保税与跨境电商物流辐射范围。</w:t>
      </w:r>
      <w:r>
        <w:rPr>
          <w:rFonts w:hint="eastAsia" w:ascii="Times New Roman" w:hAnsi="Times New Roman"/>
        </w:rPr>
        <w:t>抢抓我市获批国家跨境电商综合试验区和零售进口试点城市建设契机，加快推进卧龙综合保税区保税物流中心、跨境电商物流中心、进口商品集散中心、邮政物流中心等物流载体建设，为卧龙综合保税区创建河南自贸区开放创新联动区夯实支撑。围绕装备制造、光电电子信息、花卉苗木、中医药等特色产业“走出去”，强化综合保税</w:t>
      </w:r>
      <w:r>
        <w:t>区与生产基地、</w:t>
      </w:r>
      <w:r>
        <w:rPr>
          <w:rFonts w:hint="eastAsia"/>
        </w:rPr>
        <w:t>制造业开发区、</w:t>
      </w:r>
      <w:r>
        <w:t>商品集散地</w:t>
      </w:r>
      <w:r>
        <w:rPr>
          <w:rFonts w:hint="eastAsia"/>
        </w:rPr>
        <w:t>和外贸</w:t>
      </w:r>
      <w:r>
        <w:t>企业</w:t>
      </w:r>
      <w:r>
        <w:rPr>
          <w:rFonts w:hint="eastAsia"/>
        </w:rPr>
        <w:t>的连接和协作，</w:t>
      </w:r>
      <w:r>
        <w:t>增加</w:t>
      </w:r>
      <w:r>
        <w:rPr>
          <w:rFonts w:hint="eastAsia"/>
        </w:rPr>
        <w:t>与</w:t>
      </w:r>
      <w:r>
        <w:t>周边地区公路、铁路运输线路和班次密度，积极拓展国际</w:t>
      </w:r>
      <w:r>
        <w:rPr>
          <w:rFonts w:hint="eastAsia"/>
        </w:rPr>
        <w:t>货运班</w:t>
      </w:r>
      <w:r>
        <w:t>线，扩大</w:t>
      </w:r>
      <w:r>
        <w:rPr>
          <w:rFonts w:hint="eastAsia"/>
        </w:rPr>
        <w:t>提升</w:t>
      </w:r>
      <w:r>
        <w:t>保税物流</w:t>
      </w:r>
      <w:r>
        <w:rPr>
          <w:rFonts w:hint="eastAsia"/>
        </w:rPr>
        <w:t>服务能级</w:t>
      </w:r>
      <w:r>
        <w:t>。</w:t>
      </w:r>
      <w:r>
        <w:rPr>
          <w:rFonts w:hint="eastAsia"/>
        </w:rPr>
        <w:t>持续推进南阳</w:t>
      </w:r>
      <w:r>
        <w:t>跨境</w:t>
      </w:r>
      <w:r>
        <w:rPr>
          <w:rFonts w:hint="eastAsia"/>
        </w:rPr>
        <w:t>电商综合试验区建设</w:t>
      </w:r>
      <w:r>
        <w:t>，大力发展跨境电商</w:t>
      </w:r>
      <w:r>
        <w:rPr>
          <w:rFonts w:hint="eastAsia"/>
        </w:rPr>
        <w:t>物流</w:t>
      </w:r>
      <w:r>
        <w:t>平台、企业、服务商、产业基地和境外服务网点，</w:t>
      </w:r>
      <w:r>
        <w:rPr>
          <w:rFonts w:hint="eastAsia"/>
        </w:rPr>
        <w:t>积极发展直邮、集货和保税备货等业务，</w:t>
      </w:r>
      <w:r>
        <w:t>打造</w:t>
      </w:r>
      <w:r>
        <w:rPr>
          <w:rFonts w:hint="eastAsia"/>
        </w:rPr>
        <w:t>豫鄂陕</w:t>
      </w:r>
      <w:r>
        <w:t>商品集聚出口、国外商品集中进口分拨的区域性中心</w:t>
      </w:r>
      <w:r>
        <w:rPr>
          <w:rFonts w:hint="eastAsia"/>
        </w:rPr>
        <w:t>，推动布局双向跨境电商贸易平台和海外仓，完善面向全球的跨境电商物流体系，提升通关效率和贸易便利化水平。</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jc w:val="center"/>
        </w:trPr>
        <w:tc>
          <w:tcPr>
            <w:tcW w:w="8774" w:type="dxa"/>
          </w:tcPr>
          <w:p>
            <w:pPr>
              <w:pStyle w:val="4"/>
              <w:spacing w:line="400" w:lineRule="exact"/>
              <w:ind w:firstLine="280"/>
              <w:contextualSpacing/>
              <w:jc w:val="center"/>
              <w:rPr>
                <w:rFonts w:ascii="宋体" w:hAnsi="宋体" w:eastAsia="宋体" w:cs="宋体"/>
                <w:sz w:val="28"/>
                <w:szCs w:val="28"/>
                <w:lang w:val="en-US"/>
              </w:rPr>
            </w:pPr>
            <w:r>
              <w:rPr>
                <w:rFonts w:hint="eastAsia" w:ascii="Times New Roman" w:hAnsi="Times New Roman" w:eastAsia="黑体" w:cs="黑体"/>
                <w:sz w:val="28"/>
                <w:szCs w:val="28"/>
                <w:lang w:val="en-US" w:bidi="ar-SA"/>
              </w:rPr>
              <w:t>专栏1：物流枢纽经济培育行动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4" w:type="dxa"/>
          </w:tcPr>
          <w:p>
            <w:pPr>
              <w:pStyle w:val="4"/>
              <w:spacing w:line="400" w:lineRule="exact"/>
              <w:ind w:left="0" w:firstLine="480" w:firstLineChars="200"/>
              <w:contextualSpacing/>
              <w:rPr>
                <w:rFonts w:ascii="仿宋_GB2312" w:hAnsi="仿宋_GB2312" w:cs="仿宋_GB2312"/>
                <w:sz w:val="24"/>
                <w:szCs w:val="24"/>
                <w:lang w:val="en-US"/>
              </w:rPr>
            </w:pPr>
            <w:r>
              <w:rPr>
                <w:rFonts w:hint="eastAsia" w:ascii="楷体" w:hAnsi="楷体" w:eastAsia="楷体" w:cs="楷体"/>
                <w:bCs/>
                <w:sz w:val="24"/>
                <w:szCs w:val="24"/>
                <w:lang w:val="en-US"/>
              </w:rPr>
              <w:t>1.国家物流枢纽建设行动。</w:t>
            </w:r>
            <w:r>
              <w:rPr>
                <w:rFonts w:hint="eastAsia" w:ascii="仿宋_GB2312" w:hAnsi="仿宋_GB2312" w:cs="仿宋_GB2312"/>
                <w:sz w:val="24"/>
                <w:szCs w:val="24"/>
                <w:lang w:val="en-US"/>
              </w:rPr>
              <w:t>依托卧龙现代物流产业园和卧龙综合保税区，加快谋划建设商贸服务型国家物流枢纽，创新“枢纽+”发展模式，强化物流集群、主体集聚、平台集成、产城融合，健全完善“多式联运”物流设施网络，增强枢纽要素组织和资源吸附能力，提升南阳商贸服务型国家物流枢纽承载城市辐射能级。</w:t>
            </w:r>
          </w:p>
          <w:p>
            <w:pPr>
              <w:pStyle w:val="4"/>
              <w:spacing w:line="400" w:lineRule="exact"/>
              <w:ind w:left="0" w:firstLine="480" w:firstLineChars="200"/>
              <w:contextualSpacing/>
              <w:rPr>
                <w:rFonts w:ascii="仿宋_GB2312" w:hAnsi="仿宋_GB2312" w:cs="仿宋_GB2312"/>
                <w:sz w:val="24"/>
                <w:szCs w:val="24"/>
                <w:lang w:val="en-US"/>
              </w:rPr>
            </w:pPr>
            <w:r>
              <w:rPr>
                <w:rFonts w:hint="eastAsia" w:ascii="楷体" w:hAnsi="楷体" w:eastAsia="楷体" w:cs="楷体"/>
                <w:bCs/>
                <w:sz w:val="24"/>
                <w:szCs w:val="24"/>
                <w:lang w:val="en-US"/>
              </w:rPr>
              <w:t>2.水运物流设施强基行动。</w:t>
            </w:r>
            <w:r>
              <w:rPr>
                <w:rFonts w:hint="eastAsia" w:ascii="仿宋_GB2312" w:hAnsi="仿宋_GB2312" w:cs="仿宋_GB2312"/>
                <w:sz w:val="24"/>
                <w:szCs w:val="24"/>
                <w:lang w:val="en-US"/>
              </w:rPr>
              <w:t>加快推动唐河港临港物流园区航运装卸、堆存分拨等物流基础设施和载体平台建设，规划建设白河航运工程、南阳港中心港区、新野港区等水运设施，推进社旗港区集装箱货运码头建设，大力发展公水、铁水多式联运，推进港口与产业区、物流园区的连接通道建设，加快打通铁路、公路进港“最后一公里”。</w:t>
            </w:r>
          </w:p>
          <w:p>
            <w:pPr>
              <w:pStyle w:val="4"/>
              <w:spacing w:line="400" w:lineRule="exact"/>
              <w:ind w:left="0" w:firstLine="480" w:firstLineChars="200"/>
              <w:contextualSpacing/>
              <w:rPr>
                <w:rFonts w:ascii="仿宋_GB2312" w:hAnsi="仿宋_GB2312" w:cs="仿宋_GB2312"/>
                <w:sz w:val="24"/>
                <w:szCs w:val="24"/>
                <w:lang w:val="en-US"/>
              </w:rPr>
            </w:pPr>
            <w:r>
              <w:rPr>
                <w:rFonts w:hint="eastAsia" w:ascii="楷体" w:hAnsi="楷体" w:eastAsia="楷体" w:cs="楷体"/>
                <w:bCs/>
                <w:sz w:val="24"/>
                <w:szCs w:val="24"/>
                <w:lang w:val="en-US"/>
              </w:rPr>
              <w:t>3.航空物流能级提升行动。</w:t>
            </w:r>
            <w:r>
              <w:rPr>
                <w:rFonts w:hint="eastAsia" w:ascii="仿宋_GB2312" w:hAnsi="仿宋_GB2312" w:cs="仿宋_GB2312"/>
                <w:sz w:val="24"/>
                <w:szCs w:val="24"/>
                <w:lang w:val="en-US"/>
              </w:rPr>
              <w:t>提升航空货运组织能力，充分发挥客运腹舱运力资源优势，推进客货协同发展，引入具有航空运输能力或资质的快递企业入驻，推动实施南阳机场迁建工程，谋划建设南阳机场物流配送设施，支撑集人流、物流为一体的临空经济区建设。</w:t>
            </w:r>
          </w:p>
          <w:p>
            <w:pPr>
              <w:pStyle w:val="4"/>
              <w:spacing w:line="400" w:lineRule="exact"/>
              <w:ind w:left="0" w:firstLine="480" w:firstLineChars="200"/>
              <w:contextualSpacing/>
              <w:rPr>
                <w:rFonts w:cs="宋体"/>
                <w:sz w:val="28"/>
                <w:szCs w:val="28"/>
                <w:lang w:val="en-US"/>
              </w:rPr>
            </w:pPr>
            <w:r>
              <w:rPr>
                <w:rFonts w:hint="eastAsia" w:ascii="楷体" w:hAnsi="楷体" w:eastAsia="楷体" w:cs="楷体"/>
                <w:bCs/>
                <w:sz w:val="24"/>
                <w:szCs w:val="24"/>
                <w:lang w:val="en-US"/>
              </w:rPr>
              <w:t>4.保税物流功能拓展行动。</w:t>
            </w:r>
            <w:r>
              <w:rPr>
                <w:rFonts w:hint="eastAsia" w:ascii="仿宋_GB2312" w:hAnsi="仿宋_GB2312" w:cs="仿宋_GB2312"/>
                <w:sz w:val="24"/>
                <w:szCs w:val="24"/>
                <w:lang w:val="en-US"/>
              </w:rPr>
              <w:t>加快推进南阳卧龙综合保税区保税物流中心、出口加工区、保税仓库等载体建设，强化进出口商品资源、货源组织调配能力，积极发展“保税+”新型贸易，推动从单一口岸功能向集跨境电商、商品展示、保税仓储、分销配送、金融服务等多元化口岸经济转变，积极创建河南自贸区开放创新联动区。</w:t>
            </w:r>
          </w:p>
        </w:tc>
      </w:tr>
    </w:tbl>
    <w:p>
      <w:pPr>
        <w:spacing w:line="560" w:lineRule="exact"/>
        <w:contextualSpacing/>
        <w:jc w:val="center"/>
        <w:outlineLvl w:val="1"/>
        <w:rPr>
          <w:rFonts w:ascii="Times New Roman" w:hAnsi="Times New Roman" w:eastAsia="楷体_GB2312"/>
          <w:bCs/>
        </w:rPr>
      </w:pPr>
      <w:bookmarkStart w:id="1263" w:name="_Toc928980765"/>
      <w:r>
        <w:rPr>
          <w:rFonts w:hint="eastAsia" w:ascii="Times New Roman" w:hAnsi="Times New Roman" w:eastAsia="楷体_GB2312"/>
          <w:bCs/>
        </w:rPr>
        <w:t>第二节 构建现代化产业流通体系</w:t>
      </w:r>
      <w:bookmarkEnd w:id="1263"/>
    </w:p>
    <w:p>
      <w:pPr>
        <w:spacing w:line="560" w:lineRule="exact"/>
        <w:ind w:firstLine="640" w:firstLineChars="200"/>
        <w:contextualSpacing/>
        <w:rPr>
          <w:rFonts w:ascii="Times New Roman" w:hAnsi="Times New Roman"/>
        </w:rPr>
      </w:pPr>
      <w:r>
        <w:rPr>
          <w:rFonts w:hint="eastAsia" w:ascii="仿宋_GB2312" w:hAnsi="仿宋_GB2312" w:cs="仿宋_GB2312"/>
          <w:bCs/>
        </w:rPr>
        <w:t>1.提升物流供应链组织能力。</w:t>
      </w:r>
      <w:r>
        <w:rPr>
          <w:rFonts w:hint="eastAsia" w:ascii="Times New Roman" w:hAnsi="Times New Roman"/>
        </w:rPr>
        <w:t>发挥物流在供应链管理上的关键作用，提升物流企业供应链管理能力，培育壮大一批现代化、专业化的供应链物流企业。强化供应链技术应用和服务模式创新，增强供应链金融、采购执行、分销执行、质量追溯、商检报关等增值服务能力。推进物流供应链企业加大数字化投入力度，加强数据标准统一、信息互联和数据共享，提升供应链要素数据化、数据业务化和信息安全化水平。在生产制造、商贸流通、大宗商品等重点行业领域，加快培育一批技术水平高、集成能力强的一体化供应链组织中枢，实现集中采购、共同库存、支付结算、物流配送、金融服务等功能集成，提高供应链快速响应能力。</w:t>
      </w:r>
    </w:p>
    <w:p>
      <w:pPr>
        <w:spacing w:line="560" w:lineRule="exact"/>
        <w:ind w:firstLine="640" w:firstLineChars="200"/>
        <w:contextualSpacing/>
        <w:rPr>
          <w:rFonts w:ascii="Times New Roman" w:hAnsi="Times New Roman"/>
        </w:rPr>
      </w:pPr>
      <w:r>
        <w:rPr>
          <w:rFonts w:hint="eastAsia" w:ascii="仿宋_GB2312" w:hAnsi="仿宋_GB2312" w:cs="仿宋_GB2312"/>
          <w:bCs/>
        </w:rPr>
        <w:t>2.推动物流业制造业融合创新。</w:t>
      </w:r>
      <w:r>
        <w:rPr>
          <w:rFonts w:hint="eastAsia" w:ascii="Times New Roman" w:hAnsi="Times New Roman"/>
        </w:rPr>
        <w:t>支持物流企业与制造企业创新供应链协同共建模式，强化供应链组织和要素资源整合，打造具有订单管理、库存管理、数据辅助决策等功能的供应链管理平台，提高生产制造与物流一体化水平。鼓励物流企业为制造企业量身定制供应链管理库存、线边物流、逆向物流、供应链一体化服务等物流解决方案，探索联合采购、共享仓储等创新模式，带动制造业流程再造、模式创新、质态提升。完善提升制造业开发区物流服务“区中园”功能，为制造企业提供高效快捷的物流服务，降低制造企业物流成本。提升粮食、钢铁、煤炭、矿产品等大宗商品和物资的供应链发展水平，推动铁路专用线进园区、进厂区，加密面向生产厂区和物流基地的“点对点”直达货运班列，扩大大宗物资运量运能互保协议范围，推动大宗商品物流园区建设线上线下一体交易平台，拓展完善交付交割、电子结算、</w:t>
      </w:r>
      <w:r>
        <w:t>抵押融资、</w:t>
      </w:r>
      <w:r>
        <w:rPr>
          <w:rFonts w:hint="eastAsia" w:ascii="Times New Roman" w:hAnsi="Times New Roman"/>
        </w:rPr>
        <w:t>通关保税等功能，加快向集采购、分销、仓储、配送、金融于一体的供应链集成服务商转型。</w:t>
      </w:r>
    </w:p>
    <w:p>
      <w:pPr>
        <w:spacing w:line="560" w:lineRule="exact"/>
        <w:ind w:firstLine="640" w:firstLineChars="200"/>
        <w:contextualSpacing/>
        <w:rPr>
          <w:rFonts w:ascii="Times New Roman" w:hAnsi="Times New Roman"/>
        </w:rPr>
      </w:pPr>
      <w:r>
        <w:rPr>
          <w:rFonts w:hint="eastAsia" w:ascii="仿宋_GB2312" w:hAnsi="仿宋_GB2312" w:cs="仿宋_GB2312"/>
          <w:bCs/>
        </w:rPr>
        <w:t>3.增强物流对农业的支撑作用。</w:t>
      </w:r>
      <w:r>
        <w:rPr>
          <w:rFonts w:hint="eastAsia" w:ascii="Times New Roman" w:hAnsi="Times New Roman"/>
        </w:rPr>
        <w:t>畅通农产品上行渠道，推动物流设施、服务、系统嵌入优势农产品主产区，在小麦、玉米、花生等大宗粮油作物生产基地，加快建设烘干仓储设施，在林果、茶叶、食用菌、中药材、蔬菜等特色作物主产区，加快建设产地清洗、分选、包装、冷藏设施，降低产后损失率。加强农产品物流集散分拨设施建设，加快唐河县年中转300万吨粮食现代物流园、新野县粮油物流园等粮食仓储物流设施建设，支持农产品第三方物流企业加强与新型农业经营主体合作，在特色优势农业基地就近改造建设集配中心、产地仓、预冷仓等基础设施，打造一批农产品集散、物流配送和展销中心，完善“产地生产+仓储加工+产品包装+物流配送”一体化服务，提升农产品商品化处理和错峰销售能力。支持电商、快递等物流企业深度对接农产品加工企业，大力发展“互联网+产地直发”模式，完善末端销售网络，实现信息共享、流程对接、服务定制，提升供应链管理水平。</w:t>
      </w:r>
    </w:p>
    <w:p>
      <w:pPr>
        <w:pStyle w:val="4"/>
        <w:spacing w:line="560" w:lineRule="exact"/>
        <w:ind w:left="0" w:firstLine="640" w:firstLineChars="200"/>
        <w:contextualSpacing/>
        <w:rPr>
          <w:rFonts w:ascii="Times New Roman" w:hAnsi="Times New Roman"/>
          <w:lang w:bidi="ar-SA"/>
        </w:rPr>
      </w:pPr>
      <w:r>
        <w:rPr>
          <w:rFonts w:hint="eastAsia" w:ascii="仿宋_GB2312" w:hAnsi="仿宋_GB2312" w:cs="仿宋_GB2312"/>
          <w:bCs/>
          <w:lang w:val="en-US" w:bidi="ar-SA"/>
        </w:rPr>
        <w:t>4.完善现代商贸物流体系建设。</w:t>
      </w:r>
      <w:r>
        <w:rPr>
          <w:rFonts w:hint="eastAsia" w:ascii="Times New Roman" w:hAnsi="Times New Roman"/>
          <w:lang w:val="en-US" w:bidi="ar-SA"/>
        </w:rPr>
        <w:t>优化</w:t>
      </w:r>
      <w:r>
        <w:rPr>
          <w:rFonts w:hint="eastAsia" w:ascii="Times New Roman" w:hAnsi="Times New Roman"/>
          <w:lang w:bidi="ar-SA"/>
        </w:rPr>
        <w:t>商贸物流服务网络，</w:t>
      </w:r>
      <w:r>
        <w:t>引导</w:t>
      </w:r>
      <w:r>
        <w:rPr>
          <w:rFonts w:hint="eastAsia"/>
          <w:lang w:val="en-US"/>
        </w:rPr>
        <w:t>中心城区大型批发市场和</w:t>
      </w:r>
      <w:r>
        <w:t>商贸物流设施外迁</w:t>
      </w:r>
      <w:r>
        <w:rPr>
          <w:rFonts w:hint="eastAsia"/>
        </w:rPr>
        <w:t>，</w:t>
      </w:r>
      <w:r>
        <w:rPr>
          <w:rFonts w:hint="eastAsia"/>
          <w:lang w:val="en-US"/>
        </w:rPr>
        <w:t>在城市周边集中布局</w:t>
      </w:r>
      <w:r>
        <w:t>建设商贸物流</w:t>
      </w:r>
      <w:r>
        <w:rPr>
          <w:rFonts w:hint="eastAsia"/>
        </w:rPr>
        <w:t>园区</w:t>
      </w:r>
      <w:r>
        <w:rPr>
          <w:rFonts w:hint="eastAsia"/>
          <w:lang w:val="en-US"/>
        </w:rPr>
        <w:t>和仓配一体化</w:t>
      </w:r>
      <w:r>
        <w:rPr>
          <w:rFonts w:hint="eastAsia"/>
        </w:rPr>
        <w:t>物流</w:t>
      </w:r>
      <w:r>
        <w:rPr>
          <w:rFonts w:hint="eastAsia"/>
          <w:lang w:val="en-US"/>
        </w:rPr>
        <w:t>分拨配送</w:t>
      </w:r>
      <w:r>
        <w:rPr>
          <w:rFonts w:hint="eastAsia"/>
        </w:rPr>
        <w:t>中心，支持骨干物流企业整合利用场地渠道资源，</w:t>
      </w:r>
      <w:r>
        <w:rPr>
          <w:rFonts w:hint="eastAsia"/>
          <w:lang w:val="en-US"/>
        </w:rPr>
        <w:t>为商贸企业提供</w:t>
      </w:r>
      <w:r>
        <w:rPr>
          <w:rFonts w:hint="eastAsia"/>
        </w:rPr>
        <w:t>共同配送、集中配送，提高设施</w:t>
      </w:r>
      <w:r>
        <w:rPr>
          <w:rFonts w:hint="eastAsia"/>
          <w:lang w:val="en-US"/>
        </w:rPr>
        <w:t>资源</w:t>
      </w:r>
      <w:r>
        <w:rPr>
          <w:rFonts w:hint="eastAsia"/>
        </w:rPr>
        <w:t>利用效率</w:t>
      </w:r>
      <w:r>
        <w:rPr>
          <w:rFonts w:hint="eastAsia"/>
          <w:lang w:val="en-US"/>
        </w:rPr>
        <w:t>和物流运行效率</w:t>
      </w:r>
      <w:r>
        <w:rPr>
          <w:rFonts w:hint="eastAsia"/>
        </w:rPr>
        <w:t>。</w:t>
      </w:r>
      <w:r>
        <w:rPr>
          <w:rFonts w:hint="eastAsia" w:ascii="Times New Roman" w:hAnsi="Times New Roman"/>
          <w:lang w:bidi="ar-SA"/>
        </w:rPr>
        <w:t>支持第三方物流企业与大型商贸企业、专业批发市场合作，开展标准化、定制化、</w:t>
      </w:r>
      <w:r>
        <w:rPr>
          <w:rFonts w:hint="eastAsia" w:ascii="Times New Roman" w:hAnsi="Times New Roman"/>
          <w:lang w:val="en-US" w:bidi="ar-SA"/>
        </w:rPr>
        <w:t>专业化</w:t>
      </w:r>
      <w:r>
        <w:rPr>
          <w:rFonts w:hint="eastAsia" w:ascii="Times New Roman" w:hAnsi="Times New Roman"/>
          <w:lang w:bidi="ar-SA"/>
        </w:rPr>
        <w:t>物流服务，</w:t>
      </w:r>
      <w:r>
        <w:rPr>
          <w:rFonts w:hint="eastAsia"/>
          <w:lang w:val="en-US"/>
        </w:rPr>
        <w:t>促进</w:t>
      </w:r>
      <w:r>
        <w:rPr>
          <w:rFonts w:hint="eastAsia"/>
        </w:rPr>
        <w:t>流通供应链协同发展</w:t>
      </w:r>
      <w:r>
        <w:rPr>
          <w:rFonts w:hint="eastAsia" w:ascii="Times New Roman" w:hAnsi="Times New Roman"/>
          <w:lang w:bidi="ar-SA"/>
        </w:rPr>
        <w:t>。</w:t>
      </w:r>
      <w:r>
        <w:t>支持大型连锁企业建设改造</w:t>
      </w:r>
      <w:r>
        <w:rPr>
          <w:rFonts w:hint="eastAsia"/>
          <w:lang w:val="en-US"/>
        </w:rPr>
        <w:t>升级</w:t>
      </w:r>
      <w:r>
        <w:t>物流配送中心，完善</w:t>
      </w:r>
      <w:r>
        <w:rPr>
          <w:rFonts w:hint="eastAsia"/>
          <w:lang w:val="en-US"/>
        </w:rPr>
        <w:t>城乡</w:t>
      </w:r>
      <w:r>
        <w:t>物流配送</w:t>
      </w:r>
      <w:r>
        <w:rPr>
          <w:rFonts w:hint="eastAsia"/>
          <w:lang w:val="en-US"/>
        </w:rPr>
        <w:t>网络</w:t>
      </w:r>
      <w:r>
        <w:t>，发展统一配送，构建全程可控、可溯、可视的智能</w:t>
      </w:r>
      <w:r>
        <w:rPr>
          <w:rFonts w:hint="eastAsia"/>
          <w:lang w:val="en-US"/>
        </w:rPr>
        <w:t>化</w:t>
      </w:r>
      <w:r>
        <w:t>配送体系</w:t>
      </w:r>
      <w:r>
        <w:rPr>
          <w:rFonts w:hint="eastAsia"/>
        </w:rPr>
        <w:t>，</w:t>
      </w:r>
      <w:r>
        <w:t>提高连锁企业物流配送精细化水平。</w:t>
      </w:r>
      <w:r>
        <w:rPr>
          <w:rFonts w:hint="eastAsia"/>
        </w:rPr>
        <w:t>推动“市场</w:t>
      </w:r>
      <w:r>
        <w:rPr>
          <w:rFonts w:hint="eastAsia" w:ascii="Times New Roman" w:hAnsi="Times New Roman"/>
          <w:lang w:val="en-US" w:bidi="ar-SA"/>
        </w:rPr>
        <w:t>+</w:t>
      </w:r>
      <w:r>
        <w:rPr>
          <w:rFonts w:hint="eastAsia"/>
        </w:rPr>
        <w:t>电商</w:t>
      </w:r>
      <w:r>
        <w:rPr>
          <w:rFonts w:hint="eastAsia" w:ascii="Times New Roman" w:hAnsi="Times New Roman"/>
          <w:lang w:val="en-US" w:bidi="ar-SA"/>
        </w:rPr>
        <w:t>+</w:t>
      </w:r>
      <w:r>
        <w:rPr>
          <w:rFonts w:hint="eastAsia"/>
        </w:rPr>
        <w:t>商贸”物流一体化发展，</w:t>
      </w:r>
      <w:r>
        <w:rPr>
          <w:rFonts w:hint="eastAsia" w:ascii="Times New Roman" w:hAnsi="Times New Roman"/>
          <w:lang w:bidi="ar-SA"/>
        </w:rPr>
        <w:t>完善面向采购商的网络化仓储配送体系、面向网商的便捷化供应链物流服务体系、面向小品牌的专业化共同配送服务体系，提高商贸物流专业化水平。</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1" w:type="dxa"/>
          </w:tcPr>
          <w:p>
            <w:pPr>
              <w:pStyle w:val="4"/>
              <w:spacing w:line="400" w:lineRule="exact"/>
              <w:ind w:firstLine="280"/>
              <w:contextualSpacing/>
              <w:jc w:val="center"/>
              <w:rPr>
                <w:rFonts w:ascii="宋体" w:hAnsi="宋体" w:eastAsia="宋体" w:cs="宋体"/>
                <w:sz w:val="28"/>
                <w:szCs w:val="28"/>
                <w:lang w:val="en-US"/>
              </w:rPr>
            </w:pPr>
            <w:r>
              <w:rPr>
                <w:rFonts w:hint="eastAsia" w:ascii="Times New Roman" w:hAnsi="Times New Roman" w:eastAsia="黑体" w:cs="黑体"/>
                <w:sz w:val="28"/>
                <w:szCs w:val="28"/>
                <w:lang w:val="en-US" w:bidi="ar-SA"/>
              </w:rPr>
              <w:t>专栏2：物流供应链构建行动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1" w:type="dxa"/>
          </w:tcPr>
          <w:p>
            <w:pPr>
              <w:pStyle w:val="4"/>
              <w:spacing w:line="400" w:lineRule="exact"/>
              <w:ind w:left="0" w:firstLine="480" w:firstLineChars="200"/>
              <w:contextualSpacing/>
              <w:rPr>
                <w:rFonts w:ascii="仿宋_GB2312" w:hAnsi="仿宋_GB2312" w:cs="仿宋_GB2312"/>
                <w:sz w:val="24"/>
                <w:szCs w:val="24"/>
                <w:lang w:val="en-US"/>
              </w:rPr>
            </w:pPr>
            <w:r>
              <w:rPr>
                <w:rFonts w:hint="eastAsia" w:ascii="楷体" w:hAnsi="楷体" w:eastAsia="楷体" w:cs="楷体"/>
                <w:bCs/>
                <w:sz w:val="24"/>
                <w:szCs w:val="24"/>
                <w:lang w:val="en-US"/>
              </w:rPr>
              <w:t>1.物流“链主”培育行动。</w:t>
            </w:r>
            <w:r>
              <w:rPr>
                <w:rFonts w:hint="eastAsia" w:ascii="仿宋_GB2312" w:hAnsi="仿宋_GB2312" w:cs="仿宋_GB2312"/>
                <w:sz w:val="24"/>
                <w:szCs w:val="24"/>
                <w:lang w:val="en-US"/>
              </w:rPr>
              <w:t>引进和壮大一批现代化、专业化的供应链物流企业，支持大型物流企业向供应链综合解决方案提供商转型，加强区域间产业供应链合作，为上下游企业提供集中配送、供应链管理、金融信贷等增值服务。</w:t>
            </w:r>
          </w:p>
          <w:p>
            <w:pPr>
              <w:pStyle w:val="4"/>
              <w:spacing w:line="400" w:lineRule="exact"/>
              <w:ind w:left="0" w:firstLine="480" w:firstLineChars="200"/>
              <w:contextualSpacing/>
              <w:rPr>
                <w:rFonts w:ascii="仿宋_GB2312" w:hAnsi="仿宋_GB2312" w:cs="仿宋_GB2312"/>
                <w:sz w:val="24"/>
                <w:szCs w:val="24"/>
                <w:lang w:val="en-US"/>
              </w:rPr>
            </w:pPr>
            <w:r>
              <w:rPr>
                <w:rFonts w:hint="eastAsia" w:ascii="楷体" w:hAnsi="楷体" w:eastAsia="楷体" w:cs="楷体"/>
                <w:bCs/>
                <w:sz w:val="24"/>
                <w:szCs w:val="24"/>
                <w:lang w:val="en-US"/>
              </w:rPr>
              <w:t>2.工业品供应链建设行动。</w:t>
            </w:r>
            <w:r>
              <w:rPr>
                <w:rFonts w:hint="eastAsia" w:ascii="仿宋_GB2312" w:hAnsi="仿宋_GB2312" w:cs="仿宋_GB2312"/>
                <w:sz w:val="24"/>
                <w:szCs w:val="24"/>
                <w:lang w:val="en-US"/>
              </w:rPr>
              <w:t>构建粮食、钢铁、煤炭、矿产品、医药等供应链体系，完善先进装备制造、光电电子信息、纺织服装、汽车及零部件等产业集群物流配套设施，建设一批工业品物流基地、跨区域物流分拨中心和专业化供应链协作平台，提升行业组织化、网络化运行水平，打造辐射豫鄂陕的工业品供应链中心。</w:t>
            </w:r>
          </w:p>
          <w:p>
            <w:pPr>
              <w:pStyle w:val="4"/>
              <w:spacing w:line="400" w:lineRule="exact"/>
              <w:ind w:left="0" w:firstLine="480" w:firstLineChars="200"/>
              <w:contextualSpacing/>
              <w:rPr>
                <w:rFonts w:ascii="仿宋_GB2312" w:hAnsi="仿宋_GB2312" w:cs="仿宋_GB2312"/>
                <w:sz w:val="24"/>
                <w:szCs w:val="24"/>
                <w:lang w:val="en-US"/>
              </w:rPr>
            </w:pPr>
            <w:r>
              <w:rPr>
                <w:rFonts w:hint="eastAsia" w:ascii="楷体" w:hAnsi="楷体" w:eastAsia="楷体" w:cs="楷体"/>
                <w:bCs/>
                <w:sz w:val="24"/>
                <w:szCs w:val="24"/>
                <w:lang w:val="en-US"/>
              </w:rPr>
              <w:t>3.农产品产销衔接强化行动。</w:t>
            </w:r>
            <w:r>
              <w:rPr>
                <w:rFonts w:hint="eastAsia" w:ascii="仿宋_GB2312" w:hAnsi="仿宋_GB2312" w:cs="仿宋_GB2312"/>
                <w:sz w:val="24"/>
                <w:szCs w:val="24"/>
                <w:lang w:val="en-US"/>
              </w:rPr>
              <w:t>引导农产品物流企业加强与特色农产品主产区、生产基地、农业产业园区、加工园区业务合作，建设分级、预冷、包装、运输、销售一体化供应链基地，开展集中采购、联采直供和统仓共配，推进农批对接、农超对接、农餐对接、仓店对接，构建上联生产、下联消费的农产品供应链体系。</w:t>
            </w:r>
          </w:p>
          <w:p>
            <w:pPr>
              <w:pStyle w:val="4"/>
              <w:spacing w:line="400" w:lineRule="exact"/>
              <w:ind w:left="0" w:firstLine="480" w:firstLineChars="200"/>
              <w:contextualSpacing/>
              <w:rPr>
                <w:rFonts w:cs="宋体"/>
                <w:sz w:val="28"/>
                <w:szCs w:val="28"/>
                <w:lang w:val="en-US"/>
              </w:rPr>
            </w:pPr>
            <w:r>
              <w:rPr>
                <w:rFonts w:hint="eastAsia" w:ascii="楷体" w:hAnsi="楷体" w:eastAsia="楷体" w:cs="楷体"/>
                <w:bCs/>
                <w:sz w:val="24"/>
                <w:szCs w:val="24"/>
                <w:lang w:val="en-US"/>
              </w:rPr>
              <w:t>4.商贸物流转型升级行动。</w:t>
            </w:r>
            <w:r>
              <w:rPr>
                <w:rFonts w:hint="eastAsia" w:ascii="仿宋_GB2312" w:hAnsi="仿宋_GB2312" w:cs="仿宋_GB2312"/>
                <w:sz w:val="24"/>
                <w:szCs w:val="24"/>
                <w:lang w:val="en-US"/>
              </w:rPr>
              <w:t>鼓励大型商贸连锁企业建设智能化仓储物流设施，拓展供应链渠道，完善城乡一体化物流配送网络，支持发展统一配送和共同配送，鼓励第三方物流企业为中小商贸流通企业提供标准化、定制化物流配送服务，构建网络化、链式化、数字化新型商贸物流体系。</w:t>
            </w:r>
          </w:p>
        </w:tc>
      </w:tr>
    </w:tbl>
    <w:p>
      <w:pPr>
        <w:spacing w:line="560" w:lineRule="exact"/>
        <w:contextualSpacing/>
        <w:jc w:val="center"/>
        <w:outlineLvl w:val="1"/>
        <w:rPr>
          <w:rFonts w:ascii="Times New Roman" w:hAnsi="Times New Roman" w:eastAsia="楷体_GB2312"/>
          <w:bCs/>
        </w:rPr>
      </w:pPr>
      <w:bookmarkStart w:id="1264" w:name="_Toc278837900"/>
      <w:r>
        <w:rPr>
          <w:rFonts w:hint="eastAsia" w:ascii="Times New Roman" w:hAnsi="Times New Roman" w:eastAsia="楷体_GB2312"/>
          <w:bCs/>
        </w:rPr>
        <w:t>第三节 提升民生物流服务保障力</w:t>
      </w:r>
      <w:bookmarkEnd w:id="1264"/>
    </w:p>
    <w:p>
      <w:pPr>
        <w:pStyle w:val="4"/>
        <w:spacing w:line="560" w:lineRule="exact"/>
        <w:ind w:left="0" w:firstLine="640" w:firstLineChars="200"/>
        <w:contextualSpacing/>
        <w:rPr>
          <w:rFonts w:ascii="Times New Roman" w:hAnsi="Times New Roman"/>
          <w:lang w:val="en-US" w:bidi="ar-SA"/>
        </w:rPr>
      </w:pPr>
      <w:r>
        <w:rPr>
          <w:rFonts w:hint="eastAsia" w:ascii="仿宋_GB2312" w:hAnsi="仿宋_GB2312" w:cs="仿宋_GB2312"/>
          <w:bCs/>
          <w:lang w:val="en-US" w:bidi="ar-SA"/>
        </w:rPr>
        <w:t>1.加强</w:t>
      </w:r>
      <w:r>
        <w:rPr>
          <w:rFonts w:hint="eastAsia" w:ascii="Times New Roman" w:hAnsi="Times New Roman"/>
          <w:bCs/>
          <w:lang w:val="en-US" w:bidi="ar-SA"/>
        </w:rPr>
        <w:t>冷链物流体系建设。</w:t>
      </w:r>
      <w:r>
        <w:rPr>
          <w:rFonts w:hint="eastAsia" w:ascii="Times New Roman" w:hAnsi="Times New Roman"/>
          <w:lang w:val="en-US" w:bidi="ar-SA"/>
        </w:rPr>
        <w:t>完善“骨干基地+集配中心+城乡网点”三级冷链物流节点布局，依托中商农产品批发市场、万邦农产品批发市场、中合农投（淅川）国际农副产品冷链交易中心，加快打造区域性冷链物流基地，依托新野、邓州等农产品主产区，加强产地型、销地型冷链集配中心建设，补齐产地“最先一公里”冷链物流基础设施短板，引导冷链物流要素和上下游产业沿干线物流通道集聚发展，加快形成高效衔接的三级冷链物流网络体系。推动冷链物流运营和组织模式创新，推广“移动冷库+集配中心”“中央厨房+食材冷链配送”“连锁直营+冷链配送”及设施设备巡回租赁等冷链物流新模式，提高资源利用与集货组织效率。聚焦“7+1”品类（肉类、水果、蔬菜、水产品、乳品、速冻食品、预制菜等生鲜食品及疫苗医药产品），完善仓储、运输、流通加工、分拨配送、寄递、信息等一体化冷链服务体系，提升专业化冷链物流服务能力。相关部门协同加强冷链产品质量安全监管，打造全链条、可追溯、无断链的冷链物流运行体系。</w:t>
      </w:r>
    </w:p>
    <w:p>
      <w:pPr>
        <w:pStyle w:val="4"/>
        <w:spacing w:line="560" w:lineRule="exact"/>
        <w:ind w:left="0" w:firstLine="640" w:firstLineChars="200"/>
        <w:contextualSpacing/>
        <w:rPr>
          <w:rFonts w:ascii="Times New Roman" w:hAnsi="Times New Roman"/>
          <w:lang w:val="en-US" w:bidi="ar-SA"/>
        </w:rPr>
      </w:pPr>
      <w:r>
        <w:rPr>
          <w:rFonts w:hint="eastAsia" w:ascii="仿宋_GB2312" w:hAnsi="仿宋_GB2312" w:cs="仿宋_GB2312"/>
          <w:bCs/>
          <w:lang w:val="en-US" w:bidi="ar-SA"/>
        </w:rPr>
        <w:t>2.优化</w:t>
      </w:r>
      <w:r>
        <w:rPr>
          <w:rFonts w:hint="eastAsia" w:ascii="Times New Roman" w:hAnsi="Times New Roman"/>
          <w:bCs/>
          <w:lang w:val="en-US" w:bidi="ar-SA"/>
        </w:rPr>
        <w:t>电商快递物流服务。</w:t>
      </w:r>
      <w:r>
        <w:rPr>
          <w:rFonts w:hint="eastAsia" w:ascii="Times New Roman" w:hAnsi="Times New Roman"/>
          <w:lang w:val="en-US" w:bidi="ar-SA"/>
        </w:rPr>
        <w:t>适应电商快递融合发展需求，完善电商快递一体化服务网络，建立市、县、乡、村四级全覆盖的电商快递物流服务体系。</w:t>
      </w:r>
      <w:r>
        <w:rPr>
          <w:rFonts w:hint="eastAsia"/>
        </w:rPr>
        <w:t>鼓励</w:t>
      </w:r>
      <w:r>
        <w:rPr>
          <w:rFonts w:hint="eastAsia"/>
          <w:lang w:val="en-US"/>
        </w:rPr>
        <w:t>电商</w:t>
      </w:r>
      <w:r>
        <w:rPr>
          <w:rFonts w:hint="eastAsia"/>
        </w:rPr>
        <w:t>快递物流企业</w:t>
      </w:r>
      <w:r>
        <w:rPr>
          <w:rFonts w:hint="eastAsia"/>
          <w:lang w:val="en-US"/>
        </w:rPr>
        <w:t>依托枢纽园区、区域性物流基地</w:t>
      </w:r>
      <w:r>
        <w:rPr>
          <w:rFonts w:hint="eastAsia"/>
        </w:rPr>
        <w:t>建设具有</w:t>
      </w:r>
      <w:r>
        <w:rPr>
          <w:rFonts w:hint="eastAsia"/>
          <w:lang w:val="en-US"/>
        </w:rPr>
        <w:t>智能</w:t>
      </w:r>
      <w:r>
        <w:rPr>
          <w:rFonts w:hint="eastAsia"/>
        </w:rPr>
        <w:t>仓储、自动分拣、快速集散、统一配送的</w:t>
      </w:r>
      <w:r>
        <w:rPr>
          <w:rFonts w:hint="eastAsia"/>
          <w:lang w:val="en-US"/>
        </w:rPr>
        <w:t>网货商品</w:t>
      </w:r>
      <w:r>
        <w:rPr>
          <w:rFonts w:hint="eastAsia"/>
        </w:rPr>
        <w:t>分拨中心，</w:t>
      </w:r>
      <w:r>
        <w:rPr>
          <w:rFonts w:hint="eastAsia"/>
          <w:lang w:val="en-US"/>
        </w:rPr>
        <w:t>依托高铁</w:t>
      </w:r>
      <w:r>
        <w:rPr>
          <w:rFonts w:hint="eastAsia"/>
        </w:rPr>
        <w:t>、公路、航空等交通枢纽建设快件处理中心，提升</w:t>
      </w:r>
      <w:r>
        <w:rPr>
          <w:rFonts w:hint="eastAsia"/>
          <w:lang w:val="en-US"/>
        </w:rPr>
        <w:t>服务</w:t>
      </w:r>
      <w:r>
        <w:rPr>
          <w:rFonts w:hint="eastAsia"/>
        </w:rPr>
        <w:t>城乡</w:t>
      </w:r>
      <w:r>
        <w:rPr>
          <w:rFonts w:hint="eastAsia"/>
          <w:lang w:val="en-US"/>
        </w:rPr>
        <w:t>电商快递网点和</w:t>
      </w:r>
      <w:r>
        <w:rPr>
          <w:rFonts w:hint="eastAsia"/>
        </w:rPr>
        <w:t>末端投递</w:t>
      </w:r>
      <w:r>
        <w:rPr>
          <w:rFonts w:hint="eastAsia"/>
          <w:lang w:val="en-US"/>
        </w:rPr>
        <w:t>网络的快速连接</w:t>
      </w:r>
      <w:r>
        <w:rPr>
          <w:rFonts w:hint="eastAsia"/>
        </w:rPr>
        <w:t>能力。</w:t>
      </w:r>
      <w:r>
        <w:rPr>
          <w:rFonts w:hint="eastAsia" w:ascii="Times New Roman" w:hAnsi="Times New Roman"/>
          <w:lang w:val="en-US" w:bidi="ar-SA"/>
        </w:rPr>
        <w:t>鼓励各县（市、区）整合场地设施资源，打造电子商务与快递物流一体化产业园区，完善信息服务、订单管理、商品集散、物流分拨、快递配送等线上线下一体化功能。推动电商快递服务站“多点合一、服务同网”，鼓励在社区、园区、校区建设品牌型快递超市，推进智能快件箱、智能信包箱、无人配送车（机）等智能终端设施建设和资源共享，构建完善“城乡集货、云仓集单、数据互通、统仓共配”的电商快递供应链体系。</w:t>
      </w:r>
    </w:p>
    <w:p>
      <w:pPr>
        <w:pStyle w:val="4"/>
        <w:spacing w:line="560" w:lineRule="exact"/>
        <w:ind w:left="0" w:firstLine="640" w:firstLineChars="200"/>
        <w:contextualSpacing/>
        <w:rPr>
          <w:rFonts w:ascii="Times New Roman" w:hAnsi="Times New Roman"/>
          <w:bCs/>
          <w:lang w:val="en-US" w:bidi="ar-SA"/>
        </w:rPr>
      </w:pPr>
      <w:r>
        <w:rPr>
          <w:rFonts w:hint="eastAsia" w:ascii="仿宋_GB2312" w:hAnsi="仿宋_GB2312" w:cs="仿宋_GB2312"/>
          <w:bCs/>
          <w:lang w:val="en-US" w:bidi="ar-SA"/>
        </w:rPr>
        <w:t>3.提</w:t>
      </w:r>
      <w:r>
        <w:rPr>
          <w:rFonts w:hint="eastAsia" w:ascii="Times New Roman" w:hAnsi="Times New Roman"/>
          <w:bCs/>
          <w:lang w:val="en-US" w:bidi="ar-SA"/>
        </w:rPr>
        <w:t>高农村物流发展水平。</w:t>
      </w:r>
      <w:r>
        <w:rPr>
          <w:rFonts w:hint="eastAsia" w:ascii="Times New Roman" w:hAnsi="Times New Roman"/>
          <w:lang w:val="en-US" w:bidi="ar-SA"/>
        </w:rPr>
        <w:t>建立完善农村三级物流配送网络，鼓励依托县（市、区）邮政、供销物流园、铁路综合物流园、电商快递物流园等场地设施资源，改造升级建设县域公共分拨中心和共同配送中心，增强农村物资下行配送和农副产品上行中转服务能力。推动乡镇以商超、邮政、农村综合服务中心、客运站点、快递集聚点等为依托，建设乡镇物流配送站，支撑农村各类物资中转仓储和分拨配送。推动行政村以农村生活综合服务中心、邮政及供销服务点、便利店、客运站点等为依托，建设村级公共取送网点。统筹农村商贸流通市场、干线物流、快递物流、农资配送等资源，探索“运邮合作”“交邮融合”“客货同网”等协同发展模式，开行统仓共配、统一配送、定时定点定线的农村物流“货运班车”，有效破解农村物流成本高和上行下行货运不均衡等难题。</w:t>
      </w:r>
    </w:p>
    <w:p>
      <w:pPr>
        <w:spacing w:line="560" w:lineRule="exact"/>
        <w:ind w:firstLine="640" w:firstLineChars="200"/>
        <w:contextualSpacing/>
        <w:rPr>
          <w:rFonts w:ascii="Times New Roman" w:hAnsi="Times New Roman"/>
        </w:rPr>
      </w:pPr>
      <w:r>
        <w:rPr>
          <w:rFonts w:hint="eastAsia" w:ascii="仿宋_GB2312" w:hAnsi="仿宋_GB2312" w:cs="仿宋_GB2312"/>
          <w:bCs/>
        </w:rPr>
        <w:t>4.完善</w:t>
      </w:r>
      <w:r>
        <w:rPr>
          <w:rFonts w:hint="eastAsia" w:ascii="Times New Roman" w:hAnsi="Times New Roman"/>
          <w:bCs/>
        </w:rPr>
        <w:t>应急物流调配体系。</w:t>
      </w:r>
      <w:r>
        <w:rPr>
          <w:rFonts w:hint="eastAsia" w:ascii="Times New Roman" w:hAnsi="Times New Roman"/>
        </w:rPr>
        <w:t>支持国家级、省级区域物流枢纽和综合性物流园区完善专用仓储、应急隔离、快速中转等功能，建设应急物流基地和应急物资运输中转站。围绕医疗储运设施和粮食、农产品物流基地，建设一批专业化应急物资储备基地和快速转运分拨中心、配送中心。联合冷链、危货、重载等公路运输企业及快递企业，组建专业化应急物流队伍。完善应急救援物资运输机制，推动建立应急运输车船优先通行、航空应急运输通道临时征调等机制。完善应急物资的分级响应和保障体系，谋划建立公共应急调度系统，实现市域物资的统筹调度。积极对接省级及周边城市交通运输部门，构建区域应急物流协同保障体系。</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6" w:type="dxa"/>
          </w:tcPr>
          <w:p>
            <w:pPr>
              <w:pStyle w:val="4"/>
              <w:spacing w:line="400" w:lineRule="exact"/>
              <w:ind w:firstLine="280"/>
              <w:contextualSpacing/>
              <w:jc w:val="center"/>
              <w:rPr>
                <w:lang w:val="en-US"/>
              </w:rPr>
            </w:pPr>
            <w:r>
              <w:rPr>
                <w:rFonts w:hint="eastAsia" w:ascii="黑体" w:hAnsi="黑体" w:eastAsia="黑体" w:cs="黑体"/>
                <w:sz w:val="28"/>
                <w:szCs w:val="28"/>
                <w:lang w:val="en-US"/>
              </w:rPr>
              <w:t>专栏</w:t>
            </w:r>
            <w:r>
              <w:rPr>
                <w:rFonts w:ascii="Times New Roman" w:hAnsi="Times New Roman" w:eastAsia="黑体"/>
                <w:sz w:val="28"/>
                <w:szCs w:val="28"/>
                <w:lang w:val="en-US"/>
              </w:rPr>
              <w:t>3</w:t>
            </w:r>
            <w:r>
              <w:rPr>
                <w:rFonts w:hint="eastAsia" w:ascii="黑体" w:hAnsi="黑体" w:eastAsia="黑体" w:cs="黑体"/>
                <w:sz w:val="28"/>
                <w:szCs w:val="28"/>
                <w:lang w:val="en-US"/>
              </w:rPr>
              <w:t>：民生物流提质增效行动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6" w:type="dxa"/>
          </w:tcPr>
          <w:p>
            <w:pPr>
              <w:pStyle w:val="4"/>
              <w:spacing w:line="400" w:lineRule="exact"/>
              <w:ind w:left="0" w:firstLine="480" w:firstLineChars="200"/>
              <w:contextualSpacing/>
              <w:rPr>
                <w:rFonts w:ascii="仿宋_GB2312" w:hAnsi="仿宋_GB2312" w:cs="仿宋_GB2312"/>
                <w:sz w:val="24"/>
                <w:szCs w:val="24"/>
                <w:lang w:val="en-US"/>
              </w:rPr>
            </w:pPr>
            <w:r>
              <w:rPr>
                <w:rFonts w:hint="eastAsia" w:ascii="楷体" w:hAnsi="楷体" w:eastAsia="楷体" w:cs="楷体"/>
                <w:bCs/>
                <w:sz w:val="24"/>
                <w:szCs w:val="24"/>
                <w:lang w:val="en-US"/>
              </w:rPr>
              <w:t>1.冷链物流建设升级行动。</w:t>
            </w:r>
            <w:r>
              <w:rPr>
                <w:rFonts w:hint="eastAsia" w:ascii="仿宋_GB2312" w:hAnsi="仿宋_GB2312" w:cs="仿宋_GB2312"/>
                <w:sz w:val="24"/>
                <w:szCs w:val="24"/>
                <w:lang w:val="en-US"/>
              </w:rPr>
              <w:t>实施“冷链基地、集配中心、城乡网点”三级冷链物流节点体系建设工程，支持南阳万邦国际农产品冷链物流园、卧龙综保区冷链物流总仓打造区域性冷链物流基地，积极争创国家骨干冷链物流基地；鼓励县城和重点乡镇依托特色优势农产品主产区布局建设产地冷链集配中心，结合实际需要分区分片合理集中建设产地冷藏保鲜设施，探索发展共享式“田头小站”等移动冷库，强化产地预冷、仓储保鲜、分级分拣、初加工、产地直销等能力建设；加快市区末端冷链配送网点设施建设和改造升级，鼓励冷链前置仓、移动冷库、智慧冷链售卖机、冷链自提柜等广泛应用。</w:t>
            </w:r>
          </w:p>
          <w:p>
            <w:pPr>
              <w:spacing w:line="400" w:lineRule="exact"/>
              <w:ind w:firstLine="480" w:firstLineChars="200"/>
              <w:contextualSpacing/>
              <w:rPr>
                <w:rFonts w:ascii="仿宋_GB2312" w:hAnsi="仿宋_GB2312" w:cs="仿宋_GB2312"/>
                <w:sz w:val="24"/>
                <w:szCs w:val="24"/>
                <w:lang w:bidi="zh-CN"/>
              </w:rPr>
            </w:pPr>
            <w:r>
              <w:rPr>
                <w:rFonts w:hint="eastAsia" w:ascii="楷体" w:hAnsi="楷体" w:eastAsia="楷体" w:cs="楷体"/>
                <w:bCs/>
                <w:sz w:val="24"/>
                <w:szCs w:val="24"/>
                <w:lang w:bidi="zh-CN"/>
              </w:rPr>
              <w:t>2.电商快递服务优化行动。</w:t>
            </w:r>
            <w:r>
              <w:rPr>
                <w:rFonts w:hint="eastAsia" w:ascii="仿宋_GB2312" w:hAnsi="仿宋_GB2312" w:cs="仿宋_GB2312"/>
                <w:sz w:val="24"/>
                <w:szCs w:val="24"/>
                <w:lang w:bidi="zh-CN"/>
              </w:rPr>
              <w:t>鼓励发展“电商产业园+快递物流园”共建模式，支持电商与快递物流企业合作建设集中仓储、统一分拣、分级配送的仓配一体化设施，发展同城配送、共享物流、跨区域配送众包物流，提高资源利用和配送效率。推广应用智能快件箱(柜)、智能信包箱、手持电子终端等智能快递终端设备，提升城乡电商、快递服务网点多站合一、服务联网、功能集成。</w:t>
            </w:r>
          </w:p>
          <w:p>
            <w:pPr>
              <w:spacing w:line="400" w:lineRule="exact"/>
              <w:ind w:firstLine="480" w:firstLineChars="200"/>
              <w:contextualSpacing/>
              <w:rPr>
                <w:rFonts w:ascii="仿宋_GB2312" w:hAnsi="仿宋_GB2312" w:cs="仿宋_GB2312"/>
                <w:sz w:val="24"/>
                <w:szCs w:val="24"/>
                <w:lang w:bidi="zh-CN"/>
              </w:rPr>
            </w:pPr>
            <w:r>
              <w:rPr>
                <w:rFonts w:hint="eastAsia" w:ascii="楷体" w:hAnsi="楷体" w:eastAsia="楷体" w:cs="楷体"/>
                <w:bCs/>
                <w:sz w:val="24"/>
                <w:szCs w:val="24"/>
                <w:lang w:bidi="zh-CN"/>
              </w:rPr>
              <w:t>3.农村物流增效行动。</w:t>
            </w:r>
            <w:r>
              <w:rPr>
                <w:rFonts w:hint="eastAsia" w:ascii="仿宋_GB2312" w:hAnsi="仿宋_GB2312" w:cs="仿宋_GB2312"/>
                <w:sz w:val="24"/>
                <w:szCs w:val="24"/>
                <w:lang w:bidi="zh-CN"/>
              </w:rPr>
              <w:t>推动县（市、区）整合交通、邮政、商务、农业、供销等部门现有设施，改造升级或建设县级农村物流服务中心，加大乡镇物流中转站和村级配送网点建设力度，创新发展农村物流“货运班车”模式。实施“快递进村”工程，实现由“服务到村”向“驻村设点”转变，加快农村物流快递公共取送点建设，提升农村末端快递网点覆盖率。</w:t>
            </w:r>
          </w:p>
          <w:p>
            <w:pPr>
              <w:spacing w:line="400" w:lineRule="exact"/>
              <w:ind w:firstLine="480" w:firstLineChars="200"/>
              <w:contextualSpacing/>
            </w:pPr>
            <w:r>
              <w:rPr>
                <w:rFonts w:hint="eastAsia" w:ascii="楷体" w:hAnsi="楷体" w:eastAsia="楷体" w:cs="楷体"/>
                <w:bCs/>
                <w:sz w:val="24"/>
                <w:szCs w:val="24"/>
                <w:lang w:bidi="zh-CN"/>
              </w:rPr>
              <w:t>4.应急物流保障行动。</w:t>
            </w:r>
            <w:r>
              <w:rPr>
                <w:rFonts w:hint="eastAsia" w:ascii="仿宋_GB2312" w:hAnsi="仿宋_GB2312" w:cs="仿宋_GB2312"/>
                <w:sz w:val="24"/>
                <w:szCs w:val="24"/>
                <w:lang w:bidi="zh-CN"/>
              </w:rPr>
              <w:t>支持依托枢纽型物流园区和城市配送中心，建设应急物流基地和应急物资运输中转站。加快组建本地专业化应急物流队伍，定期组织应急运输队伍开展演练。</w:t>
            </w:r>
          </w:p>
        </w:tc>
      </w:tr>
    </w:tbl>
    <w:p>
      <w:pPr>
        <w:spacing w:line="560" w:lineRule="exact"/>
        <w:contextualSpacing/>
        <w:jc w:val="center"/>
        <w:outlineLvl w:val="1"/>
        <w:rPr>
          <w:rFonts w:ascii="Times New Roman" w:hAnsi="Times New Roman" w:eastAsia="楷体_GB2312"/>
          <w:bCs/>
        </w:rPr>
      </w:pPr>
      <w:bookmarkStart w:id="1265" w:name="_Toc275824335"/>
      <w:r>
        <w:rPr>
          <w:rFonts w:hint="eastAsia" w:ascii="Times New Roman" w:hAnsi="Times New Roman" w:eastAsia="楷体_GB2312"/>
          <w:bCs/>
        </w:rPr>
        <w:t>第四节 加快物流智慧化转型升级</w:t>
      </w:r>
      <w:bookmarkEnd w:id="1265"/>
    </w:p>
    <w:p>
      <w:pPr>
        <w:spacing w:line="560" w:lineRule="exact"/>
        <w:ind w:firstLine="640" w:firstLineChars="200"/>
        <w:contextualSpacing/>
        <w:rPr>
          <w:rFonts w:ascii="Times New Roman" w:hAnsi="Times New Roman"/>
        </w:rPr>
      </w:pPr>
      <w:r>
        <w:rPr>
          <w:rFonts w:hint="eastAsia" w:ascii="仿宋_GB2312" w:hAnsi="仿宋_GB2312" w:cs="仿宋_GB2312"/>
          <w:bCs/>
        </w:rPr>
        <w:t>1.</w:t>
      </w:r>
      <w:r>
        <w:rPr>
          <w:rFonts w:ascii="仿宋_GB2312" w:hAnsi="仿宋_GB2312" w:cs="仿宋_GB2312"/>
          <w:bCs/>
        </w:rPr>
        <w:t>推动</w:t>
      </w:r>
      <w:r>
        <w:rPr>
          <w:rFonts w:ascii="Times New Roman" w:hAnsi="Times New Roman"/>
          <w:bCs/>
        </w:rPr>
        <w:t>物流技术装备</w:t>
      </w:r>
      <w:r>
        <w:rPr>
          <w:rFonts w:hint="eastAsia" w:ascii="Times New Roman" w:hAnsi="Times New Roman"/>
          <w:bCs/>
        </w:rPr>
        <w:t>升级。</w:t>
      </w:r>
      <w:r>
        <w:rPr>
          <w:rFonts w:hint="eastAsia" w:ascii="Times New Roman" w:hAnsi="Times New Roman"/>
        </w:rPr>
        <w:t>加快5G、大数据、云计算、工业互联网、人工智能、区块链等新一代信息技术在物流领域的推广和应用。推动物流枢纽、物流园区（基地）、港口码头、货运场站等物流基础设施数字化改造升级，打造一批智慧物流园区、无人场站、智能通关口岸和智能立体仓库，培育争创一批省级智能化仓储物流示范基地。加强无人驾驶货车、自动分拣机器人、数字货架、自动化托盘、智能快（邮）件箱等智能化物流装备的普及应用，推动终端设备的数字化转型。探索采用装箱算法、智能路径规划、大数据分析等技术，科学配置运输装备，合理布局仓储配送设施，提高物流大数据在网络优化、供应链组织、设施配置、客户管理等方面的应用水平。</w:t>
      </w:r>
    </w:p>
    <w:p>
      <w:pPr>
        <w:spacing w:line="560" w:lineRule="exact"/>
        <w:ind w:firstLine="640" w:firstLineChars="200"/>
        <w:contextualSpacing/>
        <w:rPr>
          <w:rFonts w:ascii="Times New Roman" w:hAnsi="Times New Roman"/>
        </w:rPr>
      </w:pPr>
      <w:r>
        <w:rPr>
          <w:rFonts w:hint="eastAsia" w:ascii="仿宋_GB2312" w:hAnsi="仿宋_GB2312" w:cs="仿宋_GB2312"/>
          <w:bCs/>
        </w:rPr>
        <w:t>2.发</w:t>
      </w:r>
      <w:r>
        <w:rPr>
          <w:rFonts w:hint="eastAsia" w:ascii="Times New Roman" w:hAnsi="Times New Roman"/>
          <w:bCs/>
        </w:rPr>
        <w:t>展物流新业态新模式。</w:t>
      </w:r>
      <w:r>
        <w:rPr>
          <w:rFonts w:hint="eastAsia" w:ascii="Times New Roman" w:hAnsi="Times New Roman"/>
        </w:rPr>
        <w:t>推动大型物流企业在车（船）货智能配载、多式联运、安全运输、信用监管、路径优化等方面开展全流程数字化改造，实施物流企业“上云”行动，建立物流基础数据库、信息采集管理系统。支持发展即时物流、公共云仓等共享物流模式，鼓励发展共同配送、集中配送、分时配送等新型物流组织方式，探索无人配送车在城市社区、无人机在农村和应急领域的试点运行。开发“一站式”多式联运服务产品，强化联运转运场站和“不落地”装卸设施建设，提高一体化转运衔接能力和货物快速换装便捷性。</w:t>
      </w:r>
    </w:p>
    <w:p>
      <w:pPr>
        <w:pStyle w:val="4"/>
        <w:spacing w:line="560" w:lineRule="exact"/>
        <w:ind w:left="0" w:firstLine="640" w:firstLineChars="200"/>
        <w:contextualSpacing/>
        <w:rPr>
          <w:rFonts w:ascii="Times New Roman" w:hAnsi="Times New Roman"/>
          <w:lang w:val="en-US" w:bidi="ar-SA"/>
        </w:rPr>
      </w:pPr>
      <w:r>
        <w:rPr>
          <w:rFonts w:hint="eastAsia" w:ascii="仿宋_GB2312" w:hAnsi="仿宋_GB2312" w:cs="仿宋_GB2312"/>
          <w:bCs/>
          <w:lang w:val="en-US" w:bidi="ar-SA"/>
        </w:rPr>
        <w:t>3.</w:t>
      </w:r>
      <w:r>
        <w:rPr>
          <w:rFonts w:ascii="仿宋_GB2312" w:hAnsi="仿宋_GB2312" w:cs="仿宋_GB2312"/>
          <w:bCs/>
          <w:lang w:val="en-US" w:bidi="ar-SA"/>
        </w:rPr>
        <w:t>构</w:t>
      </w:r>
      <w:r>
        <w:rPr>
          <w:rFonts w:ascii="Times New Roman" w:hAnsi="Times New Roman"/>
          <w:bCs/>
          <w:lang w:val="en-US" w:bidi="ar-SA"/>
        </w:rPr>
        <w:t>建物流创新发展生态</w:t>
      </w:r>
      <w:r>
        <w:rPr>
          <w:rFonts w:hint="eastAsia" w:ascii="Times New Roman" w:hAnsi="Times New Roman"/>
          <w:bCs/>
          <w:lang w:val="en-US" w:bidi="ar-SA"/>
        </w:rPr>
        <w:t>。</w:t>
      </w:r>
      <w:r>
        <w:rPr>
          <w:rFonts w:hint="eastAsia" w:ascii="Times New Roman" w:hAnsi="Times New Roman"/>
          <w:lang w:val="en-US" w:bidi="ar-SA"/>
        </w:rPr>
        <w:t>围绕园区智慧化改造，建成一批作业自动化、过程可视化、产品追溯化、设施数字化、管理智能化、运营网络化的智慧物流园区。发展一批技术先进、模式新颖、服务高效的智慧物流企业和社会化信息服务平台。增强智能物流技术研发能力，鼓励物流龙头企业和科研机构组建创新联盟，联合开展物流关键技术和装备的科技攻关，实施物流智能装备示范应用。以数据集中和共享为重点，打通信息壁垒，构建安全高效的政企数据共享机制，推进物流数据资源跨地区、跨行业互联共享，不断完善安全监管标准。加快推进物流领域的“互联网+政务服务”，构建基于大数据的信用约束、精准实施、分类扶持、协同监管的智慧化物流治理体系。</w:t>
      </w:r>
    </w:p>
    <w:p>
      <w:pPr>
        <w:pStyle w:val="4"/>
        <w:spacing w:line="560" w:lineRule="exact"/>
        <w:ind w:left="0" w:firstLine="640" w:firstLineChars="200"/>
        <w:contextualSpacing/>
        <w:rPr>
          <w:rFonts w:ascii="Times New Roman" w:hAnsi="Times New Roman"/>
          <w:lang w:val="en-US" w:bidi="ar-SA"/>
        </w:rPr>
      </w:pPr>
      <w:r>
        <w:rPr>
          <w:rFonts w:hint="eastAsia" w:ascii="仿宋_GB2312" w:hAnsi="仿宋_GB2312" w:cs="仿宋_GB2312"/>
          <w:bCs/>
          <w:lang w:val="en-US" w:bidi="ar-SA"/>
        </w:rPr>
        <w:t>4.完善物</w:t>
      </w:r>
      <w:r>
        <w:rPr>
          <w:rFonts w:hint="eastAsia" w:ascii="Times New Roman" w:hAnsi="Times New Roman"/>
          <w:bCs/>
          <w:lang w:val="en-US" w:bidi="ar-SA"/>
        </w:rPr>
        <w:t>流标准化体系。</w:t>
      </w:r>
      <w:r>
        <w:rPr>
          <w:rFonts w:hint="eastAsia" w:ascii="Times New Roman" w:hAnsi="Times New Roman"/>
          <w:lang w:val="en-US" w:bidi="ar-SA"/>
        </w:rPr>
        <w:t>深化开展物流领域标准化工作，加强国家标准、行业标准的宣贯、推广及应用，鼓励具备条件的物流企业主导或参与标准制定。引导物流企业采用标准化物流计量、货物分类、物品标志、装载单元、工具器具、信息系统和作业流程，培育形成一批标准化引领、具有市场竞争力的国家A级物流企业。推进物流园区、分拨中心、冷链集配中心等标准化建设升级，实施开展仓储转运设施、运输工具、水运码头、停靠和卸货站点等设施设备标准化建设及改造，加强标准化冷链载器具循环共用体系建设。</w:t>
      </w:r>
    </w:p>
    <w:p>
      <w:pPr>
        <w:spacing w:line="560" w:lineRule="exact"/>
        <w:contextualSpacing/>
        <w:jc w:val="center"/>
        <w:outlineLvl w:val="1"/>
        <w:rPr>
          <w:rFonts w:ascii="Times New Roman" w:hAnsi="Times New Roman" w:eastAsia="楷体_GB2312"/>
          <w:bCs/>
        </w:rPr>
      </w:pPr>
      <w:bookmarkStart w:id="1266" w:name="_Toc552957996"/>
      <w:r>
        <w:rPr>
          <w:rFonts w:hint="eastAsia" w:ascii="Times New Roman" w:hAnsi="Times New Roman" w:eastAsia="楷体_GB2312"/>
          <w:bCs/>
        </w:rPr>
        <w:t>第五节 推进物流全链路绿色发展</w:t>
      </w:r>
      <w:bookmarkEnd w:id="1266"/>
      <w:r>
        <w:rPr>
          <w:rFonts w:hint="eastAsia" w:ascii="Times New Roman" w:hAnsi="Times New Roman" w:eastAsia="楷体_GB2312"/>
          <w:bCs/>
        </w:rPr>
        <w:t xml:space="preserve"> </w:t>
      </w:r>
    </w:p>
    <w:p>
      <w:pPr>
        <w:pStyle w:val="4"/>
        <w:spacing w:line="560" w:lineRule="exact"/>
        <w:ind w:left="0" w:firstLine="640" w:firstLineChars="200"/>
        <w:contextualSpacing/>
        <w:rPr>
          <w:rFonts w:ascii="Times New Roman" w:hAnsi="Times New Roman"/>
          <w:bCs/>
          <w:lang w:val="en-US" w:bidi="ar-SA"/>
        </w:rPr>
      </w:pPr>
      <w:r>
        <w:rPr>
          <w:rFonts w:hint="eastAsia" w:ascii="仿宋_GB2312" w:hAnsi="仿宋_GB2312" w:cs="仿宋_GB2312"/>
          <w:bCs/>
          <w:lang w:val="en-US" w:bidi="ar-SA"/>
        </w:rPr>
        <w:t>1.推</w:t>
      </w:r>
      <w:r>
        <w:rPr>
          <w:rFonts w:hint="eastAsia" w:ascii="Times New Roman" w:hAnsi="Times New Roman"/>
          <w:bCs/>
          <w:lang w:val="en-US" w:bidi="ar-SA"/>
        </w:rPr>
        <w:t>动储运设施绿色化改造。</w:t>
      </w:r>
      <w:r>
        <w:rPr>
          <w:rFonts w:hint="eastAsia" w:ascii="Times New Roman" w:hAnsi="Times New Roman"/>
          <w:lang w:val="en-US" w:bidi="ar-SA"/>
        </w:rPr>
        <w:t>鼓励货运企业使用符合标准的低碳环保配送车型，推广应用新能源运输车辆，加大新能源或清洁能源汽车在枢纽园区、城市配送、邮政快递等领域应用。推进绿色物流枢纽、园区和基地建设，加强土地和存量资源的集约利用，大力发展绿色仓储，鼓励和支持物流园区、大型仓储设施应用绿色建筑材料、绿色节能技术和装备改造老旧仓储设施，建设绿色仓储新设施，支持建设“屋顶光伏电站”，构建“分布式光伏+储能+微电网”的物流自给能源系统，提升节能减排降耗的绿色化发展水平。积极推进运输结构调整，推动大宗货物运输“公转铁”“公转水”，形成公路与铁路、水路合理的比价关系，加快发展铁水、公铁、公水等多式联运。</w:t>
      </w:r>
    </w:p>
    <w:p>
      <w:pPr>
        <w:pStyle w:val="4"/>
        <w:spacing w:line="560" w:lineRule="exact"/>
        <w:ind w:left="0" w:firstLine="640" w:firstLineChars="200"/>
        <w:contextualSpacing/>
        <w:rPr>
          <w:rFonts w:ascii="Times New Roman" w:hAnsi="Times New Roman"/>
          <w:bCs/>
          <w:lang w:val="en-US" w:bidi="ar-SA"/>
        </w:rPr>
      </w:pPr>
      <w:r>
        <w:rPr>
          <w:rFonts w:hint="eastAsia" w:ascii="仿宋_GB2312" w:hAnsi="仿宋_GB2312" w:cs="仿宋_GB2312"/>
          <w:bCs/>
          <w:lang w:val="en-US" w:bidi="ar-SA"/>
        </w:rPr>
        <w:t>2.创</w:t>
      </w:r>
      <w:r>
        <w:rPr>
          <w:rFonts w:hint="eastAsia" w:ascii="Times New Roman" w:hAnsi="Times New Roman"/>
          <w:bCs/>
          <w:lang w:val="en-US" w:bidi="ar-SA"/>
        </w:rPr>
        <w:t>新发展绿色物流模式。</w:t>
      </w:r>
      <w:bookmarkStart w:id="1267" w:name="_Toc22028"/>
      <w:r>
        <w:rPr>
          <w:rFonts w:hint="eastAsia" w:ascii="Times New Roman" w:hAnsi="Times New Roman"/>
          <w:lang w:val="en-US" w:bidi="ar-SA"/>
        </w:rPr>
        <w:t>推动生产、运输、包装等绿色供应链协同运行。推广先进运输组织模式，发展公共“挂车池”“运力池”“托盘池”等共享模式和甩挂运输等绿色运输方式。推动物流枢纽、示范物流园区等采用能源合同管理等节能管理新模式。推进物流企业与制造、商贸流通企业包装循环共用，推广使用可循环、可降解包装材料，普及电子面单、环保袋、循环箱、绿色回收箱应用，推行实施货物包装减量化、物流器具绿色化，实现物流全链条绿色发展。</w:t>
      </w:r>
      <w:bookmarkEnd w:id="1267"/>
    </w:p>
    <w:p>
      <w:pPr>
        <w:pStyle w:val="4"/>
        <w:spacing w:line="560" w:lineRule="exact"/>
        <w:ind w:left="0" w:firstLine="640" w:firstLineChars="200"/>
        <w:contextualSpacing/>
        <w:rPr>
          <w:rFonts w:ascii="Times New Roman" w:hAnsi="Times New Roman"/>
          <w:bCs/>
          <w:lang w:val="en-US" w:bidi="ar-SA"/>
        </w:rPr>
      </w:pPr>
      <w:r>
        <w:rPr>
          <w:rFonts w:hint="eastAsia" w:ascii="仿宋_GB2312" w:hAnsi="仿宋_GB2312" w:cs="仿宋_GB2312"/>
          <w:bCs/>
          <w:lang w:val="en-US" w:bidi="ar-SA"/>
        </w:rPr>
        <w:t>3.建</w:t>
      </w:r>
      <w:r>
        <w:rPr>
          <w:rFonts w:hint="eastAsia" w:ascii="Times New Roman" w:hAnsi="Times New Roman"/>
          <w:bCs/>
          <w:lang w:val="en-US" w:bidi="ar-SA"/>
        </w:rPr>
        <w:t>立逆向物流新体系。</w:t>
      </w:r>
      <w:r>
        <w:rPr>
          <w:rFonts w:hint="eastAsia" w:ascii="Times New Roman" w:hAnsi="Times New Roman"/>
          <w:lang w:val="en-US" w:bidi="ar-SA"/>
        </w:rPr>
        <w:t>优化城市逆向物流网点布局，完善城市社区废旧物资回收网络。创新逆向物流回收模式，围绕家电、电子产品、汽车、快递包装等废旧物资，发挥骨干物流主体引领作用，构建线上线下融合的逆向物流服务平台和回收网络，引导生产企业建立逆向物流回收体系，推动大宗商品、农产品等生产企业利用售后服务体系建立再制造逆向物流回收网络。培育逆向物流服务主体，推动第三方物流开展逆向物流业务，提供个性化和专业化物流服务。</w:t>
      </w:r>
    </w:p>
    <w:p>
      <w:pPr>
        <w:pStyle w:val="4"/>
        <w:spacing w:line="560" w:lineRule="exact"/>
        <w:ind w:left="0" w:firstLine="640" w:firstLineChars="200"/>
        <w:contextualSpacing/>
        <w:rPr>
          <w:rFonts w:ascii="Times New Roman" w:hAnsi="Times New Roman"/>
          <w:bCs/>
          <w:lang w:val="en-US" w:bidi="ar-SA"/>
        </w:rPr>
      </w:pPr>
      <w:bookmarkStart w:id="1268" w:name="_Toc24794"/>
      <w:r>
        <w:rPr>
          <w:rFonts w:hint="eastAsia" w:ascii="仿宋_GB2312" w:hAnsi="仿宋_GB2312" w:cs="仿宋_GB2312"/>
          <w:bCs/>
          <w:lang w:val="en-US" w:bidi="ar-SA"/>
        </w:rPr>
        <w:t>4.完</w:t>
      </w:r>
      <w:r>
        <w:rPr>
          <w:rFonts w:hint="eastAsia" w:ascii="Times New Roman" w:hAnsi="Times New Roman"/>
          <w:bCs/>
          <w:lang w:val="en-US" w:bidi="ar-SA"/>
        </w:rPr>
        <w:t>善绿色物流发展环境。</w:t>
      </w:r>
      <w:r>
        <w:rPr>
          <w:rFonts w:hint="eastAsia" w:ascii="Times New Roman" w:hAnsi="Times New Roman"/>
          <w:lang w:val="en-US" w:bidi="ar-SA"/>
        </w:rPr>
        <w:t>加大柴油货运车辆污染治理力度，推动货运车辆（船）适用的LNG加气站、充电桩、岸电设施等配套基础设施建设。对纳入国家新能源汽车推广应用工程推荐车型目录的纯电动邮快件收投专用车、新能源干线的运输车辆，落实购置补贴政策，完善新能源货车差别化通行管理政策，对纯电动轻型货运车辆提供通行便利，扩大通行范围。</w:t>
      </w:r>
      <w:bookmarkEnd w:id="1268"/>
      <w:r>
        <w:rPr>
          <w:rFonts w:hint="eastAsia" w:ascii="Times New Roman" w:hAnsi="Times New Roman"/>
          <w:lang w:val="en-US" w:bidi="ar-SA"/>
        </w:rPr>
        <w:t>探索建立物流领域碳排放监测体系，鼓励开展支撑绿色物流发展的装箱算法、智能路径规划、大数据分析等技术研究和应用推广。</w:t>
      </w:r>
    </w:p>
    <w:bookmarkEnd w:id="1261"/>
    <w:bookmarkEnd w:id="1262"/>
    <w:p>
      <w:pPr>
        <w:spacing w:line="560" w:lineRule="exact"/>
        <w:contextualSpacing/>
        <w:jc w:val="center"/>
        <w:outlineLvl w:val="0"/>
        <w:rPr>
          <w:rFonts w:ascii="黑体" w:hAnsi="黑体" w:eastAsia="黑体" w:cs="黑体"/>
        </w:rPr>
      </w:pPr>
      <w:bookmarkStart w:id="1269" w:name="_Toc88653129"/>
      <w:bookmarkStart w:id="1270" w:name="_Toc458374686"/>
      <w:r>
        <w:rPr>
          <w:rFonts w:hint="eastAsia" w:ascii="黑体" w:hAnsi="黑体" w:eastAsia="黑体" w:cs="黑体"/>
        </w:rPr>
        <w:t>第五章 重点工程</w:t>
      </w:r>
      <w:bookmarkEnd w:id="1269"/>
      <w:bookmarkEnd w:id="1270"/>
    </w:p>
    <w:p>
      <w:pPr>
        <w:spacing w:line="560" w:lineRule="exact"/>
        <w:contextualSpacing/>
        <w:jc w:val="center"/>
        <w:outlineLvl w:val="1"/>
        <w:rPr>
          <w:rFonts w:ascii="Times New Roman" w:hAnsi="Times New Roman" w:eastAsia="楷体_GB2312"/>
          <w:bCs/>
        </w:rPr>
      </w:pPr>
      <w:bookmarkStart w:id="1271" w:name="_Toc1266875048"/>
      <w:bookmarkStart w:id="1272" w:name="_Toc458374691"/>
      <w:r>
        <w:rPr>
          <w:rFonts w:hint="eastAsia" w:ascii="Times New Roman" w:hAnsi="Times New Roman" w:eastAsia="楷体_GB2312"/>
          <w:bCs/>
        </w:rPr>
        <w:t>第一节 实施物流枢纽强基工程</w:t>
      </w:r>
      <w:bookmarkEnd w:id="1271"/>
    </w:p>
    <w:p>
      <w:pPr>
        <w:spacing w:line="560" w:lineRule="exact"/>
        <w:ind w:firstLine="640" w:firstLineChars="200"/>
        <w:contextualSpacing/>
        <w:rPr>
          <w:rFonts w:ascii="Times New Roman" w:hAnsi="Times New Roman"/>
        </w:rPr>
      </w:pPr>
      <w:r>
        <w:rPr>
          <w:rFonts w:hint="eastAsia" w:ascii="仿宋_GB2312" w:hAnsi="仿宋_GB2312" w:cs="仿宋_GB2312"/>
          <w:bCs/>
        </w:rPr>
        <w:t>1.加</w:t>
      </w:r>
      <w:r>
        <w:rPr>
          <w:rFonts w:hint="eastAsia" w:ascii="Times New Roman" w:hAnsi="Times New Roman"/>
          <w:bCs/>
        </w:rPr>
        <w:t>快推进南阳国家商贸服务型物流枢纽建设。</w:t>
      </w:r>
      <w:r>
        <w:rPr>
          <w:rFonts w:hint="eastAsia" w:ascii="Times New Roman" w:hAnsi="Times New Roman"/>
        </w:rPr>
        <w:t>依托卧龙现代物流产业园和卧龙综合保税区，提升区域分拨配送组织、多式联运服务、农产品冷链配送、国际物流服务、供应链服务和综合信息服务功能。引进和培育一批资源整合能力强、运营模式先进的枢纽运营企业，促进区域内和跨区域物流活动组织化、规模化、网络化运行。</w:t>
      </w:r>
    </w:p>
    <w:p>
      <w:pPr>
        <w:spacing w:line="560" w:lineRule="exact"/>
        <w:ind w:firstLine="640" w:firstLineChars="200"/>
        <w:contextualSpacing/>
        <w:rPr>
          <w:rFonts w:ascii="Times New Roman" w:hAnsi="Times New Roman"/>
        </w:rPr>
      </w:pPr>
      <w:r>
        <w:rPr>
          <w:rFonts w:hint="eastAsia" w:ascii="仿宋_GB2312" w:hAnsi="仿宋_GB2312" w:cs="仿宋_GB2312"/>
          <w:bCs/>
        </w:rPr>
        <w:t>2.</w:t>
      </w:r>
      <w:r>
        <w:rPr>
          <w:rFonts w:hint="eastAsia" w:ascii="Times New Roman" w:hAnsi="Times New Roman"/>
          <w:bCs/>
        </w:rPr>
        <w:t>加快推进省级区域物流枢纽建设。</w:t>
      </w:r>
      <w:r>
        <w:rPr>
          <w:rFonts w:hint="eastAsia" w:ascii="Times New Roman" w:hAnsi="Times New Roman"/>
        </w:rPr>
        <w:t>深化唐河县省级区域物流枢纽建设，推动邓州市创建省级区域物流枢纽。加快区域物流枢纽铁路专用线、多式联运转运等基础设施建设，强化区域性枢纽承载设施间功能协同，加强不同运输方式间衔接，加快网络化系统化建设，促进枢纽间标准对接，业务、信息联通共享，完善服务规范和运行规则，提升区域枢纽多式联运水平。</w:t>
      </w:r>
    </w:p>
    <w:p>
      <w:pPr>
        <w:spacing w:line="560" w:lineRule="exact"/>
        <w:contextualSpacing/>
        <w:jc w:val="center"/>
        <w:outlineLvl w:val="1"/>
        <w:rPr>
          <w:rFonts w:ascii="Times New Roman" w:hAnsi="Times New Roman" w:eastAsia="楷体_GB2312"/>
          <w:bCs/>
        </w:rPr>
      </w:pPr>
      <w:bookmarkStart w:id="1273" w:name="_Toc2108713559"/>
      <w:r>
        <w:rPr>
          <w:rFonts w:hint="eastAsia" w:ascii="Times New Roman" w:hAnsi="Times New Roman" w:eastAsia="楷体_GB2312"/>
          <w:bCs/>
        </w:rPr>
        <w:t>第二节 实施数智转型创新工程</w:t>
      </w:r>
      <w:bookmarkEnd w:id="1273"/>
    </w:p>
    <w:p>
      <w:pPr>
        <w:spacing w:line="560" w:lineRule="exact"/>
        <w:ind w:firstLine="640" w:firstLineChars="200"/>
        <w:contextualSpacing/>
        <w:rPr>
          <w:rFonts w:ascii="Times New Roman" w:hAnsi="Times New Roman"/>
        </w:rPr>
      </w:pPr>
      <w:r>
        <w:rPr>
          <w:rFonts w:hint="eastAsia" w:ascii="仿宋_GB2312" w:hAnsi="仿宋_GB2312" w:cs="仿宋_GB2312"/>
          <w:bCs/>
        </w:rPr>
        <w:t>1.推</w:t>
      </w:r>
      <w:r>
        <w:rPr>
          <w:rFonts w:hint="eastAsia" w:ascii="Times New Roman" w:hAnsi="Times New Roman"/>
          <w:bCs/>
        </w:rPr>
        <w:t>动物流综合信息平台建设。</w:t>
      </w:r>
      <w:r>
        <w:rPr>
          <w:rFonts w:hint="eastAsia" w:ascii="Times New Roman" w:hAnsi="Times New Roman"/>
        </w:rPr>
        <w:t>支持龙头企业建设社会化物流信息服务平台，对接国家、省多式联运信息平台，整合园区物流信息管理平台、企业物流信息系统等资源，实现运输配载、追溯跟踪、库存监管等功能可视化。推动企业平台互联互通，支持河南宛美物流建设现代物流暨信息公共服务平台，完善综合保税区、物流公司等企业信息平台功能，开放枢纽场站、运力调配、班线计划等数据资源，探索建设“互联网+”车货匹配平台、网络货运平台等，推动物流供需和运输资源精准对接、有效集成。</w:t>
      </w:r>
    </w:p>
    <w:p>
      <w:pPr>
        <w:spacing w:line="560" w:lineRule="exact"/>
        <w:ind w:firstLine="640" w:firstLineChars="200"/>
        <w:contextualSpacing/>
        <w:rPr>
          <w:rFonts w:ascii="Times New Roman" w:hAnsi="Times New Roman"/>
        </w:rPr>
      </w:pPr>
      <w:r>
        <w:rPr>
          <w:rFonts w:hint="eastAsia" w:ascii="仿宋_GB2312" w:hAnsi="仿宋_GB2312" w:cs="仿宋_GB2312"/>
          <w:bCs/>
        </w:rPr>
        <w:t>2.加快物流数智基</w:t>
      </w:r>
      <w:r>
        <w:rPr>
          <w:rFonts w:hint="eastAsia" w:ascii="Times New Roman" w:hAnsi="Times New Roman"/>
          <w:bCs/>
        </w:rPr>
        <w:t>础设施建设。</w:t>
      </w:r>
      <w:r>
        <w:rPr>
          <w:rFonts w:hint="eastAsia" w:ascii="Times New Roman" w:hAnsi="Times New Roman"/>
        </w:rPr>
        <w:t>完善构建智慧物流体系，推动物流园区、大型仓储基地等智慧化改造，争取省级智慧物流园区建设试点。推动南阳唐河港采用专业化、智能化、自动化技术，打造现代化物流“智慧港”。引导卧龙现代物流产业园、东森医药物流园等建设物联网智慧物流中心，建立健全高效便捷的物流配送体系。推广智能末端配送设施，发展无接触配送，加快智慧物流设施终端布局，力争实现城镇社区和行政村全覆盖。</w:t>
      </w:r>
    </w:p>
    <w:p>
      <w:pPr>
        <w:spacing w:line="560" w:lineRule="exact"/>
        <w:ind w:firstLine="640" w:firstLineChars="200"/>
        <w:contextualSpacing/>
        <w:rPr>
          <w:rFonts w:ascii="Times New Roman" w:hAnsi="Times New Roman"/>
        </w:rPr>
      </w:pPr>
      <w:r>
        <w:rPr>
          <w:rFonts w:hint="eastAsia" w:ascii="仿宋_GB2312" w:hAnsi="仿宋_GB2312" w:cs="仿宋_GB2312"/>
          <w:bCs/>
        </w:rPr>
        <w:t>3.提升物流企业数字化能力。</w:t>
      </w:r>
      <w:r>
        <w:rPr>
          <w:rFonts w:hint="eastAsia" w:ascii="Times New Roman" w:hAnsi="Times New Roman"/>
        </w:rPr>
        <w:t>支持物流企业引进国际先进物流技术、物流管理理念及方法，开发应用企业级物流信息系统，重点支持全市A级以上物流企业率先开拓信息化共享功能。支持先进制造、纺织服装、建材钢材、医药健康领域的骨干企业建立或参与建设行业物流信息平台，提高供应链数字化水平。</w:t>
      </w:r>
    </w:p>
    <w:p>
      <w:pPr>
        <w:spacing w:line="560" w:lineRule="exact"/>
        <w:contextualSpacing/>
        <w:jc w:val="center"/>
        <w:outlineLvl w:val="1"/>
        <w:rPr>
          <w:rFonts w:ascii="Times New Roman" w:hAnsi="Times New Roman" w:eastAsia="楷体_GB2312"/>
          <w:bCs/>
        </w:rPr>
      </w:pPr>
      <w:bookmarkStart w:id="1274" w:name="_Toc471118414"/>
      <w:r>
        <w:rPr>
          <w:rFonts w:hint="eastAsia" w:ascii="Times New Roman" w:hAnsi="Times New Roman" w:eastAsia="楷体_GB2312"/>
          <w:bCs/>
        </w:rPr>
        <w:t>第三节 实施城乡物流协同工程</w:t>
      </w:r>
      <w:bookmarkEnd w:id="1274"/>
    </w:p>
    <w:p>
      <w:pPr>
        <w:spacing w:line="560" w:lineRule="exact"/>
        <w:ind w:firstLine="640" w:firstLineChars="200"/>
        <w:contextualSpacing/>
        <w:rPr>
          <w:rFonts w:ascii="Times New Roman" w:hAnsi="Times New Roman"/>
        </w:rPr>
      </w:pPr>
      <w:r>
        <w:rPr>
          <w:rFonts w:hint="eastAsia" w:ascii="仿宋_GB2312" w:hAnsi="仿宋_GB2312" w:cs="仿宋_GB2312"/>
          <w:bCs/>
        </w:rPr>
        <w:t>1.推动城乡统仓共配发展。</w:t>
      </w:r>
      <w:r>
        <w:rPr>
          <w:rFonts w:hint="eastAsia" w:ascii="Times New Roman" w:hAnsi="Times New Roman"/>
        </w:rPr>
        <w:t>鼓励县域物流企业依托</w:t>
      </w:r>
      <w:r>
        <w:rPr>
          <w:rFonts w:ascii="仿宋_GB2312"/>
        </w:rPr>
        <w:t>供销</w:t>
      </w:r>
      <w:r>
        <w:rPr>
          <w:rFonts w:hint="eastAsia" w:ascii="仿宋_GB2312"/>
        </w:rPr>
        <w:t>、</w:t>
      </w:r>
      <w:r>
        <w:rPr>
          <w:rFonts w:hint="eastAsia" w:ascii="Times New Roman" w:hAnsi="Times New Roman"/>
        </w:rPr>
        <w:t>邮政、电商产业园区等场地资源，升级改造建设集仓储物流、统一配送于一体的公共分拨配送中心，扩大配送范围，增加商品品类，实行统仓统配，支持开展面向各类销售终端的共同配送。引导</w:t>
      </w:r>
      <w:r>
        <w:rPr>
          <w:rFonts w:hint="eastAsia" w:ascii="仿宋_GB2312"/>
        </w:rPr>
        <w:t>供销</w:t>
      </w:r>
      <w:r>
        <w:rPr>
          <w:rFonts w:ascii="仿宋_GB2312"/>
        </w:rPr>
        <w:t>、大型</w:t>
      </w:r>
      <w:r>
        <w:rPr>
          <w:rFonts w:hint="eastAsia" w:ascii="仿宋_GB2312"/>
        </w:rPr>
        <w:t>连锁商贸</w:t>
      </w:r>
      <w:r>
        <w:rPr>
          <w:rFonts w:ascii="仿宋_GB2312"/>
        </w:rPr>
        <w:t>企业</w:t>
      </w:r>
      <w:r>
        <w:rPr>
          <w:rFonts w:hint="eastAsia" w:ascii="仿宋_GB2312"/>
        </w:rPr>
        <w:t>、电商快递物流企业下沉布点</w:t>
      </w:r>
      <w:r>
        <w:rPr>
          <w:rFonts w:ascii="仿宋_GB2312"/>
        </w:rPr>
        <w:t>，</w:t>
      </w:r>
      <w:r>
        <w:rPr>
          <w:rFonts w:hint="eastAsia" w:ascii="仿宋_GB2312"/>
        </w:rPr>
        <w:t>建立健全</w:t>
      </w:r>
      <w:r>
        <w:rPr>
          <w:rFonts w:ascii="仿宋_GB2312"/>
        </w:rPr>
        <w:t>城乡一体</w:t>
      </w:r>
      <w:r>
        <w:rPr>
          <w:rFonts w:hint="eastAsia" w:ascii="仿宋_GB2312"/>
        </w:rPr>
        <w:t>、双向畅通的</w:t>
      </w:r>
      <w:r>
        <w:rPr>
          <w:rFonts w:ascii="仿宋_GB2312"/>
        </w:rPr>
        <w:t>物流服务</w:t>
      </w:r>
      <w:r>
        <w:rPr>
          <w:rFonts w:hint="eastAsia" w:ascii="仿宋_GB2312"/>
        </w:rPr>
        <w:t>网络和配送</w:t>
      </w:r>
      <w:r>
        <w:rPr>
          <w:rFonts w:ascii="仿宋_GB2312"/>
        </w:rPr>
        <w:t>体系。</w:t>
      </w:r>
    </w:p>
    <w:p>
      <w:pPr>
        <w:spacing w:line="560" w:lineRule="exact"/>
        <w:ind w:firstLine="640" w:firstLineChars="200"/>
        <w:contextualSpacing/>
      </w:pPr>
      <w:r>
        <w:rPr>
          <w:rFonts w:hint="eastAsia" w:ascii="仿宋_GB2312" w:hAnsi="仿宋_GB2312" w:cs="仿宋_GB2312"/>
          <w:bCs/>
        </w:rPr>
        <w:t>2.升级农村物流设施网络。</w:t>
      </w:r>
      <w:r>
        <w:rPr>
          <w:rFonts w:hint="eastAsia" w:ascii="Times New Roman" w:hAnsi="Times New Roman"/>
        </w:rPr>
        <w:t>改造升级建设县域物流分拨中心，引导县域电商产业园、物流园区整合特色农产品、快消品、工业品等资源，开展货源直采和统仓共配，打造农特产品网供分拨基地。推广农村物流定时定点定线“货运专班”模式，减少中转环节，降低农村物流成本。升级实施“邮政在乡”“快递进村”工程，引导电商、邮政、快递企业由“服务到村”向“驻村设点”转型。培育打造一批本地化农村物流服务品牌企业，鼓励社会化物流配送主体与农村商贸超市、电商服务站、农资供应点业务对接和系统衔接，切实解决农村“最初”和“最后”一公里物流配送难题。</w:t>
      </w:r>
    </w:p>
    <w:p>
      <w:pPr>
        <w:spacing w:line="560" w:lineRule="exact"/>
        <w:contextualSpacing/>
        <w:jc w:val="center"/>
        <w:outlineLvl w:val="1"/>
        <w:rPr>
          <w:rFonts w:ascii="Times New Roman" w:hAnsi="Times New Roman" w:eastAsia="楷体_GB2312"/>
          <w:bCs/>
        </w:rPr>
      </w:pPr>
      <w:bookmarkStart w:id="1275" w:name="_Toc562593058"/>
      <w:r>
        <w:rPr>
          <w:rFonts w:hint="eastAsia" w:ascii="Times New Roman" w:hAnsi="Times New Roman" w:eastAsia="楷体_GB2312"/>
          <w:bCs/>
        </w:rPr>
        <w:t>第四节 实施多式联运提升工程</w:t>
      </w:r>
      <w:bookmarkEnd w:id="1275"/>
    </w:p>
    <w:p>
      <w:pPr>
        <w:spacing w:line="560" w:lineRule="exact"/>
        <w:ind w:firstLine="640" w:firstLineChars="200"/>
        <w:contextualSpacing/>
        <w:rPr>
          <w:rFonts w:ascii="Times New Roman" w:hAnsi="Times New Roman"/>
        </w:rPr>
      </w:pPr>
      <w:r>
        <w:rPr>
          <w:rFonts w:hint="eastAsia" w:ascii="仿宋_GB2312" w:hAnsi="仿宋_GB2312" w:cs="仿宋_GB2312"/>
          <w:bCs/>
        </w:rPr>
        <w:t>1.加强多式联运中转设施建设。</w:t>
      </w:r>
      <w:r>
        <w:rPr>
          <w:rFonts w:hint="eastAsia" w:ascii="Times New Roman" w:hAnsi="Times New Roman"/>
        </w:rPr>
        <w:t>率先在商贸服务型国家物流枢纽片区和高铁物流片区加大对公铁、铁水、陆空等转运场站和“不落地”装卸设施建设投入力度。加快推进唐河复航项目一期、二期工程和白河航运工程，建设南阳中心港区、唐河港区、新野港区、社旗港区，统筹落实桥梁等碍航设施改造工作，推动建设内乡、桐柏、西峡、南召等公铁联运枢纽和淅川、唐河等水陆联运枢纽。依托焦柳铁路、宁西铁路、浩吉铁路等干线铁路建设南阳港口的铁路专用线，推动大宗货物工矿企业和新建物流园区接入铁路专用线。统筹推进南阳姜营机场设施升级和迁建工作，提升机场货运能力。探索与大型快递企业共同建设航空快件分拨中心，航空冷链运输中心。完善南阳东站货运设施，增设行包通道及多式联运配套设施。</w:t>
      </w:r>
    </w:p>
    <w:p>
      <w:pPr>
        <w:spacing w:line="560" w:lineRule="exact"/>
        <w:ind w:firstLine="640" w:firstLineChars="200"/>
        <w:contextualSpacing/>
        <w:rPr>
          <w:rFonts w:ascii="Times New Roman" w:hAnsi="Times New Roman"/>
        </w:rPr>
      </w:pPr>
      <w:r>
        <w:rPr>
          <w:rFonts w:hint="eastAsia" w:ascii="仿宋_GB2312" w:hAnsi="仿宋_GB2312" w:cs="仿宋_GB2312"/>
          <w:bCs/>
        </w:rPr>
        <w:t>2.开展多式联运示范建设。</w:t>
      </w:r>
      <w:r>
        <w:rPr>
          <w:rFonts w:hint="eastAsia" w:ascii="Times New Roman" w:hAnsi="Times New Roman"/>
        </w:rPr>
        <w:t>鼓励骨干运输企业向多式联运经营人、综合物流服务商转变，培育壮大多式联运运营服务平台。以南阳国家商贸服务型物流枢纽建设为契机，建设多式联运服务中心、智慧甩挂运输中心等项目。加速推进内乡牧原智慧物流园多式联运示范工程建设，通过铁路港核心工程和公路港配套工程，打造“前港后园”的多功能物流园区，助推牧原集团及地方产业发展。积极推进南阳卧龙综合保税区国际陆港多式联运示范工程建设，加强与郑州、武汉等通关合作，开展公路、铁路、航空及水运联合运输，推广应用多式联运运单、集装箱、厢式半挂车等标准化运载单元和货运车辆，加快发展“一单制”联运服务，实现多式联运一体化运作。</w:t>
      </w:r>
    </w:p>
    <w:p>
      <w:pPr>
        <w:spacing w:line="560" w:lineRule="exact"/>
        <w:contextualSpacing/>
        <w:jc w:val="center"/>
        <w:outlineLvl w:val="1"/>
        <w:rPr>
          <w:rFonts w:ascii="Times New Roman" w:hAnsi="Times New Roman" w:eastAsia="楷体_GB2312"/>
          <w:bCs/>
        </w:rPr>
      </w:pPr>
      <w:bookmarkStart w:id="1276" w:name="_Toc567174761"/>
      <w:r>
        <w:rPr>
          <w:rFonts w:hint="eastAsia" w:ascii="Times New Roman" w:hAnsi="Times New Roman" w:eastAsia="楷体_GB2312"/>
          <w:bCs/>
        </w:rPr>
        <w:t>第五节 实施领军企业培育工程</w:t>
      </w:r>
      <w:bookmarkEnd w:id="1276"/>
    </w:p>
    <w:p>
      <w:pPr>
        <w:spacing w:line="560" w:lineRule="exact"/>
        <w:ind w:firstLine="640" w:firstLineChars="200"/>
        <w:contextualSpacing/>
        <w:rPr>
          <w:rFonts w:ascii="Times New Roman" w:hAnsi="Times New Roman"/>
        </w:rPr>
      </w:pPr>
      <w:r>
        <w:rPr>
          <w:rFonts w:hint="eastAsia" w:ascii="仿宋_GB2312" w:hAnsi="仿宋_GB2312" w:cs="仿宋_GB2312"/>
          <w:bCs/>
        </w:rPr>
        <w:t>1.引进培育一批标杆企业。</w:t>
      </w:r>
      <w:r>
        <w:rPr>
          <w:rFonts w:hint="eastAsia" w:ascii="Times New Roman" w:hAnsi="Times New Roman"/>
        </w:rPr>
        <w:t>围绕保税物流、航空物流、水运物流、快递物流、供应链物流等本土相对薄弱的物流行业，开展精准招商，争取各类物流企业在我市设立区域总部、分拨和转运中心、运营和研发中心，增强空铁公水联运枢纽的专业化运营管理能力。加大3A级以上物流企业培育和政策扶持力度，内培外引并举，树立打造一批具有较强竞争力和综合实力的物流企业。</w:t>
      </w:r>
    </w:p>
    <w:p>
      <w:pPr>
        <w:spacing w:line="560" w:lineRule="exact"/>
        <w:ind w:firstLine="640" w:firstLineChars="200"/>
        <w:contextualSpacing/>
      </w:pPr>
      <w:r>
        <w:rPr>
          <w:rFonts w:hint="eastAsia" w:ascii="仿宋_GB2312" w:hAnsi="仿宋_GB2312" w:cs="仿宋_GB2312"/>
          <w:bCs/>
        </w:rPr>
        <w:t>2.发展壮大一批骨干企业。</w:t>
      </w:r>
      <w:r>
        <w:rPr>
          <w:rFonts w:hint="eastAsia" w:ascii="Times New Roman" w:hAnsi="Times New Roman"/>
        </w:rPr>
        <w:t>通过完善政策保障、打造服务品牌等方式，支持宛美物流、溧河物流、东森物流、海派物流等本地大型物流企业发展壮大，形成一批跨区域运营、服务水平高、竞争力强的物流骨干企业。鼓励专业物流企业通过联盟合作、收购兼并等方式做大做强，培育专业化第三方物流企业、邮政快递企业和现代供应链企业。鼓励河南石油勘探局、中南金刚石、南阳防爆集团、淅川铝业、新野纺织等骨干企业进行主辅分离，促进企业内部物流社会化。深化物流与农业、制造业、服务业等相关产业融合，培育纺织服装、现代化工、装备制造、绿色食品、冶金建材等细分市场的领军物流企业。</w:t>
      </w:r>
    </w:p>
    <w:p>
      <w:pPr>
        <w:spacing w:line="560" w:lineRule="exact"/>
        <w:contextualSpacing/>
        <w:jc w:val="center"/>
        <w:outlineLvl w:val="0"/>
        <w:rPr>
          <w:rFonts w:ascii="黑体" w:hAnsi="黑体" w:eastAsia="黑体" w:cs="黑体"/>
        </w:rPr>
      </w:pPr>
      <w:bookmarkStart w:id="1277" w:name="_Toc672944073"/>
      <w:r>
        <w:rPr>
          <w:rFonts w:hint="eastAsia" w:ascii="黑体" w:hAnsi="黑体" w:eastAsia="黑体" w:cs="黑体"/>
        </w:rPr>
        <w:t>第六章 保障措施</w:t>
      </w:r>
      <w:bookmarkEnd w:id="1272"/>
      <w:bookmarkEnd w:id="1277"/>
    </w:p>
    <w:bookmarkEnd w:id="1246"/>
    <w:bookmarkEnd w:id="1259"/>
    <w:p>
      <w:pPr>
        <w:spacing w:line="560" w:lineRule="exact"/>
        <w:contextualSpacing/>
        <w:jc w:val="center"/>
        <w:outlineLvl w:val="1"/>
        <w:rPr>
          <w:rFonts w:ascii="Times New Roman" w:hAnsi="Times New Roman" w:eastAsia="楷体_GB2312"/>
          <w:bCs/>
        </w:rPr>
      </w:pPr>
      <w:bookmarkStart w:id="1278" w:name="_Toc458374692"/>
      <w:bookmarkStart w:id="1279" w:name="_Toc1872394561"/>
      <w:r>
        <w:rPr>
          <w:rFonts w:hint="eastAsia" w:ascii="Times New Roman" w:hAnsi="Times New Roman" w:eastAsia="楷体_GB2312"/>
          <w:bCs/>
        </w:rPr>
        <w:t>第一节 加强组织领导</w:t>
      </w:r>
      <w:bookmarkEnd w:id="1278"/>
      <w:bookmarkEnd w:id="1279"/>
    </w:p>
    <w:p>
      <w:pPr>
        <w:spacing w:line="560" w:lineRule="exact"/>
        <w:ind w:firstLine="640" w:firstLineChars="200"/>
        <w:contextualSpacing/>
        <w:rPr>
          <w:rFonts w:hAnsi="仿宋_GB2312"/>
        </w:rPr>
      </w:pPr>
      <w:bookmarkStart w:id="1280" w:name="_Toc14371"/>
      <w:r>
        <w:rPr>
          <w:rFonts w:hint="eastAsia" w:hAnsi="仿宋_GB2312"/>
        </w:rPr>
        <w:t>坚持党的全面领导，充分发挥南阳市加快物流业发展工作领导小组牵头作用，强化相关部门之间协调配合，加强物流产业高质量发展工作的政策指导、协调推进和重大问题研究，及时协调解决规划实施中存在的问题，有序推进各项任务工程和重点项目落地见效。加强物流行业安全生产监管，遏制重大安全事故发生。</w:t>
      </w:r>
      <w:bookmarkEnd w:id="1280"/>
      <w:bookmarkStart w:id="1281" w:name="_Toc458374693"/>
      <w:r>
        <w:rPr>
          <w:rFonts w:hint="eastAsia" w:hAnsi="仿宋_GB2312"/>
        </w:rPr>
        <w:t>充分发挥南阳物流行业协会桥梁纽带作用，协助政府部门做好行业统计、标准化建设、试点示范推进等工作。</w:t>
      </w:r>
    </w:p>
    <w:p>
      <w:pPr>
        <w:spacing w:line="560" w:lineRule="exact"/>
        <w:contextualSpacing/>
        <w:jc w:val="center"/>
        <w:outlineLvl w:val="1"/>
        <w:rPr>
          <w:rFonts w:ascii="Times New Roman" w:hAnsi="Times New Roman" w:eastAsia="楷体_GB2312"/>
          <w:bCs/>
        </w:rPr>
      </w:pPr>
      <w:bookmarkStart w:id="1282" w:name="_Toc1198430952"/>
      <w:r>
        <w:rPr>
          <w:rFonts w:hint="eastAsia" w:ascii="Times New Roman" w:hAnsi="Times New Roman" w:eastAsia="楷体_GB2312"/>
          <w:bCs/>
        </w:rPr>
        <w:t>第二节 强化要素保障</w:t>
      </w:r>
      <w:bookmarkEnd w:id="1282"/>
    </w:p>
    <w:p>
      <w:pPr>
        <w:spacing w:line="560" w:lineRule="exact"/>
        <w:ind w:firstLine="640" w:firstLineChars="200"/>
        <w:contextualSpacing/>
        <w:rPr>
          <w:rFonts w:ascii="Times New Roman" w:hAnsi="仿宋_GB2312"/>
        </w:rPr>
      </w:pPr>
      <w:bookmarkStart w:id="1283" w:name="_Toc11088"/>
      <w:r>
        <w:rPr>
          <w:rFonts w:hint="eastAsia" w:ascii="Times New Roman" w:hAnsi="仿宋_GB2312"/>
        </w:rPr>
        <w:t>加强物流产业规划与国土空间规划、综合交通规划等衔接，强化物流业用地保障，重点保障纳入国家、省级、市级规划的物流项目新增建设用地，物流用地价格按照工业用地标准落实。鼓励物流企业做大做强、集聚发展，对具有示范引领性的企业和项目，给予财税政策支持。支持企业通过股权融资、公司债、产业基金等新金融工具，多渠道提供物流融资服务。鼓励引导各类社会资本以股份制、合伙制等形式进入物流领域，形成多渠道、多元化的物流业投入机制。</w:t>
      </w:r>
    </w:p>
    <w:bookmarkEnd w:id="1281"/>
    <w:bookmarkEnd w:id="1283"/>
    <w:p>
      <w:pPr>
        <w:spacing w:line="560" w:lineRule="exact"/>
        <w:contextualSpacing/>
        <w:jc w:val="center"/>
        <w:outlineLvl w:val="1"/>
        <w:rPr>
          <w:rFonts w:ascii="Times New Roman" w:hAnsi="Times New Roman" w:eastAsia="楷体_GB2312"/>
          <w:bCs/>
        </w:rPr>
      </w:pPr>
      <w:bookmarkStart w:id="1284" w:name="_Toc2098900022"/>
      <w:bookmarkStart w:id="1285" w:name="_Toc12861"/>
      <w:r>
        <w:rPr>
          <w:rFonts w:hint="eastAsia" w:ascii="Times New Roman" w:hAnsi="Times New Roman" w:eastAsia="楷体_GB2312"/>
          <w:bCs/>
        </w:rPr>
        <w:t>第三节 健全信用服务</w:t>
      </w:r>
      <w:bookmarkEnd w:id="1284"/>
      <w:bookmarkEnd w:id="1285"/>
    </w:p>
    <w:p>
      <w:pPr>
        <w:spacing w:line="560" w:lineRule="exact"/>
        <w:ind w:firstLine="640" w:firstLineChars="200"/>
        <w:contextualSpacing/>
        <w:rPr>
          <w:rFonts w:ascii="Times New Roman" w:hAnsi="仿宋_GB2312"/>
        </w:rPr>
      </w:pPr>
      <w:r>
        <w:rPr>
          <w:rFonts w:hint="eastAsia" w:ascii="Times New Roman" w:hAnsi="仿宋_GB2312"/>
        </w:rPr>
        <w:t>构建完善以信用为基础的新型监管机制，探索建立南阳物流从业单位和从业人员信用信息档案，健全跨地区、跨部门的信用信息交换共享机制，建立企业分类监管制度，加强守信联合激励和失信联合惩戒。积极支持物流信用服务机构创新信用服务产品，推动物流行业信用记录市场化应用。</w:t>
      </w:r>
      <w:bookmarkStart w:id="1286" w:name="_Toc28114"/>
    </w:p>
    <w:p>
      <w:pPr>
        <w:spacing w:line="560" w:lineRule="exact"/>
        <w:contextualSpacing/>
        <w:jc w:val="center"/>
        <w:outlineLvl w:val="1"/>
        <w:rPr>
          <w:rFonts w:ascii="Times New Roman" w:hAnsi="Times New Roman" w:eastAsia="楷体_GB2312"/>
          <w:bCs/>
        </w:rPr>
      </w:pPr>
      <w:bookmarkStart w:id="1287" w:name="_Toc1850885676"/>
      <w:r>
        <w:rPr>
          <w:rFonts w:hint="eastAsia" w:ascii="Times New Roman" w:hAnsi="Times New Roman" w:eastAsia="楷体_GB2312"/>
          <w:bCs/>
        </w:rPr>
        <w:t>第四节 强化人才引</w:t>
      </w:r>
      <w:bookmarkEnd w:id="1286"/>
      <w:r>
        <w:rPr>
          <w:rFonts w:hint="eastAsia" w:ascii="Times New Roman" w:hAnsi="Times New Roman" w:eastAsia="楷体_GB2312"/>
          <w:bCs/>
        </w:rPr>
        <w:t>育</w:t>
      </w:r>
      <w:bookmarkEnd w:id="1287"/>
    </w:p>
    <w:p>
      <w:pPr>
        <w:spacing w:line="560" w:lineRule="exact"/>
        <w:ind w:firstLine="640" w:firstLineChars="200"/>
        <w:contextualSpacing/>
        <w:rPr>
          <w:rFonts w:ascii="Times New Roman" w:hAnsi="仿宋_GB2312"/>
        </w:rPr>
      </w:pPr>
      <w:r>
        <w:rPr>
          <w:rFonts w:hint="eastAsia" w:ascii="Times New Roman" w:hAnsi="仿宋_GB2312"/>
        </w:rPr>
        <w:t>建立健全有利于人才引进、培养的服务保障和激励机制，完善全方位、多层次的物流专业人才引进和培养体系。引导企业和高校建立“产学研”对接机制，建设一批物流“产学研”深度融合实习基地。鼓励骨干物流企业、行业协会设立研究机构、智库平台。按照国家、省有关规定，推动开展全市物流行业先进个人和先进工作者评选，提升物流行业从业人员职业认同感。</w:t>
      </w:r>
      <w:bookmarkStart w:id="1288" w:name="_Toc30712"/>
    </w:p>
    <w:p>
      <w:pPr>
        <w:spacing w:line="560" w:lineRule="exact"/>
        <w:contextualSpacing/>
        <w:jc w:val="center"/>
        <w:outlineLvl w:val="1"/>
        <w:rPr>
          <w:rFonts w:ascii="Times New Roman" w:hAnsi="Times New Roman" w:eastAsia="楷体_GB2312"/>
          <w:bCs/>
        </w:rPr>
      </w:pPr>
      <w:bookmarkStart w:id="1289" w:name="_Toc1039713313"/>
      <w:r>
        <w:rPr>
          <w:rFonts w:hint="eastAsia" w:ascii="Times New Roman" w:hAnsi="Times New Roman" w:eastAsia="楷体_GB2312"/>
          <w:bCs/>
        </w:rPr>
        <w:t>第五节 加强</w:t>
      </w:r>
      <w:bookmarkEnd w:id="1288"/>
      <w:r>
        <w:rPr>
          <w:rFonts w:hint="eastAsia" w:ascii="Times New Roman" w:hAnsi="Times New Roman" w:eastAsia="楷体_GB2312"/>
          <w:bCs/>
        </w:rPr>
        <w:t>监测评估</w:t>
      </w:r>
      <w:bookmarkEnd w:id="1289"/>
    </w:p>
    <w:p>
      <w:pPr>
        <w:spacing w:line="560" w:lineRule="exact"/>
        <w:ind w:firstLine="640" w:firstLineChars="200"/>
        <w:contextualSpacing/>
        <w:rPr>
          <w:rFonts w:ascii="Times New Roman" w:hAnsi="仿宋_GB2312"/>
        </w:rPr>
      </w:pPr>
      <w:r>
        <w:rPr>
          <w:rFonts w:hint="eastAsia" w:ascii="Times New Roman" w:hAnsi="仿宋_GB2312"/>
        </w:rPr>
        <w:t>研究建立物流行业统计分类，研究制定反映重点物流领域、重点运输环节的统计监测指标体系，加强对物流业运营成本、效率的监测，建立物流行业统计调查、信息收集、研究分析、监测和评估制度，为物流业科学决策提供数据依据。在运输、仓储、保管、配送、批发、零售等环节，健全企业收支情况和价格调查的数字化统计方法和手段。</w:t>
      </w:r>
    </w:p>
    <w:p>
      <w:pPr>
        <w:spacing w:line="560" w:lineRule="exact"/>
        <w:contextualSpacing/>
        <w:jc w:val="center"/>
        <w:outlineLvl w:val="1"/>
        <w:rPr>
          <w:rFonts w:ascii="Times New Roman" w:hAnsi="Times New Roman" w:eastAsia="楷体_GB2312"/>
          <w:bCs/>
        </w:rPr>
      </w:pPr>
      <w:bookmarkStart w:id="1290" w:name="_Toc2100323607"/>
      <w:bookmarkStart w:id="1291" w:name="_Toc23702"/>
      <w:r>
        <w:rPr>
          <w:rFonts w:hint="eastAsia" w:ascii="Times New Roman" w:hAnsi="Times New Roman" w:eastAsia="楷体_GB2312"/>
          <w:bCs/>
        </w:rPr>
        <w:t>第六节 优化营商环境</w:t>
      </w:r>
      <w:bookmarkEnd w:id="1290"/>
      <w:bookmarkEnd w:id="1291"/>
    </w:p>
    <w:p>
      <w:pPr>
        <w:spacing w:line="560" w:lineRule="exact"/>
        <w:ind w:firstLine="640" w:firstLineChars="200"/>
        <w:contextualSpacing/>
        <w:rPr>
          <w:rFonts w:ascii="Times New Roman" w:hAnsi="仿宋_GB2312"/>
        </w:rPr>
      </w:pPr>
      <w:bookmarkStart w:id="1292" w:name="_Toc5471"/>
      <w:r>
        <w:rPr>
          <w:rFonts w:hint="eastAsia" w:ascii="Times New Roman" w:hAnsi="仿宋_GB2312"/>
        </w:rPr>
        <w:t>全面落实国家、省优化营商环境条例，推进</w:t>
      </w:r>
      <w:r>
        <w:rPr>
          <w:rFonts w:hint="eastAsia" w:ascii="Times New Roman" w:hAnsi="Times New Roman" w:cs="宋体"/>
          <w:kern w:val="0"/>
        </w:rPr>
        <w:t>《南阳市优化营商环境条例》制定，</w:t>
      </w:r>
      <w:r>
        <w:rPr>
          <w:rFonts w:hint="eastAsia" w:ascii="Times New Roman" w:hAnsi="Times New Roman"/>
          <w:kern w:val="0"/>
        </w:rPr>
        <w:t>建立健全营商环境地方法规体系，严肃查处破坏营商环境行为。实施南阳市全国一流营商环境提升行动，</w:t>
      </w:r>
      <w:r>
        <w:rPr>
          <w:rFonts w:hint="eastAsia" w:ascii="Times New Roman" w:hAnsi="仿宋_GB2312"/>
        </w:rPr>
        <w:t>持续深化物流领域“放管服效”改革，推行实施城乡一体化示范区、高新区、鸭河工区、官庄工区和卧龙综合保税区实行用地规划行政审批“2号章”制度，进一步简化审批流程，依法清理前置审批事项，探索建立物流领域的“负面清单”制度，逐步实现注册、变更、注销等政务服务“一网通办”，推动跨部门、跨区域、跨层级物流政务信息开放共享</w:t>
      </w:r>
      <w:bookmarkEnd w:id="1292"/>
      <w:r>
        <w:rPr>
          <w:rFonts w:hint="eastAsia" w:ascii="Times New Roman" w:hAnsi="仿宋_GB2312"/>
        </w:rPr>
        <w:t>，提高现代物流治理能力。</w:t>
      </w:r>
    </w:p>
    <w:p>
      <w:pPr>
        <w:pStyle w:val="4"/>
        <w:spacing w:line="560" w:lineRule="exact"/>
        <w:ind w:left="0" w:firstLine="0" w:firstLineChars="0"/>
        <w:contextualSpacing/>
        <w:rPr>
          <w:rFonts w:hAnsi="仿宋_GB2312"/>
          <w:lang w:val="en-US"/>
        </w:rPr>
      </w:pPr>
    </w:p>
    <w:p>
      <w:pPr>
        <w:spacing w:line="560" w:lineRule="exact"/>
        <w:contextualSpacing/>
        <w:jc w:val="left"/>
      </w:pPr>
    </w:p>
    <w:p>
      <w:pPr>
        <w:snapToGrid w:val="0"/>
        <w:spacing w:line="560" w:lineRule="exact"/>
        <w:contextualSpacing/>
        <w:jc w:val="left"/>
      </w:pPr>
    </w:p>
    <w:p>
      <w:pPr>
        <w:snapToGrid w:val="0"/>
        <w:spacing w:line="560" w:lineRule="exact"/>
        <w:contextualSpacing/>
        <w:jc w:val="left"/>
      </w:pPr>
    </w:p>
    <w:p>
      <w:pPr>
        <w:snapToGrid w:val="0"/>
        <w:spacing w:line="560" w:lineRule="exact"/>
        <w:contextualSpacing/>
        <w:jc w:val="left"/>
      </w:pPr>
    </w:p>
    <w:p>
      <w:pPr>
        <w:widowControl/>
        <w:jc w:val="left"/>
        <w:rPr>
          <w:rFonts w:eastAsia="方正小标宋简体" w:cs="方正小标宋简体"/>
          <w:sz w:val="54"/>
          <w:szCs w:val="54"/>
        </w:rPr>
      </w:pPr>
      <w:r>
        <w:rPr>
          <w:rFonts w:eastAsia="方正小标宋简体" w:cs="方正小标宋简体"/>
          <w:sz w:val="54"/>
          <w:szCs w:val="54"/>
        </w:rPr>
        <w:br w:type="page"/>
      </w:r>
    </w:p>
    <w:p>
      <w:pPr>
        <w:spacing w:line="560" w:lineRule="exact"/>
        <w:contextualSpacing/>
        <w:jc w:val="center"/>
        <w:rPr>
          <w:rFonts w:ascii="Times New Roman" w:hAnsi="Times New Roman" w:eastAsia="方正小标宋简体"/>
          <w:spacing w:val="-20"/>
          <w:kern w:val="0"/>
          <w:sz w:val="54"/>
          <w:szCs w:val="54"/>
        </w:rPr>
      </w:pPr>
      <w:r>
        <w:rPr>
          <w:rFonts w:hint="eastAsia" w:ascii="方正小标宋简体" w:hAnsi="Times New Roman" w:eastAsia="方正小标宋简体"/>
          <w:spacing w:val="-20"/>
          <w:kern w:val="0"/>
          <w:sz w:val="44"/>
          <w:szCs w:val="44"/>
        </w:rPr>
        <w:t>南阳市</w:t>
      </w:r>
      <w:r>
        <w:rPr>
          <w:rFonts w:hint="eastAsia" w:ascii="Times New Roman" w:hAnsi="Times New Roman" w:eastAsia="方正小标宋简体"/>
          <w:spacing w:val="-20"/>
          <w:kern w:val="0"/>
          <w:sz w:val="44"/>
          <w:szCs w:val="44"/>
        </w:rPr>
        <w:t>“十四五”现代服务业</w:t>
      </w:r>
      <w:r>
        <w:rPr>
          <w:rFonts w:hint="eastAsia" w:ascii="方正小标宋简体" w:hAnsi="Times New Roman" w:eastAsia="方正小标宋简体"/>
          <w:spacing w:val="-20"/>
          <w:kern w:val="0"/>
          <w:sz w:val="44"/>
          <w:szCs w:val="44"/>
        </w:rPr>
        <w:t>发展规划</w:t>
      </w:r>
    </w:p>
    <w:p>
      <w:pPr>
        <w:pStyle w:val="6"/>
        <w:keepLines w:val="0"/>
        <w:autoSpaceDE w:val="0"/>
        <w:autoSpaceDN w:val="0"/>
        <w:spacing w:line="560" w:lineRule="exact"/>
        <w:ind w:firstLine="560"/>
        <w:contextualSpacing/>
        <w:rPr>
          <w:rFonts w:ascii="黑体" w:hAnsi="黑体"/>
          <w:bCs/>
          <w:spacing w:val="-20"/>
          <w:kern w:val="0"/>
          <w:szCs w:val="32"/>
        </w:rPr>
      </w:pPr>
      <w:bookmarkStart w:id="1293" w:name="_Toc99015553"/>
      <w:bookmarkEnd w:id="1293"/>
      <w:bookmarkStart w:id="1294" w:name="_Toc99015554"/>
      <w:bookmarkEnd w:id="1294"/>
    </w:p>
    <w:p>
      <w:pPr>
        <w:spacing w:line="560" w:lineRule="exact"/>
        <w:ind w:firstLine="640" w:firstLineChars="200"/>
        <w:contextualSpacing/>
        <w:rPr>
          <w:rFonts w:ascii="仿宋_GB2312" w:hAnsi="仿宋" w:cs="仿宋"/>
          <w:bCs/>
        </w:rPr>
      </w:pPr>
      <w:r>
        <w:rPr>
          <w:rFonts w:hint="eastAsia" w:ascii="仿宋_GB2312" w:hAnsi="仿宋" w:cs="仿宋"/>
          <w:kern w:val="0"/>
        </w:rPr>
        <w:t>服务业发展水平是衡量现代社会经济发达程度的重要标志，发展现代服务业是经济社会高质量发展的战略选择。在新一轮科技和产业变革、“双循环”新发展格局构建等新趋势下，服务业正加速向全球化、数字化、融合化、平台化方向发展。近年来，我市服务业转型步伐加快，文化旅游、现代物流等优势服务业蓬勃发展，科技服务、信息服务等新兴服务业加快培育壮大，服务业与先进制造业、现代农业融合进程加速推进。我市将迈入服务经济新时代，做大做强做优现代服务业，是贯彻落实省第十一次党代会、市第七次党代会精神的重要举措，对我市全面建成小康社会，加快转型跨越、绿色崛起，建设富强活力南阳、法治诚信南阳、低成本创业南阳、幸福美丽南阳、高效清正南阳具有重要意义。根据《河南省“十四五”现代服务业发展规划》《南阳市国民经济和社会发展第十四个五年规划和二〇三五年远景目标纲要》，制定本规划。</w:t>
      </w:r>
    </w:p>
    <w:p>
      <w:pPr>
        <w:pStyle w:val="6"/>
        <w:keepLines w:val="0"/>
        <w:autoSpaceDE w:val="0"/>
        <w:autoSpaceDN w:val="0"/>
        <w:spacing w:line="560" w:lineRule="exact"/>
        <w:ind w:firstLine="0" w:firstLineChars="0"/>
        <w:contextualSpacing/>
        <w:jc w:val="center"/>
        <w:rPr>
          <w:rFonts w:ascii="Times New Roman" w:hAnsi="Times New Roman"/>
          <w:bCs/>
          <w:kern w:val="0"/>
          <w:szCs w:val="32"/>
        </w:rPr>
      </w:pPr>
      <w:r>
        <w:rPr>
          <w:rFonts w:hint="eastAsia" w:ascii="黑体" w:hAnsi="黑体"/>
          <w:bCs/>
          <w:kern w:val="0"/>
          <w:szCs w:val="32"/>
        </w:rPr>
        <w:t>第一章</w:t>
      </w:r>
      <w:r>
        <w:rPr>
          <w:rFonts w:hint="eastAsia" w:ascii="Times New Roman" w:hAnsi="Times New Roman"/>
          <w:bCs/>
          <w:kern w:val="0"/>
          <w:szCs w:val="32"/>
        </w:rPr>
        <w:t xml:space="preserve"> </w:t>
      </w:r>
      <w:r>
        <w:rPr>
          <w:rFonts w:hint="eastAsia" w:ascii="黑体" w:hAnsi="黑体"/>
          <w:bCs/>
          <w:kern w:val="0"/>
          <w:szCs w:val="32"/>
        </w:rPr>
        <w:t>立足现实基础，把握服务业发展新机遇</w:t>
      </w:r>
    </w:p>
    <w:p>
      <w:pPr>
        <w:pStyle w:val="7"/>
        <w:keepLines w:val="0"/>
        <w:autoSpaceDE w:val="0"/>
        <w:autoSpaceDN w:val="0"/>
        <w:spacing w:line="560" w:lineRule="exact"/>
        <w:contextualSpacing/>
        <w:jc w:val="center"/>
        <w:rPr>
          <w:rFonts w:ascii="Times New Roman" w:hAnsi="Times New Roman" w:eastAsia="楷体_GB2312"/>
          <w:b w:val="0"/>
          <w:bCs/>
          <w:szCs w:val="32"/>
        </w:rPr>
      </w:pPr>
      <w:bookmarkStart w:id="1295" w:name="_Toc99015555"/>
      <w:bookmarkEnd w:id="1295"/>
      <w:r>
        <w:rPr>
          <w:rFonts w:hint="eastAsia" w:ascii="楷体_GB2312" w:hAnsi="Times New Roman" w:eastAsia="楷体_GB2312"/>
          <w:b w:val="0"/>
          <w:bCs/>
        </w:rPr>
        <w:t>第一节</w:t>
      </w:r>
      <w:r>
        <w:rPr>
          <w:rFonts w:hint="eastAsia" w:ascii="Times New Roman" w:hAnsi="Times New Roman" w:eastAsia="楷体_GB2312"/>
          <w:b w:val="0"/>
          <w:bCs/>
        </w:rPr>
        <w:t xml:space="preserve"> </w:t>
      </w:r>
      <w:r>
        <w:rPr>
          <w:rFonts w:hint="eastAsia" w:ascii="楷体_GB2312" w:hAnsi="Times New Roman" w:eastAsia="楷体_GB2312"/>
          <w:b w:val="0"/>
          <w:bCs/>
        </w:rPr>
        <w:t>发展现状</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kern w:val="0"/>
        </w:rPr>
        <w:t>“十三五”以来，我市高度重视服务业发展，立足南阳实际，加大政策引导和投入力度，现代服务业规模稳步扩大，能效不断提升，产业内部结构和空间布局持续优化，服务业发展取得明显成效，对拉动全市经济社会发展作出了积极贡献，逐渐成为经济增长的重要支撑，为“十四五”服务业发展打下了坚实基础。</w:t>
      </w:r>
    </w:p>
    <w:p>
      <w:pPr>
        <w:spacing w:line="560" w:lineRule="exact"/>
        <w:ind w:firstLine="640" w:firstLineChars="200"/>
        <w:contextualSpacing/>
        <w:rPr>
          <w:rFonts w:ascii="Times New Roman" w:hAnsi="Times New Roman"/>
          <w:kern w:val="0"/>
        </w:rPr>
      </w:pPr>
      <w:r>
        <w:rPr>
          <w:rFonts w:hint="eastAsia" w:ascii="仿宋_GB2312"/>
          <w:bCs/>
          <w:kern w:val="0"/>
        </w:rPr>
        <w:t>规模总量不断扩大。</w:t>
      </w:r>
      <w:r>
        <w:rPr>
          <w:rFonts w:hint="eastAsia" w:ascii="仿宋_GB2312" w:hAnsi="Times New Roman"/>
          <w:kern w:val="0"/>
        </w:rPr>
        <w:t>全市服务业增加值由</w:t>
      </w:r>
      <w:r>
        <w:rPr>
          <w:rFonts w:hint="eastAsia" w:ascii="Times New Roman" w:hAnsi="Times New Roman"/>
          <w:kern w:val="0"/>
        </w:rPr>
        <w:t>2015</w:t>
      </w:r>
      <w:r>
        <w:rPr>
          <w:rFonts w:hint="eastAsia" w:ascii="仿宋_GB2312" w:hAnsi="Times New Roman"/>
          <w:kern w:val="0"/>
        </w:rPr>
        <w:t>年的</w:t>
      </w:r>
      <w:r>
        <w:rPr>
          <w:rFonts w:hint="eastAsia" w:ascii="Times New Roman" w:hAnsi="Times New Roman"/>
          <w:kern w:val="0"/>
        </w:rPr>
        <w:t>964.22</w:t>
      </w:r>
      <w:r>
        <w:rPr>
          <w:rFonts w:hint="eastAsia" w:ascii="仿宋_GB2312" w:hAnsi="Times New Roman"/>
          <w:kern w:val="0"/>
        </w:rPr>
        <w:t>亿元增加到</w:t>
      </w:r>
      <w:r>
        <w:rPr>
          <w:rFonts w:hint="eastAsia" w:ascii="Times New Roman" w:hAnsi="Times New Roman"/>
          <w:kern w:val="0"/>
        </w:rPr>
        <w:t>2020</w:t>
      </w:r>
      <w:r>
        <w:rPr>
          <w:rFonts w:hint="eastAsia" w:ascii="仿宋_GB2312" w:hAnsi="Times New Roman"/>
          <w:kern w:val="0"/>
        </w:rPr>
        <w:t>年的</w:t>
      </w:r>
      <w:r>
        <w:rPr>
          <w:rFonts w:hint="eastAsia" w:ascii="Times New Roman" w:hAnsi="Times New Roman"/>
          <w:kern w:val="0"/>
        </w:rPr>
        <w:t>2012.58</w:t>
      </w:r>
      <w:r>
        <w:rPr>
          <w:rFonts w:hint="eastAsia" w:ascii="仿宋_GB2312" w:hAnsi="Times New Roman"/>
          <w:kern w:val="0"/>
        </w:rPr>
        <w:t>亿元，五年年均增长</w:t>
      </w:r>
      <w:r>
        <w:rPr>
          <w:rFonts w:hint="eastAsia" w:ascii="Times New Roman" w:hAnsi="Times New Roman"/>
          <w:kern w:val="0"/>
        </w:rPr>
        <w:t>15.86%</w:t>
      </w:r>
      <w:r>
        <w:rPr>
          <w:rFonts w:hint="eastAsia" w:ascii="仿宋_GB2312" w:hAnsi="Times New Roman"/>
          <w:kern w:val="0"/>
        </w:rPr>
        <w:t>，占地区生产总值比重达到</w:t>
      </w:r>
      <w:r>
        <w:rPr>
          <w:rFonts w:hint="eastAsia" w:ascii="Times New Roman" w:hAnsi="Times New Roman"/>
          <w:kern w:val="0"/>
        </w:rPr>
        <w:t>51.3%</w:t>
      </w:r>
      <w:r>
        <w:rPr>
          <w:rFonts w:hint="eastAsia" w:ascii="仿宋_GB2312" w:hAnsi="Times New Roman"/>
          <w:kern w:val="0"/>
        </w:rPr>
        <w:t>，较</w:t>
      </w:r>
      <w:r>
        <w:rPr>
          <w:rFonts w:hint="eastAsia" w:ascii="Times New Roman" w:hAnsi="Times New Roman"/>
          <w:kern w:val="0"/>
        </w:rPr>
        <w:t>2015</w:t>
      </w:r>
      <w:r>
        <w:rPr>
          <w:rFonts w:hint="eastAsia" w:ascii="仿宋_GB2312" w:hAnsi="Times New Roman"/>
          <w:kern w:val="0"/>
        </w:rPr>
        <w:t>年提高了</w:t>
      </w:r>
      <w:r>
        <w:rPr>
          <w:rFonts w:hint="eastAsia" w:ascii="Times New Roman" w:hAnsi="Times New Roman"/>
          <w:kern w:val="0"/>
        </w:rPr>
        <w:t>13.1</w:t>
      </w:r>
      <w:r>
        <w:rPr>
          <w:rFonts w:hint="eastAsia" w:ascii="仿宋_GB2312" w:hAnsi="Times New Roman"/>
          <w:kern w:val="0"/>
        </w:rPr>
        <w:t>个百分点，比全省服务业发展水平高出</w:t>
      </w:r>
      <w:r>
        <w:rPr>
          <w:rFonts w:hint="eastAsia" w:ascii="Times New Roman" w:hAnsi="Times New Roman"/>
          <w:kern w:val="0"/>
        </w:rPr>
        <w:t>2.6</w:t>
      </w:r>
      <w:r>
        <w:rPr>
          <w:rFonts w:hint="eastAsia" w:ascii="仿宋_GB2312" w:hAnsi="Times New Roman"/>
          <w:kern w:val="0"/>
        </w:rPr>
        <w:t>个百分点，固定资产投资占全社会投资比重达到</w:t>
      </w:r>
      <w:r>
        <w:rPr>
          <w:rFonts w:hint="eastAsia" w:ascii="Times New Roman" w:hAnsi="Times New Roman"/>
          <w:kern w:val="0"/>
        </w:rPr>
        <w:t>53.8%</w:t>
      </w:r>
      <w:r>
        <w:rPr>
          <w:rFonts w:hint="eastAsia" w:ascii="仿宋_GB2312" w:hAnsi="Times New Roman"/>
          <w:kern w:val="0"/>
        </w:rPr>
        <w:t>，服务业对经济发展的拉动作用明显增强，成为推动全市转型发展的重要引擎和吸纳新增劳动力就业的主要渠道。</w:t>
      </w:r>
    </w:p>
    <w:p>
      <w:pPr>
        <w:spacing w:line="560" w:lineRule="exact"/>
        <w:ind w:firstLine="640" w:firstLineChars="200"/>
        <w:contextualSpacing/>
        <w:rPr>
          <w:rFonts w:ascii="Times New Roman" w:hAnsi="Times New Roman"/>
          <w:kern w:val="0"/>
        </w:rPr>
      </w:pPr>
      <w:r>
        <w:rPr>
          <w:rFonts w:hint="eastAsia" w:ascii="仿宋_GB2312"/>
          <w:bCs/>
          <w:kern w:val="0"/>
        </w:rPr>
        <w:t>特色行业亮点纷呈。</w:t>
      </w:r>
      <w:r>
        <w:rPr>
          <w:rFonts w:hint="eastAsia" w:ascii="Times New Roman" w:hAnsi="Times New Roman"/>
          <w:kern w:val="0"/>
        </w:rPr>
        <w:t>“十三五”</w:t>
      </w:r>
      <w:r>
        <w:rPr>
          <w:rFonts w:hint="eastAsia" w:ascii="仿宋_GB2312" w:hAnsi="Times New Roman"/>
          <w:kern w:val="0"/>
        </w:rPr>
        <w:t>期间，全市文化旅游业持续发展，文旅融合发展态势初显，新增</w:t>
      </w:r>
      <w:r>
        <w:rPr>
          <w:rFonts w:hint="eastAsia" w:ascii="Times New Roman" w:hAnsi="Times New Roman"/>
          <w:kern w:val="0"/>
        </w:rPr>
        <w:t>A</w:t>
      </w:r>
      <w:r>
        <w:rPr>
          <w:rFonts w:hint="eastAsia" w:ascii="仿宋_GB2312" w:hAnsi="Times New Roman"/>
          <w:kern w:val="0"/>
        </w:rPr>
        <w:t>级以上景区</w:t>
      </w:r>
      <w:r>
        <w:rPr>
          <w:rFonts w:hint="eastAsia" w:ascii="Times New Roman" w:hAnsi="Times New Roman"/>
          <w:kern w:val="0"/>
        </w:rPr>
        <w:t>15</w:t>
      </w:r>
      <w:r>
        <w:rPr>
          <w:rFonts w:hint="eastAsia" w:ascii="仿宋_GB2312" w:hAnsi="Times New Roman"/>
          <w:kern w:val="0"/>
        </w:rPr>
        <w:t>家，累计接待游客</w:t>
      </w:r>
      <w:r>
        <w:rPr>
          <w:rFonts w:hint="eastAsia" w:ascii="Times New Roman" w:hAnsi="Times New Roman"/>
          <w:kern w:val="0"/>
        </w:rPr>
        <w:t>31780.7</w:t>
      </w:r>
      <w:r>
        <w:rPr>
          <w:rFonts w:hint="eastAsia" w:ascii="仿宋_GB2312" w:hAnsi="Times New Roman"/>
          <w:kern w:val="0"/>
        </w:rPr>
        <w:t>万人次，实现旅游综合收入</w:t>
      </w:r>
      <w:r>
        <w:rPr>
          <w:rFonts w:hint="eastAsia" w:ascii="Times New Roman" w:hAnsi="Times New Roman"/>
          <w:kern w:val="0"/>
        </w:rPr>
        <w:t>1936.5</w:t>
      </w:r>
      <w:r>
        <w:rPr>
          <w:rFonts w:hint="eastAsia" w:ascii="仿宋_GB2312" w:hAnsi="Times New Roman"/>
          <w:kern w:val="0"/>
        </w:rPr>
        <w:t>亿元；现代物流业提速发展，成功列入国家区域流通节点城市和国家商贸服务型物流枢纽承载城市；电子商务持续快速发展，成功获批跨境电商零售进口试点城市和跨境电商综合试验区；健康养老快速发展，南召县、西峡县成功纳入河南省中医药健康旅游示范区，南阳医圣祠、宛西制药、伏牛山天池、丹江大观苑成功纳入河南省中医药健康旅游示范基地，新野县被命名为河南省养老服务社会化示范县。</w:t>
      </w:r>
    </w:p>
    <w:p>
      <w:pPr>
        <w:spacing w:line="560" w:lineRule="exact"/>
        <w:ind w:firstLine="640" w:firstLineChars="200"/>
        <w:contextualSpacing/>
        <w:rPr>
          <w:rFonts w:ascii="Times New Roman" w:hAnsi="Times New Roman"/>
          <w:kern w:val="0"/>
        </w:rPr>
      </w:pPr>
      <w:r>
        <w:rPr>
          <w:rFonts w:hint="eastAsia" w:ascii="仿宋_GB2312"/>
          <w:bCs/>
          <w:kern w:val="0"/>
        </w:rPr>
        <w:t>发展质量不断提升。</w:t>
      </w:r>
      <w:r>
        <w:rPr>
          <w:rFonts w:hint="eastAsia" w:ascii="Times New Roman" w:hAnsi="Times New Roman"/>
          <w:kern w:val="0"/>
        </w:rPr>
        <w:t>“十三五”期间，现代物流、电子商务、文化旅游等现代服务业增势强劲，全市电商交易额、跨境电商交易额</w:t>
      </w:r>
      <w:r>
        <w:rPr>
          <w:rFonts w:hint="eastAsia" w:ascii="仿宋_GB2312" w:hAnsi="Times New Roman"/>
          <w:kern w:val="0"/>
        </w:rPr>
        <w:t>快速增长，传统商贸业转型升级加快，推进线下与线上流通方式相结合，借力</w:t>
      </w:r>
      <w:r>
        <w:rPr>
          <w:rFonts w:hint="eastAsia" w:ascii="Times New Roman" w:hAnsi="Times New Roman"/>
          <w:kern w:val="0"/>
        </w:rPr>
        <w:t>“互联网+</w:t>
      </w:r>
      <w:r>
        <w:rPr>
          <w:rFonts w:hint="eastAsia" w:ascii="仿宋_GB2312" w:hAnsi="Times New Roman"/>
          <w:kern w:val="0"/>
        </w:rPr>
        <w:t>”大力开展线上经营，家居家装、服装服饰等优势产业触网力度增大，部分经营困难的传统百货店已实现场景化、体验式转型，科技服务、大数据信息服务快速发展，教育培训、健康服务、养老育幼、体育健身等服务业质量稳步提升。</w:t>
      </w:r>
    </w:p>
    <w:p>
      <w:pPr>
        <w:spacing w:line="560" w:lineRule="exact"/>
        <w:ind w:firstLine="640" w:firstLineChars="200"/>
        <w:contextualSpacing/>
        <w:rPr>
          <w:rFonts w:ascii="Times New Roman" w:hAnsi="Times New Roman"/>
          <w:kern w:val="0"/>
        </w:rPr>
      </w:pPr>
      <w:r>
        <w:rPr>
          <w:rFonts w:hint="eastAsia" w:ascii="仿宋_GB2312"/>
          <w:bCs/>
          <w:kern w:val="0"/>
        </w:rPr>
        <w:t>发展环境日益改善。</w:t>
      </w:r>
      <w:r>
        <w:rPr>
          <w:rFonts w:hint="eastAsia" w:ascii="Times New Roman" w:hAnsi="Times New Roman"/>
          <w:kern w:val="0"/>
        </w:rPr>
        <w:t>“十三五”期间，全市积极推进政府、企业、市场、社会等各个领域的改革，积极探索建立与现代服务业发展相适应的政策支持体系，扶持服务业龙头企业规模化、网络化、品牌化经营，服务业发展体制机制不断突破和完善。</w:t>
      </w:r>
      <w:r>
        <w:rPr>
          <w:rFonts w:hint="eastAsia" w:ascii="仿宋_GB2312" w:hAnsi="Times New Roman"/>
          <w:kern w:val="0"/>
        </w:rPr>
        <w:t>设立市服务业发展工作领导小组，服务业发展重大问题得到及时研究解决，服务业发展政策环境不断优化，服务业发展重点方向、重点领域和重点项目获得支持补助。</w:t>
      </w:r>
    </w:p>
    <w:p>
      <w:pPr>
        <w:pStyle w:val="7"/>
        <w:keepLines w:val="0"/>
        <w:autoSpaceDE w:val="0"/>
        <w:autoSpaceDN w:val="0"/>
        <w:spacing w:line="560" w:lineRule="exact"/>
        <w:contextualSpacing/>
        <w:jc w:val="center"/>
        <w:rPr>
          <w:rFonts w:ascii="Times New Roman" w:hAnsi="Times New Roman" w:eastAsia="楷体_GB2312"/>
          <w:b w:val="0"/>
          <w:szCs w:val="32"/>
        </w:rPr>
      </w:pPr>
      <w:bookmarkStart w:id="1296" w:name="_Toc99015556"/>
      <w:bookmarkEnd w:id="1296"/>
      <w:r>
        <w:rPr>
          <w:rFonts w:hint="eastAsia" w:ascii="楷体_GB2312" w:hAnsi="Times New Roman" w:eastAsia="楷体_GB2312"/>
          <w:b w:val="0"/>
          <w:bCs/>
        </w:rPr>
        <w:t>第二节</w:t>
      </w:r>
      <w:r>
        <w:rPr>
          <w:rFonts w:hint="eastAsia" w:ascii="Times New Roman" w:hAnsi="Times New Roman" w:eastAsia="楷体_GB2312"/>
          <w:b w:val="0"/>
          <w:bCs/>
        </w:rPr>
        <w:t xml:space="preserve"> </w:t>
      </w:r>
      <w:r>
        <w:rPr>
          <w:rFonts w:hint="eastAsia" w:ascii="楷体_GB2312" w:hAnsi="Times New Roman" w:eastAsia="楷体_GB2312"/>
          <w:b w:val="0"/>
          <w:bCs/>
        </w:rPr>
        <w:t>存在问题</w:t>
      </w:r>
    </w:p>
    <w:p>
      <w:pPr>
        <w:spacing w:line="560" w:lineRule="exact"/>
        <w:ind w:firstLine="640" w:firstLineChars="200"/>
        <w:contextualSpacing/>
        <w:rPr>
          <w:rFonts w:ascii="Times New Roman" w:hAnsi="Times New Roman"/>
          <w:kern w:val="0"/>
        </w:rPr>
      </w:pPr>
      <w:r>
        <w:rPr>
          <w:rFonts w:hint="eastAsia" w:ascii="仿宋_GB2312"/>
          <w:bCs/>
          <w:kern w:val="0"/>
        </w:rPr>
        <w:t>产业整体发展水平不高。</w:t>
      </w:r>
      <w:r>
        <w:rPr>
          <w:rFonts w:hint="eastAsia" w:ascii="仿宋_GB2312" w:hAnsi="Times New Roman"/>
          <w:kern w:val="0"/>
        </w:rPr>
        <w:t>传统服务业占比较大，交通运输、批发零售、住宿餐饮等传统服务业增加值占服务业比重近</w:t>
      </w:r>
      <w:r>
        <w:rPr>
          <w:rFonts w:hint="eastAsia" w:ascii="Times New Roman" w:hAnsi="Times New Roman"/>
          <w:kern w:val="0"/>
        </w:rPr>
        <w:t>40%</w:t>
      </w:r>
      <w:r>
        <w:rPr>
          <w:rFonts w:hint="eastAsia" w:ascii="仿宋_GB2312" w:hAnsi="Times New Roman"/>
          <w:kern w:val="0"/>
        </w:rPr>
        <w:t>，现代服务业规模小，发展方式粗放，专业化程度较低，制造业服务化步伐较慢，缺乏具有完备产业链条和内生集群效应的优势服务业。生产性服务业占服务业比重低于</w:t>
      </w:r>
      <w:r>
        <w:rPr>
          <w:rFonts w:hint="eastAsia" w:ascii="Times New Roman" w:hAnsi="Times New Roman"/>
          <w:kern w:val="0"/>
        </w:rPr>
        <w:t>50%</w:t>
      </w:r>
      <w:r>
        <w:rPr>
          <w:rFonts w:hint="eastAsia" w:ascii="仿宋_GB2312" w:hAnsi="Times New Roman"/>
          <w:kern w:val="0"/>
        </w:rPr>
        <w:t>，远低于发达地区</w:t>
      </w:r>
      <w:r>
        <w:rPr>
          <w:rFonts w:hint="eastAsia" w:ascii="Times New Roman" w:hAnsi="Times New Roman"/>
          <w:kern w:val="0"/>
        </w:rPr>
        <w:t>70%</w:t>
      </w:r>
      <w:r>
        <w:rPr>
          <w:rFonts w:hint="eastAsia" w:ascii="仿宋_GB2312" w:hAnsi="Times New Roman"/>
          <w:kern w:val="0"/>
        </w:rPr>
        <w:t>的水平，新兴服务业发展速度虽快，但总量规模不大、发展不够充分。</w:t>
      </w:r>
    </w:p>
    <w:p>
      <w:pPr>
        <w:spacing w:line="560" w:lineRule="exact"/>
        <w:ind w:firstLine="640" w:firstLineChars="200"/>
        <w:contextualSpacing/>
        <w:rPr>
          <w:rFonts w:ascii="Times New Roman" w:hAnsi="Times New Roman"/>
          <w:kern w:val="0"/>
        </w:rPr>
      </w:pPr>
      <w:r>
        <w:rPr>
          <w:rFonts w:hint="eastAsia" w:ascii="仿宋_GB2312"/>
          <w:bCs/>
          <w:kern w:val="0"/>
        </w:rPr>
        <w:t>产业综合竞争实力不强。</w:t>
      </w:r>
      <w:r>
        <w:rPr>
          <w:rFonts w:hint="eastAsia" w:ascii="Times New Roman" w:hAnsi="Times New Roman"/>
          <w:kern w:val="0"/>
        </w:rPr>
        <w:t>2020</w:t>
      </w:r>
      <w:r>
        <w:rPr>
          <w:rFonts w:hint="eastAsia" w:ascii="仿宋_GB2312" w:hAnsi="Times New Roman"/>
          <w:kern w:val="0"/>
        </w:rPr>
        <w:t>年全国服务业企业</w:t>
      </w:r>
      <w:r>
        <w:rPr>
          <w:rFonts w:hint="eastAsia" w:ascii="Times New Roman" w:hAnsi="Times New Roman"/>
          <w:kern w:val="0"/>
        </w:rPr>
        <w:t>500</w:t>
      </w:r>
      <w:r>
        <w:rPr>
          <w:rFonts w:hint="eastAsia" w:ascii="仿宋_GB2312" w:hAnsi="Times New Roman"/>
          <w:kern w:val="0"/>
        </w:rPr>
        <w:t>强中，无南阳企业入围，河南省民营企业现代服务业</w:t>
      </w:r>
      <w:r>
        <w:rPr>
          <w:rFonts w:hint="eastAsia" w:ascii="Times New Roman" w:hAnsi="Times New Roman"/>
          <w:kern w:val="0"/>
        </w:rPr>
        <w:t>100</w:t>
      </w:r>
      <w:r>
        <w:rPr>
          <w:rFonts w:hint="eastAsia" w:ascii="仿宋_GB2312" w:hAnsi="Times New Roman"/>
          <w:kern w:val="0"/>
        </w:rPr>
        <w:t>强中，南阳仅有</w:t>
      </w:r>
      <w:r>
        <w:rPr>
          <w:rFonts w:hint="eastAsia" w:ascii="Times New Roman" w:hAnsi="Times New Roman"/>
          <w:kern w:val="0"/>
        </w:rPr>
        <w:t>3</w:t>
      </w:r>
      <w:r>
        <w:rPr>
          <w:rFonts w:hint="eastAsia" w:ascii="仿宋_GB2312" w:hAnsi="Times New Roman"/>
          <w:kern w:val="0"/>
        </w:rPr>
        <w:t>家入围，真正拥有核心技术和较强市场竞争力的知名龙头企业较少。龙头服务业多为内需型产业，主要以服务南阳本地为主，缺少具有较高知名度的服务业品牌。旅游、餐饮、会展商务、中医药健康等产业文化挖掘不够，数字化、智能化水平亟待提升。</w:t>
      </w:r>
    </w:p>
    <w:p>
      <w:pPr>
        <w:spacing w:line="560" w:lineRule="exact"/>
        <w:ind w:firstLine="640" w:firstLineChars="200"/>
        <w:contextualSpacing/>
        <w:rPr>
          <w:rFonts w:ascii="Times New Roman" w:hAnsi="Times New Roman"/>
          <w:kern w:val="0"/>
        </w:rPr>
      </w:pPr>
      <w:r>
        <w:rPr>
          <w:rFonts w:hint="eastAsia" w:ascii="仿宋_GB2312"/>
          <w:bCs/>
          <w:kern w:val="0"/>
        </w:rPr>
        <w:t>融合创新发展能力较弱。</w:t>
      </w:r>
      <w:r>
        <w:rPr>
          <w:rFonts w:hint="eastAsia" w:ascii="仿宋_GB2312" w:hAnsi="Times New Roman"/>
          <w:kern w:val="0"/>
        </w:rPr>
        <w:t>服务业产业创新能力不强，新业态新模式原创匮乏，新经济亮点不多，缺少影响力大、产业带动力强的平台型、总部型企业。互联网、物联网、大数据、</w:t>
      </w:r>
      <w:r>
        <w:rPr>
          <w:rFonts w:hint="eastAsia" w:ascii="Times New Roman" w:hAnsi="Times New Roman"/>
          <w:kern w:val="0"/>
        </w:rPr>
        <w:t>5G</w:t>
      </w:r>
      <w:r>
        <w:rPr>
          <w:rFonts w:hint="eastAsia" w:ascii="仿宋_GB2312" w:hAnsi="Times New Roman"/>
          <w:kern w:val="0"/>
        </w:rPr>
        <w:t>等新技术应用水平不高，信息化、智慧化水平有待提高。生产性服务业与制造业、农业等相关产业融合程度较低，线上智能服务平台培育不足，制造业研发中心、创新中心、检验检测等线下服务平台发展相对滞后。</w:t>
      </w:r>
    </w:p>
    <w:p>
      <w:pPr>
        <w:spacing w:line="560" w:lineRule="exact"/>
        <w:ind w:firstLine="640" w:firstLineChars="200"/>
        <w:contextualSpacing/>
        <w:rPr>
          <w:rFonts w:ascii="Times New Roman" w:hAnsi="Times New Roman"/>
          <w:kern w:val="0"/>
        </w:rPr>
      </w:pPr>
      <w:r>
        <w:rPr>
          <w:rFonts w:hint="eastAsia" w:ascii="仿宋_GB2312"/>
          <w:bCs/>
          <w:kern w:val="0"/>
        </w:rPr>
        <w:t>人力资源流失现象较重。</w:t>
      </w:r>
      <w:r>
        <w:rPr>
          <w:rFonts w:hint="eastAsia" w:ascii="仿宋_GB2312" w:hAnsi="Times New Roman"/>
          <w:kern w:val="0"/>
        </w:rPr>
        <w:t>我市是传统劳务输出大市，以青壮年为主的劳动力涌向北京、广州、郑州等经济发达城市，</w:t>
      </w:r>
      <w:r>
        <w:rPr>
          <w:rFonts w:hint="eastAsia" w:ascii="Times New Roman" w:hAnsi="Times New Roman"/>
          <w:kern w:val="0"/>
        </w:rPr>
        <w:t>2020</w:t>
      </w:r>
      <w:r>
        <w:rPr>
          <w:rFonts w:hint="eastAsia" w:ascii="仿宋_GB2312" w:hAnsi="Times New Roman"/>
          <w:kern w:val="0"/>
        </w:rPr>
        <w:t>年共有</w:t>
      </w:r>
      <w:r>
        <w:rPr>
          <w:rFonts w:hint="eastAsia" w:ascii="Times New Roman" w:hAnsi="Times New Roman"/>
          <w:kern w:val="0"/>
        </w:rPr>
        <w:t>232.5</w:t>
      </w:r>
      <w:r>
        <w:rPr>
          <w:rFonts w:hint="eastAsia" w:ascii="仿宋_GB2312" w:hAnsi="Times New Roman"/>
          <w:kern w:val="0"/>
        </w:rPr>
        <w:t>万农村劳动力外出务工，占我市总人口的</w:t>
      </w:r>
      <w:r>
        <w:rPr>
          <w:rFonts w:hint="eastAsia" w:ascii="Times New Roman" w:hAnsi="Times New Roman"/>
          <w:kern w:val="0"/>
        </w:rPr>
        <w:t>19%</w:t>
      </w:r>
      <w:r>
        <w:rPr>
          <w:rFonts w:hint="eastAsia" w:ascii="仿宋_GB2312" w:hAnsi="Times New Roman"/>
          <w:kern w:val="0"/>
        </w:rPr>
        <w:t>，农村青壮年劳动力外流现象严重。本地劳动力文化水平普遍较低，整体素质不高，无法满足产业结构优化调整对中高端服务业人才的需求，制约了南阳服务业发展质量的提升。</w:t>
      </w:r>
    </w:p>
    <w:p>
      <w:pPr>
        <w:spacing w:line="560" w:lineRule="exact"/>
        <w:ind w:firstLine="640" w:firstLineChars="200"/>
        <w:contextualSpacing/>
        <w:rPr>
          <w:rFonts w:ascii="Times New Roman" w:hAnsi="Times New Roman"/>
          <w:kern w:val="0"/>
        </w:rPr>
      </w:pPr>
      <w:r>
        <w:rPr>
          <w:rFonts w:hint="eastAsia" w:ascii="仿宋_GB2312"/>
          <w:bCs/>
          <w:kern w:val="0"/>
        </w:rPr>
        <w:t>发展体制机制有待完善。</w:t>
      </w:r>
      <w:r>
        <w:rPr>
          <w:rFonts w:hint="eastAsia" w:ascii="仿宋_GB2312" w:hAnsi="Times New Roman"/>
          <w:kern w:val="0"/>
        </w:rPr>
        <w:t>服务业点多面广，在行业管理方面涉及发展改革、教育、科技、交通、商务、旅游、金融、海关等多个部门，全市高效、有序的分工协作体制机制有待进一步完善。</w:t>
      </w:r>
      <w:r>
        <w:rPr>
          <w:rFonts w:hint="eastAsia" w:ascii="Times New Roman" w:hAnsi="Times New Roman"/>
          <w:kern w:val="0"/>
        </w:rPr>
        <w:t>“小、散、弱”的特点使服务业</w:t>
      </w:r>
      <w:r>
        <w:rPr>
          <w:rFonts w:hint="eastAsia" w:ascii="仿宋_GB2312" w:hAnsi="Times New Roman"/>
          <w:kern w:val="0"/>
        </w:rPr>
        <w:t>企业</w:t>
      </w:r>
      <w:r>
        <w:rPr>
          <w:rFonts w:hint="eastAsia" w:ascii="Times New Roman" w:hAnsi="Times New Roman"/>
          <w:kern w:val="0"/>
        </w:rPr>
        <w:t>“融资难”问题尤为突出，对不同发展阶段的服务业企业缺乏有针对性的扶持政策。新业态、新模式不断涌现，现有监管机制难以快速应对。</w:t>
      </w:r>
    </w:p>
    <w:p>
      <w:pPr>
        <w:pStyle w:val="7"/>
        <w:keepLines w:val="0"/>
        <w:autoSpaceDE w:val="0"/>
        <w:autoSpaceDN w:val="0"/>
        <w:spacing w:line="560" w:lineRule="exact"/>
        <w:contextualSpacing/>
        <w:jc w:val="center"/>
        <w:rPr>
          <w:rFonts w:ascii="Times New Roman" w:hAnsi="Times New Roman" w:eastAsia="楷体_GB2312"/>
          <w:b w:val="0"/>
          <w:szCs w:val="32"/>
        </w:rPr>
      </w:pPr>
      <w:bookmarkStart w:id="1297" w:name="_Toc99015557"/>
      <w:bookmarkEnd w:id="1297"/>
      <w:r>
        <w:rPr>
          <w:rFonts w:hint="eastAsia" w:ascii="楷体_GB2312" w:hAnsi="Times New Roman" w:eastAsia="楷体_GB2312"/>
          <w:b w:val="0"/>
          <w:bCs/>
        </w:rPr>
        <w:t>第三节</w:t>
      </w:r>
      <w:r>
        <w:rPr>
          <w:rFonts w:hint="eastAsia" w:ascii="Times New Roman" w:hAnsi="Times New Roman" w:eastAsia="楷体_GB2312"/>
          <w:b w:val="0"/>
          <w:bCs/>
        </w:rPr>
        <w:t xml:space="preserve"> </w:t>
      </w:r>
      <w:r>
        <w:rPr>
          <w:rFonts w:hint="eastAsia" w:ascii="楷体_GB2312" w:hAnsi="Times New Roman" w:eastAsia="楷体_GB2312"/>
          <w:b w:val="0"/>
          <w:bCs/>
        </w:rPr>
        <w:t>面临形势</w:t>
      </w:r>
    </w:p>
    <w:p>
      <w:pPr>
        <w:spacing w:line="560" w:lineRule="exact"/>
        <w:ind w:firstLine="640" w:firstLineChars="200"/>
        <w:contextualSpacing/>
        <w:rPr>
          <w:rFonts w:ascii="Times New Roman" w:hAnsi="Times New Roman"/>
          <w:kern w:val="0"/>
        </w:rPr>
      </w:pPr>
      <w:r>
        <w:rPr>
          <w:rFonts w:hint="eastAsia" w:ascii="仿宋_GB2312"/>
          <w:bCs/>
          <w:kern w:val="0"/>
        </w:rPr>
        <w:t>内循环释放新空间。</w:t>
      </w:r>
      <w:r>
        <w:rPr>
          <w:rFonts w:hint="eastAsia" w:ascii="仿宋_GB2312" w:hAnsi="Times New Roman"/>
          <w:kern w:val="0"/>
        </w:rPr>
        <w:t>党中央明确提出构建以国内大循环为主体、国内国际双循环相互促进的新发展格局。以国内大循环为主体，意味着必须牢牢把握扩大内需这个战略基点，着力打通国内生产、分配、流通、消费的各个环节，发挥中国超大规模市场优势和内需潜力，形成需求牵引供给、供给创造需求的互动发展格局。随着南阳全国性综合交通枢纽功能的不断凸显，能够进一步塑造人力资源、内需资本、流通经济、有效供给等服务业发展新优势。南阳建设河南省副中心城市这一战略的深入实施及居民生活水平的持续提升，未来服务业发展具有较大增长空间。</w:t>
      </w:r>
    </w:p>
    <w:p>
      <w:pPr>
        <w:spacing w:line="560" w:lineRule="exact"/>
        <w:ind w:firstLine="640" w:firstLineChars="200"/>
        <w:contextualSpacing/>
        <w:rPr>
          <w:rFonts w:ascii="Times New Roman" w:hAnsi="Times New Roman"/>
          <w:kern w:val="0"/>
        </w:rPr>
      </w:pPr>
      <w:r>
        <w:rPr>
          <w:rFonts w:hint="eastAsia" w:ascii="仿宋_GB2312"/>
          <w:bCs/>
          <w:kern w:val="0"/>
        </w:rPr>
        <w:t>融合化拓展新边界。</w:t>
      </w:r>
      <w:r>
        <w:rPr>
          <w:rFonts w:hint="eastAsia" w:ascii="仿宋_GB2312" w:hAnsi="Times New Roman"/>
          <w:kern w:val="0"/>
        </w:rPr>
        <w:t>随着消费需求的转型升级，产品和服务的边界日趋模糊，一些产业中原有的价值链不断被打破，并跨越各自独立的产业界线被整合成新的价值链，农业、制造业与服务业之间相互渗透并趋于融合，全产业价值链增值体系正逐步形成。同时，服务业内部融合态势也将更趋明显，生产性服务业、生活性服务业内部各自融合及交叉融合会不断演进，并进一步催生出一系列新业态。南阳产业跨界融合，生产服务化、经济服务化态势日趋明显，为服务业提升发展带来新契机。</w:t>
      </w:r>
    </w:p>
    <w:p>
      <w:pPr>
        <w:spacing w:line="560" w:lineRule="exact"/>
        <w:ind w:firstLine="640" w:firstLineChars="200"/>
        <w:contextualSpacing/>
        <w:rPr>
          <w:rFonts w:ascii="Times New Roman" w:hAnsi="Times New Roman"/>
          <w:kern w:val="0"/>
        </w:rPr>
      </w:pPr>
      <w:r>
        <w:rPr>
          <w:rFonts w:hint="eastAsia" w:ascii="仿宋_GB2312"/>
          <w:bCs/>
          <w:kern w:val="0"/>
        </w:rPr>
        <w:t>品质化激活新动能。</w:t>
      </w:r>
      <w:r>
        <w:rPr>
          <w:rFonts w:hint="eastAsia" w:ascii="仿宋_GB2312" w:hAnsi="Times New Roman"/>
          <w:kern w:val="0"/>
        </w:rPr>
        <w:t>随着社会分工不断演进，服务市场日益细分，生产性服务业向专业化延伸，将进一步紧扣产业价值链的核心环节，更深层次探索以技术、模式创新推进产业向中高端攀升；生活性服务业向精细化转变，将在迎合消费升级的现实需求中持续推进产品、业态创新，通过服务业态细分、服务质量提升、服务品牌构建等实现向高品质转变。伴随消费结构升级以及消费需求多样化、个性化趋势，服务业供给结构总体上将呈现出品质化与专业化发展态势。</w:t>
      </w:r>
    </w:p>
    <w:p>
      <w:pPr>
        <w:spacing w:line="560" w:lineRule="exact"/>
        <w:ind w:firstLine="640" w:firstLineChars="200"/>
        <w:contextualSpacing/>
        <w:rPr>
          <w:rFonts w:ascii="Times New Roman" w:hAnsi="Times New Roman"/>
          <w:kern w:val="0"/>
        </w:rPr>
      </w:pPr>
      <w:r>
        <w:rPr>
          <w:rFonts w:hint="eastAsia" w:ascii="仿宋_GB2312"/>
          <w:bCs/>
          <w:kern w:val="0"/>
        </w:rPr>
        <w:t>数字化点燃新引擎。</w:t>
      </w:r>
      <w:r>
        <w:rPr>
          <w:rFonts w:hint="eastAsia" w:ascii="仿宋_GB2312" w:hAnsi="Times New Roman"/>
          <w:kern w:val="0"/>
        </w:rPr>
        <w:t>在新一轮科技革命的推动下，伴随着智能终端的普及和数字化、网络化、智能化发展，服务业与科技、互联网、大数据等产业的深度融合态势更加明显，服务网络化、平台化全面推进，数字化服务、数字化贸易、数字化消费逐渐成为常态。随着南阳建设先进制造业强市、城市发展向新型城镇化推进、社会治理向</w:t>
      </w:r>
      <w:r>
        <w:rPr>
          <w:rFonts w:hint="eastAsia" w:ascii="Times New Roman" w:hAnsi="Times New Roman"/>
          <w:kern w:val="0"/>
        </w:rPr>
        <w:t>“两智融合”迈进，数字技术发展和应用场景将不断丰富，数字化进程将持续加快推进，为我市服务业的转型升级和高质量发展注入新动力。</w:t>
      </w:r>
    </w:p>
    <w:p>
      <w:pPr>
        <w:spacing w:line="560" w:lineRule="exact"/>
        <w:ind w:firstLine="640" w:firstLineChars="200"/>
        <w:contextualSpacing/>
        <w:rPr>
          <w:rFonts w:ascii="Times New Roman" w:hAnsi="Times New Roman"/>
          <w:kern w:val="0"/>
        </w:rPr>
      </w:pPr>
      <w:r>
        <w:rPr>
          <w:rFonts w:hint="eastAsia" w:ascii="仿宋_GB2312"/>
          <w:bCs/>
          <w:kern w:val="0"/>
        </w:rPr>
        <w:t>一体化构筑新格局。</w:t>
      </w:r>
      <w:r>
        <w:rPr>
          <w:rFonts w:hint="eastAsia" w:ascii="仿宋_GB2312" w:hAnsi="Times New Roman"/>
          <w:kern w:val="0"/>
        </w:rPr>
        <w:t>中部地区高质量发展、汉江生态经济带、淮河生态经济带、大别山革命老区振兴发展等重大战略形成叠加效应，我市将面临千载难逢的历史机遇。建设河南省副中心城市，我市既可以弥补周边中心城市辐射带动力衰竭的难题，又可以带动豫鄂陕交界区一体化发展、区域协调发展、高质量互动发展。其产业支撑带动能力将进一步增强，服务业政策体系和营商环境将持续完善和优化，有利于面向更为广阔的市场，在更大范围、更高层次参与区域分工与合作，有利于嫁接和利用大城市和中心城市的现代服务业资源，提升本地服务业发展能级。</w:t>
      </w:r>
    </w:p>
    <w:p>
      <w:pPr>
        <w:autoSpaceDE w:val="0"/>
        <w:autoSpaceDN w:val="0"/>
        <w:spacing w:line="560" w:lineRule="exact"/>
        <w:ind w:firstLine="640" w:firstLineChars="200"/>
        <w:contextualSpacing/>
        <w:rPr>
          <w:rFonts w:ascii="Times New Roman" w:hAnsi="Times New Roman"/>
          <w:kern w:val="0"/>
        </w:rPr>
      </w:pPr>
      <w:r>
        <w:rPr>
          <w:rFonts w:hint="eastAsia" w:ascii="仿宋_GB2312" w:hAnsi="Times New Roman"/>
          <w:kern w:val="0"/>
        </w:rPr>
        <w:t>综合研判，在当前形势下，我市服务业的发展虽然面临一定挑战，但数字技术的大发展、消费结构的大升级、传统产业的大转型、区域发展的大协同、产业之间的大融合等都为服务业高质量发展提供了新机遇。</w:t>
      </w:r>
      <w:bookmarkStart w:id="1298" w:name="_Toc22766"/>
      <w:bookmarkEnd w:id="1298"/>
    </w:p>
    <w:p>
      <w:pPr>
        <w:pStyle w:val="6"/>
        <w:keepLines w:val="0"/>
        <w:autoSpaceDE w:val="0"/>
        <w:autoSpaceDN w:val="0"/>
        <w:spacing w:line="560" w:lineRule="exact"/>
        <w:ind w:firstLine="0" w:firstLineChars="0"/>
        <w:contextualSpacing/>
        <w:jc w:val="center"/>
        <w:rPr>
          <w:rFonts w:ascii="Times New Roman" w:hAnsi="Times New Roman"/>
          <w:kern w:val="0"/>
          <w:szCs w:val="32"/>
        </w:rPr>
      </w:pPr>
      <w:bookmarkStart w:id="1299" w:name="_Toc99015558"/>
      <w:bookmarkEnd w:id="1299"/>
      <w:r>
        <w:rPr>
          <w:rFonts w:hint="eastAsia" w:ascii="黑体" w:hAnsi="黑体"/>
          <w:bCs/>
          <w:kern w:val="0"/>
          <w:szCs w:val="32"/>
        </w:rPr>
        <w:t>第二章</w:t>
      </w:r>
      <w:r>
        <w:rPr>
          <w:rFonts w:hint="eastAsia" w:ascii="Times New Roman" w:hAnsi="Times New Roman"/>
          <w:bCs/>
          <w:kern w:val="0"/>
          <w:szCs w:val="32"/>
        </w:rPr>
        <w:t xml:space="preserve"> </w:t>
      </w:r>
      <w:r>
        <w:rPr>
          <w:rFonts w:hint="eastAsia" w:ascii="黑体" w:hAnsi="黑体"/>
          <w:bCs/>
          <w:kern w:val="0"/>
          <w:szCs w:val="32"/>
        </w:rPr>
        <w:t>明确总体要求，谋划服务业发展新蓝图</w:t>
      </w:r>
    </w:p>
    <w:p>
      <w:pPr>
        <w:pStyle w:val="7"/>
        <w:keepLines w:val="0"/>
        <w:autoSpaceDE w:val="0"/>
        <w:autoSpaceDN w:val="0"/>
        <w:spacing w:line="560" w:lineRule="exact"/>
        <w:contextualSpacing/>
        <w:jc w:val="center"/>
        <w:rPr>
          <w:rFonts w:ascii="Times New Roman" w:hAnsi="Times New Roman" w:eastAsia="楷体_GB2312"/>
          <w:b w:val="0"/>
          <w:bCs/>
          <w:szCs w:val="32"/>
        </w:rPr>
      </w:pPr>
      <w:bookmarkStart w:id="1300" w:name="_Toc99015559"/>
      <w:bookmarkEnd w:id="1300"/>
      <w:r>
        <w:rPr>
          <w:rFonts w:hint="eastAsia" w:ascii="楷体_GB2312" w:hAnsi="Times New Roman" w:eastAsia="楷体_GB2312"/>
          <w:b w:val="0"/>
          <w:bCs/>
        </w:rPr>
        <w:t>第一节</w:t>
      </w:r>
      <w:r>
        <w:rPr>
          <w:rFonts w:hint="eastAsia" w:ascii="Times New Roman" w:hAnsi="Times New Roman" w:eastAsia="楷体_GB2312"/>
          <w:b w:val="0"/>
          <w:bCs/>
        </w:rPr>
        <w:t xml:space="preserve"> </w:t>
      </w:r>
      <w:r>
        <w:rPr>
          <w:rFonts w:hint="eastAsia" w:ascii="楷体_GB2312" w:hAnsi="Times New Roman" w:eastAsia="楷体_GB2312"/>
          <w:b w:val="0"/>
          <w:bCs/>
        </w:rPr>
        <w:t>指导思想</w:t>
      </w:r>
    </w:p>
    <w:p>
      <w:pPr>
        <w:autoSpaceDE w:val="0"/>
        <w:autoSpaceDN w:val="0"/>
        <w:spacing w:line="560" w:lineRule="exact"/>
        <w:ind w:firstLine="640" w:firstLineChars="200"/>
        <w:contextualSpacing/>
        <w:rPr>
          <w:rFonts w:ascii="Times New Roman" w:hAnsi="Times New Roman"/>
          <w:kern w:val="0"/>
        </w:rPr>
      </w:pPr>
      <w:r>
        <w:rPr>
          <w:rFonts w:hint="eastAsia" w:ascii="仿宋_GB2312" w:hAnsi="Times New Roman"/>
          <w:kern w:val="0"/>
        </w:rPr>
        <w:t>以习近平新时代中国特色社会主义思想为指导，全面贯彻党的十九大和十九届历次全会精神，深入贯彻落实习近平总书记考察南阳重要讲话重要指示，科学把握新发展阶段、坚定贯彻新发展理念、主动融入新发展格局，以推动服务业高质量发展为主题，以深化服务业供给侧结构性改革为主线，着力推动生产性服务业向专业化和价值链高端延伸，着力推动生活性服务业向高品质和精细化转变，积极培育服务业新业态新模式，持续推进服务领域改革开放，全力推动载体平台提质增效，加快构建</w:t>
      </w:r>
      <w:r>
        <w:rPr>
          <w:rFonts w:hint="eastAsia" w:ascii="Times New Roman" w:hAnsi="Times New Roman"/>
          <w:kern w:val="0"/>
        </w:rPr>
        <w:t>“一主一副十极多点”的服务业新格局，加快建立功能完备、优质高效、布局优化、特色鲜明的现代服务业新体系，全面提升现代服务业竞争新优势，不断满足产业转型升级需求和人民美好生活需要，为我市建设河南省副中心城市提供有力支撑。</w:t>
      </w:r>
    </w:p>
    <w:p>
      <w:pPr>
        <w:pStyle w:val="7"/>
        <w:keepLines w:val="0"/>
        <w:autoSpaceDE w:val="0"/>
        <w:autoSpaceDN w:val="0"/>
        <w:spacing w:line="560" w:lineRule="exact"/>
        <w:contextualSpacing/>
        <w:jc w:val="center"/>
        <w:rPr>
          <w:rFonts w:ascii="Times New Roman" w:hAnsi="Times New Roman" w:eastAsia="楷体_GB2312"/>
          <w:b w:val="0"/>
          <w:szCs w:val="32"/>
        </w:rPr>
      </w:pPr>
      <w:bookmarkStart w:id="1301" w:name="_Toc99015560"/>
      <w:bookmarkEnd w:id="1301"/>
      <w:r>
        <w:rPr>
          <w:rFonts w:hint="eastAsia" w:ascii="楷体_GB2312" w:hAnsi="Times New Roman" w:eastAsia="楷体_GB2312"/>
          <w:b w:val="0"/>
          <w:bCs/>
        </w:rPr>
        <w:t>第二节基本原则</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——以人为本，优化供给。</w:t>
      </w:r>
      <w:r>
        <w:rPr>
          <w:rFonts w:hint="eastAsia" w:ascii="仿宋_GB2312" w:hAnsi="Times New Roman"/>
          <w:kern w:val="0"/>
        </w:rPr>
        <w:t>坚持以人民为中心的发展思想，更多更好满足多层次多样化服务需求，不断增强人民群众的获得感、幸福感、安全感。优先补足基本公共服务短板，着力增强非基本公共服务市场化供给能力，实现服务付费可得、价格合理、优质安全，以高质量的服务供给催生创造新的服务需求。</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——市场导向，品牌引领。</w:t>
      </w:r>
      <w:r>
        <w:rPr>
          <w:rFonts w:hint="eastAsia" w:ascii="仿宋_GB2312" w:hAnsi="Times New Roman"/>
          <w:kern w:val="0"/>
        </w:rPr>
        <w:t>顺应产业转型升级新趋势，充分发挥市场配置资源的决定性作用，更好发挥政府作用，在公平竞争中提升服务业竞争力。坚持质量至上、标准规范，树立服务品牌意识，发挥品牌对服务业高质量发展的引领带动作用，着力塑造南阳服务品牌新形象。</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——核心带动，集聚发展。</w:t>
      </w:r>
      <w:r>
        <w:rPr>
          <w:rFonts w:hint="eastAsia" w:ascii="仿宋_GB2312" w:hAnsi="Times New Roman"/>
          <w:kern w:val="0"/>
        </w:rPr>
        <w:t>优化整合市域各类资源，加快推进服务业生产要素空间重构，着力提升中心城区集聚辐射能力，统筹协调中心城区、组团及其它县区功能定位和产业发展。突出特色化、专业化、错位化，引导服务业企业向园区集聚，培育和提升现代服务业开发区，强化各类服务业载体区域服务功能，加快打造高端服务平台和特色服务业集群，实现规模效益提升和多元化特色化发展。</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——创新驱动，跨界融合。</w:t>
      </w:r>
      <w:r>
        <w:rPr>
          <w:rFonts w:hint="eastAsia" w:ascii="仿宋_GB2312" w:hAnsi="Times New Roman"/>
          <w:kern w:val="0"/>
        </w:rPr>
        <w:t>贯彻创新驱动发展战略，加快服务业数字赋能，推动服务技术、理念、业态和模式创新，增强服务经济发展新动能。促进服务业与农业、制造业及服务业不同领域间的跨界融合发展，形成有利于提升我市工业制造、现代农业等产业核心竞争力的服务能力和服务模式，在服务和引领产业转型发展中提升服务业发展质量和效益。</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——深化改革，扩大开放。</w:t>
      </w:r>
      <w:r>
        <w:rPr>
          <w:rFonts w:hint="eastAsia" w:ascii="仿宋_GB2312" w:hAnsi="Times New Roman"/>
          <w:kern w:val="0"/>
        </w:rPr>
        <w:t>持续深化服务领域改革，破除制约服务业高质量发展的体制机制障碍，优化政策体系和发展环境，最大限度激发发展活力和潜力。积极融入国内国际双循环，推动服务业在更大范围、更宽领域、更深层次扩大开放，深度参与国内国际分工合作，优化服务资源配置，全面开拓新兴市场。</w:t>
      </w:r>
    </w:p>
    <w:p>
      <w:pPr>
        <w:pStyle w:val="7"/>
        <w:keepLines w:val="0"/>
        <w:autoSpaceDE w:val="0"/>
        <w:autoSpaceDN w:val="0"/>
        <w:spacing w:line="560" w:lineRule="exact"/>
        <w:contextualSpacing/>
        <w:jc w:val="center"/>
        <w:rPr>
          <w:rFonts w:ascii="Times New Roman" w:hAnsi="Times New Roman" w:eastAsia="楷体_GB2312"/>
          <w:b w:val="0"/>
          <w:szCs w:val="32"/>
        </w:rPr>
      </w:pPr>
      <w:bookmarkStart w:id="1302" w:name="_Toc99015561"/>
      <w:bookmarkEnd w:id="1302"/>
      <w:r>
        <w:rPr>
          <w:rFonts w:hint="eastAsia" w:ascii="楷体_GB2312" w:hAnsi="Times New Roman" w:eastAsia="楷体_GB2312"/>
          <w:b w:val="0"/>
          <w:bCs/>
        </w:rPr>
        <w:t>第三节</w:t>
      </w:r>
      <w:r>
        <w:rPr>
          <w:rFonts w:hint="eastAsia" w:ascii="Times New Roman" w:hAnsi="Times New Roman" w:eastAsia="楷体_GB2312"/>
          <w:b w:val="0"/>
          <w:bCs/>
        </w:rPr>
        <w:t xml:space="preserve"> </w:t>
      </w:r>
      <w:r>
        <w:rPr>
          <w:rFonts w:hint="eastAsia" w:ascii="楷体_GB2312" w:hAnsi="Times New Roman" w:eastAsia="楷体_GB2312"/>
          <w:b w:val="0"/>
          <w:bCs/>
        </w:rPr>
        <w:t>功能定位</w:t>
      </w:r>
    </w:p>
    <w:p>
      <w:pPr>
        <w:autoSpaceDE w:val="0"/>
        <w:autoSpaceDN w:val="0"/>
        <w:spacing w:line="560" w:lineRule="exact"/>
        <w:ind w:firstLine="640" w:firstLineChars="200"/>
        <w:contextualSpacing/>
        <w:rPr>
          <w:rFonts w:ascii="Times New Roman" w:hAnsi="Times New Roman"/>
          <w:kern w:val="0"/>
        </w:rPr>
      </w:pPr>
      <w:r>
        <w:rPr>
          <w:rFonts w:hint="eastAsia" w:ascii="仿宋_GB2312" w:hAnsi="Times New Roman"/>
          <w:kern w:val="0"/>
        </w:rPr>
        <w:t>以提高我市在河南省以及豫鄂陕省际经济活动的影响力、资源配置能力和消费吸附能力为导向，聚焦省域副中心城市核心服务功能培育，全力打响</w:t>
      </w:r>
      <w:r>
        <w:rPr>
          <w:rFonts w:hint="eastAsia" w:ascii="Times New Roman" w:hAnsi="Times New Roman"/>
          <w:kern w:val="0"/>
        </w:rPr>
        <w:t>“南阳服务”品牌，加快建设省域生产性服务业新高地</w:t>
      </w:r>
      <w:r>
        <w:rPr>
          <w:rFonts w:hint="eastAsia" w:ascii="仿宋_GB2312" w:hAnsi="Times New Roman"/>
          <w:kern w:val="0"/>
        </w:rPr>
        <w:t>、区域科技创新中心、全国性现代商贸物流中心、国家中医药综合改革试验区、国内知名生态文化旅游目的地。</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——省域生产性服务业新高地。</w:t>
      </w:r>
      <w:r>
        <w:rPr>
          <w:rFonts w:hint="eastAsia" w:ascii="仿宋_GB2312" w:hAnsi="Times New Roman"/>
          <w:kern w:val="0"/>
        </w:rPr>
        <w:t>围绕制造产业链部署生产服务链，进一步优化生产服务资源配置，促进先进制造业与现代服务业有机融合，推动生产性服务业专业化、特色化、集聚化发展，发展壮大总部经济、信息服务、现代金融、研发设计、检测认证、人力资源等生产性服务业，培育一批具有影响力的生产性服务业开发区，做强做优生产性服务业产业链，打造具有较强影响力的省域生产性服务业新高地。</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——区域科技创新中心。</w:t>
      </w:r>
      <w:r>
        <w:rPr>
          <w:rFonts w:hint="eastAsia" w:ascii="仿宋_GB2312" w:hAnsi="Times New Roman"/>
          <w:kern w:val="0"/>
        </w:rPr>
        <w:t>以促进科技服务业与产业融合创新为目标，加快构建以企业为主体、市场为导向、产学研用深度融合的技术创新体系，全面激发创新活力，加速创新要素集聚，加快建设高能级科创平台，加大研发投入力度，着力推动科技成果转移转化，持续增强科技创新对经济发展的支撑作用，高质量建设区域科技创新中心，成为更具影响力的国家创新型城市。</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——全国性现代商贸物流中心。</w:t>
      </w:r>
      <w:r>
        <w:rPr>
          <w:rFonts w:hint="eastAsia" w:ascii="仿宋_GB2312" w:hAnsi="Times New Roman"/>
          <w:kern w:val="0"/>
        </w:rPr>
        <w:t>充分发挥国家商贸服务型物流枢纽承载城市、全国二级物流节点城市等优势，立足打造人流、物流、信息流等要素市场一体化，推动</w:t>
      </w:r>
      <w:r>
        <w:rPr>
          <w:rFonts w:hint="eastAsia" w:ascii="Times New Roman" w:hAnsi="Times New Roman"/>
          <w:kern w:val="0"/>
        </w:rPr>
        <w:t>“空铁公水”交通统筹发展，建设现代化立体综合交通网络，着力推动交通区位优势向枢纽经济优势转变，培育壮大现代物流企业，发展流通新技术新业态新模式，构建辐射豫鄂陕交界区域、连通中原地区、通达全国的现代物流网络，打造集聚效应强、服务功能优、运行效率高的全国性现代商贸物流中心。</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——国家中医药综合改革试验区。</w:t>
      </w:r>
      <w:r>
        <w:rPr>
          <w:rFonts w:hint="eastAsia" w:ascii="仿宋_GB2312" w:hAnsi="Times New Roman"/>
          <w:kern w:val="0"/>
        </w:rPr>
        <w:t>充分发挥医圣故里品牌和资源优势，深入发掘中医名医、经典名方、道地药材等中医药宝贵资源，实施仲景文化品牌铸造工程，擦亮中医药历史文化品牌，加快建设医圣祠文化园、国家中医区域医疗中心、市中医院新院区等重大项目，打造</w:t>
      </w:r>
      <w:r>
        <w:rPr>
          <w:rFonts w:hint="eastAsia" w:ascii="Times New Roman" w:hAnsi="Times New Roman"/>
          <w:kern w:val="0"/>
        </w:rPr>
        <w:t>“全球中医圣地、全国中医高地、全国中医药名都”，推动中医药事业、产业高质量发展，巩固南阳在全国中医药领域的领先地位，建设国家中医药综合改革试验区。</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——国内知名生态文化旅游目的地。</w:t>
      </w:r>
      <w:r>
        <w:rPr>
          <w:rFonts w:hint="eastAsia" w:ascii="仿宋_GB2312" w:hAnsi="Times New Roman"/>
          <w:kern w:val="0"/>
        </w:rPr>
        <w:t>以争创国家文化和旅游产业融合发展示范区、国家文化和旅游消费示范城市、全域旅游示范区、夜间文化和旅游消费集聚区、中医药健康旅游示范区为核心，以山水生态为基底，打响楚汉文化、</w:t>
      </w:r>
      <w:r>
        <w:rPr>
          <w:rFonts w:hint="eastAsia" w:ascii="Times New Roman" w:hAnsi="Times New Roman"/>
          <w:kern w:val="0"/>
        </w:rPr>
        <w:t>“四圣”文化、官德文化、三国文化、红色文化、商埠文化、根亲文化等文化品牌，做好“文史、山水、源起、圣贤”四篇文章，推动文旅产业提档升级，加快建设国内知名生态文化旅游目的地、全国健康养生之都。</w:t>
      </w:r>
    </w:p>
    <w:p>
      <w:pPr>
        <w:pStyle w:val="7"/>
        <w:keepLines w:val="0"/>
        <w:autoSpaceDE w:val="0"/>
        <w:autoSpaceDN w:val="0"/>
        <w:spacing w:line="560" w:lineRule="exact"/>
        <w:contextualSpacing/>
        <w:jc w:val="center"/>
        <w:rPr>
          <w:rFonts w:ascii="Times New Roman" w:hAnsi="Times New Roman" w:eastAsia="楷体_GB2312"/>
          <w:b w:val="0"/>
          <w:szCs w:val="32"/>
        </w:rPr>
      </w:pPr>
      <w:bookmarkStart w:id="1303" w:name="_Toc99015562"/>
      <w:bookmarkEnd w:id="1303"/>
      <w:r>
        <w:rPr>
          <w:rFonts w:hint="eastAsia" w:ascii="楷体_GB2312" w:hAnsi="Times New Roman" w:eastAsia="楷体_GB2312"/>
          <w:b w:val="0"/>
          <w:bCs/>
        </w:rPr>
        <w:t>第四节</w:t>
      </w:r>
      <w:r>
        <w:rPr>
          <w:rFonts w:hint="eastAsia" w:ascii="Times New Roman" w:hAnsi="Times New Roman" w:eastAsia="楷体_GB2312"/>
          <w:b w:val="0"/>
          <w:bCs/>
        </w:rPr>
        <w:t xml:space="preserve"> </w:t>
      </w:r>
      <w:r>
        <w:rPr>
          <w:rFonts w:hint="eastAsia" w:ascii="楷体_GB2312" w:hAnsi="Times New Roman" w:eastAsia="楷体_GB2312"/>
          <w:b w:val="0"/>
          <w:bCs/>
        </w:rPr>
        <w:t>发展目标</w:t>
      </w:r>
    </w:p>
    <w:p>
      <w:pPr>
        <w:autoSpaceDE w:val="0"/>
        <w:autoSpaceDN w:val="0"/>
        <w:spacing w:line="560" w:lineRule="exact"/>
        <w:ind w:firstLine="640" w:firstLineChars="200"/>
        <w:contextualSpacing/>
        <w:rPr>
          <w:rFonts w:ascii="Times New Roman" w:hAnsi="Times New Roman"/>
          <w:kern w:val="0"/>
        </w:rPr>
      </w:pPr>
      <w:r>
        <w:rPr>
          <w:rFonts w:hint="eastAsia" w:ascii="仿宋_GB2312" w:hAnsi="Times New Roman"/>
          <w:kern w:val="0"/>
        </w:rPr>
        <w:t>到</w:t>
      </w:r>
      <w:r>
        <w:rPr>
          <w:rFonts w:hint="eastAsia" w:ascii="Times New Roman" w:hAnsi="Times New Roman"/>
          <w:kern w:val="0"/>
        </w:rPr>
        <w:t>2025</w:t>
      </w:r>
      <w:r>
        <w:rPr>
          <w:rFonts w:hint="eastAsia" w:ascii="仿宋_GB2312" w:hAnsi="Times New Roman"/>
          <w:kern w:val="0"/>
        </w:rPr>
        <w:t>年，全市服务业总量规模不断扩大，生产性服务业向专业化和价值链高端延伸，生活性服务业向高品质和多样化升级，新兴服务业加快培育，新业态新模式蓬勃发展，服务产业转型升级的支撑能力和满足消费需求升级的供给能力进一步提升，基本成为现代服务业大市。</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——规模总量迈上新台阶。</w:t>
      </w:r>
      <w:r>
        <w:rPr>
          <w:rFonts w:hint="eastAsia" w:ascii="Times New Roman" w:hAnsi="Times New Roman"/>
          <w:kern w:val="0"/>
        </w:rPr>
        <w:t>“十四五”时期，全市服务业增加值年均增长10%</w:t>
      </w:r>
      <w:r>
        <w:rPr>
          <w:rFonts w:hint="eastAsia" w:ascii="仿宋_GB2312" w:hAnsi="Times New Roman"/>
          <w:kern w:val="0"/>
        </w:rPr>
        <w:t>左右，服务业固定资产投资年均增长</w:t>
      </w:r>
      <w:r>
        <w:rPr>
          <w:rFonts w:hint="eastAsia" w:ascii="Times New Roman" w:hAnsi="Times New Roman"/>
          <w:kern w:val="0"/>
        </w:rPr>
        <w:t>15%</w:t>
      </w:r>
      <w:r>
        <w:rPr>
          <w:rFonts w:hint="eastAsia" w:ascii="仿宋_GB2312" w:hAnsi="Times New Roman"/>
          <w:kern w:val="0"/>
        </w:rPr>
        <w:t>左右，服务业从业人员占全社会从业人员比重达到</w:t>
      </w:r>
      <w:r>
        <w:rPr>
          <w:rFonts w:hint="eastAsia" w:ascii="Times New Roman" w:hAnsi="Times New Roman"/>
          <w:kern w:val="0"/>
        </w:rPr>
        <w:t>42%</w:t>
      </w:r>
      <w:r>
        <w:rPr>
          <w:rFonts w:hint="eastAsia" w:ascii="仿宋_GB2312" w:hAnsi="Times New Roman"/>
          <w:kern w:val="0"/>
        </w:rPr>
        <w:t>左右，服务业税收稳步提升。</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——质量效益跃上新水平。</w:t>
      </w:r>
      <w:r>
        <w:rPr>
          <w:rFonts w:hint="eastAsia" w:ascii="仿宋_GB2312" w:hAnsi="Times New Roman"/>
          <w:kern w:val="0"/>
        </w:rPr>
        <w:t>现代金融、科技服务、信息技术服务等资金和技术密集型服务业支撑产业转型发展能力不断提升，文化旅游、健康养老、家政服务等传统服务业供需协调性持续增强，新兴服务业创新发展水平和规模占比显著提高。</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——载体建设呈现新亮点。</w:t>
      </w:r>
      <w:r>
        <w:rPr>
          <w:rFonts w:hint="eastAsia" w:ascii="仿宋_GB2312" w:hAnsi="Times New Roman"/>
          <w:kern w:val="0"/>
        </w:rPr>
        <w:t>现代服务业开发区、服务业专业园区集聚水平显著提升，辐射带动能力全面增强。到</w:t>
      </w:r>
      <w:r>
        <w:rPr>
          <w:rFonts w:hint="eastAsia" w:ascii="Times New Roman" w:hAnsi="Times New Roman"/>
          <w:kern w:val="0"/>
        </w:rPr>
        <w:t>2025</w:t>
      </w:r>
      <w:r>
        <w:rPr>
          <w:rFonts w:hint="eastAsia" w:ascii="仿宋_GB2312" w:hAnsi="Times New Roman"/>
          <w:kern w:val="0"/>
        </w:rPr>
        <w:t>年，力争培育营业收入超百亿的服务业集群</w:t>
      </w:r>
      <w:r>
        <w:rPr>
          <w:rFonts w:hint="eastAsia" w:ascii="Times New Roman" w:hAnsi="Times New Roman"/>
          <w:kern w:val="0"/>
        </w:rPr>
        <w:t>1</w:t>
      </w:r>
      <w:r>
        <w:rPr>
          <w:rFonts w:hint="eastAsia" w:ascii="仿宋_GB2312" w:hAnsi="Times New Roman"/>
          <w:kern w:val="0"/>
        </w:rPr>
        <w:t>个，规模以上服务业企业达到</w:t>
      </w:r>
      <w:r>
        <w:rPr>
          <w:rFonts w:hint="eastAsia" w:ascii="Times New Roman" w:hAnsi="Times New Roman"/>
          <w:kern w:val="0"/>
        </w:rPr>
        <w:t>800</w:t>
      </w:r>
      <w:r>
        <w:rPr>
          <w:rFonts w:hint="eastAsia" w:ascii="仿宋_GB2312" w:hAnsi="Times New Roman"/>
          <w:kern w:val="0"/>
        </w:rPr>
        <w:t>家以上。</w:t>
      </w:r>
    </w:p>
    <w:p>
      <w:pPr>
        <w:autoSpaceDE w:val="0"/>
        <w:autoSpaceDN w:val="0"/>
        <w:spacing w:line="560" w:lineRule="exact"/>
        <w:ind w:firstLine="640" w:firstLineChars="200"/>
        <w:contextualSpacing/>
        <w:rPr>
          <w:rFonts w:ascii="仿宋_GB2312" w:hAnsi="Times New Roman"/>
          <w:kern w:val="0"/>
        </w:rPr>
      </w:pPr>
      <w:r>
        <w:rPr>
          <w:rFonts w:hint="eastAsia" w:ascii="仿宋_GB2312"/>
          <w:bCs/>
          <w:kern w:val="0"/>
        </w:rPr>
        <w:t>——改革开放取得新突破。</w:t>
      </w:r>
      <w:r>
        <w:rPr>
          <w:rFonts w:hint="eastAsia" w:ascii="仿宋_GB2312" w:hAnsi="Times New Roman"/>
          <w:kern w:val="0"/>
        </w:rPr>
        <w:t>服务业重点领域改革取得积极进展，开放水平进一步提升，服务贸易进出口额年均增长</w:t>
      </w:r>
      <w:r>
        <w:rPr>
          <w:rFonts w:hint="eastAsia" w:ascii="Times New Roman" w:hAnsi="Times New Roman"/>
          <w:kern w:val="0"/>
        </w:rPr>
        <w:t>8%</w:t>
      </w:r>
      <w:r>
        <w:rPr>
          <w:rFonts w:hint="eastAsia" w:ascii="仿宋_GB2312" w:hAnsi="Times New Roman"/>
          <w:kern w:val="0"/>
        </w:rPr>
        <w:t>左右，服务业吸收外资年均增长</w:t>
      </w:r>
      <w:r>
        <w:rPr>
          <w:rFonts w:hint="eastAsia" w:ascii="Times New Roman" w:hAnsi="Times New Roman"/>
          <w:kern w:val="0"/>
        </w:rPr>
        <w:t>10%</w:t>
      </w:r>
      <w:r>
        <w:rPr>
          <w:rFonts w:hint="eastAsia" w:ascii="仿宋_GB2312" w:hAnsi="Times New Roman"/>
          <w:kern w:val="0"/>
        </w:rPr>
        <w:t>左右，培育一批具有影响力并在市场发挥重要作用的骨干企业。</w:t>
      </w:r>
    </w:p>
    <w:p>
      <w:pPr>
        <w:pStyle w:val="2"/>
        <w:ind w:firstLine="640"/>
      </w:pPr>
    </w:p>
    <w:tbl>
      <w:tblPr>
        <w:tblStyle w:val="26"/>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8"/>
        <w:gridCol w:w="869"/>
        <w:gridCol w:w="3670"/>
        <w:gridCol w:w="889"/>
        <w:gridCol w:w="1223"/>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889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560" w:lineRule="exact"/>
              <w:contextualSpacing/>
              <w:jc w:val="center"/>
              <w:rPr>
                <w:rFonts w:ascii="黑体" w:hAnsi="黑体" w:eastAsia="黑体" w:cs="仿宋"/>
                <w:bCs/>
                <w:sz w:val="24"/>
                <w:szCs w:val="24"/>
              </w:rPr>
            </w:pPr>
            <w:r>
              <w:rPr>
                <w:rFonts w:hint="eastAsia" w:ascii="黑体" w:hAnsi="黑体" w:eastAsia="黑体"/>
                <w:sz w:val="28"/>
                <w:szCs w:val="28"/>
              </w:rPr>
              <w:t>表</w:t>
            </w:r>
            <w:r>
              <w:rPr>
                <w:rFonts w:hint="eastAsia" w:ascii="Times New Roman" w:hAnsi="Times New Roman" w:eastAsia="黑体"/>
                <w:sz w:val="28"/>
                <w:szCs w:val="28"/>
              </w:rPr>
              <w:t>1</w:t>
            </w:r>
            <w:r>
              <w:rPr>
                <w:rFonts w:hint="eastAsia" w:ascii="黑体" w:hAnsi="黑体" w:eastAsia="黑体"/>
                <w:sz w:val="28"/>
                <w:szCs w:val="28"/>
              </w:rPr>
              <w:t>：</w:t>
            </w:r>
            <w:r>
              <w:rPr>
                <w:rFonts w:hint="eastAsia" w:ascii="黑体" w:hAnsi="黑体" w:eastAsia="黑体"/>
                <w:kern w:val="0"/>
                <w:sz w:val="28"/>
                <w:szCs w:val="28"/>
              </w:rPr>
              <w:t>南阳市</w:t>
            </w:r>
            <w:r>
              <w:rPr>
                <w:rFonts w:hint="eastAsia" w:ascii="Times New Roman" w:hAnsi="Times New Roman" w:eastAsia="黑体"/>
                <w:kern w:val="0"/>
                <w:sz w:val="28"/>
                <w:szCs w:val="28"/>
              </w:rPr>
              <w:t>“十四五”现代服务业主要发展指标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blHeader/>
          <w:jc w:val="center"/>
        </w:trPr>
        <w:tc>
          <w:tcPr>
            <w:tcW w:w="1008"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黑体" w:hAnsi="黑体" w:eastAsia="黑体" w:cs="仿宋"/>
                <w:bCs/>
                <w:sz w:val="24"/>
                <w:szCs w:val="24"/>
              </w:rPr>
            </w:pPr>
            <w:r>
              <w:rPr>
                <w:rFonts w:hint="eastAsia" w:ascii="黑体" w:hAnsi="黑体" w:eastAsia="黑体" w:cs="仿宋"/>
                <w:bCs/>
                <w:sz w:val="24"/>
                <w:szCs w:val="24"/>
              </w:rPr>
              <w:t>类别</w:t>
            </w:r>
          </w:p>
        </w:tc>
        <w:tc>
          <w:tcPr>
            <w:tcW w:w="869"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黑体" w:hAnsi="黑体" w:eastAsia="黑体" w:cs="仿宋"/>
                <w:bCs/>
                <w:sz w:val="24"/>
                <w:szCs w:val="24"/>
              </w:rPr>
            </w:pPr>
            <w:r>
              <w:rPr>
                <w:rFonts w:hint="eastAsia" w:ascii="黑体" w:hAnsi="黑体" w:eastAsia="黑体" w:cs="仿宋"/>
                <w:bCs/>
                <w:sz w:val="24"/>
                <w:szCs w:val="24"/>
              </w:rPr>
              <w:t>序号</w:t>
            </w:r>
          </w:p>
        </w:tc>
        <w:tc>
          <w:tcPr>
            <w:tcW w:w="3670"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黑体" w:hAnsi="黑体" w:eastAsia="黑体" w:cs="仿宋"/>
                <w:bCs/>
                <w:sz w:val="24"/>
                <w:szCs w:val="24"/>
              </w:rPr>
            </w:pPr>
            <w:r>
              <w:rPr>
                <w:rFonts w:hint="eastAsia" w:ascii="黑体" w:hAnsi="黑体" w:eastAsia="黑体" w:cs="仿宋"/>
                <w:bCs/>
                <w:sz w:val="24"/>
                <w:szCs w:val="24"/>
              </w:rPr>
              <w:t>指标名称</w:t>
            </w:r>
          </w:p>
        </w:tc>
        <w:tc>
          <w:tcPr>
            <w:tcW w:w="889"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黑体" w:hAnsi="黑体" w:eastAsia="黑体" w:cs="仿宋"/>
                <w:bCs/>
                <w:sz w:val="24"/>
                <w:szCs w:val="24"/>
              </w:rPr>
            </w:pPr>
            <w:r>
              <w:rPr>
                <w:rFonts w:hint="eastAsia" w:ascii="黑体" w:hAnsi="黑体" w:eastAsia="黑体" w:cs="仿宋"/>
                <w:bCs/>
                <w:sz w:val="24"/>
                <w:szCs w:val="24"/>
              </w:rPr>
              <w:t>单位</w:t>
            </w:r>
          </w:p>
        </w:tc>
        <w:tc>
          <w:tcPr>
            <w:tcW w:w="122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黑体" w:hAnsi="黑体" w:eastAsia="黑体" w:cs="仿宋"/>
                <w:bCs/>
                <w:sz w:val="24"/>
                <w:szCs w:val="24"/>
              </w:rPr>
            </w:pPr>
            <w:r>
              <w:rPr>
                <w:rFonts w:hint="eastAsia" w:ascii="黑体" w:hAnsi="黑体" w:eastAsia="黑体" w:cs="仿宋"/>
                <w:bCs/>
                <w:sz w:val="24"/>
                <w:szCs w:val="24"/>
              </w:rPr>
              <w:t>2020年</w:t>
            </w:r>
          </w:p>
        </w:tc>
        <w:tc>
          <w:tcPr>
            <w:tcW w:w="1238"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黑体" w:hAnsi="黑体" w:eastAsia="黑体" w:cs="仿宋"/>
                <w:bCs/>
                <w:sz w:val="24"/>
                <w:szCs w:val="24"/>
              </w:rPr>
            </w:pPr>
            <w:r>
              <w:rPr>
                <w:rFonts w:hint="eastAsia" w:ascii="黑体" w:hAnsi="黑体" w:eastAsia="黑体" w:cs="仿宋"/>
                <w:bCs/>
                <w:sz w:val="24"/>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08" w:type="dxa"/>
            <w:vMerge w:val="restart"/>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bCs/>
                <w:sz w:val="24"/>
                <w:szCs w:val="24"/>
              </w:rPr>
            </w:pPr>
            <w:r>
              <w:rPr>
                <w:rFonts w:hint="eastAsia" w:ascii="仿宋_GB2312" w:hAnsi="仿宋" w:cs="仿宋"/>
                <w:bCs/>
                <w:sz w:val="24"/>
                <w:szCs w:val="24"/>
              </w:rPr>
              <w:t>规模</w:t>
            </w:r>
          </w:p>
          <w:p>
            <w:pPr>
              <w:spacing w:line="300" w:lineRule="exact"/>
              <w:contextualSpacing/>
              <w:jc w:val="center"/>
              <w:rPr>
                <w:rFonts w:ascii="仿宋_GB2312" w:hAnsi="仿宋" w:cs="仿宋"/>
                <w:bCs/>
                <w:sz w:val="24"/>
                <w:szCs w:val="24"/>
              </w:rPr>
            </w:pPr>
            <w:r>
              <w:rPr>
                <w:rFonts w:hint="eastAsia" w:ascii="仿宋_GB2312" w:hAnsi="仿宋" w:cs="仿宋"/>
                <w:bCs/>
                <w:sz w:val="24"/>
                <w:szCs w:val="24"/>
              </w:rPr>
              <w:t>总量</w:t>
            </w:r>
          </w:p>
        </w:tc>
        <w:tc>
          <w:tcPr>
            <w:tcW w:w="869"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bCs/>
                <w:sz w:val="24"/>
                <w:szCs w:val="24"/>
              </w:rPr>
            </w:pPr>
            <w:r>
              <w:rPr>
                <w:rFonts w:hint="eastAsia" w:ascii="仿宋_GB2312" w:hAnsi="仿宋" w:cs="仿宋"/>
                <w:bCs/>
                <w:sz w:val="24"/>
                <w:szCs w:val="24"/>
              </w:rPr>
              <w:t>1</w:t>
            </w:r>
          </w:p>
        </w:tc>
        <w:tc>
          <w:tcPr>
            <w:tcW w:w="3670"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服务业增加值总量</w:t>
            </w:r>
          </w:p>
        </w:tc>
        <w:tc>
          <w:tcPr>
            <w:tcW w:w="889"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亿元</w:t>
            </w:r>
          </w:p>
        </w:tc>
        <w:tc>
          <w:tcPr>
            <w:tcW w:w="122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2012.58</w:t>
            </w:r>
          </w:p>
        </w:tc>
        <w:tc>
          <w:tcPr>
            <w:tcW w:w="1238"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3000以上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08" w:type="dxa"/>
            <w:vMerge w:val="continue"/>
            <w:tcBorders>
              <w:top w:val="nil"/>
              <w:left w:val="single" w:color="auto" w:sz="4" w:space="0"/>
              <w:bottom w:val="single" w:color="auto" w:sz="4" w:space="0"/>
              <w:right w:val="single" w:color="auto" w:sz="4" w:space="0"/>
            </w:tcBorders>
            <w:vAlign w:val="center"/>
          </w:tcPr>
          <w:p>
            <w:pPr>
              <w:spacing w:line="300" w:lineRule="exact"/>
              <w:contextualSpacing/>
              <w:jc w:val="left"/>
              <w:rPr>
                <w:rFonts w:ascii="仿宋_GB2312" w:hAnsi="仿宋" w:cs="仿宋"/>
                <w:bCs/>
                <w:sz w:val="24"/>
                <w:szCs w:val="24"/>
              </w:rPr>
            </w:pPr>
          </w:p>
        </w:tc>
        <w:tc>
          <w:tcPr>
            <w:tcW w:w="869"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bCs/>
                <w:sz w:val="24"/>
                <w:szCs w:val="24"/>
              </w:rPr>
            </w:pPr>
            <w:r>
              <w:rPr>
                <w:rFonts w:hint="eastAsia" w:ascii="仿宋_GB2312" w:hAnsi="仿宋" w:cs="仿宋"/>
                <w:bCs/>
                <w:sz w:val="24"/>
                <w:szCs w:val="24"/>
              </w:rPr>
              <w:t>2</w:t>
            </w:r>
          </w:p>
        </w:tc>
        <w:tc>
          <w:tcPr>
            <w:tcW w:w="3670"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社会消费品零售总额</w:t>
            </w:r>
          </w:p>
        </w:tc>
        <w:tc>
          <w:tcPr>
            <w:tcW w:w="889"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亿元</w:t>
            </w:r>
          </w:p>
        </w:tc>
        <w:tc>
          <w:tcPr>
            <w:tcW w:w="122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1998.73</w:t>
            </w:r>
          </w:p>
        </w:tc>
        <w:tc>
          <w:tcPr>
            <w:tcW w:w="1238"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08" w:type="dxa"/>
            <w:vMerge w:val="restart"/>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bCs/>
                <w:sz w:val="24"/>
                <w:szCs w:val="24"/>
              </w:rPr>
            </w:pPr>
            <w:r>
              <w:rPr>
                <w:rFonts w:hint="eastAsia" w:ascii="仿宋_GB2312" w:hAnsi="仿宋" w:cs="仿宋"/>
                <w:bCs/>
                <w:sz w:val="24"/>
                <w:szCs w:val="24"/>
              </w:rPr>
              <w:t>社会</w:t>
            </w:r>
          </w:p>
          <w:p>
            <w:pPr>
              <w:spacing w:line="300" w:lineRule="exact"/>
              <w:contextualSpacing/>
              <w:jc w:val="center"/>
              <w:rPr>
                <w:rFonts w:ascii="仿宋_GB2312" w:hAnsi="仿宋" w:cs="仿宋"/>
                <w:bCs/>
                <w:sz w:val="24"/>
                <w:szCs w:val="24"/>
              </w:rPr>
            </w:pPr>
            <w:r>
              <w:rPr>
                <w:rFonts w:hint="eastAsia" w:ascii="仿宋_GB2312" w:hAnsi="仿宋" w:cs="仿宋"/>
                <w:bCs/>
                <w:sz w:val="24"/>
                <w:szCs w:val="24"/>
              </w:rPr>
              <w:t>贡献</w:t>
            </w:r>
          </w:p>
        </w:tc>
        <w:tc>
          <w:tcPr>
            <w:tcW w:w="869"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bCs/>
                <w:sz w:val="24"/>
                <w:szCs w:val="24"/>
              </w:rPr>
            </w:pPr>
            <w:r>
              <w:rPr>
                <w:rFonts w:hint="eastAsia" w:ascii="仿宋_GB2312" w:hAnsi="仿宋" w:cs="仿宋"/>
                <w:bCs/>
                <w:sz w:val="24"/>
                <w:szCs w:val="24"/>
              </w:rPr>
              <w:t>3</w:t>
            </w:r>
          </w:p>
        </w:tc>
        <w:tc>
          <w:tcPr>
            <w:tcW w:w="3670"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服务业税收总额</w:t>
            </w:r>
          </w:p>
        </w:tc>
        <w:tc>
          <w:tcPr>
            <w:tcW w:w="889"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亿元</w:t>
            </w:r>
          </w:p>
        </w:tc>
        <w:tc>
          <w:tcPr>
            <w:tcW w:w="122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143.73</w:t>
            </w:r>
          </w:p>
        </w:tc>
        <w:tc>
          <w:tcPr>
            <w:tcW w:w="1238"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08" w:type="dxa"/>
            <w:vMerge w:val="continue"/>
            <w:tcBorders>
              <w:top w:val="nil"/>
              <w:left w:val="single" w:color="auto" w:sz="4" w:space="0"/>
              <w:bottom w:val="single" w:color="auto" w:sz="4" w:space="0"/>
              <w:right w:val="single" w:color="auto" w:sz="4" w:space="0"/>
            </w:tcBorders>
            <w:vAlign w:val="center"/>
          </w:tcPr>
          <w:p>
            <w:pPr>
              <w:spacing w:line="300" w:lineRule="exact"/>
              <w:contextualSpacing/>
              <w:jc w:val="left"/>
              <w:rPr>
                <w:rFonts w:ascii="仿宋_GB2312" w:hAnsi="仿宋" w:cs="仿宋"/>
                <w:bCs/>
                <w:sz w:val="24"/>
                <w:szCs w:val="24"/>
              </w:rPr>
            </w:pPr>
          </w:p>
        </w:tc>
        <w:tc>
          <w:tcPr>
            <w:tcW w:w="869"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bCs/>
                <w:sz w:val="24"/>
                <w:szCs w:val="24"/>
              </w:rPr>
            </w:pPr>
            <w:r>
              <w:rPr>
                <w:rFonts w:hint="eastAsia" w:ascii="仿宋_GB2312" w:hAnsi="仿宋" w:cs="仿宋"/>
                <w:bCs/>
                <w:sz w:val="24"/>
                <w:szCs w:val="24"/>
              </w:rPr>
              <w:t>4</w:t>
            </w:r>
          </w:p>
        </w:tc>
        <w:tc>
          <w:tcPr>
            <w:tcW w:w="3670"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服务业税收占比</w:t>
            </w:r>
          </w:p>
        </w:tc>
        <w:tc>
          <w:tcPr>
            <w:tcW w:w="889"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w:t>
            </w:r>
          </w:p>
        </w:tc>
        <w:tc>
          <w:tcPr>
            <w:tcW w:w="122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53.1</w:t>
            </w:r>
          </w:p>
        </w:tc>
        <w:tc>
          <w:tcPr>
            <w:tcW w:w="1238"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08" w:type="dxa"/>
            <w:vMerge w:val="restart"/>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bCs/>
                <w:sz w:val="24"/>
                <w:szCs w:val="24"/>
              </w:rPr>
            </w:pPr>
            <w:r>
              <w:rPr>
                <w:rFonts w:hint="eastAsia" w:ascii="仿宋_GB2312" w:hAnsi="仿宋" w:cs="仿宋"/>
                <w:bCs/>
                <w:sz w:val="24"/>
                <w:szCs w:val="24"/>
              </w:rPr>
              <w:t>载体</w:t>
            </w:r>
          </w:p>
          <w:p>
            <w:pPr>
              <w:spacing w:line="300" w:lineRule="exact"/>
              <w:contextualSpacing/>
              <w:jc w:val="center"/>
              <w:rPr>
                <w:rFonts w:ascii="仿宋_GB2312" w:hAnsi="仿宋" w:cs="仿宋"/>
                <w:bCs/>
                <w:sz w:val="24"/>
                <w:szCs w:val="24"/>
              </w:rPr>
            </w:pPr>
            <w:r>
              <w:rPr>
                <w:rFonts w:hint="eastAsia" w:ascii="仿宋_GB2312" w:hAnsi="仿宋" w:cs="仿宋"/>
                <w:bCs/>
                <w:sz w:val="24"/>
                <w:szCs w:val="24"/>
              </w:rPr>
              <w:t>建设</w:t>
            </w:r>
          </w:p>
        </w:tc>
        <w:tc>
          <w:tcPr>
            <w:tcW w:w="869"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bCs/>
                <w:sz w:val="24"/>
                <w:szCs w:val="24"/>
              </w:rPr>
            </w:pPr>
            <w:r>
              <w:rPr>
                <w:rFonts w:hint="eastAsia" w:ascii="仿宋_GB2312" w:hAnsi="仿宋" w:cs="仿宋"/>
                <w:bCs/>
                <w:sz w:val="24"/>
                <w:szCs w:val="24"/>
              </w:rPr>
              <w:t>5</w:t>
            </w:r>
          </w:p>
        </w:tc>
        <w:tc>
          <w:tcPr>
            <w:tcW w:w="3670"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营业收入超百亿元服务业集群</w:t>
            </w:r>
          </w:p>
        </w:tc>
        <w:tc>
          <w:tcPr>
            <w:tcW w:w="889"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个</w:t>
            </w:r>
          </w:p>
        </w:tc>
        <w:tc>
          <w:tcPr>
            <w:tcW w:w="122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w:t>
            </w:r>
          </w:p>
        </w:tc>
        <w:tc>
          <w:tcPr>
            <w:tcW w:w="1238"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08" w:type="dxa"/>
            <w:vMerge w:val="continue"/>
            <w:tcBorders>
              <w:top w:val="nil"/>
              <w:left w:val="single" w:color="auto" w:sz="4" w:space="0"/>
              <w:bottom w:val="single" w:color="auto" w:sz="4" w:space="0"/>
              <w:right w:val="single" w:color="auto" w:sz="4" w:space="0"/>
            </w:tcBorders>
            <w:vAlign w:val="center"/>
          </w:tcPr>
          <w:p>
            <w:pPr>
              <w:spacing w:line="300" w:lineRule="exact"/>
              <w:contextualSpacing/>
              <w:jc w:val="left"/>
              <w:rPr>
                <w:rFonts w:ascii="仿宋_GB2312" w:hAnsi="仿宋" w:cs="仿宋"/>
                <w:bCs/>
                <w:sz w:val="24"/>
                <w:szCs w:val="24"/>
              </w:rPr>
            </w:pPr>
          </w:p>
        </w:tc>
        <w:tc>
          <w:tcPr>
            <w:tcW w:w="869"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bCs/>
                <w:sz w:val="24"/>
                <w:szCs w:val="24"/>
              </w:rPr>
            </w:pPr>
            <w:r>
              <w:rPr>
                <w:rFonts w:hint="eastAsia" w:ascii="仿宋_GB2312" w:hAnsi="仿宋" w:cs="仿宋"/>
                <w:bCs/>
                <w:sz w:val="24"/>
                <w:szCs w:val="24"/>
              </w:rPr>
              <w:t>6</w:t>
            </w:r>
          </w:p>
        </w:tc>
        <w:tc>
          <w:tcPr>
            <w:tcW w:w="3670"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规模以上服务业企业数量</w:t>
            </w:r>
          </w:p>
        </w:tc>
        <w:tc>
          <w:tcPr>
            <w:tcW w:w="889"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家</w:t>
            </w:r>
          </w:p>
        </w:tc>
        <w:tc>
          <w:tcPr>
            <w:tcW w:w="122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514</w:t>
            </w:r>
          </w:p>
        </w:tc>
        <w:tc>
          <w:tcPr>
            <w:tcW w:w="1238"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08" w:type="dxa"/>
            <w:vMerge w:val="continue"/>
            <w:tcBorders>
              <w:top w:val="nil"/>
              <w:left w:val="single" w:color="auto" w:sz="4" w:space="0"/>
              <w:bottom w:val="single" w:color="auto" w:sz="4" w:space="0"/>
              <w:right w:val="single" w:color="auto" w:sz="4" w:space="0"/>
            </w:tcBorders>
            <w:vAlign w:val="center"/>
          </w:tcPr>
          <w:p>
            <w:pPr>
              <w:spacing w:line="300" w:lineRule="exact"/>
              <w:contextualSpacing/>
              <w:jc w:val="left"/>
              <w:rPr>
                <w:rFonts w:ascii="仿宋_GB2312" w:hAnsi="仿宋" w:cs="仿宋"/>
                <w:bCs/>
                <w:sz w:val="24"/>
                <w:szCs w:val="24"/>
              </w:rPr>
            </w:pPr>
          </w:p>
        </w:tc>
        <w:tc>
          <w:tcPr>
            <w:tcW w:w="869"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bCs/>
                <w:sz w:val="24"/>
                <w:szCs w:val="24"/>
              </w:rPr>
            </w:pPr>
            <w:r>
              <w:rPr>
                <w:rFonts w:hint="eastAsia" w:ascii="仿宋_GB2312" w:hAnsi="仿宋" w:cs="仿宋"/>
                <w:bCs/>
                <w:sz w:val="24"/>
                <w:szCs w:val="24"/>
              </w:rPr>
              <w:t>7</w:t>
            </w:r>
          </w:p>
        </w:tc>
        <w:tc>
          <w:tcPr>
            <w:tcW w:w="3670"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营业收入超10亿元企业数量</w:t>
            </w:r>
          </w:p>
        </w:tc>
        <w:tc>
          <w:tcPr>
            <w:tcW w:w="889"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家</w:t>
            </w:r>
          </w:p>
        </w:tc>
        <w:tc>
          <w:tcPr>
            <w:tcW w:w="122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4</w:t>
            </w:r>
          </w:p>
        </w:tc>
        <w:tc>
          <w:tcPr>
            <w:tcW w:w="1238"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08" w:type="dxa"/>
            <w:vMerge w:val="restart"/>
            <w:tcBorders>
              <w:top w:val="nil"/>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bCs/>
                <w:sz w:val="24"/>
                <w:szCs w:val="24"/>
              </w:rPr>
            </w:pPr>
            <w:r>
              <w:rPr>
                <w:rFonts w:hint="eastAsia" w:ascii="仿宋_GB2312" w:hAnsi="仿宋" w:cs="仿宋"/>
                <w:bCs/>
                <w:sz w:val="24"/>
                <w:szCs w:val="24"/>
              </w:rPr>
              <w:t>改革</w:t>
            </w:r>
          </w:p>
          <w:p>
            <w:pPr>
              <w:spacing w:line="300" w:lineRule="exact"/>
              <w:contextualSpacing/>
              <w:jc w:val="center"/>
              <w:rPr>
                <w:rFonts w:ascii="仿宋_GB2312" w:hAnsi="仿宋" w:cs="仿宋"/>
                <w:bCs/>
                <w:sz w:val="24"/>
                <w:szCs w:val="24"/>
              </w:rPr>
            </w:pPr>
            <w:r>
              <w:rPr>
                <w:rFonts w:hint="eastAsia" w:ascii="仿宋_GB2312" w:hAnsi="仿宋" w:cs="仿宋"/>
                <w:bCs/>
                <w:sz w:val="24"/>
                <w:szCs w:val="24"/>
              </w:rPr>
              <w:t>开放</w:t>
            </w:r>
          </w:p>
        </w:tc>
        <w:tc>
          <w:tcPr>
            <w:tcW w:w="869"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bCs/>
                <w:sz w:val="24"/>
                <w:szCs w:val="24"/>
              </w:rPr>
            </w:pPr>
            <w:r>
              <w:rPr>
                <w:rFonts w:hint="eastAsia" w:ascii="仿宋_GB2312" w:hAnsi="仿宋" w:cs="仿宋"/>
                <w:bCs/>
                <w:sz w:val="24"/>
                <w:szCs w:val="24"/>
              </w:rPr>
              <w:t>8</w:t>
            </w:r>
          </w:p>
        </w:tc>
        <w:tc>
          <w:tcPr>
            <w:tcW w:w="3670"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kern w:val="0"/>
                <w:sz w:val="24"/>
                <w:szCs w:val="24"/>
              </w:rPr>
              <w:t>服务贸易进出口占货物和服务贸易总额比重</w:t>
            </w:r>
          </w:p>
        </w:tc>
        <w:tc>
          <w:tcPr>
            <w:tcW w:w="889"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kern w:val="0"/>
                <w:sz w:val="24"/>
                <w:szCs w:val="24"/>
              </w:rPr>
              <w:t>%</w:t>
            </w:r>
          </w:p>
        </w:tc>
        <w:tc>
          <w:tcPr>
            <w:tcW w:w="122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8</w:t>
            </w:r>
          </w:p>
        </w:tc>
        <w:tc>
          <w:tcPr>
            <w:tcW w:w="1238"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008" w:type="dxa"/>
            <w:vMerge w:val="continue"/>
            <w:tcBorders>
              <w:top w:val="nil"/>
              <w:left w:val="single" w:color="auto" w:sz="4" w:space="0"/>
              <w:bottom w:val="single" w:color="auto" w:sz="4" w:space="0"/>
              <w:right w:val="single" w:color="auto" w:sz="4" w:space="0"/>
            </w:tcBorders>
            <w:vAlign w:val="center"/>
          </w:tcPr>
          <w:p>
            <w:pPr>
              <w:spacing w:line="300" w:lineRule="exact"/>
              <w:contextualSpacing/>
              <w:jc w:val="left"/>
              <w:rPr>
                <w:rFonts w:ascii="仿宋_GB2312" w:hAnsi="仿宋" w:cs="仿宋"/>
                <w:bCs/>
                <w:sz w:val="24"/>
                <w:szCs w:val="24"/>
              </w:rPr>
            </w:pPr>
          </w:p>
        </w:tc>
        <w:tc>
          <w:tcPr>
            <w:tcW w:w="869"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bCs/>
                <w:sz w:val="24"/>
                <w:szCs w:val="24"/>
              </w:rPr>
            </w:pPr>
            <w:r>
              <w:rPr>
                <w:rFonts w:hint="eastAsia" w:ascii="仿宋_GB2312" w:hAnsi="仿宋" w:cs="仿宋"/>
                <w:bCs/>
                <w:sz w:val="24"/>
                <w:szCs w:val="24"/>
              </w:rPr>
              <w:t>9</w:t>
            </w:r>
          </w:p>
        </w:tc>
        <w:tc>
          <w:tcPr>
            <w:tcW w:w="3670"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kern w:val="0"/>
                <w:sz w:val="24"/>
                <w:szCs w:val="24"/>
              </w:rPr>
              <w:t>跨境电商进出口额</w:t>
            </w:r>
          </w:p>
        </w:tc>
        <w:tc>
          <w:tcPr>
            <w:tcW w:w="889"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kern w:val="0"/>
                <w:sz w:val="24"/>
                <w:szCs w:val="24"/>
              </w:rPr>
              <w:t>亿元</w:t>
            </w:r>
          </w:p>
        </w:tc>
        <w:tc>
          <w:tcPr>
            <w:tcW w:w="1223"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85.4</w:t>
            </w:r>
          </w:p>
        </w:tc>
        <w:tc>
          <w:tcPr>
            <w:tcW w:w="1238" w:type="dxa"/>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spacing w:line="300" w:lineRule="exact"/>
              <w:contextualSpacing/>
              <w:jc w:val="center"/>
              <w:rPr>
                <w:rFonts w:ascii="仿宋_GB2312" w:hAnsi="仿宋" w:cs="仿宋"/>
                <w:sz w:val="24"/>
                <w:szCs w:val="24"/>
              </w:rPr>
            </w:pPr>
            <w:r>
              <w:rPr>
                <w:rFonts w:hint="eastAsia" w:ascii="仿宋_GB2312" w:hAnsi="仿宋" w:cs="仿宋"/>
                <w:sz w:val="24"/>
                <w:szCs w:val="24"/>
              </w:rPr>
              <w:t>170</w:t>
            </w:r>
          </w:p>
        </w:tc>
      </w:tr>
    </w:tbl>
    <w:p>
      <w:pPr>
        <w:pStyle w:val="7"/>
        <w:keepLines w:val="0"/>
        <w:autoSpaceDE w:val="0"/>
        <w:autoSpaceDN w:val="0"/>
        <w:spacing w:line="560" w:lineRule="exact"/>
        <w:contextualSpacing/>
        <w:jc w:val="center"/>
        <w:rPr>
          <w:rFonts w:ascii="Times New Roman" w:hAnsi="Times New Roman" w:eastAsia="楷体_GB2312"/>
          <w:b w:val="0"/>
          <w:szCs w:val="32"/>
        </w:rPr>
      </w:pPr>
      <w:bookmarkStart w:id="1304" w:name="_Toc99015563"/>
      <w:bookmarkEnd w:id="1304"/>
      <w:r>
        <w:rPr>
          <w:rFonts w:hint="eastAsia" w:ascii="楷体_GB2312" w:hAnsi="Times New Roman" w:eastAsia="楷体_GB2312"/>
          <w:b w:val="0"/>
          <w:bCs/>
        </w:rPr>
        <w:t>第五节</w:t>
      </w:r>
      <w:r>
        <w:rPr>
          <w:rFonts w:hint="eastAsia" w:ascii="Times New Roman" w:hAnsi="Times New Roman" w:eastAsia="楷体_GB2312"/>
          <w:b w:val="0"/>
          <w:bCs/>
        </w:rPr>
        <w:t xml:space="preserve"> </w:t>
      </w:r>
      <w:r>
        <w:rPr>
          <w:rFonts w:hint="eastAsia" w:ascii="楷体_GB2312" w:hAnsi="Times New Roman" w:eastAsia="楷体_GB2312"/>
          <w:b w:val="0"/>
          <w:bCs/>
        </w:rPr>
        <w:t>空间布局</w:t>
      </w:r>
    </w:p>
    <w:p>
      <w:pPr>
        <w:autoSpaceDE w:val="0"/>
        <w:autoSpaceDN w:val="0"/>
        <w:spacing w:line="560" w:lineRule="exact"/>
        <w:ind w:firstLine="640" w:firstLineChars="200"/>
        <w:contextualSpacing/>
        <w:rPr>
          <w:rFonts w:ascii="Times New Roman" w:hAnsi="Times New Roman"/>
          <w:kern w:val="0"/>
        </w:rPr>
      </w:pPr>
      <w:r>
        <w:rPr>
          <w:rFonts w:hint="eastAsia" w:ascii="仿宋_GB2312" w:hAnsi="Times New Roman"/>
          <w:kern w:val="0"/>
        </w:rPr>
        <w:t>立足南阳市功能布局，结合城市重点建设区块和综合交通体系，加快构建</w:t>
      </w:r>
      <w:r>
        <w:rPr>
          <w:rFonts w:hint="eastAsia" w:ascii="Times New Roman" w:hAnsi="Times New Roman"/>
          <w:kern w:val="0"/>
        </w:rPr>
        <w:t>“一主一副十极多点”的服务业</w:t>
      </w:r>
      <w:r>
        <w:rPr>
          <w:rFonts w:hint="eastAsia" w:ascii="仿宋_GB2312" w:hAnsi="Times New Roman"/>
          <w:kern w:val="0"/>
        </w:rPr>
        <w:t>发展新格局。</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一主引领。</w:t>
      </w:r>
      <w:r>
        <w:rPr>
          <w:rFonts w:hint="eastAsia" w:ascii="仿宋_GB2312" w:hAnsi="Times New Roman"/>
          <w:kern w:val="0"/>
        </w:rPr>
        <w:t>坚持做大做强中心城区，加快实施</w:t>
      </w:r>
      <w:r>
        <w:rPr>
          <w:rFonts w:hint="eastAsia" w:ascii="Times New Roman" w:hAnsi="Times New Roman"/>
          <w:kern w:val="0"/>
        </w:rPr>
        <w:t>“中心城区服务功能提升”行动，重点发展</w:t>
      </w:r>
      <w:r>
        <w:rPr>
          <w:rFonts w:hint="eastAsia" w:ascii="仿宋_GB2312" w:hAnsi="Times New Roman"/>
          <w:kern w:val="0"/>
        </w:rPr>
        <w:t>总部经济、信息服务、现代金融、现代物流、文旅康养、现代商贸等现代服务业，提升中心城区服务业集聚发展能力，打造全市服务业发展核心承载区，成为辐射带动豫鄂陕交界区域发展的主引擎。</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一副协同。</w:t>
      </w:r>
      <w:r>
        <w:rPr>
          <w:rFonts w:hint="eastAsia" w:ascii="仿宋_GB2312" w:hAnsi="Times New Roman"/>
          <w:kern w:val="0"/>
        </w:rPr>
        <w:t>推进邓州建设市域副中心城市和丹江口库区区域中心城市，坚持服务业高质量发展，以现代物流、文化旅游、商务服务、医疗康养为主导功能，推动现代服务业同先进制造业、现代农业深度融合。加快推进教育、文化、体育、医疗、养老等公共服务设施建设，提升生活性服务业品质，建立优质、公平、均衡的民生服务体系，着力打造现代服务业发展的副中心，成为全市服务业发展的重要引擎，实现以副辅主、主副共兴。</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十极联动。</w:t>
      </w:r>
      <w:r>
        <w:rPr>
          <w:rFonts w:hint="eastAsia" w:ascii="仿宋_GB2312" w:hAnsi="Times New Roman"/>
          <w:kern w:val="0"/>
        </w:rPr>
        <w:t>突出各地服务特色，发展壮大唐河、镇平、社旗、方城、内乡、桐柏、西峡、淅川、南召、新野等县级服务业，重点发展文化旅游产业、健康养老产业，配套发展现代商贸、现代物流、电子商务等，加快打造服务业发展增长极。</w:t>
      </w:r>
    </w:p>
    <w:tbl>
      <w:tblPr>
        <w:tblStyle w:val="26"/>
        <w:tblW w:w="8721" w:type="dxa"/>
        <w:jc w:val="center"/>
        <w:tblLayout w:type="fixed"/>
        <w:tblCellMar>
          <w:top w:w="0" w:type="dxa"/>
          <w:left w:w="108" w:type="dxa"/>
          <w:bottom w:w="0" w:type="dxa"/>
          <w:right w:w="108" w:type="dxa"/>
        </w:tblCellMar>
      </w:tblPr>
      <w:tblGrid>
        <w:gridCol w:w="8721"/>
      </w:tblGrid>
      <w:tr>
        <w:tblPrEx>
          <w:tblCellMar>
            <w:top w:w="0" w:type="dxa"/>
            <w:left w:w="108" w:type="dxa"/>
            <w:bottom w:w="0" w:type="dxa"/>
            <w:right w:w="108" w:type="dxa"/>
          </w:tblCellMar>
        </w:tblPrEx>
        <w:trPr>
          <w:trHeight w:val="603" w:hRule="atLeast"/>
          <w:jc w:val="center"/>
        </w:trPr>
        <w:tc>
          <w:tcPr>
            <w:tcW w:w="87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contextualSpacing/>
              <w:jc w:val="center"/>
              <w:rPr>
                <w:rFonts w:ascii="黑体" w:hAnsi="黑体" w:eastAsia="黑体" w:cs="仿宋"/>
                <w:bCs/>
                <w:sz w:val="30"/>
                <w:szCs w:val="30"/>
              </w:rPr>
            </w:pPr>
            <w:r>
              <w:rPr>
                <w:rFonts w:hint="eastAsia" w:ascii="Times New Roman" w:hAnsi="Times New Roman" w:eastAsia="黑体"/>
                <w:sz w:val="28"/>
                <w:szCs w:val="28"/>
              </w:rPr>
              <w:t>专栏1</w:t>
            </w:r>
            <w:r>
              <w:rPr>
                <w:rFonts w:hint="eastAsia" w:ascii="黑体" w:hAnsi="黑体" w:eastAsia="黑体"/>
                <w:sz w:val="28"/>
                <w:szCs w:val="28"/>
              </w:rPr>
              <w:t>：南阳市十个服务业增长极发展重点</w:t>
            </w:r>
          </w:p>
        </w:tc>
      </w:tr>
      <w:tr>
        <w:tblPrEx>
          <w:tblCellMar>
            <w:top w:w="0" w:type="dxa"/>
            <w:left w:w="108" w:type="dxa"/>
            <w:bottom w:w="0" w:type="dxa"/>
            <w:right w:w="108" w:type="dxa"/>
          </w:tblCellMar>
        </w:tblPrEx>
        <w:trPr>
          <w:trHeight w:val="296" w:hRule="atLeast"/>
          <w:jc w:val="center"/>
        </w:trPr>
        <w:tc>
          <w:tcPr>
            <w:tcW w:w="8721" w:type="dxa"/>
            <w:tcBorders>
              <w:top w:val="single" w:color="auto" w:sz="4" w:space="0"/>
              <w:left w:val="single" w:color="auto" w:sz="4" w:space="0"/>
              <w:bottom w:val="single" w:color="auto" w:sz="4" w:space="0"/>
              <w:right w:val="single" w:color="auto" w:sz="4" w:space="0"/>
            </w:tcBorders>
          </w:tcPr>
          <w:p>
            <w:pPr>
              <w:pStyle w:val="14"/>
              <w:overflowPunct w:val="0"/>
              <w:adjustRightInd w:val="0"/>
              <w:snapToGrid w:val="0"/>
              <w:spacing w:line="400" w:lineRule="exact"/>
              <w:ind w:firstLine="480" w:firstLineChars="200"/>
              <w:contextualSpacing/>
              <w:rPr>
                <w:rFonts w:ascii="仿宋_GB2312" w:hAnsi="楷体" w:eastAsia="仿宋_GB2312" w:cs="楷体"/>
                <w:bCs/>
                <w:sz w:val="24"/>
                <w:szCs w:val="24"/>
              </w:rPr>
            </w:pPr>
            <w:r>
              <w:rPr>
                <w:rFonts w:hint="eastAsia" w:ascii="楷体" w:hAnsi="楷体" w:eastAsia="楷体"/>
                <w:bCs/>
                <w:sz w:val="24"/>
                <w:szCs w:val="24"/>
              </w:rPr>
              <w:t>镇平县。</w:t>
            </w:r>
            <w:r>
              <w:rPr>
                <w:rFonts w:hint="eastAsia" w:ascii="仿宋_GB2312" w:hAnsi="Times New Roman" w:eastAsia="仿宋_GB2312" w:cs="Times New Roman"/>
                <w:sz w:val="24"/>
                <w:szCs w:val="24"/>
              </w:rPr>
              <w:t>依托玉文化和玉雕产业基础，重点发展以玉产品交易、旅游、玉原石投资及原石交易、创意设计、金融服务、电子商务、物流为主导产业，打造全国领先的玉产品交易中心。</w:t>
            </w:r>
          </w:p>
          <w:p>
            <w:pPr>
              <w:pStyle w:val="14"/>
              <w:overflowPunct w:val="0"/>
              <w:adjustRightInd w:val="0"/>
              <w:snapToGrid w:val="0"/>
              <w:spacing w:line="400" w:lineRule="exact"/>
              <w:ind w:firstLine="480" w:firstLineChars="200"/>
              <w:contextualSpacing/>
              <w:rPr>
                <w:rFonts w:ascii="仿宋_GB2312" w:hAnsi="楷体" w:eastAsia="仿宋_GB2312" w:cs="楷体"/>
                <w:bCs/>
                <w:sz w:val="24"/>
                <w:szCs w:val="24"/>
              </w:rPr>
            </w:pPr>
            <w:r>
              <w:rPr>
                <w:rFonts w:hint="eastAsia" w:ascii="楷体" w:hAnsi="楷体" w:eastAsia="楷体"/>
                <w:bCs/>
                <w:sz w:val="24"/>
                <w:szCs w:val="24"/>
              </w:rPr>
              <w:t>社旗县。</w:t>
            </w:r>
            <w:r>
              <w:rPr>
                <w:rFonts w:hint="eastAsia" w:ascii="仿宋_GB2312" w:hAnsi="Times New Roman" w:eastAsia="仿宋_GB2312" w:cs="Times New Roman"/>
                <w:sz w:val="24"/>
                <w:szCs w:val="24"/>
              </w:rPr>
              <w:t>依托山陕会馆，重点发展休闲体验旅游、文化创意制作、餐饮娱乐等产业，打造全国著名的会馆文化体验古镇、河南省文化产业示范园的核心区和中国传统商业文化传承创新基地。</w:t>
            </w:r>
          </w:p>
          <w:p>
            <w:pPr>
              <w:pStyle w:val="14"/>
              <w:overflowPunct w:val="0"/>
              <w:adjustRightInd w:val="0"/>
              <w:snapToGrid w:val="0"/>
              <w:spacing w:line="400" w:lineRule="exact"/>
              <w:ind w:firstLine="480" w:firstLineChars="200"/>
              <w:contextualSpacing/>
              <w:rPr>
                <w:rFonts w:ascii="Times New Roman" w:hAnsi="Times New Roman" w:eastAsia="仿宋" w:cs="Times New Roman"/>
                <w:sz w:val="24"/>
                <w:szCs w:val="24"/>
              </w:rPr>
            </w:pPr>
            <w:r>
              <w:rPr>
                <w:rFonts w:hint="eastAsia" w:ascii="楷体" w:hAnsi="楷体" w:eastAsia="楷体"/>
                <w:bCs/>
                <w:sz w:val="24"/>
                <w:szCs w:val="24"/>
              </w:rPr>
              <w:t>唐河县。</w:t>
            </w:r>
            <w:r>
              <w:rPr>
                <w:rFonts w:hint="eastAsia" w:ascii="仿宋_GB2312" w:hAnsi="Times New Roman" w:eastAsia="仿宋_GB2312" w:cs="Times New Roman"/>
                <w:sz w:val="24"/>
                <w:szCs w:val="24"/>
              </w:rPr>
              <w:t>依托唐河复航工程，重点发展商贸物流业、健康养老和旅游业，建设辐射周边的唐河县临港物流产业园，打造区域性物流枢纽。</w:t>
            </w:r>
          </w:p>
          <w:p>
            <w:pPr>
              <w:pStyle w:val="14"/>
              <w:overflowPunct w:val="0"/>
              <w:adjustRightInd w:val="0"/>
              <w:snapToGrid w:val="0"/>
              <w:spacing w:line="400" w:lineRule="exact"/>
              <w:ind w:firstLine="480" w:firstLineChars="200"/>
              <w:contextualSpacing/>
              <w:rPr>
                <w:rFonts w:ascii="仿宋_GB2312" w:hAnsi="楷体" w:eastAsia="仿宋_GB2312" w:cs="楷体"/>
                <w:bCs/>
                <w:sz w:val="24"/>
                <w:szCs w:val="24"/>
              </w:rPr>
            </w:pPr>
            <w:r>
              <w:rPr>
                <w:rFonts w:hint="eastAsia" w:ascii="楷体" w:hAnsi="楷体" w:eastAsia="楷体"/>
                <w:bCs/>
                <w:sz w:val="24"/>
                <w:szCs w:val="24"/>
              </w:rPr>
              <w:t>方城县。</w:t>
            </w:r>
            <w:r>
              <w:rPr>
                <w:rFonts w:hint="eastAsia" w:ascii="仿宋_GB2312" w:hAnsi="Times New Roman" w:eastAsia="仿宋_GB2312" w:cs="Times New Roman"/>
                <w:sz w:val="24"/>
                <w:szCs w:val="24"/>
              </w:rPr>
              <w:t>依托七峰山、状元川等自然资源，重点发展商贸流通、休闲娱乐、餐饮住宿、商务服务业，打造集零售商业、餐饮住宿等为一体的区域商业休闲综合服务中心。</w:t>
            </w:r>
          </w:p>
          <w:p>
            <w:pPr>
              <w:pStyle w:val="14"/>
              <w:overflowPunct w:val="0"/>
              <w:adjustRightInd w:val="0"/>
              <w:snapToGrid w:val="0"/>
              <w:spacing w:line="400" w:lineRule="exact"/>
              <w:ind w:firstLine="480" w:firstLineChars="200"/>
              <w:contextualSpacing/>
              <w:rPr>
                <w:rFonts w:ascii="仿宋_GB2312" w:hAnsi="楷体" w:eastAsia="仿宋_GB2312" w:cs="楷体"/>
                <w:bCs/>
                <w:sz w:val="24"/>
                <w:szCs w:val="24"/>
              </w:rPr>
            </w:pPr>
            <w:r>
              <w:rPr>
                <w:rFonts w:hint="eastAsia" w:ascii="楷体" w:hAnsi="楷体" w:eastAsia="楷体"/>
                <w:bCs/>
                <w:sz w:val="24"/>
                <w:szCs w:val="24"/>
              </w:rPr>
              <w:t>内乡县。</w:t>
            </w:r>
            <w:r>
              <w:rPr>
                <w:rFonts w:hint="eastAsia" w:ascii="仿宋_GB2312" w:hAnsi="Times New Roman" w:eastAsia="仿宋_GB2312" w:cs="Times New Roman"/>
                <w:sz w:val="24"/>
                <w:szCs w:val="24"/>
              </w:rPr>
              <w:t>依托县衙文化资源、宝天曼生态资源和浩吉铁路、沪陕高速等交通优势，重点发展文化旅游和物流业，建设区域性综合智慧物流中心和康养中心。</w:t>
            </w:r>
          </w:p>
          <w:p>
            <w:pPr>
              <w:pStyle w:val="14"/>
              <w:overflowPunct w:val="0"/>
              <w:adjustRightInd w:val="0"/>
              <w:snapToGrid w:val="0"/>
              <w:spacing w:line="400" w:lineRule="exact"/>
              <w:ind w:firstLine="480" w:firstLineChars="200"/>
              <w:contextualSpacing/>
              <w:rPr>
                <w:rFonts w:ascii="仿宋_GB2312" w:hAnsi="楷体" w:eastAsia="仿宋_GB2312" w:cs="楷体"/>
                <w:bCs/>
                <w:sz w:val="24"/>
                <w:szCs w:val="24"/>
              </w:rPr>
            </w:pPr>
            <w:r>
              <w:rPr>
                <w:rFonts w:hint="eastAsia" w:ascii="楷体" w:hAnsi="楷体" w:eastAsia="楷体"/>
                <w:bCs/>
                <w:sz w:val="24"/>
                <w:szCs w:val="24"/>
              </w:rPr>
              <w:t>桐柏县。</w:t>
            </w:r>
            <w:r>
              <w:rPr>
                <w:rFonts w:hint="eastAsia" w:ascii="仿宋_GB2312" w:hAnsi="Times New Roman" w:eastAsia="仿宋_GB2312" w:cs="Times New Roman"/>
                <w:sz w:val="24"/>
                <w:szCs w:val="24"/>
              </w:rPr>
              <w:t>依托红色文化、淮源文化、佛道文化、盘古文化等文化旅游资源优势，重点发展全域旅游、休闲康养、现代商贸、商务服务等产业，打造桐柏山淮河源国家级森林公园生态廊道。</w:t>
            </w:r>
          </w:p>
          <w:p>
            <w:pPr>
              <w:pStyle w:val="14"/>
              <w:overflowPunct w:val="0"/>
              <w:adjustRightInd w:val="0"/>
              <w:snapToGrid w:val="0"/>
              <w:spacing w:line="400" w:lineRule="exact"/>
              <w:ind w:firstLine="480" w:firstLineChars="200"/>
              <w:contextualSpacing/>
              <w:rPr>
                <w:rFonts w:ascii="仿宋_GB2312" w:hAnsi="楷体" w:eastAsia="仿宋_GB2312" w:cs="楷体"/>
                <w:bCs/>
                <w:sz w:val="24"/>
                <w:szCs w:val="24"/>
              </w:rPr>
            </w:pPr>
            <w:r>
              <w:rPr>
                <w:rFonts w:hint="eastAsia" w:ascii="楷体" w:hAnsi="楷体" w:eastAsia="楷体"/>
                <w:bCs/>
                <w:sz w:val="24"/>
                <w:szCs w:val="24"/>
              </w:rPr>
              <w:t>西峡县。</w:t>
            </w:r>
            <w:r>
              <w:rPr>
                <w:rFonts w:hint="eastAsia" w:ascii="仿宋_GB2312" w:hAnsi="Times New Roman" w:eastAsia="仿宋_GB2312" w:cs="Times New Roman"/>
                <w:sz w:val="24"/>
                <w:szCs w:val="24"/>
              </w:rPr>
              <w:t>依托伏牛山世界地质公园和国家级自然保护区、恐龙遗迹园等生态优势和中医药文化、重阳文化等文化资源优势，大力发展文化旅游、商务商贸、高端住宿等产业，打造豫西南地区康养旅游核心区。</w:t>
            </w:r>
          </w:p>
          <w:p>
            <w:pPr>
              <w:pStyle w:val="14"/>
              <w:overflowPunct w:val="0"/>
              <w:adjustRightInd w:val="0"/>
              <w:snapToGrid w:val="0"/>
              <w:spacing w:line="400" w:lineRule="exact"/>
              <w:ind w:firstLine="480" w:firstLineChars="200"/>
              <w:contextualSpacing/>
              <w:rPr>
                <w:rFonts w:ascii="仿宋_GB2312" w:hAnsi="楷体" w:eastAsia="仿宋_GB2312" w:cs="楷体"/>
                <w:bCs/>
                <w:sz w:val="24"/>
                <w:szCs w:val="24"/>
              </w:rPr>
            </w:pPr>
            <w:r>
              <w:rPr>
                <w:rFonts w:hint="eastAsia" w:ascii="楷体" w:hAnsi="楷体" w:eastAsia="楷体"/>
                <w:bCs/>
                <w:sz w:val="24"/>
                <w:szCs w:val="24"/>
              </w:rPr>
              <w:t>淅川县。</w:t>
            </w:r>
            <w:r>
              <w:rPr>
                <w:rFonts w:hint="eastAsia" w:ascii="仿宋_GB2312" w:hAnsi="Times New Roman" w:eastAsia="仿宋_GB2312" w:cs="Times New Roman"/>
                <w:sz w:val="24"/>
                <w:szCs w:val="24"/>
              </w:rPr>
              <w:t>依托南水北调水源地和渠首名片，重点发展山水文化旅游以及为旅游配套的商务服务、特色商贸等产业，打造对外交流合作新平台。</w:t>
            </w:r>
          </w:p>
          <w:p>
            <w:pPr>
              <w:pStyle w:val="14"/>
              <w:overflowPunct w:val="0"/>
              <w:adjustRightInd w:val="0"/>
              <w:snapToGrid w:val="0"/>
              <w:spacing w:line="400" w:lineRule="exact"/>
              <w:ind w:firstLine="480" w:firstLineChars="200"/>
              <w:contextualSpacing/>
              <w:rPr>
                <w:rFonts w:ascii="仿宋_GB2312" w:hAnsi="楷体" w:eastAsia="仿宋_GB2312" w:cs="楷体"/>
                <w:bCs/>
                <w:sz w:val="24"/>
                <w:szCs w:val="24"/>
              </w:rPr>
            </w:pPr>
            <w:r>
              <w:rPr>
                <w:rFonts w:hint="eastAsia" w:ascii="楷体" w:hAnsi="楷体" w:eastAsia="楷体"/>
                <w:bCs/>
                <w:sz w:val="24"/>
                <w:szCs w:val="24"/>
              </w:rPr>
              <w:t>南召县。</w:t>
            </w:r>
            <w:r>
              <w:rPr>
                <w:rFonts w:hint="eastAsia" w:ascii="仿宋_GB2312" w:hAnsi="Times New Roman" w:eastAsia="仿宋_GB2312" w:cs="Times New Roman"/>
                <w:sz w:val="24"/>
                <w:szCs w:val="24"/>
              </w:rPr>
              <w:t>以五朵山、宝天曼、丹霞寺、天池旅游为重点，发展休闲度假旅游、康养旅游、特色民宿等产业，积极打造“全域旅游”示范区。</w:t>
            </w:r>
          </w:p>
          <w:p>
            <w:pPr>
              <w:pStyle w:val="14"/>
              <w:overflowPunct w:val="0"/>
              <w:adjustRightInd w:val="0"/>
              <w:snapToGrid w:val="0"/>
              <w:spacing w:line="400" w:lineRule="exact"/>
              <w:ind w:firstLine="480" w:firstLineChars="200"/>
              <w:contextualSpacing/>
              <w:rPr>
                <w:rFonts w:ascii="仿宋" w:hAnsi="仿宋" w:eastAsia="仿宋"/>
              </w:rPr>
            </w:pPr>
            <w:r>
              <w:rPr>
                <w:rFonts w:hint="eastAsia" w:ascii="楷体" w:hAnsi="楷体" w:eastAsia="楷体"/>
                <w:bCs/>
                <w:sz w:val="24"/>
                <w:szCs w:val="24"/>
              </w:rPr>
              <w:t>新野县。</w:t>
            </w:r>
            <w:r>
              <w:rPr>
                <w:rFonts w:hint="eastAsia" w:ascii="仿宋_GB2312" w:hAnsi="Times New Roman" w:eastAsia="仿宋_GB2312" w:cs="Times New Roman"/>
                <w:sz w:val="24"/>
                <w:szCs w:val="24"/>
              </w:rPr>
              <w:t>依托蔬菜林果种植和农业资源优势，重点发展农产品商贸流通、商务金融、文化休闲等产业，全力打造乡村旅游新形象。</w:t>
            </w:r>
          </w:p>
        </w:tc>
      </w:tr>
    </w:tbl>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多点支撑。</w:t>
      </w:r>
      <w:r>
        <w:rPr>
          <w:rFonts w:hint="eastAsia" w:ascii="仿宋_GB2312" w:hAnsi="Times New Roman"/>
          <w:kern w:val="0"/>
        </w:rPr>
        <w:t>加快推进各类服务业载体的提质升级，谋划建设一批服务业创新引领示范区，打造服务业高能级发展平台。加快建设卧龙岗文化园、医圣祠文化园、赊店酒乡特色文化创意园、万邦厚疆农产品批发市场、内乡牧原智慧物流园、牧原集团数据湖云计算中心、建业田园综合体等一批重点服务业项目。</w:t>
      </w:r>
    </w:p>
    <w:p>
      <w:pPr>
        <w:pStyle w:val="6"/>
        <w:keepLines w:val="0"/>
        <w:autoSpaceDE w:val="0"/>
        <w:autoSpaceDN w:val="0"/>
        <w:spacing w:line="560" w:lineRule="exact"/>
        <w:ind w:firstLine="0" w:firstLineChars="0"/>
        <w:contextualSpacing/>
        <w:jc w:val="center"/>
        <w:rPr>
          <w:rFonts w:ascii="Times New Roman" w:hAnsi="Times New Roman"/>
          <w:kern w:val="0"/>
          <w:szCs w:val="32"/>
        </w:rPr>
      </w:pPr>
      <w:bookmarkStart w:id="1305" w:name="_Toc99015564"/>
      <w:bookmarkEnd w:id="1305"/>
      <w:bookmarkStart w:id="1306" w:name="_Toc13534"/>
      <w:r>
        <w:rPr>
          <w:rFonts w:hint="eastAsia" w:ascii="黑体" w:hAnsi="黑体"/>
          <w:bCs/>
          <w:kern w:val="0"/>
          <w:szCs w:val="32"/>
        </w:rPr>
        <w:t>第三章</w:t>
      </w:r>
      <w:r>
        <w:rPr>
          <w:rFonts w:hint="eastAsia" w:ascii="Times New Roman" w:hAnsi="Times New Roman"/>
          <w:bCs/>
          <w:kern w:val="0"/>
          <w:szCs w:val="32"/>
        </w:rPr>
        <w:t xml:space="preserve"> </w:t>
      </w:r>
      <w:r>
        <w:rPr>
          <w:rFonts w:hint="eastAsia" w:ascii="黑体" w:hAnsi="黑体"/>
          <w:bCs/>
          <w:kern w:val="0"/>
          <w:szCs w:val="32"/>
        </w:rPr>
        <w:t>彰显</w:t>
      </w:r>
      <w:bookmarkEnd w:id="1306"/>
      <w:r>
        <w:rPr>
          <w:rFonts w:hint="eastAsia" w:ascii="黑体" w:hAnsi="黑体"/>
          <w:bCs/>
          <w:kern w:val="0"/>
          <w:szCs w:val="32"/>
        </w:rPr>
        <w:t>地域特色，构建现代服务业新体系</w:t>
      </w:r>
    </w:p>
    <w:p>
      <w:pPr>
        <w:pStyle w:val="7"/>
        <w:keepLines w:val="0"/>
        <w:autoSpaceDE w:val="0"/>
        <w:autoSpaceDN w:val="0"/>
        <w:spacing w:line="560" w:lineRule="exact"/>
        <w:contextualSpacing/>
        <w:jc w:val="center"/>
        <w:rPr>
          <w:rFonts w:ascii="Times New Roman" w:hAnsi="Times New Roman" w:eastAsia="楷体_GB2312"/>
          <w:b w:val="0"/>
          <w:bCs/>
          <w:szCs w:val="32"/>
        </w:rPr>
      </w:pPr>
      <w:bookmarkStart w:id="1307" w:name="_Toc99015565"/>
      <w:bookmarkEnd w:id="1307"/>
      <w:r>
        <w:rPr>
          <w:rFonts w:hint="eastAsia" w:ascii="楷体_GB2312" w:hAnsi="Times New Roman" w:eastAsia="楷体_GB2312"/>
          <w:b w:val="0"/>
          <w:bCs/>
        </w:rPr>
        <w:t>第一节</w:t>
      </w:r>
      <w:r>
        <w:rPr>
          <w:rFonts w:hint="eastAsia" w:ascii="Times New Roman" w:hAnsi="Times New Roman" w:eastAsia="楷体_GB2312"/>
          <w:b w:val="0"/>
          <w:bCs/>
        </w:rPr>
        <w:t xml:space="preserve"> </w:t>
      </w:r>
      <w:r>
        <w:rPr>
          <w:rFonts w:hint="eastAsia" w:ascii="楷体_GB2312" w:hAnsi="Times New Roman" w:eastAsia="楷体_GB2312"/>
          <w:b w:val="0"/>
          <w:bCs/>
        </w:rPr>
        <w:t>做大做强生产性服务业</w:t>
      </w:r>
    </w:p>
    <w:p>
      <w:pPr>
        <w:autoSpaceDE w:val="0"/>
        <w:autoSpaceDN w:val="0"/>
        <w:spacing w:line="560" w:lineRule="exact"/>
        <w:ind w:firstLine="640" w:firstLineChars="200"/>
        <w:contextualSpacing/>
        <w:rPr>
          <w:rFonts w:ascii="Times New Roman" w:hAnsi="Times New Roman"/>
          <w:kern w:val="0"/>
        </w:rPr>
      </w:pPr>
      <w:r>
        <w:rPr>
          <w:rFonts w:hint="eastAsia" w:ascii="仿宋_GB2312" w:hAnsi="Times New Roman"/>
          <w:kern w:val="0"/>
        </w:rPr>
        <w:t>顺应产业融合需求，秉承</w:t>
      </w:r>
      <w:r>
        <w:rPr>
          <w:rFonts w:hint="eastAsia" w:ascii="Times New Roman" w:hAnsi="Times New Roman"/>
          <w:kern w:val="0"/>
        </w:rPr>
        <w:t>“两业并举”，以服务产业升级、提高流通效率为导向，大力发展现代金融、现代物流</w:t>
      </w:r>
      <w:r>
        <w:rPr>
          <w:rFonts w:hint="eastAsia" w:ascii="仿宋_GB2312" w:hAnsi="Times New Roman"/>
          <w:kern w:val="0"/>
        </w:rPr>
        <w:t>、科技服务、信息服务、中介服务、节能环保服务、教育培训等七大生产性服务业，扩大专业化服务规模，培育生产性服务产业集群，推动生产性服务业加快向专业化和价值链高端延伸。</w:t>
      </w:r>
    </w:p>
    <w:p>
      <w:pPr>
        <w:spacing w:line="560" w:lineRule="exact"/>
        <w:ind w:firstLine="640" w:firstLineChars="200"/>
        <w:contextualSpacing/>
        <w:rPr>
          <w:rFonts w:ascii="Times New Roman" w:hAnsi="Times New Roman"/>
          <w:kern w:val="0"/>
        </w:rPr>
      </w:pPr>
      <w:r>
        <w:rPr>
          <w:rFonts w:hint="eastAsia" w:ascii="仿宋_GB2312"/>
          <w:bCs/>
          <w:kern w:val="0"/>
        </w:rPr>
        <w:t>现代金融。</w:t>
      </w:r>
      <w:r>
        <w:rPr>
          <w:rFonts w:hint="eastAsia" w:ascii="仿宋_GB2312" w:hAnsi="Times New Roman"/>
          <w:kern w:val="0"/>
        </w:rPr>
        <w:t>着力完善现代金融产业体系，聚力发展新金融业态，谋划发展地方特色金融，推动金融业高质量发展，构建现代化、普惠化、便利化的金融服务体系，努力把南阳建设成为立足豫西南、服务豫鄂陕的现代金融服务中心。</w:t>
      </w:r>
    </w:p>
    <w:p>
      <w:pPr>
        <w:autoSpaceDE w:val="0"/>
        <w:autoSpaceDN w:val="0"/>
        <w:spacing w:line="560" w:lineRule="exact"/>
        <w:ind w:firstLine="640" w:firstLineChars="200"/>
        <w:contextualSpacing/>
        <w:rPr>
          <w:rFonts w:ascii="Times New Roman" w:hAnsi="Times New Roman"/>
          <w:bCs/>
          <w:kern w:val="0"/>
        </w:rPr>
      </w:pPr>
      <w:r>
        <w:rPr>
          <w:rFonts w:hint="eastAsia" w:ascii="Times New Roman" w:hAnsi="Times New Roman"/>
          <w:bCs/>
          <w:kern w:val="0"/>
        </w:rPr>
        <w:t>——持续实施“招金入宛”工程。</w:t>
      </w:r>
      <w:r>
        <w:rPr>
          <w:rFonts w:hint="eastAsia" w:ascii="仿宋_GB2312" w:hAnsi="Times New Roman"/>
          <w:kern w:val="0"/>
        </w:rPr>
        <w:t>实施招行引资工程，鼓励保险、基金、证券、投资公司等非银行类金融机构在南阳设立分支机构，支持南阳设立财务公司、金融信托、资产管理公司等金融机构，鼓励在宛投资注册大型金融发展集团，打造辐射豫西南地区的现代金融中心。加强与省产业发展基金、新兴产业投资引导基金、省铁路产业投资基金等政策性引导基金的衔接，力争设立南阳子基金。加强与国开行、进出口银行、农发行、大型保险公司等合作，争取更多开发性资金、政策性资金支持，大力吸引保险资金投入地方建设。</w:t>
      </w:r>
      <w:r>
        <w:rPr>
          <w:rFonts w:hint="eastAsia" w:ascii="仿宋_GB2312"/>
        </w:rPr>
        <w:t>推进市级政府性融资担保机构健康有序发展，</w:t>
      </w:r>
      <w:r>
        <w:rPr>
          <w:rFonts w:hint="eastAsia" w:ascii="仿宋_GB2312" w:hAnsi="Times New Roman"/>
          <w:kern w:val="0"/>
        </w:rPr>
        <w:t>探索创建南阳农商银行、融资租赁、商业保理等地方金融组织，加快金融街区建设。</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——创新金融产品和服务。</w:t>
      </w:r>
      <w:r>
        <w:rPr>
          <w:rFonts w:hint="eastAsia" w:ascii="仿宋_GB2312" w:hAnsi="Times New Roman"/>
          <w:kern w:val="0"/>
        </w:rPr>
        <w:t>积极开展数字金融、绿色金融、普惠金融、供应链金融、科技金融等业态创新。鼓励银行、证券、保险、基金、信托等现代金融机构依托互联网、大数据、人工智能等手段，融入区块链技术，构建</w:t>
      </w:r>
      <w:r>
        <w:rPr>
          <w:rFonts w:hint="eastAsia" w:ascii="Times New Roman" w:hAnsi="Times New Roman"/>
          <w:kern w:val="0"/>
        </w:rPr>
        <w:t>“区块链+</w:t>
      </w:r>
      <w:r>
        <w:rPr>
          <w:rFonts w:hint="eastAsia" w:ascii="仿宋_GB2312" w:hAnsi="Times New Roman"/>
          <w:kern w:val="0"/>
        </w:rPr>
        <w:t>智慧金融”，促进“互联网</w:t>
      </w:r>
      <w:r>
        <w:rPr>
          <w:rFonts w:hint="eastAsia" w:ascii="Times New Roman" w:hAnsi="Times New Roman"/>
          <w:kern w:val="0"/>
        </w:rPr>
        <w:t>+</w:t>
      </w:r>
      <w:r>
        <w:rPr>
          <w:rFonts w:hint="eastAsia" w:ascii="仿宋_GB2312" w:hAnsi="Times New Roman"/>
          <w:kern w:val="0"/>
        </w:rPr>
        <w:t>金融”发展。鼓励发展绿色金融，加大绿色信贷、绿色债券投放发行力度，建立绿色金融标准体系，开展碳排放金融服务，争创国家绿色金融改革创新试验区。大力发展科技金融，积极开展科技风险投资、科技融资担保、科技贷款风险补偿、知识产权质押等科技金融产品，</w:t>
      </w:r>
      <w:r>
        <w:rPr>
          <w:rFonts w:hint="eastAsia" w:ascii="仿宋_GB2312"/>
        </w:rPr>
        <w:t>对接省级地方政策性金融产品体系，大力发展科创金融服务</w:t>
      </w:r>
      <w:r>
        <w:rPr>
          <w:rFonts w:hint="eastAsia" w:ascii="仿宋_GB2312" w:hAnsi="Times New Roman"/>
          <w:kern w:val="0"/>
        </w:rPr>
        <w:t>。</w:t>
      </w:r>
      <w:r>
        <w:rPr>
          <w:rFonts w:hint="eastAsia" w:ascii="仿宋_GB2312"/>
        </w:rPr>
        <w:t>扩大IPO资本市场再融资、发债，ABS等直接融资，</w:t>
      </w:r>
      <w:r>
        <w:rPr>
          <w:rFonts w:hint="eastAsia" w:ascii="仿宋_GB2312" w:hAnsi="Times New Roman"/>
          <w:kern w:val="0"/>
        </w:rPr>
        <w:t>大力发展现代保险服务业，继续推动农业保险、大病保险、安全责任保险等与公众利益关系密切的险种发展，不断拓宽保险的覆盖面和渗透度。</w:t>
      </w:r>
    </w:p>
    <w:p>
      <w:pPr>
        <w:autoSpaceDE w:val="0"/>
        <w:autoSpaceDN w:val="0"/>
        <w:spacing w:line="560" w:lineRule="exact"/>
        <w:ind w:firstLine="640" w:firstLineChars="200"/>
        <w:contextualSpacing/>
        <w:rPr>
          <w:rFonts w:ascii="仿宋_GB2312" w:hAnsi="Times New Roman"/>
          <w:kern w:val="0"/>
        </w:rPr>
      </w:pPr>
      <w:r>
        <w:rPr>
          <w:rFonts w:hint="eastAsia" w:ascii="Times New Roman" w:hAnsi="Times New Roman"/>
          <w:bCs/>
          <w:kern w:val="0"/>
        </w:rPr>
        <w:t>——加强金融风险防范。</w:t>
      </w:r>
      <w:r>
        <w:rPr>
          <w:rFonts w:hint="eastAsia" w:ascii="仿宋_GB2312" w:hAnsi="Times New Roman"/>
          <w:kern w:val="0"/>
        </w:rPr>
        <w:t>加强金融生态环境建设，构建地方金融生态环境建设长效机制。开展非法集资陈案攻坚、互联网金融整治等专项行动，促进各类金融机构平稳健康发展。建设基于大数据的金融信用和风险防控体系，实施</w:t>
      </w:r>
      <w:r>
        <w:rPr>
          <w:rFonts w:hint="eastAsia" w:ascii="Times New Roman" w:hAnsi="Times New Roman"/>
          <w:kern w:val="0"/>
        </w:rPr>
        <w:t>“互联网+</w:t>
      </w:r>
      <w:r>
        <w:rPr>
          <w:rFonts w:hint="eastAsia" w:ascii="仿宋_GB2312" w:hAnsi="Times New Roman"/>
          <w:kern w:val="0"/>
        </w:rPr>
        <w:t>”普惠金融行动，加快建设金融云服务平台。加快社会信用体系建设，进一步健全失信联合惩戒机制，及时纠正误导金融消费者的各种违法违规行为。规范发展股权众筹、产品众筹、第三方支付等互联网金融新业态，积极防范金融风险，维护金融稳定。</w:t>
      </w:r>
    </w:p>
    <w:p>
      <w:pPr>
        <w:pStyle w:val="2"/>
        <w:ind w:firstLine="640"/>
      </w:pPr>
    </w:p>
    <w:tbl>
      <w:tblPr>
        <w:tblStyle w:val="26"/>
        <w:tblW w:w="8796" w:type="dxa"/>
        <w:jc w:val="center"/>
        <w:tblLayout w:type="fixed"/>
        <w:tblCellMar>
          <w:top w:w="0" w:type="dxa"/>
          <w:left w:w="108" w:type="dxa"/>
          <w:bottom w:w="0" w:type="dxa"/>
          <w:right w:w="108" w:type="dxa"/>
        </w:tblCellMar>
      </w:tblPr>
      <w:tblGrid>
        <w:gridCol w:w="8796"/>
      </w:tblGrid>
      <w:tr>
        <w:tblPrEx>
          <w:tblCellMar>
            <w:top w:w="0" w:type="dxa"/>
            <w:left w:w="108" w:type="dxa"/>
            <w:bottom w:w="0" w:type="dxa"/>
            <w:right w:w="108" w:type="dxa"/>
          </w:tblCellMar>
        </w:tblPrEx>
        <w:trPr>
          <w:trHeight w:val="602" w:hRule="atLeast"/>
          <w:jc w:val="center"/>
        </w:trPr>
        <w:tc>
          <w:tcPr>
            <w:tcW w:w="87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contextualSpacing/>
              <w:jc w:val="center"/>
              <w:rPr>
                <w:rFonts w:ascii="仿宋" w:hAnsi="仿宋" w:eastAsia="仿宋"/>
                <w:bCs/>
              </w:rPr>
            </w:pPr>
            <w:r>
              <w:rPr>
                <w:rFonts w:hint="eastAsia" w:ascii="Times New Roman" w:hAnsi="Times New Roman" w:eastAsia="黑体"/>
                <w:sz w:val="28"/>
                <w:szCs w:val="28"/>
              </w:rPr>
              <w:t>专栏2：南阳市“十四五”现代金融业重点任务</w:t>
            </w:r>
          </w:p>
        </w:tc>
      </w:tr>
      <w:tr>
        <w:tblPrEx>
          <w:tblCellMar>
            <w:top w:w="0" w:type="dxa"/>
            <w:left w:w="108" w:type="dxa"/>
            <w:bottom w:w="0" w:type="dxa"/>
            <w:right w:w="108" w:type="dxa"/>
          </w:tblCellMar>
        </w:tblPrEx>
        <w:trPr>
          <w:trHeight w:val="90" w:hRule="atLeast"/>
          <w:jc w:val="center"/>
        </w:trPr>
        <w:tc>
          <w:tcPr>
            <w:tcW w:w="8796" w:type="dxa"/>
            <w:tcBorders>
              <w:top w:val="single" w:color="auto" w:sz="4" w:space="0"/>
              <w:left w:val="single" w:color="auto" w:sz="4" w:space="0"/>
              <w:bottom w:val="single" w:color="auto" w:sz="4" w:space="0"/>
              <w:right w:val="single" w:color="auto" w:sz="4" w:space="0"/>
            </w:tcBorders>
          </w:tcPr>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1.普惠金融。</w:t>
            </w:r>
            <w:r>
              <w:rPr>
                <w:rFonts w:hint="eastAsia" w:ascii="仿宋_GB2312" w:hAnsi="仿宋" w:cs="楷体"/>
                <w:kern w:val="0"/>
                <w:sz w:val="24"/>
                <w:szCs w:val="24"/>
              </w:rPr>
              <w:t>加快推进国家级农村金融改革试验区建设，积极推动商业银行、小额贷款公司、典当行等金融机构增强普惠金融服务能力，发展农村小额信贷业务，增强金融服务农村经济发展的能力。</w:t>
            </w:r>
          </w:p>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2.科技金融。</w:t>
            </w:r>
            <w:r>
              <w:rPr>
                <w:rFonts w:hint="eastAsia" w:ascii="仿宋_GB2312" w:hAnsi="仿宋" w:cs="楷体"/>
                <w:kern w:val="0"/>
                <w:sz w:val="24"/>
                <w:szCs w:val="24"/>
              </w:rPr>
              <w:t>发展壮大科技创业投资，提高科技企业直接融资比重，创新科技信贷产品和服务，开展投贷结合、投保贷结合等一体化经营。</w:t>
            </w:r>
          </w:p>
          <w:p>
            <w:pPr>
              <w:autoSpaceDE w:val="0"/>
              <w:autoSpaceDN w:val="0"/>
              <w:spacing w:line="400" w:lineRule="exact"/>
              <w:ind w:firstLine="480" w:firstLineChars="200"/>
              <w:contextualSpacing/>
              <w:rPr>
                <w:rFonts w:ascii="仿宋" w:hAnsi="仿宋" w:eastAsia="仿宋"/>
              </w:rPr>
            </w:pPr>
            <w:r>
              <w:rPr>
                <w:rFonts w:hint="eastAsia" w:ascii="楷体" w:hAnsi="楷体" w:eastAsia="楷体"/>
                <w:bCs/>
                <w:kern w:val="0"/>
                <w:sz w:val="24"/>
                <w:szCs w:val="24"/>
              </w:rPr>
              <w:t>3.绿色金融。</w:t>
            </w:r>
            <w:r>
              <w:rPr>
                <w:rFonts w:hint="eastAsia" w:ascii="仿宋_GB2312" w:hAnsi="仿宋" w:cs="楷体"/>
                <w:kern w:val="0"/>
                <w:sz w:val="24"/>
                <w:szCs w:val="24"/>
              </w:rPr>
              <w:t>积极探索绿色债券、绿色信贷、绿色保险等创新型金融产品实践。鼓励和支持各级各金融机构设立绿色金融事业部和绿色支行，加快推进金融机构绿色化发展。</w:t>
            </w:r>
          </w:p>
        </w:tc>
      </w:tr>
    </w:tbl>
    <w:p>
      <w:pPr>
        <w:spacing w:line="560" w:lineRule="exact"/>
        <w:ind w:firstLine="640" w:firstLineChars="200"/>
        <w:contextualSpacing/>
        <w:rPr>
          <w:rFonts w:ascii="Times New Roman" w:hAnsi="Times New Roman"/>
          <w:kern w:val="0"/>
        </w:rPr>
      </w:pPr>
      <w:r>
        <w:rPr>
          <w:rFonts w:hint="eastAsia" w:ascii="仿宋_GB2312"/>
          <w:bCs/>
          <w:kern w:val="0"/>
        </w:rPr>
        <w:t>现代物流。</w:t>
      </w:r>
      <w:r>
        <w:rPr>
          <w:rFonts w:hint="eastAsia" w:ascii="仿宋_GB2312" w:hAnsi="Times New Roman"/>
          <w:kern w:val="0"/>
        </w:rPr>
        <w:t>以建设南阳商贸服务型国家物流枢纽为契机，推动</w:t>
      </w:r>
      <w:r>
        <w:rPr>
          <w:rFonts w:hint="eastAsia" w:ascii="Times New Roman" w:hAnsi="Times New Roman"/>
          <w:kern w:val="0"/>
        </w:rPr>
        <w:t>“空铁公水”交通统筹发展，大力发展多种物流业态，构建现代物流空间新布局，逐步完善外联内通、便捷高效的多式联运体系，将南阳逐步打造为以服务豫鄂陕市场为主，辐射全国、联通国际的</w:t>
      </w:r>
      <w:r>
        <w:rPr>
          <w:rFonts w:hint="eastAsia" w:ascii="仿宋_GB2312" w:hAnsi="Times New Roman"/>
          <w:kern w:val="0"/>
        </w:rPr>
        <w:t>物流枢纽。到</w:t>
      </w:r>
      <w:r>
        <w:rPr>
          <w:rFonts w:hint="eastAsia" w:ascii="Times New Roman" w:hAnsi="Times New Roman"/>
          <w:kern w:val="0"/>
        </w:rPr>
        <w:t>2025</w:t>
      </w:r>
      <w:r>
        <w:rPr>
          <w:rFonts w:hint="eastAsia" w:ascii="仿宋_GB2312" w:hAnsi="Times New Roman"/>
          <w:kern w:val="0"/>
        </w:rPr>
        <w:t>年，全市货物运输量达到</w:t>
      </w:r>
      <w:r>
        <w:rPr>
          <w:rFonts w:hint="eastAsia" w:ascii="Times New Roman" w:hAnsi="Times New Roman"/>
          <w:kern w:val="0"/>
        </w:rPr>
        <w:t>4</w:t>
      </w:r>
      <w:r>
        <w:rPr>
          <w:rFonts w:hint="eastAsia" w:ascii="仿宋_GB2312" w:hAnsi="Times New Roman"/>
          <w:kern w:val="0"/>
        </w:rPr>
        <w:t>亿吨，货物周转量达到</w:t>
      </w:r>
      <w:r>
        <w:rPr>
          <w:rFonts w:hint="eastAsia" w:ascii="Times New Roman" w:hAnsi="Times New Roman"/>
          <w:kern w:val="0"/>
        </w:rPr>
        <w:t>1050</w:t>
      </w:r>
      <w:r>
        <w:rPr>
          <w:rFonts w:hint="eastAsia" w:ascii="仿宋_GB2312" w:hAnsi="Times New Roman"/>
          <w:kern w:val="0"/>
        </w:rPr>
        <w:t>亿吨公里，全社会物流总成本占地区生产总值的比重降低到</w:t>
      </w:r>
      <w:r>
        <w:rPr>
          <w:rFonts w:hint="eastAsia" w:ascii="Times New Roman" w:hAnsi="Times New Roman"/>
          <w:kern w:val="0"/>
        </w:rPr>
        <w:t>12.6%</w:t>
      </w:r>
      <w:r>
        <w:rPr>
          <w:rFonts w:hint="eastAsia" w:ascii="仿宋_GB2312" w:hAnsi="Times New Roman"/>
          <w:kern w:val="0"/>
        </w:rPr>
        <w:t>以下。</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——加快</w:t>
      </w:r>
      <w:r>
        <w:rPr>
          <w:rFonts w:hint="eastAsia" w:ascii="仿宋_GB2312" w:hAnsi="Times New Roman"/>
          <w:bCs/>
          <w:kern w:val="0"/>
        </w:rPr>
        <w:t>构建现代物流体系。</w:t>
      </w:r>
      <w:r>
        <w:rPr>
          <w:rFonts w:hint="eastAsia" w:ascii="仿宋_GB2312" w:hAnsi="Times New Roman"/>
          <w:kern w:val="0"/>
        </w:rPr>
        <w:t>依托逐步形成的</w:t>
      </w:r>
      <w:r>
        <w:rPr>
          <w:rFonts w:hint="eastAsia" w:ascii="Times New Roman" w:hAnsi="Times New Roman"/>
          <w:kern w:val="0"/>
        </w:rPr>
        <w:t>“空铁公水”综合交通体系，加快建设以综合物流分拨中心为引领，以南阳卧龙现代物流片区、南阳现代冷链物流片区、南阳高铁商贸物流片区为重点，以其他物流园区、物流企业为节点的“1+3+N</w:t>
      </w:r>
      <w:r>
        <w:rPr>
          <w:rFonts w:hint="eastAsia" w:ascii="仿宋_GB2312" w:hAnsi="Times New Roman"/>
          <w:kern w:val="0"/>
        </w:rPr>
        <w:t>”三级物流体系。加快建设南阳商贸服务型国家物流枢纽，推动市域商贸物流资源有效整合，谋划建设国际陆港物流园、卧龙综合保税区保税冷链物流中心、卧龙综合保税区铁路专用线等重点项目，培育形成要素集聚全、流通效率高、业态模式新、聚合能力强的枢纽经济增长极。</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——打造多式联运新模式。</w:t>
      </w:r>
      <w:r>
        <w:rPr>
          <w:rFonts w:hint="eastAsia" w:ascii="仿宋_GB2312" w:hAnsi="Times New Roman"/>
          <w:kern w:val="0"/>
        </w:rPr>
        <w:t>依托焦柳铁路、宁西铁路、浩吉铁路等干线铁路建设铁路专用线，推动大宗货物工矿企业和新建物流园区接入铁路专用线，提高铁路运输比例。完善南阳高铁东站货运设施，增设行包通道及多式联运配套设施。加快推进唐河、白河复航工程及唐河港、南阳港等内河港口建设，加强与宁波港、天津港等开展合作，打通南阳国际海运通道，谋划建设国际临港经济区。加快发展航空物流，推进邓州、鸭河、镇平等通用机场建设和南阳机场迁建，加快南阳机场与新郑国际机场联动发展，适时开通国际国内货运航线，谋划建设临空经济区。积极推进南阳卧龙综合保税区国际陆港多式联运示范工程建设，加快发展</w:t>
      </w:r>
      <w:r>
        <w:rPr>
          <w:rFonts w:hint="eastAsia" w:ascii="Times New Roman" w:hAnsi="Times New Roman"/>
          <w:kern w:val="0"/>
        </w:rPr>
        <w:t>“一单制”联运服务，提高航空、铁路、公路、水路运输之间的衔接效率。</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——发展多种物流业态。</w:t>
      </w:r>
      <w:r>
        <w:rPr>
          <w:rFonts w:hint="eastAsia" w:ascii="仿宋_GB2312" w:hAnsi="Times New Roman"/>
          <w:kern w:val="0"/>
        </w:rPr>
        <w:t>以电商物流、快递物流、冷链物流、保税物流、供应链物流为重点，加快城乡快递网点建设，完善电商快递一体化服务网络，建立市、县、乡、村四级全覆盖的电商快递物流服务体系。依托南阳存量冷链物流基础设施，与南阳农产品、中药材、花卉等产品相结合，发展</w:t>
      </w:r>
      <w:r>
        <w:rPr>
          <w:rFonts w:hint="eastAsia" w:ascii="Times New Roman" w:hAnsi="Times New Roman"/>
          <w:kern w:val="0"/>
        </w:rPr>
        <w:t>“冷链配送+</w:t>
      </w:r>
      <w:r>
        <w:rPr>
          <w:rFonts w:hint="eastAsia" w:ascii="仿宋_GB2312" w:hAnsi="Times New Roman"/>
          <w:kern w:val="0"/>
        </w:rPr>
        <w:t>连锁零售”“生产基地</w:t>
      </w:r>
      <w:r>
        <w:rPr>
          <w:rFonts w:hint="eastAsia" w:ascii="Times New Roman" w:hAnsi="Times New Roman"/>
          <w:kern w:val="0"/>
        </w:rPr>
        <w:t>+</w:t>
      </w:r>
      <w:r>
        <w:rPr>
          <w:rFonts w:hint="eastAsia" w:ascii="仿宋_GB2312" w:hAnsi="Times New Roman"/>
          <w:kern w:val="0"/>
        </w:rPr>
        <w:t>电商</w:t>
      </w:r>
      <w:r>
        <w:rPr>
          <w:rFonts w:hint="eastAsia" w:ascii="Times New Roman" w:hAnsi="Times New Roman"/>
          <w:kern w:val="0"/>
        </w:rPr>
        <w:t>+</w:t>
      </w:r>
      <w:r>
        <w:rPr>
          <w:rFonts w:hint="eastAsia" w:ascii="仿宋_GB2312" w:hAnsi="Times New Roman"/>
          <w:kern w:val="0"/>
        </w:rPr>
        <w:t>冷链快递</w:t>
      </w:r>
      <w:r>
        <w:rPr>
          <w:rFonts w:hint="eastAsia" w:ascii="Times New Roman" w:hAnsi="Times New Roman"/>
          <w:kern w:val="0"/>
        </w:rPr>
        <w:t>+</w:t>
      </w:r>
      <w:r>
        <w:rPr>
          <w:rFonts w:hint="eastAsia" w:ascii="仿宋_GB2312" w:hAnsi="Times New Roman"/>
          <w:kern w:val="0"/>
        </w:rPr>
        <w:t>智能菜柜”等新模式，形成“干线运输</w:t>
      </w:r>
      <w:r>
        <w:rPr>
          <w:rFonts w:hint="eastAsia" w:ascii="Times New Roman" w:hAnsi="Times New Roman"/>
          <w:kern w:val="0"/>
        </w:rPr>
        <w:t>+</w:t>
      </w:r>
      <w:r>
        <w:rPr>
          <w:rFonts w:hint="eastAsia" w:ascii="仿宋_GB2312" w:hAnsi="Times New Roman"/>
          <w:kern w:val="0"/>
        </w:rPr>
        <w:t>神经末梢”的冷链共同配送网络。支持大型流通企业向供应链集成服务商转型，引进供应链管理企业及第三方、第四方物流企业，形成集中采购、集中仓储、集中加工、集中配送为一体的供应链物流服务体系。围绕医疗储运设施和粮食农产品物流基地，建立一批专业化应急物资储备基地和快速转运分拨中心、配送中心，构建完善市县两级联动应急物流响应机制。</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——着力提升物流信息化水平。</w:t>
      </w:r>
      <w:r>
        <w:rPr>
          <w:rFonts w:hint="eastAsia" w:ascii="仿宋_GB2312" w:hAnsi="Times New Roman"/>
          <w:kern w:val="0"/>
        </w:rPr>
        <w:t>加快建设河南宛美现代物流暨信息公共服务平台，实现各物流园区、信息平台之间数据共享和信息互通互联，推动南阳市物流行业实现数字化、智慧化发展。推动物流枢纽、物流园区（基地）、港口码头、货运场站等物流基础设施的数字化改造升级，建设智能仓储和配送调配体系，打造一批智慧物流园区、无人场站、智能通关口岸和智能立体仓库。发展</w:t>
      </w:r>
      <w:r>
        <w:rPr>
          <w:rFonts w:hint="eastAsia" w:ascii="Times New Roman" w:hAnsi="Times New Roman"/>
          <w:kern w:val="0"/>
        </w:rPr>
        <w:t>“互联网+</w:t>
      </w:r>
      <w:r>
        <w:rPr>
          <w:rFonts w:hint="eastAsia" w:ascii="仿宋_GB2312" w:hAnsi="Times New Roman"/>
          <w:kern w:val="0"/>
        </w:rPr>
        <w:t>”车货交易、网络货运等物流新业态，积极发展互联网平台经济。积极鼓励企业推行货运电子运单标准化制度建设，推广全程“一站式”“一单制”联运服务。实施物流标准化服务示范工程，选择大型物流企业、物流园区（中心）开展物流标准化试点工作并逐步推广。</w:t>
      </w:r>
    </w:p>
    <w:tbl>
      <w:tblPr>
        <w:tblStyle w:val="26"/>
        <w:tblW w:w="8568" w:type="dxa"/>
        <w:jc w:val="center"/>
        <w:tblLayout w:type="fixed"/>
        <w:tblCellMar>
          <w:top w:w="0" w:type="dxa"/>
          <w:left w:w="108" w:type="dxa"/>
          <w:bottom w:w="0" w:type="dxa"/>
          <w:right w:w="108" w:type="dxa"/>
        </w:tblCellMar>
      </w:tblPr>
      <w:tblGrid>
        <w:gridCol w:w="8568"/>
      </w:tblGrid>
      <w:tr>
        <w:tblPrEx>
          <w:tblCellMar>
            <w:top w:w="0" w:type="dxa"/>
            <w:left w:w="108" w:type="dxa"/>
            <w:bottom w:w="0" w:type="dxa"/>
            <w:right w:w="108" w:type="dxa"/>
          </w:tblCellMar>
        </w:tblPrEx>
        <w:trPr>
          <w:trHeight w:val="599" w:hRule="atLeast"/>
          <w:jc w:val="center"/>
        </w:trPr>
        <w:tc>
          <w:tcPr>
            <w:tcW w:w="85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contextualSpacing/>
              <w:jc w:val="center"/>
              <w:rPr>
                <w:rFonts w:ascii="仿宋" w:hAnsi="仿宋" w:eastAsia="仿宋"/>
                <w:bCs/>
              </w:rPr>
            </w:pPr>
            <w:r>
              <w:rPr>
                <w:rFonts w:hint="eastAsia" w:ascii="Times New Roman" w:hAnsi="Times New Roman" w:eastAsia="黑体"/>
                <w:sz w:val="28"/>
                <w:szCs w:val="28"/>
              </w:rPr>
              <w:t>专栏3：南阳市“十四五”现代物流业发展重点工程</w:t>
            </w:r>
          </w:p>
        </w:tc>
      </w:tr>
      <w:tr>
        <w:tblPrEx>
          <w:tblCellMar>
            <w:top w:w="0" w:type="dxa"/>
            <w:left w:w="108" w:type="dxa"/>
            <w:bottom w:w="0" w:type="dxa"/>
            <w:right w:w="108" w:type="dxa"/>
          </w:tblCellMar>
        </w:tblPrEx>
        <w:trPr>
          <w:trHeight w:val="965" w:hRule="atLeast"/>
          <w:jc w:val="center"/>
        </w:trPr>
        <w:tc>
          <w:tcPr>
            <w:tcW w:w="8568" w:type="dxa"/>
            <w:tcBorders>
              <w:top w:val="single" w:color="auto" w:sz="4" w:space="0"/>
              <w:left w:val="single" w:color="auto" w:sz="4" w:space="0"/>
              <w:bottom w:val="single" w:color="auto" w:sz="4" w:space="0"/>
              <w:right w:val="single" w:color="auto" w:sz="4" w:space="0"/>
            </w:tcBorders>
          </w:tcPr>
          <w:p>
            <w:pPr>
              <w:autoSpaceDE w:val="0"/>
              <w:autoSpaceDN w:val="0"/>
              <w:spacing w:line="400" w:lineRule="exact"/>
              <w:ind w:firstLine="480" w:firstLineChars="200"/>
              <w:contextualSpacing/>
              <w:rPr>
                <w:rFonts w:ascii="仿宋_GB2312" w:hAnsi="仿宋" w:cs="楷体"/>
                <w:kern w:val="0"/>
                <w:sz w:val="24"/>
                <w:szCs w:val="24"/>
              </w:rPr>
            </w:pPr>
            <w:r>
              <w:rPr>
                <w:rFonts w:hint="eastAsia" w:ascii="楷体" w:hAnsi="楷体" w:eastAsia="楷体"/>
                <w:bCs/>
                <w:kern w:val="0"/>
                <w:sz w:val="24"/>
                <w:szCs w:val="24"/>
              </w:rPr>
              <w:t>1.枢纽强基工程。</w:t>
            </w:r>
            <w:r>
              <w:rPr>
                <w:rFonts w:hint="eastAsia" w:ascii="仿宋_GB2312" w:hAnsi="仿宋" w:cs="楷体"/>
                <w:kern w:val="0"/>
                <w:sz w:val="24"/>
                <w:szCs w:val="24"/>
              </w:rPr>
              <w:t>加快建设南阳商贸服务型国家物流枢纽，引进和培育一批资源整合能力强、运营模式先进的物流企业，促进区域内和跨区域物流活动组织化、规模化、网络化运行。加快建设唐河县省级区域物流枢纽建设，重点推进唐河县年中转300万吨粮食物流园、唐河县临港物流园等项目建设。</w:t>
            </w:r>
          </w:p>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2.转型创新工程。</w:t>
            </w:r>
            <w:r>
              <w:rPr>
                <w:rFonts w:hint="eastAsia" w:ascii="仿宋_GB2312" w:hAnsi="仿宋" w:cs="楷体"/>
                <w:kern w:val="0"/>
                <w:sz w:val="24"/>
                <w:szCs w:val="24"/>
              </w:rPr>
              <w:t>推动物流综合信息平台建设，支持龙头企业建设社会化物流信息服务平台。加快物流数智基础设施建设，推动物流园区、大型仓储基地等智慧化改造。提升物流企业数字化能力，支持装备制造、纺织服装、绿色食品等领域的骨干企业建立或参与建设行业物流信息平台。</w:t>
            </w:r>
          </w:p>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3.物流协同工程。</w:t>
            </w:r>
            <w:r>
              <w:rPr>
                <w:rFonts w:hint="eastAsia" w:ascii="仿宋_GB2312" w:hAnsi="仿宋" w:cs="楷体"/>
                <w:kern w:val="0"/>
                <w:sz w:val="24"/>
                <w:szCs w:val="24"/>
              </w:rPr>
              <w:t>推动城乡统仓共配发展，建立健全城乡一体、双向畅通的物流服务网络和配送体系。升级农村物流设施网络，推广农村物流定时定点定线“货运专班”模式，升级实施“邮政到乡”“快递进村”工程，引导电商、邮政、快递企业由“服务到村”向“驻村设点”转型。</w:t>
            </w:r>
          </w:p>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4.联运提升工程。</w:t>
            </w:r>
            <w:r>
              <w:rPr>
                <w:rFonts w:hint="eastAsia" w:ascii="仿宋_GB2312" w:hAnsi="仿宋" w:cs="楷体"/>
                <w:kern w:val="0"/>
                <w:sz w:val="24"/>
                <w:szCs w:val="24"/>
              </w:rPr>
              <w:t>加强多式联运中转设施建设，推动内乡、西峡、南召等公铁联运枢纽和浙川、唐河等水陆联运枢纽建设，推动大宗货物工矿企业和新建物流园区接入铁路专用线，打造内乡国家级煤炭陆港（国家级煤炭战略储备基地），探索与大型快递企业共同建设航空快件分拨中心、航空冷链运输中心。开展多式联运试点示范工程，探索确立一批多式联运试点示范企业和园区。</w:t>
            </w:r>
          </w:p>
          <w:p>
            <w:pPr>
              <w:autoSpaceDE w:val="0"/>
              <w:autoSpaceDN w:val="0"/>
              <w:spacing w:line="400" w:lineRule="exact"/>
              <w:ind w:firstLine="480" w:firstLineChars="200"/>
              <w:contextualSpacing/>
              <w:rPr>
                <w:rFonts w:eastAsia="宋体"/>
                <w:sz w:val="21"/>
                <w:szCs w:val="21"/>
              </w:rPr>
            </w:pPr>
            <w:r>
              <w:rPr>
                <w:rFonts w:hint="eastAsia" w:ascii="楷体" w:hAnsi="楷体" w:eastAsia="楷体"/>
                <w:bCs/>
                <w:kern w:val="0"/>
                <w:sz w:val="24"/>
                <w:szCs w:val="24"/>
              </w:rPr>
              <w:t>5.企业培育工程。</w:t>
            </w:r>
            <w:r>
              <w:rPr>
                <w:rFonts w:hint="eastAsia" w:ascii="仿宋_GB2312" w:hAnsi="仿宋" w:cs="楷体"/>
                <w:kern w:val="0"/>
                <w:sz w:val="24"/>
                <w:szCs w:val="24"/>
              </w:rPr>
              <w:t>引进培育一批标杆企业，加大省级物流示范园区和3A级以上物流企业培育和政策扶持力度。发展壮大一批骨干企业，支持宛美物流、溧河物流、东森医药物流等本地大型物流企业发展壮大，鼓励物流企业通过联盟合作、收购兼并等方式做大做强，培育细分市场领军物流企业。</w:t>
            </w:r>
          </w:p>
        </w:tc>
      </w:tr>
    </w:tbl>
    <w:p>
      <w:pPr>
        <w:spacing w:line="560" w:lineRule="exact"/>
        <w:ind w:firstLine="640" w:firstLineChars="200"/>
        <w:contextualSpacing/>
        <w:rPr>
          <w:rFonts w:ascii="Times New Roman" w:hAnsi="Times New Roman"/>
          <w:kern w:val="0"/>
        </w:rPr>
      </w:pPr>
      <w:r>
        <w:rPr>
          <w:rFonts w:hint="eastAsia" w:ascii="仿宋_GB2312"/>
          <w:bCs/>
          <w:kern w:val="0"/>
        </w:rPr>
        <w:t>科技服务。</w:t>
      </w:r>
      <w:r>
        <w:rPr>
          <w:rFonts w:hint="eastAsia" w:ascii="仿宋_GB2312" w:hAnsi="Times New Roman"/>
          <w:kern w:val="0"/>
        </w:rPr>
        <w:t>以促进科技服务业与产业融合创新为目标，优化科技资源布局，加快科技创新平台建设，大力发展研发设计服务，推动科技成果进一步转移转化，形成覆盖科技创新全链条的科技服务体系，为南阳构建现代化经济体系提供科技支撑。</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——构建创新创业服务体系。</w:t>
      </w:r>
      <w:r>
        <w:rPr>
          <w:rFonts w:hint="eastAsia" w:ascii="仿宋_GB2312" w:hAnsi="Times New Roman"/>
          <w:kern w:val="0"/>
        </w:rPr>
        <w:t>大力实施重点企业培育计划，加快推进科技企业孵化器、众创空间、</w:t>
      </w:r>
      <w:r>
        <w:rPr>
          <w:rFonts w:hint="eastAsia" w:ascii="Times New Roman" w:hAnsi="Times New Roman"/>
          <w:kern w:val="0"/>
        </w:rPr>
        <w:t>“双创”基地等创新创业孵化平台建设，建设产业创新服务综合体。采取“项目-</w:t>
      </w:r>
      <w:r>
        <w:rPr>
          <w:rFonts w:hint="eastAsia" w:ascii="仿宋_GB2312" w:hAnsi="Times New Roman"/>
          <w:kern w:val="0"/>
        </w:rPr>
        <w:t>人才</w:t>
      </w:r>
      <w:r>
        <w:rPr>
          <w:rFonts w:hint="eastAsia" w:ascii="Times New Roman" w:hAnsi="Times New Roman"/>
          <w:kern w:val="0"/>
        </w:rPr>
        <w:t>-</w:t>
      </w:r>
      <w:r>
        <w:rPr>
          <w:rFonts w:hint="eastAsia" w:ascii="仿宋_GB2312" w:hAnsi="Times New Roman"/>
          <w:kern w:val="0"/>
        </w:rPr>
        <w:t>基地”相结合的科技合作模式，着重在防爆、新材料、光电、新能源、现代农业等领域加大布局，联合相关企业开展协同攻关，突破产业发展核心关键技术，创建国际科技合作基地。充分发挥河南省中科院成果转移转化南阳分中心、郑州大学南阳研究院等重大载体优势，形成创新资源集聚高地。积极推进</w:t>
      </w:r>
      <w:r>
        <w:rPr>
          <w:rFonts w:hint="eastAsia" w:ascii="Times New Roman" w:hAnsi="Times New Roman"/>
          <w:kern w:val="0"/>
        </w:rPr>
        <w:t>“互联网+</w:t>
      </w:r>
      <w:r>
        <w:rPr>
          <w:rFonts w:hint="eastAsia" w:ascii="仿宋_GB2312" w:hAnsi="Times New Roman"/>
          <w:kern w:val="0"/>
        </w:rPr>
        <w:t>创新创业”新模式，探索建设企业、载体、科技和金融互通互联的创新、创业服务平台。</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——加快科</w:t>
      </w:r>
      <w:r>
        <w:rPr>
          <w:rFonts w:hint="eastAsia" w:ascii="仿宋_GB2312"/>
          <w:bCs/>
          <w:kern w:val="0"/>
        </w:rPr>
        <w:t>技创新</w:t>
      </w:r>
      <w:r>
        <w:rPr>
          <w:rFonts w:hint="eastAsia" w:ascii="仿宋_GB2312" w:hAnsi="Times New Roman"/>
          <w:bCs/>
          <w:kern w:val="0"/>
        </w:rPr>
        <w:t>平台建设。</w:t>
      </w:r>
      <w:r>
        <w:rPr>
          <w:rFonts w:hint="eastAsia" w:ascii="仿宋_GB2312" w:hAnsi="Times New Roman"/>
          <w:kern w:val="0"/>
        </w:rPr>
        <w:t>加强协同联动，支持企业建设各级各类研发平台，鼓励企业、高校、科研机构等单独或联合建设、引进省外优势科研力量共建技术创新公共服务平台。聚焦装备制造、绿色食品、电子信息、生物产业、新型建材等重点领域谋划建设一批高能级重点实验室、技术创新中心、制造业创新中心、工程（技术）研究中心等创新平台。依托南阳院士小镇建设创新平台，积极推进张衡实验室、仲景实验室、丹江实验室和清华大学南阳科创中心建设。培育建设南阳月季、艾草产业技术创新平台、淅川国家可持续发展试验区等创新载体，提高南阳创新平台和载体支撑能力。</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——推动研发设计服务发展。</w:t>
      </w:r>
      <w:r>
        <w:rPr>
          <w:rFonts w:hint="eastAsia" w:ascii="仿宋_GB2312" w:hAnsi="Times New Roman"/>
          <w:kern w:val="0"/>
        </w:rPr>
        <w:t>以大型防爆电气装备、输变电装备、汽车零部件、农牧及特色装备制造产业为重点，开展优势基础件制造技术研发。围绕新材料产业、太阳能光伏产业、新能源装备产业、中医药产业等领域，支持中南金刚石等骨干企业牵头承担国家科研任务和省重大研发专项，加快建成国内领先的新材料产业创新中心。积极发展工业设计、建筑设计、文化创意等服务业，加快推进工业设计中心建设和工业设计企业引育，建设创意设计产业园。推动建设南阳研发设计公共服务平台，通过线上线下协同服务方式，提供涵盖设计咨询、设计培训、交互设计、结构设计等各类研发设计产品服务信息和解决方案，提高南阳研发设计服务水平。</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——推进科技成果转移转化。</w:t>
      </w:r>
      <w:r>
        <w:rPr>
          <w:rFonts w:hint="eastAsia" w:ascii="仿宋_GB2312" w:hAnsi="Times New Roman"/>
          <w:kern w:val="0"/>
        </w:rPr>
        <w:t>创新科技成果转化机制，建设专业化、市场化技术转移机构和技术经理人队伍。抓好南阳科技大市场、中科院科技成果转化中心南阳分中心、郑州大学南阳研究院、院士工作站等平台载体建设，打造中部地区重要的科技成果孵化转化基地，推动科技成果就地高效转化。布局建设科技成果转移转化示范园区，形成一批适应不同区域特点、组织形式和发展阶段的成果转化模式和典型经验。谋划建设河南省现代中医药产业共性关键技术创新与转化平台，打造全国中医药创新成果转化基地。支持豫西工业集团、河南北方星光机电公司军民技术转化应用对接，创建国家、省军民融合创新示范区。强力推进京（津）宛合作，积极对接北京教育、科技资源，争取在宛设立分校和科技孵化园，打造北京科技成果南阳转化基地。</w:t>
      </w:r>
    </w:p>
    <w:p>
      <w:pPr>
        <w:autoSpaceDE w:val="0"/>
        <w:autoSpaceDN w:val="0"/>
        <w:spacing w:line="560" w:lineRule="exact"/>
        <w:ind w:firstLine="640" w:firstLineChars="200"/>
        <w:contextualSpacing/>
        <w:rPr>
          <w:rFonts w:ascii="仿宋_GB2312" w:hAnsi="Times New Roman"/>
          <w:kern w:val="0"/>
        </w:rPr>
      </w:pPr>
      <w:r>
        <w:rPr>
          <w:rFonts w:hint="eastAsia" w:ascii="Times New Roman" w:hAnsi="Times New Roman"/>
          <w:bCs/>
          <w:kern w:val="0"/>
        </w:rPr>
        <w:t>——加快发展检验检测服务。</w:t>
      </w:r>
      <w:r>
        <w:rPr>
          <w:rFonts w:hint="eastAsia" w:ascii="仿宋_GB2312" w:hAnsi="Times New Roman"/>
          <w:kern w:val="0"/>
        </w:rPr>
        <w:t>积极发展分析测试、检验认证、计量溯源等技术服务，重点发展多领域的检验检测服务，提升涉及社会公共安全类产品领域的质检能力，建设一体化检验检测公共服务平台。继续发挥防爆电气、新材料、中医药等领域的专业能力、区域品牌优势，加快在防爆电气、光电产业、食品、中药材等领域建设国家检测中心，形成国内一流的公共检验检测标准认证产业体系。支持在邓州设立河南省增材制造检测中心，打造生物基材料、智能制造产业集群。积极发展第三方检验检测认证服务，鼓励不同所有制检验检测认证机构平等参与市场竞争，建立完善政府检测业务市场化机制。</w:t>
      </w:r>
    </w:p>
    <w:tbl>
      <w:tblPr>
        <w:tblStyle w:val="26"/>
        <w:tblW w:w="8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38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contextualSpacing/>
              <w:jc w:val="center"/>
              <w:rPr>
                <w:rFonts w:ascii="Times New Roman" w:hAnsi="Times New Roman" w:eastAsia="黑体"/>
                <w:sz w:val="28"/>
                <w:szCs w:val="28"/>
              </w:rPr>
            </w:pPr>
            <w:r>
              <w:rPr>
                <w:rFonts w:hint="eastAsia" w:ascii="Times New Roman" w:hAnsi="Times New Roman" w:eastAsia="黑体"/>
                <w:sz w:val="28"/>
                <w:szCs w:val="28"/>
              </w:rPr>
              <w:t>专栏4：南阳市“十四五”科技服务实施重点工程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3" w:hRule="atLeast"/>
          <w:jc w:val="center"/>
        </w:trPr>
        <w:tc>
          <w:tcPr>
            <w:tcW w:w="8382"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00" w:lineRule="exact"/>
              <w:ind w:firstLine="480" w:firstLineChars="200"/>
              <w:contextualSpacing/>
              <w:rPr>
                <w:rStyle w:val="77"/>
                <w:rFonts w:ascii="仿宋_GB2312" w:hAnsi="仿宋_GB2312" w:eastAsia="仿宋_GB2312" w:cs="仿宋_GB2312"/>
              </w:rPr>
            </w:pPr>
            <w:r>
              <w:rPr>
                <w:rFonts w:hint="eastAsia" w:ascii="楷体" w:hAnsi="楷体" w:eastAsia="楷体"/>
                <w:bCs/>
                <w:kern w:val="0"/>
                <w:sz w:val="24"/>
                <w:szCs w:val="24"/>
              </w:rPr>
              <w:t>1.创新平台培育工程。</w:t>
            </w:r>
            <w:r>
              <w:rPr>
                <w:rStyle w:val="77"/>
                <w:rFonts w:hint="eastAsia" w:ascii="仿宋_GB2312" w:hAnsi="仿宋_GB2312" w:eastAsia="仿宋_GB2312" w:cs="仿宋_GB2312"/>
              </w:rPr>
              <w:t>围绕生物产业、中医药产业、高端装备、新能源汽车等领域，加快建设高效节能电机检验检测中心、国家宝玉石产业链数字化科创中心等项目，到2025年启动建设1-2个高水平实验室、建设3个左右省重点实验室。</w:t>
            </w:r>
          </w:p>
          <w:p>
            <w:pPr>
              <w:autoSpaceDE w:val="0"/>
              <w:autoSpaceDN w:val="0"/>
              <w:spacing w:line="400" w:lineRule="exact"/>
              <w:ind w:firstLine="480" w:firstLineChars="200"/>
              <w:contextualSpacing/>
              <w:rPr>
                <w:rFonts w:ascii="楷体" w:hAnsi="楷体" w:eastAsia="楷体"/>
                <w:kern w:val="0"/>
                <w:sz w:val="21"/>
                <w:szCs w:val="21"/>
              </w:rPr>
            </w:pPr>
            <w:r>
              <w:rPr>
                <w:rStyle w:val="77"/>
                <w:rFonts w:hint="eastAsia" w:ascii="楷体" w:hAnsi="楷体" w:eastAsia="楷体"/>
                <w:bCs/>
              </w:rPr>
              <w:t>2.转移转化机构培育工程。</w:t>
            </w:r>
            <w:r>
              <w:rPr>
                <w:rStyle w:val="77"/>
                <w:rFonts w:hint="eastAsia" w:ascii="仿宋_GB2312" w:hAnsi="仿宋_GB2312" w:eastAsia="仿宋_GB2312" w:cs="仿宋_GB2312"/>
              </w:rPr>
              <w:t>以技术转移服务机构为重点，培育一批服务专业化、发展规模化、运行规范化的科技中介机构，到2025年，拟增建市级技术转移服务机构8家、省级技术转移服务机构2家、市级产业创新战略联盟5家、省级创新战略联盟2家。</w:t>
            </w:r>
          </w:p>
        </w:tc>
      </w:tr>
    </w:tbl>
    <w:p>
      <w:pPr>
        <w:spacing w:line="560" w:lineRule="exact"/>
        <w:ind w:firstLine="640" w:firstLineChars="200"/>
        <w:contextualSpacing/>
        <w:rPr>
          <w:rFonts w:ascii="Times New Roman" w:hAnsi="Times New Roman"/>
          <w:kern w:val="0"/>
        </w:rPr>
      </w:pPr>
      <w:r>
        <w:rPr>
          <w:rFonts w:hint="eastAsia" w:ascii="仿宋_GB2312"/>
          <w:bCs/>
          <w:kern w:val="0"/>
        </w:rPr>
        <w:t>信息服务。</w:t>
      </w:r>
      <w:r>
        <w:rPr>
          <w:rFonts w:hint="eastAsia" w:ascii="仿宋_GB2312" w:hAnsi="Times New Roman"/>
          <w:kern w:val="0"/>
        </w:rPr>
        <w:t>持续提升南阳数字基础设施支撑能力，推动产业数字化和数字产业化，促进数字经济和实体经济深度融合，提高数字信息开放共享水平，建设全国数字经济示范市。</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——加快全域信息基础设施建设。</w:t>
      </w:r>
      <w:r>
        <w:rPr>
          <w:rFonts w:hint="eastAsia" w:ascii="仿宋_GB2312" w:hAnsi="Times New Roman"/>
          <w:kern w:val="0"/>
        </w:rPr>
        <w:t>实施新一代信息网络建设和新型计算基础设施建设工程，系统布局引领未来的新型基础设施。推进</w:t>
      </w:r>
      <w:r>
        <w:rPr>
          <w:rFonts w:hint="eastAsia" w:ascii="Times New Roman" w:hAnsi="Times New Roman"/>
          <w:kern w:val="0"/>
        </w:rPr>
        <w:t>“全光网南阳”全面升级，构建覆盖全市的高速光纤宽带网络，提升固定宽带家庭和移动宽带用户普及率，实现偏远地区网络深度全覆盖。加快5G</w:t>
      </w:r>
      <w:r>
        <w:rPr>
          <w:rFonts w:hint="eastAsia" w:ascii="仿宋_GB2312" w:hAnsi="Times New Roman"/>
          <w:kern w:val="0"/>
        </w:rPr>
        <w:t>基础网络布局，扩大</w:t>
      </w:r>
      <w:r>
        <w:rPr>
          <w:rFonts w:hint="eastAsia" w:ascii="Times New Roman" w:hAnsi="Times New Roman"/>
          <w:kern w:val="0"/>
        </w:rPr>
        <w:t>5G</w:t>
      </w:r>
      <w:r>
        <w:rPr>
          <w:rFonts w:hint="eastAsia" w:ascii="仿宋_GB2312" w:hAnsi="Times New Roman"/>
          <w:kern w:val="0"/>
        </w:rPr>
        <w:t>基站新建规模，推进“全光网南阳”全面升级，实现乡镇以上区域</w:t>
      </w:r>
      <w:r>
        <w:rPr>
          <w:rFonts w:hint="eastAsia" w:ascii="Times New Roman" w:hAnsi="Times New Roman"/>
          <w:kern w:val="0"/>
        </w:rPr>
        <w:t>5G</w:t>
      </w:r>
      <w:r>
        <w:rPr>
          <w:rFonts w:hint="eastAsia" w:ascii="仿宋_GB2312" w:hAnsi="Times New Roman"/>
          <w:kern w:val="0"/>
        </w:rPr>
        <w:t>全覆盖，打造全省</w:t>
      </w:r>
      <w:r>
        <w:rPr>
          <w:rFonts w:hint="eastAsia" w:ascii="Times New Roman" w:hAnsi="Times New Roman"/>
          <w:kern w:val="0"/>
        </w:rPr>
        <w:t>5G</w:t>
      </w:r>
      <w:r>
        <w:rPr>
          <w:rFonts w:hint="eastAsia" w:ascii="仿宋_GB2312" w:hAnsi="Times New Roman"/>
          <w:kern w:val="0"/>
        </w:rPr>
        <w:t>应用示范城市。加快工业互联网、物联网、大数据中心建设，</w:t>
      </w:r>
      <w:r>
        <w:rPr>
          <w:rFonts w:hint="eastAsia" w:ascii="仿宋_GB2312"/>
        </w:rPr>
        <w:t>推进联通公司数据中心建设，“十四五”末全市数据中心机架数达到5000机架。</w:t>
      </w:r>
      <w:r>
        <w:rPr>
          <w:rFonts w:hint="eastAsia" w:ascii="仿宋_GB2312" w:hAnsi="Times New Roman"/>
          <w:kern w:val="0"/>
        </w:rPr>
        <w:t>积极推进国家物联网节点、超算中心等项目，打造国家重要的数据枢纽。</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——加快建设数字南阳。</w:t>
      </w:r>
      <w:r>
        <w:rPr>
          <w:rFonts w:hint="eastAsia" w:ascii="仿宋_GB2312" w:hAnsi="Times New Roman"/>
          <w:kern w:val="0"/>
        </w:rPr>
        <w:t>以传统产业数字化为方向，利用互联网、大数据、云计算、人工智能、区块链技术对传统产业进行全方位、全链条改造，全面推动制造业、农业、服务业数字化改造。支持建设工业互联网平台和国家级应用创新推广中心、工业互联网标识解析二级节点，拓展</w:t>
      </w:r>
      <w:r>
        <w:rPr>
          <w:rFonts w:hint="eastAsia" w:ascii="Times New Roman" w:hAnsi="Times New Roman"/>
          <w:kern w:val="0"/>
        </w:rPr>
        <w:t>“数字＋”“智能＋”应用领域，推动企业“上云用数赋智”，打造“智能制造+</w:t>
      </w:r>
      <w:r>
        <w:rPr>
          <w:rFonts w:hint="eastAsia" w:ascii="仿宋_GB2312" w:hAnsi="Times New Roman"/>
          <w:kern w:val="0"/>
        </w:rPr>
        <w:t>智能服务”全产业链。大力发展智慧农业，建设一批数字农业产业园、智慧养殖场、智能农业车间。推动服务业数字化发展，推动传统零售、传统服务和渠道电商资源整合，加快建设智慧商超、智慧街区、智慧商圈和智慧体验馆。推动大数据产业加速发展，支持中关村（南阳）信息谷、白河大数据产业园、鸭电“诸葛”超算中心等项目建设，形成千亿级数字经济“中原智慧谷”。建设智慧城市运行管理中心，实施智慧政务、智慧交通、智慧医疗等信息惠民工程，加快建设南阳新型智慧城市。</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——推动电子商务高质量发展。</w:t>
      </w:r>
      <w:r>
        <w:rPr>
          <w:rFonts w:hint="eastAsia" w:ascii="仿宋_GB2312" w:hAnsi="Times New Roman"/>
          <w:kern w:val="0"/>
        </w:rPr>
        <w:t>以龙头企业培育和引进为重点，促进电子商务与传统产业融合发展，加快电商普及应用。积极引导装备制造、绿色食品、电子信息、生物产业、新型建材等企业发展电子商务，提升电商交易规模。完善电子商务支撑体系，大力推进电商公共服务体系和仓配物流设施建设，着力营造电子商务发展环境。加快推进南阳跨境电商综合试验区和零售进口试点城市建设，进一步健全跨境电商发展体制机制，强力推进贸易便利化措施，提升跨境电商公共服务能力，培育跨境电商特色产业集群，不断完善跨境电商产业链和生态圈，建成区域进出口商品分拨集散和消费中心。提升南阳区域性跨境电商服务功能，开展政府、高校、协会、企业合作，大力培养电商实用人才，推动电商领域大众创业、万众创新。</w:t>
      </w:r>
    </w:p>
    <w:tbl>
      <w:tblPr>
        <w:tblStyle w:val="26"/>
        <w:tblW w:w="8842" w:type="dxa"/>
        <w:tblInd w:w="135" w:type="dxa"/>
        <w:tblLayout w:type="fixed"/>
        <w:tblCellMar>
          <w:top w:w="0" w:type="dxa"/>
          <w:left w:w="108" w:type="dxa"/>
          <w:bottom w:w="0" w:type="dxa"/>
          <w:right w:w="108" w:type="dxa"/>
        </w:tblCellMar>
      </w:tblPr>
      <w:tblGrid>
        <w:gridCol w:w="8842"/>
      </w:tblGrid>
      <w:tr>
        <w:tblPrEx>
          <w:tblCellMar>
            <w:top w:w="0" w:type="dxa"/>
            <w:left w:w="108" w:type="dxa"/>
            <w:bottom w:w="0" w:type="dxa"/>
            <w:right w:w="108" w:type="dxa"/>
          </w:tblCellMar>
        </w:tblPrEx>
        <w:trPr>
          <w:trHeight w:val="571" w:hRule="atLeast"/>
        </w:trPr>
        <w:tc>
          <w:tcPr>
            <w:tcW w:w="88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contextualSpacing/>
              <w:jc w:val="center"/>
              <w:rPr>
                <w:rFonts w:ascii="Times New Roman" w:hAnsi="Times New Roman" w:eastAsia="黑体"/>
                <w:sz w:val="28"/>
                <w:szCs w:val="28"/>
              </w:rPr>
            </w:pPr>
            <w:r>
              <w:rPr>
                <w:rFonts w:hint="eastAsia" w:ascii="Times New Roman" w:hAnsi="Times New Roman" w:eastAsia="黑体"/>
                <w:sz w:val="28"/>
                <w:szCs w:val="28"/>
              </w:rPr>
              <w:t>专栏5：南阳市“十四五”信息服务发展重点工程</w:t>
            </w:r>
          </w:p>
        </w:tc>
      </w:tr>
      <w:tr>
        <w:tblPrEx>
          <w:tblCellMar>
            <w:top w:w="0" w:type="dxa"/>
            <w:left w:w="108" w:type="dxa"/>
            <w:bottom w:w="0" w:type="dxa"/>
            <w:right w:w="108" w:type="dxa"/>
          </w:tblCellMar>
        </w:tblPrEx>
        <w:trPr>
          <w:trHeight w:val="296" w:hRule="atLeast"/>
        </w:trPr>
        <w:tc>
          <w:tcPr>
            <w:tcW w:w="8842" w:type="dxa"/>
            <w:tcBorders>
              <w:top w:val="single" w:color="auto" w:sz="4" w:space="0"/>
              <w:left w:val="single" w:color="auto" w:sz="4" w:space="0"/>
              <w:bottom w:val="single" w:color="auto" w:sz="4" w:space="0"/>
              <w:right w:val="single" w:color="auto" w:sz="4" w:space="0"/>
            </w:tcBorders>
          </w:tcPr>
          <w:p>
            <w:pPr>
              <w:autoSpaceDE w:val="0"/>
              <w:autoSpaceDN w:val="0"/>
              <w:spacing w:line="400" w:lineRule="exact"/>
              <w:ind w:firstLine="480" w:firstLineChars="200"/>
              <w:contextualSpacing/>
              <w:rPr>
                <w:rFonts w:ascii="仿宋_GB2312" w:hAnsi="仿宋" w:cs="楷体"/>
                <w:kern w:val="0"/>
                <w:sz w:val="24"/>
                <w:szCs w:val="24"/>
              </w:rPr>
            </w:pPr>
            <w:r>
              <w:rPr>
                <w:rFonts w:hint="eastAsia" w:ascii="楷体" w:hAnsi="楷体" w:eastAsia="楷体"/>
                <w:bCs/>
                <w:kern w:val="0"/>
                <w:sz w:val="24"/>
                <w:szCs w:val="24"/>
              </w:rPr>
              <w:t>1.工业大数据工程。</w:t>
            </w:r>
            <w:r>
              <w:rPr>
                <w:rFonts w:hint="eastAsia" w:ascii="仿宋_GB2312" w:hAnsi="仿宋" w:cs="楷体"/>
                <w:kern w:val="0"/>
                <w:sz w:val="24"/>
                <w:szCs w:val="24"/>
              </w:rPr>
              <w:t>支持研发面向生产制造、经营管理、市场营销、运维服务等关键环节的大数据分析技术和平台，开展大数据在工业领域的应用创新和试点示范。依托高端装备、电子信息等数据密集型先进制造业开发区，支持建设一批工业大数据创新中心、行业平台和服务示范基地。</w:t>
            </w:r>
          </w:p>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2.大数据应用服务工程。</w:t>
            </w:r>
            <w:r>
              <w:rPr>
                <w:rFonts w:hint="eastAsia" w:ascii="仿宋_GB2312" w:hAnsi="仿宋" w:cs="楷体"/>
                <w:kern w:val="0"/>
                <w:sz w:val="24"/>
                <w:szCs w:val="24"/>
              </w:rPr>
              <w:t>面向金融、能源、农业、物流、交通等重点行业领域，开发推广大数据产品和解决方案，助力重点行业转型发展。以服务民生需求为导向，加快大数据在医疗、教育、交通、旅游、就业、社保、环保、应急管理等领域的应用。支持建立面向政务、社会治理和网络安全领域的大数据平台，提升政府治理能力和服务水平。</w:t>
            </w:r>
          </w:p>
          <w:p>
            <w:pPr>
              <w:autoSpaceDE w:val="0"/>
              <w:autoSpaceDN w:val="0"/>
              <w:spacing w:line="400" w:lineRule="exact"/>
              <w:ind w:firstLine="480" w:firstLineChars="200"/>
              <w:contextualSpacing/>
              <w:rPr>
                <w:rFonts w:ascii="仿宋" w:hAnsi="仿宋" w:eastAsia="仿宋"/>
              </w:rPr>
            </w:pPr>
            <w:r>
              <w:rPr>
                <w:rFonts w:hint="eastAsia" w:ascii="楷体" w:hAnsi="楷体" w:eastAsia="楷体"/>
                <w:bCs/>
                <w:kern w:val="0"/>
                <w:sz w:val="24"/>
                <w:szCs w:val="24"/>
              </w:rPr>
              <w:t>3.龙头企业培育工程。</w:t>
            </w:r>
            <w:r>
              <w:rPr>
                <w:rFonts w:hint="eastAsia" w:ascii="仿宋_GB2312" w:hAnsi="仿宋" w:cs="楷体"/>
                <w:kern w:val="0"/>
                <w:sz w:val="24"/>
                <w:szCs w:val="24"/>
              </w:rPr>
              <w:t>支持电商企业采用先进技术整合资源打造电子商务交易平台，加大招商引资力度，吸引一批国内外大型电子商务企业总部、区域总部和营运中心落户南阳，支持阿里巴巴、苏宁易购、京东商城、淘宝网等知名电商落户，加快物流园区、分拨中心、仓储中心以及城市末端配送快递网点建设。</w:t>
            </w:r>
          </w:p>
        </w:tc>
      </w:tr>
    </w:tbl>
    <w:p>
      <w:pPr>
        <w:spacing w:line="560" w:lineRule="exact"/>
        <w:ind w:firstLine="640" w:firstLineChars="200"/>
        <w:contextualSpacing/>
        <w:rPr>
          <w:rFonts w:ascii="Times New Roman" w:hAnsi="Times New Roman"/>
          <w:kern w:val="0"/>
        </w:rPr>
      </w:pPr>
      <w:r>
        <w:rPr>
          <w:rFonts w:hint="eastAsia" w:ascii="仿宋_GB2312"/>
          <w:bCs/>
          <w:kern w:val="0"/>
        </w:rPr>
        <w:t>中介服务。</w:t>
      </w:r>
      <w:r>
        <w:rPr>
          <w:rFonts w:hint="eastAsia" w:ascii="仿宋_GB2312" w:hAnsi="Times New Roman"/>
          <w:kern w:val="0"/>
        </w:rPr>
        <w:t>优化中介服务业发展环境，大力发展总部经济、会展经济，积极推动中介服务专业化、集聚化发展，加快培育一批知名度高、公信力强、具有较强竞争力的中介服务品牌，打造豫鄂陕交界区域具有较大影响力的中介服务中心。</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——加快发展总部经济。</w:t>
      </w:r>
      <w:r>
        <w:rPr>
          <w:rFonts w:hint="eastAsia" w:ascii="仿宋_GB2312" w:hAnsi="Times New Roman"/>
          <w:kern w:val="0"/>
        </w:rPr>
        <w:t>以城乡一体化示范区为主，在白河两岸总体规划确定的区域内发展总部经济。依托南阳市现代服务业开发区，积极引进跨国公司区域总部、国内行业</w:t>
      </w:r>
      <w:r>
        <w:rPr>
          <w:rFonts w:hint="eastAsia" w:ascii="Times New Roman" w:hAnsi="Times New Roman"/>
          <w:kern w:val="0"/>
        </w:rPr>
        <w:t>500</w:t>
      </w:r>
      <w:r>
        <w:rPr>
          <w:rFonts w:hint="eastAsia" w:ascii="仿宋_GB2312" w:hAnsi="Times New Roman"/>
          <w:kern w:val="0"/>
        </w:rPr>
        <w:t>强区域总部、域内大中型企业总部、采购中心、营销中心、区域分支机构或办事机构等落户入驻，集聚总部经济能量，形成豫鄂陕区域性商务经济中心，推动牧原集团、龙成集团、仲景大药房、中誉国信煤电、华润南阳等总部经济项目和企业落地建设，构建多业态多类型、规模化差异化的商务服务产业集群。</w:t>
      </w:r>
      <w:r>
        <w:rPr>
          <w:rFonts w:hint="eastAsia" w:ascii="Times New Roman" w:hAnsi="Times New Roman"/>
          <w:kern w:val="0"/>
        </w:rPr>
        <w:t xml:space="preserve"> </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——培育壮大会展经济。</w:t>
      </w:r>
      <w:r>
        <w:rPr>
          <w:rFonts w:hint="eastAsia" w:ascii="仿宋_GB2312" w:hAnsi="Times New Roman"/>
          <w:kern w:val="0"/>
        </w:rPr>
        <w:t>做大做强张仲景医药文化节、中国艾产业发展大会和仲景论坛，积极推动张仲景医药文化节提升到省级、国家级层面举办。持续做好世界月季洲际大会、玉雕节暨国际玉文化博览会、中国西峡</w:t>
      </w:r>
      <w:r>
        <w:rPr>
          <w:rFonts w:hint="eastAsia" w:ascii="Times New Roman" w:hAnsi="Times New Roman"/>
          <w:kern w:val="0"/>
        </w:rPr>
        <w:t>·伏牛山国际越野赛、中国·南阳仲景论坛智慧康养产业发展高端峰会等具有产业和地方特色的常设性会展，培育策划特色产业新会展品牌，提高会展业在国内外的影响力。建设区域性会展中心，吸引国家级、区域性品牌展会落户，培育一批知名会展品牌。支持探索“互联网+</w:t>
      </w:r>
      <w:r>
        <w:rPr>
          <w:rFonts w:hint="eastAsia" w:ascii="仿宋_GB2312" w:hAnsi="Times New Roman"/>
          <w:kern w:val="0"/>
        </w:rPr>
        <w:t>会展”线上线下相结合的会展新模式，以信息化平台为基础，打造网络展会集群。搭建南阳云展会平台，以“云参展”“云对接”“云洽谈”等模式开展精准营销。</w:t>
      </w:r>
    </w:p>
    <w:p>
      <w:pPr>
        <w:autoSpaceDE w:val="0"/>
        <w:autoSpaceDN w:val="0"/>
        <w:spacing w:line="560" w:lineRule="exact"/>
        <w:ind w:firstLine="640" w:firstLineChars="200"/>
        <w:contextualSpacing/>
      </w:pPr>
      <w:r>
        <w:rPr>
          <w:rFonts w:hint="eastAsia" w:ascii="Times New Roman" w:hAnsi="Times New Roman"/>
          <w:bCs/>
          <w:kern w:val="0"/>
        </w:rPr>
        <w:t>——大力发展专业化中介服务。</w:t>
      </w:r>
      <w:r>
        <w:rPr>
          <w:rFonts w:hint="eastAsia" w:ascii="仿宋_GB2312" w:hAnsi="Times New Roman"/>
          <w:kern w:val="0"/>
        </w:rPr>
        <w:t>大力发展咨询评估、融资担保、信用服务、人力资源服务、知识产权、检验检测、法律服务、会计审计等</w:t>
      </w:r>
      <w:r>
        <w:rPr>
          <w:rFonts w:ascii="仿宋_GB2312" w:hAnsi="Times New Roman"/>
          <w:kern w:val="0"/>
        </w:rPr>
        <w:t>专业服务</w:t>
      </w:r>
      <w:r>
        <w:rPr>
          <w:rFonts w:hint="eastAsia" w:ascii="仿宋_GB2312" w:hAnsi="Times New Roman"/>
          <w:kern w:val="0"/>
        </w:rPr>
        <w:t>，促进各类</w:t>
      </w:r>
      <w:r>
        <w:rPr>
          <w:rFonts w:ascii="仿宋_GB2312" w:hAnsi="Times New Roman"/>
          <w:kern w:val="0"/>
        </w:rPr>
        <w:t>专业服务</w:t>
      </w:r>
      <w:r>
        <w:rPr>
          <w:rFonts w:hint="eastAsia" w:ascii="仿宋_GB2312" w:hAnsi="Times New Roman"/>
          <w:kern w:val="0"/>
        </w:rPr>
        <w:t>机构向</w:t>
      </w:r>
      <w:r>
        <w:rPr>
          <w:rFonts w:hint="eastAsia" w:ascii="Times New Roman" w:hAnsi="Times New Roman"/>
          <w:kern w:val="0"/>
        </w:rPr>
        <w:t>“专、精、特、优”方向发展，逐步形成专业化、社会化、网络化的</w:t>
      </w:r>
      <w:r>
        <w:rPr>
          <w:rFonts w:ascii="仿宋_GB2312" w:hAnsi="Times New Roman"/>
          <w:kern w:val="0"/>
        </w:rPr>
        <w:t>中介</w:t>
      </w:r>
      <w:r>
        <w:rPr>
          <w:rFonts w:hint="eastAsia" w:ascii="仿宋_GB2312" w:hAnsi="Times New Roman"/>
          <w:kern w:val="0"/>
        </w:rPr>
        <w:t>服务体系。强化品牌企业培育</w:t>
      </w:r>
      <w:r>
        <w:rPr>
          <w:rFonts w:ascii="仿宋_GB2312" w:hAnsi="Times New Roman"/>
          <w:kern w:val="0"/>
        </w:rPr>
        <w:t>，</w:t>
      </w:r>
      <w:r>
        <w:rPr>
          <w:rFonts w:hint="eastAsia" w:ascii="仿宋_GB2312" w:hAnsi="Times New Roman"/>
          <w:kern w:val="0"/>
        </w:rPr>
        <w:t>鼓励一批有实力、有品牌、有信誉的中介机构向综合型、规模化、国际化发展，引导一般性中介服务企业向</w:t>
      </w:r>
      <w:r>
        <w:rPr>
          <w:rFonts w:hint="eastAsia" w:ascii="Times New Roman" w:hAnsi="Times New Roman"/>
          <w:kern w:val="0"/>
        </w:rPr>
        <w:t>“专、精、特、新”方向发展</w:t>
      </w:r>
      <w:r>
        <w:rPr>
          <w:rFonts w:ascii="仿宋_GB2312" w:hAnsi="Times New Roman"/>
          <w:kern w:val="0"/>
        </w:rPr>
        <w:t>。抢抓碳达峰碳中和的窗口期，大力推</w:t>
      </w:r>
      <w:r>
        <w:rPr>
          <w:rFonts w:hint="eastAsia" w:ascii="仿宋_GB2312" w:hAnsi="Times New Roman"/>
          <w:kern w:val="0"/>
        </w:rPr>
        <w:t>动</w:t>
      </w:r>
      <w:r>
        <w:rPr>
          <w:rFonts w:ascii="仿宋_GB2312" w:hAnsi="Times New Roman"/>
          <w:kern w:val="0"/>
        </w:rPr>
        <w:t>节能环保服务、第三方检验检测认证服务加快发展。</w:t>
      </w:r>
      <w:r>
        <w:rPr>
          <w:rFonts w:hint="eastAsia" w:ascii="仿宋_GB2312" w:hAnsi="Times New Roman"/>
          <w:kern w:val="0"/>
        </w:rPr>
        <w:t>实施人力资源服务提升计划，建设南阳市人力资源服务产业园，培育人力资源服务新型业态，建立健全多层次的人力资源市场和服务体系。</w:t>
      </w:r>
    </w:p>
    <w:tbl>
      <w:tblPr>
        <w:tblStyle w:val="26"/>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00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contextualSpacing/>
              <w:jc w:val="center"/>
              <w:rPr>
                <w:rFonts w:ascii="仿宋" w:hAnsi="仿宋" w:eastAsia="仿宋"/>
                <w:bCs/>
                <w:kern w:val="0"/>
              </w:rPr>
            </w:pPr>
            <w:r>
              <w:rPr>
                <w:rFonts w:hint="eastAsia" w:ascii="Times New Roman" w:hAnsi="Times New Roman" w:eastAsia="黑体"/>
                <w:sz w:val="28"/>
                <w:szCs w:val="28"/>
              </w:rPr>
              <w:t>专栏6</w:t>
            </w:r>
            <w:r>
              <w:rPr>
                <w:rFonts w:hint="eastAsia" w:ascii="黑体" w:hAnsi="黑体" w:eastAsia="黑体"/>
                <w:sz w:val="28"/>
                <w:szCs w:val="28"/>
              </w:rPr>
              <w:t>：南阳市“十四五”中介服务发展重点任务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0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00" w:lineRule="exact"/>
              <w:ind w:firstLine="480" w:firstLineChars="200"/>
              <w:contextualSpacing/>
              <w:rPr>
                <w:rFonts w:ascii="仿宋_GB2312" w:hAnsi="仿宋" w:cs="楷体"/>
                <w:kern w:val="0"/>
                <w:sz w:val="24"/>
                <w:szCs w:val="24"/>
              </w:rPr>
            </w:pPr>
            <w:r>
              <w:rPr>
                <w:rFonts w:hint="eastAsia" w:ascii="楷体" w:hAnsi="楷体" w:eastAsia="楷体"/>
                <w:bCs/>
                <w:kern w:val="0"/>
                <w:sz w:val="24"/>
                <w:szCs w:val="24"/>
              </w:rPr>
              <w:t>1.知识产权及技术转移服务。</w:t>
            </w:r>
            <w:r>
              <w:rPr>
                <w:rFonts w:hint="eastAsia" w:ascii="仿宋_GB2312" w:hAnsi="仿宋" w:cs="楷体"/>
                <w:kern w:val="0"/>
                <w:sz w:val="24"/>
                <w:szCs w:val="24"/>
              </w:rPr>
              <w:t>完善知识产权分析评议、运营实施、评估交易、保护维权等服务，完善提升北京科技成果南阳转化基地，培育一批服务专业化、发展规模化、运行规范化的技术转移示范机构。</w:t>
            </w:r>
          </w:p>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2.咨询评估服务。</w:t>
            </w:r>
            <w:r>
              <w:rPr>
                <w:rFonts w:hint="eastAsia" w:ascii="仿宋_GB2312" w:hAnsi="仿宋" w:cs="楷体"/>
                <w:kern w:val="0"/>
                <w:sz w:val="24"/>
                <w:szCs w:val="24"/>
              </w:rPr>
              <w:t>重点发展管理咨询、规划咨询、勘察设计、工程咨询、经济评估等专业服务，鼓励企业组建联合体，开展全过程咨询服务，推动南阳高端智库建设。</w:t>
            </w:r>
          </w:p>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3.融资担保服务。</w:t>
            </w:r>
            <w:r>
              <w:rPr>
                <w:rFonts w:hint="eastAsia" w:ascii="仿宋_GB2312" w:hAnsi="仿宋" w:cs="楷体"/>
                <w:kern w:val="0"/>
                <w:sz w:val="24"/>
                <w:szCs w:val="24"/>
              </w:rPr>
              <w:t>大力发展产权交易、融资担保、金融租赁、金融信托、证券经纪、期货经纪、资产管理、财务顾问等服务，创新商业银行与担保机构业务合作模式，完善再担保机构和风险分担机制，推动金融中介服务机构规范发展。</w:t>
            </w:r>
          </w:p>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4.法律服务。</w:t>
            </w:r>
            <w:r>
              <w:rPr>
                <w:rFonts w:hint="eastAsia" w:ascii="仿宋_GB2312" w:hAnsi="仿宋" w:cs="楷体"/>
                <w:kern w:val="0"/>
                <w:sz w:val="24"/>
                <w:szCs w:val="24"/>
              </w:rPr>
              <w:t>重点发展律师、公证、仲裁、司法鉴定等服务，完善律师调解和商事调解制度，提高仲裁机构专业化水平和化解纠纷能力。鼓励律师事务所开拓金融投资、商事民事、企业兼并重组等法律服务领域。</w:t>
            </w:r>
          </w:p>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5.会计审计服务。</w:t>
            </w:r>
            <w:r>
              <w:rPr>
                <w:rFonts w:hint="eastAsia" w:ascii="仿宋_GB2312" w:hAnsi="仿宋" w:cs="楷体"/>
                <w:kern w:val="0"/>
                <w:sz w:val="24"/>
                <w:szCs w:val="24"/>
              </w:rPr>
              <w:t>重点发展会计、审计、税务、资产评估、价格评估等服务。积极培育和引进规模化、专业化、国际化的事务所，逐步建立与现代企业管理相适应、能够满足不同服务对象、不同市场需求的会计、税务及评估服务体系。</w:t>
            </w:r>
          </w:p>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6.信用服务。</w:t>
            </w:r>
            <w:r>
              <w:rPr>
                <w:rFonts w:hint="eastAsia" w:ascii="仿宋_GB2312" w:hAnsi="仿宋" w:cs="楷体"/>
                <w:kern w:val="0"/>
                <w:sz w:val="24"/>
                <w:szCs w:val="24"/>
              </w:rPr>
              <w:t>重点发展信用评级、征信、管理等服务，推动公共信用服务和市场信用服务机构多元化、规范化发展，支持信用服务机构创新服务产品，建立与经济社会发展水平相适应的社会信用服务体系。</w:t>
            </w:r>
          </w:p>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7.贸易及相关服务。</w:t>
            </w:r>
            <w:r>
              <w:rPr>
                <w:rFonts w:hint="eastAsia" w:ascii="仿宋_GB2312" w:hAnsi="仿宋" w:cs="楷体"/>
                <w:kern w:val="0"/>
                <w:sz w:val="24"/>
                <w:szCs w:val="24"/>
              </w:rPr>
              <w:t>重点发展贸易、报关报检、货物运输等代理服务，建设跨境电商线上综合服务平台，为经营主体提供便捷的“一站式”平台服务，争创中部内陆地区外贸发展试验区。</w:t>
            </w:r>
          </w:p>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8.人力资源服务。</w:t>
            </w:r>
            <w:r>
              <w:rPr>
                <w:rFonts w:hint="eastAsia" w:ascii="仿宋_GB2312" w:hAnsi="仿宋" w:cs="楷体"/>
                <w:kern w:val="0"/>
                <w:sz w:val="24"/>
                <w:szCs w:val="24"/>
              </w:rPr>
              <w:t>重点发展劳务派遣、人事代理、人力资源培训、创业指导、高级人才引进等服务，加强与先进制造业开发区的合作，形成人力资源公共服务枢纽型基地和产业创新发展平台，建立人力资源服务中小企业孵化基地。</w:t>
            </w:r>
          </w:p>
          <w:p>
            <w:pPr>
              <w:autoSpaceDE w:val="0"/>
              <w:autoSpaceDN w:val="0"/>
              <w:spacing w:line="400" w:lineRule="exact"/>
              <w:ind w:firstLine="480" w:firstLineChars="200"/>
              <w:contextualSpacing/>
              <w:rPr>
                <w:rFonts w:ascii="仿宋" w:hAnsi="仿宋" w:eastAsia="仿宋"/>
              </w:rPr>
            </w:pPr>
            <w:r>
              <w:rPr>
                <w:rFonts w:hint="eastAsia" w:ascii="楷体" w:hAnsi="楷体" w:eastAsia="楷体"/>
                <w:bCs/>
                <w:kern w:val="0"/>
                <w:sz w:val="24"/>
                <w:szCs w:val="24"/>
              </w:rPr>
              <w:t>9.广告服务。</w:t>
            </w:r>
            <w:r>
              <w:rPr>
                <w:rFonts w:hint="eastAsia" w:ascii="仿宋_GB2312" w:hAnsi="仿宋" w:cs="楷体"/>
                <w:kern w:val="0"/>
                <w:sz w:val="24"/>
                <w:szCs w:val="24"/>
              </w:rPr>
              <w:t>推进互联网+、数字技术等在广告业的应用，延伸广告产业链，培育创建省级广告产业园，重点扶持一批具有创新创意精神的成长型小微企业。</w:t>
            </w:r>
          </w:p>
        </w:tc>
      </w:tr>
    </w:tbl>
    <w:p>
      <w:pPr>
        <w:spacing w:line="560" w:lineRule="exact"/>
        <w:ind w:firstLine="640" w:firstLineChars="200"/>
        <w:contextualSpacing/>
        <w:rPr>
          <w:rFonts w:ascii="Times New Roman" w:hAnsi="Times New Roman"/>
          <w:kern w:val="0"/>
        </w:rPr>
      </w:pPr>
      <w:r>
        <w:rPr>
          <w:rFonts w:hint="eastAsia" w:ascii="仿宋_GB2312"/>
          <w:bCs/>
          <w:kern w:val="0"/>
        </w:rPr>
        <w:t>节能环保服务。</w:t>
      </w:r>
      <w:r>
        <w:rPr>
          <w:rFonts w:hint="eastAsia" w:ascii="仿宋_GB2312" w:hAnsi="Times New Roman"/>
          <w:kern w:val="0"/>
        </w:rPr>
        <w:t>大力培育节能环保服务专业机构，全面推广应用节能环保技术，创新节能环保产业发展模式，推动发展再制造服务，促进资源循环利用，助推南阳循环经济快速发展。</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——创新节能环保服务方式。</w:t>
      </w:r>
      <w:r>
        <w:rPr>
          <w:rFonts w:hint="eastAsia" w:ascii="仿宋_GB2312" w:hAnsi="Times New Roman"/>
          <w:kern w:val="0"/>
        </w:rPr>
        <w:t>规范发展节能环保技术、管理和信息服务，鼓励创新服务模式，提供咨询、诊断、设计、融资、改造、托管等</w:t>
      </w:r>
      <w:r>
        <w:rPr>
          <w:rFonts w:hint="eastAsia" w:ascii="Times New Roman" w:hAnsi="Times New Roman"/>
          <w:kern w:val="0"/>
        </w:rPr>
        <w:t>“一站式”合同能源管理综合服务。在城镇污水处理、生活垃圾处理等领域积极推进合同环境服务和环境治理特许经营模式，推广产业园区、小城镇环境综合治理托管。培育“碳达峰”“碳中和”衍生服务，完善碳市场管理层级和能源消费双控制度，开展空气质量达标与碳排放达峰“双达”试点示范创建。</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——推动发展再制造服务。</w:t>
      </w:r>
      <w:r>
        <w:rPr>
          <w:rFonts w:hint="eastAsia" w:ascii="仿宋_GB2312" w:hAnsi="Times New Roman"/>
          <w:kern w:val="0"/>
        </w:rPr>
        <w:t>以城乡生活垃圾、餐厨垃圾、城市污泥无害化处置和资源化利用为重点，吸引行业龙头企业参与静脉产业园建设。积极培育提供资源节约、废物管理、资源化利用等一体化服务的循环经济专业化服务公司。加快构建回收、运输、加工利用为一体的再生资源回收网络体系和废弃物逆向物流交易平台，建立再制造旧件回收、产品营销、溯源等信息化管理系统，推进废旧家电回收处理体系建设，促进资源循环利用。</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——支持发展量化交易市场。</w:t>
      </w:r>
      <w:r>
        <w:rPr>
          <w:rFonts w:hint="eastAsia" w:ascii="仿宋_GB2312" w:hAnsi="Times New Roman"/>
          <w:kern w:val="0"/>
        </w:rPr>
        <w:t>加快建立市场化的碳减排机制，持续加大节能减排约束性政策执行力度，促使高耗能高污染企业主动寻求节能环保服务，加强节能环保投入。谋划在南阳设立全国碳交易市场河南服务中心（河南碳交易所），打造全国重要的碳汇储备基地。建立健全用能权、用水权、排污权、碳排放权初始分配和管理制度，积极探索建立环境成本合理负担机制、污染减排激励约束机制和市场化节能交易机制。</w:t>
      </w:r>
    </w:p>
    <w:p>
      <w:pPr>
        <w:spacing w:line="560" w:lineRule="exact"/>
        <w:ind w:firstLine="640" w:firstLineChars="200"/>
        <w:contextualSpacing/>
        <w:rPr>
          <w:rFonts w:ascii="Times New Roman" w:hAnsi="Times New Roman"/>
          <w:kern w:val="0"/>
        </w:rPr>
      </w:pPr>
      <w:r>
        <w:rPr>
          <w:rFonts w:hint="eastAsia" w:ascii="仿宋_GB2312"/>
          <w:bCs/>
          <w:kern w:val="0"/>
        </w:rPr>
        <w:t>教育培训。</w:t>
      </w:r>
      <w:r>
        <w:rPr>
          <w:rFonts w:hint="eastAsia" w:ascii="仿宋_GB2312" w:hAnsi="Times New Roman"/>
          <w:kern w:val="0"/>
        </w:rPr>
        <w:t>围绕产业发展和社会需求，加大重点领域急需紧缺人才培养力度，大力发展职业教育、技能培训、在线教育、继续教育和社区教育等多种形式的教育培训，建立健全现代职业教育和终身职业培训体系，为南阳建设发展提供人才支撑。</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——推动职业教育高质量发展。</w:t>
      </w:r>
      <w:r>
        <w:rPr>
          <w:rFonts w:hint="eastAsia" w:ascii="仿宋_GB2312" w:hAnsi="Times New Roman"/>
          <w:kern w:val="0"/>
        </w:rPr>
        <w:t>坚持职普融通、产教融合、校企合作、工学结合，提升人才培养的层次性、系统性和针对性，推动职业教育集约发展、特色发展，逐步形成政府引导、以职业院校和各类培训机构为主体、企业全面参与的现代职业教育体系和终身职业培训体系。探索建立政府主导、行业指导、企业参与的职业教育办学机制，整合政府机构、行业组织、企事业单位、职业院校、研究机构和社会组织等多方力量，推进职业教育集团化办学。鼓励采用</w:t>
      </w:r>
      <w:r>
        <w:rPr>
          <w:rFonts w:hint="eastAsia" w:ascii="Times New Roman" w:hAnsi="Times New Roman"/>
          <w:kern w:val="0"/>
        </w:rPr>
        <w:t>“订单式”教育、“定制式”培养等多种方式，推动河南工业职业技术学院</w:t>
      </w:r>
      <w:r>
        <w:rPr>
          <w:rFonts w:hint="eastAsia" w:ascii="仿宋_GB2312" w:hAnsi="Times New Roman"/>
          <w:kern w:val="0"/>
        </w:rPr>
        <w:t>、南阳农业职业学院等职业院校与南阳企业合作培养技能人才。</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——加大职业技能培训力度。</w:t>
      </w:r>
      <w:r>
        <w:rPr>
          <w:rFonts w:hint="eastAsia" w:ascii="仿宋_GB2312" w:hAnsi="Times New Roman"/>
          <w:kern w:val="0"/>
        </w:rPr>
        <w:t>高质量开展</w:t>
      </w:r>
      <w:r>
        <w:rPr>
          <w:rFonts w:hint="eastAsia" w:ascii="Times New Roman" w:hAnsi="Times New Roman"/>
          <w:kern w:val="0"/>
        </w:rPr>
        <w:t>“</w:t>
      </w:r>
      <w:r>
        <w:rPr>
          <w:rFonts w:hint="eastAsia" w:ascii="仿宋_GB2312" w:hAnsi="Times New Roman"/>
          <w:kern w:val="0"/>
        </w:rPr>
        <w:t>人人持证，技能河南</w:t>
      </w:r>
      <w:r>
        <w:rPr>
          <w:rFonts w:hint="eastAsia" w:ascii="Times New Roman" w:hAnsi="Times New Roman"/>
          <w:kern w:val="0"/>
        </w:rPr>
        <w:t>”</w:t>
      </w:r>
      <w:r>
        <w:rPr>
          <w:rFonts w:hint="eastAsia" w:ascii="仿宋_GB2312" w:hAnsi="Times New Roman"/>
          <w:kern w:val="0"/>
        </w:rPr>
        <w:t>建设，针对重点群体重点行业领域开展专项培训。大力开展就业技能培训、岗位技能提升培训、创业培训等各类培训，加快构建劳动者终身职业培训体系。完善政府购买培训成果机制，建立技能培训补贴标准与培训成本、职业工种等紧缺程度相挂钩的动态调整机制。推进全民技能振兴工程，开展职业技能提升行动。</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——加快教育培训信息化建设。</w:t>
      </w:r>
      <w:r>
        <w:rPr>
          <w:rFonts w:hint="eastAsia" w:ascii="仿宋_GB2312" w:hAnsi="Times New Roman"/>
          <w:kern w:val="0"/>
        </w:rPr>
        <w:t>大力发展互联网教育培训，建立完善的开放式教育云服务平台，</w:t>
      </w:r>
      <w:r>
        <w:rPr>
          <w:rFonts w:ascii="仿宋_GB2312" w:hAnsi="Times New Roman"/>
          <w:kern w:val="0"/>
        </w:rPr>
        <w:t>发展远程教育和培训</w:t>
      </w:r>
      <w:r>
        <w:rPr>
          <w:rFonts w:hint="eastAsia" w:ascii="仿宋_GB2312" w:hAnsi="Times New Roman"/>
          <w:kern w:val="0"/>
        </w:rPr>
        <w:t>，</w:t>
      </w:r>
      <w:r>
        <w:rPr>
          <w:rFonts w:ascii="仿宋_GB2312" w:hAnsi="Times New Roman"/>
          <w:kern w:val="0"/>
        </w:rPr>
        <w:t>构建云端结合的多模式教学环境</w:t>
      </w:r>
      <w:r>
        <w:rPr>
          <w:rFonts w:hint="eastAsia" w:ascii="仿宋_GB2312" w:hAnsi="Times New Roman"/>
          <w:kern w:val="0"/>
        </w:rPr>
        <w:t>，形成规模化的教育服务新业态和新产业。鼓励互联网企业与社会教育机构根据市场需求开发数字教育资源，积极探索教育云服务解决方案，提供网络化教育服务。鼓励学校通过与互联网企业合作等方式，对接线上线下教育资源，探索教育公共服务供给新模式。</w:t>
      </w:r>
    </w:p>
    <w:tbl>
      <w:tblPr>
        <w:tblStyle w:val="26"/>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00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contextualSpacing/>
              <w:jc w:val="center"/>
              <w:rPr>
                <w:rFonts w:ascii="仿宋" w:hAnsi="仿宋" w:eastAsia="仿宋"/>
                <w:bCs/>
                <w:kern w:val="0"/>
              </w:rPr>
            </w:pPr>
            <w:r>
              <w:rPr>
                <w:rFonts w:hint="eastAsia" w:ascii="Times New Roman" w:hAnsi="Times New Roman" w:eastAsia="黑体"/>
                <w:sz w:val="28"/>
                <w:szCs w:val="28"/>
              </w:rPr>
              <w:t>专栏7</w:t>
            </w:r>
            <w:r>
              <w:rPr>
                <w:rFonts w:hint="eastAsia" w:ascii="黑体" w:hAnsi="黑体" w:eastAsia="黑体"/>
                <w:sz w:val="28"/>
                <w:szCs w:val="28"/>
              </w:rPr>
              <w:t>：南阳市“十四五”职业技能提升重点行动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0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1.紧缺人才技能提升行动。</w:t>
            </w:r>
            <w:r>
              <w:rPr>
                <w:rFonts w:hint="eastAsia" w:ascii="仿宋_GB2312" w:hAnsi="仿宋" w:cs="楷体"/>
                <w:kern w:val="0"/>
                <w:sz w:val="24"/>
                <w:szCs w:val="24"/>
              </w:rPr>
              <w:t>围绕新一代信息技术、智能装备制造等先进制造业和战略性新兴产业发展，实施高技能人才振兴计划、技师培训项目和“金蓝领”技能提升培训，组织高技能领军人才和产业紧缺人才开展境外培训。</w:t>
            </w:r>
          </w:p>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2.“文化南阳”技能提升行动。</w:t>
            </w:r>
            <w:r>
              <w:rPr>
                <w:rFonts w:hint="eastAsia" w:ascii="仿宋_GB2312" w:hAnsi="仿宋" w:cs="楷体"/>
                <w:kern w:val="0"/>
                <w:sz w:val="24"/>
                <w:szCs w:val="24"/>
              </w:rPr>
              <w:t>聚焦创意设计、动漫游戏等重点领域，文化旅游、文化创造等延伸领域，镇平玉雕、烙画等传统美术领域，建设一批技能人才实训基地和技能大师工作室，培养一批文化创意类技能人才。</w:t>
            </w:r>
          </w:p>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3.高素质农民技能提升行动。</w:t>
            </w:r>
            <w:r>
              <w:rPr>
                <w:rFonts w:hint="eastAsia" w:ascii="仿宋_GB2312" w:hAnsi="仿宋" w:cs="楷体"/>
                <w:kern w:val="0"/>
                <w:sz w:val="24"/>
                <w:szCs w:val="24"/>
              </w:rPr>
              <w:t>建设一批乡村振兴新型农民培育基地和农业农村类高技能人才培训基地，依托农业广播电视学校、涉农院校、科研单位、农技推广机构，培养一批爱农业、懂技术、会经营的新型农民。</w:t>
            </w:r>
          </w:p>
          <w:p>
            <w:pPr>
              <w:autoSpaceDE w:val="0"/>
              <w:autoSpaceDN w:val="0"/>
              <w:spacing w:line="400" w:lineRule="exact"/>
              <w:ind w:firstLine="480" w:firstLineChars="200"/>
              <w:contextualSpacing/>
              <w:rPr>
                <w:rFonts w:ascii="楷体" w:hAnsi="楷体" w:eastAsia="楷体"/>
                <w:kern w:val="0"/>
                <w:sz w:val="24"/>
                <w:szCs w:val="24"/>
              </w:rPr>
            </w:pPr>
            <w:r>
              <w:rPr>
                <w:rFonts w:hint="eastAsia" w:ascii="楷体" w:hAnsi="楷体" w:eastAsia="楷体"/>
                <w:bCs/>
                <w:kern w:val="0"/>
                <w:sz w:val="24"/>
                <w:szCs w:val="24"/>
              </w:rPr>
              <w:t>4.大众创业培训行动。</w:t>
            </w:r>
            <w:r>
              <w:rPr>
                <w:rFonts w:hint="eastAsia" w:ascii="仿宋_GB2312" w:hAnsi="仿宋" w:cs="楷体"/>
                <w:kern w:val="0"/>
                <w:sz w:val="24"/>
                <w:szCs w:val="24"/>
              </w:rPr>
              <w:t>对有创业愿望的人员和开业5年以内的小微企业主开展创业培训，对普通高校、职业院校（含技工院校）在校生和毕业生开展创业意识等培训。</w:t>
            </w:r>
          </w:p>
        </w:tc>
      </w:tr>
    </w:tbl>
    <w:p>
      <w:pPr>
        <w:pStyle w:val="7"/>
        <w:keepLines w:val="0"/>
        <w:autoSpaceDE w:val="0"/>
        <w:autoSpaceDN w:val="0"/>
        <w:spacing w:line="560" w:lineRule="exact"/>
        <w:contextualSpacing/>
        <w:jc w:val="center"/>
        <w:rPr>
          <w:rFonts w:ascii="Times New Roman" w:hAnsi="Times New Roman" w:eastAsia="楷体_GB2312"/>
          <w:b w:val="0"/>
          <w:szCs w:val="32"/>
        </w:rPr>
      </w:pPr>
      <w:bookmarkStart w:id="1308" w:name="_Toc99015566"/>
      <w:bookmarkEnd w:id="1308"/>
      <w:r>
        <w:rPr>
          <w:rFonts w:hint="eastAsia" w:ascii="楷体_GB2312" w:hAnsi="Times New Roman" w:eastAsia="楷体_GB2312"/>
          <w:b w:val="0"/>
          <w:bCs/>
        </w:rPr>
        <w:t>第二节</w:t>
      </w:r>
      <w:r>
        <w:rPr>
          <w:rFonts w:hint="eastAsia" w:ascii="Times New Roman" w:hAnsi="Times New Roman" w:eastAsia="楷体_GB2312"/>
          <w:b w:val="0"/>
          <w:bCs/>
        </w:rPr>
        <w:t xml:space="preserve"> </w:t>
      </w:r>
      <w:r>
        <w:rPr>
          <w:rFonts w:hint="eastAsia" w:ascii="楷体_GB2312" w:hAnsi="Times New Roman" w:eastAsia="楷体_GB2312"/>
          <w:b w:val="0"/>
          <w:bCs/>
        </w:rPr>
        <w:t>做精做优生活性服务业</w:t>
      </w:r>
    </w:p>
    <w:p>
      <w:pPr>
        <w:autoSpaceDE w:val="0"/>
        <w:autoSpaceDN w:val="0"/>
        <w:spacing w:line="560" w:lineRule="exact"/>
        <w:ind w:firstLine="640" w:firstLineChars="200"/>
        <w:contextualSpacing/>
        <w:rPr>
          <w:rFonts w:ascii="Times New Roman" w:hAnsi="Times New Roman"/>
          <w:kern w:val="0"/>
        </w:rPr>
      </w:pPr>
      <w:r>
        <w:rPr>
          <w:rFonts w:hint="eastAsia" w:ascii="仿宋_GB2312" w:hAnsi="Times New Roman"/>
          <w:kern w:val="0"/>
        </w:rPr>
        <w:t>顺应生活性服务业转型升级和居民消费升级新趋势，培育和挖掘消费新增长点，大力发展文化旅游、健康服务、养老育幼、现代商贸、家政服务、房地产等六大生活性服务业，扩大生活性服务业有效供给，推动生活性服务业补短板、上水平，提高人民生活品质，更好满足人民群众日益增长的美好生活需要。</w:t>
      </w:r>
    </w:p>
    <w:p>
      <w:pPr>
        <w:spacing w:line="560" w:lineRule="exact"/>
        <w:ind w:firstLine="640" w:firstLineChars="200"/>
        <w:contextualSpacing/>
        <w:rPr>
          <w:rFonts w:ascii="Times New Roman" w:hAnsi="Times New Roman"/>
          <w:kern w:val="0"/>
        </w:rPr>
      </w:pPr>
      <w:r>
        <w:rPr>
          <w:rFonts w:hint="eastAsia" w:ascii="仿宋_GB2312"/>
          <w:bCs/>
          <w:kern w:val="0"/>
        </w:rPr>
        <w:t>文化旅游。</w:t>
      </w:r>
      <w:r>
        <w:rPr>
          <w:rFonts w:hint="eastAsia" w:ascii="仿宋_GB2312" w:hAnsi="Times New Roman"/>
          <w:kern w:val="0"/>
        </w:rPr>
        <w:t>坚持推进旅游业供给侧结构性改革，坚持文化铸魂、科技赋能、文旅融合，围绕构建文旅强市新格局，着力推动文旅产业提档升级，完善现代文化旅游产业发展体系，充分彰显千年古城山清水秀、楚风汉韵、既丽且康的独特城市气质，打造国内知名生态文化旅游目的地。力争到</w:t>
      </w:r>
      <w:r>
        <w:rPr>
          <w:rFonts w:hint="eastAsia" w:ascii="Times New Roman" w:hAnsi="Times New Roman"/>
          <w:kern w:val="0"/>
        </w:rPr>
        <w:t>2025</w:t>
      </w:r>
      <w:r>
        <w:rPr>
          <w:rFonts w:hint="eastAsia" w:ascii="仿宋_GB2312" w:hAnsi="Times New Roman"/>
          <w:kern w:val="0"/>
        </w:rPr>
        <w:t>年，全市文化及相关产业增加值达到</w:t>
      </w:r>
      <w:r>
        <w:rPr>
          <w:rFonts w:hint="eastAsia" w:ascii="Times New Roman" w:hAnsi="Times New Roman"/>
          <w:kern w:val="0"/>
        </w:rPr>
        <w:t>300</w:t>
      </w:r>
      <w:r>
        <w:rPr>
          <w:rFonts w:hint="eastAsia" w:ascii="仿宋_GB2312" w:hAnsi="Times New Roman"/>
          <w:kern w:val="0"/>
        </w:rPr>
        <w:t>亿元左右。</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——推动文化产业创新发展。</w:t>
      </w:r>
      <w:r>
        <w:rPr>
          <w:rFonts w:hint="eastAsia" w:ascii="仿宋_GB2312" w:hAnsi="Times New Roman"/>
          <w:kern w:val="0"/>
        </w:rPr>
        <w:t>进一步彰显南阳历史文化名城底蕴，打响楚汉文化、</w:t>
      </w:r>
      <w:r>
        <w:rPr>
          <w:rFonts w:hint="eastAsia" w:ascii="Times New Roman" w:hAnsi="Times New Roman"/>
          <w:kern w:val="0"/>
        </w:rPr>
        <w:t>“四圣”文化、官署文化、三国文化、商埠文化、红色文化、</w:t>
      </w:r>
      <w:r>
        <w:rPr>
          <w:rFonts w:hint="eastAsia" w:ascii="仿宋_GB2312" w:hAnsi="Times New Roman"/>
          <w:kern w:val="0"/>
        </w:rPr>
        <w:t>渠首文化等品牌，联动建设长城、长征等国家文化公园，提升壮大玉文化产业，做好非物质文化遗产申报工作。运用数字技术，对文化遗产和文物艺术品、典籍等进行数据采集和数字模拟，开展数字复原及保护展示，打造文化数字体验空间。加快培育新型文化企业、文化业态、文化消费模式，全面繁荣新闻出版、广播影视、文艺创作等文化事业，促进工艺美术、精品演艺、网络文化等创新发展，建设一批文化创意创业基地，打造全链条文创产业。</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——加快构建全域旅游发展新格局。</w:t>
      </w:r>
      <w:r>
        <w:rPr>
          <w:rFonts w:hint="eastAsia" w:ascii="仿宋_GB2312" w:hAnsi="Times New Roman"/>
          <w:kern w:val="0"/>
        </w:rPr>
        <w:t>树立全域旅游发展理念，突出</w:t>
      </w:r>
      <w:r>
        <w:rPr>
          <w:rFonts w:hint="eastAsia" w:ascii="Times New Roman" w:hAnsi="Times New Roman"/>
          <w:kern w:val="0"/>
        </w:rPr>
        <w:t>“原生态、活文化、深体验、慢生活”，争创国家文化产业和旅游产业融合发展示范区、国家全域旅游示范区，突出中心城区引领作用，高水平建设国际文化旅游名城。重点打造渠首国家级生态文明示范区和伏牛山生态南麓康养度假旅游带，加快建设特色文化旅游产业带和生态文化旅游环线，统筹推进伏牛山康养度假区、南阳历史文化旅游区、丹江湖生态文化旅游区、农旅田园休闲旅游区、桐柏山红色淮源旅游区建设。培育打造历史文化、中医药文化、自然风光、美丽乡村、研学游等精品线路，构建“一城、两极、一环一带、五区协同发展”的旅游发展新格局。</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——丰富优质旅游产品供给。</w:t>
      </w:r>
      <w:r>
        <w:rPr>
          <w:rFonts w:hint="eastAsia" w:ascii="仿宋_GB2312" w:hAnsi="Times New Roman"/>
          <w:kern w:val="0"/>
        </w:rPr>
        <w:t>坚持推进旅游业供给侧结构性改革，提升旅游品质，丰富旅游产品，构建多元化现代旅游产品体系。大力发展山水休闲游、文化体验游、养生度假游、特色乡村游、红色文化游等旅游产品，积极培育旅游新业态新模式。实施精品景区建设提质工程，进一步增强核心景区的引擎带动作用。实施红色景区开发工程，重点打造红色旅游系列景区，推出红色文旅精品线路。实施乡村旅游品牌发展战略和乡村旅游新业态倍增计划，持续提升乡村旅游品质。加强区域旅游品牌和服务整合，培育一批大型文化旅游企业和骨干文化旅游企业。支持有条件的工业园区开发工业旅游产品。</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——优化提升文旅要素供给水平。</w:t>
      </w:r>
      <w:r>
        <w:rPr>
          <w:rFonts w:hint="eastAsia" w:ascii="仿宋_GB2312" w:hAnsi="Times New Roman"/>
          <w:kern w:val="0"/>
        </w:rPr>
        <w:t>围绕</w:t>
      </w:r>
      <w:r>
        <w:rPr>
          <w:rFonts w:hint="eastAsia" w:ascii="Times New Roman" w:hAnsi="Times New Roman"/>
          <w:kern w:val="0"/>
        </w:rPr>
        <w:t>“吃、住、行、游、购、娱”等方面，加强旅游基础设施建设，提升旅游服务要素供给水平。推进市级旅游集散中心建设，完善提升“三馆一院”等文化场馆服务功能，推进南阳智慧文化旅游平台建设，开发线上文化旅游服务。鼓励和支持景区创建钻级智慧景区，实现数字化转型发展。健全完善旅游品牌营销体系，加强与洛阳、十堰、襄阳、西安等周边城市旅游资源链接共享，实现联动发展、合作共赢。加强与京津冀、长三角、港澳台等地区以及国际旅游合作，扩大南阳文化旅游的“辐射效应”。</w:t>
      </w:r>
    </w:p>
    <w:tbl>
      <w:tblPr>
        <w:tblStyle w:val="26"/>
        <w:tblW w:w="8681" w:type="dxa"/>
        <w:jc w:val="center"/>
        <w:tblLayout w:type="fixed"/>
        <w:tblCellMar>
          <w:top w:w="0" w:type="dxa"/>
          <w:left w:w="108" w:type="dxa"/>
          <w:bottom w:w="0" w:type="dxa"/>
          <w:right w:w="108" w:type="dxa"/>
        </w:tblCellMar>
      </w:tblPr>
      <w:tblGrid>
        <w:gridCol w:w="8681"/>
      </w:tblGrid>
      <w:tr>
        <w:tblPrEx>
          <w:tblCellMar>
            <w:top w:w="0" w:type="dxa"/>
            <w:left w:w="108" w:type="dxa"/>
            <w:bottom w:w="0" w:type="dxa"/>
            <w:right w:w="108" w:type="dxa"/>
          </w:tblCellMar>
        </w:tblPrEx>
        <w:trPr>
          <w:trHeight w:val="523" w:hRule="atLeast"/>
          <w:jc w:val="center"/>
        </w:trPr>
        <w:tc>
          <w:tcPr>
            <w:tcW w:w="86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4"/>
              <w:spacing w:beforeAutospacing="0" w:afterAutospacing="0" w:line="400" w:lineRule="exact"/>
              <w:ind w:firstLine="276"/>
              <w:contextualSpacing/>
              <w:jc w:val="center"/>
              <w:rPr>
                <w:rFonts w:ascii="仿宋" w:hAnsi="仿宋" w:eastAsia="仿宋"/>
                <w:bCs/>
                <w:kern w:val="2"/>
                <w:sz w:val="32"/>
              </w:rPr>
            </w:pPr>
            <w:r>
              <w:rPr>
                <w:rFonts w:hint="eastAsia" w:ascii="Times New Roman" w:hAnsi="Times New Roman" w:eastAsia="黑体"/>
                <w:kern w:val="2"/>
                <w:sz w:val="28"/>
                <w:szCs w:val="28"/>
              </w:rPr>
              <w:t>专栏8</w:t>
            </w:r>
            <w:r>
              <w:rPr>
                <w:rFonts w:hint="eastAsia" w:ascii="黑体" w:hAnsi="黑体" w:eastAsia="黑体"/>
                <w:kern w:val="2"/>
                <w:sz w:val="28"/>
                <w:szCs w:val="28"/>
              </w:rPr>
              <w:t>：南阳市“十四五”文化旅游强市建设重点任务</w:t>
            </w:r>
          </w:p>
        </w:tc>
      </w:tr>
      <w:tr>
        <w:tblPrEx>
          <w:tblCellMar>
            <w:top w:w="0" w:type="dxa"/>
            <w:left w:w="108" w:type="dxa"/>
            <w:bottom w:w="0" w:type="dxa"/>
            <w:right w:w="108" w:type="dxa"/>
          </w:tblCellMar>
        </w:tblPrEx>
        <w:trPr>
          <w:trHeight w:val="556" w:hRule="atLeast"/>
          <w:jc w:val="center"/>
        </w:trPr>
        <w:tc>
          <w:tcPr>
            <w:tcW w:w="8681" w:type="dxa"/>
            <w:tcBorders>
              <w:top w:val="single" w:color="000000" w:sz="4" w:space="0"/>
              <w:left w:val="single" w:color="000000" w:sz="4" w:space="0"/>
              <w:bottom w:val="single" w:color="000000" w:sz="4" w:space="0"/>
              <w:right w:val="single" w:color="000000" w:sz="4" w:space="0"/>
            </w:tcBorders>
          </w:tcPr>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1.文化公园建设。</w:t>
            </w:r>
            <w:r>
              <w:rPr>
                <w:rFonts w:hint="eastAsia" w:ascii="仿宋_GB2312" w:hAnsi="仿宋" w:cs="楷体"/>
                <w:kern w:val="0"/>
                <w:sz w:val="24"/>
                <w:szCs w:val="24"/>
              </w:rPr>
              <w:t>加快医圣祠文化园、卧龙岗文化园、红二十五军长征国家文化公园、黄山考古遗址公园、十里庙遗址文化公园、唐河县汉文化遗址主题公园、西峡灌河文化生态园等项目建设。</w:t>
            </w:r>
          </w:p>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2.红色基因传承。</w:t>
            </w:r>
            <w:r>
              <w:rPr>
                <w:rFonts w:hint="eastAsia" w:ascii="仿宋_GB2312" w:hAnsi="仿宋" w:cs="楷体"/>
                <w:kern w:val="0"/>
                <w:sz w:val="24"/>
                <w:szCs w:val="24"/>
              </w:rPr>
              <w:t>支持各县（市、区）深入挖掘和保护红色资源，大力发展红色旅游，重点打造桐柏革命纪念馆、彭雪枫红色文化教育基地、南阳市烈士陵园等红色旅游系列景区，联合信阳、平顶山、郑州等地区共同推出南水北调水利工程游、红二十五军长征游等红色旅游精品线路。</w:t>
            </w:r>
          </w:p>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3.传统景区升级。</w:t>
            </w:r>
            <w:r>
              <w:rPr>
                <w:rFonts w:hint="eastAsia" w:ascii="仿宋_GB2312" w:hAnsi="仿宋" w:cs="楷体"/>
                <w:kern w:val="0"/>
                <w:sz w:val="24"/>
                <w:szCs w:val="24"/>
              </w:rPr>
              <w:t>推动南阳老界岭国家级旅游度假区、内乡宝天曼、赊店古镇、淅川县渠首丹江湖旅游区等景区进行数字化改造，扩大5G、人工智能、物联网、大数据、云计算、北斗导航等在文化旅游领域有效赋能应用，建设数字景区、数字度假区。</w:t>
            </w:r>
          </w:p>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4.乡村旅游提升。</w:t>
            </w:r>
            <w:r>
              <w:rPr>
                <w:rFonts w:hint="eastAsia" w:ascii="仿宋_GB2312" w:hAnsi="仿宋" w:cs="楷体"/>
                <w:kern w:val="0"/>
                <w:sz w:val="24"/>
                <w:szCs w:val="24"/>
              </w:rPr>
              <w:t>依托城市、景区集聚优势发展乡村旅游、依托文化资源打造体验型乡村旅游目的地、依托生态资源打造康养型乡村旅游目的地、依托精品民宿打造高端乡村旅游目的地。支持乡村旅游星级民宿和特色村创建，重点培育A级乡村旅游示范村，推进西峡花香果海田园综合体、南召东部乡村振兴旅游综合开发等重点项目建设。</w:t>
            </w:r>
          </w:p>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5.休闲养生度假产品开发。</w:t>
            </w:r>
            <w:r>
              <w:rPr>
                <w:rFonts w:hint="eastAsia" w:ascii="仿宋_GB2312" w:hAnsi="仿宋" w:cs="楷体"/>
                <w:kern w:val="0"/>
                <w:sz w:val="24"/>
                <w:szCs w:val="24"/>
              </w:rPr>
              <w:t>以伏牛山、桐柏山、环丹江库区为依托，结合森林河南建设，积极推进森林康养林营建，开发特色森林康养、山地运动、亲水休闲等度假产品。设计全季康养度假旅游路线，完善文旅康养业态，建设一批具有影响力的旅游度假区、文旅康养示范中心。</w:t>
            </w:r>
          </w:p>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6.“一花一草”文旅产品提升。</w:t>
            </w:r>
            <w:r>
              <w:rPr>
                <w:rFonts w:hint="eastAsia" w:ascii="仿宋_GB2312" w:hAnsi="仿宋" w:cs="楷体"/>
                <w:kern w:val="0"/>
                <w:sz w:val="24"/>
                <w:szCs w:val="24"/>
              </w:rPr>
              <w:t>围绕月季花和艾草文化旅游资源，完善提升“花草”特色旅游产品。完善月季花卉旅游产品，开发“艾健康”养生游。</w:t>
            </w:r>
          </w:p>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7.文化产业创新。</w:t>
            </w:r>
            <w:r>
              <w:rPr>
                <w:rFonts w:hint="eastAsia" w:ascii="仿宋_GB2312" w:hAnsi="仿宋" w:cs="楷体"/>
                <w:kern w:val="0"/>
                <w:sz w:val="24"/>
                <w:szCs w:val="24"/>
              </w:rPr>
              <w:t>深入挖掘玉文化，高水平建设中华玉都，打造在全国有影响力的玉文化传承创新基地。积极推动“万里茶道”复兴，联合推进“万里茶道”申报世界文化遗产工作。加快南阳文化创意产业基地等项目建设，打造创意设计名城。</w:t>
            </w:r>
          </w:p>
          <w:p>
            <w:pPr>
              <w:autoSpaceDE w:val="0"/>
              <w:autoSpaceDN w:val="0"/>
              <w:spacing w:line="400" w:lineRule="exact"/>
              <w:ind w:firstLine="480" w:firstLineChars="200"/>
              <w:contextualSpacing/>
              <w:rPr>
                <w:rFonts w:ascii="仿宋" w:hAnsi="仿宋" w:eastAsia="仿宋"/>
              </w:rPr>
            </w:pPr>
            <w:r>
              <w:rPr>
                <w:rFonts w:hint="eastAsia" w:ascii="楷体" w:hAnsi="楷体" w:eastAsia="楷体"/>
                <w:bCs/>
                <w:kern w:val="0"/>
                <w:sz w:val="24"/>
                <w:szCs w:val="24"/>
              </w:rPr>
              <w:t>8.文旅产业融合示范。</w:t>
            </w:r>
            <w:r>
              <w:rPr>
                <w:rFonts w:hint="eastAsia" w:ascii="仿宋_GB2312" w:hAnsi="仿宋" w:cs="楷体"/>
                <w:kern w:val="0"/>
                <w:sz w:val="24"/>
                <w:szCs w:val="24"/>
              </w:rPr>
              <w:t>实施“文化旅游+”，推动文化旅游与教育、体育、健康等产业深度融合，重点培育中医药健康旅游示范基地、研学旅游示范基地等新业态和消费新热点。到2025年，争取打造省级研学旅游示范基地10家、省级中医药健康旅游示范基地（区）5-8家。</w:t>
            </w:r>
          </w:p>
        </w:tc>
      </w:tr>
    </w:tbl>
    <w:p>
      <w:pPr>
        <w:spacing w:line="560" w:lineRule="exact"/>
        <w:ind w:firstLine="640" w:firstLineChars="200"/>
        <w:contextualSpacing/>
        <w:rPr>
          <w:rFonts w:ascii="Times New Roman" w:hAnsi="Times New Roman"/>
          <w:kern w:val="0"/>
        </w:rPr>
      </w:pPr>
      <w:r>
        <w:rPr>
          <w:rFonts w:hint="eastAsia" w:ascii="仿宋_GB2312"/>
          <w:bCs/>
          <w:kern w:val="0"/>
        </w:rPr>
        <w:t>健康服务。</w:t>
      </w:r>
      <w:r>
        <w:rPr>
          <w:rFonts w:hint="eastAsia" w:ascii="仿宋_GB2312" w:hAnsi="Times New Roman"/>
          <w:kern w:val="0"/>
        </w:rPr>
        <w:t>坚持把保障人民健康放在优先发展的战略位置，坚持医疗、医保、医药、医养、医改</w:t>
      </w:r>
      <w:r>
        <w:rPr>
          <w:rFonts w:hint="eastAsia" w:ascii="Times New Roman" w:hAnsi="Times New Roman"/>
          <w:kern w:val="0"/>
        </w:rPr>
        <w:t>“五医联动”，推动以治病为中心向以人民健康为中心转变，大力推进健康南阳建设，重点发展医疗服务、体育健身、健康管理等业态，促进全民健康制度体系更加完善，健康领域发展更加协调，健康生活方式更加普及，健康服务质量和健康保障水平不断提高，健康服务产业繁荣发展，努力打造全国健康养生之都。</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——优化完善医疗卫生服务体系。</w:t>
      </w:r>
      <w:r>
        <w:rPr>
          <w:rFonts w:hint="eastAsia" w:ascii="仿宋_GB2312" w:hAnsi="Times New Roman"/>
          <w:kern w:val="0"/>
        </w:rPr>
        <w:t>深入开展爱国卫生运动，常态化做好疫情防控和疫苗接种，完善传染病监测、处置机制，提高突发公共卫生事件应对能力。加快优质医疗资源扩容和市域均衡布局，高标准建设省级区域医疗中心、县域医共体、城市医联体，补齐城市社区卫生服务中心</w:t>
      </w:r>
      <w:r>
        <w:rPr>
          <w:rFonts w:hint="eastAsia" w:ascii="Times New Roman" w:hAnsi="Times New Roman"/>
          <w:kern w:val="0"/>
        </w:rPr>
        <w:t>(</w:t>
      </w:r>
      <w:r>
        <w:rPr>
          <w:rFonts w:hint="eastAsia" w:ascii="仿宋_GB2312" w:hAnsi="Times New Roman"/>
          <w:kern w:val="0"/>
        </w:rPr>
        <w:t>站</w:t>
      </w:r>
      <w:r>
        <w:rPr>
          <w:rFonts w:hint="eastAsia" w:ascii="Times New Roman" w:hAnsi="Times New Roman"/>
          <w:kern w:val="0"/>
        </w:rPr>
        <w:t>)</w:t>
      </w:r>
      <w:r>
        <w:rPr>
          <w:rFonts w:hint="eastAsia" w:ascii="仿宋_GB2312" w:hAnsi="Times New Roman"/>
          <w:kern w:val="0"/>
        </w:rPr>
        <w:t>短板，推动乡村两级医疗卫生机构达标升级，构建</w:t>
      </w:r>
      <w:r>
        <w:rPr>
          <w:rFonts w:hint="eastAsia" w:ascii="Times New Roman" w:hAnsi="Times New Roman"/>
          <w:kern w:val="0"/>
        </w:rPr>
        <w:t>15</w:t>
      </w:r>
      <w:r>
        <w:rPr>
          <w:rFonts w:hint="eastAsia" w:ascii="仿宋_GB2312" w:hAnsi="Times New Roman"/>
          <w:kern w:val="0"/>
        </w:rPr>
        <w:t>分钟基本医疗卫生服务圈。推动县级医院能力建设，健全完善诊疗科目，打造临床优势专科，加强重点专科建设。扩大“医联体”覆盖范围，有效推动基层首诊、双向转诊服务模式。大力发展康复护理、老年护理、家庭护理等紧缺型医疗服务，着力推进精神疾病、传染病等专科医院特色化发展。</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——促进中医药传承创新发展。</w:t>
      </w:r>
      <w:r>
        <w:rPr>
          <w:rFonts w:hint="eastAsia" w:ascii="仿宋_GB2312" w:hAnsi="Times New Roman"/>
          <w:kern w:val="0"/>
        </w:rPr>
        <w:t>以国家中医药综合改革试验区建设为载体，以创建全国基层中医药工作示范市为抓手，积极推进中医药标准化、中医药教研协同创新、中医药产业创新、互联网</w:t>
      </w:r>
      <w:r>
        <w:rPr>
          <w:rFonts w:hint="eastAsia" w:ascii="Times New Roman" w:hAnsi="Times New Roman"/>
          <w:kern w:val="0"/>
        </w:rPr>
        <w:t>+</w:t>
      </w:r>
      <w:r>
        <w:rPr>
          <w:rFonts w:hint="eastAsia" w:ascii="仿宋_GB2312" w:hAnsi="Times New Roman"/>
          <w:kern w:val="0"/>
        </w:rPr>
        <w:t>中医药服务、中医治未病等工程，建设国家中医区域医疗中心、省级区域中医专科诊疗中心，进一步打响仲景文化品牌，打造全球中医圣地。实施</w:t>
      </w:r>
      <w:r>
        <w:rPr>
          <w:rFonts w:hint="eastAsia" w:ascii="Times New Roman" w:hAnsi="Times New Roman"/>
          <w:kern w:val="0"/>
        </w:rPr>
        <w:t>“</w:t>
      </w:r>
      <w:r>
        <w:rPr>
          <w:rFonts w:hint="eastAsia" w:ascii="仿宋_GB2312" w:hAnsi="Times New Roman"/>
          <w:kern w:val="0"/>
        </w:rPr>
        <w:t>名医</w:t>
      </w:r>
      <w:r>
        <w:rPr>
          <w:rFonts w:hint="eastAsia" w:ascii="Times New Roman" w:hAnsi="Times New Roman"/>
          <w:kern w:val="0"/>
        </w:rPr>
        <w:t>”“</w:t>
      </w:r>
      <w:r>
        <w:rPr>
          <w:rFonts w:hint="eastAsia" w:ascii="仿宋_GB2312" w:hAnsi="Times New Roman"/>
          <w:kern w:val="0"/>
        </w:rPr>
        <w:t>名科</w:t>
      </w:r>
      <w:r>
        <w:rPr>
          <w:rFonts w:hint="eastAsia" w:ascii="Times New Roman" w:hAnsi="Times New Roman"/>
          <w:kern w:val="0"/>
        </w:rPr>
        <w:t>”“</w:t>
      </w:r>
      <w:r>
        <w:rPr>
          <w:rFonts w:hint="eastAsia" w:ascii="仿宋_GB2312" w:hAnsi="Times New Roman"/>
          <w:kern w:val="0"/>
        </w:rPr>
        <w:t>名院</w:t>
      </w:r>
      <w:r>
        <w:rPr>
          <w:rFonts w:hint="eastAsia" w:ascii="Times New Roman" w:hAnsi="Times New Roman"/>
          <w:kern w:val="0"/>
        </w:rPr>
        <w:t>”</w:t>
      </w:r>
      <w:r>
        <w:rPr>
          <w:rFonts w:hint="eastAsia" w:ascii="仿宋_GB2312" w:hAnsi="Times New Roman"/>
          <w:kern w:val="0"/>
        </w:rPr>
        <w:t>工程，以名医带名科，以名科创名院，打造全国中医高地。实施宛药振兴计划，推进</w:t>
      </w:r>
      <w:r>
        <w:rPr>
          <w:rFonts w:hint="eastAsia" w:ascii="Times New Roman" w:hAnsi="Times New Roman"/>
          <w:kern w:val="0"/>
        </w:rPr>
        <w:t>“八大宛药”等道地药材种植、加工、仓储物流、新型中药研发同步发力，推动建设河南省现代中药产业优势走廊。加快南阳艾产业发展，健全标准体系，支持字号申报，提升艾产品档次和高科技含量，打响“南阳艾”品牌，打造“世界艾乡”。鼓励社会资本积极参与中医药产业发展，支持发展中医特色养老、康复等中医药健康服务。</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——完善全民健身公共服务体系。</w:t>
      </w:r>
      <w:r>
        <w:rPr>
          <w:rFonts w:hint="eastAsia" w:ascii="仿宋_GB2312" w:hAnsi="Times New Roman"/>
          <w:kern w:val="0"/>
        </w:rPr>
        <w:t>深入开展全民健身行动，积极创建全国全民运动健身模范市。加强全民健身设施科学规划与布局，全面落实新建居民区和社区体育设施建设标准。推进市、县、乡、村四级体育设施网络建设。抓好全市体育场馆的综合有效利用，鼓励社会资本参与公共体育设施的建设运营。谋划引进重大体育赛事，培育一批具有地方特色的全民健身赛事品牌。大力发展休闲运动产业，扶持壮大一批体育运动企业，培育建设一批体育产业示范基地。积极培育和引导健身休闲运动消费，推动体育产业与健康养老、文化旅游等相关产业融合发展。</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——多样化发展康养服务产业。</w:t>
      </w:r>
      <w:r>
        <w:rPr>
          <w:rFonts w:hint="eastAsia" w:ascii="仿宋_GB2312" w:hAnsi="Times New Roman"/>
          <w:kern w:val="0"/>
        </w:rPr>
        <w:t>大力发展中医药保健、医疗康复、健康体检、森林康养、休闲度假等康养服务产业，打造全国重要的健康养生目的地，打响</w:t>
      </w:r>
      <w:r>
        <w:rPr>
          <w:rFonts w:hint="eastAsia" w:ascii="Times New Roman" w:hAnsi="Times New Roman"/>
          <w:kern w:val="0"/>
        </w:rPr>
        <w:t>“中医圣地、颐养宝地”品牌。推进</w:t>
      </w:r>
      <w:r>
        <w:rPr>
          <w:rFonts w:hint="eastAsia" w:ascii="仿宋_GB2312" w:hAnsi="Times New Roman"/>
          <w:kern w:val="0"/>
        </w:rPr>
        <w:t>老界岭、宝天曼、淮源风景区等建设国家森林康养基地试点，打造伏牛山、桐柏</w:t>
      </w:r>
      <w:r>
        <w:rPr>
          <w:rFonts w:hint="eastAsia" w:ascii="Times New Roman" w:hAnsi="Times New Roman"/>
          <w:kern w:val="0"/>
        </w:rPr>
        <w:t>-</w:t>
      </w:r>
      <w:r>
        <w:rPr>
          <w:rFonts w:hint="eastAsia" w:ascii="仿宋_GB2312" w:hAnsi="Times New Roman"/>
          <w:kern w:val="0"/>
        </w:rPr>
        <w:t>大别山健康养老产业带，加快创建国家、省文旅康养示范区（基地）。建设中医康养产业基地，打造</w:t>
      </w:r>
      <w:r>
        <w:rPr>
          <w:rFonts w:hint="eastAsia" w:ascii="Times New Roman" w:hAnsi="Times New Roman"/>
          <w:kern w:val="0"/>
        </w:rPr>
        <w:t>“一河两岸”康养产业带，推进中医药与康养文旅产业融合发展。大力发展中医药保健服务，积极开展融合中医特色健康管理的医疗、康复、护理、养生保健等康养服务，建设一批省级医养结合示范基地，创建国家级医养结合示范基地。大力发展中医药膳食养生产业，开发药浴、药膳、药茶、药酒、药枕、中医药护肤品等特色商品，支持仲景堂药膳品牌做大做强。开发“人寿保险+</w:t>
      </w:r>
      <w:r>
        <w:rPr>
          <w:rFonts w:hint="eastAsia" w:ascii="仿宋_GB2312" w:hAnsi="Times New Roman"/>
          <w:kern w:val="0"/>
        </w:rPr>
        <w:t>康养服务”商业模式，提供高端定制化康养服务。</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——加快发展健康服务新业态。</w:t>
      </w:r>
      <w:r>
        <w:rPr>
          <w:rFonts w:hint="eastAsia" w:ascii="仿宋_GB2312" w:hAnsi="Times New Roman"/>
          <w:kern w:val="0"/>
        </w:rPr>
        <w:t>深入实施</w:t>
      </w:r>
      <w:r>
        <w:rPr>
          <w:rFonts w:hint="eastAsia" w:ascii="Times New Roman" w:hAnsi="Times New Roman"/>
          <w:kern w:val="0"/>
        </w:rPr>
        <w:t>“互联网+</w:t>
      </w:r>
      <w:r>
        <w:rPr>
          <w:rFonts w:hint="eastAsia" w:ascii="仿宋_GB2312" w:hAnsi="Times New Roman"/>
          <w:kern w:val="0"/>
        </w:rPr>
        <w:t>健康”行动，培育发展互联网医院、智慧医疗、远程医疗、智慧养老、智慧体育等新业态。强化“智慧健康”建设，促进在线医疗诊断、远程云会诊、中医“治未病”健康管理等康养模式快速发展。培育健康文化产业和体育医疗康复产业，发展中医药健康旅游，打造一批知名品牌和良性循环的健康服务产业集群。鼓励发展健康体检、咨询等健康服务，推广个性化健康管理服务，探索推进可穿戴设备、智能健康电子产品和健康医疗移动应用等服务。支持医疗大数据平台建设，培育发展智能健康软件、系统、装备、用品的研发设计。</w:t>
      </w:r>
    </w:p>
    <w:tbl>
      <w:tblPr>
        <w:tblStyle w:val="26"/>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00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contextualSpacing/>
              <w:jc w:val="center"/>
              <w:rPr>
                <w:rFonts w:ascii="仿宋" w:hAnsi="仿宋" w:eastAsia="仿宋"/>
                <w:bCs/>
                <w:kern w:val="0"/>
              </w:rPr>
            </w:pPr>
            <w:r>
              <w:rPr>
                <w:rFonts w:hint="eastAsia" w:ascii="Times New Roman" w:hAnsi="Times New Roman" w:eastAsia="黑体"/>
                <w:sz w:val="28"/>
                <w:szCs w:val="28"/>
              </w:rPr>
              <w:t>专栏9</w:t>
            </w:r>
            <w:r>
              <w:rPr>
                <w:rFonts w:hint="eastAsia" w:ascii="黑体" w:hAnsi="黑体" w:eastAsia="黑体"/>
                <w:sz w:val="28"/>
                <w:szCs w:val="28"/>
              </w:rPr>
              <w:t>：南阳市“十四五”健康服务业发展重点任务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0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1.医疗服务提质发展。</w:t>
            </w:r>
            <w:r>
              <w:rPr>
                <w:rFonts w:hint="eastAsia" w:ascii="仿宋_GB2312" w:hAnsi="仿宋" w:cs="楷体"/>
                <w:kern w:val="0"/>
                <w:sz w:val="24"/>
                <w:szCs w:val="24"/>
              </w:rPr>
              <w:t>提升市级医院技术，打造省际区域性“医疗龙头”。加快市中心医院、中医院、传染病医院等项目建设，建成投用市中心医院新院区、中医院新院区等项目。办好县级综合医院、中医院和妇幼保健院，提升社区卫生服务机构、乡镇卫生院和村卫生室服务能力。</w:t>
            </w:r>
          </w:p>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2.中医药传承创新发展。</w:t>
            </w:r>
            <w:r>
              <w:rPr>
                <w:rFonts w:hint="eastAsia" w:ascii="仿宋_GB2312" w:hAnsi="仿宋" w:cs="楷体"/>
                <w:kern w:val="0"/>
                <w:sz w:val="24"/>
                <w:szCs w:val="24"/>
              </w:rPr>
              <w:t>加快建设张仲景国医大学、国家区域医疗中心，推进国家、省级中医药重点实验室、中医临床医学研究中心、工程技术研究中心和技术创新中心等科技创新平台建设，建设一批院士、国医大师工作室，引进一批高层次中医药人才。加快仲景方药、针灸技术在重大疾病、疑难病、新发突发传染病方面的临床研究和应用。推进中医药古籍文献数字化，创新发展仲景方、药、针、灸理论体系和应用。建设现代中药产业园，发展壮大一批本地新兴中药企业，培育发展中药企业集群。加快建设一批文旅康养示范基地、医养结合基地，打造全国中医药名都。</w:t>
            </w:r>
          </w:p>
          <w:p>
            <w:pPr>
              <w:autoSpaceDE w:val="0"/>
              <w:autoSpaceDN w:val="0"/>
              <w:spacing w:line="400" w:lineRule="exact"/>
              <w:ind w:firstLine="480" w:firstLineChars="200"/>
              <w:contextualSpacing/>
              <w:rPr>
                <w:rFonts w:ascii="仿宋" w:hAnsi="仿宋" w:eastAsia="仿宋"/>
              </w:rPr>
            </w:pPr>
            <w:r>
              <w:rPr>
                <w:rFonts w:hint="eastAsia" w:ascii="楷体" w:hAnsi="楷体" w:eastAsia="楷体"/>
                <w:bCs/>
                <w:kern w:val="0"/>
                <w:sz w:val="24"/>
                <w:szCs w:val="24"/>
              </w:rPr>
              <w:t>3.体育健身提速发展。</w:t>
            </w:r>
            <w:r>
              <w:rPr>
                <w:rFonts w:hint="eastAsia" w:ascii="仿宋_GB2312" w:hAnsi="仿宋" w:cs="楷体"/>
                <w:kern w:val="0"/>
                <w:sz w:val="24"/>
                <w:szCs w:val="24"/>
              </w:rPr>
              <w:t>广泛开展全民健康运动，加强营养和膳食指导，推进“三减三健”和控烟限酒行动。加强公共体育设施和全民健身公共服务体系建设，打造公园绿地“10分钟服务圈”和社区“15分钟健身圈”。培育和引导体育消费，发展山地、水上、冰雪、通用航空、民间传统体育等产业业态。</w:t>
            </w:r>
          </w:p>
        </w:tc>
      </w:tr>
    </w:tbl>
    <w:p>
      <w:pPr>
        <w:spacing w:line="560" w:lineRule="exact"/>
        <w:ind w:firstLine="640" w:firstLineChars="200"/>
        <w:contextualSpacing/>
        <w:rPr>
          <w:rFonts w:ascii="Times New Roman" w:hAnsi="Times New Roman"/>
          <w:kern w:val="0"/>
        </w:rPr>
      </w:pPr>
      <w:r>
        <w:rPr>
          <w:rFonts w:hint="eastAsia" w:ascii="仿宋_GB2312"/>
          <w:bCs/>
          <w:kern w:val="0"/>
        </w:rPr>
        <w:t>养老育幼。</w:t>
      </w:r>
      <w:r>
        <w:rPr>
          <w:rFonts w:hint="eastAsia" w:ascii="仿宋_GB2312" w:hAnsi="Times New Roman"/>
          <w:kern w:val="0"/>
        </w:rPr>
        <w:t>聚焦</w:t>
      </w:r>
      <w:r>
        <w:rPr>
          <w:rFonts w:hint="eastAsia" w:ascii="Times New Roman" w:hAnsi="Times New Roman"/>
          <w:kern w:val="0"/>
        </w:rPr>
        <w:t>“一老一小”深入推进民生保障工作，全面放开养老育幼服务市场，丰富养老育幼服务产品，扩大普惠性服务供给，提升养老托育服务水平，建立健全城乡养老托育服务体系，持续提高人民群众的获得感、幸福感、安全感。到2025</w:t>
      </w:r>
      <w:r>
        <w:rPr>
          <w:rFonts w:hint="eastAsia" w:ascii="仿宋_GB2312" w:hAnsi="Times New Roman"/>
          <w:kern w:val="0"/>
        </w:rPr>
        <w:t>年，养老服务体系更加健全，托幼托育能力不断提高，基本实现城乡社区养老托育机构全覆盖。</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——加快健全养老服务体系。</w:t>
      </w:r>
      <w:r>
        <w:rPr>
          <w:rFonts w:hint="eastAsia" w:ascii="仿宋_GB2312" w:hAnsi="Times New Roman"/>
          <w:kern w:val="0"/>
        </w:rPr>
        <w:t>坚持以人为本，注重康养结合，推动养老事业和养老产业协同发展，健全基本养老服务体系，大力发展普惠型养老服务，支持家庭承担养老功能，加快完善以居家为基础、社区为依托、机构为补充、医养康养相结合的养老服务保障体系。全面放开养老服务市场，鼓励支持社会力量开办养老服务设施，推行</w:t>
      </w:r>
      <w:r>
        <w:rPr>
          <w:rFonts w:hint="eastAsia" w:ascii="Times New Roman" w:hAnsi="Times New Roman"/>
          <w:kern w:val="0"/>
        </w:rPr>
        <w:t>“公办民营”“民办公助”运营模式。深化公办养老机构改革，提升服务能力和水平，完善公建民营管理机制。探索长期护理保险制度，提高机构养老社会化水平，逐步形成基本生活照料、精神慰藉、紧急救援等多层次、多种形式的养老服务产品体系。</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——优化提升育幼服务水平。</w:t>
      </w:r>
      <w:r>
        <w:rPr>
          <w:rFonts w:hint="eastAsia" w:ascii="仿宋_GB2312" w:hAnsi="Times New Roman"/>
          <w:kern w:val="0"/>
        </w:rPr>
        <w:t>充分发挥政府主导职能和统筹协调作用，合理布局全市育幼资源，结合新建小区配套和城镇老旧小区改造，完善社区托育服务设施和网点，引进品牌企业发展集中运营的社区嵌入式服务网点，支持物业公司开展</w:t>
      </w:r>
      <w:r>
        <w:rPr>
          <w:rFonts w:hint="eastAsia" w:ascii="Times New Roman" w:hAnsi="Times New Roman"/>
          <w:kern w:val="0"/>
        </w:rPr>
        <w:t>“物业+</w:t>
      </w:r>
      <w:r>
        <w:rPr>
          <w:rFonts w:hint="eastAsia" w:ascii="仿宋_GB2312" w:hAnsi="Times New Roman"/>
          <w:kern w:val="0"/>
        </w:rPr>
        <w:t>育幼”服务探索。鼓励集中托育、育儿指导、养护培训等育幼服务发展，加快建立以社区为依托、机构为补充、普惠为主导的育幼资源供给体系。加强公办和公建民营育幼机构建设，完善公建民营机制，探索开展连锁化运营。支持社会力量积极参与普惠托育服务，稳步落实家庭科学育儿指导服务进社区。发展互联网直播互动式家庭育儿服务，鼓励开发婴幼儿养育课程、父母课堂等。</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——积极发展健康养老新业态。</w:t>
      </w:r>
      <w:r>
        <w:rPr>
          <w:rFonts w:hint="eastAsia" w:ascii="仿宋_GB2312" w:hAnsi="Times New Roman"/>
          <w:kern w:val="0"/>
        </w:rPr>
        <w:t>加强老年健康服务，深入推进医养康养结合。全面推进养生养老和医养结合示范工程，打造特色健康养老示范区，扶持一批特色鲜明、示范性强的医养结合示范项目和企业。依托南阳中医药健康服务优势，建设区域重要的中医医养型示范基地。发挥南阳山水资源和中医药文化优势，推进养老产业与文旅、中医药产业深度融合，大力发展</w:t>
      </w:r>
      <w:r>
        <w:rPr>
          <w:rFonts w:hint="eastAsia" w:ascii="Times New Roman" w:hAnsi="Times New Roman"/>
          <w:kern w:val="0"/>
        </w:rPr>
        <w:t>“候鸟”型养老等新型养老发展模式，打造一批“康养+</w:t>
      </w:r>
      <w:r>
        <w:rPr>
          <w:rFonts w:hint="eastAsia" w:ascii="仿宋_GB2312" w:hAnsi="Times New Roman"/>
          <w:kern w:val="0"/>
        </w:rPr>
        <w:t>”品牌，建设一批以休闲健身、保健养生、医疗康复为主的健康养老产业园区。培育壮大一批康养龙头企业，创新“平台</w:t>
      </w:r>
      <w:r>
        <w:rPr>
          <w:rFonts w:hint="eastAsia" w:ascii="Times New Roman" w:hAnsi="Times New Roman"/>
          <w:kern w:val="0"/>
        </w:rPr>
        <w:t>+</w:t>
      </w:r>
      <w:r>
        <w:rPr>
          <w:rFonts w:hint="eastAsia" w:ascii="仿宋_GB2312" w:hAnsi="Times New Roman"/>
          <w:kern w:val="0"/>
        </w:rPr>
        <w:t>康养</w:t>
      </w:r>
      <w:r>
        <w:rPr>
          <w:rFonts w:hint="eastAsia" w:ascii="Times New Roman" w:hAnsi="Times New Roman"/>
          <w:kern w:val="0"/>
        </w:rPr>
        <w:t>+</w:t>
      </w:r>
      <w:r>
        <w:rPr>
          <w:rFonts w:hint="eastAsia" w:ascii="仿宋_GB2312" w:hAnsi="Times New Roman"/>
          <w:kern w:val="0"/>
        </w:rPr>
        <w:t>终端</w:t>
      </w:r>
      <w:r>
        <w:rPr>
          <w:rFonts w:hint="eastAsia" w:ascii="Times New Roman" w:hAnsi="Times New Roman"/>
          <w:kern w:val="0"/>
        </w:rPr>
        <w:t>+</w:t>
      </w:r>
      <w:r>
        <w:rPr>
          <w:rFonts w:hint="eastAsia" w:ascii="仿宋_GB2312" w:hAnsi="Times New Roman"/>
          <w:kern w:val="0"/>
        </w:rPr>
        <w:t>服务</w:t>
      </w:r>
      <w:r>
        <w:rPr>
          <w:rFonts w:hint="eastAsia" w:ascii="Times New Roman" w:hAnsi="Times New Roman"/>
          <w:kern w:val="0"/>
        </w:rPr>
        <w:t>+</w:t>
      </w:r>
      <w:r>
        <w:rPr>
          <w:rFonts w:hint="eastAsia" w:ascii="仿宋_GB2312" w:hAnsi="Times New Roman"/>
          <w:kern w:val="0"/>
        </w:rPr>
        <w:t>网络”的智慧康养服务模式，打造中医康养产业体系。</w:t>
      </w:r>
    </w:p>
    <w:p>
      <w:pPr>
        <w:autoSpaceDE w:val="0"/>
        <w:autoSpaceDN w:val="0"/>
        <w:spacing w:line="560" w:lineRule="exact"/>
        <w:ind w:firstLine="640" w:firstLineChars="200"/>
        <w:contextualSpacing/>
        <w:rPr>
          <w:rFonts w:ascii="仿宋" w:hAnsi="仿宋" w:eastAsia="仿宋"/>
        </w:rPr>
      </w:pPr>
      <w:r>
        <w:rPr>
          <w:rFonts w:hint="eastAsia" w:ascii="Times New Roman" w:hAnsi="Times New Roman"/>
          <w:bCs/>
          <w:kern w:val="0"/>
        </w:rPr>
        <w:t>——完善养老育幼服务监管体系。</w:t>
      </w:r>
      <w:r>
        <w:rPr>
          <w:rFonts w:hint="eastAsia" w:ascii="仿宋_GB2312" w:hAnsi="Times New Roman"/>
          <w:kern w:val="0"/>
        </w:rPr>
        <w:t>健全服务质量标准和评价体系，实施养老育幼机构服务质量等级评定工作，提升养老育幼机构规范化建设水平。推广养老育幼服务领域政务公开和机构信息公开，加强养老育幼服务事中事后监管，利用信息化手段进行养老育幼服务全过程监管。加快建立</w:t>
      </w:r>
      <w:r>
        <w:rPr>
          <w:rFonts w:hint="eastAsia" w:ascii="Times New Roman" w:hAnsi="Times New Roman"/>
          <w:kern w:val="0"/>
        </w:rPr>
        <w:t>“养老育幼服务+</w:t>
      </w:r>
      <w:r>
        <w:rPr>
          <w:rFonts w:hint="eastAsia" w:ascii="仿宋_GB2312" w:hAnsi="Times New Roman"/>
          <w:kern w:val="0"/>
        </w:rPr>
        <w:t>信用”机制，建立覆盖从业人员和服务对象的养老育幼服务行业信用管理体系。加强服务标准化建设，充分发挥标准化技术支撑作用，推进养老育幼服务向高质量转型发展。</w:t>
      </w:r>
    </w:p>
    <w:tbl>
      <w:tblPr>
        <w:tblStyle w:val="26"/>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96"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center"/>
              <w:rPr>
                <w:rFonts w:ascii="仿宋" w:hAnsi="仿宋" w:eastAsia="仿宋"/>
                <w:bCs/>
              </w:rPr>
            </w:pPr>
            <w:r>
              <w:rPr>
                <w:rFonts w:hint="eastAsia" w:ascii="Times New Roman" w:hAnsi="Times New Roman" w:eastAsia="黑体"/>
                <w:sz w:val="28"/>
                <w:szCs w:val="28"/>
              </w:rPr>
              <w:t>专栏10</w:t>
            </w:r>
            <w:r>
              <w:rPr>
                <w:rFonts w:hint="eastAsia" w:ascii="黑体" w:hAnsi="黑体" w:eastAsia="黑体"/>
                <w:sz w:val="28"/>
                <w:szCs w:val="28"/>
              </w:rPr>
              <w:t>：南阳市“十四五”养老育幼产业发展重点任务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79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1.加强城乡社区养老服务设施建设。</w:t>
            </w:r>
            <w:r>
              <w:rPr>
                <w:rFonts w:hint="eastAsia" w:ascii="仿宋_GB2312" w:hAnsi="仿宋" w:cs="楷体"/>
                <w:kern w:val="0"/>
                <w:sz w:val="24"/>
                <w:szCs w:val="24"/>
              </w:rPr>
              <w:t>将社区居家养老服务设施建设纳入城乡社区配套房屋建设范围，结合老旧小区改造等城镇建设工程，推进配套建设社区养老服务设施。到2025年，力争新建城区、新建居住区配套建设养老设施达标率到100%，已建成居住区按标准补齐社区养老服务设施。县、乡、村三级养老服务中心全面建成，所有乡镇（街道）建有一所综合性养老服务中心，县（市、区）至少建设一所养老服务中心，城市社区老年人日间照料中心在社区全覆盖的基础上优化服务功能，农村幸福院等社区养老服务设施网络实现全覆盖。</w:t>
            </w:r>
          </w:p>
          <w:p>
            <w:pPr>
              <w:autoSpaceDE w:val="0"/>
              <w:autoSpaceDN w:val="0"/>
              <w:spacing w:line="400" w:lineRule="exact"/>
              <w:ind w:firstLine="480" w:firstLineChars="200"/>
              <w:contextualSpacing/>
              <w:rPr>
                <w:rFonts w:ascii="仿宋_GB2312" w:hAnsi="仿宋" w:cs="楷体"/>
                <w:kern w:val="0"/>
                <w:sz w:val="24"/>
                <w:szCs w:val="24"/>
              </w:rPr>
            </w:pPr>
            <w:r>
              <w:rPr>
                <w:rFonts w:hint="eastAsia" w:ascii="楷体" w:hAnsi="楷体" w:eastAsia="楷体"/>
                <w:bCs/>
                <w:kern w:val="0"/>
                <w:sz w:val="24"/>
                <w:szCs w:val="24"/>
              </w:rPr>
              <w:t>2.加快养老服务创新发展。</w:t>
            </w:r>
            <w:r>
              <w:rPr>
                <w:rFonts w:hint="eastAsia" w:ascii="仿宋_GB2312" w:hAnsi="仿宋" w:cs="楷体"/>
                <w:kern w:val="0"/>
                <w:sz w:val="24"/>
                <w:szCs w:val="24"/>
              </w:rPr>
              <w:t>优化城乡养老机构床位结构，加强养老机构护理床位和服务能力建设。改善养老机构床位结构，提升养老机构护理型床位比例，到2025年养老机构护理型床位不低于55%。全面放开养老服务市场，鼓励养老机构连锁化经营、集团化发展，培育一批各具特色、管理规范、服务标准的龙头养老机构。</w:t>
            </w:r>
          </w:p>
          <w:p>
            <w:pPr>
              <w:autoSpaceDE w:val="0"/>
              <w:autoSpaceDN w:val="0"/>
              <w:spacing w:line="400" w:lineRule="exact"/>
              <w:ind w:firstLine="480" w:firstLineChars="200"/>
              <w:contextualSpacing/>
              <w:rPr>
                <w:rFonts w:ascii="仿宋" w:hAnsi="仿宋" w:eastAsia="仿宋"/>
              </w:rPr>
            </w:pPr>
            <w:r>
              <w:rPr>
                <w:rFonts w:hint="eastAsia" w:ascii="楷体" w:hAnsi="楷体" w:eastAsia="楷体"/>
                <w:bCs/>
                <w:kern w:val="0"/>
                <w:sz w:val="24"/>
                <w:szCs w:val="24"/>
              </w:rPr>
              <w:t>3.托育服务能力倍增行动。</w:t>
            </w:r>
            <w:r>
              <w:rPr>
                <w:rFonts w:hint="eastAsia" w:ascii="仿宋_GB2312" w:hAnsi="仿宋" w:cs="楷体"/>
                <w:kern w:val="0"/>
                <w:sz w:val="24"/>
                <w:szCs w:val="24"/>
              </w:rPr>
              <w:t>支持各县（市、区）利用城市力量发展综合托育服务机构和社区托育服务设施，积极创建儿童友好城市，2025年底前，全市每个城市社区建成1家以上托育服务机构，每千人口拥有3岁以下婴幼儿托位数达到4.5个。</w:t>
            </w:r>
          </w:p>
        </w:tc>
      </w:tr>
    </w:tbl>
    <w:p>
      <w:pPr>
        <w:spacing w:line="560" w:lineRule="exact"/>
        <w:ind w:firstLine="640" w:firstLineChars="200"/>
        <w:contextualSpacing/>
        <w:rPr>
          <w:rFonts w:ascii="Times New Roman" w:hAnsi="Times New Roman"/>
          <w:kern w:val="0"/>
        </w:rPr>
      </w:pPr>
      <w:r>
        <w:rPr>
          <w:rFonts w:hint="eastAsia" w:ascii="仿宋_GB2312"/>
          <w:bCs/>
          <w:kern w:val="0"/>
        </w:rPr>
        <w:t>现代商贸。</w:t>
      </w:r>
      <w:r>
        <w:rPr>
          <w:rFonts w:hint="eastAsia" w:ascii="仿宋_GB2312" w:hAnsi="Times New Roman"/>
          <w:kern w:val="0"/>
        </w:rPr>
        <w:t>顺应消费需求升级趋势，强化现代商贸流通功能，优化商业网点布局，推动现代商贸提档升级，积极培育新型业态，完善</w:t>
      </w:r>
      <w:r>
        <w:rPr>
          <w:rFonts w:hint="eastAsia" w:ascii="Times New Roman" w:hAnsi="Times New Roman"/>
          <w:kern w:val="0"/>
        </w:rPr>
        <w:t>“互联网+</w:t>
      </w:r>
      <w:r>
        <w:rPr>
          <w:rFonts w:hint="eastAsia" w:ascii="仿宋_GB2312" w:hAnsi="Times New Roman"/>
          <w:kern w:val="0"/>
        </w:rPr>
        <w:t>消费”生态体系，加快建设一批地标性、特色化、高品质的商贸中心、区域商圈和商业街区，全面提高城市商贸能级和商业魅力，打造区域性现代商贸中心和新型消费示范城市。</w:t>
      </w:r>
      <w:r>
        <w:rPr>
          <w:rFonts w:hint="eastAsia" w:ascii="Times New Roman" w:hAnsi="Times New Roman"/>
          <w:kern w:val="0"/>
        </w:rPr>
        <w:t>“十四五”期间</w:t>
      </w:r>
      <w:r>
        <w:rPr>
          <w:rFonts w:hint="eastAsia" w:ascii="仿宋_GB2312" w:hAnsi="Times New Roman"/>
          <w:kern w:val="0"/>
        </w:rPr>
        <w:t>，全市社会消费品零售总额年均增长</w:t>
      </w:r>
      <w:r>
        <w:rPr>
          <w:rFonts w:hint="eastAsia" w:ascii="Times New Roman" w:hAnsi="Times New Roman"/>
          <w:kern w:val="0"/>
        </w:rPr>
        <w:t>12%</w:t>
      </w:r>
      <w:r>
        <w:rPr>
          <w:rFonts w:hint="eastAsia" w:ascii="仿宋_GB2312" w:hAnsi="Times New Roman"/>
          <w:kern w:val="0"/>
        </w:rPr>
        <w:t>左右。</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——推进消费商圈优化升级。</w:t>
      </w:r>
      <w:r>
        <w:rPr>
          <w:rFonts w:hint="eastAsia" w:ascii="仿宋_GB2312" w:hAnsi="Times New Roman"/>
          <w:kern w:val="0"/>
        </w:rPr>
        <w:t>开展重点商圈提升行动，优化中心城区商业网点布局。持续推动商业步行街改造升级，建设以白河南商贸步行街为主体的复合型时尚商贸街区、以南阳府衙及周边街道为主体的历史文化特色美食街区、以卧龙岗文化园武侯里文化步行街、南阳关帝庙文化步行街等特色商贸街区，加快向场景化、体验式和互动性的特色区域商圈转型，打造</w:t>
      </w:r>
      <w:r>
        <w:rPr>
          <w:rFonts w:hint="eastAsia" w:ascii="Times New Roman" w:hAnsi="Times New Roman"/>
          <w:kern w:val="0"/>
        </w:rPr>
        <w:t>“数字经济＋特色街区”智慧商圈。广泛应用现代经营理念和信息技术，加快改造提升老城区商业业态，积极引进国际大牌、全国名品，增强老城区商业的辐射力和影响力。</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——推进现代商贸设施建设。</w:t>
      </w:r>
      <w:r>
        <w:rPr>
          <w:rFonts w:hint="eastAsia" w:ascii="仿宋_GB2312" w:hAnsi="Times New Roman"/>
          <w:kern w:val="0"/>
        </w:rPr>
        <w:t>加快新商圈培育引导，建设集购物、餐饮、休闲、娱乐、体验等功能于一体的现代品质型城市商业综合体。加快在县城建设一批商贸中心，加快推进一批老旧商品市场、商业街区等改造提升。深入推进</w:t>
      </w:r>
      <w:r>
        <w:rPr>
          <w:rFonts w:hint="eastAsia" w:ascii="Times New Roman" w:hAnsi="Times New Roman"/>
          <w:kern w:val="0"/>
        </w:rPr>
        <w:t>“新网工程”，优化农村、社区网点设置，着力构建以乡镇连锁超市为骨干、村级连锁便利店为基础的农村消费市场网络，提升市场规范化、智慧化水平，打造“5</w:t>
      </w:r>
      <w:r>
        <w:rPr>
          <w:rFonts w:hint="eastAsia" w:ascii="仿宋_GB2312" w:hAnsi="Times New Roman"/>
          <w:kern w:val="0"/>
        </w:rPr>
        <w:t>分钟便利店</w:t>
      </w:r>
      <w:r>
        <w:rPr>
          <w:rFonts w:hint="eastAsia" w:ascii="Times New Roman" w:hAnsi="Times New Roman"/>
          <w:kern w:val="0"/>
        </w:rPr>
        <w:t>+10</w:t>
      </w:r>
      <w:r>
        <w:rPr>
          <w:rFonts w:hint="eastAsia" w:ascii="仿宋_GB2312" w:hAnsi="Times New Roman"/>
          <w:kern w:val="0"/>
        </w:rPr>
        <w:t>分钟农贸市场</w:t>
      </w:r>
      <w:r>
        <w:rPr>
          <w:rFonts w:hint="eastAsia" w:ascii="Times New Roman" w:hAnsi="Times New Roman"/>
          <w:kern w:val="0"/>
        </w:rPr>
        <w:t>+15</w:t>
      </w:r>
      <w:r>
        <w:rPr>
          <w:rFonts w:hint="eastAsia" w:ascii="仿宋_GB2312" w:hAnsi="Times New Roman"/>
          <w:kern w:val="0"/>
        </w:rPr>
        <w:t>分钟超市”生活服务圈。支持餐饮业实施品牌战略，大力发展地方特色小吃，着力打造南阳菜系，培育地方特色餐饮品牌和老字号餐饮企业。提升住宿业供给品质，大力引进国内外知名星级酒店、高端民宿，培育打造一批特色住宿品牌。</w:t>
      </w:r>
    </w:p>
    <w:p>
      <w:pPr>
        <w:autoSpaceDE w:val="0"/>
        <w:autoSpaceDN w:val="0"/>
        <w:spacing w:line="560" w:lineRule="exact"/>
        <w:ind w:firstLine="640" w:firstLineChars="200"/>
        <w:contextualSpacing/>
        <w:rPr>
          <w:rFonts w:ascii="仿宋_GB2312" w:hAnsi="Times New Roman"/>
          <w:kern w:val="0"/>
        </w:rPr>
      </w:pPr>
      <w:r>
        <w:rPr>
          <w:rFonts w:hint="eastAsia" w:ascii="Times New Roman" w:hAnsi="Times New Roman"/>
          <w:bCs/>
          <w:kern w:val="0"/>
        </w:rPr>
        <w:t>——创新发展商贸新业态新模式。</w:t>
      </w:r>
      <w:r>
        <w:rPr>
          <w:rFonts w:hint="eastAsia" w:ascii="仿宋_GB2312" w:hAnsi="Times New Roman"/>
          <w:kern w:val="0"/>
        </w:rPr>
        <w:t>持续推动传统商贸转型升级，深入实施</w:t>
      </w:r>
      <w:r>
        <w:rPr>
          <w:rFonts w:hint="eastAsia" w:ascii="Times New Roman" w:hAnsi="Times New Roman"/>
          <w:kern w:val="0"/>
        </w:rPr>
        <w:t>“互联网+</w:t>
      </w:r>
      <w:r>
        <w:rPr>
          <w:rFonts w:hint="eastAsia" w:ascii="仿宋_GB2312" w:hAnsi="Times New Roman"/>
          <w:kern w:val="0"/>
        </w:rPr>
        <w:t>流通”行动计划，鼓励引导传统商贸流通领域利用信息技术，开展网上现货交易，推进市场拓展、精准营销和优化服务，实现重点商圈“实体展示体验</w:t>
      </w:r>
      <w:r>
        <w:rPr>
          <w:rFonts w:hint="eastAsia" w:ascii="Times New Roman" w:hAnsi="Times New Roman"/>
          <w:kern w:val="0"/>
        </w:rPr>
        <w:t>+</w:t>
      </w:r>
      <w:r>
        <w:rPr>
          <w:rFonts w:hint="eastAsia" w:ascii="仿宋_GB2312" w:hAnsi="Times New Roman"/>
          <w:kern w:val="0"/>
        </w:rPr>
        <w:t>即时线上交易”服务模式。深挖夜间经济、“首店经济”等消费热点潜力，创新发展在线消费、体验消费等新模式，打造一批“夜南阳”消费地标。推进商贸管理和商业设施数字化建设，加快打造南阳市商贸中心数字化管理平台，推动商贸活动全程数字化及数据共享，提高管理能力和管理效率。</w:t>
      </w:r>
    </w:p>
    <w:tbl>
      <w:tblPr>
        <w:tblStyle w:val="26"/>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4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ind w:firstLine="560" w:firstLineChars="200"/>
              <w:contextualSpacing/>
              <w:jc w:val="center"/>
              <w:rPr>
                <w:rFonts w:ascii="楷体" w:hAnsi="楷体" w:eastAsia="楷体"/>
                <w:bCs/>
                <w:kern w:val="0"/>
                <w:sz w:val="24"/>
                <w:szCs w:val="24"/>
              </w:rPr>
            </w:pPr>
            <w:r>
              <w:rPr>
                <w:rFonts w:hint="eastAsia" w:ascii="Times New Roman" w:hAnsi="Times New Roman" w:eastAsia="黑体"/>
                <w:sz w:val="28"/>
                <w:szCs w:val="28"/>
              </w:rPr>
              <w:t>专栏11</w:t>
            </w:r>
            <w:r>
              <w:rPr>
                <w:rFonts w:hint="eastAsia" w:ascii="黑体" w:hAnsi="黑体" w:eastAsia="黑体"/>
                <w:sz w:val="28"/>
                <w:szCs w:val="28"/>
              </w:rPr>
              <w:t>：南阳市“十四五”现代商贸业发展重点任务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jc w:val="center"/>
        </w:trPr>
        <w:tc>
          <w:tcPr>
            <w:tcW w:w="841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1.优化提升商业中心。</w:t>
            </w:r>
            <w:r>
              <w:rPr>
                <w:rFonts w:hint="eastAsia" w:ascii="仿宋_GB2312" w:hAnsi="仿宋" w:cs="楷体"/>
                <w:kern w:val="0"/>
                <w:sz w:val="24"/>
                <w:szCs w:val="24"/>
              </w:rPr>
              <w:t>以原有商贸基础设施为基础，进行升级改造，并规划新建一批商贸服务业载体，提升老城区特色商贸片区，积极引进新产品、新技术、新业态、新模式，推动商业品牌化、高端化和个性化发展。重点提升11个县（市）商圈辐射带动能力，培育新城区商圈，改造提升老城区商圈，满足城乡居民“一站式”综合消费需求。</w:t>
            </w:r>
          </w:p>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2.改造提升专业市场。</w:t>
            </w:r>
            <w:r>
              <w:rPr>
                <w:rFonts w:hint="eastAsia" w:ascii="仿宋_GB2312" w:hAnsi="仿宋" w:cs="楷体"/>
                <w:kern w:val="0"/>
                <w:sz w:val="24"/>
                <w:szCs w:val="24"/>
              </w:rPr>
              <w:t>统筹规划全市专业市场发展，积极推动建设路建材市场集群、北京路汽配市场带等专业市场迁建。有序推动玉雕大世界、百货批发市场等专业市场改造升级，提高专业市场便捷化、智能化、自助化服务水平。</w:t>
            </w:r>
          </w:p>
          <w:p>
            <w:pPr>
              <w:autoSpaceDE w:val="0"/>
              <w:autoSpaceDN w:val="0"/>
              <w:spacing w:line="400" w:lineRule="exact"/>
              <w:ind w:firstLine="480" w:firstLineChars="200"/>
              <w:contextualSpacing/>
              <w:rPr>
                <w:rFonts w:ascii="仿宋" w:hAnsi="仿宋" w:eastAsia="仿宋"/>
              </w:rPr>
            </w:pPr>
            <w:r>
              <w:rPr>
                <w:rFonts w:hint="eastAsia" w:ascii="楷体" w:hAnsi="楷体" w:eastAsia="楷体"/>
                <w:bCs/>
                <w:kern w:val="0"/>
                <w:sz w:val="24"/>
                <w:szCs w:val="24"/>
              </w:rPr>
              <w:t>3.完善农村商贸体系。</w:t>
            </w:r>
            <w:r>
              <w:rPr>
                <w:rFonts w:hint="eastAsia" w:ascii="仿宋_GB2312" w:hAnsi="仿宋" w:cs="楷体"/>
                <w:kern w:val="0"/>
                <w:sz w:val="24"/>
                <w:szCs w:val="24"/>
              </w:rPr>
              <w:t>加快推动电子商务等现代流通方式向农村发展，推进农家店的“一网多用”，扶持种子、化肥、农机等农资销售网点连锁化经营，探索发展“农接超”等交易流通新模式。</w:t>
            </w:r>
          </w:p>
        </w:tc>
      </w:tr>
    </w:tbl>
    <w:p>
      <w:pPr>
        <w:spacing w:line="560" w:lineRule="exact"/>
        <w:ind w:firstLine="640" w:firstLineChars="200"/>
        <w:contextualSpacing/>
        <w:rPr>
          <w:rFonts w:ascii="Times New Roman" w:hAnsi="Times New Roman"/>
          <w:kern w:val="0"/>
        </w:rPr>
      </w:pPr>
      <w:r>
        <w:rPr>
          <w:rFonts w:hint="eastAsia" w:ascii="仿宋_GB2312"/>
          <w:bCs/>
          <w:kern w:val="0"/>
        </w:rPr>
        <w:t>家政服务。</w:t>
      </w:r>
      <w:bookmarkStart w:id="1309" w:name="_Toc51464572"/>
      <w:bookmarkEnd w:id="1309"/>
      <w:bookmarkStart w:id="1310" w:name="_Toc51464654"/>
      <w:r>
        <w:rPr>
          <w:rFonts w:hint="eastAsia" w:ascii="仿宋_GB2312" w:hAnsi="Times New Roman"/>
          <w:kern w:val="0"/>
        </w:rPr>
        <w:t>以河南家政服务业提质扩容试点城市建设为契机，以家庭为服务对象，以社区为重要依托，创新发展业态模式，扩大高质量服务供给，促进家庭服务业提质扩容，加快建立多层次、多形式、全覆盖的家政服务业体系。</w:t>
      </w:r>
      <w:r>
        <w:rPr>
          <w:rFonts w:hint="eastAsia" w:ascii="Times New Roman" w:hAnsi="Times New Roman"/>
          <w:kern w:val="0"/>
        </w:rPr>
        <w:t>“十四五”时期，基本实现全市社区高质量家政服务全覆盖。</w:t>
      </w:r>
      <w:bookmarkEnd w:id="1310"/>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——构建完善的家政服务业体系。</w:t>
      </w:r>
      <w:r>
        <w:rPr>
          <w:rFonts w:hint="eastAsia" w:ascii="仿宋_GB2312" w:hAnsi="Times New Roman"/>
          <w:kern w:val="0"/>
        </w:rPr>
        <w:t>大力发展家政服务、病患陪护、社区照料、家庭用品配送、婴幼儿照料等综合性基础家庭服务，积极培育家庭理财、家庭营养师、高级管家等高端家庭服务，推动家政服务业与养老、育幼、物业等业态深度融合，不断延伸家政服务产业链，构建多层次家政服务供给体系。鼓励综合运用移动互联网、大数据、云计算等新一代信息技术，创新发展线上线下相结合的智慧社区家政服务，提供个性化专属服务综合解决方案，满足个性化与高品质服务需求。</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——培育家政服务市场主体。</w:t>
      </w:r>
      <w:r>
        <w:rPr>
          <w:rFonts w:hint="eastAsia" w:ascii="仿宋_GB2312" w:hAnsi="Times New Roman"/>
          <w:kern w:val="0"/>
        </w:rPr>
        <w:t>加大家政服务企业培育力度，引导家政企业做大做强，推广运作规范的家政企业发展成功经验，重点鼓励家政企业规模化、连锁化、品牌化发展。积极推动家政服务</w:t>
      </w:r>
      <w:r>
        <w:rPr>
          <w:rFonts w:hint="eastAsia" w:ascii="Times New Roman" w:hAnsi="Times New Roman"/>
          <w:kern w:val="0"/>
        </w:rPr>
        <w:t>“中介制”向“员工制”转型升级，支持发展一批员工制家政服务企业。鼓励有条件的县（市</w:t>
      </w:r>
      <w:r>
        <w:rPr>
          <w:rFonts w:hint="eastAsia" w:ascii="仿宋_GB2312" w:hAnsi="Times New Roman"/>
          <w:kern w:val="0"/>
        </w:rPr>
        <w:t>、区）以龙头企业为重点，规划布局员工制家政服务产业园，完善配套服务设施，推进员工制家政服务业集群聚集发展。</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——促进家政服务品质化发展。</w:t>
      </w:r>
      <w:r>
        <w:rPr>
          <w:rFonts w:hint="eastAsia" w:ascii="仿宋_GB2312" w:hAnsi="Times New Roman"/>
          <w:kern w:val="0"/>
        </w:rPr>
        <w:t>规范家政服务标准和提升家政服务水平，推进家政服务标准化试点示范建设，鼓励品牌企业制定标准规范，支持家庭服务重点企业参评服务业品牌。实施家政服务培训提升行动，健全职业培训制度，大力提升职业化水平，依托南阳理工学院、南阳师范学院及现有职业院校、职业技能培训机构，增设家政服务相关专业和培训项目。鼓励行业协会和社会资本建设市场化培训基地。探索实施家庭和社区服务从业人员定向培训工程，积极开展订单培训、定向培训，推进从业人员职业化、规范化。开展家政服务领域信用建设专项行动，建立完善家政企业和从业人员信用记录和信用档案。</w:t>
      </w:r>
    </w:p>
    <w:tbl>
      <w:tblPr>
        <w:tblStyle w:val="26"/>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7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contextualSpacing/>
              <w:jc w:val="center"/>
              <w:rPr>
                <w:rFonts w:ascii="Times New Roman" w:hAnsi="Times New Roman" w:eastAsia="黑体"/>
                <w:sz w:val="28"/>
                <w:szCs w:val="28"/>
              </w:rPr>
            </w:pPr>
            <w:r>
              <w:rPr>
                <w:rFonts w:hint="eastAsia" w:ascii="Times New Roman" w:hAnsi="Times New Roman" w:eastAsia="黑体"/>
                <w:sz w:val="28"/>
                <w:szCs w:val="28"/>
              </w:rPr>
              <w:t>专栏12</w:t>
            </w:r>
            <w:r>
              <w:rPr>
                <w:rFonts w:hint="eastAsia" w:ascii="黑体" w:hAnsi="黑体" w:eastAsia="黑体"/>
                <w:sz w:val="28"/>
                <w:szCs w:val="28"/>
              </w:rPr>
              <w:t>：南阳市“十四五”家政服务业发展重点行动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77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1.家政服务进社区行动。</w:t>
            </w:r>
            <w:r>
              <w:rPr>
                <w:rFonts w:hint="eastAsia" w:ascii="仿宋_GB2312" w:hAnsi="仿宋" w:cs="楷体"/>
                <w:kern w:val="0"/>
                <w:sz w:val="24"/>
                <w:szCs w:val="24"/>
              </w:rPr>
              <w:t>支持依托社区综合服务设施建设嵌入式家政服务网点，鼓励家政企业在社区设置服务网点，为社区居民提供公益性与有偿性相结合的多元化家庭服务，优化家政服务供给，实现社区服务全覆盖和家政惠民“零距离”。</w:t>
            </w:r>
          </w:p>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2.家政服务技能提升行动。</w:t>
            </w:r>
            <w:r>
              <w:rPr>
                <w:rFonts w:hint="eastAsia" w:ascii="仿宋_GB2312" w:hAnsi="仿宋" w:cs="楷体"/>
                <w:kern w:val="0"/>
                <w:sz w:val="24"/>
                <w:szCs w:val="24"/>
              </w:rPr>
              <w:t>加强家政服务职业技能培训，完善南阳市家政服务产教融合实训基地建设，实施家政服务培训提升行动，提升家政服务从业人员技能水平。</w:t>
            </w:r>
          </w:p>
          <w:p>
            <w:pPr>
              <w:autoSpaceDE w:val="0"/>
              <w:autoSpaceDN w:val="0"/>
              <w:spacing w:line="400" w:lineRule="exact"/>
              <w:ind w:firstLine="480" w:firstLineChars="200"/>
              <w:contextualSpacing/>
              <w:rPr>
                <w:rFonts w:ascii="仿宋" w:hAnsi="仿宋" w:eastAsia="仿宋"/>
              </w:rPr>
            </w:pPr>
            <w:r>
              <w:rPr>
                <w:rFonts w:hint="eastAsia" w:ascii="楷体" w:hAnsi="楷体" w:eastAsia="楷体"/>
                <w:bCs/>
                <w:kern w:val="0"/>
                <w:sz w:val="24"/>
                <w:szCs w:val="24"/>
              </w:rPr>
              <w:t>3.家政服务标准化和品牌化建设行动。</w:t>
            </w:r>
            <w:r>
              <w:rPr>
                <w:rFonts w:hint="eastAsia" w:ascii="仿宋_GB2312" w:hAnsi="仿宋" w:cs="楷体"/>
                <w:kern w:val="0"/>
                <w:sz w:val="24"/>
                <w:szCs w:val="24"/>
              </w:rPr>
              <w:t>深化推进河南家政服务业提质扩容试点城市建设，完善家政服务行业标准、地方标准、团体标准和企业标准，引导家政服务企业积极创建“千户百强”“巾帼家政”等家政服务品牌。</w:t>
            </w:r>
          </w:p>
        </w:tc>
      </w:tr>
    </w:tbl>
    <w:p>
      <w:pPr>
        <w:spacing w:line="560" w:lineRule="exact"/>
        <w:ind w:firstLine="640" w:firstLineChars="200"/>
        <w:contextualSpacing/>
        <w:rPr>
          <w:rFonts w:ascii="Times New Roman" w:hAnsi="Times New Roman"/>
          <w:kern w:val="0"/>
        </w:rPr>
      </w:pPr>
      <w:r>
        <w:rPr>
          <w:rFonts w:hint="eastAsia" w:ascii="仿宋_GB2312"/>
          <w:bCs/>
          <w:kern w:val="0"/>
        </w:rPr>
        <w:t>房地产。</w:t>
      </w:r>
      <w:r>
        <w:rPr>
          <w:rFonts w:hint="eastAsia" w:ascii="仿宋_GB2312" w:hAnsi="Times New Roman"/>
          <w:kern w:val="0"/>
        </w:rPr>
        <w:t>以改善人居环境和提高城市品位为目标，贯彻落实房地产市场宏观调控政策，坚持</w:t>
      </w:r>
      <w:r>
        <w:rPr>
          <w:rFonts w:hint="eastAsia" w:ascii="Times New Roman" w:hAnsi="Times New Roman"/>
          <w:kern w:val="0"/>
        </w:rPr>
        <w:t>“房住不炒”定位，坚持市场需求导向，优化调整住房供给结构，持续提升保障性住房规模，平稳有序推进房地产业健康发展。</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——加快完善住房保障体系。</w:t>
      </w:r>
      <w:r>
        <w:rPr>
          <w:rFonts w:hint="eastAsia" w:ascii="仿宋_GB2312" w:hAnsi="Times New Roman"/>
          <w:kern w:val="0"/>
        </w:rPr>
        <w:t>加快完善公租房体系，建立购租并举的住房制度，打造新时代住房保障新体系。全面推广政府购买公租房运营管理服务，加快人才公寓建设，不断提升公租房管理服务水平。加快推进农村危房改造、城中村和旧城改造、棚户区改造工程，持续完善住宅小区配套设施，提高老旧住宅区物业服务覆盖率，实现物业管理全覆盖。扩大住房补贴范围。</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——合理引导商品房开发。</w:t>
      </w:r>
      <w:r>
        <w:rPr>
          <w:rFonts w:hint="eastAsia" w:ascii="仿宋_GB2312" w:hAnsi="Times New Roman"/>
          <w:kern w:val="0"/>
        </w:rPr>
        <w:t>优化调整全市商品房供给结构，加快发展商业地产、文化地产、健康养老地产等新兴业态，积极发展健康住宅、绿色环保住宅和节能省地型住宅，鼓励发展中小户型、中低价位的普通商品房，满足不同层次的住房需求。综合运用节地、节能、节水、节材技术和信息化手段，采用系统化组织、标准化设计、规模化订制、工业化生产、装配化施工方式，提升住宅品质。扩大房地产规划设计、营销策划、评估代理、装修装潢、保值增值管理等服务业规模，发展壮大一批规模化、专业化的房地产中介服务机构和企业。加快培育房地产品牌企业，推动二手房市场发展。</w:t>
      </w:r>
    </w:p>
    <w:p>
      <w:pPr>
        <w:pStyle w:val="7"/>
        <w:keepLines w:val="0"/>
        <w:autoSpaceDE w:val="0"/>
        <w:autoSpaceDN w:val="0"/>
        <w:spacing w:line="560" w:lineRule="exact"/>
        <w:contextualSpacing/>
        <w:jc w:val="center"/>
        <w:rPr>
          <w:rFonts w:ascii="Times New Roman" w:hAnsi="Times New Roman" w:eastAsia="楷体_GB2312"/>
          <w:b w:val="0"/>
          <w:szCs w:val="32"/>
        </w:rPr>
      </w:pPr>
      <w:bookmarkStart w:id="1311" w:name="_Toc99015567"/>
      <w:bookmarkEnd w:id="1311"/>
      <w:r>
        <w:rPr>
          <w:rFonts w:hint="eastAsia" w:ascii="楷体_GB2312" w:hAnsi="Times New Roman" w:eastAsia="楷体_GB2312"/>
          <w:b w:val="0"/>
          <w:bCs/>
        </w:rPr>
        <w:t>第三节</w:t>
      </w:r>
      <w:r>
        <w:rPr>
          <w:rFonts w:hint="eastAsia" w:ascii="Times New Roman" w:hAnsi="Times New Roman" w:eastAsia="楷体_GB2312"/>
          <w:b w:val="0"/>
          <w:bCs/>
        </w:rPr>
        <w:t xml:space="preserve"> </w:t>
      </w:r>
      <w:r>
        <w:rPr>
          <w:rFonts w:hint="eastAsia" w:ascii="楷体_GB2312" w:hAnsi="Times New Roman" w:eastAsia="楷体_GB2312"/>
          <w:b w:val="0"/>
          <w:bCs/>
        </w:rPr>
        <w:t>培育服务业新业态新模式</w:t>
      </w:r>
    </w:p>
    <w:p>
      <w:pPr>
        <w:spacing w:line="560" w:lineRule="exact"/>
        <w:ind w:firstLine="640" w:firstLineChars="200"/>
        <w:contextualSpacing/>
        <w:rPr>
          <w:rFonts w:ascii="仿宋" w:hAnsi="仿宋" w:eastAsia="仿宋"/>
        </w:rPr>
      </w:pPr>
      <w:r>
        <w:rPr>
          <w:rFonts w:hint="eastAsia" w:ascii="仿宋_GB2312"/>
          <w:bCs/>
          <w:kern w:val="0"/>
        </w:rPr>
        <w:t>加强科学技术创新应用。</w:t>
      </w:r>
      <w:r>
        <w:rPr>
          <w:rFonts w:hint="eastAsia" w:ascii="仿宋_GB2312" w:hAnsi="Times New Roman"/>
          <w:kern w:val="0"/>
        </w:rPr>
        <w:t>围绕培育和完善现代服务业发展生态系统，加快服务业创新发展，提高新技术、新技能、新工艺的应用水平。</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——提升服务业信息化水平。</w:t>
      </w:r>
      <w:r>
        <w:rPr>
          <w:rFonts w:hint="eastAsia" w:ascii="仿宋_GB2312" w:hAnsi="Times New Roman"/>
          <w:kern w:val="0"/>
        </w:rPr>
        <w:t>加快大数据、云计算、人工智能、物联网、区块链等先进信息技术在服务领域深入应用，在食品、冶金、建材、化工、轻纺等流程型制造和装备制造、电子信息、汽车、家居等离散型制造行业进行推广应用，引导企业</w:t>
      </w:r>
      <w:r>
        <w:rPr>
          <w:rFonts w:hint="eastAsia" w:ascii="Times New Roman" w:hAnsi="Times New Roman"/>
          <w:kern w:val="0"/>
        </w:rPr>
        <w:t>“上云用数赋智”，打造“智能制造+</w:t>
      </w:r>
      <w:r>
        <w:rPr>
          <w:rFonts w:hint="eastAsia" w:ascii="仿宋_GB2312" w:hAnsi="Times New Roman"/>
          <w:kern w:val="0"/>
        </w:rPr>
        <w:t>智能服务”全产业链，加速主要行业数字化智能化转型。积极促进市工业和信息化局与南阳市各基础电信运营公司、铁塔公司搭建对接平台，促进“</w:t>
      </w:r>
      <w:r>
        <w:rPr>
          <w:rFonts w:hint="eastAsia" w:ascii="Times New Roman" w:hAnsi="Times New Roman"/>
          <w:kern w:val="0"/>
        </w:rPr>
        <w:t>5G+</w:t>
      </w:r>
      <w:r>
        <w:rPr>
          <w:rFonts w:hint="eastAsia" w:ascii="仿宋_GB2312" w:hAnsi="Times New Roman"/>
          <w:kern w:val="0"/>
        </w:rPr>
        <w:t>千行百业”融合发展，在智能制造、智慧农业（畜牧业）、智慧城市、智慧教育、智慧医疗、智慧文旅等方面树立典型示范应用。在保障数据安全和保护个人隐私前提下，分领域制定生活服务数据开放共享标准和目录清单，优先推进旅游、体育、家政等领域公共数据开放。</w:t>
      </w:r>
    </w:p>
    <w:tbl>
      <w:tblPr>
        <w:tblStyle w:val="26"/>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contextualSpacing/>
              <w:jc w:val="center"/>
              <w:rPr>
                <w:rFonts w:ascii="Times New Roman" w:hAnsi="Times New Roman" w:eastAsia="黑体"/>
                <w:sz w:val="28"/>
                <w:szCs w:val="28"/>
              </w:rPr>
            </w:pPr>
            <w:r>
              <w:rPr>
                <w:rFonts w:hint="eastAsia" w:ascii="Times New Roman" w:hAnsi="Times New Roman" w:eastAsia="黑体"/>
                <w:sz w:val="28"/>
                <w:szCs w:val="28"/>
              </w:rPr>
              <w:t>专栏13</w:t>
            </w:r>
            <w:r>
              <w:rPr>
                <w:rFonts w:hint="eastAsia" w:ascii="黑体" w:hAnsi="黑体" w:eastAsia="黑体"/>
                <w:sz w:val="28"/>
                <w:szCs w:val="28"/>
              </w:rPr>
              <w:t>：南阳市“十四五”服务业数字化转型重点任务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8647" w:type="dxa"/>
            <w:tcBorders>
              <w:top w:val="single" w:color="auto" w:sz="4" w:space="0"/>
              <w:left w:val="single" w:color="auto" w:sz="4" w:space="0"/>
              <w:bottom w:val="single" w:color="auto" w:sz="4" w:space="0"/>
              <w:right w:val="single" w:color="auto" w:sz="4" w:space="0"/>
            </w:tcBorders>
          </w:tcPr>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1.智慧物流</w:t>
            </w:r>
            <w:r>
              <w:rPr>
                <w:rFonts w:hint="eastAsia" w:ascii="仿宋_GB2312" w:hAnsi="仿宋" w:cs="楷体"/>
                <w:kern w:val="0"/>
                <w:sz w:val="24"/>
                <w:szCs w:val="24"/>
              </w:rPr>
              <w:t>。整合现有信息服务平台资源，加快布局“一平台、一中心、全链条”数字物流产业体系，实现物流产业数字化运营和智能化作业，助力南阳市物流产业跨越式发展。</w:t>
            </w:r>
          </w:p>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2.智慧金融。</w:t>
            </w:r>
            <w:r>
              <w:rPr>
                <w:rFonts w:hint="eastAsia" w:ascii="仿宋_GB2312" w:hAnsi="仿宋" w:cs="楷体"/>
                <w:kern w:val="0"/>
                <w:sz w:val="24"/>
                <w:szCs w:val="24"/>
              </w:rPr>
              <w:t>引导金融机构加快数字化转型，大力建设南阳市金融服务共享平台，完善金融风险监测防控系统，加快金融保险领域改革创新，提高南阳金融保险业数字化水平。</w:t>
            </w:r>
          </w:p>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3.智慧商贸。</w:t>
            </w:r>
            <w:r>
              <w:rPr>
                <w:rFonts w:hint="eastAsia" w:ascii="仿宋_GB2312" w:hAnsi="仿宋" w:cs="楷体"/>
                <w:kern w:val="0"/>
                <w:sz w:val="24"/>
                <w:szCs w:val="24"/>
              </w:rPr>
              <w:t>加快建设南阳市商贸中心数字化管理平台，实施传统批发零售业数字化改造提升行动，推动线上线下双向融合，推进数字技术在现代贸易交易流程中的应用。</w:t>
            </w:r>
          </w:p>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4.智慧文旅。</w:t>
            </w:r>
            <w:r>
              <w:rPr>
                <w:rFonts w:hint="eastAsia" w:ascii="仿宋_GB2312" w:hAnsi="仿宋" w:cs="楷体"/>
                <w:kern w:val="0"/>
                <w:sz w:val="24"/>
                <w:szCs w:val="24"/>
              </w:rPr>
              <w:t>整合市、县、乡三级数字资源，建设全市文旅数字资源库。推动全市景区继续进行智慧化改造，到2025年，力争全市4A级以上主要景区建成钻级智慧景区。</w:t>
            </w:r>
          </w:p>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5.智慧健康。</w:t>
            </w:r>
            <w:r>
              <w:rPr>
                <w:rFonts w:hint="eastAsia" w:ascii="仿宋_GB2312" w:hAnsi="仿宋" w:cs="楷体"/>
                <w:kern w:val="0"/>
                <w:sz w:val="24"/>
                <w:szCs w:val="24"/>
              </w:rPr>
              <w:t>完善和提升全民健康信息平台，加快推进健康南阳APP等便民服务平台建设，创新“互联网+医疗健康”便民服务模式，探索5G、大数据、人工智能等技术在医疗健康行业的应用。</w:t>
            </w:r>
          </w:p>
          <w:p>
            <w:pPr>
              <w:autoSpaceDE w:val="0"/>
              <w:autoSpaceDN w:val="0"/>
              <w:spacing w:line="400" w:lineRule="exact"/>
              <w:ind w:firstLine="480" w:firstLineChars="200"/>
              <w:contextualSpacing/>
              <w:rPr>
                <w:rFonts w:ascii="仿宋" w:hAnsi="仿宋" w:eastAsia="仿宋" w:cs="楷体"/>
                <w:kern w:val="0"/>
                <w:sz w:val="24"/>
                <w:szCs w:val="24"/>
              </w:rPr>
            </w:pPr>
            <w:r>
              <w:rPr>
                <w:rFonts w:hint="eastAsia" w:ascii="楷体" w:hAnsi="楷体" w:eastAsia="楷体"/>
                <w:bCs/>
                <w:kern w:val="0"/>
                <w:sz w:val="24"/>
                <w:szCs w:val="24"/>
              </w:rPr>
              <w:t>6.智慧养老。</w:t>
            </w:r>
            <w:r>
              <w:rPr>
                <w:rFonts w:hint="eastAsia" w:ascii="仿宋_GB2312" w:hAnsi="仿宋" w:cs="楷体"/>
                <w:kern w:val="0"/>
                <w:sz w:val="24"/>
                <w:szCs w:val="24"/>
              </w:rPr>
              <w:t>依托南阳市智慧养老服务平台，推动全市智慧化养老服务网络体系建设，实现线上和线下相结合、网上服务和实体服务相结合、“互联网+智慧养老服务”新格局。到2025年，建成市、县（市、区）、乡镇（街道）、村（社区）、机构（家庭）五级智慧养老服务网络系统。</w:t>
            </w:r>
          </w:p>
          <w:p>
            <w:pPr>
              <w:autoSpaceDE w:val="0"/>
              <w:autoSpaceDN w:val="0"/>
              <w:spacing w:line="400" w:lineRule="exact"/>
              <w:ind w:firstLine="480" w:firstLineChars="200"/>
              <w:contextualSpacing/>
              <w:rPr>
                <w:rFonts w:ascii="仿宋" w:hAnsi="仿宋" w:eastAsia="仿宋"/>
              </w:rPr>
            </w:pPr>
            <w:r>
              <w:rPr>
                <w:rFonts w:hint="eastAsia" w:ascii="楷体" w:hAnsi="楷体" w:eastAsia="楷体"/>
                <w:bCs/>
                <w:kern w:val="0"/>
                <w:sz w:val="24"/>
                <w:szCs w:val="24"/>
              </w:rPr>
              <w:t>7.智慧社区。</w:t>
            </w:r>
            <w:r>
              <w:rPr>
                <w:rFonts w:hint="eastAsia" w:ascii="仿宋_GB2312" w:hAnsi="仿宋" w:cs="楷体"/>
                <w:kern w:val="0"/>
                <w:sz w:val="24"/>
                <w:szCs w:val="24"/>
              </w:rPr>
              <w:t>开展智慧社区试点建设，完善社区服务综合信息平台，加快智能家居、视频监控、自助服务机器人、远程医疗服务机器人等智能终端产品在社区推广应用。</w:t>
            </w:r>
          </w:p>
        </w:tc>
      </w:tr>
    </w:tbl>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——提高技术创新能力。</w:t>
      </w:r>
      <w:r>
        <w:rPr>
          <w:rFonts w:hint="eastAsia" w:ascii="仿宋_GB2312" w:hAnsi="Times New Roman"/>
          <w:kern w:val="0"/>
        </w:rPr>
        <w:t>实施创新型企业引领培育工程，建立分层次遴选培育标准和动态调整机制，培育一批产业创新龙头企业、</w:t>
      </w:r>
      <w:r>
        <w:rPr>
          <w:rFonts w:hint="eastAsia" w:ascii="Times New Roman" w:hAnsi="Times New Roman"/>
          <w:kern w:val="0"/>
        </w:rPr>
        <w:t>“瞪羚”企业。以大型防爆电气装备、输变电装备、汽车零部件、农牧及特色装备制造产业为重点，开展优势基础件制造技术研发和推广应用，加快关键共性技术和制造工艺创新。充分发挥南阳高校院所在基础研究领域的主力军作用，深化与国内外大院大所合作对接，开展基础研究和技术攻关。围绕南阳市国家高新区、</w:t>
      </w:r>
      <w:r>
        <w:rPr>
          <w:rFonts w:hint="eastAsia" w:ascii="仿宋_GB2312" w:hAnsi="Times New Roman"/>
          <w:kern w:val="0"/>
        </w:rPr>
        <w:t>先进制造业开发区、农业科技园等园区，布局建设科技成果转移转化示范区，打造豫西南政策先行、机制创新、特色鲜明、市场活跃的科技成果转移转化高地。</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——加强技能工艺创新。</w:t>
      </w:r>
      <w:r>
        <w:rPr>
          <w:rFonts w:hint="eastAsia" w:ascii="仿宋_GB2312" w:hAnsi="Times New Roman"/>
          <w:kern w:val="0"/>
        </w:rPr>
        <w:t>适应服务多元化、专业化、精细化、个性化发展要求，鼓励服务业企业设立工艺设计创新中心、企业设计中心，加强对新工艺的研发应用，提升设计水平，优化服务流程。围绕肉制品、粮油制品、酒及饮料、特色食品四大优势产业，重点开展食品研发、食品绿色加工工艺提升等技术攻关。支持以宛西制药、福森药业等龙头企业为引领，开展南阳道地中药材及特色品种现代化炮制提纯技术研究，加快新型中药饮片等关键技术与产品研发。积极培育</w:t>
      </w:r>
      <w:r>
        <w:rPr>
          <w:rFonts w:hint="eastAsia" w:ascii="Times New Roman" w:hAnsi="Times New Roman"/>
          <w:kern w:val="0"/>
        </w:rPr>
        <w:t>“南阳名匠”“豫宛大工匠”，支持高技能人才多元化研修平台和南阳特色技能大师工作站建设，保护一批传统工艺工匠，培养一批具有精湛技艺的高技能人才。</w:t>
      </w:r>
    </w:p>
    <w:p>
      <w:pPr>
        <w:spacing w:line="560" w:lineRule="exact"/>
        <w:ind w:firstLine="640" w:firstLineChars="200"/>
        <w:contextualSpacing/>
        <w:rPr>
          <w:rFonts w:ascii="楷体_GB2312" w:eastAsia="楷体_GB2312"/>
          <w:kern w:val="0"/>
        </w:rPr>
      </w:pPr>
      <w:r>
        <w:rPr>
          <w:rFonts w:hint="eastAsia" w:ascii="仿宋_GB2312"/>
          <w:bCs/>
          <w:kern w:val="0"/>
        </w:rPr>
        <w:t>培育服务经济新业态。</w:t>
      </w:r>
      <w:r>
        <w:rPr>
          <w:rFonts w:hint="eastAsia" w:ascii="仿宋_GB2312" w:hAnsi="Times New Roman"/>
          <w:kern w:val="0"/>
        </w:rPr>
        <w:t>顺应现代服务业发展趋势，大力发展平台经济、共享经济、体验经济等服务业新业态，引领带动南阳市现代服务业转型升级增效。</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——鼓励平台经济发展。</w:t>
      </w:r>
      <w:r>
        <w:rPr>
          <w:rFonts w:hint="eastAsia" w:ascii="仿宋_GB2312" w:hAnsi="Times New Roman"/>
          <w:kern w:val="0"/>
        </w:rPr>
        <w:t>顺应平台经济发展趋势，加快培育</w:t>
      </w:r>
      <w:r>
        <w:rPr>
          <w:rFonts w:hint="eastAsia" w:ascii="Times New Roman" w:hAnsi="Times New Roman"/>
          <w:kern w:val="0"/>
        </w:rPr>
        <w:t>“互联网+</w:t>
      </w:r>
      <w:r>
        <w:rPr>
          <w:rFonts w:hint="eastAsia" w:ascii="仿宋_GB2312" w:hAnsi="Times New Roman"/>
          <w:kern w:val="0"/>
        </w:rPr>
        <w:t>服务”“互联网</w:t>
      </w:r>
      <w:r>
        <w:rPr>
          <w:rFonts w:hint="eastAsia" w:ascii="Times New Roman" w:hAnsi="Times New Roman"/>
          <w:kern w:val="0"/>
        </w:rPr>
        <w:t>+</w:t>
      </w:r>
      <w:r>
        <w:rPr>
          <w:rFonts w:hint="eastAsia" w:ascii="仿宋_GB2312" w:hAnsi="Times New Roman"/>
          <w:kern w:val="0"/>
        </w:rPr>
        <w:t>生产”等平台经济新业态。依托南阳市制造业龙头企业，重点在冷链食品、特色装备、新型材料等领域，开放企业内部和产业链上下游资源，打造行业工业互联网平台，提供研发设计、供应链管理、产品全生命周期管理等服务。依托各县（市、区）菌菇、茶叶、花卉、艾草等特色农副产品，引进苏宁云商、淘宝、京东、拼多多等电商平台，搭建农村电商销售网络平台，提高农产品附加值。加快与携程、美团、驴妈妈等知名旅游第三方电商平台合作，促进南阳旅游品牌线上传播与旅游产品线上销售。积极发展服务外包，加强与美团、淘宝、滴滴等重点平台型企业合作，开展数据处理外包、呼叫中心等平台业务。</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——支持共享经济发展。</w:t>
      </w:r>
      <w:r>
        <w:rPr>
          <w:rFonts w:hint="eastAsia" w:ascii="仿宋_GB2312" w:hAnsi="Times New Roman"/>
          <w:kern w:val="0"/>
        </w:rPr>
        <w:t>推动装备制造、绿色食品、电子信息、生物产业、新型建材等优势产业加快创新共同体建设，探索以物质生产资料数字化支撑共享共用，发展共享生产、共享生产资料、共享数据要素流通等共享新模式。用好想念集团许士刚院士工作站、</w:t>
      </w:r>
      <w:r>
        <w:rPr>
          <w:rFonts w:hint="eastAsia" w:ascii="仿宋_GB2312"/>
        </w:rPr>
        <w:t>南水北调高质量发展战略研究院等科创平台，</w:t>
      </w:r>
      <w:r>
        <w:rPr>
          <w:rFonts w:hint="eastAsia" w:ascii="仿宋_GB2312" w:hAnsi="Times New Roman"/>
          <w:kern w:val="0"/>
        </w:rPr>
        <w:t>推动建设仲景实验室、中药固体制剂技术创新中心等一批高能级创新载体，打造高端共享的现代中药研发公共服务平台，构建以南阳市中心城区为核心区的区域中医药创新发展高地。依托中国移动南阳分公司、中国联通南阳分公司、中国电信南阳分公司、南阳防爆云科技有限公司等企业上云服务商，继续实施</w:t>
      </w:r>
      <w:r>
        <w:rPr>
          <w:rFonts w:hint="eastAsia" w:ascii="Times New Roman" w:hAnsi="Times New Roman"/>
          <w:kern w:val="0"/>
        </w:rPr>
        <w:t>“企业上云”行动。优化共享经济发展政策环境，支持交通出行、房屋住宿、生活服务等领域共享经济发展。</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——促进体验经济发展。</w:t>
      </w:r>
      <w:r>
        <w:rPr>
          <w:rFonts w:hint="eastAsia" w:ascii="仿宋_GB2312" w:hAnsi="Times New Roman"/>
          <w:kern w:val="0"/>
        </w:rPr>
        <w:t>大力开发体验式新产品新服务，构建线上与线下、现实与虚拟、空间与情境于一体的多维度、互动式场景，打造</w:t>
      </w:r>
      <w:r>
        <w:rPr>
          <w:rFonts w:hint="eastAsia" w:ascii="Times New Roman" w:hAnsi="Times New Roman"/>
          <w:kern w:val="0"/>
        </w:rPr>
        <w:t>“体验+</w:t>
      </w:r>
      <w:r>
        <w:rPr>
          <w:rFonts w:hint="eastAsia" w:ascii="仿宋_GB2312" w:hAnsi="Times New Roman"/>
          <w:kern w:val="0"/>
        </w:rPr>
        <w:t>”服务体系。依托南阳古城、赊店古镇、武侯祠等景区营造沉浸式文化体验旅游氛围，运用数字技术赋能景区，发展线上线下新型体验服务。鼓励发展数字创意、数字艺术、数字展览、在线教育、网络直播、沉浸式体验等新业态，打造“云游”博物馆、纪念馆、艺术馆等沉浸式全景在线体验产品。支持鼓励企业挖掘生产、制造、流通各环节的体验价值，利用虚拟现实等新技术创新体验模式，引导产业向“产品</w:t>
      </w:r>
      <w:r>
        <w:rPr>
          <w:rFonts w:hint="eastAsia" w:ascii="Times New Roman" w:hAnsi="Times New Roman"/>
          <w:kern w:val="0"/>
        </w:rPr>
        <w:t>+</w:t>
      </w:r>
      <w:r>
        <w:rPr>
          <w:rFonts w:hint="eastAsia" w:ascii="仿宋_GB2312" w:hAnsi="Times New Roman"/>
          <w:kern w:val="0"/>
        </w:rPr>
        <w:t>服务”转型升级。加快建设情景体验式新零售重点商圈、商业街，提升府衙步行街、三顾缘玉雕商业中心等高品质步行街，打造南阳商贸新场景、新体验、新地标。</w:t>
      </w:r>
    </w:p>
    <w:p>
      <w:pPr>
        <w:spacing w:line="560" w:lineRule="exact"/>
        <w:ind w:firstLine="640" w:firstLineChars="200"/>
        <w:contextualSpacing/>
        <w:rPr>
          <w:rFonts w:ascii="仿宋_GB2312"/>
          <w:bCs/>
          <w:kern w:val="0"/>
        </w:rPr>
      </w:pPr>
      <w:r>
        <w:rPr>
          <w:rFonts w:hint="eastAsia" w:ascii="仿宋_GB2312"/>
          <w:bCs/>
          <w:kern w:val="0"/>
        </w:rPr>
        <w:t>强化对战略新兴产业服务支撑。</w:t>
      </w:r>
      <w:r>
        <w:rPr>
          <w:rFonts w:hint="eastAsia" w:ascii="仿宋_GB2312"/>
          <w:kern w:val="0"/>
        </w:rPr>
        <w:t>围绕新一代人工智能、新材料、智能装备等战略新兴产业服务需求，全力补齐专业化生产服务短板，拓展衍生价值链，为提升产业链核心竞争力和全产业链掌控能力提供坚实服务保障。</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——加强科技要素支撑。</w:t>
      </w:r>
      <w:r>
        <w:rPr>
          <w:rFonts w:hint="eastAsia" w:ascii="仿宋_GB2312" w:hAnsi="Times New Roman"/>
          <w:kern w:val="0"/>
        </w:rPr>
        <w:t>加大研发投入，围绕生物产业、新材料、智能装备等产业服务需求，全力补齐专业化生产服务短板，拓展衍生价值链。利用南阳装备制造、汽车零部件、化工建材等产业优势，聚焦垂直电商平台、工业互联网平台及系统集成、数据服务等领域的软件开发和应用，推进软件技术在现代农业、制造业领域的融合应用。依托中关村（南阳）信息谷、白河大数据产业园大力发展新一代信息技术，通过</w:t>
      </w:r>
      <w:r>
        <w:rPr>
          <w:rFonts w:hint="eastAsia" w:ascii="Times New Roman" w:hAnsi="Times New Roman"/>
          <w:kern w:val="0"/>
        </w:rPr>
        <w:t>“互联网+</w:t>
      </w:r>
      <w:r>
        <w:rPr>
          <w:rFonts w:hint="eastAsia" w:ascii="仿宋_GB2312" w:hAnsi="Times New Roman"/>
          <w:kern w:val="0"/>
        </w:rPr>
        <w:t>”“设计</w:t>
      </w:r>
      <w:r>
        <w:rPr>
          <w:rFonts w:hint="eastAsia" w:ascii="Times New Roman" w:hAnsi="Times New Roman"/>
          <w:kern w:val="0"/>
        </w:rPr>
        <w:t>+</w:t>
      </w:r>
      <w:r>
        <w:rPr>
          <w:rFonts w:hint="eastAsia" w:ascii="仿宋_GB2312" w:hAnsi="Times New Roman"/>
          <w:kern w:val="0"/>
        </w:rPr>
        <w:t>”等新业态，推动跨界融合创新。</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——畅通现代金融支撑。</w:t>
      </w:r>
      <w:r>
        <w:rPr>
          <w:rFonts w:hint="eastAsia" w:ascii="仿宋_GB2312" w:hAnsi="Times New Roman"/>
          <w:kern w:val="0"/>
        </w:rPr>
        <w:t>争取省产业发展基金、新兴产业投资引导基金、省铁路产业投资基金等政策性引导基金对南阳的支持力度，引导和推动央企、省级投融资平台，深度参与南阳城市更新、重大基础设施等领域建设。支持南阳探索发行开发区基础设施建设、现代物流、绿色生态等企业债。深化科技金融产品和服务创新，建好用好</w:t>
      </w:r>
      <w:r>
        <w:rPr>
          <w:rFonts w:hint="eastAsia" w:ascii="Times New Roman" w:hAnsi="Times New Roman"/>
          <w:kern w:val="0"/>
        </w:rPr>
        <w:t>“科技贷”、科</w:t>
      </w:r>
      <w:r>
        <w:rPr>
          <w:rFonts w:hint="eastAsia" w:ascii="仿宋_GB2312" w:hAnsi="Times New Roman"/>
          <w:kern w:val="0"/>
        </w:rPr>
        <w:t>创基金，扩大科技创新项目贷款贴息和科技创新券规模。支持领军企业利用其产业链整合能力开展供应链金融服务，加大对上下游、周边优质企业的拓展服务力度。</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——加大人力资源要素培育。</w:t>
      </w:r>
      <w:r>
        <w:rPr>
          <w:rFonts w:hint="eastAsia" w:ascii="仿宋_GB2312" w:hAnsi="Times New Roman"/>
          <w:kern w:val="0"/>
        </w:rPr>
        <w:t>持续推动</w:t>
      </w:r>
      <w:r>
        <w:rPr>
          <w:rFonts w:hint="eastAsia" w:ascii="Times New Roman" w:hAnsi="Times New Roman"/>
          <w:kern w:val="0"/>
        </w:rPr>
        <w:t>“诸葛英才计划”，完善“全职+</w:t>
      </w:r>
      <w:r>
        <w:rPr>
          <w:rFonts w:hint="eastAsia" w:ascii="仿宋_GB2312" w:hAnsi="Times New Roman"/>
          <w:kern w:val="0"/>
        </w:rPr>
        <w:t>柔性”招才引智机制，用好南阳籍院士专家故乡行、京宛协作北京院士专家南阳行等载体平台，依托重大项目和重大工程建设一批创新人才培养示范基地。实施“创新岗位特聘专家计划”“科技创新团队计划”“海外引智计划”，着力引进一批具有国内国际先进水平的产业领军人才和科技创新人才。在重点区域和重点领域建设一批产业技术研究院等新型组织，加快培育产业急需人才。</w:t>
      </w:r>
    </w:p>
    <w:p>
      <w:pPr>
        <w:autoSpaceDE w:val="0"/>
        <w:autoSpaceDN w:val="0"/>
        <w:spacing w:line="560" w:lineRule="exact"/>
        <w:ind w:firstLine="640" w:firstLineChars="200"/>
        <w:contextualSpacing/>
        <w:rPr>
          <w:rFonts w:ascii="Times New Roman" w:hAnsi="Times New Roman"/>
          <w:kern w:val="0"/>
        </w:rPr>
      </w:pPr>
      <w:r>
        <w:rPr>
          <w:rFonts w:hint="eastAsia" w:ascii="Times New Roman" w:hAnsi="Times New Roman"/>
          <w:bCs/>
          <w:kern w:val="0"/>
        </w:rPr>
        <w:t>——完善新型资源要素支撑。</w:t>
      </w:r>
      <w:r>
        <w:rPr>
          <w:rFonts w:hint="eastAsia" w:ascii="仿宋_GB2312" w:hAnsi="Times New Roman"/>
          <w:kern w:val="0"/>
        </w:rPr>
        <w:t>大力推进政府信息公开、信息共享和数据库建设，鼓励企业和社会力量适应市场需求发展各类大数据平台，加大数据资源开发、开放和共享力度，充分发挥其放大社会生产力的乘数效应。以中关村</w:t>
      </w:r>
      <w:r>
        <w:rPr>
          <w:rFonts w:hint="eastAsia" w:ascii="Times New Roman" w:hAnsi="Times New Roman"/>
          <w:kern w:val="0"/>
        </w:rPr>
        <w:t>e</w:t>
      </w:r>
      <w:r>
        <w:rPr>
          <w:rFonts w:hint="eastAsia" w:ascii="仿宋_GB2312" w:hAnsi="Times New Roman"/>
          <w:kern w:val="0"/>
        </w:rPr>
        <w:t>谷（南阳）软件创新创业基地、白河大数据产业园等为依托，提升产业园区数据汇聚、融合、处理、应用、交易、流通能力。加快相关领域改革，建立跨界协同、多元共治的数字经济管理方式，促进新生产要素合理流动、有效集聚和利用。</w:t>
      </w:r>
    </w:p>
    <w:p>
      <w:pPr>
        <w:pStyle w:val="6"/>
        <w:keepLines w:val="0"/>
        <w:autoSpaceDE w:val="0"/>
        <w:autoSpaceDN w:val="0"/>
        <w:spacing w:line="560" w:lineRule="exact"/>
        <w:ind w:firstLine="0" w:firstLineChars="0"/>
        <w:contextualSpacing/>
        <w:jc w:val="center"/>
        <w:rPr>
          <w:rFonts w:ascii="Times New Roman" w:hAnsi="Times New Roman"/>
          <w:kern w:val="0"/>
          <w:szCs w:val="32"/>
        </w:rPr>
      </w:pPr>
      <w:bookmarkStart w:id="1312" w:name="_Toc20180"/>
      <w:bookmarkEnd w:id="1312"/>
      <w:bookmarkStart w:id="1313" w:name="_Toc99015568"/>
      <w:r>
        <w:rPr>
          <w:rFonts w:hint="eastAsia" w:ascii="黑体" w:hAnsi="黑体"/>
          <w:bCs/>
          <w:kern w:val="0"/>
          <w:szCs w:val="32"/>
        </w:rPr>
        <w:t>第四章</w:t>
      </w:r>
      <w:r>
        <w:rPr>
          <w:rFonts w:hint="eastAsia" w:ascii="Times New Roman" w:hAnsi="Times New Roman"/>
          <w:bCs/>
          <w:kern w:val="0"/>
          <w:szCs w:val="32"/>
        </w:rPr>
        <w:t xml:space="preserve"> </w:t>
      </w:r>
      <w:r>
        <w:rPr>
          <w:rFonts w:hint="eastAsia" w:ascii="黑体" w:hAnsi="黑体"/>
          <w:bCs/>
          <w:kern w:val="0"/>
          <w:szCs w:val="32"/>
        </w:rPr>
        <w:t>实施重大工程，厚植高质量发展新动能</w:t>
      </w:r>
      <w:bookmarkEnd w:id="1313"/>
    </w:p>
    <w:p>
      <w:pPr>
        <w:pStyle w:val="7"/>
        <w:keepLines w:val="0"/>
        <w:autoSpaceDE w:val="0"/>
        <w:autoSpaceDN w:val="0"/>
        <w:spacing w:line="560" w:lineRule="exact"/>
        <w:contextualSpacing/>
        <w:jc w:val="center"/>
        <w:rPr>
          <w:rFonts w:ascii="Times New Roman" w:hAnsi="Times New Roman" w:eastAsia="楷体_GB2312"/>
          <w:b w:val="0"/>
          <w:bCs/>
          <w:szCs w:val="32"/>
        </w:rPr>
      </w:pPr>
      <w:bookmarkStart w:id="1314" w:name="_Toc99015569"/>
      <w:bookmarkEnd w:id="1314"/>
      <w:r>
        <w:rPr>
          <w:rFonts w:hint="eastAsia" w:ascii="楷体_GB2312" w:hAnsi="Times New Roman" w:eastAsia="楷体_GB2312"/>
          <w:b w:val="0"/>
          <w:bCs/>
        </w:rPr>
        <w:t>第一节</w:t>
      </w:r>
      <w:r>
        <w:rPr>
          <w:rFonts w:hint="eastAsia" w:ascii="Times New Roman" w:hAnsi="Times New Roman" w:eastAsia="楷体_GB2312"/>
          <w:b w:val="0"/>
          <w:bCs/>
        </w:rPr>
        <w:t xml:space="preserve"> </w:t>
      </w:r>
      <w:r>
        <w:rPr>
          <w:rFonts w:hint="eastAsia" w:ascii="楷体_GB2312" w:hAnsi="Times New Roman" w:eastAsia="楷体_GB2312"/>
          <w:b w:val="0"/>
          <w:bCs/>
        </w:rPr>
        <w:t>实施城区能级跃升工程</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全面提升中心城区服务能级。</w:t>
      </w:r>
      <w:r>
        <w:rPr>
          <w:rFonts w:hint="eastAsia" w:ascii="仿宋_GB2312" w:hAnsi="Times New Roman"/>
          <w:kern w:val="0"/>
        </w:rPr>
        <w:t>紧紧围绕省域副中心城市核心服务功能培育，依托卧龙区、宛城区、城乡一体化示范区等功能区块，加快招引一批服务业重点项目、培育一批服务业重点企业和发展一批重点专业楼宇，大力发展附加值高、辐射带动力强的现代服务业，全力打造现代金融中心、商贸物流中心、科技创新和孵化中心等辐射南阳市域的服务平台，推动中心城区服务业同城化、一体化发展。</w:t>
      </w:r>
    </w:p>
    <w:tbl>
      <w:tblPr>
        <w:tblStyle w:val="26"/>
        <w:tblW w:w="8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87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contextualSpacing/>
              <w:jc w:val="center"/>
              <w:rPr>
                <w:rFonts w:ascii="Times New Roman" w:hAnsi="Times New Roman" w:eastAsia="黑体"/>
                <w:sz w:val="28"/>
                <w:szCs w:val="28"/>
              </w:rPr>
            </w:pPr>
            <w:r>
              <w:rPr>
                <w:rFonts w:hint="eastAsia" w:ascii="Times New Roman" w:hAnsi="Times New Roman" w:eastAsia="黑体"/>
                <w:sz w:val="28"/>
                <w:szCs w:val="28"/>
              </w:rPr>
              <w:t>专栏14</w:t>
            </w:r>
            <w:r>
              <w:rPr>
                <w:rFonts w:hint="eastAsia" w:ascii="黑体" w:hAnsi="黑体" w:eastAsia="黑体"/>
                <w:sz w:val="28"/>
                <w:szCs w:val="28"/>
              </w:rPr>
              <w:t>：南阳市中心城区服务业重点区块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41" w:type="dxa"/>
            <w:tcBorders>
              <w:top w:val="single" w:color="auto" w:sz="4" w:space="0"/>
              <w:left w:val="single" w:color="auto" w:sz="4" w:space="0"/>
              <w:bottom w:val="single" w:color="auto" w:sz="4" w:space="0"/>
              <w:right w:val="single" w:color="auto" w:sz="4" w:space="0"/>
            </w:tcBorders>
          </w:tcPr>
          <w:p>
            <w:pPr>
              <w:pStyle w:val="14"/>
              <w:adjustRightInd w:val="0"/>
              <w:snapToGrid w:val="0"/>
              <w:spacing w:line="400" w:lineRule="exact"/>
              <w:ind w:firstLine="480" w:firstLineChars="200"/>
              <w:contextualSpacing/>
              <w:rPr>
                <w:rFonts w:ascii="仿宋_GB2312" w:hAnsi="仿宋" w:eastAsia="仿宋_GB2312" w:cs="楷体"/>
                <w:sz w:val="24"/>
                <w:szCs w:val="24"/>
              </w:rPr>
            </w:pPr>
            <w:r>
              <w:rPr>
                <w:rFonts w:hint="eastAsia" w:ascii="楷体" w:hAnsi="楷体" w:eastAsia="楷体"/>
                <w:bCs/>
                <w:sz w:val="24"/>
                <w:szCs w:val="24"/>
              </w:rPr>
              <w:t>1.白河湿地产业带。</w:t>
            </w:r>
            <w:r>
              <w:rPr>
                <w:rFonts w:hint="eastAsia" w:ascii="仿宋_GB2312" w:hAnsi="仿宋" w:eastAsia="仿宋_GB2312" w:cs="楷体"/>
                <w:sz w:val="24"/>
                <w:szCs w:val="24"/>
              </w:rPr>
              <w:t>坚定不移地实施拥河发展、滨水布局战略，加快推进“一河两岸”规划建设开发，把商务中心、政务中心、总部基地、智能科技、康养基地、大学城等核心功能组团沿白河东岸串联布局，形成白河生态带、高新产业带、科创带、文化带。</w:t>
            </w:r>
          </w:p>
          <w:p>
            <w:pPr>
              <w:pStyle w:val="14"/>
              <w:adjustRightInd w:val="0"/>
              <w:snapToGrid w:val="0"/>
              <w:spacing w:line="400" w:lineRule="exact"/>
              <w:ind w:firstLine="480" w:firstLineChars="200"/>
              <w:contextualSpacing/>
              <w:rPr>
                <w:rFonts w:ascii="仿宋_GB2312" w:hAnsi="楷体" w:eastAsia="仿宋_GB2312" w:cs="楷体"/>
                <w:sz w:val="24"/>
                <w:szCs w:val="24"/>
              </w:rPr>
            </w:pPr>
            <w:r>
              <w:rPr>
                <w:rFonts w:hint="eastAsia" w:ascii="楷体" w:hAnsi="楷体" w:eastAsia="楷体"/>
                <w:bCs/>
                <w:sz w:val="24"/>
                <w:szCs w:val="24"/>
              </w:rPr>
              <w:t>2.卧龙区。</w:t>
            </w:r>
            <w:r>
              <w:rPr>
                <w:rFonts w:hint="eastAsia" w:ascii="仿宋_GB2312" w:hAnsi="仿宋" w:eastAsia="仿宋_GB2312" w:cs="楷体"/>
                <w:sz w:val="24"/>
                <w:szCs w:val="24"/>
              </w:rPr>
              <w:t>做大做强电子信息、中医药、文旅等产业，努力形成“高增值、宽辐射、强带动、广就业”的服务经济体系，全力打造最具特色和活力、辐射带动能力较强的全国性商贸物流中心。</w:t>
            </w:r>
          </w:p>
          <w:p>
            <w:pPr>
              <w:pStyle w:val="14"/>
              <w:adjustRightInd w:val="0"/>
              <w:snapToGrid w:val="0"/>
              <w:spacing w:line="400" w:lineRule="exact"/>
              <w:ind w:firstLine="480" w:firstLineChars="200"/>
              <w:contextualSpacing/>
              <w:rPr>
                <w:rFonts w:ascii="仿宋_GB2312" w:hAnsi="楷体" w:eastAsia="仿宋_GB2312" w:cs="楷体"/>
                <w:sz w:val="24"/>
                <w:szCs w:val="24"/>
              </w:rPr>
            </w:pPr>
            <w:r>
              <w:rPr>
                <w:rFonts w:hint="eastAsia" w:ascii="楷体" w:hAnsi="楷体" w:eastAsia="楷体"/>
                <w:bCs/>
                <w:sz w:val="24"/>
                <w:szCs w:val="24"/>
              </w:rPr>
              <w:t>3.宛城区。</w:t>
            </w:r>
            <w:r>
              <w:rPr>
                <w:rFonts w:hint="eastAsia" w:ascii="仿宋_GB2312" w:hAnsi="楷体" w:eastAsia="仿宋_GB2312" w:cs="楷体"/>
                <w:sz w:val="24"/>
                <w:szCs w:val="24"/>
              </w:rPr>
              <w:t>做大做强高端装备、枢纽经济和商贸休闲产业。依托医圣祠文化园，重点发展文化旅游、商贸、中医诊疗、中医养生保健产业。以农运会主场馆、李宁体育园周边区域为核心，建设体育休闲区，重点发展城市体育休闲、健身文化、特色餐饮、体育用品销售等业态，打造“运动活力”之城。</w:t>
            </w:r>
          </w:p>
          <w:p>
            <w:pPr>
              <w:pStyle w:val="14"/>
              <w:adjustRightInd w:val="0"/>
              <w:snapToGrid w:val="0"/>
              <w:spacing w:line="400" w:lineRule="exact"/>
              <w:ind w:firstLine="480" w:firstLineChars="200"/>
              <w:contextualSpacing/>
              <w:rPr>
                <w:rFonts w:ascii="仿宋_GB2312" w:hAnsi="楷体" w:eastAsia="仿宋_GB2312" w:cs="楷体"/>
                <w:sz w:val="24"/>
                <w:szCs w:val="24"/>
              </w:rPr>
            </w:pPr>
            <w:r>
              <w:rPr>
                <w:rFonts w:hint="eastAsia" w:ascii="楷体" w:hAnsi="楷体" w:eastAsia="楷体"/>
                <w:bCs/>
                <w:sz w:val="24"/>
                <w:szCs w:val="24"/>
              </w:rPr>
              <w:t>4.城乡一体化示范区。</w:t>
            </w:r>
            <w:r>
              <w:rPr>
                <w:rFonts w:hint="eastAsia" w:ascii="仿宋_GB2312" w:hAnsi="楷体" w:eastAsia="仿宋_GB2312" w:cs="楷体"/>
                <w:sz w:val="24"/>
                <w:szCs w:val="24"/>
              </w:rPr>
              <w:t>重点发展总部经济、文旅康养、商务服务等产业。充分发挥现代服务业开发区优势，着力打造全市服务业发展的核心引领区。依托现代服务业开发区，打造豫鄂陕区域性综合商务中心。</w:t>
            </w:r>
          </w:p>
          <w:p>
            <w:pPr>
              <w:pStyle w:val="14"/>
              <w:adjustRightInd w:val="0"/>
              <w:snapToGrid w:val="0"/>
              <w:spacing w:line="400" w:lineRule="exact"/>
              <w:ind w:firstLine="480" w:firstLineChars="200"/>
              <w:contextualSpacing/>
              <w:rPr>
                <w:rFonts w:ascii="仿宋_GB2312" w:hAnsi="楷体" w:eastAsia="仿宋_GB2312" w:cs="楷体"/>
                <w:sz w:val="24"/>
                <w:szCs w:val="24"/>
              </w:rPr>
            </w:pPr>
            <w:r>
              <w:rPr>
                <w:rFonts w:hint="eastAsia" w:ascii="楷体" w:hAnsi="楷体" w:eastAsia="楷体"/>
                <w:bCs/>
                <w:sz w:val="24"/>
                <w:szCs w:val="24"/>
              </w:rPr>
              <w:t>5.卧龙综合保税区。</w:t>
            </w:r>
            <w:r>
              <w:rPr>
                <w:rFonts w:hint="eastAsia" w:ascii="仿宋_GB2312" w:hAnsi="楷体" w:eastAsia="仿宋_GB2312" w:cs="楷体"/>
                <w:sz w:val="24"/>
                <w:szCs w:val="24"/>
              </w:rPr>
              <w:t>发挥开放平台和政策叠加优势，积极发展跨境电子商务进口业务，加快引进跨境电子商务知名企业，高标准建设跨境电商产业园区，推动装备制造、绿色食品、电子信息、生物产业、新型建材等产业跨境电商应用，探索农产品跨境电子商务贸易新路径，构建完善的跨境电商生态圈，打造中部内陆地区外贸发展试验区。</w:t>
            </w:r>
          </w:p>
          <w:p>
            <w:pPr>
              <w:pStyle w:val="14"/>
              <w:adjustRightInd w:val="0"/>
              <w:snapToGrid w:val="0"/>
              <w:spacing w:line="400" w:lineRule="exact"/>
              <w:ind w:firstLine="480" w:firstLineChars="200"/>
              <w:contextualSpacing/>
              <w:rPr>
                <w:rFonts w:ascii="仿宋_GB2312" w:hAnsi="楷体" w:eastAsia="仿宋_GB2312" w:cs="楷体"/>
                <w:sz w:val="24"/>
                <w:szCs w:val="24"/>
              </w:rPr>
            </w:pPr>
            <w:r>
              <w:rPr>
                <w:rFonts w:hint="eastAsia" w:ascii="楷体" w:hAnsi="楷体" w:eastAsia="楷体"/>
                <w:bCs/>
                <w:sz w:val="24"/>
                <w:szCs w:val="24"/>
              </w:rPr>
              <w:t>6.高新区。</w:t>
            </w:r>
            <w:r>
              <w:rPr>
                <w:rFonts w:hint="eastAsia" w:ascii="仿宋_GB2312" w:hAnsi="楷体" w:eastAsia="仿宋_GB2312" w:cs="楷体"/>
                <w:sz w:val="24"/>
                <w:szCs w:val="24"/>
              </w:rPr>
              <w:t>重点发展战略性新兴产业。依托国家级高新技术产业开发区品牌、创业大厦平台等，持续推进中关村科技产业园、院士专家创新研究院建设，重点发展信息技术服务。</w:t>
            </w:r>
          </w:p>
          <w:p>
            <w:pPr>
              <w:pStyle w:val="14"/>
              <w:adjustRightInd w:val="0"/>
              <w:snapToGrid w:val="0"/>
              <w:spacing w:line="400" w:lineRule="exact"/>
              <w:ind w:firstLine="480" w:firstLineChars="200"/>
              <w:contextualSpacing/>
              <w:rPr>
                <w:rFonts w:ascii="仿宋_GB2312" w:hAnsi="楷体" w:eastAsia="仿宋_GB2312" w:cs="楷体"/>
                <w:sz w:val="24"/>
                <w:szCs w:val="24"/>
              </w:rPr>
            </w:pPr>
            <w:r>
              <w:rPr>
                <w:rFonts w:hint="eastAsia" w:ascii="楷体" w:hAnsi="楷体" w:eastAsia="楷体"/>
                <w:bCs/>
                <w:sz w:val="24"/>
                <w:szCs w:val="24"/>
              </w:rPr>
              <w:t>7.鸭河工区。</w:t>
            </w:r>
            <w:r>
              <w:rPr>
                <w:rFonts w:hint="eastAsia" w:ascii="仿宋_GB2312" w:hAnsi="楷体" w:eastAsia="仿宋_GB2312" w:cs="楷体"/>
                <w:sz w:val="24"/>
                <w:szCs w:val="24"/>
              </w:rPr>
              <w:t>依托鸭河口水库、河南南阳白河国家湿地公园、七彩欢乐谷等载体，建设鸭河休闲文化区，重点发展滨水经济、文旅康养和通航产业。</w:t>
            </w:r>
          </w:p>
          <w:p>
            <w:pPr>
              <w:pStyle w:val="14"/>
              <w:adjustRightInd w:val="0"/>
              <w:snapToGrid w:val="0"/>
              <w:spacing w:line="400" w:lineRule="exact"/>
              <w:ind w:firstLine="480" w:firstLineChars="200"/>
              <w:contextualSpacing/>
              <w:rPr>
                <w:rFonts w:ascii="仿宋_GB2312" w:hAnsi="楷体" w:eastAsia="仿宋_GB2312" w:cs="楷体"/>
                <w:sz w:val="24"/>
                <w:szCs w:val="24"/>
              </w:rPr>
            </w:pPr>
            <w:r>
              <w:rPr>
                <w:rFonts w:hint="eastAsia" w:ascii="楷体" w:hAnsi="楷体" w:eastAsia="楷体"/>
                <w:bCs/>
                <w:sz w:val="24"/>
                <w:szCs w:val="24"/>
              </w:rPr>
              <w:t>8.官庄工区。</w:t>
            </w:r>
            <w:r>
              <w:rPr>
                <w:rFonts w:hint="eastAsia" w:ascii="仿宋_GB2312" w:hAnsi="楷体" w:eastAsia="仿宋_GB2312" w:cs="楷体"/>
                <w:sz w:val="24"/>
                <w:szCs w:val="24"/>
              </w:rPr>
              <w:t>依托南阳官庄先进制造业开发区，加快建设官庄化工科技服务区，重点发展精细化工和生物产业。</w:t>
            </w:r>
          </w:p>
        </w:tc>
      </w:tr>
    </w:tbl>
    <w:p>
      <w:pPr>
        <w:pStyle w:val="7"/>
        <w:keepLines w:val="0"/>
        <w:autoSpaceDE w:val="0"/>
        <w:autoSpaceDN w:val="0"/>
        <w:spacing w:line="560" w:lineRule="exact"/>
        <w:contextualSpacing/>
        <w:jc w:val="center"/>
        <w:rPr>
          <w:rFonts w:ascii="Times New Roman" w:hAnsi="Times New Roman" w:eastAsia="楷体_GB2312"/>
          <w:b w:val="0"/>
          <w:szCs w:val="32"/>
        </w:rPr>
      </w:pPr>
      <w:bookmarkStart w:id="1315" w:name="_Toc99015570"/>
      <w:bookmarkEnd w:id="1315"/>
      <w:r>
        <w:rPr>
          <w:rFonts w:hint="eastAsia" w:ascii="楷体_GB2312" w:hAnsi="Times New Roman" w:eastAsia="楷体_GB2312"/>
          <w:b w:val="0"/>
          <w:bCs/>
        </w:rPr>
        <w:t>第二节</w:t>
      </w:r>
      <w:r>
        <w:rPr>
          <w:rFonts w:hint="eastAsia" w:ascii="Times New Roman" w:hAnsi="Times New Roman" w:eastAsia="楷体_GB2312"/>
          <w:b w:val="0"/>
          <w:bCs/>
        </w:rPr>
        <w:t xml:space="preserve"> </w:t>
      </w:r>
      <w:r>
        <w:rPr>
          <w:rFonts w:hint="eastAsia" w:ascii="楷体_GB2312" w:hAnsi="Times New Roman" w:eastAsia="楷体_GB2312"/>
          <w:b w:val="0"/>
          <w:bCs/>
        </w:rPr>
        <w:t>实施产业融合互促工程</w:t>
      </w:r>
    </w:p>
    <w:p>
      <w:pPr>
        <w:autoSpaceDE w:val="0"/>
        <w:autoSpaceDN w:val="0"/>
        <w:spacing w:line="560" w:lineRule="exact"/>
        <w:ind w:firstLine="640" w:firstLineChars="200"/>
        <w:contextualSpacing/>
        <w:rPr>
          <w:rFonts w:ascii="Times New Roman" w:hAnsi="Times New Roman"/>
          <w:kern w:val="0"/>
        </w:rPr>
      </w:pPr>
      <w:r>
        <w:rPr>
          <w:rFonts w:hint="eastAsia" w:ascii="仿宋_GB2312" w:hAnsi="Times New Roman"/>
          <w:kern w:val="0"/>
        </w:rPr>
        <w:t>紧跟全球产业融合发展新趋势，立足南阳产业发展基础，加快推进三次产业联合互动及服务业内部融合发展，推动构建交叉渗透、相融相长、耦合共生的产业生态系统。</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推动先进制造业和现代服务业深度融合。</w:t>
      </w:r>
      <w:r>
        <w:rPr>
          <w:rFonts w:hint="eastAsia" w:ascii="仿宋_GB2312" w:hAnsi="Times New Roman"/>
          <w:kern w:val="0"/>
        </w:rPr>
        <w:t>以装备制造、绿色食品、电子信息、生物产业、新型建材等产业为重点，突出全生命周期和全产业链条，积极创建省级两业融合试点，打造一批两业深度融合的优势产业链条、新型产业集群、融合示范载体和产业生态圈。提升制造业服务化水平，推动制造企业从产品制造商向系统解决方案提供商转变。拓展服务业制造化能力，鼓励先进制造业企业与生产性服务业企业合作建立基于比较优势的两业融合发展产业联盟。</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大力推动农业和服务业融合发展。</w:t>
      </w:r>
      <w:r>
        <w:rPr>
          <w:rFonts w:hint="eastAsia" w:ascii="仿宋_GB2312" w:hAnsi="Times New Roman"/>
          <w:kern w:val="0"/>
        </w:rPr>
        <w:t>聚焦粮油、畜禽、水产等规模优势产业，突出集群成链，建立线上线下、生产消费高效衔接的新型农产品供应链。大力发展农村金融、农产品物流等为农服务，积极发展智能农业、感知农业、精准农业等新型业态。大力发展休闲观光农业，推进农业与观光休闲旅游、科普教育、文化等产业深度融合，培育发展生态休闲型、都市科普型、特色农庄型等新型业态。支持西峡县申报部省共建国家级食用菌产地市场。</w:t>
      </w:r>
    </w:p>
    <w:p>
      <w:pPr>
        <w:spacing w:line="560" w:lineRule="exact"/>
        <w:ind w:firstLine="640" w:firstLineChars="200"/>
        <w:contextualSpacing/>
        <w:rPr>
          <w:rFonts w:ascii="Times New Roman" w:hAnsi="Times New Roman"/>
          <w:kern w:val="0"/>
        </w:rPr>
      </w:pPr>
      <w:r>
        <w:rPr>
          <w:rFonts w:hint="eastAsia" w:ascii="仿宋_GB2312"/>
          <w:bCs/>
          <w:kern w:val="0"/>
        </w:rPr>
        <w:t>推进现代服务业内部互动融合。</w:t>
      </w:r>
      <w:r>
        <w:rPr>
          <w:rFonts w:hint="eastAsia" w:ascii="仿宋_GB2312" w:hAnsi="Times New Roman"/>
          <w:kern w:val="0"/>
        </w:rPr>
        <w:t>大力推动服务业内部各行业交叉渗透、跨界融合，提高服务业发展质量和水平。促进细分行业交叉、延伸、重组，加快推动文化与旅游、医疗与康养、物流与快递、科技与金融等服务业实现融合发展。加快推动</w:t>
      </w:r>
      <w:r>
        <w:rPr>
          <w:rFonts w:hint="eastAsia" w:ascii="Times New Roman" w:hAnsi="Times New Roman"/>
          <w:kern w:val="0"/>
        </w:rPr>
        <w:t>“互联网+</w:t>
      </w:r>
      <w:r>
        <w:rPr>
          <w:rFonts w:hint="eastAsia" w:ascii="仿宋_GB2312" w:hAnsi="Times New Roman"/>
          <w:kern w:val="0"/>
        </w:rPr>
        <w:t>物流”“互联网</w:t>
      </w:r>
      <w:r>
        <w:rPr>
          <w:rFonts w:hint="eastAsia" w:ascii="Times New Roman" w:hAnsi="Times New Roman"/>
          <w:kern w:val="0"/>
        </w:rPr>
        <w:t>+</w:t>
      </w:r>
      <w:r>
        <w:rPr>
          <w:rFonts w:hint="eastAsia" w:ascii="仿宋_GB2312" w:hAnsi="Times New Roman"/>
          <w:kern w:val="0"/>
        </w:rPr>
        <w:t>设计”“互联网</w:t>
      </w:r>
      <w:r>
        <w:rPr>
          <w:rFonts w:hint="eastAsia" w:ascii="Times New Roman" w:hAnsi="Times New Roman"/>
          <w:kern w:val="0"/>
        </w:rPr>
        <w:t>+</w:t>
      </w:r>
      <w:r>
        <w:rPr>
          <w:rFonts w:hint="eastAsia" w:ascii="仿宋_GB2312" w:hAnsi="Times New Roman"/>
          <w:kern w:val="0"/>
        </w:rPr>
        <w:t>金融”等新业态发展。</w:t>
      </w:r>
    </w:p>
    <w:p>
      <w:pPr>
        <w:pStyle w:val="7"/>
        <w:keepLines w:val="0"/>
        <w:autoSpaceDE w:val="0"/>
        <w:autoSpaceDN w:val="0"/>
        <w:spacing w:line="560" w:lineRule="exact"/>
        <w:contextualSpacing/>
        <w:jc w:val="center"/>
        <w:rPr>
          <w:rFonts w:ascii="Times New Roman" w:hAnsi="Times New Roman" w:eastAsia="楷体_GB2312"/>
          <w:b w:val="0"/>
          <w:szCs w:val="32"/>
        </w:rPr>
      </w:pPr>
      <w:bookmarkStart w:id="1316" w:name="_Toc99015571"/>
      <w:bookmarkEnd w:id="1316"/>
      <w:r>
        <w:rPr>
          <w:rFonts w:hint="eastAsia" w:ascii="楷体_GB2312" w:hAnsi="Times New Roman" w:eastAsia="楷体_GB2312"/>
          <w:b w:val="0"/>
          <w:bCs/>
        </w:rPr>
        <w:t>第三节</w:t>
      </w:r>
      <w:r>
        <w:rPr>
          <w:rFonts w:hint="eastAsia" w:ascii="Times New Roman" w:hAnsi="Times New Roman" w:eastAsia="楷体_GB2312"/>
          <w:b w:val="0"/>
          <w:bCs/>
        </w:rPr>
        <w:t xml:space="preserve"> </w:t>
      </w:r>
      <w:r>
        <w:rPr>
          <w:rFonts w:hint="eastAsia" w:ascii="楷体_GB2312" w:hAnsi="Times New Roman" w:eastAsia="楷体_GB2312"/>
          <w:b w:val="0"/>
          <w:bCs/>
        </w:rPr>
        <w:t>实施平台载体建设工程</w:t>
      </w:r>
    </w:p>
    <w:p>
      <w:pPr>
        <w:autoSpaceDE w:val="0"/>
        <w:autoSpaceDN w:val="0"/>
        <w:spacing w:line="560" w:lineRule="exact"/>
        <w:ind w:firstLine="640" w:firstLineChars="200"/>
        <w:contextualSpacing/>
        <w:rPr>
          <w:rFonts w:ascii="Times New Roman" w:hAnsi="Times New Roman"/>
          <w:kern w:val="0"/>
        </w:rPr>
      </w:pPr>
      <w:r>
        <w:rPr>
          <w:rFonts w:hint="eastAsia" w:ascii="仿宋_GB2312" w:hAnsi="Times New Roman"/>
          <w:kern w:val="0"/>
        </w:rPr>
        <w:t>按照</w:t>
      </w:r>
      <w:r>
        <w:rPr>
          <w:rFonts w:hint="eastAsia" w:ascii="Times New Roman" w:hAnsi="Times New Roman"/>
          <w:kern w:val="0"/>
        </w:rPr>
        <w:t>“专业化、高端化、特色化、精品化”发展要求，加快打造一批业态新、功能全、配套优的现代服务业集聚平台，着力培育和打造国家级服务业战略平台，重点推进现代服务业开发区、服务业特色园区等载体建设，促进全市服务业集聚和高质量发展。</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着力培育国家级服务业战略平台。</w:t>
      </w:r>
      <w:r>
        <w:rPr>
          <w:rFonts w:hint="eastAsia" w:ascii="仿宋_GB2312" w:hAnsi="Times New Roman"/>
          <w:kern w:val="0"/>
        </w:rPr>
        <w:t>围绕先进制造、光电信息、新能源、新材料、生物产业、节能环保等产业，整合科技创新资源，以企业和高校、科研院所深度合作为重点，努力培育和打造新建一批技术创新中心、工程技术研究中心、产业创新中心、共性技术平台、检测试验平台等国家级服务业战略平台，鼓励企业积极申建国家重点实验室、院士专家工作站。</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强化现代服务业开发区产业转型引领作用。</w:t>
      </w:r>
      <w:r>
        <w:rPr>
          <w:rFonts w:hint="eastAsia" w:ascii="仿宋_GB2312" w:hAnsi="Times New Roman"/>
          <w:kern w:val="0"/>
        </w:rPr>
        <w:t>聚焦做大做强生产性服务业，着力推动生产性服务业集聚发展，构建功能布局合理、资源集约高效，与先进制造业开发区协作联动的现代服务业开发区格局。鼓励现代服务业开发区开展跨区域合作，发展</w:t>
      </w:r>
      <w:r>
        <w:rPr>
          <w:rFonts w:hint="eastAsia" w:ascii="Times New Roman" w:hAnsi="Times New Roman"/>
          <w:kern w:val="0"/>
        </w:rPr>
        <w:t>“飞地经济”，大力推广“管委会+</w:t>
      </w:r>
      <w:r>
        <w:rPr>
          <w:rFonts w:hint="eastAsia" w:ascii="仿宋_GB2312" w:hAnsi="Times New Roman"/>
          <w:kern w:val="0"/>
        </w:rPr>
        <w:t>公司”模式，建设专业化、国际化、市场化的管理团队，提升现代服务业开发区产业服务能力。</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强化各类服务业载体区域服务功能。</w:t>
      </w:r>
      <w:r>
        <w:rPr>
          <w:rFonts w:hint="eastAsia" w:ascii="仿宋_GB2312" w:hAnsi="Times New Roman"/>
          <w:kern w:val="0"/>
        </w:rPr>
        <w:t>支持各县（市、区）突出特色优势，因地制宜培育服务业载体，打造特色服务品牌。鼓励制造业基础好的县（市、区）围绕当地先进制造业开发区主导产业，建设一批生产性服务业</w:t>
      </w:r>
      <w:r>
        <w:rPr>
          <w:rFonts w:hint="eastAsia" w:ascii="Times New Roman" w:hAnsi="Times New Roman"/>
          <w:kern w:val="0"/>
        </w:rPr>
        <w:t>“区中园”；扶持桐柏、西峡等县（市、区）发展农产品流通、农业生产服务等，建设一批区域性农副产品流通基地；引导淅川、方城等生态环境良好的县（市</w:t>
      </w:r>
      <w:r>
        <w:rPr>
          <w:rFonts w:hint="eastAsia" w:ascii="仿宋_GB2312" w:hAnsi="Times New Roman"/>
          <w:kern w:val="0"/>
        </w:rPr>
        <w:t>、区）发展旅游休闲、健康养老基地。优化城乡生活服务网点规划布局，加强基础设施建设，按照</w:t>
      </w:r>
      <w:r>
        <w:rPr>
          <w:rFonts w:hint="eastAsia" w:ascii="Times New Roman" w:hAnsi="Times New Roman"/>
          <w:kern w:val="0"/>
        </w:rPr>
        <w:t>“</w:t>
      </w:r>
      <w:r>
        <w:rPr>
          <w:rFonts w:ascii="Times New Roman" w:hAnsi="Times New Roman"/>
          <w:kern w:val="0"/>
        </w:rPr>
        <w:t>15</w:t>
      </w:r>
      <w:r>
        <w:rPr>
          <w:rFonts w:hint="eastAsia" w:ascii="仿宋_GB2312" w:hAnsi="Times New Roman"/>
          <w:kern w:val="0"/>
        </w:rPr>
        <w:t>分钟生活圈</w:t>
      </w:r>
      <w:r>
        <w:rPr>
          <w:rFonts w:hint="eastAsia" w:ascii="Times New Roman" w:hAnsi="Times New Roman"/>
          <w:kern w:val="0"/>
        </w:rPr>
        <w:t>”分级分类建设一批社区邻里中心、农村社区综合性服务网点，打造便民服务功能单元。</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强化现代服务业重大项目支撑作用。</w:t>
      </w:r>
      <w:r>
        <w:rPr>
          <w:rFonts w:hint="eastAsia" w:ascii="仿宋_GB2312" w:hAnsi="Times New Roman"/>
          <w:kern w:val="0"/>
        </w:rPr>
        <w:t>着眼于服务业</w:t>
      </w:r>
      <w:r>
        <w:rPr>
          <w:rFonts w:hint="eastAsia" w:ascii="Times New Roman" w:hAnsi="Times New Roman"/>
          <w:kern w:val="0"/>
        </w:rPr>
        <w:t>“新业态、新领域、新热点”，树牢“项目为王”理念，健全“要素资源跟着项目走”机制，推动各类要素资源向服务业优质高效投资领域集中。加强服务业项目谋划和储备，建立动态管理的服务业重大项目储备库。积极创新招商模式，深入开展产业链招商、基金招商、股权招商、市场招商、科研招商、行业协会招商，积极招引一批龙头型、基地型、补链型的重大项目</w:t>
      </w:r>
      <w:r>
        <w:rPr>
          <w:rFonts w:hint="eastAsia" w:ascii="仿宋_GB2312" w:hAnsi="Times New Roman"/>
          <w:kern w:val="0"/>
        </w:rPr>
        <w:t>。每年滚动实施一批服务业重点项目，以更高标准、更快行动实施服务业领域重点项目建设，带动服务业疫后全面恢复和优化升级。</w:t>
      </w:r>
    </w:p>
    <w:p>
      <w:pPr>
        <w:pStyle w:val="7"/>
        <w:keepLines w:val="0"/>
        <w:autoSpaceDE w:val="0"/>
        <w:autoSpaceDN w:val="0"/>
        <w:spacing w:line="560" w:lineRule="exact"/>
        <w:contextualSpacing/>
        <w:jc w:val="center"/>
        <w:rPr>
          <w:rFonts w:ascii="Times New Roman" w:hAnsi="Times New Roman" w:eastAsia="楷体_GB2312"/>
          <w:b w:val="0"/>
          <w:szCs w:val="32"/>
        </w:rPr>
      </w:pPr>
      <w:bookmarkStart w:id="1317" w:name="_Toc99015572"/>
      <w:bookmarkEnd w:id="1317"/>
      <w:r>
        <w:rPr>
          <w:rFonts w:hint="eastAsia" w:ascii="楷体_GB2312" w:hAnsi="Times New Roman" w:eastAsia="楷体_GB2312"/>
          <w:b w:val="0"/>
          <w:bCs/>
        </w:rPr>
        <w:t>第四节</w:t>
      </w:r>
      <w:r>
        <w:rPr>
          <w:rFonts w:hint="eastAsia" w:ascii="Times New Roman" w:hAnsi="Times New Roman" w:eastAsia="楷体_GB2312"/>
          <w:b w:val="0"/>
          <w:bCs/>
        </w:rPr>
        <w:t xml:space="preserve"> </w:t>
      </w:r>
      <w:r>
        <w:rPr>
          <w:rFonts w:hint="eastAsia" w:ascii="楷体_GB2312" w:hAnsi="Times New Roman" w:eastAsia="楷体_GB2312"/>
          <w:b w:val="0"/>
          <w:bCs/>
        </w:rPr>
        <w:t>实施企业梯队培育工程</w:t>
      </w:r>
    </w:p>
    <w:p>
      <w:pPr>
        <w:autoSpaceDE w:val="0"/>
        <w:autoSpaceDN w:val="0"/>
        <w:spacing w:line="560" w:lineRule="exact"/>
        <w:ind w:firstLine="640" w:firstLineChars="200"/>
        <w:contextualSpacing/>
        <w:rPr>
          <w:rFonts w:ascii="Times New Roman" w:hAnsi="Times New Roman"/>
          <w:kern w:val="0"/>
        </w:rPr>
      </w:pPr>
      <w:r>
        <w:rPr>
          <w:rFonts w:hint="eastAsia" w:ascii="仿宋_GB2312" w:hAnsi="Times New Roman"/>
          <w:kern w:val="0"/>
        </w:rPr>
        <w:t>围绕旅游、文化、物流、商贸、健康、养老等重点领域，实施服务业重点企业培育工程，强化全市服务业企业梯队建设，培育一批服务业创新之星、成长之星，打造</w:t>
      </w:r>
      <w:r>
        <w:rPr>
          <w:rFonts w:hint="eastAsia" w:ascii="Times New Roman" w:hAnsi="Times New Roman"/>
          <w:kern w:val="0"/>
        </w:rPr>
        <w:t>“金字塔式”服务业企业队伍。</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培育服务业领军企业。</w:t>
      </w:r>
      <w:r>
        <w:rPr>
          <w:rFonts w:hint="eastAsia" w:ascii="仿宋_GB2312" w:hAnsi="Times New Roman"/>
          <w:kern w:val="0"/>
        </w:rPr>
        <w:t>实施大企业大集团培育计划，在商贸流通、现代物流、文化旅游、金融服务</w:t>
      </w:r>
      <w:r>
        <w:rPr>
          <w:rFonts w:ascii="仿宋_GB2312" w:hAnsi="Times New Roman"/>
          <w:kern w:val="0"/>
        </w:rPr>
        <w:t>等重点行业和关键领域，</w:t>
      </w:r>
      <w:r>
        <w:rPr>
          <w:rFonts w:hint="eastAsia" w:ascii="仿宋_GB2312" w:hAnsi="Times New Roman"/>
          <w:kern w:val="0"/>
        </w:rPr>
        <w:t>引进和培育一批拥有自主知识产权、品牌效应显著、主业突出、核心竞争力强、带动作用明显的大型服务业企业。鼓励服务业企业组建企业集团，延伸产业链条，打造一批</w:t>
      </w:r>
      <w:r>
        <w:rPr>
          <w:rFonts w:hint="eastAsia" w:ascii="Times New Roman" w:hAnsi="Times New Roman"/>
          <w:kern w:val="0"/>
        </w:rPr>
        <w:t>“旗舰”“龙头”企业。鼓励龙头企业通过兼并、重组、上市等方式实现“裂变式”发展，打造大型企业集团，提高龙头带动作用。在新经济领域培育一批具有核心竞争力的“单项冠军”企业和高成长性的瞪羚企业、独角兽企业。</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推进中小企业发展壮大。</w:t>
      </w:r>
      <w:r>
        <w:rPr>
          <w:rFonts w:hint="eastAsia" w:ascii="仿宋_GB2312" w:hAnsi="Times New Roman"/>
          <w:kern w:val="0"/>
        </w:rPr>
        <w:t>鼓励设立各类创业投资引导基金，开展中小企业信用担保体系建设，支持以服务业中小企业为重点的创业创新活动。深化商事制度改革，以</w:t>
      </w:r>
      <w:r>
        <w:rPr>
          <w:rFonts w:hint="eastAsia" w:ascii="Times New Roman" w:hAnsi="Times New Roman"/>
          <w:kern w:val="0"/>
        </w:rPr>
        <w:t>“宽进严管”为基本原则，进一步推进商事主体登记便利化，营造宽松平等的准入环境，推动以中小企业为基础的市场主体规模不断提升</w:t>
      </w:r>
      <w:r>
        <w:rPr>
          <w:rFonts w:hint="eastAsia" w:ascii="仿宋_GB2312" w:hAnsi="Times New Roman"/>
          <w:kern w:val="0"/>
        </w:rPr>
        <w:t>，支持</w:t>
      </w:r>
      <w:r>
        <w:rPr>
          <w:rFonts w:hint="eastAsia" w:ascii="Times New Roman" w:hAnsi="Times New Roman"/>
          <w:kern w:val="0"/>
        </w:rPr>
        <w:t>“双创”载体建设</w:t>
      </w:r>
      <w:r>
        <w:rPr>
          <w:rFonts w:hint="eastAsia" w:ascii="仿宋_GB2312" w:hAnsi="Times New Roman"/>
          <w:kern w:val="0"/>
        </w:rPr>
        <w:t>。进一步优化孵化器建设及运营模式，形成更有利于中小企业成长发展的环境，促进优质企业孵化育成。</w:t>
      </w:r>
    </w:p>
    <w:p>
      <w:pPr>
        <w:pStyle w:val="7"/>
        <w:keepLines w:val="0"/>
        <w:autoSpaceDE w:val="0"/>
        <w:autoSpaceDN w:val="0"/>
        <w:spacing w:line="560" w:lineRule="exact"/>
        <w:contextualSpacing/>
        <w:jc w:val="center"/>
        <w:rPr>
          <w:rFonts w:ascii="Times New Roman" w:hAnsi="Times New Roman" w:eastAsia="楷体_GB2312"/>
          <w:b w:val="0"/>
          <w:szCs w:val="32"/>
        </w:rPr>
      </w:pPr>
      <w:bookmarkStart w:id="1318" w:name="_Toc99015573"/>
      <w:bookmarkEnd w:id="1318"/>
      <w:r>
        <w:rPr>
          <w:rFonts w:hint="eastAsia" w:ascii="楷体_GB2312" w:hAnsi="Times New Roman" w:eastAsia="楷体_GB2312"/>
          <w:b w:val="0"/>
          <w:bCs/>
        </w:rPr>
        <w:t>第五节</w:t>
      </w:r>
      <w:r>
        <w:rPr>
          <w:rFonts w:hint="eastAsia" w:ascii="Times New Roman" w:hAnsi="Times New Roman" w:eastAsia="楷体_GB2312"/>
          <w:b w:val="0"/>
          <w:bCs/>
        </w:rPr>
        <w:t xml:space="preserve"> </w:t>
      </w:r>
      <w:r>
        <w:rPr>
          <w:rFonts w:hint="eastAsia" w:ascii="楷体_GB2312" w:hAnsi="Times New Roman" w:eastAsia="楷体_GB2312"/>
          <w:b w:val="0"/>
          <w:bCs/>
        </w:rPr>
        <w:t>实施品牌质量提升工程</w:t>
      </w:r>
    </w:p>
    <w:p>
      <w:pPr>
        <w:autoSpaceDE w:val="0"/>
        <w:autoSpaceDN w:val="0"/>
        <w:spacing w:line="560" w:lineRule="exact"/>
        <w:ind w:firstLine="640" w:firstLineChars="200"/>
        <w:contextualSpacing/>
        <w:rPr>
          <w:rFonts w:ascii="Times New Roman" w:hAnsi="Times New Roman"/>
          <w:kern w:val="0"/>
        </w:rPr>
      </w:pPr>
      <w:r>
        <w:rPr>
          <w:rFonts w:hint="eastAsia" w:ascii="仿宋_GB2312" w:hAnsi="Times New Roman"/>
          <w:kern w:val="0"/>
        </w:rPr>
        <w:t>树立品牌质量第一理念，实施标准化、品牌化战略，营造良好的品牌标准化发展环境，推动服务业向标准化、专业化、高端化、精细化、品质化发展，提升服务质量水平，发展一批能够展示南阳服务形象的品牌，打造</w:t>
      </w:r>
      <w:r>
        <w:rPr>
          <w:rFonts w:hint="eastAsia" w:ascii="Times New Roman" w:hAnsi="Times New Roman"/>
          <w:kern w:val="0"/>
        </w:rPr>
        <w:t>“南阳服务”新名片。</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提高服务业标准化水平。</w:t>
      </w:r>
      <w:r>
        <w:rPr>
          <w:rFonts w:hint="eastAsia" w:ascii="仿宋_GB2312" w:hAnsi="Times New Roman"/>
          <w:kern w:val="0"/>
        </w:rPr>
        <w:t>建立健全与国家、行业配套的服务业标准体系，推进科技服务、现代物流、文旅服务、商务服务等服务业重点领域标准化建设。鼓励行业协会开展企业执行标准规范情况监督检查，发布服务标准化信息。积极开展服务企业、行业、区域标准化试点示范创建工程，引导企业积极参与国家、省、市服务业标准化示范项目，鼓励行业协会或企业主导或参与制定国家、省、市服务行业标准，培育一批实施标准化管理服务业企业，培养一批服务业标准化人才。</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打造“南阳服务”新名片。</w:t>
      </w:r>
      <w:r>
        <w:rPr>
          <w:rFonts w:hint="eastAsia" w:ascii="仿宋_GB2312" w:hAnsi="Times New Roman"/>
          <w:kern w:val="0"/>
        </w:rPr>
        <w:t>推动服务业市场主体走品牌发展之路，着力实施服务业品牌培育行动，突出抓好地理标志商标和商标国际注册，健全以产品、企业、区域品牌为支撑的品牌体系，培育发展一批创新能力强、拥有自主知识产权的知名服务业企业品牌。支持重点服务业企业争创中国名牌，加大国内外知名服务业品牌引进力度，打造现代服务业品牌聚集地。推动各县（市、区）在养老育幼、文化旅游、健康、家政等领域培育若干特色鲜明的服务品牌。积极开展生活性服务业</w:t>
      </w:r>
      <w:r>
        <w:rPr>
          <w:rFonts w:hint="eastAsia" w:ascii="Times New Roman" w:hAnsi="Times New Roman"/>
          <w:kern w:val="0"/>
        </w:rPr>
        <w:t>“领跑者”企业建设，培育一批诚信经营、优质服务的示范性企业。“十四五”期间，力争创建一批省级服务业标准化示范项目，培育10</w:t>
      </w:r>
      <w:r>
        <w:rPr>
          <w:rFonts w:hint="eastAsia" w:ascii="仿宋_GB2312" w:hAnsi="Times New Roman"/>
          <w:kern w:val="0"/>
        </w:rPr>
        <w:t>个具有较强市场竞争力的服务业知名品牌。</w:t>
      </w:r>
    </w:p>
    <w:p>
      <w:pPr>
        <w:pStyle w:val="7"/>
        <w:keepLines w:val="0"/>
        <w:autoSpaceDE w:val="0"/>
        <w:autoSpaceDN w:val="0"/>
        <w:spacing w:line="560" w:lineRule="exact"/>
        <w:contextualSpacing/>
        <w:jc w:val="center"/>
        <w:rPr>
          <w:rFonts w:ascii="Times New Roman" w:hAnsi="Times New Roman" w:eastAsia="楷体_GB2312"/>
          <w:b w:val="0"/>
          <w:szCs w:val="32"/>
        </w:rPr>
      </w:pPr>
      <w:bookmarkStart w:id="1319" w:name="_Toc99015574"/>
      <w:bookmarkEnd w:id="1319"/>
      <w:r>
        <w:rPr>
          <w:rFonts w:hint="eastAsia" w:ascii="楷体_GB2312" w:hAnsi="Times New Roman" w:eastAsia="楷体_GB2312"/>
          <w:b w:val="0"/>
          <w:bCs/>
        </w:rPr>
        <w:t>第六节</w:t>
      </w:r>
      <w:r>
        <w:rPr>
          <w:rFonts w:hint="eastAsia" w:ascii="Times New Roman" w:hAnsi="Times New Roman" w:eastAsia="楷体_GB2312"/>
          <w:b w:val="0"/>
          <w:bCs/>
        </w:rPr>
        <w:t xml:space="preserve"> </w:t>
      </w:r>
      <w:r>
        <w:rPr>
          <w:rFonts w:hint="eastAsia" w:ascii="楷体_GB2312" w:hAnsi="Times New Roman" w:eastAsia="楷体_GB2312"/>
          <w:b w:val="0"/>
          <w:bCs/>
        </w:rPr>
        <w:t>实施消费扩容提质工程</w:t>
      </w:r>
    </w:p>
    <w:p>
      <w:pPr>
        <w:autoSpaceDE w:val="0"/>
        <w:autoSpaceDN w:val="0"/>
        <w:spacing w:line="560" w:lineRule="exact"/>
        <w:ind w:firstLine="640" w:firstLineChars="200"/>
        <w:contextualSpacing/>
        <w:rPr>
          <w:rFonts w:ascii="Times New Roman" w:hAnsi="Times New Roman"/>
          <w:kern w:val="0"/>
        </w:rPr>
      </w:pPr>
      <w:r>
        <w:rPr>
          <w:rFonts w:hint="eastAsia" w:ascii="仿宋_GB2312" w:hAnsi="Times New Roman"/>
          <w:kern w:val="0"/>
        </w:rPr>
        <w:t>以</w:t>
      </w:r>
      <w:r>
        <w:fldChar w:fldCharType="begin"/>
      </w:r>
      <w:r>
        <w:instrText xml:space="preserve"> HYPERLINK "http://www.baidu.com/link?url=7qVbaM_ZuBX2HrexSzRVW_qdlfwcHDbJGhijBXrX-jlvW48nUetaQv4E87-U9h03AV8ixzNYznR9G521AsvLzmsrUDxXSDxCEFnoECn1Ree" </w:instrText>
      </w:r>
      <w:r>
        <w:fldChar w:fldCharType="separate"/>
      </w:r>
      <w:r>
        <w:rPr>
          <w:rStyle w:val="36"/>
          <w:rFonts w:hint="eastAsia" w:ascii="仿宋_GB2312" w:hAnsi="Times New Roman"/>
          <w:color w:val="auto"/>
          <w:kern w:val="0"/>
          <w:u w:val="none"/>
        </w:rPr>
        <w:t>壮大新型消费、促进国内经济大循环为主线</w:t>
      </w:r>
      <w:r>
        <w:rPr>
          <w:rStyle w:val="36"/>
          <w:rFonts w:hint="eastAsia" w:ascii="仿宋_GB2312" w:hAnsi="Times New Roman"/>
          <w:color w:val="auto"/>
          <w:kern w:val="0"/>
          <w:u w:val="none"/>
        </w:rPr>
        <w:fldChar w:fldCharType="end"/>
      </w:r>
      <w:r>
        <w:rPr>
          <w:rFonts w:hint="eastAsia" w:ascii="仿宋_GB2312" w:hAnsi="Times New Roman"/>
          <w:kern w:val="0"/>
        </w:rPr>
        <w:t>，深入推进消费服务供给侧结构性改革，有效提升消费服务供给能力和水平。</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加快培育新型服务消费。</w:t>
      </w:r>
      <w:r>
        <w:rPr>
          <w:rFonts w:hint="eastAsia" w:ascii="仿宋_GB2312" w:hAnsi="Times New Roman"/>
          <w:kern w:val="0"/>
        </w:rPr>
        <w:t>以信息化、网络化、便利化为导向，加快培育数字消费、网络消费、信息消费等新型消费。大力推动线上线下消费有机融合，促进传统线下业态数字化改造和转型升级。创新无接触、少接触型消费模式，探索发展智慧超市、智慧商店、智慧餐厅等新零售业态。大力发展</w:t>
      </w:r>
      <w:r>
        <w:rPr>
          <w:rFonts w:hint="eastAsia" w:ascii="Times New Roman" w:hAnsi="Times New Roman"/>
          <w:kern w:val="0"/>
        </w:rPr>
        <w:t>“互联网+</w:t>
      </w:r>
      <w:r>
        <w:rPr>
          <w:rFonts w:hint="eastAsia" w:ascii="仿宋_GB2312" w:hAnsi="Times New Roman"/>
          <w:kern w:val="0"/>
        </w:rPr>
        <w:t>消费服务”模式，培育丰富智能体育、在线教育、在线医疗、在线文娱等线上服务消费。围绕“宅消费”，大力发展社交电商、直播电商以及“生鲜电商</w:t>
      </w:r>
      <w:r>
        <w:rPr>
          <w:rFonts w:hint="eastAsia" w:ascii="Times New Roman" w:hAnsi="Times New Roman"/>
          <w:kern w:val="0"/>
        </w:rPr>
        <w:t>+</w:t>
      </w:r>
      <w:r>
        <w:rPr>
          <w:rFonts w:hint="eastAsia" w:ascii="仿宋_GB2312" w:hAnsi="Times New Roman"/>
          <w:kern w:val="0"/>
        </w:rPr>
        <w:t>冷链宅配”“中央厨房</w:t>
      </w:r>
      <w:r>
        <w:rPr>
          <w:rFonts w:hint="eastAsia" w:ascii="Times New Roman" w:hAnsi="Times New Roman"/>
          <w:kern w:val="0"/>
        </w:rPr>
        <w:t>+</w:t>
      </w:r>
      <w:r>
        <w:rPr>
          <w:rFonts w:hint="eastAsia" w:ascii="仿宋_GB2312" w:hAnsi="Times New Roman"/>
          <w:kern w:val="0"/>
        </w:rPr>
        <w:t>食材冷链配送”模式。鼓励和引导农村居民增加交通通信、文化娱乐等消费，支持消费新业态新模式向农村拓展。</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优化服务消费环境。</w:t>
      </w:r>
      <w:r>
        <w:rPr>
          <w:rFonts w:hint="eastAsia" w:ascii="仿宋_GB2312" w:hAnsi="Times New Roman"/>
          <w:kern w:val="0"/>
        </w:rPr>
        <w:t>深化服务业供给侧结构性改革，进一步放宽服务消费领域市场准入。鼓励和引导社会资本参与公共服务领域投资运营，不断提高公共服务供给效率，培育更加成熟的消费细分市场，增加高品质服务供给。清理废除妨碍统一市场和公平竞争的规定和做法，营造更加有利于各类所有制企业公平提供消费产品和服务的市场环境。加强信息网络、汽车充换电设施、旅游休闲及健康养老配套设施等新型消费基础设施建设，提升服务供给的设施支撑。持续深化市级放心消费示范区域、示范企业（单位）、消费维权服务示范站创建工作，探索放心消费城市建设试点，打造</w:t>
      </w:r>
      <w:r>
        <w:rPr>
          <w:rFonts w:hint="eastAsia" w:ascii="Times New Roman" w:hAnsi="Times New Roman"/>
          <w:kern w:val="0"/>
        </w:rPr>
        <w:t>“放心消费在南阳”新名片。</w:t>
      </w:r>
    </w:p>
    <w:p>
      <w:pPr>
        <w:pStyle w:val="7"/>
        <w:keepLines w:val="0"/>
        <w:autoSpaceDE w:val="0"/>
        <w:autoSpaceDN w:val="0"/>
        <w:spacing w:line="560" w:lineRule="exact"/>
        <w:contextualSpacing/>
        <w:jc w:val="center"/>
        <w:rPr>
          <w:rFonts w:ascii="Times New Roman" w:hAnsi="Times New Roman" w:eastAsia="楷体_GB2312"/>
          <w:b w:val="0"/>
          <w:szCs w:val="32"/>
        </w:rPr>
      </w:pPr>
      <w:bookmarkStart w:id="1320" w:name="_Toc99015575"/>
      <w:bookmarkEnd w:id="1320"/>
      <w:r>
        <w:rPr>
          <w:rFonts w:hint="eastAsia" w:ascii="楷体_GB2312" w:hAnsi="Times New Roman" w:eastAsia="楷体_GB2312"/>
          <w:b w:val="0"/>
          <w:bCs/>
        </w:rPr>
        <w:t>第七节</w:t>
      </w:r>
      <w:r>
        <w:rPr>
          <w:rFonts w:hint="eastAsia" w:ascii="Times New Roman" w:hAnsi="Times New Roman" w:eastAsia="楷体_GB2312"/>
          <w:b w:val="0"/>
          <w:bCs/>
        </w:rPr>
        <w:t xml:space="preserve"> </w:t>
      </w:r>
      <w:r>
        <w:rPr>
          <w:rFonts w:hint="eastAsia" w:ascii="楷体_GB2312" w:hAnsi="Times New Roman" w:eastAsia="楷体_GB2312"/>
          <w:b w:val="0"/>
          <w:bCs/>
        </w:rPr>
        <w:t>实施对外开放合作工程</w:t>
      </w:r>
    </w:p>
    <w:p>
      <w:pPr>
        <w:autoSpaceDE w:val="0"/>
        <w:autoSpaceDN w:val="0"/>
        <w:spacing w:line="560" w:lineRule="exact"/>
        <w:ind w:firstLine="640" w:firstLineChars="200"/>
        <w:contextualSpacing/>
        <w:rPr>
          <w:rFonts w:ascii="Times New Roman" w:hAnsi="Times New Roman"/>
          <w:kern w:val="0"/>
        </w:rPr>
      </w:pPr>
      <w:r>
        <w:rPr>
          <w:rFonts w:hint="eastAsia" w:ascii="仿宋_GB2312" w:hAnsi="Times New Roman"/>
          <w:kern w:val="0"/>
        </w:rPr>
        <w:t>大力实施开放提升战略，加快构建开放型经济新体制，推进开放通道和平台融合聚合，着力打造兼收并蓄、更具吸附力的开放环境，全面拓宽开放空间，构建</w:t>
      </w:r>
      <w:r>
        <w:rPr>
          <w:rFonts w:hint="eastAsia" w:ascii="Times New Roman" w:hAnsi="Times New Roman"/>
          <w:kern w:val="0"/>
        </w:rPr>
        <w:t>“西联、北引、东进、南下”的开</w:t>
      </w:r>
      <w:r>
        <w:rPr>
          <w:rFonts w:hint="eastAsia" w:ascii="仿宋_GB2312" w:hAnsi="Times New Roman"/>
          <w:kern w:val="0"/>
        </w:rPr>
        <w:t>放格局，全力打造更具吸引力的内陆开放高地。</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拓展区域合作新空间。</w:t>
      </w:r>
      <w:r>
        <w:rPr>
          <w:rFonts w:hint="eastAsia" w:ascii="仿宋_GB2312" w:hAnsi="Times New Roman"/>
          <w:kern w:val="0"/>
        </w:rPr>
        <w:t>加快与信阳、驻马店协同发展，推动基础设施互联互通、产业互补发展、生态共建共享，打造豫南高效生态经济示范区。积极融入</w:t>
      </w:r>
      <w:r>
        <w:rPr>
          <w:rFonts w:hint="eastAsia" w:ascii="Times New Roman" w:hAnsi="Times New Roman"/>
          <w:kern w:val="0"/>
        </w:rPr>
        <w:t>“一带一路”建设，前瞻性谋划布局外向型产业，提高参与度和链接度。深化京（津）宛对口协作，积极参与京津冀协同发展，将南阳打造成为京津冀地区重要的产业转移承接基地、生产加工基地、科技成果转化孵化基地、有机农产品供应基地和旅游目的地。以唐白河航运为纽带，加速融入长江经济带，推动与上海、南京、武汉等城市在市场、产业、资本、人才等方面的对接融合，打造跨区域资源要素的重要承载地和引力场。</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稳步提升对外开放水平。</w:t>
      </w:r>
      <w:r>
        <w:rPr>
          <w:rFonts w:hint="eastAsia" w:ascii="仿宋_GB2312" w:hAnsi="Times New Roman"/>
          <w:kern w:val="0"/>
        </w:rPr>
        <w:t>加强全市服务业对外开放，全面实施外商投资负面清单管理模式，深化对外贸易和投资便利化改革。建强开放载体，办好开放平台，提高南阳在国内外的知名度和影响力。鼓励有条件的企业开展对外直接投资、对外工程承包，支持优势企业开拓</w:t>
      </w:r>
      <w:r>
        <w:rPr>
          <w:rFonts w:hint="eastAsia" w:ascii="Times New Roman" w:hAnsi="Times New Roman"/>
          <w:kern w:val="0"/>
        </w:rPr>
        <w:t>“一带一路”沿线国家市场，提高对外合作层次和水平。推进对外贸易创新发展，实施外贸主体培育行动，打造具有区域特色的外贸产业优势集群。</w:t>
      </w:r>
    </w:p>
    <w:tbl>
      <w:tblPr>
        <w:tblStyle w:val="26"/>
        <w:tblW w:w="8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contextualSpacing/>
              <w:jc w:val="center"/>
              <w:rPr>
                <w:rFonts w:ascii="仿宋" w:hAnsi="仿宋" w:eastAsia="仿宋"/>
                <w:bCs/>
              </w:rPr>
            </w:pPr>
            <w:r>
              <w:rPr>
                <w:rFonts w:hint="eastAsia" w:ascii="Times New Roman" w:hAnsi="Times New Roman" w:eastAsia="黑体"/>
                <w:sz w:val="28"/>
                <w:szCs w:val="28"/>
              </w:rPr>
              <w:t>专栏15</w:t>
            </w:r>
            <w:r>
              <w:rPr>
                <w:rFonts w:hint="eastAsia" w:ascii="黑体" w:hAnsi="黑体" w:eastAsia="黑体"/>
                <w:sz w:val="28"/>
                <w:szCs w:val="28"/>
              </w:rPr>
              <w:t>：南阳市现代服务业开放平台建设重点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5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ind w:firstLine="480" w:firstLineChars="200"/>
              <w:contextualSpacing/>
              <w:rPr>
                <w:rFonts w:ascii="仿宋_GB2312" w:hAnsi="楷体" w:cs="楷体"/>
                <w:kern w:val="0"/>
                <w:sz w:val="24"/>
                <w:szCs w:val="24"/>
              </w:rPr>
            </w:pPr>
            <w:r>
              <w:rPr>
                <w:rFonts w:hint="eastAsia" w:ascii="楷体" w:hAnsi="楷体" w:eastAsia="楷体"/>
                <w:bCs/>
                <w:kern w:val="0"/>
                <w:sz w:val="24"/>
                <w:szCs w:val="24"/>
              </w:rPr>
              <w:t>1.中国（南阳）跨境电子商务综合试验区。</w:t>
            </w:r>
            <w:r>
              <w:rPr>
                <w:rFonts w:hint="eastAsia" w:ascii="仿宋_GB2312" w:hAnsi="楷体" w:cs="楷体"/>
                <w:kern w:val="0"/>
                <w:sz w:val="24"/>
                <w:szCs w:val="24"/>
              </w:rPr>
              <w:t>高质量建设国家级跨境电子商务综合试验区和零售进口试点城市，完善跨境电子商务发展体制机制。培育跨境电商特色产业集群和产业园区，完善跨境电商产业链和生态圈，提升公共服务新能级。建成区域进出口商品分拨集散和消费中心。</w:t>
            </w:r>
          </w:p>
          <w:p>
            <w:pPr>
              <w:autoSpaceDE w:val="0"/>
              <w:autoSpaceDN w:val="0"/>
              <w:spacing w:line="400" w:lineRule="exact"/>
              <w:ind w:firstLine="480" w:firstLineChars="200"/>
              <w:contextualSpacing/>
              <w:rPr>
                <w:rFonts w:ascii="仿宋_GB2312" w:hAnsi="楷体" w:cs="楷体"/>
                <w:kern w:val="0"/>
                <w:sz w:val="24"/>
                <w:szCs w:val="24"/>
              </w:rPr>
            </w:pPr>
            <w:r>
              <w:rPr>
                <w:rFonts w:hint="eastAsia" w:ascii="楷体" w:hAnsi="楷体" w:eastAsia="楷体"/>
                <w:bCs/>
                <w:kern w:val="0"/>
                <w:sz w:val="24"/>
                <w:szCs w:val="24"/>
              </w:rPr>
              <w:t>2.南阳卧龙综合保税区。</w:t>
            </w:r>
            <w:r>
              <w:rPr>
                <w:rFonts w:hint="eastAsia" w:ascii="仿宋_GB2312" w:hAnsi="楷体" w:cs="楷体"/>
                <w:kern w:val="0"/>
                <w:sz w:val="24"/>
                <w:szCs w:val="24"/>
              </w:rPr>
              <w:t>加快推动南阳卧龙综合保税区提质提速发展，支持综保区开展贸易多元化试点，申建粮食、肉类等海关指定监管场地。积极拓展南阳机场国际航线，增加连通综合保税区与周边地区的公路、铁路运输线路和班次密度，进一步扩大物流运输能力，提高卧龙综合保税区辐射带动能力。</w:t>
            </w:r>
          </w:p>
          <w:p>
            <w:pPr>
              <w:autoSpaceDE w:val="0"/>
              <w:autoSpaceDN w:val="0"/>
              <w:spacing w:line="400" w:lineRule="exact"/>
              <w:ind w:firstLine="480" w:firstLineChars="200"/>
              <w:contextualSpacing/>
              <w:rPr>
                <w:rFonts w:ascii="仿宋" w:hAnsi="仿宋" w:eastAsia="仿宋"/>
              </w:rPr>
            </w:pPr>
            <w:r>
              <w:rPr>
                <w:rFonts w:hint="eastAsia" w:ascii="楷体" w:hAnsi="楷体" w:eastAsia="楷体"/>
                <w:bCs/>
                <w:kern w:val="0"/>
                <w:sz w:val="24"/>
                <w:szCs w:val="24"/>
              </w:rPr>
              <w:t>3.中国（河南）自由贸易试验区南阳开放创新联动片区。</w:t>
            </w:r>
            <w:r>
              <w:rPr>
                <w:rFonts w:hint="eastAsia" w:ascii="仿宋_GB2312" w:hAnsi="楷体" w:cs="楷体"/>
                <w:kern w:val="0"/>
                <w:sz w:val="24"/>
                <w:szCs w:val="24"/>
              </w:rPr>
              <w:t>依托卧龙综合保税区创建河南自贸区南阳开放创新联动区，加快编制《中国（河南）自由贸易试验区南阳开放创新联动区总体方案》，积极申建自贸区联动片区，复制推广改革经验，促进产业联动发展。</w:t>
            </w:r>
          </w:p>
        </w:tc>
      </w:tr>
    </w:tbl>
    <w:p>
      <w:pPr>
        <w:pStyle w:val="7"/>
        <w:keepLines w:val="0"/>
        <w:autoSpaceDE w:val="0"/>
        <w:autoSpaceDN w:val="0"/>
        <w:spacing w:line="560" w:lineRule="exact"/>
        <w:contextualSpacing/>
        <w:jc w:val="center"/>
        <w:rPr>
          <w:rFonts w:ascii="Times New Roman" w:hAnsi="Times New Roman" w:eastAsia="楷体_GB2312"/>
          <w:b w:val="0"/>
          <w:szCs w:val="32"/>
        </w:rPr>
      </w:pPr>
      <w:bookmarkStart w:id="1321" w:name="_Toc99015576"/>
      <w:bookmarkEnd w:id="1321"/>
      <w:r>
        <w:rPr>
          <w:rFonts w:hint="eastAsia" w:ascii="楷体_GB2312" w:hAnsi="Times New Roman" w:eastAsia="楷体_GB2312"/>
          <w:b w:val="0"/>
          <w:bCs/>
        </w:rPr>
        <w:t>第八节</w:t>
      </w:r>
      <w:r>
        <w:rPr>
          <w:rFonts w:hint="eastAsia" w:ascii="Times New Roman" w:hAnsi="Times New Roman" w:eastAsia="楷体_GB2312"/>
          <w:b w:val="0"/>
          <w:bCs/>
        </w:rPr>
        <w:t xml:space="preserve"> </w:t>
      </w:r>
      <w:r>
        <w:rPr>
          <w:rFonts w:hint="eastAsia" w:ascii="楷体_GB2312" w:hAnsi="Times New Roman" w:eastAsia="楷体_GB2312"/>
          <w:b w:val="0"/>
          <w:bCs/>
        </w:rPr>
        <w:t>实施试点示范创建工程</w:t>
      </w:r>
    </w:p>
    <w:p>
      <w:pPr>
        <w:autoSpaceDE w:val="0"/>
        <w:autoSpaceDN w:val="0"/>
        <w:spacing w:line="560" w:lineRule="exact"/>
        <w:ind w:firstLine="640" w:firstLineChars="200"/>
        <w:contextualSpacing/>
        <w:rPr>
          <w:rFonts w:ascii="Times New Roman" w:hAnsi="Times New Roman"/>
          <w:kern w:val="0"/>
        </w:rPr>
      </w:pPr>
      <w:r>
        <w:rPr>
          <w:rFonts w:hint="eastAsia" w:ascii="仿宋_GB2312" w:hAnsi="Times New Roman"/>
          <w:kern w:val="0"/>
        </w:rPr>
        <w:t>围绕服务业综合改革、扩大开放、标准化等领域，加快推动试点建设工作提速，有重点地推出一批配套改革试点，力争在全省范围内先行先试，为河南服务经济发展积累经验、提供示范。</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深化落实服务业改革试点。</w:t>
      </w:r>
      <w:r>
        <w:rPr>
          <w:rFonts w:hint="eastAsia" w:ascii="仿宋_GB2312" w:hAnsi="Times New Roman"/>
          <w:kern w:val="0"/>
        </w:rPr>
        <w:t>持续推动全国中医药服务贸易先行先试重点区域城市、国家康复辅具产业综合创新试点城市、河南省家政服务业提质扩容试点城市、河南省废旧家电回收处理体系建设试点单位等试点建设工作落地，持续推进文化和旅游消费示范县、夜间经济试点、服务业标准化试点等试点创建工作。加强省级试点战略对接，围绕服务业发展重点领域及细分行业，积极谋划实施一批有影响力的改革试点示范项目。</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着力培育高能级试点示范。</w:t>
      </w:r>
      <w:r>
        <w:rPr>
          <w:rFonts w:hint="eastAsia" w:ascii="仿宋_GB2312" w:hAnsi="Times New Roman"/>
          <w:kern w:val="0"/>
        </w:rPr>
        <w:t>充分发挥南阳生态环境优势，加快建立生态产品价值实现机制，探索推行</w:t>
      </w:r>
      <w:r>
        <w:rPr>
          <w:rFonts w:hint="eastAsia" w:ascii="Times New Roman" w:hAnsi="Times New Roman"/>
          <w:kern w:val="0"/>
        </w:rPr>
        <w:t>GDP</w:t>
      </w:r>
      <w:r>
        <w:rPr>
          <w:rFonts w:hint="eastAsia" w:ascii="仿宋_GB2312" w:hAnsi="Times New Roman"/>
          <w:kern w:val="0"/>
        </w:rPr>
        <w:t>、</w:t>
      </w:r>
      <w:r>
        <w:rPr>
          <w:rFonts w:hint="eastAsia" w:ascii="Times New Roman" w:hAnsi="Times New Roman"/>
          <w:kern w:val="0"/>
        </w:rPr>
        <w:t>GEP</w:t>
      </w:r>
      <w:r>
        <w:rPr>
          <w:rFonts w:hint="eastAsia" w:ascii="仿宋_GB2312" w:hAnsi="Times New Roman"/>
          <w:kern w:val="0"/>
        </w:rPr>
        <w:t>双核算、双评估、双考核，打通“绿水青山”“金山银山”的转化通道，争创国字号“两山”实践创新基地。积极开展国家中医药综合改革试验区、国家级全域旅游示范区、国家市场采购贸易、“</w:t>
      </w:r>
      <w:r>
        <w:rPr>
          <w:rFonts w:hint="eastAsia" w:ascii="Times New Roman" w:hAnsi="Times New Roman"/>
          <w:kern w:val="0"/>
        </w:rPr>
        <w:t>5G+</w:t>
      </w:r>
      <w:r>
        <w:rPr>
          <w:rFonts w:hint="eastAsia" w:ascii="仿宋_GB2312" w:hAnsi="Times New Roman"/>
          <w:kern w:val="0"/>
        </w:rPr>
        <w:t>工业互联网”融合发展等试点示范创建，积极申报跨境电商进口药品和医疗器械试点、全国跨境电商企业对企业出口监管试点。</w:t>
      </w:r>
    </w:p>
    <w:p>
      <w:pPr>
        <w:pStyle w:val="6"/>
        <w:keepLines w:val="0"/>
        <w:autoSpaceDE w:val="0"/>
        <w:autoSpaceDN w:val="0"/>
        <w:spacing w:line="560" w:lineRule="exact"/>
        <w:ind w:firstLine="0" w:firstLineChars="0"/>
        <w:contextualSpacing/>
        <w:jc w:val="center"/>
        <w:rPr>
          <w:rFonts w:ascii="Times New Roman" w:hAnsi="Times New Roman"/>
          <w:kern w:val="0"/>
          <w:szCs w:val="32"/>
        </w:rPr>
      </w:pPr>
      <w:bookmarkStart w:id="1322" w:name="_Toc11347"/>
      <w:bookmarkEnd w:id="1322"/>
      <w:bookmarkStart w:id="1323" w:name="_Toc99015577"/>
      <w:r>
        <w:rPr>
          <w:rFonts w:hint="eastAsia" w:ascii="黑体" w:hAnsi="黑体"/>
          <w:bCs/>
          <w:kern w:val="0"/>
          <w:szCs w:val="32"/>
        </w:rPr>
        <w:t>第五章</w:t>
      </w:r>
      <w:r>
        <w:rPr>
          <w:rFonts w:hint="eastAsia" w:ascii="Times New Roman" w:hAnsi="Times New Roman"/>
          <w:bCs/>
          <w:kern w:val="0"/>
          <w:szCs w:val="32"/>
        </w:rPr>
        <w:t xml:space="preserve"> </w:t>
      </w:r>
      <w:r>
        <w:rPr>
          <w:rFonts w:hint="eastAsia" w:ascii="黑体" w:hAnsi="黑体"/>
          <w:bCs/>
          <w:kern w:val="0"/>
          <w:szCs w:val="32"/>
        </w:rPr>
        <w:t>强化保障</w:t>
      </w:r>
      <w:bookmarkEnd w:id="1323"/>
      <w:r>
        <w:rPr>
          <w:rFonts w:hint="eastAsia" w:ascii="黑体" w:hAnsi="黑体"/>
          <w:bCs/>
          <w:kern w:val="0"/>
          <w:szCs w:val="32"/>
        </w:rPr>
        <w:t>措施，实现服务业发展新突破</w:t>
      </w:r>
    </w:p>
    <w:p>
      <w:pPr>
        <w:pStyle w:val="7"/>
        <w:keepLines w:val="0"/>
        <w:autoSpaceDE w:val="0"/>
        <w:autoSpaceDN w:val="0"/>
        <w:spacing w:line="560" w:lineRule="exact"/>
        <w:contextualSpacing/>
        <w:jc w:val="center"/>
        <w:rPr>
          <w:rFonts w:ascii="Times New Roman" w:hAnsi="Times New Roman" w:eastAsia="楷体_GB2312"/>
          <w:b w:val="0"/>
          <w:bCs/>
          <w:szCs w:val="32"/>
        </w:rPr>
      </w:pPr>
      <w:bookmarkStart w:id="1324" w:name="_Toc99015578"/>
      <w:bookmarkEnd w:id="1324"/>
      <w:r>
        <w:rPr>
          <w:rFonts w:hint="eastAsia" w:ascii="楷体_GB2312" w:hAnsi="Times New Roman" w:eastAsia="楷体_GB2312"/>
          <w:b w:val="0"/>
          <w:bCs/>
        </w:rPr>
        <w:t>第一节</w:t>
      </w:r>
      <w:r>
        <w:rPr>
          <w:rFonts w:hint="eastAsia" w:ascii="Times New Roman" w:hAnsi="Times New Roman" w:eastAsia="楷体_GB2312"/>
          <w:b w:val="0"/>
          <w:bCs/>
        </w:rPr>
        <w:t xml:space="preserve"> </w:t>
      </w:r>
      <w:r>
        <w:rPr>
          <w:rFonts w:hint="eastAsia" w:ascii="楷体_GB2312" w:hAnsi="Times New Roman" w:eastAsia="楷体_GB2312"/>
          <w:b w:val="0"/>
          <w:bCs/>
        </w:rPr>
        <w:t>强化组织协调保障</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加强组织领导。</w:t>
      </w:r>
      <w:r>
        <w:rPr>
          <w:rFonts w:hint="eastAsia" w:ascii="仿宋_GB2312" w:hAnsi="Times New Roman"/>
          <w:kern w:val="0"/>
        </w:rPr>
        <w:t>充分发挥市服务业发展工作领导小组指导协调、统筹规划作用，及时研究解决服务业发展重大问题，制定服务业发展相关政策。领导小组办公室牵头推进规划目标任务的落实，协调解决服务业发展中遇到的重大问题，决定服务业发展重大事项。市直服务业相关主管部门和各县（市、区）建立相应的协调推进机制，加强对本领域、本地区服务业发展情况调度分析，落实配套政策和措施，推进服务业健康良性发展。</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做好实施监测评估。</w:t>
      </w:r>
      <w:r>
        <w:rPr>
          <w:rFonts w:hint="eastAsia" w:ascii="仿宋_GB2312" w:hAnsi="Times New Roman"/>
          <w:kern w:val="0"/>
        </w:rPr>
        <w:t>按照规划提出的发展目标、重点任务，明确年度工作目标、推进措施和责任部门。实行项目全生命周期服务管理，完善</w:t>
      </w:r>
      <w:r>
        <w:rPr>
          <w:rFonts w:hint="eastAsia" w:ascii="Times New Roman" w:hAnsi="Times New Roman"/>
          <w:kern w:val="0"/>
        </w:rPr>
        <w:t>“五快一提”工作机制，推动项目尽快落地实施。开展年度跟踪监测工作，跟踪规划执行情况。组织开展规划中期评估工作，并视评估情况，进行动态修订调整。</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提升行业组织作用。</w:t>
      </w:r>
      <w:r>
        <w:rPr>
          <w:rFonts w:hint="eastAsia" w:ascii="仿宋_GB2312" w:hAnsi="Times New Roman"/>
          <w:kern w:val="0"/>
        </w:rPr>
        <w:t>推进服务业领域的行业协会、商会等社会组织改革，完善管理体制机制，健全协会、商会组织能力，提高专业化水平。加大政府对行业组织的培育扶持力度，鼓励发展区域性行业组织和新兴服务业行业组织。依托细分行业联合会进一步提升功能作用，制定并执行行规行约和各类标准，协调服务业企业之间的经营行为，对服务业产品和服务质量、竞争手段、经营作风进行严格监督。</w:t>
      </w:r>
    </w:p>
    <w:p>
      <w:pPr>
        <w:pStyle w:val="7"/>
        <w:keepLines w:val="0"/>
        <w:autoSpaceDE w:val="0"/>
        <w:autoSpaceDN w:val="0"/>
        <w:spacing w:line="560" w:lineRule="exact"/>
        <w:contextualSpacing/>
        <w:jc w:val="center"/>
        <w:rPr>
          <w:rFonts w:ascii="Times New Roman" w:hAnsi="Times New Roman" w:eastAsia="楷体_GB2312"/>
          <w:b w:val="0"/>
          <w:szCs w:val="32"/>
        </w:rPr>
      </w:pPr>
      <w:bookmarkStart w:id="1325" w:name="_Toc99015579"/>
      <w:bookmarkEnd w:id="1325"/>
      <w:r>
        <w:rPr>
          <w:rFonts w:hint="eastAsia" w:ascii="楷体_GB2312" w:hAnsi="Times New Roman" w:eastAsia="楷体_GB2312"/>
          <w:b w:val="0"/>
          <w:bCs/>
        </w:rPr>
        <w:t>第二节</w:t>
      </w:r>
      <w:r>
        <w:rPr>
          <w:rFonts w:hint="eastAsia" w:ascii="Times New Roman" w:hAnsi="Times New Roman" w:eastAsia="楷体_GB2312"/>
          <w:b w:val="0"/>
          <w:bCs/>
        </w:rPr>
        <w:t xml:space="preserve"> </w:t>
      </w:r>
      <w:r>
        <w:rPr>
          <w:rFonts w:hint="eastAsia" w:ascii="楷体_GB2312" w:hAnsi="Times New Roman" w:eastAsia="楷体_GB2312"/>
          <w:b w:val="0"/>
          <w:bCs/>
        </w:rPr>
        <w:t>加大要素资源供给</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加强金融服务支撑。</w:t>
      </w:r>
      <w:r>
        <w:rPr>
          <w:rFonts w:hint="eastAsia" w:ascii="仿宋_GB2312" w:hAnsi="Times New Roman"/>
          <w:kern w:val="0"/>
        </w:rPr>
        <w:t>健全适应服务业发展的金融服务体系，加快开发满足服务业企业需求的产品和服务。鼓励和支持银行业金融机构建立符合服务业特点的内外部信用评级体系，推进开展应收账款融资业务，探索仓储设施抵押、</w:t>
      </w:r>
      <w:r>
        <w:fldChar w:fldCharType="begin"/>
      </w:r>
      <w:r>
        <w:instrText xml:space="preserve"> HYPERLINK "http://www.110.com/ask/browse-c24.html" </w:instrText>
      </w:r>
      <w:r>
        <w:fldChar w:fldCharType="separate"/>
      </w:r>
      <w:r>
        <w:rPr>
          <w:rStyle w:val="36"/>
          <w:rFonts w:hint="eastAsia" w:ascii="仿宋_GB2312" w:hAnsi="Times New Roman"/>
          <w:color w:val="auto"/>
          <w:kern w:val="0"/>
          <w:u w:val="none"/>
        </w:rPr>
        <w:t>知识产权</w:t>
      </w:r>
      <w:r>
        <w:rPr>
          <w:rStyle w:val="36"/>
          <w:rFonts w:hint="eastAsia" w:ascii="仿宋_GB2312" w:hAnsi="Times New Roman"/>
          <w:color w:val="auto"/>
          <w:kern w:val="0"/>
          <w:u w:val="none"/>
        </w:rPr>
        <w:fldChar w:fldCharType="end"/>
      </w:r>
      <w:r>
        <w:rPr>
          <w:rFonts w:hint="eastAsia" w:ascii="仿宋_GB2312" w:hAnsi="Times New Roman"/>
          <w:kern w:val="0"/>
        </w:rPr>
        <w:t>质押等多种形式的担保方式，推广联贷联保新模式。大力推广</w:t>
      </w:r>
      <w:r>
        <w:rPr>
          <w:rFonts w:hint="eastAsia" w:ascii="Times New Roman" w:hAnsi="Times New Roman"/>
          <w:kern w:val="0"/>
        </w:rPr>
        <w:t>“信易贷”，支持信用融资发展，推动“信易租”“信易行”等创新应用。鼓励引导各类社会资本以股份制、合伙制、个体私营等形式进入服务业领域，尽快形成多渠道、多元化的服务业投入机制。</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强化产业用地保障。</w:t>
      </w:r>
      <w:r>
        <w:rPr>
          <w:rFonts w:hint="eastAsia" w:ascii="仿宋_GB2312" w:hAnsi="Times New Roman"/>
          <w:kern w:val="0"/>
        </w:rPr>
        <w:t>做好规划衔接，优化服务业用地供给结构。推进实施城乡一体化示范区、高新区、鸭河工区、官庄工区和卧龙综合保税区实行用地规划行政审批</w:t>
      </w:r>
      <w:r>
        <w:rPr>
          <w:rFonts w:hint="eastAsia" w:ascii="Times New Roman" w:hAnsi="Times New Roman"/>
          <w:kern w:val="0"/>
        </w:rPr>
        <w:t>“2</w:t>
      </w:r>
      <w:r>
        <w:rPr>
          <w:rFonts w:hint="eastAsia" w:ascii="仿宋_GB2312" w:hAnsi="Times New Roman"/>
          <w:kern w:val="0"/>
        </w:rPr>
        <w:t>号章</w:t>
      </w:r>
      <w:r>
        <w:rPr>
          <w:rFonts w:hint="eastAsia" w:ascii="Times New Roman" w:hAnsi="Times New Roman"/>
          <w:kern w:val="0"/>
        </w:rPr>
        <w:t>”制度</w:t>
      </w:r>
      <w:r>
        <w:rPr>
          <w:rFonts w:hint="eastAsia" w:ascii="仿宋_GB2312" w:hAnsi="Times New Roman"/>
          <w:kern w:val="0"/>
        </w:rPr>
        <w:t>，鼓励各县（市、区）创新存量土地和低效用地盘活利用机制，健全不同产业用地类型合理转换机制，重点保障物流、养老、托育等具有社会功能的服务业用地供给。鼓励用地单位在不改变用地主体、不重新开发建设等前提下，充分利用工业厂房、仓储用房等存量房产，通过</w:t>
      </w:r>
      <w:r>
        <w:rPr>
          <w:rFonts w:hint="eastAsia" w:ascii="Times New Roman" w:hAnsi="Times New Roman"/>
          <w:kern w:val="0"/>
        </w:rPr>
        <w:t>“腾笼换鸟”、盘活存量建设用地等方式，兴办文化创意、众创空间等新业态。</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落实财政税收政策。</w:t>
      </w:r>
      <w:r>
        <w:rPr>
          <w:rFonts w:hint="eastAsia" w:ascii="仿宋_GB2312" w:hAnsi="Times New Roman"/>
          <w:kern w:val="0"/>
        </w:rPr>
        <w:t>积极争取国家、省各类政策资金支持，加大对现代物流、科技服务、信息服务、检验检测等生产性服务业和融合类、新业态新模式领域的项目支持力度。持续加大对中小微企业支持力度，对发展潜力大、发展前景好的中小服务企业、双创孵化载体等重点项目，优先纳入税收政策优惠范围，对服务业各行业、各领域的优秀企业给予一定的税收优惠，充分发挥示范带动效应。</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构建人才培养体系。</w:t>
      </w:r>
      <w:r>
        <w:rPr>
          <w:rFonts w:hint="eastAsia" w:ascii="仿宋_GB2312" w:hAnsi="Times New Roman"/>
          <w:kern w:val="0"/>
        </w:rPr>
        <w:t>继续高标准推进</w:t>
      </w:r>
      <w:r>
        <w:rPr>
          <w:rFonts w:hint="eastAsia" w:ascii="Times New Roman" w:hAnsi="Times New Roman"/>
          <w:kern w:val="0"/>
        </w:rPr>
        <w:t>“诸葛英才计划”，大力实施引才行动、育才工程，做好创新人才引进工作。按照“人才+</w:t>
      </w:r>
      <w:r>
        <w:rPr>
          <w:rFonts w:hint="eastAsia" w:ascii="仿宋_GB2312" w:hAnsi="Times New Roman"/>
          <w:kern w:val="0"/>
        </w:rPr>
        <w:t>产业</w:t>
      </w:r>
      <w:r>
        <w:rPr>
          <w:rFonts w:hint="eastAsia" w:ascii="Times New Roman" w:hAnsi="Times New Roman"/>
          <w:kern w:val="0"/>
        </w:rPr>
        <w:t>+</w:t>
      </w:r>
      <w:r>
        <w:rPr>
          <w:rFonts w:hint="eastAsia" w:ascii="仿宋_GB2312" w:hAnsi="Times New Roman"/>
          <w:kern w:val="0"/>
        </w:rPr>
        <w:t>创新”的模式，重点引进培育产业领军人才（团队）、科技创新人才、复合型人才、应用型人才、产业急需紧缺的优秀青年人才，加速人才链、产业链、创新链有机衔接和良性互动。完善以知识资本化为核心的人才激励机制，改进社会保险异地转移服务和灵活就业人员社保参保服务，进一步畅通非公经济组织人员和自由职业者职称申报渠道。推进落实农村转移就业劳动力、下岗失业人员和转岗职工、残疾人等重点群体培训补贴政策。做好从业人员职业技能、工作年限与技能人才支持政策和积分落户政策的衔接。</w:t>
      </w:r>
    </w:p>
    <w:p>
      <w:pPr>
        <w:pStyle w:val="7"/>
        <w:keepLines w:val="0"/>
        <w:autoSpaceDE w:val="0"/>
        <w:autoSpaceDN w:val="0"/>
        <w:spacing w:line="560" w:lineRule="exact"/>
        <w:contextualSpacing/>
        <w:jc w:val="center"/>
        <w:rPr>
          <w:rFonts w:ascii="Times New Roman" w:hAnsi="Times New Roman" w:eastAsia="楷体_GB2312"/>
          <w:b w:val="0"/>
          <w:szCs w:val="32"/>
        </w:rPr>
      </w:pPr>
      <w:bookmarkStart w:id="1326" w:name="_Toc99015580"/>
      <w:bookmarkEnd w:id="1326"/>
      <w:r>
        <w:rPr>
          <w:rFonts w:hint="eastAsia" w:ascii="楷体_GB2312" w:hAnsi="Times New Roman" w:eastAsia="楷体_GB2312"/>
          <w:b w:val="0"/>
          <w:bCs/>
        </w:rPr>
        <w:t>第三节</w:t>
      </w:r>
      <w:r>
        <w:rPr>
          <w:rFonts w:hint="eastAsia" w:ascii="Times New Roman" w:hAnsi="Times New Roman" w:eastAsia="楷体_GB2312"/>
          <w:b w:val="0"/>
          <w:bCs/>
        </w:rPr>
        <w:t xml:space="preserve"> </w:t>
      </w:r>
      <w:r>
        <w:rPr>
          <w:rFonts w:hint="eastAsia" w:ascii="楷体_GB2312" w:hAnsi="Times New Roman" w:eastAsia="楷体_GB2312"/>
          <w:b w:val="0"/>
          <w:bCs/>
        </w:rPr>
        <w:t>营造良好发展环境</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深化重点领域改革。</w:t>
      </w:r>
      <w:r>
        <w:rPr>
          <w:rFonts w:hint="eastAsia" w:ascii="仿宋_GB2312" w:hAnsi="Times New Roman"/>
          <w:kern w:val="0"/>
        </w:rPr>
        <w:t>继续深化</w:t>
      </w:r>
      <w:r>
        <w:rPr>
          <w:rFonts w:hint="eastAsia" w:ascii="Times New Roman" w:hAnsi="Times New Roman"/>
          <w:kern w:val="0"/>
        </w:rPr>
        <w:t>“放管服效”改革，全面实施市场准入负面清单制度，加快取消充分竞争性服务业领域准入限制。深化提升“互联网+</w:t>
      </w:r>
      <w:r>
        <w:rPr>
          <w:rFonts w:hint="eastAsia" w:ascii="仿宋_GB2312" w:hAnsi="Times New Roman"/>
          <w:kern w:val="0"/>
        </w:rPr>
        <w:t>政务服务”，全面推广“宛快办”</w:t>
      </w:r>
      <w:r>
        <w:rPr>
          <w:rFonts w:hint="eastAsia" w:ascii="Times New Roman" w:hAnsi="Times New Roman"/>
          <w:kern w:val="0"/>
        </w:rPr>
        <w:t>APP</w:t>
      </w:r>
      <w:r>
        <w:rPr>
          <w:rFonts w:hint="eastAsia" w:ascii="仿宋_GB2312" w:hAnsi="Times New Roman"/>
          <w:kern w:val="0"/>
        </w:rPr>
        <w:t>，推动跨部门跨地区跨层级政务信息共享、互联互通和业务协同，大力推进网上移动办事和移动办公。完善政府服务业采购机制，培育壮大养老、医疗、信息等行业消费市场。探索建立企业家参与涉企政策制定，畅通政企双向沟通渠道，构建亲清政商关系。</w:t>
      </w:r>
    </w:p>
    <w:p>
      <w:pPr>
        <w:pStyle w:val="23"/>
        <w:spacing w:line="560" w:lineRule="exact"/>
        <w:ind w:right="150" w:firstLine="640" w:firstLineChars="200"/>
        <w:contextualSpacing/>
        <w:rPr>
          <w:rFonts w:ascii="Times New Roman" w:hAnsi="Times New Roman" w:eastAsia="仿宋_GB2312"/>
          <w:sz w:val="32"/>
          <w:szCs w:val="32"/>
        </w:rPr>
      </w:pPr>
      <w:r>
        <w:rPr>
          <w:rFonts w:hint="eastAsia" w:ascii="仿宋_GB2312" w:eastAsia="仿宋_GB2312"/>
          <w:bCs/>
          <w:sz w:val="32"/>
          <w:szCs w:val="32"/>
        </w:rPr>
        <w:t>营造公平竞争环境。</w:t>
      </w:r>
      <w:r>
        <w:rPr>
          <w:rFonts w:hint="eastAsia" w:ascii="仿宋_GB2312" w:hAnsi="Times New Roman" w:eastAsia="仿宋_GB2312"/>
          <w:sz w:val="32"/>
          <w:szCs w:val="32"/>
        </w:rPr>
        <w:t>落实国家、省优化营商环境条例，推动《南阳市优化营商环境条例》出台，建立健全营商环境地方法规体系，严肃查处破坏营商环境行为。实施南阳市全国一流营商环境提升行动，对行业准入、资质标准、政府采购等方面的歧视性规定进行清理，营造对内外资一视同仁的市场环境。强化竞争政策实施，健全公平竞争审查规则和工作机制。严格规范涉企行政执法行为，依法平等保护各类市场主体和企业家合法权益。对电子商务、服务贸易、展会等服务产业，加强知识产权执法保护，严格执行知识产权侵权惩罚性赔偿制度。</w:t>
      </w:r>
    </w:p>
    <w:p>
      <w:pPr>
        <w:autoSpaceDE w:val="0"/>
        <w:autoSpaceDN w:val="0"/>
        <w:spacing w:line="560" w:lineRule="exact"/>
        <w:ind w:firstLine="640" w:firstLineChars="200"/>
        <w:contextualSpacing/>
        <w:rPr>
          <w:rFonts w:ascii="Times New Roman" w:hAnsi="Times New Roman"/>
          <w:kern w:val="0"/>
        </w:rPr>
      </w:pPr>
      <w:r>
        <w:rPr>
          <w:rFonts w:hint="eastAsia" w:ascii="仿宋_GB2312"/>
          <w:bCs/>
          <w:kern w:val="0"/>
        </w:rPr>
        <w:t>健全行业监管体系。</w:t>
      </w:r>
      <w:r>
        <w:rPr>
          <w:rFonts w:hint="eastAsia" w:ascii="仿宋_GB2312" w:hAnsi="Times New Roman"/>
          <w:kern w:val="0"/>
        </w:rPr>
        <w:t>加快部分政府职能向行业组织转移，完善服务质量监督检查制度，促进服务业行业组织规范运营。建立服务业动态监管机制，强化服务行业事中事后监管，逐步建立以政府监管为主，企业、消费者、社会组织等多元主体共同参与治理的格局。大力推进服务业领域信用体系建设，探索第三方机构主导的企业专业信用评价，建立健全企业守信激励和失信联合惩戒机制，构建以信用为基础的新型监管机制。加快推动</w:t>
      </w:r>
      <w:r>
        <w:rPr>
          <w:rFonts w:hint="eastAsia" w:ascii="Times New Roman" w:hAnsi="Times New Roman"/>
          <w:kern w:val="0"/>
        </w:rPr>
        <w:t>“互联网+</w:t>
      </w:r>
      <w:r>
        <w:rPr>
          <w:rFonts w:hint="eastAsia" w:ascii="仿宋_GB2312" w:hAnsi="Times New Roman"/>
          <w:kern w:val="0"/>
        </w:rPr>
        <w:t>监管”在服务业领域的应用，对新业态新模式实行审慎监管和包容式监管。</w:t>
      </w:r>
    </w:p>
    <w:p>
      <w:pPr>
        <w:widowControl/>
        <w:jc w:val="left"/>
        <w:rPr>
          <w:rFonts w:eastAsia="方正小标宋简体" w:cs="方正小标宋简体"/>
          <w:w w:val="90"/>
          <w:sz w:val="54"/>
          <w:szCs w:val="54"/>
        </w:rPr>
      </w:pPr>
    </w:p>
    <w:p>
      <w:pPr>
        <w:widowControl/>
        <w:jc w:val="left"/>
        <w:rPr>
          <w:rFonts w:eastAsia="方正小标宋简体" w:cs="方正小标宋简体"/>
          <w:w w:val="90"/>
          <w:sz w:val="54"/>
          <w:szCs w:val="54"/>
        </w:rPr>
      </w:pPr>
      <w:r>
        <w:rPr>
          <w:rFonts w:eastAsia="方正小标宋简体" w:cs="方正小标宋简体"/>
          <w:w w:val="90"/>
          <w:sz w:val="54"/>
          <w:szCs w:val="54"/>
        </w:rPr>
        <w:br w:type="page"/>
      </w:r>
    </w:p>
    <w:p>
      <w:pPr>
        <w:spacing w:line="560" w:lineRule="exact"/>
        <w:contextualSpacing/>
        <w:jc w:val="center"/>
        <w:rPr>
          <w:rFonts w:eastAsia="方正小标宋简体" w:cs="方正小标宋简体"/>
          <w:w w:val="90"/>
          <w:sz w:val="54"/>
          <w:szCs w:val="54"/>
        </w:rPr>
      </w:pPr>
      <w:r>
        <w:rPr>
          <w:rFonts w:hint="eastAsia" w:eastAsia="方正小标宋简体" w:cs="方正小标宋简体"/>
          <w:w w:val="90"/>
          <w:sz w:val="44"/>
          <w:szCs w:val="44"/>
        </w:rPr>
        <w:t>南阳市“十四五”现代流通体系发展规划</w:t>
      </w:r>
    </w:p>
    <w:p>
      <w:pPr>
        <w:pStyle w:val="6"/>
        <w:keepNext w:val="0"/>
        <w:keepLines w:val="0"/>
        <w:autoSpaceDE w:val="0"/>
        <w:autoSpaceDN w:val="0"/>
        <w:adjustRightInd w:val="0"/>
        <w:snapToGrid w:val="0"/>
        <w:spacing w:line="560" w:lineRule="exact"/>
        <w:ind w:firstLine="640"/>
        <w:contextualSpacing/>
      </w:pPr>
    </w:p>
    <w:p>
      <w:pPr>
        <w:overflowPunct w:val="0"/>
        <w:spacing w:line="560" w:lineRule="exact"/>
        <w:ind w:firstLine="640" w:firstLineChars="200"/>
        <w:contextualSpacing/>
        <w:rPr>
          <w:rFonts w:ascii="仿宋_GB2312" w:hAnsi="仿宋_GB2312" w:cs="仿宋_GB2312"/>
        </w:rPr>
      </w:pPr>
      <w:r>
        <w:rPr>
          <w:rFonts w:hint="eastAsia" w:ascii="仿宋_GB2312" w:hAnsi="仿宋_GB2312" w:cs="仿宋_GB2312"/>
        </w:rPr>
        <w:t>流通是实现国民经济循环畅通的关键环节，统筹推进现代流通体系建设，能够在更大范围内促进产销衔接和供需匹配，对服务构建双循环新发展格局具有重要意义。当前，我市正处于全力打造河南省副中心城市、全面建设社会主义现代化南阳的关键时期，继续推动高质量发展，需要更好发挥现代流通的基础性、先导性、战略性作用。为深入贯彻落实中央和省委省政府关于现代流通体系建设的决策部署，全面推动南阳市现代流通体系高水平建设、高质量发展，根据《河南省“十四五”现代流通体系发展规划》和《南阳市国民经济和社会发展第十四个五年规划和二〇三五年远景目标纲要》，制定本规划。</w:t>
      </w:r>
    </w:p>
    <w:p>
      <w:pPr>
        <w:pStyle w:val="5"/>
        <w:spacing w:line="560" w:lineRule="exact"/>
        <w:contextualSpacing/>
      </w:pPr>
    </w:p>
    <w:p>
      <w:pPr>
        <w:spacing w:line="560" w:lineRule="exact"/>
        <w:contextualSpacing/>
        <w:jc w:val="center"/>
        <w:outlineLvl w:val="0"/>
        <w:rPr>
          <w:rFonts w:ascii="黑体" w:hAnsi="黑体" w:eastAsia="黑体" w:cs="黑体"/>
        </w:rPr>
      </w:pPr>
      <w:bookmarkStart w:id="1327" w:name="_Toc1070839930"/>
      <w:r>
        <w:rPr>
          <w:rFonts w:hint="eastAsia" w:ascii="黑体" w:hAnsi="黑体" w:eastAsia="黑体" w:cs="黑体"/>
        </w:rPr>
        <w:t>第一章 发展环境</w:t>
      </w:r>
      <w:bookmarkEnd w:id="1327"/>
    </w:p>
    <w:p>
      <w:pPr>
        <w:spacing w:line="560" w:lineRule="exact"/>
        <w:ind w:firstLine="640" w:firstLineChars="200"/>
        <w:contextualSpacing/>
        <w:rPr>
          <w:rFonts w:ascii="仿宋_GB2312" w:hAnsi="仿宋_GB2312" w:cs="仿宋_GB2312"/>
        </w:rPr>
      </w:pPr>
      <w:r>
        <w:rPr>
          <w:rFonts w:hint="eastAsia" w:ascii="仿宋_GB2312" w:hAnsi="仿宋"/>
        </w:rPr>
        <w:t>“十四五”时期，是开启全面建设社会主义现代化南阳新征程的第一个五年，是</w:t>
      </w:r>
      <w:r>
        <w:rPr>
          <w:rFonts w:hint="eastAsia" w:ascii="仿宋_GB2312" w:hAnsi="仿宋_GB2312" w:cs="仿宋_GB2312"/>
        </w:rPr>
        <w:t>我市全力</w:t>
      </w:r>
      <w:r>
        <w:rPr>
          <w:rFonts w:hint="eastAsia" w:ascii="仿宋_GB2312" w:hAnsi="仿宋"/>
        </w:rPr>
        <w:t>建设河南省副中心城市的关键五年。立足新发展阶段、贯彻新发展理念、融入新发展格局，</w:t>
      </w:r>
      <w:r>
        <w:rPr>
          <w:rFonts w:hint="eastAsia" w:ascii="仿宋_GB2312" w:hAnsi="仿宋_GB2312" w:cs="仿宋_GB2312"/>
        </w:rPr>
        <w:t>我市现代流通体系发展基础更加坚实，进一步发展也面临新的内外部环境。</w:t>
      </w:r>
    </w:p>
    <w:p>
      <w:pPr>
        <w:spacing w:line="560" w:lineRule="exact"/>
        <w:contextualSpacing/>
        <w:jc w:val="center"/>
        <w:outlineLvl w:val="1"/>
        <w:rPr>
          <w:rFonts w:ascii="楷体_GB2312" w:hAnsi="楷体_GB2312" w:eastAsia="楷体_GB2312" w:cs="楷体_GB2312"/>
        </w:rPr>
      </w:pPr>
      <w:bookmarkStart w:id="1328" w:name="_Toc433901682"/>
      <w:r>
        <w:rPr>
          <w:rFonts w:hint="eastAsia" w:ascii="楷体_GB2312" w:hAnsi="楷体_GB2312" w:eastAsia="楷体_GB2312" w:cs="楷体_GB2312"/>
        </w:rPr>
        <w:t>第一节 发展基础</w:t>
      </w:r>
      <w:bookmarkEnd w:id="1328"/>
    </w:p>
    <w:p>
      <w:pPr>
        <w:spacing w:line="560" w:lineRule="exact"/>
        <w:ind w:firstLine="640" w:firstLineChars="200"/>
        <w:contextualSpacing/>
      </w:pPr>
      <w:r>
        <w:rPr>
          <w:rFonts w:hint="eastAsia" w:ascii="仿宋_GB2312" w:hAnsi="仿宋_GB2312" w:cs="仿宋_GB2312"/>
          <w:kern w:val="0"/>
        </w:rPr>
        <w:t>“十三五”时期，市委、市政府坚持以习近平新时代中国特色社会主义思想为指导，认真贯彻党中央、国务院和省委、省政府各项决策部署，打基础谋长远、补短板强弱项、聚重点促转型，</w:t>
      </w:r>
      <w:r>
        <w:rPr>
          <w:rFonts w:hint="eastAsia" w:ascii="仿宋_GB2312" w:hAnsi="仿宋_GB2312" w:cs="仿宋_GB2312"/>
        </w:rPr>
        <w:t>全市流通产业规模不断扩大，各类流通主体竞相发展，流通设施网络逐步健全，发展载体平台能级持续提升，发展环境不断优化，为加快现代流通体系建设奠定了基础。</w:t>
      </w:r>
    </w:p>
    <w:p>
      <w:pPr>
        <w:overflowPunct w:val="0"/>
        <w:spacing w:line="560" w:lineRule="exact"/>
        <w:ind w:firstLine="640" w:firstLineChars="200"/>
        <w:contextualSpacing/>
        <w:rPr>
          <w:rFonts w:ascii="Times New Roman" w:hAnsi="Times New Roman"/>
          <w:kern w:val="0"/>
        </w:rPr>
      </w:pPr>
      <w:r>
        <w:rPr>
          <w:rFonts w:hint="eastAsia" w:ascii="仿宋_GB2312" w:hAnsi="仿宋_GB2312" w:cs="仿宋_GB2312"/>
          <w:bCs/>
          <w:kern w:val="0"/>
          <w:lang w:bidi="ar"/>
        </w:rPr>
        <w:t>商贸流通蓬勃发展。</w:t>
      </w:r>
      <w:r>
        <w:rPr>
          <w:rFonts w:hint="eastAsia" w:ascii="仿宋_GB2312" w:hAnsi="仿宋_GB2312" w:cs="仿宋_GB2312"/>
          <w:kern w:val="0"/>
        </w:rPr>
        <w:t>全市流通业总体规模扩大，发展速度提升。截止“十三五”末</w:t>
      </w:r>
      <w:r>
        <w:rPr>
          <w:rFonts w:ascii="Times New Roman" w:hAnsi="Times New Roman"/>
          <w:kern w:val="0"/>
        </w:rPr>
        <w:t>，全市电商交易额实现</w:t>
      </w:r>
      <w:r>
        <w:rPr>
          <w:rFonts w:hint="eastAsia" w:ascii="Times New Roman" w:hAnsi="Times New Roman"/>
          <w:kern w:val="0"/>
        </w:rPr>
        <w:t>2336</w:t>
      </w:r>
      <w:r>
        <w:rPr>
          <w:rFonts w:ascii="Times New Roman" w:hAnsi="Times New Roman"/>
          <w:kern w:val="0"/>
        </w:rPr>
        <w:t>.</w:t>
      </w:r>
      <w:r>
        <w:rPr>
          <w:rFonts w:hint="eastAsia" w:ascii="Times New Roman" w:hAnsi="Times New Roman"/>
          <w:kern w:val="0"/>
        </w:rPr>
        <w:t>9</w:t>
      </w:r>
      <w:r>
        <w:rPr>
          <w:rFonts w:ascii="Times New Roman" w:hAnsi="Times New Roman"/>
          <w:kern w:val="0"/>
        </w:rPr>
        <w:t>亿元，</w:t>
      </w:r>
      <w:r>
        <w:rPr>
          <w:rFonts w:hint="eastAsia" w:ascii="Times New Roman" w:hAnsi="Times New Roman"/>
          <w:kern w:val="0"/>
        </w:rPr>
        <w:t>同比</w:t>
      </w:r>
      <w:r>
        <w:rPr>
          <w:rFonts w:ascii="Times New Roman" w:hAnsi="Times New Roman"/>
          <w:kern w:val="0"/>
        </w:rPr>
        <w:t>增长</w:t>
      </w:r>
      <w:r>
        <w:rPr>
          <w:rFonts w:hint="eastAsia" w:ascii="Times New Roman" w:hAnsi="Times New Roman"/>
          <w:kern w:val="0"/>
        </w:rPr>
        <w:t>16</w:t>
      </w:r>
      <w:r>
        <w:rPr>
          <w:rFonts w:ascii="Times New Roman" w:hAnsi="Times New Roman"/>
          <w:kern w:val="0"/>
        </w:rPr>
        <w:t>.</w:t>
      </w:r>
      <w:r>
        <w:rPr>
          <w:rFonts w:hint="eastAsia" w:ascii="Times New Roman" w:hAnsi="Times New Roman"/>
          <w:kern w:val="0"/>
        </w:rPr>
        <w:t>2</w:t>
      </w:r>
      <w:r>
        <w:rPr>
          <w:rFonts w:ascii="Times New Roman" w:hAnsi="Times New Roman"/>
          <w:kern w:val="0"/>
        </w:rPr>
        <w:t>%</w:t>
      </w:r>
      <w:r>
        <w:rPr>
          <w:rFonts w:hint="eastAsia" w:ascii="Times New Roman" w:hAnsi="Times New Roman"/>
          <w:kern w:val="0"/>
        </w:rPr>
        <w:t>；</w:t>
      </w:r>
      <w:r>
        <w:rPr>
          <w:rFonts w:ascii="Times New Roman" w:hAnsi="Times New Roman"/>
          <w:kern w:val="0"/>
        </w:rPr>
        <w:t>网络零售额实现</w:t>
      </w:r>
      <w:r>
        <w:rPr>
          <w:rFonts w:hint="eastAsia" w:ascii="Times New Roman" w:hAnsi="Times New Roman"/>
          <w:kern w:val="0"/>
        </w:rPr>
        <w:t>523</w:t>
      </w:r>
      <w:r>
        <w:rPr>
          <w:rFonts w:ascii="Times New Roman" w:hAnsi="Times New Roman"/>
          <w:kern w:val="0"/>
        </w:rPr>
        <w:t>亿元，同比增长</w:t>
      </w:r>
      <w:r>
        <w:rPr>
          <w:rFonts w:hint="eastAsia" w:ascii="Times New Roman" w:hAnsi="Times New Roman"/>
          <w:kern w:val="0"/>
        </w:rPr>
        <w:t>25</w:t>
      </w:r>
      <w:r>
        <w:rPr>
          <w:rFonts w:ascii="Times New Roman" w:hAnsi="Times New Roman"/>
          <w:kern w:val="0"/>
        </w:rPr>
        <w:t>%</w:t>
      </w:r>
      <w:r>
        <w:rPr>
          <w:rFonts w:hint="eastAsia" w:ascii="Times New Roman" w:hAnsi="Times New Roman"/>
          <w:kern w:val="0"/>
        </w:rPr>
        <w:t>，其中</w:t>
      </w:r>
      <w:r>
        <w:rPr>
          <w:rFonts w:ascii="Times New Roman" w:hAnsi="Times New Roman"/>
          <w:kern w:val="0"/>
        </w:rPr>
        <w:t>农村网络零售额</w:t>
      </w:r>
      <w:r>
        <w:rPr>
          <w:rFonts w:hint="eastAsia" w:ascii="Times New Roman" w:hAnsi="Times New Roman"/>
          <w:kern w:val="0"/>
        </w:rPr>
        <w:t>254</w:t>
      </w:r>
      <w:r>
        <w:rPr>
          <w:rFonts w:ascii="Times New Roman" w:hAnsi="Times New Roman"/>
          <w:kern w:val="0"/>
        </w:rPr>
        <w:t>.</w:t>
      </w:r>
      <w:r>
        <w:rPr>
          <w:rFonts w:hint="eastAsia" w:ascii="Times New Roman" w:hAnsi="Times New Roman"/>
          <w:kern w:val="0"/>
        </w:rPr>
        <w:t>5</w:t>
      </w:r>
      <w:r>
        <w:rPr>
          <w:rFonts w:ascii="Times New Roman" w:hAnsi="Times New Roman"/>
          <w:kern w:val="0"/>
        </w:rPr>
        <w:t>亿元</w:t>
      </w:r>
      <w:r>
        <w:rPr>
          <w:rFonts w:hint="eastAsia" w:ascii="Times New Roman" w:hAnsi="Times New Roman"/>
          <w:kern w:val="0"/>
        </w:rPr>
        <w:t>、</w:t>
      </w:r>
      <w:r>
        <w:rPr>
          <w:rFonts w:ascii="Times New Roman" w:hAnsi="Times New Roman"/>
          <w:kern w:val="0"/>
        </w:rPr>
        <w:t>农产品网络零售额</w:t>
      </w:r>
      <w:r>
        <w:rPr>
          <w:rFonts w:hint="eastAsia" w:ascii="Times New Roman" w:hAnsi="Times New Roman"/>
          <w:kern w:val="0"/>
        </w:rPr>
        <w:t>70</w:t>
      </w:r>
      <w:r>
        <w:rPr>
          <w:rFonts w:ascii="Times New Roman" w:hAnsi="Times New Roman"/>
          <w:kern w:val="0"/>
        </w:rPr>
        <w:t>.</w:t>
      </w:r>
      <w:r>
        <w:rPr>
          <w:rFonts w:hint="eastAsia" w:ascii="Times New Roman" w:hAnsi="Times New Roman"/>
          <w:kern w:val="0"/>
        </w:rPr>
        <w:t>7</w:t>
      </w:r>
      <w:r>
        <w:rPr>
          <w:rFonts w:ascii="Times New Roman" w:hAnsi="Times New Roman"/>
          <w:kern w:val="0"/>
        </w:rPr>
        <w:t>亿元。全市社会消费品零售总额为</w:t>
      </w:r>
      <w:r>
        <w:rPr>
          <w:rFonts w:hint="eastAsia" w:ascii="Times New Roman" w:hAnsi="Times New Roman"/>
          <w:kern w:val="0"/>
        </w:rPr>
        <w:t>1998</w:t>
      </w:r>
      <w:r>
        <w:rPr>
          <w:rFonts w:ascii="Times New Roman" w:hAnsi="Times New Roman"/>
          <w:kern w:val="0"/>
        </w:rPr>
        <w:t>.</w:t>
      </w:r>
      <w:r>
        <w:rPr>
          <w:rFonts w:hint="eastAsia" w:ascii="Times New Roman" w:hAnsi="Times New Roman"/>
          <w:kern w:val="0"/>
        </w:rPr>
        <w:t>73</w:t>
      </w:r>
      <w:r>
        <w:rPr>
          <w:rFonts w:ascii="Times New Roman" w:hAnsi="Times New Roman"/>
          <w:kern w:val="0"/>
        </w:rPr>
        <w:t>亿元</w:t>
      </w:r>
      <w:r>
        <w:rPr>
          <w:rFonts w:hint="eastAsia" w:ascii="Times New Roman" w:hAnsi="Times New Roman"/>
          <w:kern w:val="0"/>
        </w:rPr>
        <w:t>；</w:t>
      </w:r>
      <w:r>
        <w:rPr>
          <w:rFonts w:ascii="Times New Roman" w:hAnsi="Times New Roman"/>
          <w:kern w:val="0"/>
        </w:rPr>
        <w:t>货物运输量</w:t>
      </w:r>
      <w:r>
        <w:rPr>
          <w:rFonts w:hint="eastAsia" w:ascii="Times New Roman" w:hAnsi="Times New Roman"/>
          <w:kern w:val="0"/>
        </w:rPr>
        <w:t>15394</w:t>
      </w:r>
      <w:r>
        <w:rPr>
          <w:rFonts w:ascii="Times New Roman" w:hAnsi="Times New Roman"/>
          <w:kern w:val="0"/>
        </w:rPr>
        <w:t>.</w:t>
      </w:r>
      <w:r>
        <w:rPr>
          <w:rFonts w:hint="eastAsia" w:ascii="Times New Roman" w:hAnsi="Times New Roman"/>
          <w:kern w:val="0"/>
        </w:rPr>
        <w:t>03</w:t>
      </w:r>
      <w:r>
        <w:rPr>
          <w:rFonts w:ascii="Times New Roman" w:hAnsi="Times New Roman"/>
          <w:kern w:val="0"/>
        </w:rPr>
        <w:t>万吨，货物周转量</w:t>
      </w:r>
      <w:r>
        <w:rPr>
          <w:rFonts w:hint="eastAsia" w:ascii="Times New Roman" w:hAnsi="Times New Roman"/>
          <w:kern w:val="0"/>
        </w:rPr>
        <w:t>602</w:t>
      </w:r>
      <w:r>
        <w:rPr>
          <w:rFonts w:ascii="Times New Roman" w:hAnsi="Times New Roman"/>
          <w:kern w:val="0"/>
        </w:rPr>
        <w:t>.</w:t>
      </w:r>
      <w:r>
        <w:rPr>
          <w:rFonts w:hint="eastAsia" w:ascii="Times New Roman" w:hAnsi="Times New Roman"/>
          <w:kern w:val="0"/>
        </w:rPr>
        <w:t>48</w:t>
      </w:r>
      <w:r>
        <w:rPr>
          <w:rFonts w:ascii="Times New Roman" w:hAnsi="Times New Roman"/>
          <w:kern w:val="0"/>
        </w:rPr>
        <w:t>亿吨公里</w:t>
      </w:r>
      <w:r>
        <w:rPr>
          <w:rFonts w:hint="eastAsia" w:ascii="仿宋_GB2312" w:hAnsi="仿宋_GB2312" w:cs="仿宋_GB2312"/>
          <w:kern w:val="0"/>
        </w:rPr>
        <w:t>。流通领域新业态新模式不断涌现</w:t>
      </w:r>
      <w:r>
        <w:rPr>
          <w:rFonts w:hint="eastAsia" w:ascii="Times New Roman" w:hAnsi="Times New Roman"/>
          <w:kern w:val="0"/>
        </w:rPr>
        <w:t>，镇平县与淘宝合作建设的全国第一个“淘宝珠宝”直播基地入驻企业200余家、销售额突破4亿元，西峡县龙成集团旗下钢易网线上交易额突破2亿元。</w:t>
      </w:r>
      <w:r>
        <w:rPr>
          <w:rFonts w:ascii="Times New Roman" w:hAnsi="Times New Roman"/>
          <w:kern w:val="0"/>
        </w:rPr>
        <w:t>建材大世界、家电大世界、新华城市广场、裕华商城等商贸业态不断</w:t>
      </w:r>
      <w:r>
        <w:rPr>
          <w:rFonts w:hint="eastAsia" w:ascii="Times New Roman" w:hAnsi="Times New Roman"/>
          <w:kern w:val="0"/>
        </w:rPr>
        <w:t>发展。</w:t>
      </w:r>
    </w:p>
    <w:p>
      <w:pPr>
        <w:spacing w:line="560" w:lineRule="exact"/>
        <w:ind w:firstLine="640" w:firstLineChars="200"/>
        <w:contextualSpacing/>
        <w:rPr>
          <w:rFonts w:ascii="仿宋_GB2312" w:hAnsi="宋体" w:cs="仿宋_GB2312"/>
          <w:kern w:val="0"/>
          <w:lang w:bidi="ar"/>
        </w:rPr>
      </w:pPr>
      <w:r>
        <w:rPr>
          <w:rFonts w:hint="eastAsia" w:ascii="仿宋_GB2312" w:hAnsi="仿宋_GB2312" w:cs="仿宋_GB2312"/>
          <w:bCs/>
          <w:kern w:val="0"/>
          <w:lang w:bidi="ar"/>
        </w:rPr>
        <w:t>市场主体持续壮大。</w:t>
      </w:r>
      <w:r>
        <w:rPr>
          <w:rFonts w:hint="eastAsia" w:ascii="仿宋_GB2312" w:hAnsi="仿宋_GB2312" w:cs="仿宋_GB2312"/>
          <w:kern w:val="0"/>
        </w:rPr>
        <w:t>商贸企业数量不断增加、实力不断壮大，批发、零售、住宿、餐饮等领域专业化、社会化服务能力显著增强</w:t>
      </w:r>
      <w:r>
        <w:rPr>
          <w:rFonts w:hint="eastAsia" w:ascii="Times New Roman" w:hAnsi="Times New Roman"/>
          <w:kern w:val="0"/>
        </w:rPr>
        <w:t>，全市</w:t>
      </w:r>
      <w:r>
        <w:rPr>
          <w:rFonts w:ascii="Times New Roman" w:hAnsi="Times New Roman"/>
          <w:kern w:val="0"/>
        </w:rPr>
        <w:t>从事跨境交易的企业和个体经营户</w:t>
      </w:r>
      <w:r>
        <w:rPr>
          <w:rFonts w:hint="eastAsia" w:ascii="Times New Roman" w:hAnsi="Times New Roman"/>
          <w:kern w:val="0"/>
        </w:rPr>
        <w:t>超过5000</w:t>
      </w:r>
      <w:r>
        <w:rPr>
          <w:rFonts w:ascii="Times New Roman" w:hAnsi="Times New Roman"/>
          <w:kern w:val="0"/>
        </w:rPr>
        <w:t>家，跨境电商国际邮件出口数超</w:t>
      </w:r>
      <w:r>
        <w:rPr>
          <w:rFonts w:hint="eastAsia" w:ascii="Times New Roman" w:hAnsi="Times New Roman"/>
          <w:kern w:val="0"/>
        </w:rPr>
        <w:t>300</w:t>
      </w:r>
      <w:r>
        <w:rPr>
          <w:rFonts w:ascii="Times New Roman" w:hAnsi="Times New Roman"/>
          <w:kern w:val="0"/>
        </w:rPr>
        <w:t>万件，跨境电商就业人数达</w:t>
      </w:r>
      <w:r>
        <w:rPr>
          <w:rFonts w:hint="eastAsia" w:ascii="Times New Roman" w:hAnsi="Times New Roman"/>
          <w:kern w:val="0"/>
        </w:rPr>
        <w:t>6</w:t>
      </w:r>
      <w:r>
        <w:rPr>
          <w:rFonts w:ascii="Times New Roman" w:hAnsi="Times New Roman"/>
          <w:kern w:val="0"/>
        </w:rPr>
        <w:t>.</w:t>
      </w:r>
      <w:r>
        <w:rPr>
          <w:rFonts w:hint="eastAsia" w:ascii="Times New Roman" w:hAnsi="Times New Roman"/>
          <w:kern w:val="0"/>
        </w:rPr>
        <w:t>7</w:t>
      </w:r>
      <w:r>
        <w:rPr>
          <w:rFonts w:ascii="Times New Roman" w:hAnsi="Times New Roman"/>
          <w:kern w:val="0"/>
        </w:rPr>
        <w:t>万人，产业链带动就业人数</w:t>
      </w:r>
      <w:r>
        <w:rPr>
          <w:rFonts w:hint="eastAsia" w:ascii="Times New Roman" w:hAnsi="Times New Roman"/>
          <w:kern w:val="0"/>
        </w:rPr>
        <w:t>18</w:t>
      </w:r>
      <w:r>
        <w:rPr>
          <w:rFonts w:ascii="Times New Roman" w:hAnsi="Times New Roman"/>
          <w:kern w:val="0"/>
        </w:rPr>
        <w:t>万人。</w:t>
      </w:r>
      <w:r>
        <w:rPr>
          <w:rFonts w:hint="eastAsia" w:ascii="仿宋_GB2312" w:hAnsi="宋体" w:cs="仿宋_GB2312"/>
          <w:kern w:val="0"/>
          <w:lang w:bidi="ar"/>
        </w:rPr>
        <w:t>以物流配送、仓储、运输为主体的物流企业数量、规模不断扩大，</w:t>
      </w:r>
      <w:r>
        <w:rPr>
          <w:rFonts w:hint="eastAsia" w:ascii="仿宋_GB2312" w:hAnsi="仿宋_GB2312" w:cs="仿宋_GB2312"/>
          <w:kern w:val="0"/>
        </w:rPr>
        <w:t>截止“十三五”末，全市登记注册的物流企业总数量</w:t>
      </w:r>
      <w:r>
        <w:rPr>
          <w:rFonts w:hint="eastAsia" w:ascii="Times New Roman" w:hAnsi="Times New Roman"/>
          <w:kern w:val="0"/>
        </w:rPr>
        <w:t>8363家</w:t>
      </w:r>
      <w:r>
        <w:rPr>
          <w:rFonts w:hint="eastAsia" w:ascii="仿宋_GB2312" w:hAnsi="仿宋_GB2312" w:cs="仿宋_GB2312"/>
          <w:kern w:val="0"/>
        </w:rPr>
        <w:t>，其中</w:t>
      </w:r>
      <w:r>
        <w:rPr>
          <w:rFonts w:hint="eastAsia" w:ascii="Times New Roman" w:hAnsi="Times New Roman"/>
          <w:kern w:val="0"/>
        </w:rPr>
        <w:t>4A</w:t>
      </w:r>
      <w:r>
        <w:rPr>
          <w:rFonts w:hint="eastAsia" w:ascii="仿宋_GB2312" w:hAnsi="仿宋_GB2312" w:cs="仿宋_GB2312"/>
          <w:kern w:val="0"/>
        </w:rPr>
        <w:t>级物流企业</w:t>
      </w:r>
      <w:r>
        <w:rPr>
          <w:rFonts w:hint="eastAsia" w:ascii="Times New Roman" w:hAnsi="Times New Roman"/>
          <w:kern w:val="0"/>
        </w:rPr>
        <w:t>4</w:t>
      </w:r>
      <w:r>
        <w:rPr>
          <w:rFonts w:hint="eastAsia" w:ascii="仿宋_GB2312" w:hAnsi="仿宋_GB2312" w:cs="仿宋_GB2312"/>
          <w:kern w:val="0"/>
        </w:rPr>
        <w:t>家、</w:t>
      </w:r>
      <w:r>
        <w:rPr>
          <w:rFonts w:hint="eastAsia" w:ascii="Times New Roman" w:hAnsi="Times New Roman"/>
          <w:kern w:val="0"/>
        </w:rPr>
        <w:t>3A级</w:t>
      </w:r>
      <w:r>
        <w:rPr>
          <w:rFonts w:hint="eastAsia" w:ascii="仿宋_GB2312" w:hAnsi="仿宋_GB2312" w:cs="仿宋_GB2312"/>
          <w:kern w:val="0"/>
        </w:rPr>
        <w:t>物流企业</w:t>
      </w:r>
      <w:r>
        <w:rPr>
          <w:rFonts w:hint="eastAsia" w:ascii="Times New Roman" w:hAnsi="Times New Roman"/>
          <w:kern w:val="0"/>
        </w:rPr>
        <w:t>5</w:t>
      </w:r>
      <w:r>
        <w:rPr>
          <w:rFonts w:hint="eastAsia" w:ascii="仿宋_GB2312" w:hAnsi="仿宋_GB2312" w:cs="仿宋_GB2312"/>
          <w:kern w:val="0"/>
        </w:rPr>
        <w:t>家；品牌快递企业</w:t>
      </w:r>
      <w:r>
        <w:rPr>
          <w:rFonts w:hint="eastAsia" w:ascii="Times New Roman" w:hAnsi="Times New Roman"/>
          <w:kern w:val="0"/>
        </w:rPr>
        <w:t>19</w:t>
      </w:r>
      <w:r>
        <w:rPr>
          <w:rFonts w:hint="eastAsia" w:ascii="仿宋_GB2312" w:hAnsi="仿宋_GB2312" w:cs="仿宋_GB2312"/>
          <w:kern w:val="0"/>
        </w:rPr>
        <w:t>家，</w:t>
      </w:r>
      <w:r>
        <w:rPr>
          <w:rFonts w:hint="eastAsia" w:ascii="仿宋_GB2312" w:hAnsi="宋体" w:cs="仿宋_GB2312"/>
          <w:kern w:val="0"/>
          <w:lang w:bidi="ar"/>
        </w:rPr>
        <w:t>快递营业网点</w:t>
      </w:r>
      <w:r>
        <w:rPr>
          <w:rFonts w:hint="eastAsia" w:ascii="Times New Roman" w:hAnsi="Times New Roman"/>
          <w:kern w:val="0"/>
          <w:lang w:bidi="ar"/>
        </w:rPr>
        <w:t>1280</w:t>
      </w:r>
      <w:r>
        <w:rPr>
          <w:rFonts w:hint="eastAsia" w:ascii="仿宋_GB2312" w:hAnsi="宋体" w:cs="仿宋_GB2312"/>
          <w:kern w:val="0"/>
          <w:lang w:bidi="ar"/>
        </w:rPr>
        <w:t>个。专业市场快速发展，银海钢材市场、盈泰粮油市场分别发展成为豫西南最大的钢材批发市场和粮油批发市场。商贸流通组织形式、业态类型、经营理念不断创新，连锁经营发展迅速。</w:t>
      </w:r>
    </w:p>
    <w:p>
      <w:pPr>
        <w:spacing w:line="560" w:lineRule="exact"/>
        <w:ind w:firstLine="640" w:firstLineChars="200"/>
        <w:contextualSpacing/>
        <w:rPr>
          <w:rFonts w:ascii="仿宋_GB2312" w:hAnsi="仿宋_GB2312" w:cs="仿宋_GB2312"/>
          <w:kern w:val="0"/>
        </w:rPr>
      </w:pPr>
      <w:r>
        <w:rPr>
          <w:rFonts w:hint="eastAsia" w:ascii="仿宋_GB2312" w:hAnsi="仿宋_GB2312" w:cs="仿宋_GB2312"/>
          <w:bCs/>
          <w:kern w:val="0"/>
          <w:lang w:bidi="ar"/>
        </w:rPr>
        <w:t>设施网络逐步健全。</w:t>
      </w:r>
      <w:r>
        <w:rPr>
          <w:rFonts w:hint="eastAsia" w:ascii="仿宋_GB2312" w:hAnsi="仿宋_GB2312" w:cs="仿宋_GB2312"/>
          <w:kern w:val="0"/>
        </w:rPr>
        <w:t>截止“十三五”末，全市高速公路通车里程</w:t>
      </w:r>
      <w:r>
        <w:rPr>
          <w:rFonts w:hint="eastAsia" w:ascii="Times New Roman" w:hAnsi="Times New Roman" w:cs="仿宋_GB2312"/>
          <w:kern w:val="0"/>
        </w:rPr>
        <w:t>794</w:t>
      </w:r>
      <w:r>
        <w:rPr>
          <w:rFonts w:hint="eastAsia" w:ascii="仿宋_GB2312" w:hAnsi="仿宋_GB2312" w:cs="仿宋_GB2312"/>
          <w:kern w:val="0"/>
        </w:rPr>
        <w:t>公里，干线公路通车里程</w:t>
      </w:r>
      <w:r>
        <w:rPr>
          <w:rFonts w:hint="eastAsia" w:ascii="Times New Roman" w:hAnsi="Times New Roman" w:cs="仿宋_GB2312"/>
          <w:kern w:val="0"/>
        </w:rPr>
        <w:t>3837</w:t>
      </w:r>
      <w:r>
        <w:rPr>
          <w:rFonts w:hint="eastAsia" w:ascii="仿宋_GB2312" w:hAnsi="仿宋_GB2312" w:cs="仿宋_GB2312"/>
          <w:kern w:val="0"/>
        </w:rPr>
        <w:t>公里，基本实现所有县（市、区）通国道、所有乡（镇）通省道。浩吉铁路建成通车、铁路货运能力显著增强。南阳机场</w:t>
      </w:r>
      <w:r>
        <w:rPr>
          <w:rFonts w:ascii="Times New Roman" w:hAnsi="Times New Roman"/>
          <w:kern w:val="0"/>
        </w:rPr>
        <w:t>通航城市达到</w:t>
      </w:r>
      <w:r>
        <w:rPr>
          <w:rFonts w:hint="eastAsia" w:ascii="Times New Roman" w:hAnsi="Times New Roman"/>
          <w:kern w:val="0"/>
        </w:rPr>
        <w:t>26</w:t>
      </w:r>
      <w:r>
        <w:rPr>
          <w:rFonts w:ascii="Times New Roman" w:hAnsi="Times New Roman"/>
          <w:kern w:val="0"/>
        </w:rPr>
        <w:t>个，货</w:t>
      </w:r>
      <w:r>
        <w:rPr>
          <w:rFonts w:hint="eastAsia" w:ascii="Times New Roman" w:hAnsi="Times New Roman"/>
          <w:kern w:val="0"/>
        </w:rPr>
        <w:t>邮吞吐量</w:t>
      </w:r>
      <w:r>
        <w:rPr>
          <w:rFonts w:ascii="Times New Roman" w:hAnsi="Times New Roman"/>
          <w:kern w:val="0"/>
        </w:rPr>
        <w:t>突破</w:t>
      </w:r>
      <w:r>
        <w:rPr>
          <w:rFonts w:hint="eastAsia" w:ascii="Times New Roman" w:hAnsi="Times New Roman"/>
          <w:kern w:val="0"/>
        </w:rPr>
        <w:t>4400</w:t>
      </w:r>
      <w:r>
        <w:rPr>
          <w:rFonts w:ascii="Times New Roman" w:hAnsi="Times New Roman"/>
          <w:kern w:val="0"/>
        </w:rPr>
        <w:t>吨，</w:t>
      </w:r>
      <w:r>
        <w:rPr>
          <w:rFonts w:hint="eastAsia" w:ascii="仿宋_GB2312" w:hAnsi="仿宋_GB2312" w:cs="仿宋_GB2312"/>
          <w:kern w:val="0"/>
        </w:rPr>
        <w:t>为快递物流、跨境电商等发展奠定良好基础。唐河航运工程开工建设，成功入选国家商贸服务型物流枢纽承载城市，全市商务、粮食、供销系统仓储面积达</w:t>
      </w:r>
      <w:r>
        <w:rPr>
          <w:rFonts w:hint="eastAsia" w:ascii="Times New Roman" w:hAnsi="Times New Roman"/>
          <w:kern w:val="0"/>
        </w:rPr>
        <w:t>50</w:t>
      </w:r>
      <w:r>
        <w:rPr>
          <w:rFonts w:hint="eastAsia" w:ascii="仿宋_GB2312" w:hAnsi="仿宋_GB2312" w:cs="仿宋_GB2312"/>
          <w:kern w:val="0"/>
        </w:rPr>
        <w:t>万平方米以上，拥有多条铁路专用线及相关设施。</w:t>
      </w:r>
      <w:r>
        <w:rPr>
          <w:rFonts w:ascii="Times New Roman" w:hAnsi="Times New Roman"/>
          <w:kern w:val="0"/>
        </w:rPr>
        <w:t>全市建成投用</w:t>
      </w:r>
      <w:r>
        <w:rPr>
          <w:rFonts w:hint="eastAsia" w:ascii="Times New Roman" w:hAnsi="Times New Roman"/>
          <w:kern w:val="0"/>
        </w:rPr>
        <w:t>21</w:t>
      </w:r>
      <w:r>
        <w:rPr>
          <w:rFonts w:ascii="Times New Roman" w:hAnsi="Times New Roman"/>
          <w:kern w:val="0"/>
        </w:rPr>
        <w:t>个电商园区，总面积约</w:t>
      </w:r>
      <w:r>
        <w:rPr>
          <w:rFonts w:hint="eastAsia" w:ascii="Times New Roman" w:hAnsi="Times New Roman"/>
          <w:kern w:val="0"/>
        </w:rPr>
        <w:t>48</w:t>
      </w:r>
      <w:r>
        <w:rPr>
          <w:rFonts w:ascii="Times New Roman" w:hAnsi="Times New Roman"/>
          <w:kern w:val="0"/>
        </w:rPr>
        <w:t>万平方米；建成</w:t>
      </w:r>
      <w:r>
        <w:rPr>
          <w:rFonts w:hint="eastAsia" w:ascii="Times New Roman" w:hAnsi="Times New Roman"/>
          <w:kern w:val="0"/>
        </w:rPr>
        <w:t>315</w:t>
      </w:r>
      <w:r>
        <w:rPr>
          <w:rFonts w:ascii="Times New Roman" w:hAnsi="Times New Roman"/>
          <w:kern w:val="0"/>
        </w:rPr>
        <w:t>个乡镇服务站、</w:t>
      </w:r>
      <w:r>
        <w:rPr>
          <w:rFonts w:hint="eastAsia" w:ascii="Times New Roman" w:hAnsi="Times New Roman"/>
          <w:kern w:val="0"/>
        </w:rPr>
        <w:t>3679</w:t>
      </w:r>
      <w:r>
        <w:rPr>
          <w:rFonts w:ascii="Times New Roman" w:hAnsi="Times New Roman"/>
          <w:kern w:val="0"/>
        </w:rPr>
        <w:t>个村服务点、</w:t>
      </w:r>
      <w:r>
        <w:rPr>
          <w:rFonts w:hint="eastAsia" w:ascii="Times New Roman" w:hAnsi="Times New Roman"/>
          <w:kern w:val="0"/>
        </w:rPr>
        <w:t>2000</w:t>
      </w:r>
      <w:r>
        <w:rPr>
          <w:rFonts w:ascii="Times New Roman" w:hAnsi="Times New Roman"/>
          <w:kern w:val="0"/>
        </w:rPr>
        <w:t>多个城镇社区门店，覆盖市、县、乡、村四级的</w:t>
      </w:r>
      <w:r>
        <w:rPr>
          <w:rFonts w:hint="eastAsia" w:ascii="Times New Roman" w:hAnsi="Times New Roman"/>
          <w:kern w:val="0"/>
        </w:rPr>
        <w:t>电子商务</w:t>
      </w:r>
      <w:r>
        <w:rPr>
          <w:rFonts w:ascii="Times New Roman" w:hAnsi="Times New Roman"/>
          <w:kern w:val="0"/>
        </w:rPr>
        <w:t>公共服务</w:t>
      </w:r>
      <w:r>
        <w:rPr>
          <w:rFonts w:hint="eastAsia" w:ascii="Times New Roman" w:hAnsi="Times New Roman"/>
          <w:kern w:val="0"/>
        </w:rPr>
        <w:t>网络</w:t>
      </w:r>
      <w:r>
        <w:rPr>
          <w:rFonts w:ascii="Times New Roman" w:hAnsi="Times New Roman"/>
          <w:kern w:val="0"/>
        </w:rPr>
        <w:t>基本形成。</w:t>
      </w:r>
    </w:p>
    <w:p>
      <w:pPr>
        <w:spacing w:line="560" w:lineRule="exact"/>
        <w:ind w:firstLine="640" w:firstLineChars="200"/>
        <w:contextualSpacing/>
      </w:pPr>
      <w:r>
        <w:rPr>
          <w:rFonts w:hint="eastAsia" w:ascii="仿宋_GB2312" w:hAnsi="仿宋_GB2312" w:cs="仿宋_GB2312"/>
          <w:bCs/>
          <w:kern w:val="0"/>
          <w:lang w:bidi="ar"/>
        </w:rPr>
        <w:t>载体平台提级扩能。</w:t>
      </w:r>
      <w:r>
        <w:rPr>
          <w:rFonts w:hint="eastAsia" w:ascii="仿宋_GB2312" w:hAnsi="仿宋_GB2312" w:cs="仿宋_GB2312"/>
          <w:kern w:val="0"/>
        </w:rPr>
        <w:t>南阳卧龙综合保税区封关运行，加工、保税、物流、仓储、国际中转、交易等功能逐步完善，逐步发展成为连接东部沿海与内陆腹地的中转枢纽和国际经济合作平台。中国（南阳）跨境电商综合试验区和零售进口试点城市成功获批。东森医药物流中心、溧河物流园、宛美物流园、中商农产品批发市场、国药控股医药配送中心、海派物流园、诚远物流基地等一批重点物流园区投入运营。内乡牧原智慧物流园、唐河县年中转</w:t>
      </w:r>
      <w:r>
        <w:rPr>
          <w:rFonts w:hint="eastAsia" w:ascii="Times New Roman" w:hAnsi="Times New Roman"/>
          <w:kern w:val="0"/>
        </w:rPr>
        <w:t>300万</w:t>
      </w:r>
      <w:r>
        <w:rPr>
          <w:rFonts w:hint="eastAsia" w:ascii="仿宋_GB2312" w:hAnsi="仿宋_GB2312" w:cs="仿宋_GB2312"/>
          <w:kern w:val="0"/>
        </w:rPr>
        <w:t>吨粮食物流园等项目开工建设。南阳理工学院跨境电商培训基地获评省级跨境电商人才培养和企业孵化基地。</w:t>
      </w:r>
    </w:p>
    <w:p>
      <w:pPr>
        <w:spacing w:line="560" w:lineRule="exact"/>
        <w:ind w:firstLine="640" w:firstLineChars="200"/>
        <w:contextualSpacing/>
        <w:rPr>
          <w:rFonts w:ascii="仿宋_GB2312" w:hAnsi="仿宋_GB2312" w:cs="仿宋_GB2312"/>
          <w:kern w:val="0"/>
        </w:rPr>
      </w:pPr>
      <w:r>
        <w:rPr>
          <w:rFonts w:hint="eastAsia" w:ascii="仿宋_GB2312" w:hAnsi="仿宋_GB2312" w:cs="仿宋_GB2312"/>
          <w:bCs/>
          <w:kern w:val="0"/>
          <w:lang w:bidi="ar"/>
        </w:rPr>
        <w:t>发展环境不断优化。</w:t>
      </w:r>
      <w:r>
        <w:rPr>
          <w:rFonts w:hint="eastAsia" w:ascii="仿宋_GB2312" w:hAnsi="仿宋_GB2312" w:cs="仿宋_GB2312"/>
          <w:kern w:val="0"/>
        </w:rPr>
        <w:t>营商环境持续改善，市县两级实现“一窗通办”“一网通办”全覆盖，一体化政务服务平台、“互联网+监管”系统建成并实现与全国全省对接。流通领域政策环境不断优化，先后出台《南阳市人民政府办公室关于实施“雁阵计划”加快推进服务业发展的意见》《南阳市物流业转型发展规划（</w:t>
      </w:r>
      <w:r>
        <w:rPr>
          <w:rFonts w:hint="eastAsia" w:ascii="Times New Roman" w:hAnsi="Times New Roman"/>
          <w:kern w:val="0"/>
        </w:rPr>
        <w:t>2018</w:t>
      </w:r>
      <w:r>
        <w:rPr>
          <w:rFonts w:ascii="Times New Roman" w:hAnsi="Times New Roman"/>
          <w:kern w:val="0"/>
        </w:rPr>
        <w:t>—</w:t>
      </w:r>
      <w:r>
        <w:rPr>
          <w:rFonts w:hint="eastAsia" w:ascii="Times New Roman" w:hAnsi="Times New Roman"/>
          <w:kern w:val="0"/>
        </w:rPr>
        <w:t>2020</w:t>
      </w:r>
      <w:r>
        <w:rPr>
          <w:rFonts w:hint="eastAsia" w:ascii="仿宋_GB2312" w:hAnsi="仿宋_GB2312" w:cs="仿宋_GB2312"/>
          <w:kern w:val="0"/>
        </w:rPr>
        <w:t>年）》《中国（南阳）跨境电子商务综合试验区实施方案》《南阳市关于支持跨境电商总部经济发展的实施意见》《南阳市关于加快物流业发展的实施意见》等一系列政策文件，农产品、医药、快递、保税、商贸及大宗产品流通得到有力促进。物流标准化体系、智能信息平台建设加快推进。流通领域金融支撑取得进展，社会信用体系建设初见成效。</w:t>
      </w:r>
    </w:p>
    <w:p>
      <w:pPr>
        <w:spacing w:line="560" w:lineRule="exact"/>
        <w:ind w:firstLine="640" w:firstLineChars="200"/>
        <w:contextualSpacing/>
        <w:rPr>
          <w:rFonts w:ascii="仿宋_GB2312" w:hAnsi="仿宋_GB2312" w:cs="仿宋_GB2312"/>
          <w:kern w:val="0"/>
          <w:lang w:bidi="ar"/>
        </w:rPr>
      </w:pPr>
      <w:r>
        <w:rPr>
          <w:rFonts w:hint="eastAsia" w:ascii="仿宋_GB2312" w:hAnsi="仿宋_GB2312" w:cs="仿宋_GB2312"/>
          <w:kern w:val="0"/>
          <w:lang w:bidi="ar"/>
        </w:rPr>
        <w:t>我市现代流通体系发展虽已取得显著成效，但与先进地区相比，仍有较大差距：</w:t>
      </w:r>
      <w:r>
        <w:rPr>
          <w:rFonts w:hint="eastAsia" w:ascii="仿宋_GB2312" w:hAnsi="仿宋_GB2312" w:cs="仿宋_GB2312"/>
          <w:bCs/>
          <w:kern w:val="0"/>
          <w:lang w:bidi="ar"/>
        </w:rPr>
        <w:t>一是流通主体竞争力依然不强。</w:t>
      </w:r>
      <w:r>
        <w:rPr>
          <w:rFonts w:hint="eastAsia" w:ascii="仿宋_GB2312" w:hAnsi="仿宋_GB2312" w:cs="仿宋_GB2312"/>
          <w:kern w:val="0"/>
          <w:lang w:bidi="ar"/>
        </w:rPr>
        <w:t>缺少具有行业整合能力和辐射带动能力的商贸流通龙头企业和“链主”型企业，产品竞争力、品牌影响力有待提升。</w:t>
      </w:r>
      <w:r>
        <w:rPr>
          <w:rFonts w:hint="eastAsia" w:ascii="仿宋_GB2312" w:hAnsi="仿宋_GB2312" w:cs="仿宋_GB2312"/>
          <w:bCs/>
          <w:kern w:val="0"/>
          <w:lang w:bidi="ar"/>
        </w:rPr>
        <w:t>二是流通枢纽能级仍然不高。</w:t>
      </w:r>
      <w:r>
        <w:rPr>
          <w:rFonts w:hint="eastAsia" w:ascii="仿宋_GB2312" w:hAnsi="仿宋_GB2312" w:cs="仿宋_GB2312"/>
          <w:kern w:val="0"/>
          <w:lang w:bidi="ar"/>
        </w:rPr>
        <w:t>全域交通网络化水平较低，多式联运集聚能力较弱，货运枢纽资源整合程度不够，枢纽的交通和区位优势尚未成为地区的产业和经济发展优势。</w:t>
      </w:r>
      <w:r>
        <w:rPr>
          <w:rFonts w:hint="eastAsia" w:ascii="仿宋_GB2312" w:hAnsi="仿宋_GB2312" w:cs="仿宋_GB2312"/>
          <w:bCs/>
          <w:kern w:val="0"/>
          <w:lang w:bidi="ar"/>
        </w:rPr>
        <w:t>三是商贸流通现代化水平仍需提升。</w:t>
      </w:r>
      <w:r>
        <w:rPr>
          <w:rFonts w:hint="eastAsia" w:ascii="仿宋_GB2312" w:hAnsi="仿宋_GB2312" w:cs="仿宋_GB2312"/>
          <w:kern w:val="0"/>
          <w:lang w:bidi="ar"/>
        </w:rPr>
        <w:t>商贸流通新业态、新技术、新模式应用推广力度不高，行业标准化程度不高，流通领域降本增效仍有较大空间，流通连接生产与消费的作用未能有效发挥。</w:t>
      </w:r>
      <w:r>
        <w:rPr>
          <w:rFonts w:hint="eastAsia" w:ascii="仿宋_GB2312" w:hAnsi="仿宋_GB2312" w:cs="仿宋_GB2312"/>
          <w:bCs/>
          <w:kern w:val="0"/>
          <w:lang w:bidi="ar"/>
        </w:rPr>
        <w:t>四是流通业与实体产业联动性不足。</w:t>
      </w:r>
      <w:r>
        <w:rPr>
          <w:rFonts w:hint="eastAsia" w:ascii="仿宋_GB2312" w:hAnsi="仿宋_GB2312" w:cs="仿宋_GB2312"/>
          <w:kern w:val="0"/>
          <w:lang w:bidi="ar"/>
        </w:rPr>
        <w:t>高效协同的供应链服务体系尚未形成，与产业发展、空间开发尚未形成合力，跨行业、跨区域资源整合能力亟待加强。</w:t>
      </w:r>
      <w:r>
        <w:rPr>
          <w:rFonts w:hint="eastAsia" w:ascii="仿宋_GB2312" w:hAnsi="仿宋_GB2312" w:cs="仿宋_GB2312"/>
          <w:bCs/>
          <w:kern w:val="0"/>
          <w:lang w:bidi="ar"/>
        </w:rPr>
        <w:t>五是现代流通发展环境有待改善。</w:t>
      </w:r>
      <w:r>
        <w:rPr>
          <w:rFonts w:hint="eastAsia" w:ascii="仿宋_GB2312" w:hAnsi="仿宋_GB2312" w:cs="仿宋_GB2312"/>
          <w:kern w:val="0"/>
          <w:lang w:bidi="ar"/>
        </w:rPr>
        <w:t>流通领域政策体系尚未形成有效合力，协同管理的体制机制障碍亟待破除，</w:t>
      </w:r>
      <w:r>
        <w:rPr>
          <w:rFonts w:hint="eastAsia" w:ascii="仿宋_GB2312" w:hAnsi="仿宋_GB2312" w:cs="仿宋_GB2312"/>
        </w:rPr>
        <w:t>流通领域专业化、复合型人才匮乏，供应链金融、社会信用等现代流通软件设施建设仍需加强</w:t>
      </w:r>
      <w:r>
        <w:rPr>
          <w:rFonts w:hint="eastAsia" w:ascii="仿宋_GB2312" w:hAnsi="仿宋_GB2312" w:cs="仿宋_GB2312"/>
          <w:kern w:val="0"/>
          <w:lang w:bidi="ar"/>
        </w:rPr>
        <w:t>。</w:t>
      </w:r>
    </w:p>
    <w:p>
      <w:pPr>
        <w:spacing w:line="560" w:lineRule="exact"/>
        <w:contextualSpacing/>
        <w:jc w:val="center"/>
        <w:outlineLvl w:val="1"/>
        <w:rPr>
          <w:rFonts w:ascii="楷体_GB2312" w:hAnsi="楷体_GB2312" w:eastAsia="楷体_GB2312" w:cs="楷体_GB2312"/>
        </w:rPr>
      </w:pPr>
      <w:bookmarkStart w:id="1329" w:name="_Toc1936498102"/>
      <w:r>
        <w:rPr>
          <w:rFonts w:hint="eastAsia" w:ascii="楷体_GB2312" w:hAnsi="楷体_GB2312" w:eastAsia="楷体_GB2312" w:cs="楷体_GB2312"/>
        </w:rPr>
        <w:t>第二节 面临形势</w:t>
      </w:r>
      <w:bookmarkEnd w:id="1329"/>
    </w:p>
    <w:p>
      <w:pPr>
        <w:spacing w:line="560" w:lineRule="exact"/>
        <w:ind w:firstLine="640" w:firstLineChars="200"/>
        <w:contextualSpacing/>
        <w:rPr>
          <w:rFonts w:ascii="仿宋_GB2312" w:hAnsi="仿宋_GB2312" w:cs="仿宋_GB2312"/>
          <w:kern w:val="0"/>
        </w:rPr>
      </w:pPr>
      <w:r>
        <w:rPr>
          <w:rFonts w:hint="eastAsia" w:ascii="仿宋_GB2312" w:hAnsi="仿宋_GB2312" w:cs="仿宋_GB2312"/>
          <w:kern w:val="0"/>
        </w:rPr>
        <w:t>当前，世界百年变局和世纪疫情交织叠加，给人类生产生活带来广泛而深刻的影响。我国已转向高质量发展阶段，继续发展具有多方面优势和条件。我省枢纽通道地位凸显、腹地支撑作用增强，正处于由大到强的重要关口。我市正处在转型攻坚、爬坡过坎的紧要时期，必须加快建设现代流通体系，更高水平、更深层次融入国内大循环和国际国内双循环。</w:t>
      </w:r>
    </w:p>
    <w:p>
      <w:pPr>
        <w:spacing w:line="560" w:lineRule="exact"/>
        <w:ind w:firstLine="640" w:firstLineChars="200"/>
        <w:contextualSpacing/>
        <w:rPr>
          <w:rFonts w:ascii="仿宋_GB2312" w:hAnsi="仿宋_GB2312" w:cs="仿宋_GB2312"/>
          <w:kern w:val="0"/>
        </w:rPr>
      </w:pPr>
      <w:r>
        <w:rPr>
          <w:rFonts w:hint="eastAsia" w:ascii="仿宋_GB2312" w:hAnsi="仿宋_GB2312" w:cs="仿宋_GB2312"/>
          <w:bCs/>
          <w:kern w:val="0"/>
        </w:rPr>
        <w:t>我市建设现代流通体系拥有良好机遇和优势。</w:t>
      </w:r>
      <w:r>
        <w:rPr>
          <w:rFonts w:hint="eastAsia" w:ascii="仿宋_GB2312" w:hAnsi="仿宋_GB2312" w:cs="仿宋_GB2312"/>
          <w:bCs/>
          <w:kern w:val="0"/>
          <w:lang w:bidi="ar"/>
        </w:rPr>
        <w:t>一是多重战略机遇叠加提供了良好的环境。</w:t>
      </w:r>
      <w:r>
        <w:rPr>
          <w:rFonts w:hint="eastAsia" w:ascii="仿宋_GB2312" w:hAnsi="仿宋_GB2312" w:cs="仿宋_GB2312"/>
          <w:kern w:val="0"/>
        </w:rPr>
        <w:t>以习近平同志为核心的党中央审时度势，提出把建设现代流通体系上升为重要战略任务，为我市建设现代流通体系提供了根本遵循。中部地区高质量发展、汉江生态经济带、淮河生态经济带、大别山革命老区振兴发展等重大战略在南阳形成叠加效应，省第十一次党代会又明确提出“支持南阳建设副中心城市”，为我市深度融入区域和国内大循环、高效链接国际国内双循环、提升城市能级拓展出更加广阔的战略空间。</w:t>
      </w:r>
      <w:r>
        <w:rPr>
          <w:rFonts w:hint="eastAsia" w:ascii="仿宋_GB2312" w:hAnsi="仿宋_GB2312" w:cs="仿宋_GB2312"/>
          <w:bCs/>
          <w:kern w:val="0"/>
          <w:lang w:bidi="ar"/>
        </w:rPr>
        <w:t>二是城乡居民消费升级提供了巨大的市场。</w:t>
      </w:r>
      <w:r>
        <w:rPr>
          <w:rFonts w:hint="eastAsia" w:ascii="仿宋_GB2312" w:hAnsi="仿宋_GB2312" w:cs="仿宋_GB2312"/>
          <w:kern w:val="0"/>
        </w:rPr>
        <w:t>南阳地域广阔、周边人口众多，区域商贸市场规模巨大，随着城乡经济不断繁荣发展，人多地广形成的人力资源和内需市场优势不断积累，城乡居民收入不断提高，将促进社会购买力持续增强。消费需求向个性化、多样化、高端化转变，消费模式向网络化、融合化、体验式发展，居民消费结构升级步伐加快，将有力促进消费性服务需求提质和市场扩张。</w:t>
      </w:r>
      <w:r>
        <w:rPr>
          <w:rFonts w:hint="eastAsia" w:ascii="仿宋_GB2312" w:hAnsi="仿宋_GB2312" w:cs="仿宋_GB2312"/>
          <w:bCs/>
          <w:kern w:val="0"/>
          <w:lang w:bidi="ar"/>
        </w:rPr>
        <w:t>三是良好的区位条件提供了有力的支撑。</w:t>
      </w:r>
      <w:r>
        <w:rPr>
          <w:rFonts w:hint="eastAsia" w:ascii="仿宋_GB2312" w:hAnsi="仿宋_GB2312" w:cs="仿宋_GB2312"/>
          <w:kern w:val="0"/>
        </w:rPr>
        <w:t>南阳地处豫鄂陕三省交界，跨长江、淮河、黄河三大流域，豫西南门户区位突出，随着“公铁空水”综合交通体系加快形成、全国性综合交通枢纽逐步构建，必将有力带动人流、物流、资金流、信息流等先进生产要素高效集聚，有效塑造人力资源、内需资本、流通经济等新优势。</w:t>
      </w:r>
      <w:r>
        <w:rPr>
          <w:rFonts w:hint="eastAsia" w:ascii="仿宋_GB2312" w:hAnsi="仿宋_GB2312" w:cs="仿宋_GB2312"/>
          <w:bCs/>
          <w:kern w:val="0"/>
          <w:lang w:bidi="ar"/>
        </w:rPr>
        <w:t>四是多元的优势积聚提供了强大的动能。</w:t>
      </w:r>
      <w:r>
        <w:rPr>
          <w:rFonts w:hint="eastAsia" w:ascii="仿宋_GB2312" w:hAnsi="仿宋_GB2312" w:cs="仿宋_GB2312"/>
          <w:kern w:val="0"/>
        </w:rPr>
        <w:t>核心水源地的绿色发展优势、农业农村大市的潜在发展优势、医圣故里的中医药振兴发展优势、丰富文旅资源的融合发展优势、军民融合带动先进制造业飞跃发展优势、南水北调带来的京宛合作优势，正从局部优势逐步演变为整体优势，从单点优势加快转化为综合优势，为工农业产品、城乡消费品、服务贸易等在南阳集聚融通提供了展现蓬勃生机和强大势能的基础条件。</w:t>
      </w:r>
    </w:p>
    <w:p>
      <w:pPr>
        <w:spacing w:line="560" w:lineRule="exact"/>
        <w:ind w:firstLine="640" w:firstLineChars="200"/>
        <w:contextualSpacing/>
        <w:rPr>
          <w:rFonts w:ascii="仿宋_GB2312" w:hAnsi="仿宋_GB2312" w:cs="仿宋_GB2312"/>
          <w:kern w:val="0"/>
        </w:rPr>
      </w:pPr>
      <w:r>
        <w:rPr>
          <w:rFonts w:hint="eastAsia" w:ascii="仿宋_GB2312" w:hAnsi="仿宋_GB2312" w:cs="仿宋_GB2312"/>
          <w:bCs/>
          <w:kern w:val="0"/>
        </w:rPr>
        <w:t>我市建设现代流通体系面临诸多挑战和困难。</w:t>
      </w:r>
      <w:r>
        <w:rPr>
          <w:rFonts w:hint="eastAsia" w:ascii="仿宋_GB2312" w:hAnsi="仿宋_GB2312" w:cs="仿宋_GB2312"/>
          <w:bCs/>
          <w:kern w:val="0"/>
          <w:lang w:bidi="ar"/>
        </w:rPr>
        <w:t>一是互联网冲击影响深远。</w:t>
      </w:r>
      <w:r>
        <w:rPr>
          <w:rFonts w:hint="eastAsia" w:ascii="仿宋_GB2312" w:hAnsi="仿宋_GB2312" w:cs="仿宋_GB2312"/>
          <w:kern w:val="0"/>
        </w:rPr>
        <w:t>“互联网+”打破地域和时空界限，使商流、信息流、资金流、物流等要素得到快速整合，加速了流通扁平化的进程，市场竞争由国内扩大到国际，竞争更加激烈。同时，新一轮科技革命和产业变革加速推进，新业态、新技术层出不穷，深刻影响着现代流通组织模式、运营模式、产业模式及大众消费方式，对现代流通体系建设提出了更高要求。</w:t>
      </w:r>
      <w:r>
        <w:rPr>
          <w:rFonts w:hint="eastAsia" w:ascii="仿宋_GB2312" w:hAnsi="仿宋_GB2312" w:cs="仿宋_GB2312"/>
          <w:bCs/>
          <w:kern w:val="0"/>
          <w:lang w:bidi="ar"/>
        </w:rPr>
        <w:t>二是区域竞争日趋激烈。</w:t>
      </w:r>
      <w:r>
        <w:rPr>
          <w:rFonts w:hint="eastAsia" w:ascii="仿宋_GB2312" w:hAnsi="仿宋_GB2312" w:cs="仿宋_GB2312"/>
          <w:kern w:val="0"/>
        </w:rPr>
        <w:t>洛阳市、襄阳市、十堰市等地正依托郑州都市圈、长江经济带等战略实施带动城市建设和发展，区域政策资源、市场资源、企业资源、人才资源等争夺日益加剧，将给现代流通体系建设带来严峻挑战。</w:t>
      </w:r>
      <w:r>
        <w:rPr>
          <w:rFonts w:hint="eastAsia" w:ascii="仿宋_GB2312" w:hAnsi="仿宋_GB2312" w:cs="仿宋_GB2312"/>
          <w:bCs/>
          <w:kern w:val="0"/>
          <w:lang w:bidi="ar"/>
        </w:rPr>
        <w:t>三是自身发展不平衡不充分问题依然存在。</w:t>
      </w:r>
      <w:r>
        <w:rPr>
          <w:rFonts w:hint="eastAsia" w:ascii="仿宋_GB2312" w:hAnsi="仿宋_GB2312" w:cs="仿宋_GB2312"/>
          <w:kern w:val="0"/>
        </w:rPr>
        <w:t>适应多样化、个性化、品质化消费需求的有效供给尤其是中高端供给不足，流通基础设施和服务保障依然薄弱，再加上受新冠肺炎疫情影响，经济环境不确定性加大，产业链、供应链不稳定性增加，我市在供应链安全稳定、内外贸联动发展、区域流动设施一体化、流通治理能力提升等方面仍面临诸多挑战。</w:t>
      </w:r>
    </w:p>
    <w:p>
      <w:pPr>
        <w:spacing w:line="560" w:lineRule="exact"/>
        <w:ind w:firstLine="640" w:firstLineChars="200"/>
        <w:contextualSpacing/>
        <w:rPr>
          <w:rFonts w:ascii="仿宋_GB2312" w:hAnsi="仿宋_GB2312" w:cs="仿宋_GB2312"/>
          <w:kern w:val="0"/>
        </w:rPr>
      </w:pPr>
      <w:r>
        <w:rPr>
          <w:rFonts w:hint="eastAsia" w:ascii="仿宋_GB2312" w:hAnsi="仿宋_GB2312" w:cs="仿宋_GB2312"/>
          <w:kern w:val="0"/>
        </w:rPr>
        <w:t>综合研判，我市建设现代流通体系形势复杂、任务艰巨，但仍处于大有可为的重要战略机遇期。全市上下要始终着眼“两个大局”，</w:t>
      </w:r>
      <w:r>
        <w:rPr>
          <w:rFonts w:hint="eastAsia" w:ascii="仿宋_GB2312" w:hAnsi="仿宋_GB2312" w:cs="仿宋_GB2312"/>
        </w:rPr>
        <w:t>充分发挥自身区位优势、产业优势、人口优势、资源优势，加快创新步伐、加大改革力度、抢抓发展机遇，有力促进实体经济结构优化升级，推动我市现代流通体系发展再上新台阶，促进我市</w:t>
      </w:r>
      <w:r>
        <w:rPr>
          <w:rFonts w:hint="eastAsia" w:ascii="仿宋_GB2312" w:hAnsi="仿宋_GB2312" w:cs="仿宋_GB2312"/>
          <w:kern w:val="0"/>
        </w:rPr>
        <w:t xml:space="preserve">深度融入豫鄂陕省际区域经济循环，更好融入以国内大循环为主体、国内国际双循环相互促进的新发展格局。 </w:t>
      </w:r>
    </w:p>
    <w:p>
      <w:pPr>
        <w:spacing w:line="560" w:lineRule="exact"/>
        <w:contextualSpacing/>
        <w:jc w:val="center"/>
        <w:outlineLvl w:val="0"/>
        <w:rPr>
          <w:rFonts w:ascii="黑体" w:hAnsi="黑体" w:eastAsia="黑体" w:cs="黑体"/>
        </w:rPr>
      </w:pPr>
      <w:bookmarkStart w:id="1330" w:name="_Toc1935477158"/>
      <w:r>
        <w:rPr>
          <w:rFonts w:hint="eastAsia" w:ascii="黑体" w:hAnsi="黑体" w:eastAsia="黑体" w:cs="黑体"/>
        </w:rPr>
        <w:t>第二章 总体要求</w:t>
      </w:r>
      <w:bookmarkEnd w:id="1330"/>
    </w:p>
    <w:p>
      <w:pPr>
        <w:spacing w:line="560" w:lineRule="exact"/>
        <w:contextualSpacing/>
        <w:jc w:val="center"/>
        <w:outlineLvl w:val="1"/>
        <w:rPr>
          <w:rFonts w:ascii="楷体_GB2312" w:hAnsi="楷体_GB2312" w:eastAsia="楷体_GB2312" w:cs="楷体_GB2312"/>
        </w:rPr>
      </w:pPr>
      <w:bookmarkStart w:id="1331" w:name="_Toc1870321624"/>
      <w:r>
        <w:rPr>
          <w:rFonts w:hint="eastAsia" w:ascii="楷体_GB2312" w:hAnsi="楷体_GB2312" w:eastAsia="楷体_GB2312" w:cs="楷体_GB2312"/>
        </w:rPr>
        <w:t>第一节 指导思想</w:t>
      </w:r>
      <w:bookmarkEnd w:id="1331"/>
    </w:p>
    <w:p>
      <w:pPr>
        <w:spacing w:line="560" w:lineRule="exact"/>
        <w:ind w:firstLine="640" w:firstLineChars="200"/>
        <w:contextualSpacing/>
        <w:rPr>
          <w:rFonts w:ascii="仿宋_GB2312" w:hAnsi="仿宋_GB2312" w:cs="仿宋_GB2312"/>
        </w:rPr>
      </w:pPr>
      <w:r>
        <w:rPr>
          <w:rFonts w:hint="eastAsia" w:ascii="仿宋_GB2312" w:hAnsi="仿宋_GB2312" w:cs="仿宋_GB2312"/>
        </w:rPr>
        <w:t>坚持以习近平新时代中国特色社会主义思想为指导，深入贯彻落实习近平总书记关于现代流通体系发展的重要论述精神、视察南阳重要讲话重要指示，科学把握新发展阶段、坚决贯彻新发展理念、服务构建新发展格局，以推动现代流通体系高质量发展为主题，以深化供给侧结构性改革为主线，以改革开放创新为根本动力，以满足人民日益增长的美好生活需要为根本目的，统筹现代流通体系硬件和软件建设，着力推动现代流通产业基础高级化、产业链供应链现代化、流通设施网络化、载体平台高</w:t>
      </w:r>
      <w:r>
        <w:rPr>
          <w:rFonts w:hint="eastAsia" w:ascii="仿宋_GB2312" w:hAnsi="仿宋_GB2312" w:cs="仿宋_GB2312"/>
          <w:lang w:val="zh-CN"/>
        </w:rPr>
        <w:t>端化</w:t>
      </w:r>
      <w:r>
        <w:rPr>
          <w:rFonts w:hint="eastAsia" w:ascii="仿宋_GB2312" w:hAnsi="仿宋_GB2312" w:cs="仿宋_GB2312"/>
        </w:rPr>
        <w:t>、金融信用支撑高效化、发展环境优质化，着力畅通产业、供需、城乡、内外、要素“五大循环”，培育发展动能、提高流通效能，围绕建设河南现代流通副中心城市战略总目标，</w:t>
      </w:r>
      <w:r>
        <w:rPr>
          <w:rFonts w:ascii="仿宋_GB2312" w:hAnsi="宋体" w:cs="仿宋_GB2312"/>
          <w:kern w:val="0"/>
          <w:lang w:bidi="ar"/>
        </w:rPr>
        <w:t>全力打造</w:t>
      </w:r>
      <w:r>
        <w:rPr>
          <w:rFonts w:hint="eastAsia" w:ascii="仿宋_GB2312" w:hAnsi="宋体" w:cs="仿宋_GB2312"/>
          <w:kern w:val="0"/>
          <w:lang w:bidi="ar"/>
        </w:rPr>
        <w:t>区域消费中心、资源配置中心、商贸物流中心和区域开放高地，锚定“两个确保”，</w:t>
      </w:r>
      <w:r>
        <w:rPr>
          <w:rFonts w:hint="eastAsia" w:ascii="仿宋_GB2312" w:hAnsi="仿宋_GB2312" w:cs="仿宋_GB2312"/>
        </w:rPr>
        <w:t>为奋力打造河南省副中心城市提供有力支撑。</w:t>
      </w:r>
    </w:p>
    <w:p>
      <w:pPr>
        <w:spacing w:line="560" w:lineRule="exact"/>
        <w:contextualSpacing/>
        <w:jc w:val="center"/>
        <w:outlineLvl w:val="1"/>
        <w:rPr>
          <w:rFonts w:ascii="楷体_GB2312" w:hAnsi="楷体_GB2312" w:eastAsia="楷体_GB2312" w:cs="楷体_GB2312"/>
        </w:rPr>
      </w:pPr>
      <w:bookmarkStart w:id="1332" w:name="_Toc1662250320"/>
      <w:r>
        <w:rPr>
          <w:rFonts w:hint="eastAsia" w:ascii="楷体_GB2312" w:hAnsi="楷体_GB2312" w:eastAsia="楷体_GB2312" w:cs="楷体_GB2312"/>
        </w:rPr>
        <w:t>第二节 基本原则</w:t>
      </w:r>
      <w:bookmarkEnd w:id="1332"/>
    </w:p>
    <w:p>
      <w:pPr>
        <w:spacing w:line="560" w:lineRule="exact"/>
        <w:ind w:firstLine="640" w:firstLineChars="200"/>
        <w:contextualSpacing/>
        <w:jc w:val="left"/>
      </w:pPr>
      <w:r>
        <w:rPr>
          <w:rFonts w:hint="eastAsia" w:ascii="仿宋_GB2312" w:hAnsi="仿宋_GB2312" w:cs="仿宋_GB2312"/>
          <w:bCs/>
          <w:kern w:val="0"/>
          <w:lang w:bidi="ar"/>
        </w:rPr>
        <w:t>——市场引领，政府引导。</w:t>
      </w:r>
      <w:r>
        <w:rPr>
          <w:rFonts w:hint="eastAsia" w:ascii="仿宋_GB2312" w:hAnsi="仿宋_GB2312" w:cs="仿宋_GB2312"/>
        </w:rPr>
        <w:t>坚持政府和市场双面协同，充分发挥市场在资源配置中的决定性作用，激发各类流通主体活力，提高流通要素配置效率。更好发挥政府作用，加强规划引导，完善政策法规体系，优化营商环境，</w:t>
      </w:r>
      <w:r>
        <w:rPr>
          <w:rFonts w:hint="eastAsia" w:ascii="仿宋_GB2312" w:hAnsi="宋体" w:cs="仿宋_GB2312"/>
          <w:kern w:val="0"/>
          <w:sz w:val="31"/>
          <w:szCs w:val="31"/>
          <w:lang w:bidi="ar"/>
        </w:rPr>
        <w:t>全面提升现代化治理能力。</w:t>
      </w:r>
    </w:p>
    <w:p>
      <w:pPr>
        <w:spacing w:line="560" w:lineRule="exact"/>
        <w:ind w:firstLine="640" w:firstLineChars="200"/>
        <w:contextualSpacing/>
        <w:rPr>
          <w:rFonts w:ascii="仿宋_GB2312" w:hAnsi="仿宋_GB2312" w:cs="仿宋_GB2312"/>
        </w:rPr>
      </w:pPr>
      <w:r>
        <w:rPr>
          <w:rFonts w:hint="eastAsia" w:ascii="仿宋_GB2312" w:hAnsi="仿宋_GB2312" w:cs="仿宋_GB2312"/>
          <w:bCs/>
          <w:kern w:val="0"/>
          <w:lang w:bidi="ar"/>
        </w:rPr>
        <w:t>——创新驱动，改革增效。</w:t>
      </w:r>
      <w:r>
        <w:rPr>
          <w:rFonts w:hint="eastAsia" w:ascii="仿宋_GB2312" w:hAnsi="仿宋_GB2312" w:cs="仿宋_GB2312"/>
        </w:rPr>
        <w:t>坚持创新与改革双轮驱动，深化流通领域“放管服效”改革，加快流通领域科技赋能步伐，全面提升流通信息化水平，大力培育现代流通新技术、新模式、新业态，推动现代流通内涵式、高质量发展，提升现代流通体系整体效能。</w:t>
      </w:r>
    </w:p>
    <w:p>
      <w:pPr>
        <w:spacing w:line="560" w:lineRule="exact"/>
        <w:ind w:firstLine="640" w:firstLineChars="200"/>
        <w:contextualSpacing/>
        <w:rPr>
          <w:rFonts w:ascii="仿宋_GB2312" w:hAnsi="仿宋_GB2312" w:cs="仿宋_GB2312"/>
        </w:rPr>
      </w:pPr>
      <w:r>
        <w:rPr>
          <w:rFonts w:hint="eastAsia" w:ascii="仿宋_GB2312" w:hAnsi="仿宋_GB2312" w:cs="仿宋_GB2312"/>
          <w:bCs/>
          <w:kern w:val="0"/>
          <w:lang w:bidi="ar"/>
        </w:rPr>
        <w:t>——统筹资源，畅通循环。</w:t>
      </w:r>
      <w:r>
        <w:rPr>
          <w:rFonts w:hint="eastAsia" w:ascii="仿宋_GB2312" w:hAnsi="仿宋_GB2312" w:cs="仿宋_GB2312"/>
        </w:rPr>
        <w:t>坚持供给与需求双侧发力，统筹推动生产、分配、流通、消费各环节各类资源</w:t>
      </w:r>
      <w:r>
        <w:rPr>
          <w:rFonts w:ascii="仿宋_GB2312" w:hAnsi="仿宋_GB2312" w:cs="仿宋_GB2312"/>
        </w:rPr>
        <w:t>要素有序高效流动</w:t>
      </w:r>
      <w:r>
        <w:rPr>
          <w:rFonts w:hint="eastAsia" w:ascii="仿宋_GB2312" w:hAnsi="仿宋_GB2312" w:cs="仿宋_GB2312"/>
        </w:rPr>
        <w:t>，强化流通与其他产业联动合力，积极延伸产业链、供应链，提升价值链，带动国内、国际协同发展，畅通国际、国内双循环。</w:t>
      </w:r>
    </w:p>
    <w:p>
      <w:pPr>
        <w:spacing w:line="560" w:lineRule="exact"/>
        <w:ind w:firstLine="640" w:firstLineChars="200"/>
        <w:contextualSpacing/>
      </w:pPr>
      <w:r>
        <w:rPr>
          <w:rFonts w:hint="eastAsia" w:ascii="仿宋_GB2312" w:hAnsi="仿宋_GB2312" w:cs="仿宋_GB2312"/>
          <w:bCs/>
          <w:kern w:val="0"/>
          <w:lang w:bidi="ar"/>
        </w:rPr>
        <w:t>——绿色安全，开放共享。</w:t>
      </w:r>
      <w:r>
        <w:rPr>
          <w:rFonts w:hint="eastAsia" w:ascii="仿宋_GB2312" w:hAnsi="仿宋_GB2312" w:cs="仿宋_GB2312"/>
        </w:rPr>
        <w:t>坚持发展与安全双向互促，</w:t>
      </w:r>
      <w:r>
        <w:rPr>
          <w:rFonts w:ascii="仿宋_GB2312" w:hAnsi="仿宋_GB2312" w:cs="仿宋_GB2312"/>
        </w:rPr>
        <w:t>统筹国内国际两个大局，</w:t>
      </w:r>
      <w:r>
        <w:rPr>
          <w:rFonts w:hint="eastAsia" w:ascii="仿宋_GB2312" w:hAnsi="仿宋_GB2312" w:cs="仿宋_GB2312"/>
        </w:rPr>
        <w:t>落实碳达峰、碳中和目标，发展绿色流通方式，增强现代流通体系韧性，更好发挥商贸流通繁荣市场、降本增效、扩大就业、满足消费等民生功能，推动</w:t>
      </w:r>
      <w:r>
        <w:rPr>
          <w:rFonts w:ascii="仿宋_GB2312" w:hAnsi="仿宋_GB2312" w:cs="仿宋_GB2312"/>
        </w:rPr>
        <w:t>开放共享</w:t>
      </w:r>
      <w:r>
        <w:rPr>
          <w:rFonts w:hint="eastAsia" w:ascii="仿宋_GB2312" w:hAnsi="仿宋_GB2312" w:cs="仿宋_GB2312"/>
        </w:rPr>
        <w:t>发展。</w:t>
      </w:r>
    </w:p>
    <w:p>
      <w:pPr>
        <w:spacing w:line="560" w:lineRule="exact"/>
        <w:contextualSpacing/>
        <w:jc w:val="center"/>
        <w:outlineLvl w:val="1"/>
        <w:rPr>
          <w:rFonts w:ascii="楷体_GB2312" w:hAnsi="楷体_GB2312" w:eastAsia="楷体_GB2312" w:cs="楷体_GB2312"/>
        </w:rPr>
      </w:pPr>
      <w:bookmarkStart w:id="1333" w:name="_Toc939828040"/>
      <w:r>
        <w:rPr>
          <w:rFonts w:hint="eastAsia" w:ascii="楷体_GB2312" w:hAnsi="楷体_GB2312" w:eastAsia="楷体_GB2312" w:cs="楷体_GB2312"/>
        </w:rPr>
        <w:t>第三节 发展目标</w:t>
      </w:r>
      <w:bookmarkEnd w:id="1333"/>
    </w:p>
    <w:p>
      <w:pPr>
        <w:spacing w:line="560" w:lineRule="exact"/>
        <w:ind w:firstLine="640" w:firstLineChars="200"/>
        <w:contextualSpacing/>
        <w:rPr>
          <w:rFonts w:ascii="Times New Roman" w:hAnsi="Times New Roman" w:cs="仿宋_GB2312"/>
        </w:rPr>
      </w:pPr>
      <w:r>
        <w:rPr>
          <w:rFonts w:hint="eastAsia" w:ascii="Times New Roman" w:hAnsi="Times New Roman" w:cs="仿宋_GB2312"/>
        </w:rPr>
        <w:t>到2025年，基本建立起适应新发展阶段、符合新发展理念、支撑新发展格局，主体活跃、产业繁荣、内联外通、绿色智慧、安全高效的现代流通体系，对全市建设现代经济体系和河南省副中心城市的支撑能力显著增强。</w:t>
      </w:r>
    </w:p>
    <w:p>
      <w:pPr>
        <w:spacing w:line="560" w:lineRule="exact"/>
        <w:ind w:firstLine="640" w:firstLineChars="200"/>
        <w:contextualSpacing/>
        <w:rPr>
          <w:rFonts w:ascii="Times New Roman" w:hAnsi="Times New Roman" w:cs="仿宋_GB2312"/>
          <w:kern w:val="0"/>
        </w:rPr>
      </w:pPr>
      <w:r>
        <w:rPr>
          <w:rFonts w:hint="eastAsia" w:ascii="楷体_GB2312" w:hAnsi="楷体_GB2312" w:eastAsia="楷体_GB2312" w:cs="楷体_GB2312"/>
          <w:bCs/>
          <w:kern w:val="0"/>
        </w:rPr>
        <w:t>——</w:t>
      </w:r>
      <w:r>
        <w:rPr>
          <w:rFonts w:hint="eastAsia" w:ascii="Times New Roman" w:hAnsi="Times New Roman" w:cs="仿宋_GB2312"/>
          <w:bCs/>
          <w:kern w:val="0"/>
        </w:rPr>
        <w:t>流通产业基础更加夯实。</w:t>
      </w:r>
      <w:r>
        <w:rPr>
          <w:rFonts w:hint="eastAsia" w:ascii="Times New Roman" w:hAnsi="Times New Roman" w:cs="仿宋_GB2312"/>
        </w:rPr>
        <w:t>流通</w:t>
      </w:r>
      <w:r>
        <w:rPr>
          <w:rFonts w:hint="eastAsia" w:ascii="Times New Roman" w:hAnsi="Times New Roman" w:cs="仿宋_GB2312"/>
          <w:kern w:val="0"/>
        </w:rPr>
        <w:t>市场主体发展生态初步形成，</w:t>
      </w:r>
      <w:r>
        <w:rPr>
          <w:rFonts w:hint="eastAsia" w:ascii="Times New Roman" w:hAnsi="Times New Roman" w:cs="仿宋_GB2312"/>
        </w:rPr>
        <w:t>流通企业转型创新能力不断提升</w:t>
      </w:r>
      <w:r>
        <w:rPr>
          <w:rFonts w:hint="eastAsia" w:ascii="Times New Roman" w:hAnsi="Times New Roman" w:cs="仿宋_GB2312"/>
          <w:kern w:val="0"/>
        </w:rPr>
        <w:t>，流通市场体系建设取得新的进展，流通体系资源持续整合、优化配置能力进一步增强，流通新领域、新模式、新业态竞相发展，产业转型升级步伐不断加快，基础能力进一步夯实。</w:t>
      </w:r>
    </w:p>
    <w:p>
      <w:pPr>
        <w:spacing w:line="560" w:lineRule="exact"/>
        <w:ind w:firstLine="640" w:firstLineChars="200"/>
        <w:contextualSpacing/>
        <w:rPr>
          <w:rFonts w:ascii="Times New Roman" w:hAnsi="Times New Roman" w:cs="仿宋_GB2312"/>
          <w:kern w:val="0"/>
        </w:rPr>
      </w:pPr>
      <w:r>
        <w:rPr>
          <w:rFonts w:hint="eastAsia" w:ascii="楷体_GB2312" w:hAnsi="楷体_GB2312" w:eastAsia="楷体_GB2312" w:cs="楷体_GB2312"/>
          <w:bCs/>
          <w:kern w:val="0"/>
        </w:rPr>
        <w:t>——</w:t>
      </w:r>
      <w:r>
        <w:rPr>
          <w:rFonts w:hint="eastAsia" w:ascii="Times New Roman" w:hAnsi="Times New Roman" w:cs="仿宋_GB2312"/>
          <w:bCs/>
          <w:kern w:val="0"/>
        </w:rPr>
        <w:t>流通质量效益更加显著。</w:t>
      </w:r>
      <w:r>
        <w:rPr>
          <w:rFonts w:hint="eastAsia" w:ascii="Times New Roman" w:hAnsi="Times New Roman" w:cs="仿宋_GB2312"/>
        </w:rPr>
        <w:t>现代流通</w:t>
      </w:r>
      <w:r>
        <w:rPr>
          <w:rFonts w:hint="eastAsia" w:ascii="Times New Roman" w:hAnsi="Times New Roman" w:cs="仿宋_GB2312"/>
          <w:kern w:val="0"/>
        </w:rPr>
        <w:t>与其他实体经济深度融合，服务重点产业链、融入全球供应链、助力形成价值链的能力显著增强，流通成本明显降低，流通效率显著提高，流通体系安全性明显提升，以大流通带动大市场、大产业发展的格局基本形成，对国民经济的基础性、先导性作用进一步凸显。</w:t>
      </w:r>
    </w:p>
    <w:p>
      <w:pPr>
        <w:spacing w:line="560" w:lineRule="exact"/>
        <w:ind w:firstLine="640" w:firstLineChars="200"/>
        <w:contextualSpacing/>
        <w:rPr>
          <w:rFonts w:ascii="Times New Roman" w:hAnsi="Times New Roman" w:cs="仿宋_GB2312"/>
          <w:kern w:val="0"/>
        </w:rPr>
      </w:pPr>
      <w:r>
        <w:rPr>
          <w:rFonts w:hint="eastAsia" w:ascii="楷体_GB2312" w:hAnsi="楷体_GB2312" w:eastAsia="楷体_GB2312" w:cs="楷体_GB2312"/>
          <w:bCs/>
          <w:kern w:val="0"/>
        </w:rPr>
        <w:t>——</w:t>
      </w:r>
      <w:r>
        <w:rPr>
          <w:rFonts w:hint="eastAsia" w:ascii="Times New Roman" w:hAnsi="Times New Roman" w:cs="仿宋_GB2312"/>
          <w:bCs/>
          <w:kern w:val="0"/>
        </w:rPr>
        <w:t>流通设施网络更加优化。</w:t>
      </w:r>
      <w:r>
        <w:rPr>
          <w:rFonts w:hint="eastAsia" w:ascii="Times New Roman" w:hAnsi="Times New Roman" w:cs="仿宋_GB2312"/>
          <w:kern w:val="0"/>
        </w:rPr>
        <w:t>立体化、多层次、广辐射的综合运输体系和物流枢纽网络体系更加完善，跨物流环节转换、跨运输方式联运效率大幅提高，综合运输服务能力显著增强，城乡商贸基础设施建设成效显著，开放立体、内联外通、城乡互动、集约高效的现代流通设施网络进一步完善。</w:t>
      </w:r>
    </w:p>
    <w:p>
      <w:pPr>
        <w:spacing w:line="560" w:lineRule="exact"/>
        <w:ind w:firstLine="640" w:firstLineChars="200"/>
        <w:contextualSpacing/>
        <w:rPr>
          <w:rFonts w:ascii="Times New Roman" w:hAnsi="Times New Roman" w:cs="仿宋_GB2312"/>
          <w:kern w:val="0"/>
        </w:rPr>
      </w:pPr>
      <w:r>
        <w:rPr>
          <w:rFonts w:hint="eastAsia" w:ascii="楷体_GB2312" w:hAnsi="楷体_GB2312" w:eastAsia="楷体_GB2312" w:cs="楷体_GB2312"/>
          <w:bCs/>
          <w:kern w:val="0"/>
        </w:rPr>
        <w:t>——</w:t>
      </w:r>
      <w:r>
        <w:rPr>
          <w:rFonts w:hint="eastAsia" w:ascii="Times New Roman" w:hAnsi="Times New Roman" w:cs="仿宋_GB2312"/>
          <w:bCs/>
          <w:kern w:val="0"/>
        </w:rPr>
        <w:t>流通枢纽地位更加提升。</w:t>
      </w:r>
      <w:r>
        <w:rPr>
          <w:rFonts w:hint="eastAsia" w:ascii="Times New Roman" w:hAnsi="Times New Roman" w:cs="仿宋_GB2312"/>
          <w:bCs/>
        </w:rPr>
        <w:t>商贸服务型国家物流枢纽、区域进出口商品分拨集散和消费中心</w:t>
      </w:r>
      <w:r>
        <w:rPr>
          <w:rFonts w:hint="eastAsia" w:ascii="Times New Roman" w:hAnsi="Times New Roman" w:cs="仿宋_GB2312"/>
          <w:kern w:val="0"/>
        </w:rPr>
        <w:t>、豫鄂陕区域性现代物流枢纽城市基本形成，现代商贸流通集聚辐射能力凸显，服务区域经济社会高质量发展和商品市场高水平开放的能力显著增强，流通通道枢纽地位进一步巩固。</w:t>
      </w:r>
    </w:p>
    <w:p>
      <w:pPr>
        <w:spacing w:line="560" w:lineRule="exact"/>
        <w:ind w:firstLine="640" w:firstLineChars="200"/>
        <w:contextualSpacing/>
        <w:rPr>
          <w:rFonts w:ascii="Times New Roman" w:hAnsi="Times New Roman" w:cs="仿宋_GB2312"/>
          <w:kern w:val="0"/>
        </w:rPr>
      </w:pPr>
      <w:r>
        <w:rPr>
          <w:rFonts w:hint="eastAsia" w:ascii="楷体_GB2312" w:hAnsi="楷体_GB2312" w:eastAsia="楷体_GB2312" w:cs="楷体_GB2312"/>
          <w:bCs/>
          <w:kern w:val="0"/>
        </w:rPr>
        <w:t>——</w:t>
      </w:r>
      <w:r>
        <w:rPr>
          <w:rFonts w:hint="eastAsia" w:ascii="Times New Roman" w:hAnsi="Times New Roman" w:cs="仿宋_GB2312"/>
          <w:bCs/>
          <w:kern w:val="0"/>
        </w:rPr>
        <w:t>流通发展环境更为改善。</w:t>
      </w:r>
      <w:r>
        <w:rPr>
          <w:rFonts w:hint="eastAsia" w:ascii="Times New Roman" w:hAnsi="Times New Roman" w:cs="仿宋_GB2312"/>
          <w:bCs/>
        </w:rPr>
        <w:t>现代流通</w:t>
      </w:r>
      <w:r>
        <w:rPr>
          <w:rFonts w:hint="eastAsia" w:ascii="Times New Roman" w:hAnsi="Times New Roman" w:cs="仿宋_GB2312"/>
          <w:kern w:val="0"/>
        </w:rPr>
        <w:t>重点领域和关键环节改革取得明显突破，流通智能化、标准化、绿色化水平大幅提升，流通领域信用监管机制逐步健全，金融服务支撑能力明显增强，营商环境持续改善，商品和生活服务供给能力持续增强，现代流通体系发展环境进一步优化。</w:t>
      </w:r>
    </w:p>
    <w:tbl>
      <w:tblPr>
        <w:tblStyle w:val="2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1246"/>
        <w:gridCol w:w="3336"/>
        <w:gridCol w:w="1521"/>
        <w:gridCol w:w="1522"/>
        <w:gridCol w:w="1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60" w:hRule="atLeast"/>
          <w:jc w:val="center"/>
        </w:trPr>
        <w:tc>
          <w:tcPr>
            <w:tcW w:w="8823" w:type="dxa"/>
            <w:gridSpan w:val="5"/>
            <w:tcBorders>
              <w:tl2br w:val="nil"/>
              <w:tr2bl w:val="nil"/>
            </w:tcBorders>
            <w:vAlign w:val="center"/>
          </w:tcPr>
          <w:p>
            <w:pPr>
              <w:spacing w:line="400" w:lineRule="exact"/>
              <w:contextualSpacing/>
              <w:jc w:val="center"/>
              <w:textAlignment w:val="center"/>
              <w:rPr>
                <w:rFonts w:ascii="Times New Roman" w:hAnsi="Times New Roman" w:eastAsia="黑体" w:cs="黑体"/>
                <w:sz w:val="28"/>
                <w:szCs w:val="28"/>
              </w:rPr>
            </w:pPr>
            <w:r>
              <w:rPr>
                <w:rFonts w:hint="eastAsia" w:ascii="Times New Roman" w:hAnsi="Times New Roman" w:eastAsia="黑体" w:cs="黑体"/>
                <w:kern w:val="0"/>
                <w:sz w:val="28"/>
                <w:szCs w:val="28"/>
              </w:rPr>
              <w:t>专栏</w:t>
            </w:r>
            <w:r>
              <w:rPr>
                <w:rFonts w:hint="eastAsia" w:ascii="Times New Roman" w:hAnsi="Times New Roman" w:eastAsia="黑体" w:cs="黑体"/>
                <w:sz w:val="28"/>
                <w:szCs w:val="28"/>
              </w:rPr>
              <w:t>1：“十四五”时期南阳市现代流通体系发展主要指标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782" w:hRule="atLeast"/>
          <w:jc w:val="center"/>
        </w:trPr>
        <w:tc>
          <w:tcPr>
            <w:tcW w:w="1246" w:type="dxa"/>
            <w:tcBorders>
              <w:tl2br w:val="nil"/>
              <w:tr2bl w:val="nil"/>
            </w:tcBorders>
            <w:vAlign w:val="center"/>
          </w:tcPr>
          <w:p>
            <w:pPr>
              <w:spacing w:line="400" w:lineRule="exact"/>
              <w:contextualSpacing/>
              <w:jc w:val="center"/>
              <w:textAlignment w:val="center"/>
              <w:rPr>
                <w:rFonts w:ascii="Times New Roman" w:hAnsi="Times New Roman" w:eastAsia="黑体" w:cs="黑体"/>
                <w:sz w:val="24"/>
                <w:szCs w:val="24"/>
              </w:rPr>
            </w:pPr>
            <w:r>
              <w:rPr>
                <w:rFonts w:hint="eastAsia" w:ascii="Times New Roman" w:hAnsi="Times New Roman" w:eastAsia="黑体" w:cs="黑体"/>
                <w:kern w:val="0"/>
                <w:sz w:val="24"/>
                <w:szCs w:val="24"/>
              </w:rPr>
              <w:t>类别</w:t>
            </w:r>
          </w:p>
        </w:tc>
        <w:tc>
          <w:tcPr>
            <w:tcW w:w="3336" w:type="dxa"/>
            <w:tcBorders>
              <w:tl2br w:val="nil"/>
              <w:tr2bl w:val="nil"/>
            </w:tcBorders>
            <w:vAlign w:val="center"/>
          </w:tcPr>
          <w:p>
            <w:pPr>
              <w:spacing w:line="400" w:lineRule="exact"/>
              <w:contextualSpacing/>
              <w:jc w:val="center"/>
              <w:textAlignment w:val="center"/>
              <w:rPr>
                <w:rFonts w:ascii="Times New Roman" w:hAnsi="Times New Roman" w:eastAsia="黑体" w:cs="黑体"/>
                <w:sz w:val="24"/>
                <w:szCs w:val="24"/>
              </w:rPr>
            </w:pPr>
            <w:r>
              <w:rPr>
                <w:rFonts w:hint="eastAsia" w:ascii="Times New Roman" w:hAnsi="Times New Roman" w:eastAsia="黑体" w:cs="黑体"/>
                <w:kern w:val="0"/>
                <w:sz w:val="24"/>
                <w:szCs w:val="24"/>
              </w:rPr>
              <w:t>主要</w:t>
            </w:r>
            <w:r>
              <w:rPr>
                <w:rFonts w:hint="eastAsia" w:ascii="Times New Roman" w:hAnsi="Times New Roman" w:eastAsia="黑体" w:cs="黑体"/>
                <w:sz w:val="24"/>
                <w:szCs w:val="24"/>
              </w:rPr>
              <w:t>指标</w:t>
            </w:r>
          </w:p>
        </w:tc>
        <w:tc>
          <w:tcPr>
            <w:tcW w:w="1521" w:type="dxa"/>
            <w:tcBorders>
              <w:tl2br w:val="nil"/>
              <w:tr2bl w:val="nil"/>
            </w:tcBorders>
            <w:vAlign w:val="center"/>
          </w:tcPr>
          <w:p>
            <w:pPr>
              <w:spacing w:line="400" w:lineRule="exact"/>
              <w:contextualSpacing/>
              <w:jc w:val="center"/>
              <w:textAlignment w:val="center"/>
              <w:rPr>
                <w:rFonts w:ascii="Times New Roman" w:hAnsi="Times New Roman" w:eastAsia="黑体" w:cs="黑体"/>
                <w:sz w:val="24"/>
                <w:szCs w:val="24"/>
              </w:rPr>
            </w:pPr>
            <w:r>
              <w:rPr>
                <w:rFonts w:hint="eastAsia" w:ascii="Times New Roman" w:hAnsi="Times New Roman" w:eastAsia="黑体" w:cs="黑体"/>
                <w:kern w:val="0"/>
                <w:sz w:val="24"/>
                <w:szCs w:val="24"/>
              </w:rPr>
              <w:t>2020</w:t>
            </w:r>
            <w:r>
              <w:rPr>
                <w:rFonts w:hint="eastAsia" w:ascii="Times New Roman" w:hAnsi="Times New Roman" w:eastAsia="黑体" w:cs="黑体"/>
                <w:sz w:val="24"/>
                <w:szCs w:val="24"/>
              </w:rPr>
              <w:t>年</w:t>
            </w:r>
          </w:p>
          <w:p>
            <w:pPr>
              <w:spacing w:line="400" w:lineRule="exact"/>
              <w:contextualSpacing/>
              <w:jc w:val="center"/>
              <w:textAlignment w:val="center"/>
              <w:rPr>
                <w:rFonts w:ascii="Times New Roman" w:hAnsi="Times New Roman" w:eastAsia="黑体" w:cs="黑体"/>
                <w:sz w:val="24"/>
                <w:szCs w:val="24"/>
              </w:rPr>
            </w:pPr>
            <w:r>
              <w:rPr>
                <w:rFonts w:hint="eastAsia" w:ascii="Times New Roman" w:hAnsi="Times New Roman" w:eastAsia="黑体" w:cs="黑体"/>
                <w:sz w:val="24"/>
                <w:szCs w:val="24"/>
              </w:rPr>
              <w:t>基础值</w:t>
            </w:r>
          </w:p>
        </w:tc>
        <w:tc>
          <w:tcPr>
            <w:tcW w:w="1522" w:type="dxa"/>
            <w:tcBorders>
              <w:tl2br w:val="nil"/>
              <w:tr2bl w:val="nil"/>
            </w:tcBorders>
            <w:vAlign w:val="center"/>
          </w:tcPr>
          <w:p>
            <w:pPr>
              <w:spacing w:line="400" w:lineRule="exact"/>
              <w:contextualSpacing/>
              <w:jc w:val="center"/>
              <w:textAlignment w:val="center"/>
              <w:rPr>
                <w:rFonts w:ascii="Times New Roman" w:hAnsi="Times New Roman" w:eastAsia="黑体" w:cs="黑体"/>
                <w:sz w:val="24"/>
                <w:szCs w:val="24"/>
              </w:rPr>
            </w:pPr>
            <w:r>
              <w:rPr>
                <w:rFonts w:hint="eastAsia" w:ascii="Times New Roman" w:hAnsi="Times New Roman" w:eastAsia="黑体" w:cs="黑体"/>
                <w:kern w:val="0"/>
                <w:sz w:val="24"/>
                <w:szCs w:val="24"/>
              </w:rPr>
              <w:t>2025</w:t>
            </w:r>
            <w:r>
              <w:rPr>
                <w:rFonts w:hint="eastAsia" w:ascii="Times New Roman" w:hAnsi="Times New Roman" w:eastAsia="黑体" w:cs="黑体"/>
                <w:sz w:val="24"/>
                <w:szCs w:val="24"/>
              </w:rPr>
              <w:t>年</w:t>
            </w:r>
          </w:p>
          <w:p>
            <w:pPr>
              <w:spacing w:line="400" w:lineRule="exact"/>
              <w:contextualSpacing/>
              <w:jc w:val="center"/>
              <w:textAlignment w:val="center"/>
              <w:rPr>
                <w:rFonts w:ascii="Times New Roman" w:hAnsi="Times New Roman" w:eastAsia="黑体" w:cs="黑体"/>
                <w:sz w:val="24"/>
                <w:szCs w:val="24"/>
              </w:rPr>
            </w:pPr>
            <w:r>
              <w:rPr>
                <w:rFonts w:hint="eastAsia" w:ascii="Times New Roman" w:hAnsi="Times New Roman" w:eastAsia="黑体" w:cs="黑体"/>
                <w:sz w:val="24"/>
                <w:szCs w:val="24"/>
              </w:rPr>
              <w:t>目标值</w:t>
            </w:r>
          </w:p>
        </w:tc>
        <w:tc>
          <w:tcPr>
            <w:tcW w:w="1198" w:type="dxa"/>
            <w:tcBorders>
              <w:tl2br w:val="nil"/>
              <w:tr2bl w:val="nil"/>
            </w:tcBorders>
            <w:vAlign w:val="center"/>
          </w:tcPr>
          <w:p>
            <w:pPr>
              <w:spacing w:line="400" w:lineRule="exact"/>
              <w:contextualSpacing/>
              <w:jc w:val="center"/>
              <w:textAlignment w:val="center"/>
              <w:rPr>
                <w:rFonts w:ascii="Times New Roman" w:hAnsi="Times New Roman" w:eastAsia="黑体" w:cs="黑体"/>
                <w:kern w:val="0"/>
                <w:sz w:val="24"/>
                <w:szCs w:val="24"/>
              </w:rPr>
            </w:pPr>
            <w:r>
              <w:rPr>
                <w:rFonts w:hint="eastAsia" w:ascii="Times New Roman" w:hAnsi="Times New Roman" w:eastAsia="黑体" w:cs="黑体"/>
                <w:kern w:val="0"/>
                <w:sz w:val="24"/>
                <w:szCs w:val="24"/>
              </w:rPr>
              <w:t>指标</w:t>
            </w:r>
          </w:p>
          <w:p>
            <w:pPr>
              <w:spacing w:line="400" w:lineRule="exact"/>
              <w:contextualSpacing/>
              <w:jc w:val="center"/>
              <w:textAlignment w:val="center"/>
              <w:rPr>
                <w:rFonts w:ascii="Times New Roman" w:hAnsi="Times New Roman" w:eastAsia="黑体" w:cs="黑体"/>
                <w:sz w:val="24"/>
                <w:szCs w:val="24"/>
              </w:rPr>
            </w:pPr>
            <w:r>
              <w:rPr>
                <w:rFonts w:hint="eastAsia" w:ascii="Times New Roman" w:hAnsi="Times New Roman" w:eastAsia="黑体" w:cs="黑体"/>
                <w:kern w:val="0"/>
                <w:sz w:val="24"/>
                <w:szCs w:val="24"/>
              </w:rPr>
              <w:t>属性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26" w:hRule="atLeast"/>
          <w:jc w:val="center"/>
        </w:trPr>
        <w:tc>
          <w:tcPr>
            <w:tcW w:w="1246" w:type="dxa"/>
            <w:vMerge w:val="restart"/>
            <w:tcBorders>
              <w:left w:val="single" w:color="auto" w:sz="8" w:space="0"/>
              <w:bottom w:val="single" w:color="auto" w:sz="8" w:space="0"/>
              <w:right w:val="single" w:color="auto" w:sz="8" w:space="0"/>
            </w:tcBorders>
            <w:vAlign w:val="center"/>
          </w:tcPr>
          <w:p>
            <w:pPr>
              <w:spacing w:line="400" w:lineRule="exact"/>
              <w:contextualSpacing/>
              <w:jc w:val="center"/>
              <w:textAlignment w:val="center"/>
              <w:rPr>
                <w:rFonts w:ascii="Times New Roman" w:hAnsi="Times New Roman" w:eastAsia="黑体" w:cs="黑体"/>
                <w:kern w:val="0"/>
                <w:sz w:val="24"/>
                <w:szCs w:val="24"/>
              </w:rPr>
            </w:pPr>
            <w:r>
              <w:rPr>
                <w:rFonts w:hint="eastAsia" w:ascii="Times New Roman" w:hAnsi="Times New Roman" w:eastAsia="黑体" w:cs="黑体"/>
                <w:kern w:val="0"/>
                <w:sz w:val="24"/>
                <w:szCs w:val="24"/>
              </w:rPr>
              <w:t>流通规模</w:t>
            </w:r>
          </w:p>
        </w:tc>
        <w:tc>
          <w:tcPr>
            <w:tcW w:w="3336" w:type="dxa"/>
            <w:tcBorders>
              <w:left w:val="single" w:color="auto" w:sz="8" w:space="0"/>
              <w:bottom w:val="single" w:color="auto" w:sz="8" w:space="0"/>
              <w:right w:val="single" w:color="auto" w:sz="8" w:space="0"/>
            </w:tcBorders>
            <w:vAlign w:val="center"/>
          </w:tcPr>
          <w:p>
            <w:pPr>
              <w:spacing w:line="400" w:lineRule="exact"/>
              <w:contextualSpacing/>
              <w:jc w:val="center"/>
              <w:textAlignment w:val="center"/>
              <w:rPr>
                <w:rFonts w:ascii="Times New Roman" w:hAnsi="Times New Roman" w:cs="仿宋_GB2312"/>
                <w:sz w:val="24"/>
                <w:szCs w:val="24"/>
              </w:rPr>
            </w:pPr>
            <w:r>
              <w:rPr>
                <w:rFonts w:hint="eastAsia" w:ascii="Times New Roman" w:hAnsi="Times New Roman" w:cs="仿宋_GB2312"/>
                <w:kern w:val="0"/>
                <w:sz w:val="24"/>
                <w:szCs w:val="24"/>
              </w:rPr>
              <w:t>社会消费品零售总额（亿</w:t>
            </w:r>
            <w:r>
              <w:rPr>
                <w:rFonts w:hint="eastAsia" w:ascii="Times New Roman" w:hAnsi="Times New Roman" w:cs="仿宋_GB2312"/>
                <w:sz w:val="24"/>
                <w:szCs w:val="24"/>
              </w:rPr>
              <w:t>元）</w:t>
            </w:r>
          </w:p>
        </w:tc>
        <w:tc>
          <w:tcPr>
            <w:tcW w:w="1521" w:type="dxa"/>
            <w:tcBorders>
              <w:left w:val="single" w:color="auto" w:sz="8" w:space="0"/>
              <w:bottom w:val="single" w:color="auto" w:sz="8" w:space="0"/>
              <w:right w:val="single" w:color="auto" w:sz="8" w:space="0"/>
            </w:tcBorders>
            <w:vAlign w:val="center"/>
          </w:tcPr>
          <w:p>
            <w:pPr>
              <w:spacing w:line="400" w:lineRule="exact"/>
              <w:contextualSpacing/>
              <w:jc w:val="center"/>
              <w:textAlignment w:val="center"/>
              <w:rPr>
                <w:rFonts w:ascii="Times New Roman" w:hAnsi="Times New Roman" w:cs="仿宋_GB2312"/>
                <w:sz w:val="24"/>
                <w:szCs w:val="24"/>
              </w:rPr>
            </w:pPr>
            <w:r>
              <w:rPr>
                <w:rFonts w:hint="eastAsia" w:ascii="Times New Roman" w:hAnsi="Times New Roman" w:cs="仿宋_GB2312"/>
                <w:sz w:val="24"/>
                <w:szCs w:val="24"/>
              </w:rPr>
              <w:t>1998.73</w:t>
            </w:r>
          </w:p>
        </w:tc>
        <w:tc>
          <w:tcPr>
            <w:tcW w:w="1522" w:type="dxa"/>
            <w:tcBorders>
              <w:left w:val="single" w:color="auto" w:sz="8" w:space="0"/>
              <w:bottom w:val="single" w:color="auto" w:sz="8" w:space="0"/>
              <w:right w:val="single" w:color="auto" w:sz="8" w:space="0"/>
            </w:tcBorders>
            <w:vAlign w:val="center"/>
          </w:tcPr>
          <w:p>
            <w:pPr>
              <w:spacing w:line="400" w:lineRule="exact"/>
              <w:contextualSpacing/>
              <w:jc w:val="center"/>
              <w:textAlignment w:val="center"/>
              <w:rPr>
                <w:rFonts w:ascii="Times New Roman" w:hAnsi="Times New Roman" w:cs="仿宋_GB2312"/>
                <w:sz w:val="24"/>
                <w:szCs w:val="24"/>
              </w:rPr>
            </w:pPr>
            <w:r>
              <w:rPr>
                <w:rFonts w:hint="eastAsia" w:ascii="Times New Roman" w:hAnsi="Times New Roman" w:cs="仿宋_GB2312"/>
                <w:kern w:val="0"/>
                <w:sz w:val="24"/>
                <w:szCs w:val="24"/>
              </w:rPr>
              <w:t>3500</w:t>
            </w:r>
          </w:p>
        </w:tc>
        <w:tc>
          <w:tcPr>
            <w:tcW w:w="1198" w:type="dxa"/>
            <w:tcBorders>
              <w:left w:val="single" w:color="auto" w:sz="8" w:space="0"/>
              <w:bottom w:val="single" w:color="auto" w:sz="8" w:space="0"/>
            </w:tcBorders>
            <w:vAlign w:val="center"/>
          </w:tcPr>
          <w:p>
            <w:pPr>
              <w:spacing w:line="400" w:lineRule="exact"/>
              <w:contextualSpacing/>
              <w:jc w:val="center"/>
              <w:textAlignment w:val="center"/>
              <w:rPr>
                <w:rFonts w:ascii="Times New Roman" w:hAnsi="Times New Roman" w:cs="仿宋_GB2312"/>
                <w:kern w:val="0"/>
                <w:sz w:val="24"/>
                <w:szCs w:val="24"/>
              </w:rPr>
            </w:pPr>
            <w:r>
              <w:rPr>
                <w:rFonts w:hint="eastAsia" w:ascii="Times New Roman" w:hAnsi="Times New Roman"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94" w:hRule="atLeast"/>
          <w:jc w:val="center"/>
        </w:trPr>
        <w:tc>
          <w:tcPr>
            <w:tcW w:w="1246" w:type="dxa"/>
            <w:vMerge w:val="continue"/>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center"/>
              <w:rPr>
                <w:rFonts w:ascii="Times New Roman" w:hAnsi="Times New Roman" w:eastAsia="黑体" w:cs="黑体"/>
                <w:kern w:val="0"/>
                <w:sz w:val="24"/>
                <w:szCs w:val="24"/>
              </w:rPr>
            </w:pPr>
          </w:p>
        </w:tc>
        <w:tc>
          <w:tcPr>
            <w:tcW w:w="3336"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center"/>
              <w:rPr>
                <w:rFonts w:ascii="Times New Roman" w:hAnsi="Times New Roman" w:cs="仿宋_GB2312"/>
                <w:sz w:val="24"/>
                <w:szCs w:val="24"/>
              </w:rPr>
            </w:pPr>
            <w:r>
              <w:rPr>
                <w:rFonts w:hint="eastAsia" w:ascii="Times New Roman" w:hAnsi="Times New Roman" w:cs="仿宋_GB2312"/>
                <w:kern w:val="0"/>
                <w:sz w:val="24"/>
                <w:szCs w:val="24"/>
              </w:rPr>
              <w:t>快递业务总量（亿件</w:t>
            </w:r>
            <w:r>
              <w:rPr>
                <w:rFonts w:hint="eastAsia" w:ascii="Times New Roman" w:hAnsi="Times New Roman" w:cs="仿宋_GB2312"/>
                <w:sz w:val="24"/>
                <w:szCs w:val="24"/>
              </w:rPr>
              <w:t>）</w:t>
            </w:r>
          </w:p>
        </w:tc>
        <w:tc>
          <w:tcPr>
            <w:tcW w:w="1521"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center"/>
              <w:rPr>
                <w:rFonts w:ascii="Times New Roman" w:hAnsi="Times New Roman" w:cs="仿宋_GB2312"/>
                <w:sz w:val="24"/>
                <w:szCs w:val="24"/>
              </w:rPr>
            </w:pPr>
            <w:r>
              <w:rPr>
                <w:rFonts w:hint="eastAsia" w:ascii="Times New Roman" w:hAnsi="Times New Roman" w:cs="仿宋_GB2312"/>
                <w:sz w:val="24"/>
                <w:szCs w:val="24"/>
              </w:rPr>
              <w:t>1.84</w:t>
            </w:r>
          </w:p>
        </w:tc>
        <w:tc>
          <w:tcPr>
            <w:tcW w:w="1522"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center"/>
              <w:rPr>
                <w:rFonts w:ascii="Times New Roman" w:hAnsi="Times New Roman" w:cs="仿宋_GB2312"/>
                <w:sz w:val="24"/>
                <w:szCs w:val="24"/>
              </w:rPr>
            </w:pPr>
            <w:r>
              <w:rPr>
                <w:rFonts w:hint="eastAsia" w:ascii="Times New Roman" w:hAnsi="Times New Roman" w:cs="仿宋_GB2312"/>
                <w:kern w:val="0"/>
                <w:sz w:val="24"/>
                <w:szCs w:val="24"/>
              </w:rPr>
              <w:t>4.2</w:t>
            </w:r>
          </w:p>
        </w:tc>
        <w:tc>
          <w:tcPr>
            <w:tcW w:w="1198" w:type="dxa"/>
            <w:tcBorders>
              <w:top w:val="single" w:color="auto" w:sz="8" w:space="0"/>
              <w:left w:val="single" w:color="auto" w:sz="8" w:space="0"/>
              <w:bottom w:val="single" w:color="auto" w:sz="8" w:space="0"/>
            </w:tcBorders>
            <w:vAlign w:val="center"/>
          </w:tcPr>
          <w:p>
            <w:pPr>
              <w:spacing w:line="400" w:lineRule="exact"/>
              <w:contextualSpacing/>
              <w:jc w:val="center"/>
              <w:textAlignment w:val="center"/>
              <w:rPr>
                <w:rFonts w:ascii="Times New Roman" w:hAnsi="Times New Roman" w:cs="仿宋_GB2312"/>
                <w:kern w:val="0"/>
                <w:sz w:val="24"/>
                <w:szCs w:val="24"/>
              </w:rPr>
            </w:pPr>
            <w:r>
              <w:rPr>
                <w:rFonts w:hint="eastAsia" w:ascii="Times New Roman" w:hAnsi="Times New Roman"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77" w:hRule="atLeast"/>
          <w:jc w:val="center"/>
        </w:trPr>
        <w:tc>
          <w:tcPr>
            <w:tcW w:w="1246" w:type="dxa"/>
            <w:vMerge w:val="continue"/>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center"/>
              <w:rPr>
                <w:rFonts w:ascii="Times New Roman" w:hAnsi="Times New Roman" w:eastAsia="黑体" w:cs="黑体"/>
                <w:kern w:val="0"/>
                <w:sz w:val="24"/>
                <w:szCs w:val="24"/>
              </w:rPr>
            </w:pPr>
          </w:p>
        </w:tc>
        <w:tc>
          <w:tcPr>
            <w:tcW w:w="3336"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center"/>
              <w:rPr>
                <w:rFonts w:ascii="Times New Roman" w:hAnsi="Times New Roman" w:cs="仿宋_GB2312"/>
                <w:sz w:val="24"/>
                <w:szCs w:val="24"/>
              </w:rPr>
            </w:pPr>
            <w:r>
              <w:rPr>
                <w:rFonts w:hint="eastAsia" w:ascii="Times New Roman" w:hAnsi="Times New Roman" w:cs="仿宋_GB2312"/>
                <w:kern w:val="0"/>
                <w:sz w:val="24"/>
                <w:szCs w:val="24"/>
              </w:rPr>
              <w:t>航</w:t>
            </w:r>
            <w:r>
              <w:rPr>
                <w:rFonts w:hint="eastAsia" w:ascii="Times New Roman" w:hAnsi="Times New Roman" w:cs="仿宋_GB2312"/>
                <w:sz w:val="24"/>
                <w:szCs w:val="24"/>
              </w:rPr>
              <w:t>空货邮吞吐量（万吨）</w:t>
            </w:r>
          </w:p>
        </w:tc>
        <w:tc>
          <w:tcPr>
            <w:tcW w:w="1521"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center"/>
              <w:rPr>
                <w:rFonts w:ascii="Times New Roman" w:hAnsi="Times New Roman" w:cs="仿宋_GB2312"/>
                <w:sz w:val="24"/>
                <w:szCs w:val="24"/>
              </w:rPr>
            </w:pPr>
            <w:r>
              <w:rPr>
                <w:rFonts w:hint="eastAsia" w:ascii="Times New Roman" w:hAnsi="Times New Roman" w:cs="仿宋_GB2312"/>
                <w:sz w:val="24"/>
                <w:szCs w:val="24"/>
              </w:rPr>
              <w:t>0.3</w:t>
            </w:r>
          </w:p>
        </w:tc>
        <w:tc>
          <w:tcPr>
            <w:tcW w:w="1522"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center"/>
              <w:rPr>
                <w:rFonts w:ascii="Times New Roman" w:hAnsi="Times New Roman" w:cs="仿宋_GB2312"/>
                <w:sz w:val="24"/>
                <w:szCs w:val="24"/>
              </w:rPr>
            </w:pPr>
            <w:r>
              <w:rPr>
                <w:rFonts w:hint="eastAsia" w:ascii="Times New Roman" w:hAnsi="Times New Roman" w:cs="仿宋_GB2312"/>
                <w:sz w:val="24"/>
                <w:szCs w:val="24"/>
              </w:rPr>
              <w:t>0.6</w:t>
            </w:r>
          </w:p>
        </w:tc>
        <w:tc>
          <w:tcPr>
            <w:tcW w:w="1198" w:type="dxa"/>
            <w:tcBorders>
              <w:top w:val="single" w:color="auto" w:sz="8" w:space="0"/>
              <w:left w:val="single" w:color="auto" w:sz="8" w:space="0"/>
              <w:bottom w:val="single" w:color="auto" w:sz="8" w:space="0"/>
            </w:tcBorders>
            <w:vAlign w:val="center"/>
          </w:tcPr>
          <w:p>
            <w:pPr>
              <w:spacing w:line="400" w:lineRule="exact"/>
              <w:contextualSpacing/>
              <w:jc w:val="center"/>
              <w:textAlignment w:val="center"/>
              <w:rPr>
                <w:rFonts w:ascii="Times New Roman" w:hAnsi="Times New Roman" w:cs="仿宋_GB2312"/>
                <w:kern w:val="0"/>
                <w:sz w:val="24"/>
                <w:szCs w:val="24"/>
              </w:rPr>
            </w:pPr>
            <w:r>
              <w:rPr>
                <w:rFonts w:hint="eastAsia" w:ascii="Times New Roman" w:hAnsi="Times New Roman"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43" w:hRule="atLeast"/>
          <w:jc w:val="center"/>
        </w:trPr>
        <w:tc>
          <w:tcPr>
            <w:tcW w:w="1246" w:type="dxa"/>
            <w:vMerge w:val="continue"/>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center"/>
              <w:rPr>
                <w:rFonts w:ascii="Times New Roman" w:hAnsi="Times New Roman" w:eastAsia="黑体" w:cs="黑体"/>
                <w:kern w:val="0"/>
                <w:sz w:val="24"/>
                <w:szCs w:val="24"/>
              </w:rPr>
            </w:pPr>
          </w:p>
        </w:tc>
        <w:tc>
          <w:tcPr>
            <w:tcW w:w="3336"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top"/>
              <w:rPr>
                <w:rFonts w:ascii="Times New Roman" w:hAnsi="Times New Roman" w:cs="仿宋_GB2312"/>
                <w:sz w:val="24"/>
                <w:szCs w:val="24"/>
              </w:rPr>
            </w:pPr>
            <w:r>
              <w:rPr>
                <w:rFonts w:hint="eastAsia" w:ascii="Times New Roman" w:hAnsi="Times New Roman" w:cs="仿宋_GB2312"/>
                <w:kern w:val="0"/>
                <w:sz w:val="24"/>
                <w:szCs w:val="24"/>
              </w:rPr>
              <w:t>货物运输量（亿吨）</w:t>
            </w:r>
          </w:p>
        </w:tc>
        <w:tc>
          <w:tcPr>
            <w:tcW w:w="1521" w:type="dxa"/>
            <w:tcBorders>
              <w:top w:val="single" w:color="auto" w:sz="8" w:space="0"/>
              <w:left w:val="single" w:color="auto" w:sz="8" w:space="0"/>
              <w:bottom w:val="single" w:color="auto" w:sz="8" w:space="0"/>
              <w:right w:val="single" w:color="auto" w:sz="8" w:space="0"/>
            </w:tcBorders>
          </w:tcPr>
          <w:p>
            <w:pPr>
              <w:spacing w:line="400" w:lineRule="exact"/>
              <w:contextualSpacing/>
              <w:jc w:val="center"/>
              <w:textAlignment w:val="top"/>
              <w:rPr>
                <w:rFonts w:ascii="Times New Roman" w:hAnsi="Times New Roman" w:cs="仿宋_GB2312"/>
                <w:sz w:val="24"/>
                <w:szCs w:val="24"/>
              </w:rPr>
            </w:pPr>
            <w:r>
              <w:rPr>
                <w:rFonts w:hint="eastAsia" w:ascii="Times New Roman" w:hAnsi="Times New Roman" w:cs="仿宋_GB2312"/>
                <w:sz w:val="24"/>
                <w:szCs w:val="24"/>
              </w:rPr>
              <w:t>1.54</w:t>
            </w:r>
          </w:p>
        </w:tc>
        <w:tc>
          <w:tcPr>
            <w:tcW w:w="1522" w:type="dxa"/>
            <w:tcBorders>
              <w:top w:val="single" w:color="auto" w:sz="8" w:space="0"/>
              <w:left w:val="single" w:color="auto" w:sz="8" w:space="0"/>
              <w:bottom w:val="single" w:color="auto" w:sz="8" w:space="0"/>
              <w:right w:val="single" w:color="auto" w:sz="8" w:space="0"/>
            </w:tcBorders>
          </w:tcPr>
          <w:p>
            <w:pPr>
              <w:spacing w:line="400" w:lineRule="exact"/>
              <w:contextualSpacing/>
              <w:jc w:val="center"/>
              <w:textAlignment w:val="top"/>
              <w:rPr>
                <w:rFonts w:ascii="Times New Roman" w:hAnsi="Times New Roman" w:cs="仿宋_GB2312"/>
                <w:sz w:val="24"/>
                <w:szCs w:val="24"/>
              </w:rPr>
            </w:pPr>
            <w:r>
              <w:rPr>
                <w:rFonts w:hint="eastAsia" w:ascii="Times New Roman" w:hAnsi="Times New Roman" w:cs="仿宋_GB2312"/>
                <w:kern w:val="0"/>
                <w:sz w:val="24"/>
                <w:szCs w:val="24"/>
              </w:rPr>
              <w:t>4</w:t>
            </w:r>
          </w:p>
        </w:tc>
        <w:tc>
          <w:tcPr>
            <w:tcW w:w="1198" w:type="dxa"/>
            <w:tcBorders>
              <w:top w:val="single" w:color="auto" w:sz="8" w:space="0"/>
              <w:left w:val="single" w:color="auto" w:sz="8" w:space="0"/>
              <w:bottom w:val="single" w:color="auto" w:sz="8" w:space="0"/>
            </w:tcBorders>
            <w:vAlign w:val="center"/>
          </w:tcPr>
          <w:p>
            <w:pPr>
              <w:spacing w:line="400" w:lineRule="exact"/>
              <w:contextualSpacing/>
              <w:jc w:val="center"/>
              <w:rPr>
                <w:rFonts w:ascii="Times New Roman" w:hAnsi="Times New Roman" w:cs="仿宋_GB2312"/>
                <w:kern w:val="0"/>
                <w:sz w:val="24"/>
                <w:szCs w:val="24"/>
              </w:rPr>
            </w:pPr>
            <w:r>
              <w:rPr>
                <w:rFonts w:hint="eastAsia" w:ascii="Times New Roman" w:hAnsi="Times New Roman"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26" w:hRule="atLeast"/>
          <w:jc w:val="center"/>
        </w:trPr>
        <w:tc>
          <w:tcPr>
            <w:tcW w:w="1246" w:type="dxa"/>
            <w:vMerge w:val="continue"/>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center"/>
              <w:rPr>
                <w:rFonts w:ascii="Times New Roman" w:hAnsi="Times New Roman" w:eastAsia="黑体" w:cs="黑体"/>
                <w:kern w:val="0"/>
                <w:sz w:val="24"/>
                <w:szCs w:val="24"/>
              </w:rPr>
            </w:pPr>
          </w:p>
        </w:tc>
        <w:tc>
          <w:tcPr>
            <w:tcW w:w="3336"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top"/>
              <w:rPr>
                <w:rFonts w:ascii="Times New Roman" w:hAnsi="Times New Roman" w:cs="仿宋_GB2312"/>
                <w:sz w:val="24"/>
                <w:szCs w:val="24"/>
              </w:rPr>
            </w:pPr>
            <w:r>
              <w:rPr>
                <w:rFonts w:hint="eastAsia" w:ascii="Times New Roman" w:hAnsi="Times New Roman" w:cs="仿宋_GB2312"/>
                <w:kern w:val="0"/>
                <w:sz w:val="24"/>
                <w:szCs w:val="24"/>
              </w:rPr>
              <w:t>货物周转量（亿吨公里）</w:t>
            </w:r>
          </w:p>
        </w:tc>
        <w:tc>
          <w:tcPr>
            <w:tcW w:w="1521"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top"/>
              <w:rPr>
                <w:rFonts w:ascii="Times New Roman" w:hAnsi="Times New Roman" w:cs="仿宋_GB2312"/>
                <w:sz w:val="24"/>
                <w:szCs w:val="24"/>
              </w:rPr>
            </w:pPr>
            <w:r>
              <w:rPr>
                <w:rFonts w:hint="eastAsia" w:ascii="Times New Roman" w:hAnsi="Times New Roman" w:cs="仿宋_GB2312"/>
                <w:sz w:val="24"/>
                <w:szCs w:val="24"/>
              </w:rPr>
              <w:t>602.48</w:t>
            </w:r>
          </w:p>
        </w:tc>
        <w:tc>
          <w:tcPr>
            <w:tcW w:w="1522"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top"/>
              <w:rPr>
                <w:rFonts w:ascii="Times New Roman" w:hAnsi="Times New Roman" w:cs="仿宋_GB2312"/>
                <w:sz w:val="24"/>
                <w:szCs w:val="24"/>
              </w:rPr>
            </w:pPr>
            <w:r>
              <w:rPr>
                <w:rFonts w:hint="eastAsia" w:ascii="Times New Roman" w:hAnsi="Times New Roman" w:cs="仿宋_GB2312"/>
                <w:kern w:val="0"/>
                <w:sz w:val="24"/>
                <w:szCs w:val="24"/>
              </w:rPr>
              <w:t>1050</w:t>
            </w:r>
          </w:p>
        </w:tc>
        <w:tc>
          <w:tcPr>
            <w:tcW w:w="1198" w:type="dxa"/>
            <w:tcBorders>
              <w:top w:val="single" w:color="auto" w:sz="8" w:space="0"/>
              <w:left w:val="single" w:color="auto" w:sz="8" w:space="0"/>
              <w:bottom w:val="single" w:color="auto" w:sz="8" w:space="0"/>
            </w:tcBorders>
            <w:vAlign w:val="center"/>
          </w:tcPr>
          <w:p>
            <w:pPr>
              <w:spacing w:line="400" w:lineRule="exact"/>
              <w:contextualSpacing/>
              <w:jc w:val="center"/>
              <w:textAlignment w:val="center"/>
              <w:rPr>
                <w:rFonts w:ascii="Times New Roman" w:hAnsi="Times New Roman" w:cs="仿宋_GB2312"/>
                <w:kern w:val="0"/>
                <w:sz w:val="24"/>
                <w:szCs w:val="24"/>
              </w:rPr>
            </w:pPr>
            <w:r>
              <w:rPr>
                <w:rFonts w:hint="eastAsia" w:ascii="Times New Roman" w:hAnsi="Times New Roman"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70" w:hRule="atLeast"/>
          <w:jc w:val="center"/>
        </w:trPr>
        <w:tc>
          <w:tcPr>
            <w:tcW w:w="1246" w:type="dxa"/>
            <w:vMerge w:val="continue"/>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center"/>
              <w:rPr>
                <w:rFonts w:ascii="Times New Roman" w:hAnsi="Times New Roman" w:eastAsia="黑体" w:cs="黑体"/>
                <w:kern w:val="0"/>
                <w:sz w:val="24"/>
                <w:szCs w:val="24"/>
              </w:rPr>
            </w:pPr>
          </w:p>
        </w:tc>
        <w:tc>
          <w:tcPr>
            <w:tcW w:w="3336"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top"/>
              <w:rPr>
                <w:rFonts w:ascii="Times New Roman" w:hAnsi="Times New Roman" w:cs="仿宋_GB2312"/>
                <w:kern w:val="0"/>
                <w:sz w:val="24"/>
                <w:szCs w:val="24"/>
              </w:rPr>
            </w:pPr>
            <w:r>
              <w:rPr>
                <w:rFonts w:hint="eastAsia" w:ascii="Times New Roman" w:hAnsi="Times New Roman" w:cs="仿宋_GB2312"/>
                <w:kern w:val="0"/>
                <w:sz w:val="24"/>
                <w:szCs w:val="24"/>
              </w:rPr>
              <w:t>跨境电商进出口额（亿元）</w:t>
            </w:r>
          </w:p>
        </w:tc>
        <w:tc>
          <w:tcPr>
            <w:tcW w:w="1521"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top"/>
              <w:rPr>
                <w:rFonts w:ascii="Times New Roman" w:hAnsi="Times New Roman" w:cs="仿宋_GB2312"/>
                <w:sz w:val="24"/>
                <w:szCs w:val="24"/>
              </w:rPr>
            </w:pPr>
            <w:r>
              <w:rPr>
                <w:rFonts w:hint="eastAsia" w:ascii="Times New Roman" w:hAnsi="Times New Roman" w:cs="仿宋_GB2312"/>
                <w:sz w:val="24"/>
                <w:szCs w:val="24"/>
              </w:rPr>
              <w:t>85.4</w:t>
            </w:r>
          </w:p>
        </w:tc>
        <w:tc>
          <w:tcPr>
            <w:tcW w:w="1522"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top"/>
              <w:rPr>
                <w:rFonts w:ascii="Times New Roman" w:hAnsi="Times New Roman" w:cs="仿宋_GB2312"/>
                <w:kern w:val="0"/>
                <w:sz w:val="24"/>
                <w:szCs w:val="24"/>
              </w:rPr>
            </w:pPr>
            <w:r>
              <w:rPr>
                <w:rFonts w:hint="eastAsia" w:ascii="Times New Roman" w:hAnsi="Times New Roman" w:cs="仿宋_GB2312"/>
                <w:sz w:val="24"/>
                <w:szCs w:val="24"/>
              </w:rPr>
              <w:t>170</w:t>
            </w:r>
          </w:p>
        </w:tc>
        <w:tc>
          <w:tcPr>
            <w:tcW w:w="1198" w:type="dxa"/>
            <w:tcBorders>
              <w:top w:val="single" w:color="auto" w:sz="8" w:space="0"/>
              <w:left w:val="single" w:color="auto" w:sz="8" w:space="0"/>
              <w:bottom w:val="single" w:color="auto" w:sz="8" w:space="0"/>
            </w:tcBorders>
            <w:vAlign w:val="center"/>
          </w:tcPr>
          <w:p>
            <w:pPr>
              <w:spacing w:line="400" w:lineRule="exact"/>
              <w:contextualSpacing/>
              <w:jc w:val="center"/>
              <w:textAlignment w:val="center"/>
              <w:rPr>
                <w:rFonts w:ascii="Times New Roman" w:hAnsi="Times New Roman" w:cs="仿宋_GB2312"/>
                <w:kern w:val="0"/>
                <w:sz w:val="24"/>
                <w:szCs w:val="24"/>
              </w:rPr>
            </w:pPr>
            <w:r>
              <w:rPr>
                <w:rFonts w:hint="eastAsia" w:ascii="Times New Roman" w:hAnsi="Times New Roman"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27" w:hRule="atLeast"/>
          <w:jc w:val="center"/>
        </w:trPr>
        <w:tc>
          <w:tcPr>
            <w:tcW w:w="1246" w:type="dxa"/>
            <w:vMerge w:val="continue"/>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center"/>
              <w:rPr>
                <w:rFonts w:ascii="Times New Roman" w:hAnsi="Times New Roman" w:eastAsia="黑体" w:cs="黑体"/>
                <w:kern w:val="0"/>
                <w:sz w:val="24"/>
                <w:szCs w:val="24"/>
              </w:rPr>
            </w:pPr>
          </w:p>
        </w:tc>
        <w:tc>
          <w:tcPr>
            <w:tcW w:w="3336"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top"/>
              <w:rPr>
                <w:rFonts w:ascii="Times New Roman" w:hAnsi="Times New Roman" w:cs="仿宋_GB2312"/>
                <w:kern w:val="0"/>
                <w:sz w:val="24"/>
                <w:szCs w:val="24"/>
              </w:rPr>
            </w:pPr>
            <w:r>
              <w:rPr>
                <w:rFonts w:hint="eastAsia" w:ascii="Times New Roman" w:hAnsi="Times New Roman" w:cs="仿宋_GB2312"/>
                <w:kern w:val="0"/>
                <w:sz w:val="24"/>
                <w:szCs w:val="24"/>
              </w:rPr>
              <w:t>社会物流总额年均增长（%）</w:t>
            </w:r>
          </w:p>
        </w:tc>
        <w:tc>
          <w:tcPr>
            <w:tcW w:w="1521"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top"/>
              <w:rPr>
                <w:rFonts w:ascii="Times New Roman" w:hAnsi="Times New Roman" w:cs="仿宋_GB2312"/>
                <w:sz w:val="24"/>
                <w:szCs w:val="24"/>
              </w:rPr>
            </w:pPr>
            <w:r>
              <w:rPr>
                <w:rFonts w:hint="eastAsia" w:ascii="Times New Roman" w:hAnsi="Times New Roman" w:cs="仿宋_GB2312"/>
                <w:sz w:val="24"/>
                <w:szCs w:val="24"/>
              </w:rPr>
              <w:t>—</w:t>
            </w:r>
          </w:p>
        </w:tc>
        <w:tc>
          <w:tcPr>
            <w:tcW w:w="1522"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top"/>
              <w:rPr>
                <w:rFonts w:ascii="Times New Roman" w:hAnsi="Times New Roman" w:cs="仿宋_GB2312"/>
                <w:sz w:val="24"/>
                <w:szCs w:val="24"/>
              </w:rPr>
            </w:pPr>
            <w:r>
              <w:rPr>
                <w:rFonts w:hint="eastAsia" w:ascii="Times New Roman" w:hAnsi="Times New Roman" w:cs="仿宋_GB2312"/>
                <w:sz w:val="24"/>
                <w:szCs w:val="24"/>
              </w:rPr>
              <w:t>8.5</w:t>
            </w:r>
          </w:p>
        </w:tc>
        <w:tc>
          <w:tcPr>
            <w:tcW w:w="1198" w:type="dxa"/>
            <w:tcBorders>
              <w:top w:val="single" w:color="auto" w:sz="8" w:space="0"/>
              <w:left w:val="single" w:color="auto" w:sz="8" w:space="0"/>
              <w:bottom w:val="single" w:color="auto" w:sz="8" w:space="0"/>
            </w:tcBorders>
            <w:vAlign w:val="center"/>
          </w:tcPr>
          <w:p>
            <w:pPr>
              <w:spacing w:line="400" w:lineRule="exact"/>
              <w:contextualSpacing/>
              <w:jc w:val="center"/>
              <w:textAlignment w:val="center"/>
              <w:rPr>
                <w:rFonts w:ascii="Times New Roman" w:hAnsi="Times New Roman" w:cs="仿宋_GB2312"/>
                <w:kern w:val="0"/>
                <w:sz w:val="24"/>
                <w:szCs w:val="24"/>
              </w:rPr>
            </w:pPr>
            <w:r>
              <w:rPr>
                <w:rFonts w:hint="eastAsia" w:ascii="Times New Roman" w:hAnsi="Times New Roman"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79" w:hRule="atLeast"/>
          <w:jc w:val="center"/>
        </w:trPr>
        <w:tc>
          <w:tcPr>
            <w:tcW w:w="1246" w:type="dxa"/>
            <w:vMerge w:val="restart"/>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center"/>
              <w:rPr>
                <w:rFonts w:ascii="Times New Roman" w:hAnsi="Times New Roman" w:eastAsia="黑体" w:cs="黑体"/>
                <w:kern w:val="0"/>
                <w:sz w:val="24"/>
                <w:szCs w:val="24"/>
              </w:rPr>
            </w:pPr>
            <w:r>
              <w:rPr>
                <w:rFonts w:hint="eastAsia" w:ascii="Times New Roman" w:hAnsi="Times New Roman" w:eastAsia="黑体" w:cs="黑体"/>
                <w:kern w:val="0"/>
                <w:sz w:val="24"/>
                <w:szCs w:val="24"/>
              </w:rPr>
              <w:t>流通效益</w:t>
            </w:r>
          </w:p>
        </w:tc>
        <w:tc>
          <w:tcPr>
            <w:tcW w:w="3336"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center"/>
              <w:rPr>
                <w:rFonts w:ascii="Times New Roman" w:hAnsi="Times New Roman" w:cs="仿宋_GB2312"/>
                <w:sz w:val="24"/>
                <w:szCs w:val="24"/>
              </w:rPr>
            </w:pPr>
            <w:r>
              <w:rPr>
                <w:rFonts w:hint="eastAsia" w:ascii="Times New Roman" w:hAnsi="Times New Roman" w:cs="仿宋_GB2312"/>
                <w:sz w:val="24"/>
                <w:szCs w:val="24"/>
              </w:rPr>
              <w:t>社会物流总费用占地区生产总值比例（%）</w:t>
            </w:r>
          </w:p>
        </w:tc>
        <w:tc>
          <w:tcPr>
            <w:tcW w:w="1521"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center"/>
              <w:rPr>
                <w:rFonts w:ascii="Times New Roman" w:hAnsi="Times New Roman" w:cs="仿宋_GB2312"/>
                <w:sz w:val="24"/>
                <w:szCs w:val="24"/>
              </w:rPr>
            </w:pPr>
            <w:r>
              <w:rPr>
                <w:rFonts w:hint="eastAsia" w:ascii="Times New Roman" w:hAnsi="Times New Roman" w:cs="仿宋_GB2312"/>
                <w:sz w:val="24"/>
                <w:szCs w:val="24"/>
              </w:rPr>
              <w:t>—</w:t>
            </w:r>
          </w:p>
        </w:tc>
        <w:tc>
          <w:tcPr>
            <w:tcW w:w="1522"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center"/>
              <w:rPr>
                <w:rFonts w:ascii="Times New Roman" w:hAnsi="Times New Roman" w:cs="仿宋_GB2312"/>
                <w:sz w:val="24"/>
                <w:szCs w:val="24"/>
              </w:rPr>
            </w:pPr>
            <w:r>
              <w:rPr>
                <w:rFonts w:hint="eastAsia" w:ascii="Times New Roman" w:hAnsi="Times New Roman" w:cs="仿宋_GB2312"/>
                <w:sz w:val="24"/>
                <w:szCs w:val="24"/>
              </w:rPr>
              <w:t>＜12.6</w:t>
            </w:r>
          </w:p>
        </w:tc>
        <w:tc>
          <w:tcPr>
            <w:tcW w:w="1198" w:type="dxa"/>
            <w:tcBorders>
              <w:top w:val="single" w:color="auto" w:sz="8" w:space="0"/>
              <w:left w:val="single" w:color="auto" w:sz="8" w:space="0"/>
              <w:bottom w:val="single" w:color="auto" w:sz="8" w:space="0"/>
            </w:tcBorders>
            <w:vAlign w:val="center"/>
          </w:tcPr>
          <w:p>
            <w:pPr>
              <w:spacing w:line="400" w:lineRule="exact"/>
              <w:contextualSpacing/>
              <w:jc w:val="center"/>
              <w:textAlignment w:val="center"/>
              <w:rPr>
                <w:rFonts w:ascii="Times New Roman" w:hAnsi="Times New Roman" w:cs="仿宋_GB2312"/>
                <w:kern w:val="0"/>
                <w:sz w:val="24"/>
                <w:szCs w:val="24"/>
              </w:rPr>
            </w:pPr>
            <w:r>
              <w:rPr>
                <w:rFonts w:hint="eastAsia" w:ascii="Times New Roman" w:hAnsi="Times New Roman" w:cs="仿宋_GB2312"/>
                <w:kern w:val="0"/>
                <w:sz w:val="24"/>
                <w:szCs w:val="24"/>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10" w:hRule="atLeast"/>
          <w:jc w:val="center"/>
        </w:trPr>
        <w:tc>
          <w:tcPr>
            <w:tcW w:w="1246" w:type="dxa"/>
            <w:vMerge w:val="continue"/>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rPr>
                <w:rFonts w:ascii="Times New Roman" w:hAnsi="Times New Roman" w:cs="仿宋_GB2312"/>
                <w:sz w:val="24"/>
                <w:szCs w:val="24"/>
              </w:rPr>
            </w:pPr>
          </w:p>
        </w:tc>
        <w:tc>
          <w:tcPr>
            <w:tcW w:w="3336"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top"/>
              <w:rPr>
                <w:rFonts w:ascii="Times New Roman" w:hAnsi="Times New Roman" w:cs="仿宋_GB2312"/>
                <w:kern w:val="0"/>
                <w:sz w:val="24"/>
                <w:szCs w:val="24"/>
              </w:rPr>
            </w:pPr>
            <w:r>
              <w:rPr>
                <w:rFonts w:hint="eastAsia" w:ascii="Times New Roman" w:hAnsi="Times New Roman" w:cs="仿宋_GB2312"/>
                <w:kern w:val="0"/>
                <w:sz w:val="24"/>
                <w:szCs w:val="24"/>
              </w:rPr>
              <w:t>新增国家A级以上物流企业（家）</w:t>
            </w:r>
          </w:p>
        </w:tc>
        <w:tc>
          <w:tcPr>
            <w:tcW w:w="1521"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top"/>
              <w:rPr>
                <w:rFonts w:ascii="Times New Roman" w:hAnsi="Times New Roman" w:cs="仿宋_GB2312"/>
                <w:sz w:val="24"/>
                <w:szCs w:val="24"/>
              </w:rPr>
            </w:pPr>
            <w:r>
              <w:rPr>
                <w:rFonts w:hint="eastAsia" w:ascii="Times New Roman" w:hAnsi="Times New Roman" w:cs="仿宋_GB2312"/>
                <w:sz w:val="24"/>
                <w:szCs w:val="24"/>
              </w:rPr>
              <w:t>—</w:t>
            </w:r>
          </w:p>
        </w:tc>
        <w:tc>
          <w:tcPr>
            <w:tcW w:w="1522"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top"/>
              <w:rPr>
                <w:rFonts w:ascii="Times New Roman" w:hAnsi="Times New Roman" w:cs="仿宋_GB2312"/>
                <w:kern w:val="0"/>
                <w:sz w:val="24"/>
                <w:szCs w:val="24"/>
              </w:rPr>
            </w:pPr>
            <w:r>
              <w:rPr>
                <w:rFonts w:hint="eastAsia" w:ascii="Times New Roman" w:hAnsi="Times New Roman" w:cs="仿宋_GB2312"/>
                <w:kern w:val="0"/>
                <w:sz w:val="24"/>
                <w:szCs w:val="24"/>
              </w:rPr>
              <w:t>＞20</w:t>
            </w:r>
          </w:p>
        </w:tc>
        <w:tc>
          <w:tcPr>
            <w:tcW w:w="1198" w:type="dxa"/>
            <w:tcBorders>
              <w:top w:val="single" w:color="auto" w:sz="8" w:space="0"/>
              <w:left w:val="single" w:color="auto" w:sz="8" w:space="0"/>
              <w:bottom w:val="single" w:color="auto" w:sz="8" w:space="0"/>
            </w:tcBorders>
            <w:vAlign w:val="center"/>
          </w:tcPr>
          <w:p>
            <w:pPr>
              <w:spacing w:line="400" w:lineRule="exact"/>
              <w:contextualSpacing/>
              <w:jc w:val="center"/>
              <w:textAlignment w:val="center"/>
              <w:rPr>
                <w:rFonts w:ascii="Times New Roman" w:hAnsi="Times New Roman" w:cs="仿宋_GB2312"/>
                <w:kern w:val="0"/>
                <w:sz w:val="24"/>
                <w:szCs w:val="24"/>
              </w:rPr>
            </w:pPr>
            <w:r>
              <w:rPr>
                <w:rFonts w:hint="eastAsia" w:ascii="Times New Roman" w:hAnsi="Times New Roman"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54" w:hRule="atLeast"/>
          <w:jc w:val="center"/>
        </w:trPr>
        <w:tc>
          <w:tcPr>
            <w:tcW w:w="1246" w:type="dxa"/>
            <w:vMerge w:val="continue"/>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rPr>
                <w:rFonts w:ascii="Times New Roman" w:hAnsi="Times New Roman" w:cs="仿宋_GB2312"/>
                <w:sz w:val="24"/>
                <w:szCs w:val="24"/>
              </w:rPr>
            </w:pPr>
          </w:p>
        </w:tc>
        <w:tc>
          <w:tcPr>
            <w:tcW w:w="3336"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top"/>
              <w:rPr>
                <w:rFonts w:ascii="Times New Roman" w:hAnsi="Times New Roman" w:cs="仿宋_GB2312"/>
                <w:kern w:val="0"/>
                <w:sz w:val="24"/>
                <w:szCs w:val="24"/>
              </w:rPr>
            </w:pPr>
            <w:r>
              <w:rPr>
                <w:rFonts w:hint="eastAsia" w:ascii="Times New Roman" w:hAnsi="Times New Roman" w:cs="仿宋_GB2312"/>
                <w:kern w:val="0"/>
                <w:sz w:val="24"/>
                <w:szCs w:val="24"/>
              </w:rPr>
              <w:t>大型综合性商圈（个）</w:t>
            </w:r>
          </w:p>
        </w:tc>
        <w:tc>
          <w:tcPr>
            <w:tcW w:w="1521"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top"/>
              <w:rPr>
                <w:rFonts w:ascii="Times New Roman" w:hAnsi="Times New Roman" w:cs="仿宋_GB2312"/>
                <w:sz w:val="24"/>
                <w:szCs w:val="24"/>
              </w:rPr>
            </w:pPr>
            <w:r>
              <w:rPr>
                <w:rFonts w:hint="eastAsia" w:ascii="Times New Roman" w:hAnsi="Times New Roman" w:cs="仿宋_GB2312"/>
                <w:sz w:val="24"/>
                <w:szCs w:val="24"/>
              </w:rPr>
              <w:t>—</w:t>
            </w:r>
          </w:p>
        </w:tc>
        <w:tc>
          <w:tcPr>
            <w:tcW w:w="1522"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top"/>
              <w:rPr>
                <w:rFonts w:ascii="Times New Roman" w:hAnsi="Times New Roman" w:cs="仿宋_GB2312"/>
                <w:kern w:val="0"/>
                <w:sz w:val="24"/>
                <w:szCs w:val="24"/>
              </w:rPr>
            </w:pPr>
            <w:r>
              <w:rPr>
                <w:rFonts w:hint="eastAsia" w:ascii="Times New Roman" w:hAnsi="Times New Roman" w:cs="仿宋_GB2312"/>
                <w:kern w:val="0"/>
                <w:sz w:val="24"/>
                <w:szCs w:val="24"/>
              </w:rPr>
              <w:t>2-3</w:t>
            </w:r>
          </w:p>
        </w:tc>
        <w:tc>
          <w:tcPr>
            <w:tcW w:w="1198" w:type="dxa"/>
            <w:tcBorders>
              <w:top w:val="single" w:color="auto" w:sz="8" w:space="0"/>
              <w:left w:val="single" w:color="auto" w:sz="8" w:space="0"/>
              <w:bottom w:val="single" w:color="auto" w:sz="8" w:space="0"/>
            </w:tcBorders>
            <w:vAlign w:val="center"/>
          </w:tcPr>
          <w:p>
            <w:pPr>
              <w:spacing w:line="400" w:lineRule="exact"/>
              <w:contextualSpacing/>
              <w:jc w:val="center"/>
              <w:textAlignment w:val="center"/>
              <w:rPr>
                <w:rFonts w:ascii="Times New Roman" w:hAnsi="Times New Roman" w:cs="仿宋_GB2312"/>
                <w:kern w:val="0"/>
                <w:sz w:val="24"/>
                <w:szCs w:val="24"/>
              </w:rPr>
            </w:pPr>
            <w:r>
              <w:rPr>
                <w:rFonts w:hint="eastAsia" w:ascii="Times New Roman" w:hAnsi="Times New Roman"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510" w:hRule="atLeast"/>
          <w:jc w:val="center"/>
        </w:trPr>
        <w:tc>
          <w:tcPr>
            <w:tcW w:w="1246" w:type="dxa"/>
            <w:vMerge w:val="continue"/>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rPr>
                <w:rFonts w:ascii="Times New Roman" w:hAnsi="Times New Roman" w:cs="仿宋_GB2312"/>
                <w:sz w:val="24"/>
                <w:szCs w:val="24"/>
              </w:rPr>
            </w:pPr>
          </w:p>
        </w:tc>
        <w:tc>
          <w:tcPr>
            <w:tcW w:w="3336"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top"/>
              <w:rPr>
                <w:rFonts w:ascii="Times New Roman" w:hAnsi="Times New Roman" w:cs="仿宋_GB2312"/>
                <w:kern w:val="0"/>
                <w:sz w:val="24"/>
                <w:szCs w:val="24"/>
              </w:rPr>
            </w:pPr>
            <w:r>
              <w:rPr>
                <w:rFonts w:hint="eastAsia" w:ascii="Times New Roman" w:hAnsi="Times New Roman" w:cs="仿宋_GB2312"/>
                <w:kern w:val="0"/>
                <w:sz w:val="24"/>
                <w:szCs w:val="24"/>
              </w:rPr>
              <w:t>省级以上步行示范街（条）</w:t>
            </w:r>
          </w:p>
        </w:tc>
        <w:tc>
          <w:tcPr>
            <w:tcW w:w="1521"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top"/>
              <w:rPr>
                <w:rFonts w:ascii="Times New Roman" w:hAnsi="Times New Roman" w:cs="仿宋_GB2312"/>
                <w:sz w:val="24"/>
                <w:szCs w:val="24"/>
              </w:rPr>
            </w:pPr>
            <w:r>
              <w:rPr>
                <w:rFonts w:hint="eastAsia" w:ascii="Times New Roman" w:hAnsi="Times New Roman" w:cs="仿宋_GB2312"/>
                <w:sz w:val="24"/>
                <w:szCs w:val="24"/>
              </w:rPr>
              <w:t>—</w:t>
            </w:r>
          </w:p>
        </w:tc>
        <w:tc>
          <w:tcPr>
            <w:tcW w:w="1522"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top"/>
              <w:rPr>
                <w:rFonts w:ascii="Times New Roman" w:hAnsi="Times New Roman" w:cs="仿宋_GB2312"/>
                <w:kern w:val="0"/>
                <w:sz w:val="24"/>
                <w:szCs w:val="24"/>
              </w:rPr>
            </w:pPr>
            <w:r>
              <w:rPr>
                <w:rFonts w:hint="eastAsia" w:ascii="Times New Roman" w:hAnsi="Times New Roman" w:cs="仿宋_GB2312"/>
                <w:kern w:val="0"/>
                <w:sz w:val="24"/>
                <w:szCs w:val="24"/>
              </w:rPr>
              <w:t>2-3</w:t>
            </w:r>
          </w:p>
        </w:tc>
        <w:tc>
          <w:tcPr>
            <w:tcW w:w="1198" w:type="dxa"/>
            <w:tcBorders>
              <w:top w:val="single" w:color="auto" w:sz="8" w:space="0"/>
              <w:left w:val="single" w:color="auto" w:sz="8" w:space="0"/>
              <w:bottom w:val="single" w:color="auto" w:sz="8" w:space="0"/>
            </w:tcBorders>
            <w:vAlign w:val="center"/>
          </w:tcPr>
          <w:p>
            <w:pPr>
              <w:spacing w:line="400" w:lineRule="exact"/>
              <w:contextualSpacing/>
              <w:jc w:val="center"/>
              <w:textAlignment w:val="center"/>
              <w:rPr>
                <w:rFonts w:ascii="Times New Roman" w:hAnsi="Times New Roman" w:cs="仿宋_GB2312"/>
                <w:kern w:val="0"/>
                <w:sz w:val="24"/>
                <w:szCs w:val="24"/>
              </w:rPr>
            </w:pPr>
            <w:r>
              <w:rPr>
                <w:rFonts w:hint="eastAsia" w:ascii="Times New Roman" w:hAnsi="Times New Roman" w:cs="仿宋_GB2312"/>
                <w:kern w:val="0"/>
                <w:sz w:val="24"/>
                <w:szCs w:val="24"/>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40" w:hRule="atLeast"/>
          <w:jc w:val="center"/>
        </w:trPr>
        <w:tc>
          <w:tcPr>
            <w:tcW w:w="1246" w:type="dxa"/>
            <w:vMerge w:val="continue"/>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rPr>
                <w:rFonts w:ascii="Times New Roman" w:hAnsi="Times New Roman" w:cs="仿宋_GB2312"/>
                <w:sz w:val="24"/>
                <w:szCs w:val="24"/>
              </w:rPr>
            </w:pPr>
          </w:p>
        </w:tc>
        <w:tc>
          <w:tcPr>
            <w:tcW w:w="3336"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top"/>
              <w:rPr>
                <w:rFonts w:ascii="Times New Roman" w:hAnsi="Times New Roman" w:cs="仿宋_GB2312"/>
                <w:kern w:val="0"/>
                <w:sz w:val="24"/>
                <w:szCs w:val="24"/>
              </w:rPr>
            </w:pPr>
            <w:r>
              <w:rPr>
                <w:rFonts w:hint="eastAsia" w:ascii="Times New Roman" w:hAnsi="Times New Roman" w:cs="仿宋_GB2312"/>
                <w:kern w:val="0"/>
                <w:sz w:val="24"/>
                <w:szCs w:val="24"/>
              </w:rPr>
              <w:t>年交易额超50亿元的商品交易市场（个）</w:t>
            </w:r>
          </w:p>
        </w:tc>
        <w:tc>
          <w:tcPr>
            <w:tcW w:w="1521"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top"/>
              <w:rPr>
                <w:rFonts w:ascii="Times New Roman" w:hAnsi="Times New Roman" w:cs="仿宋_GB2312"/>
                <w:sz w:val="24"/>
                <w:szCs w:val="24"/>
              </w:rPr>
            </w:pPr>
            <w:r>
              <w:rPr>
                <w:rFonts w:hint="eastAsia" w:ascii="Times New Roman" w:hAnsi="Times New Roman" w:cs="仿宋_GB2312"/>
                <w:sz w:val="24"/>
                <w:szCs w:val="24"/>
              </w:rPr>
              <w:t>—</w:t>
            </w:r>
          </w:p>
        </w:tc>
        <w:tc>
          <w:tcPr>
            <w:tcW w:w="1522" w:type="dxa"/>
            <w:tcBorders>
              <w:top w:val="single" w:color="auto" w:sz="8" w:space="0"/>
              <w:left w:val="single" w:color="auto" w:sz="8" w:space="0"/>
              <w:bottom w:val="single" w:color="auto" w:sz="8" w:space="0"/>
              <w:right w:val="single" w:color="auto" w:sz="8" w:space="0"/>
            </w:tcBorders>
            <w:vAlign w:val="center"/>
          </w:tcPr>
          <w:p>
            <w:pPr>
              <w:spacing w:line="400" w:lineRule="exact"/>
              <w:contextualSpacing/>
              <w:jc w:val="center"/>
              <w:textAlignment w:val="top"/>
              <w:rPr>
                <w:rFonts w:ascii="Times New Roman" w:hAnsi="Times New Roman" w:cs="仿宋_GB2312"/>
                <w:kern w:val="0"/>
                <w:sz w:val="24"/>
                <w:szCs w:val="24"/>
              </w:rPr>
            </w:pPr>
            <w:r>
              <w:rPr>
                <w:rFonts w:hint="eastAsia" w:ascii="Times New Roman" w:hAnsi="Times New Roman" w:cs="仿宋_GB2312"/>
                <w:kern w:val="0"/>
                <w:sz w:val="24"/>
                <w:szCs w:val="24"/>
              </w:rPr>
              <w:t>≥6</w:t>
            </w:r>
          </w:p>
        </w:tc>
        <w:tc>
          <w:tcPr>
            <w:tcW w:w="1198" w:type="dxa"/>
            <w:tcBorders>
              <w:top w:val="single" w:color="auto" w:sz="8" w:space="0"/>
              <w:left w:val="single" w:color="auto" w:sz="8" w:space="0"/>
              <w:bottom w:val="single" w:color="auto" w:sz="8" w:space="0"/>
            </w:tcBorders>
            <w:vAlign w:val="center"/>
          </w:tcPr>
          <w:p>
            <w:pPr>
              <w:spacing w:line="400" w:lineRule="exact"/>
              <w:contextualSpacing/>
              <w:jc w:val="center"/>
              <w:textAlignment w:val="center"/>
              <w:rPr>
                <w:rFonts w:ascii="Times New Roman" w:hAnsi="Times New Roman" w:cs="仿宋_GB2312"/>
                <w:kern w:val="0"/>
                <w:sz w:val="24"/>
                <w:szCs w:val="24"/>
              </w:rPr>
            </w:pPr>
            <w:r>
              <w:rPr>
                <w:rFonts w:hint="eastAsia" w:ascii="Times New Roman" w:hAnsi="Times New Roman" w:cs="仿宋_GB2312"/>
                <w:kern w:val="0"/>
                <w:sz w:val="24"/>
                <w:szCs w:val="24"/>
              </w:rPr>
              <w:t>预期性</w:t>
            </w:r>
          </w:p>
        </w:tc>
      </w:tr>
    </w:tbl>
    <w:p>
      <w:pPr>
        <w:tabs>
          <w:tab w:val="right" w:leader="dot" w:pos="8296"/>
        </w:tabs>
        <w:spacing w:line="560" w:lineRule="exact"/>
        <w:ind w:firstLine="640" w:firstLineChars="200"/>
        <w:contextualSpacing/>
        <w:rPr>
          <w:rFonts w:ascii="Times New Roman" w:hAnsi="Times New Roman" w:cs="仿宋_GB2312"/>
        </w:rPr>
      </w:pPr>
      <w:r>
        <w:rPr>
          <w:rFonts w:hint="eastAsia" w:ascii="Times New Roman" w:hAnsi="Times New Roman" w:cs="仿宋_GB2312"/>
        </w:rPr>
        <w:t>展望到2035年，主体活跃、产业繁荣、内联外通、绿色智慧、安全高效的现代流通体系更加成熟定型，现代流通</w:t>
      </w:r>
      <w:r>
        <w:rPr>
          <w:rFonts w:hint="eastAsia" w:ascii="Times New Roman" w:hAnsi="Times New Roman" w:cs="仿宋_GB2312"/>
          <w:kern w:val="0"/>
        </w:rPr>
        <w:t>智慧化、标准化、绿色化水平走在全省前列，形成一批具有全国影响力和市场竞争力的流通主体，流通</w:t>
      </w:r>
      <w:r>
        <w:rPr>
          <w:rFonts w:hint="eastAsia" w:ascii="Times New Roman" w:hAnsi="Times New Roman" w:cs="仿宋_GB2312"/>
        </w:rPr>
        <w:t>重点领域和关键环节改革取得重大突破，全市流通领域治理体系和治理能力基本实现现代化。</w:t>
      </w:r>
    </w:p>
    <w:p>
      <w:pPr>
        <w:spacing w:line="560" w:lineRule="exact"/>
        <w:contextualSpacing/>
        <w:jc w:val="center"/>
        <w:outlineLvl w:val="1"/>
        <w:rPr>
          <w:rFonts w:ascii="楷体_GB2312" w:hAnsi="楷体_GB2312" w:eastAsia="楷体_GB2312" w:cs="楷体_GB2312"/>
        </w:rPr>
      </w:pPr>
      <w:bookmarkStart w:id="1334" w:name="_Toc1658067405"/>
      <w:r>
        <w:rPr>
          <w:rFonts w:hint="eastAsia" w:ascii="楷体_GB2312" w:hAnsi="楷体_GB2312" w:eastAsia="楷体_GB2312" w:cs="楷体_GB2312"/>
        </w:rPr>
        <w:t>第四节 战略定位</w:t>
      </w:r>
      <w:bookmarkEnd w:id="1334"/>
    </w:p>
    <w:p>
      <w:pPr>
        <w:spacing w:line="560" w:lineRule="exact"/>
        <w:ind w:firstLine="640" w:firstLineChars="200"/>
        <w:contextualSpacing/>
        <w:rPr>
          <w:rFonts w:ascii="仿宋_GB2312" w:hAnsi="仿宋_GB2312" w:cs="仿宋_GB2312"/>
        </w:rPr>
      </w:pPr>
      <w:r>
        <w:rPr>
          <w:rFonts w:hint="eastAsia" w:ascii="仿宋_GB2312" w:hAnsi="宋体" w:cs="仿宋_GB2312"/>
          <w:kern w:val="0"/>
          <w:lang w:bidi="ar"/>
        </w:rPr>
        <w:t>充分发挥三省交界、江河汇聚的区位优势，</w:t>
      </w:r>
      <w:r>
        <w:rPr>
          <w:rFonts w:hint="eastAsia" w:ascii="仿宋_GB2312" w:hAnsi="仿宋_GB2312" w:cs="仿宋_GB2312"/>
        </w:rPr>
        <w:t>依托千万人口大市、经济大市、农业大市的基础条件，强化资源要素整合力，增强流通产业竞争力，提升流通体系辐射力，锚定建设河南省现代流通副中心城市战略总目标，奋力打造“两中心、一枢纽、一高地”。</w:t>
      </w:r>
    </w:p>
    <w:p>
      <w:pPr>
        <w:spacing w:line="560" w:lineRule="exact"/>
        <w:ind w:firstLine="640" w:firstLineChars="200"/>
        <w:contextualSpacing/>
        <w:rPr>
          <w:rFonts w:ascii="仿宋_GB2312" w:hAnsi="仿宋_GB2312" w:cs="仿宋_GB2312"/>
        </w:rPr>
      </w:pPr>
      <w:r>
        <w:rPr>
          <w:rFonts w:hint="eastAsia" w:ascii="楷体_GB2312" w:hAnsi="楷体_GB2312" w:eastAsia="楷体_GB2312" w:cs="楷体_GB2312"/>
          <w:bCs/>
          <w:kern w:val="0"/>
        </w:rPr>
        <w:t>——</w:t>
      </w:r>
      <w:r>
        <w:rPr>
          <w:rFonts w:hint="eastAsia" w:ascii="仿宋_GB2312" w:hAnsi="仿宋_GB2312" w:cs="仿宋_GB2312"/>
          <w:bCs/>
        </w:rPr>
        <w:t>区域消费中心。</w:t>
      </w:r>
      <w:r>
        <w:rPr>
          <w:rFonts w:hint="eastAsia" w:ascii="仿宋_GB2312" w:hAnsi="仿宋_GB2312" w:cs="仿宋_GB2312"/>
        </w:rPr>
        <w:t>以消费变革为核心构建面向消费需求的消费服务体系。充分发挥南阳近千万人口的市场潜力和人力资源优势，打造多层次的消费城市功能，优化城乡商业消费基础设施布局，促进各类消费产业高度聚集，推动各类消费新模式、新业态创新发展，着力打造具有区域影响力的消费中心城市。</w:t>
      </w:r>
    </w:p>
    <w:p>
      <w:pPr>
        <w:spacing w:line="560" w:lineRule="exact"/>
        <w:ind w:firstLine="640" w:firstLineChars="200"/>
        <w:contextualSpacing/>
        <w:rPr>
          <w:rFonts w:ascii="仿宋_GB2312" w:hAnsi="仿宋_GB2312" w:cs="仿宋_GB2312"/>
        </w:rPr>
      </w:pPr>
      <w:r>
        <w:rPr>
          <w:rFonts w:hint="eastAsia" w:ascii="楷体_GB2312" w:hAnsi="楷体_GB2312" w:eastAsia="楷体_GB2312" w:cs="楷体_GB2312"/>
          <w:bCs/>
          <w:kern w:val="0"/>
        </w:rPr>
        <w:t>——</w:t>
      </w:r>
      <w:r>
        <w:rPr>
          <w:rFonts w:hint="eastAsia" w:ascii="仿宋_GB2312" w:hAnsi="仿宋_GB2312" w:cs="仿宋_GB2312"/>
          <w:bCs/>
        </w:rPr>
        <w:t>资源配置中心。</w:t>
      </w:r>
      <w:r>
        <w:rPr>
          <w:rFonts w:hint="eastAsia" w:ascii="仿宋_GB2312" w:hAnsi="仿宋_GB2312" w:cs="仿宋_GB2312"/>
        </w:rPr>
        <w:t>以供应链重塑为导向构建面向供需两端的资源配置体系。</w:t>
      </w:r>
      <w:r>
        <w:rPr>
          <w:rFonts w:hint="eastAsia"/>
        </w:rPr>
        <w:t>围绕装备制造、绿色食品、生物产业、电子信息、新型建材、</w:t>
      </w:r>
      <w:r>
        <w:t>畜牧养殖</w:t>
      </w:r>
      <w:r>
        <w:rPr>
          <w:rFonts w:hint="eastAsia"/>
        </w:rPr>
        <w:t>、</w:t>
      </w:r>
      <w:r>
        <w:t>花卉</w:t>
      </w:r>
      <w:r>
        <w:rPr>
          <w:rFonts w:hint="eastAsia"/>
        </w:rPr>
        <w:t>种植等重点领域、特色产业，</w:t>
      </w:r>
      <w:r>
        <w:t>深化</w:t>
      </w:r>
      <w:r>
        <w:rPr>
          <w:rFonts w:hint="eastAsia"/>
        </w:rPr>
        <w:t>产</w:t>
      </w:r>
      <w:r>
        <w:t>业上下游</w:t>
      </w:r>
      <w:r>
        <w:rPr>
          <w:rFonts w:hint="eastAsia"/>
        </w:rPr>
        <w:t>、产品供需端、区域城乡间分工合作</w:t>
      </w:r>
      <w:r>
        <w:t>，</w:t>
      </w:r>
      <w:r>
        <w:rPr>
          <w:rFonts w:hint="eastAsia"/>
        </w:rPr>
        <w:t>提升相关产业供应链资源配置效率，形成产业供应链组织</w:t>
      </w:r>
      <w:r>
        <w:t>中心</w:t>
      </w:r>
      <w:r>
        <w:rPr>
          <w:rFonts w:hint="eastAsia"/>
        </w:rPr>
        <w:t>，着力打造优势产业、重点领域的资源配置中心。</w:t>
      </w:r>
    </w:p>
    <w:p>
      <w:pPr>
        <w:spacing w:line="560" w:lineRule="exact"/>
        <w:ind w:firstLine="640" w:firstLineChars="200"/>
        <w:contextualSpacing/>
        <w:rPr>
          <w:rFonts w:ascii="仿宋_GB2312" w:hAnsi="仿宋_GB2312" w:cs="仿宋_GB2312"/>
        </w:rPr>
      </w:pPr>
      <w:r>
        <w:rPr>
          <w:rFonts w:hint="eastAsia" w:ascii="楷体_GB2312" w:hAnsi="楷体_GB2312" w:eastAsia="楷体_GB2312" w:cs="楷体_GB2312"/>
          <w:bCs/>
          <w:kern w:val="0"/>
        </w:rPr>
        <w:t>——</w:t>
      </w:r>
      <w:r>
        <w:rPr>
          <w:rFonts w:hint="eastAsia" w:ascii="仿宋_GB2312" w:hAnsi="仿宋_GB2312" w:cs="仿宋_GB2312"/>
          <w:bCs/>
        </w:rPr>
        <w:t>商贸流通枢纽。</w:t>
      </w:r>
      <w:r>
        <w:rPr>
          <w:rFonts w:hint="eastAsia" w:ascii="仿宋_GB2312" w:hAnsi="仿宋_GB2312" w:cs="仿宋_GB2312"/>
        </w:rPr>
        <w:t>以流通基建为依托构建面向四面八方的枢纽网络体系。充分发挥全国性综合交通枢纽、商贸服务型国家物流枢纽功能，强化多式联运功能，畅通主要流通通道，促进枢纽经济发展，构建网络化、立体化的综合运输、物流集散和商品流通网络，</w:t>
      </w:r>
      <w:r>
        <w:rPr>
          <w:rFonts w:hint="eastAsia" w:ascii="仿宋_GB2312" w:hAnsi="宋体" w:cs="仿宋_GB2312"/>
          <w:kern w:val="0"/>
          <w:lang w:bidi="ar"/>
        </w:rPr>
        <w:t>着力打造综合性的</w:t>
      </w:r>
      <w:r>
        <w:rPr>
          <w:rFonts w:hint="eastAsia" w:ascii="仿宋_GB2312" w:hAnsi="仿宋_GB2312" w:cs="仿宋_GB2312"/>
        </w:rPr>
        <w:t>商贸流通枢纽。</w:t>
      </w:r>
    </w:p>
    <w:p>
      <w:pPr>
        <w:spacing w:line="560" w:lineRule="exact"/>
        <w:ind w:firstLine="640" w:firstLineChars="200"/>
        <w:contextualSpacing/>
        <w:rPr>
          <w:rFonts w:ascii="黑体" w:hAnsi="黑体" w:eastAsia="黑体" w:cs="黑体"/>
        </w:rPr>
      </w:pPr>
      <w:r>
        <w:rPr>
          <w:rFonts w:hint="eastAsia" w:ascii="楷体_GB2312" w:hAnsi="楷体_GB2312" w:eastAsia="楷体_GB2312" w:cs="楷体_GB2312"/>
          <w:bCs/>
          <w:kern w:val="0"/>
        </w:rPr>
        <w:t>——</w:t>
      </w:r>
      <w:r>
        <w:rPr>
          <w:rFonts w:hint="eastAsia" w:ascii="仿宋_GB2312" w:hAnsi="仿宋_GB2312" w:cs="仿宋_GB2312"/>
          <w:bCs/>
        </w:rPr>
        <w:t>区域开放高地。</w:t>
      </w:r>
      <w:r>
        <w:rPr>
          <w:rFonts w:hint="eastAsia" w:ascii="仿宋_GB2312" w:hAnsi="仿宋_GB2312" w:cs="仿宋_GB2312"/>
        </w:rPr>
        <w:t>以开放平台为载体构建面向</w:t>
      </w:r>
      <w:r>
        <w:rPr>
          <w:rFonts w:hint="eastAsia" w:ascii="仿宋_GB2312" w:hAnsi="宋体" w:cs="仿宋_GB2312"/>
          <w:kern w:val="0"/>
          <w:lang w:bidi="ar"/>
        </w:rPr>
        <w:t>国内国际</w:t>
      </w:r>
      <w:r>
        <w:rPr>
          <w:rFonts w:hint="eastAsia" w:ascii="仿宋_GB2312" w:hAnsi="仿宋_GB2312" w:cs="仿宋_GB2312"/>
        </w:rPr>
        <w:t>的开放体系。</w:t>
      </w:r>
      <w:r>
        <w:rPr>
          <w:rFonts w:hint="eastAsia" w:ascii="仿宋_GB2312" w:hAnsi="宋体" w:cs="仿宋_GB2312"/>
          <w:kern w:val="0"/>
          <w:lang w:bidi="ar"/>
        </w:rPr>
        <w:t>全面增强卧龙综合保税区、国家级跨境电商综试区和零售进口试点城市带动能力，促进内外贸易繁荣兴盛，推动营商环境进入全国先进行列，直接融入豫鄂陕省际区域经济循环，积极服务国内大循环、国内国际双循环，着力打造河南省副中心城市和新的开放高地。</w:t>
      </w:r>
    </w:p>
    <w:p>
      <w:pPr>
        <w:spacing w:line="560" w:lineRule="exact"/>
        <w:contextualSpacing/>
        <w:jc w:val="center"/>
        <w:outlineLvl w:val="0"/>
        <w:rPr>
          <w:rFonts w:ascii="黑体" w:hAnsi="黑体" w:eastAsia="黑体" w:cs="黑体"/>
        </w:rPr>
      </w:pPr>
      <w:bookmarkStart w:id="1335" w:name="_Toc733792815"/>
      <w:r>
        <w:rPr>
          <w:rFonts w:hint="eastAsia" w:ascii="黑体" w:hAnsi="黑体" w:eastAsia="黑体" w:cs="黑体"/>
        </w:rPr>
        <w:t>第三章 夯实商贸流通基础，畅通产业循环</w:t>
      </w:r>
      <w:bookmarkEnd w:id="1335"/>
    </w:p>
    <w:p>
      <w:pPr>
        <w:spacing w:line="560" w:lineRule="exact"/>
        <w:ind w:firstLine="640" w:firstLineChars="200"/>
        <w:contextualSpacing/>
        <w:rPr>
          <w:rFonts w:ascii="Times New Roman" w:hAnsi="Times New Roman"/>
        </w:rPr>
      </w:pPr>
      <w:r>
        <w:rPr>
          <w:rFonts w:hint="eastAsia" w:ascii="Times New Roman" w:hAnsi="Times New Roman"/>
        </w:rPr>
        <w:t>牢牢把握</w:t>
      </w:r>
      <w:r>
        <w:rPr>
          <w:rFonts w:ascii="Times New Roman" w:hAnsi="Times New Roman"/>
        </w:rPr>
        <w:t>扩大内需这个战略基点，</w:t>
      </w:r>
      <w:r>
        <w:rPr>
          <w:rFonts w:hint="eastAsia" w:ascii="Times New Roman" w:hAnsi="Times New Roman"/>
        </w:rPr>
        <w:t>充分发挥市场在资源配置中的决定性作用，激发市场主体活力，加强市场体系建设，</w:t>
      </w:r>
      <w:r>
        <w:rPr>
          <w:rFonts w:ascii="Times New Roman" w:hAnsi="Times New Roman"/>
        </w:rPr>
        <w:t>促进消费提质扩容，推动</w:t>
      </w:r>
      <w:r>
        <w:rPr>
          <w:rFonts w:hint="eastAsia" w:ascii="Times New Roman" w:hAnsi="Times New Roman"/>
        </w:rPr>
        <w:t>业态转型升级</w:t>
      </w:r>
      <w:r>
        <w:rPr>
          <w:rFonts w:ascii="Times New Roman" w:hAnsi="Times New Roman"/>
        </w:rPr>
        <w:t>，夯实</w:t>
      </w:r>
      <w:r>
        <w:rPr>
          <w:rFonts w:hint="eastAsia" w:ascii="Times New Roman" w:hAnsi="Times New Roman"/>
        </w:rPr>
        <w:t>产业</w:t>
      </w:r>
      <w:r>
        <w:rPr>
          <w:rFonts w:ascii="Times New Roman" w:hAnsi="Times New Roman"/>
        </w:rPr>
        <w:t>循环基础。</w:t>
      </w:r>
    </w:p>
    <w:p>
      <w:pPr>
        <w:spacing w:line="560" w:lineRule="exact"/>
        <w:contextualSpacing/>
        <w:jc w:val="center"/>
        <w:outlineLvl w:val="1"/>
        <w:rPr>
          <w:rFonts w:ascii="楷体_GB2312" w:hAnsi="楷体_GB2312" w:eastAsia="楷体_GB2312" w:cs="楷体_GB2312"/>
        </w:rPr>
      </w:pPr>
      <w:bookmarkStart w:id="1336" w:name="_Toc1451356616"/>
      <w:r>
        <w:rPr>
          <w:rFonts w:hint="eastAsia" w:ascii="楷体_GB2312" w:hAnsi="楷体_GB2312" w:eastAsia="楷体_GB2312" w:cs="楷体_GB2312"/>
        </w:rPr>
        <w:t>第一节 构建流通主体发展生态</w:t>
      </w:r>
      <w:bookmarkEnd w:id="1336"/>
    </w:p>
    <w:p>
      <w:pPr>
        <w:spacing w:line="560" w:lineRule="exact"/>
        <w:ind w:firstLine="640" w:firstLineChars="200"/>
        <w:contextualSpacing/>
        <w:rPr>
          <w:rFonts w:ascii="仿宋_GB2312" w:hAnsi="仿宋_GB2312" w:cs="仿宋_GB2312"/>
        </w:rPr>
      </w:pPr>
      <w:r>
        <w:rPr>
          <w:rFonts w:hint="eastAsia" w:ascii="仿宋_GB2312" w:hAnsi="仿宋_GB2312" w:cs="仿宋_GB2312"/>
          <w:bCs/>
        </w:rPr>
        <w:t>打造商贸流通“宛军”核心竞争力。</w:t>
      </w:r>
      <w:r>
        <w:rPr>
          <w:rFonts w:hint="eastAsia" w:ascii="仿宋_GB2312" w:hAnsi="仿宋_GB2312" w:cs="仿宋_GB2312"/>
        </w:rPr>
        <w:t>建立重点培育企业名录，加大财税、金融等方面支持，</w:t>
      </w:r>
      <w:r>
        <w:rPr>
          <w:rFonts w:hint="eastAsia" w:ascii="仿宋_GB2312" w:cs="仿宋"/>
        </w:rPr>
        <w:t>支持企业创建国家、省、市各级供应链创新、平安商场、绿色商场、品牌示范企业，</w:t>
      </w:r>
      <w:r>
        <w:rPr>
          <w:rFonts w:hint="eastAsia" w:ascii="仿宋_GB2312" w:hAnsi="仿宋_GB2312" w:cs="仿宋_GB2312"/>
        </w:rPr>
        <w:t>培育现代流通商贸企业集群。积极引进总部型商贸流通主体，支持知名商贸流通企业在我市设立总部、区域总部及研发中心、技术中心、采购中心、结算中心等功能性机构。实施连锁化、品牌化便利店培育工程，推进省级品牌连锁便利店重点城市建设，吸引国内外知名品牌连锁企业落户发展，支持万德隆、大统百货等本土骨干品牌企业开展跨行业、跨区域兼并重组，培育一批发展规模大、网络布局广、经营品类全的品牌连锁企业。引导商贸企业、物流企业、商品市场等向供应链综合服务商转型，重点培育供应链集成服务商、品质生活方式提供商、品牌连锁企业等。引导中小商贸企业在业态、产品、服务、体验等方面加强创新、体现特色，鼓励未达到规范化标准的便利店企业升级改造，持续推进“个转企、小升规、规改股、股上市”。</w:t>
      </w:r>
      <w:r>
        <w:rPr>
          <w:rFonts w:hint="eastAsia" w:ascii="仿宋_GB2312" w:cs="仿宋"/>
        </w:rPr>
        <w:t>鼓励企业实施数字化提升改造、标准化建设、品质超市创建，</w:t>
      </w:r>
      <w:r>
        <w:rPr>
          <w:rFonts w:hint="eastAsia" w:ascii="仿宋_GB2312" w:hAnsi="仿宋_GB2312" w:cs="仿宋_GB2312"/>
        </w:rPr>
        <w:t>引导各类社（街）区小店特色化、连锁化、数字化、便民化经营，以延长营业时间、拓展品类项目、精细管理等方式丰富服务供给。强化区域城市商贸合作，借助万德隆等本地龙头商贸服务企业自身的渠道资源优势，积极推动成立豫鄂陕区域商贸企业联盟。</w:t>
      </w:r>
    </w:p>
    <w:p>
      <w:pPr>
        <w:spacing w:line="560" w:lineRule="exact"/>
        <w:ind w:firstLine="640" w:firstLineChars="200"/>
        <w:contextualSpacing/>
      </w:pPr>
      <w:r>
        <w:rPr>
          <w:rFonts w:hint="eastAsia" w:ascii="仿宋_GB2312" w:hAnsi="仿宋_GB2312" w:cs="仿宋_GB2312"/>
          <w:bCs/>
        </w:rPr>
        <w:t>培育南阳特色商业文化和区域品牌。</w:t>
      </w:r>
      <w:r>
        <w:rPr>
          <w:rFonts w:hint="eastAsia" w:ascii="仿宋_GB2312" w:hAnsi="仿宋_GB2312" w:cs="仿宋_GB2312"/>
        </w:rPr>
        <w:t>引导本土企业</w:t>
      </w:r>
      <w:r>
        <w:rPr>
          <w:rFonts w:hint="eastAsia" w:ascii="仿宋_GB2312" w:cs="仿宋"/>
        </w:rPr>
        <w:t>深入挖掘企业品牌文化和名优产品</w:t>
      </w:r>
      <w:r>
        <w:rPr>
          <w:rFonts w:hint="eastAsia" w:ascii="仿宋_GB2312" w:hAnsi="仿宋_GB2312" w:cs="仿宋_GB2312"/>
        </w:rPr>
        <w:t>，加强对企业品牌、产品品牌的培育，</w:t>
      </w:r>
      <w:r>
        <w:rPr>
          <w:rFonts w:hint="eastAsia" w:ascii="仿宋_GB2312" w:cs="仿宋"/>
        </w:rPr>
        <w:t>加大对宛货产品知名品牌推广力度，</w:t>
      </w:r>
      <w:r>
        <w:rPr>
          <w:rFonts w:hint="eastAsia" w:ascii="仿宋_GB2312" w:hAnsi="仿宋_GB2312" w:cs="仿宋_GB2312"/>
        </w:rPr>
        <w:t>提升南阳商贸品牌知名度、美誉度</w:t>
      </w:r>
      <w:r>
        <w:rPr>
          <w:rFonts w:hint="eastAsia" w:ascii="仿宋_GB2312" w:cs="仿宋"/>
        </w:rPr>
        <w:t>。</w:t>
      </w:r>
      <w:r>
        <w:rPr>
          <w:rFonts w:hint="eastAsia" w:ascii="仿宋_GB2312" w:hAnsi="仿宋_GB2312" w:cs="仿宋_GB2312"/>
        </w:rPr>
        <w:t>鼓励企业开展自主品牌建设，争取创建河南著名商标、中国驰名商标，积极申请“三品一标”“地理标志”等认证，以品牌带动产业发展。积极扩大具有南阳地方特色、市场空间较大产品的流通交易规模，鼓励南阳城市定制商品和零售商自有品牌发展，支持外贸企业打造自有品牌，大力培育具有南阳区域特色、文化特色和发展潜力的商贸企业。依托玉文化、中药材等特色优势，高质量办好玉雕节、张仲景医药文化节、艾产业发展大会、月季洲际大会等大型知名展会，适时组织举办汽车展、家博会、文博会、食博会，培育一批比较优势明显、带动力强的专业展会和区域性会展品牌。挖掘非物质文化遗产商业价值，加强非物质文化遗产产品资格认证和质量监控。</w:t>
      </w:r>
      <w:r>
        <w:rPr>
          <w:rFonts w:hint="eastAsia" w:ascii="仿宋_GB2312" w:cs="仿宋"/>
        </w:rPr>
        <w:t>研究制定保护和促进老字号发展的政策措施，对老字号品牌保护、产品创新、技术改造、发展连锁经营等进行扶持</w:t>
      </w:r>
      <w:r>
        <w:rPr>
          <w:rFonts w:hint="eastAsia" w:ascii="仿宋_GB2312" w:hAnsi="仿宋_GB2312" w:cs="仿宋_GB2312"/>
        </w:rPr>
        <w:t>，</w:t>
      </w:r>
      <w:r>
        <w:rPr>
          <w:rFonts w:hint="eastAsia" w:ascii="仿宋_GB2312" w:cs="仿宋"/>
        </w:rPr>
        <w:t>积极开展“中华老字号”“河南老字号”申报工作，</w:t>
      </w:r>
      <w:r>
        <w:rPr>
          <w:rFonts w:hint="eastAsia" w:ascii="仿宋_GB2312" w:hAnsi="仿宋_GB2312" w:cs="仿宋_GB2312"/>
        </w:rPr>
        <w:t>支持企业加快适应新消费方式，改善商品质量和服务水平，培育一批文化特色浓、品牌信誉高、市场竞争力强的老字号品牌</w:t>
      </w:r>
      <w:r>
        <w:rPr>
          <w:rFonts w:hint="eastAsia" w:ascii="仿宋_GB2312" w:cs="仿宋"/>
        </w:rPr>
        <w:t>，推进老字号保护和发展</w:t>
      </w:r>
      <w:r>
        <w:rPr>
          <w:rFonts w:hint="eastAsia" w:ascii="仿宋_GB2312" w:hAnsi="仿宋_GB2312" w:cs="仿宋_GB2312"/>
        </w:rPr>
        <w:t>。</w:t>
      </w:r>
    </w:p>
    <w:p>
      <w:pPr>
        <w:spacing w:line="560" w:lineRule="exact"/>
        <w:ind w:firstLine="640" w:firstLineChars="200"/>
        <w:contextualSpacing/>
        <w:rPr>
          <w:rFonts w:ascii="仿宋_GB2312" w:hAnsi="仿宋_GB2312" w:cs="仿宋_GB2312"/>
        </w:rPr>
      </w:pPr>
      <w:r>
        <w:rPr>
          <w:rFonts w:hint="eastAsia" w:ascii="仿宋_GB2312" w:hAnsi="仿宋_GB2312" w:cs="仿宋_GB2312"/>
          <w:bCs/>
        </w:rPr>
        <w:t>构建中小商贸流通企业公共服务体系。</w:t>
      </w:r>
      <w:r>
        <w:rPr>
          <w:rFonts w:hint="eastAsia" w:ascii="仿宋_GB2312" w:cs="仿宋"/>
        </w:rPr>
        <w:t>进一步建立健全市县乡三级商贸流通企业公共服务体系，引导各类社会化专业服务机构进入流通公共服务领域</w:t>
      </w:r>
      <w:r>
        <w:rPr>
          <w:rFonts w:hint="eastAsia" w:ascii="仿宋_GB2312" w:hAnsi="仿宋_GB2312" w:cs="仿宋_GB2312"/>
        </w:rPr>
        <w:t>，为中小企业提供融资、市场开拓、科技应用和管理咨询等服务</w:t>
      </w:r>
      <w:r>
        <w:rPr>
          <w:rFonts w:hint="eastAsia" w:ascii="仿宋_GB2312" w:cs="仿宋"/>
        </w:rPr>
        <w:t>，形成主体多元化、资源社会化、服务专业化、公益与商业相配套的服务体系。</w:t>
      </w:r>
      <w:r>
        <w:rPr>
          <w:rFonts w:hint="eastAsia" w:ascii="仿宋_GB2312" w:hAnsi="仿宋_GB2312" w:cs="仿宋_GB2312"/>
        </w:rPr>
        <w:t>支持各类大型商贸企业、平台企业、电商平台、物流企业、品牌商等市场主体，利用参股控股、联合兼并、合资合作等方式整合各类资源，实现强强联合，通过将中小企业纳入自身供应链，共建线上线下、产业融合、内外一体的供应链生态圈，为中小企业发展赋能。鼓励平台型、科技型企业利用数字技术赋能，降低中小微商贸企业进驻和服务费用，提升企业持续发展能力。支持有条件的地方建设孵化基地、创客空间等，借助大数据、云平台、物联网等为中小微商贸流通企业创新创业提供便利。</w:t>
      </w:r>
      <w:r>
        <w:rPr>
          <w:rFonts w:hint="eastAsia" w:ascii="仿宋_GB2312" w:cs="仿宋"/>
        </w:rPr>
        <w:t>鼓励南阳市总商会（工商联）积极引导组建县级商会组织，吸纳更多商贸流通企业入会，更好发挥其政府和行业企业间桥梁的作用。</w:t>
      </w:r>
    </w:p>
    <w:p>
      <w:pPr>
        <w:spacing w:line="560" w:lineRule="exact"/>
        <w:contextualSpacing/>
        <w:jc w:val="center"/>
        <w:outlineLvl w:val="1"/>
        <w:rPr>
          <w:rFonts w:ascii="楷体_GB2312" w:hAnsi="楷体_GB2312" w:eastAsia="楷体_GB2312" w:cs="楷体_GB2312"/>
        </w:rPr>
      </w:pPr>
      <w:bookmarkStart w:id="1337" w:name="_Toc796869667"/>
      <w:r>
        <w:rPr>
          <w:rFonts w:hint="eastAsia" w:ascii="楷体_GB2312" w:hAnsi="楷体_GB2312" w:eastAsia="楷体_GB2312" w:cs="楷体_GB2312"/>
        </w:rPr>
        <w:t>第二节 加强流通市场体系建设</w:t>
      </w:r>
      <w:bookmarkEnd w:id="1337"/>
    </w:p>
    <w:p>
      <w:pPr>
        <w:spacing w:line="560" w:lineRule="exact"/>
        <w:ind w:firstLine="640" w:firstLineChars="200"/>
        <w:contextualSpacing/>
        <w:rPr>
          <w:rFonts w:ascii="Times New Roman" w:hAnsi="Times New Roman" w:cs="仿宋_GB2312"/>
          <w:bCs/>
        </w:rPr>
      </w:pPr>
      <w:r>
        <w:rPr>
          <w:rFonts w:hint="eastAsia" w:ascii="仿宋_GB2312" w:hAnsi="仿宋_GB2312" w:cs="仿宋_GB2312"/>
          <w:bCs/>
        </w:rPr>
        <w:t>优化商品交易市场布局。</w:t>
      </w:r>
      <w:r>
        <w:rPr>
          <w:rFonts w:hint="eastAsia" w:ascii="仿宋_GB2312" w:cs="仿宋"/>
        </w:rPr>
        <w:t>按照“功能集中、优势互补、错位发展”的思路，培育一批综合与专业、批发与零售、产地与销地联动融合的商品交易市场。</w:t>
      </w:r>
      <w:r>
        <w:rPr>
          <w:rFonts w:hint="eastAsia" w:ascii="仿宋_GB2312" w:hAnsi="仿宋_GB2312" w:cs="仿宋_GB2312"/>
        </w:rPr>
        <w:t>优化农副产品市场结构和布局，</w:t>
      </w:r>
      <w:r>
        <w:rPr>
          <w:rFonts w:hint="eastAsia" w:ascii="仿宋_GB2312" w:cs="仿宋"/>
        </w:rPr>
        <w:t>提升各类农副产品、日用消费品及生产资料批发市场设施功能，</w:t>
      </w:r>
      <w:r>
        <w:rPr>
          <w:rFonts w:hint="eastAsia"/>
        </w:rPr>
        <w:t>依托各地现有产业基础</w:t>
      </w:r>
      <w:r>
        <w:rPr>
          <w:rFonts w:hint="eastAsia" w:ascii="仿宋_GB2312" w:cs="仿宋"/>
        </w:rPr>
        <w:t>，培育西峡</w:t>
      </w:r>
      <w:r>
        <w:rPr>
          <w:rFonts w:hint="eastAsia" w:ascii="仿宋_GB2312" w:hAnsi="仿宋_GB2312" w:cs="仿宋_GB2312"/>
        </w:rPr>
        <w:t>香菇、</w:t>
      </w:r>
      <w:r>
        <w:rPr>
          <w:rFonts w:hint="eastAsia" w:ascii="仿宋_GB2312" w:cs="仿宋"/>
        </w:rPr>
        <w:t>内乡生猪、卧龙月季、镇平</w:t>
      </w:r>
      <w:r>
        <w:rPr>
          <w:rFonts w:hint="eastAsia" w:ascii="仿宋_GB2312" w:hAnsi="仿宋_GB2312" w:cs="仿宋_GB2312"/>
        </w:rPr>
        <w:t>玉器等</w:t>
      </w:r>
      <w:r>
        <w:rPr>
          <w:rFonts w:hint="eastAsia" w:ascii="仿宋_GB2312" w:cs="仿宋"/>
        </w:rPr>
        <w:t>一批有影响力的区域性</w:t>
      </w:r>
      <w:r>
        <w:rPr>
          <w:rFonts w:hint="eastAsia" w:ascii="仿宋_GB2312" w:hAnsi="仿宋_GB2312" w:cs="仿宋_GB2312"/>
        </w:rPr>
        <w:t>特色专业市场集群，完善各具特色的区域农产品市场网络。</w:t>
      </w:r>
      <w:r>
        <w:rPr>
          <w:rFonts w:hint="eastAsia" w:ascii="仿宋" w:hAnsi="仿宋" w:cs="仿宋"/>
          <w:lang w:val="zh-CN" w:bidi="zh-CN"/>
        </w:rPr>
        <w:t>以国</w:t>
      </w:r>
      <w:r>
        <w:rPr>
          <w:rFonts w:hint="eastAsia" w:ascii="仿宋" w:hAnsi="仿宋" w:cs="仿宋"/>
        </w:rPr>
        <w:t>家中医药改革综合试验区建设为载体，</w:t>
      </w:r>
      <w:r>
        <w:rPr>
          <w:rFonts w:hint="eastAsia" w:ascii="仿宋_GB2312" w:hAnsi="仿宋_GB2312" w:cs="仿宋_GB2312"/>
        </w:rPr>
        <w:t>重塑南阳中药材专业市场体系，推动</w:t>
      </w:r>
      <w:r>
        <w:rPr>
          <w:rFonts w:hint="eastAsia" w:ascii="仿宋" w:hAnsi="仿宋" w:cs="仿宋"/>
        </w:rPr>
        <w:t>中药</w:t>
      </w:r>
      <w:r>
        <w:rPr>
          <w:rFonts w:hint="eastAsia" w:ascii="仿宋_GB2312" w:hAnsi="仿宋_GB2312" w:cs="仿宋_GB2312"/>
        </w:rPr>
        <w:t>种植、加工、仓储物流等同步发力，助力打造中医药强市。</w:t>
      </w:r>
      <w:r>
        <w:rPr>
          <w:rFonts w:hint="eastAsia" w:ascii="仿宋_GB2312" w:cs="仿宋"/>
        </w:rPr>
        <w:t>引导零售业特色化、差异化发展，逐步形成多层级的零售和消费市场，支持中心城区及县城培育打造一批市场购物型、潮流体验型、夜间消费型特色商圈、商贸综合体和商业步行街，鼓励有条件的乡镇建设综合商贸中心，合理规划布局城市社区邻里中心和农村社区综合性服务网点。优化布局建设区域性新型工业品专业市场，规范粮食、钢铁、建材、煤炭等大宗商品交易市场建设。</w:t>
      </w:r>
    </w:p>
    <w:p>
      <w:pPr>
        <w:spacing w:line="560" w:lineRule="exact"/>
        <w:ind w:firstLine="640" w:firstLineChars="200"/>
        <w:contextualSpacing/>
        <w:rPr>
          <w:rFonts w:ascii="仿宋_GB2312" w:hAnsi="仿宋_GB2312" w:cs="仿宋_GB2312"/>
        </w:rPr>
      </w:pPr>
      <w:r>
        <w:rPr>
          <w:rFonts w:hint="eastAsia" w:ascii="仿宋_GB2312" w:hAnsi="仿宋_GB2312" w:cs="仿宋_GB2312"/>
          <w:bCs/>
        </w:rPr>
        <w:t>推动交易市场提质升级。</w:t>
      </w:r>
      <w:r>
        <w:rPr>
          <w:rFonts w:ascii="仿宋_GB2312" w:hAnsi="仿宋_GB2312" w:cs="仿宋_GB2312"/>
        </w:rPr>
        <w:t>结合</w:t>
      </w:r>
      <w:r>
        <w:rPr>
          <w:rFonts w:hint="eastAsia" w:ascii="仿宋_GB2312" w:hAnsi="仿宋_GB2312" w:cs="仿宋_GB2312"/>
        </w:rPr>
        <w:t>我</w:t>
      </w:r>
      <w:r>
        <w:rPr>
          <w:rFonts w:ascii="仿宋_GB2312" w:hAnsi="仿宋_GB2312" w:cs="仿宋_GB2312"/>
        </w:rPr>
        <w:t>市现代商贸中心</w:t>
      </w:r>
      <w:r>
        <w:rPr>
          <w:rFonts w:hint="eastAsia" w:ascii="仿宋_GB2312" w:hAnsi="仿宋_GB2312" w:cs="仿宋_GB2312"/>
        </w:rPr>
        <w:t>建设</w:t>
      </w:r>
      <w:r>
        <w:rPr>
          <w:rFonts w:ascii="仿宋_GB2312" w:hAnsi="仿宋_GB2312" w:cs="仿宋_GB2312"/>
        </w:rPr>
        <w:t>目标和现有商贸基础，加快提升改造</w:t>
      </w:r>
      <w:r>
        <w:rPr>
          <w:rFonts w:hint="eastAsia" w:ascii="仿宋_GB2312" w:hAnsi="仿宋_GB2312" w:cs="仿宋_GB2312"/>
        </w:rPr>
        <w:t>我市</w:t>
      </w:r>
      <w:r>
        <w:rPr>
          <w:rFonts w:ascii="仿宋_GB2312" w:hAnsi="仿宋_GB2312" w:cs="仿宋_GB2312"/>
        </w:rPr>
        <w:t>现有专业市场</w:t>
      </w:r>
      <w:r>
        <w:rPr>
          <w:rFonts w:hint="eastAsia" w:ascii="仿宋_GB2312" w:hAnsi="仿宋_GB2312" w:cs="仿宋_GB2312"/>
        </w:rPr>
        <w:t>。</w:t>
      </w:r>
      <w:r>
        <w:rPr>
          <w:rFonts w:ascii="仿宋_GB2312" w:hAnsi="仿宋_GB2312" w:cs="仿宋_GB2312"/>
        </w:rPr>
        <w:t>进一步创新商贸发展理念</w:t>
      </w:r>
      <w:r>
        <w:rPr>
          <w:rFonts w:hint="eastAsia" w:ascii="仿宋_GB2312" w:hAnsi="仿宋_GB2312" w:cs="仿宋_GB2312"/>
        </w:rPr>
        <w:t>、</w:t>
      </w:r>
      <w:r>
        <w:rPr>
          <w:rFonts w:ascii="仿宋_GB2312" w:hAnsi="仿宋_GB2312" w:cs="仿宋_GB2312"/>
        </w:rPr>
        <w:t>升级商贸服务业态</w:t>
      </w:r>
      <w:r>
        <w:rPr>
          <w:rFonts w:hint="eastAsia" w:ascii="仿宋_GB2312" w:hAnsi="仿宋_GB2312" w:cs="仿宋_GB2312"/>
        </w:rPr>
        <w:t>，</w:t>
      </w:r>
      <w:r>
        <w:rPr>
          <w:rFonts w:hint="eastAsia" w:ascii="仿宋_GB2312" w:cs="仿宋"/>
        </w:rPr>
        <w:t>创新电子交易市场、园区型市场、街区型市场、城市综合体市场、商贸城市场、物流园区型交易市场、连锁型市场、集群市场、产业链市场等多种市场发展模式。</w:t>
      </w:r>
      <w:r>
        <w:rPr>
          <w:rFonts w:hint="eastAsia" w:ascii="仿宋_GB2312" w:hAnsi="仿宋_GB2312" w:cs="仿宋_GB2312"/>
        </w:rPr>
        <w:t>支持专业市场创新批发市场交易模式，</w:t>
      </w:r>
      <w:r>
        <w:rPr>
          <w:rFonts w:hint="eastAsia" w:ascii="仿宋_GB2312" w:cs="仿宋"/>
        </w:rPr>
        <w:t>增强批发交易市场</w:t>
      </w:r>
      <w:r>
        <w:rPr>
          <w:rFonts w:hint="eastAsia" w:ascii="仿宋_GB2312" w:hAnsi="仿宋_GB2312" w:cs="仿宋_GB2312"/>
        </w:rPr>
        <w:t>仓储装卸、</w:t>
      </w:r>
      <w:r>
        <w:rPr>
          <w:rFonts w:hint="eastAsia" w:ascii="仿宋_GB2312" w:cs="仿宋"/>
        </w:rPr>
        <w:t>物流配送、质量标准、金融服务、研发设计、展览展示、咨询服务等综合</w:t>
      </w:r>
      <w:r>
        <w:rPr>
          <w:rFonts w:hint="eastAsia" w:ascii="仿宋_GB2312" w:hAnsi="仿宋_GB2312" w:cs="仿宋_GB2312"/>
        </w:rPr>
        <w:t>配套</w:t>
      </w:r>
      <w:r>
        <w:rPr>
          <w:rFonts w:hint="eastAsia" w:ascii="仿宋_GB2312" w:cs="仿宋"/>
        </w:rPr>
        <w:t>服务功能。</w:t>
      </w:r>
      <w:r>
        <w:rPr>
          <w:rFonts w:hint="eastAsia" w:ascii="仿宋_GB2312" w:hAnsi="仿宋_GB2312" w:cs="仿宋_GB2312"/>
        </w:rPr>
        <w:t>鼓励建立专业批发市场公共物流服务园</w:t>
      </w:r>
      <w:r>
        <w:rPr>
          <w:rFonts w:hint="eastAsia" w:ascii="Times New Roman" w:hAnsi="Times New Roman"/>
          <w:kern w:val="0"/>
        </w:rPr>
        <w:t>区，积极引导传统交易市场逐步向集现货交易、电子交易、公共信息、仓储、物流、结算等服务功能于一体的第三方交易平台转型。到2025年，全市年交易额超百亿元的商品交易市场达到3个，年交易额超50亿元的商品交易市场超过3个。</w:t>
      </w:r>
    </w:p>
    <w:p>
      <w:pPr>
        <w:spacing w:line="560" w:lineRule="exact"/>
        <w:ind w:firstLine="640" w:firstLineChars="200"/>
        <w:contextualSpacing/>
        <w:rPr>
          <w:rFonts w:ascii="仿宋_GB2312" w:hAnsi="仿宋_GB2312" w:cs="仿宋_GB2312"/>
        </w:rPr>
      </w:pPr>
      <w:r>
        <w:rPr>
          <w:rFonts w:hint="eastAsia" w:ascii="仿宋_GB2312" w:hAnsi="仿宋_GB2312" w:cs="仿宋_GB2312"/>
          <w:bCs/>
        </w:rPr>
        <w:t>打造区域新型消费中心。</w:t>
      </w:r>
      <w:r>
        <w:rPr>
          <w:rFonts w:hint="eastAsia" w:ascii="仿宋_GB2312" w:cs="仿宋"/>
        </w:rPr>
        <w:t>顺应消费数字化、品质化、个性化、多元化趋势，提升传统消费，培育新型消费，适度增加公共消费，全面推进商贸品质高端、智慧共享，打造</w:t>
      </w:r>
      <w:r>
        <w:rPr>
          <w:rFonts w:hint="eastAsia" w:ascii="仿宋_GB2312" w:hAnsi="仿宋_GB2312" w:cs="仿宋_GB2312"/>
        </w:rPr>
        <w:t>豫鄂陕区域</w:t>
      </w:r>
      <w:r>
        <w:rPr>
          <w:rFonts w:hint="eastAsia" w:ascii="仿宋_GB2312" w:cs="仿宋"/>
        </w:rPr>
        <w:t>高品质消费中心。深度挖掘城市特色</w:t>
      </w:r>
      <w:r>
        <w:rPr>
          <w:rFonts w:hint="eastAsia" w:ascii="仿宋_GB2312" w:hAnsi="仿宋_GB2312" w:cs="仿宋_GB2312"/>
        </w:rPr>
        <w:t>历史</w:t>
      </w:r>
      <w:r>
        <w:rPr>
          <w:rFonts w:hint="eastAsia" w:ascii="仿宋_GB2312" w:cs="仿宋"/>
        </w:rPr>
        <w:t>文化内涵，</w:t>
      </w:r>
      <w:r>
        <w:rPr>
          <w:rFonts w:hint="eastAsia" w:ascii="Times New Roman" w:hAnsi="Times New Roman"/>
        </w:rPr>
        <w:t>中心城区围绕南阳府衙及周边街道、梅溪河、白河两岸区域，各县（市、区）结合实际，以特色餐饮为基础，以主题性演出、大型娱乐项目为亮点，以公园、步行街等为载体，打造</w:t>
      </w:r>
      <w:r>
        <w:rPr>
          <w:rFonts w:hint="eastAsia" w:ascii="仿宋_GB2312" w:hAnsi="仿宋_GB2312" w:cs="仿宋_GB2312"/>
        </w:rPr>
        <w:t>一批“夜南阳”消</w:t>
      </w:r>
      <w:r>
        <w:rPr>
          <w:rFonts w:hint="eastAsia" w:ascii="Times New Roman" w:hAnsi="Times New Roman"/>
        </w:rPr>
        <w:t>费地标</w:t>
      </w:r>
      <w:r>
        <w:rPr>
          <w:rFonts w:hint="eastAsia" w:ascii="仿宋_GB2312" w:cs="仿宋"/>
        </w:rPr>
        <w:t>和网红打卡地</w:t>
      </w:r>
      <w:r>
        <w:rPr>
          <w:rFonts w:hint="eastAsia" w:ascii="Times New Roman" w:hAnsi="Times New Roman"/>
        </w:rPr>
        <w:t>，</w:t>
      </w:r>
      <w:r>
        <w:rPr>
          <w:rFonts w:hint="eastAsia" w:ascii="仿宋_GB2312" w:cs="仿宋"/>
        </w:rPr>
        <w:t>促进“传统文化”与“时代潮流”、“老字号”与“新风尚”互动融合</w:t>
      </w:r>
      <w:r>
        <w:rPr>
          <w:rFonts w:hint="eastAsia" w:ascii="Times New Roman" w:hAnsi="Times New Roman"/>
        </w:rPr>
        <w:t>。</w:t>
      </w:r>
      <w:r>
        <w:rPr>
          <w:rFonts w:hint="eastAsia" w:ascii="仿宋_GB2312" w:cs="仿宋"/>
        </w:rPr>
        <w:t>大力实施全域旅游战略，通过政府购买服务、消费补贴等途径，引导和支持文化企业提供更多文化产品和服务。推动城市商圈错位发展，加快步行街改造提升、重点建设一批特色商业街区，打造“高端商圈</w:t>
      </w:r>
      <w:r>
        <w:rPr>
          <w:rFonts w:hint="eastAsia" w:ascii="Times New Roman" w:hAnsi="Times New Roman"/>
        </w:rPr>
        <w:t>+</w:t>
      </w:r>
      <w:r>
        <w:rPr>
          <w:rFonts w:hint="eastAsia" w:ascii="仿宋_GB2312" w:cs="仿宋"/>
        </w:rPr>
        <w:t>特色街区</w:t>
      </w:r>
      <w:r>
        <w:rPr>
          <w:rFonts w:hint="eastAsia" w:ascii="Times New Roman" w:hAnsi="Times New Roman"/>
        </w:rPr>
        <w:t>+</w:t>
      </w:r>
      <w:r>
        <w:rPr>
          <w:rFonts w:hint="eastAsia" w:ascii="仿宋_GB2312" w:cs="仿宋"/>
        </w:rPr>
        <w:t>城市一刻钟便民生活圈”多层次城市消费网络。实施新型消费示范县建设工程，打造若干特色新型消费县（市、区）。</w:t>
      </w:r>
      <w:r>
        <w:rPr>
          <w:rFonts w:hint="eastAsia" w:ascii="Times New Roman" w:hAnsi="Times New Roman"/>
        </w:rPr>
        <w:t>完善“互联网+消费”生态体系，积极发展假日经济、旅游经济、首店经济、小店经济等业态模式</w:t>
      </w:r>
      <w:r>
        <w:rPr>
          <w:rFonts w:hint="eastAsia" w:ascii="仿宋_GB2312" w:cs="仿宋"/>
        </w:rPr>
        <w:t>，</w:t>
      </w:r>
      <w:r>
        <w:rPr>
          <w:rFonts w:hint="eastAsia" w:ascii="Times New Roman" w:hAnsi="Times New Roman"/>
        </w:rPr>
        <w:t>着力培育信息、时尚、体验等新兴消费热点。</w:t>
      </w:r>
      <w:r>
        <w:rPr>
          <w:rFonts w:hint="eastAsia" w:ascii="仿宋_GB2312" w:cs="仿宋"/>
        </w:rPr>
        <w:t>大力发展“互联网+社会服务”，促进教育培训、医疗健康、家政等领域消费线上线下融合，</w:t>
      </w:r>
      <w:r>
        <w:rPr>
          <w:rFonts w:hint="eastAsia" w:ascii="Times New Roman" w:hAnsi="Times New Roman"/>
        </w:rPr>
        <w:t>促进供需在更高水平上良性循环</w:t>
      </w:r>
      <w:r>
        <w:rPr>
          <w:rFonts w:hint="eastAsia" w:ascii="仿宋_GB2312" w:cs="仿宋"/>
        </w:rPr>
        <w:t>。充分发挥供销社作用，不断扩展农村消费市场。</w:t>
      </w:r>
    </w:p>
    <w:tbl>
      <w:tblPr>
        <w:tblStyle w:val="26"/>
        <w:tblW w:w="0" w:type="auto"/>
        <w:tblInd w:w="11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6" w:hRule="atLeast"/>
        </w:trPr>
        <w:tc>
          <w:tcPr>
            <w:tcW w:w="8834" w:type="dxa"/>
            <w:tcBorders>
              <w:tl2br w:val="nil"/>
              <w:tr2bl w:val="nil"/>
            </w:tcBorders>
            <w:vAlign w:val="center"/>
          </w:tcPr>
          <w:p>
            <w:pPr>
              <w:topLinePunct/>
              <w:spacing w:line="400" w:lineRule="exact"/>
              <w:contextualSpacing/>
              <w:jc w:val="center"/>
              <w:rPr>
                <w:rFonts w:ascii="Times New Roman" w:hAnsi="Times New Roman" w:eastAsia="黑体" w:cs="黑体"/>
              </w:rPr>
            </w:pPr>
            <w:r>
              <w:rPr>
                <w:rFonts w:hint="eastAsia" w:ascii="Times New Roman" w:hAnsi="Times New Roman" w:eastAsia="黑体" w:cs="黑体"/>
                <w:sz w:val="28"/>
                <w:szCs w:val="28"/>
              </w:rPr>
              <w:t>专栏2：商贸流通主体提档工程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834" w:type="dxa"/>
            <w:tcBorders>
              <w:tl2br w:val="nil"/>
              <w:tr2bl w:val="nil"/>
            </w:tcBorders>
          </w:tcPr>
          <w:p>
            <w:pPr>
              <w:spacing w:line="400" w:lineRule="exact"/>
              <w:ind w:firstLine="480" w:firstLineChars="200"/>
              <w:contextualSpacing/>
              <w:rPr>
                <w:rFonts w:ascii="Times New Roman" w:hAnsi="Times New Roman"/>
                <w:sz w:val="24"/>
                <w:szCs w:val="24"/>
              </w:rPr>
            </w:pPr>
            <w:r>
              <w:rPr>
                <w:rFonts w:hint="eastAsia" w:ascii="楷体" w:hAnsi="楷体" w:eastAsia="楷体" w:cs="楷体"/>
                <w:bCs/>
                <w:sz w:val="24"/>
                <w:szCs w:val="24"/>
              </w:rPr>
              <w:t>1.商贸流通主体强基壮体行动。</w:t>
            </w:r>
            <w:r>
              <w:rPr>
                <w:rFonts w:hint="eastAsia" w:ascii="Times New Roman" w:hAnsi="Times New Roman"/>
                <w:sz w:val="24"/>
                <w:szCs w:val="24"/>
              </w:rPr>
              <w:t>扎实开展“万人助万企”活动，引导万德隆、世纪龙、绿源生鲜配送等制定不同市场目标，实现提质发展；推动新华城市广场、经纬国际广场、上亿广场等实现特色发展，显著提高限额以上商贸企业零售额在社消零总额的比重和贡献率。推行产业链链长和产业联盟会长“双长制”，根据南阳市商业发展需求，积极引进永辉超市、华润万象城、欢乐谷、中青旅、中国人保等行业内标杆性的大型商超、商贸综合体、休闲娱乐、信息研发、旅游开发、金融服务等类型的企业以及平台型企业。实施商贸行业“十百千”工程，强化政策配套与服务，重点支持30家以上龙头企业、壮大100家以上骨干企业、培育 1000家以上限额以上企业，培育催生一批具有发展活力、增长潜力、竞争实力的商贸流通业成长型企业和龙头骨干企业。</w:t>
            </w:r>
          </w:p>
          <w:p>
            <w:pPr>
              <w:spacing w:line="400" w:lineRule="exact"/>
              <w:ind w:firstLine="480" w:firstLineChars="200"/>
              <w:contextualSpacing/>
              <w:rPr>
                <w:rFonts w:ascii="Times New Roman" w:hAnsi="Times New Roman"/>
                <w:sz w:val="24"/>
                <w:szCs w:val="24"/>
              </w:rPr>
            </w:pPr>
            <w:r>
              <w:rPr>
                <w:rFonts w:hint="eastAsia" w:ascii="楷体" w:hAnsi="楷体" w:eastAsia="楷体" w:cs="楷体"/>
                <w:bCs/>
                <w:sz w:val="24"/>
                <w:szCs w:val="24"/>
              </w:rPr>
              <w:t>2.商贸流通主体抱团发展行动。</w:t>
            </w:r>
            <w:r>
              <w:rPr>
                <w:rFonts w:hint="eastAsia" w:ascii="Times New Roman" w:hAnsi="Times New Roman"/>
                <w:sz w:val="24"/>
                <w:szCs w:val="24"/>
              </w:rPr>
              <w:t>鼓励商贸流通企业与上下游企业和横向关联企业结成战略联盟，发展联合采购、联合营销，降低流通成本，提高流通效率。鼓励本地流通企业与国内外大型流通企业开展多种形式合作，培育、发展和整合一批管理先进、具有市场竞争力的现代商贸流通企业集团。鼓励传统商贸企业应用新技术建设供应链协同平台，实现由商品批发向供应链管理服务的转变。支持发展品牌联盟，集聚渠道资源，组建连锁集合店，建设联合采购平台，开展品牌推广。</w:t>
            </w:r>
          </w:p>
          <w:p>
            <w:pPr>
              <w:spacing w:line="400" w:lineRule="exact"/>
              <w:ind w:firstLine="480" w:firstLineChars="200"/>
              <w:contextualSpacing/>
              <w:rPr>
                <w:rFonts w:ascii="Times New Roman" w:hAnsi="Times New Roman" w:cs="仿宋_GB2312"/>
                <w:sz w:val="24"/>
                <w:szCs w:val="24"/>
              </w:rPr>
            </w:pPr>
            <w:r>
              <w:rPr>
                <w:rFonts w:hint="eastAsia" w:ascii="楷体" w:hAnsi="楷体" w:eastAsia="楷体" w:cs="楷体"/>
                <w:bCs/>
                <w:sz w:val="24"/>
                <w:szCs w:val="24"/>
              </w:rPr>
              <w:t>3.特色专业市场培优提质行动。</w:t>
            </w:r>
            <w:r>
              <w:rPr>
                <w:rFonts w:hint="eastAsia" w:ascii="Times New Roman" w:hAnsi="Times New Roman" w:cs="仿宋_GB2312"/>
                <w:sz w:val="24"/>
                <w:szCs w:val="24"/>
              </w:rPr>
              <w:t>在食用菌、花卉、畜产品、中药材、茶艾等农副产品主产区重点建设一批集分拣包装、冷藏保鲜、仓储运输、初加工等于一体的综合性批发市场。鼓励农产品批发市场建设冷链加工配送中心和中央厨房等，增强果蔬预冷和肉类、水产品冷藏保鲜能力以及冷链流通服务保障能力。在汽车零部件、机械设备、煤炭、钢铁、化工等工业品专业市场完善市场展示、信息、交易、仓储、运输、加工、配送等综合服务功能，发展集采集销、供应链金融、物流配送、流通加工等一体融合的新型工业品市场业态，建成一批带动能力强的全国和区域的工业品交易市场和配送中心。推动工业品、农副产品等商品市场借助“互联网+”加快转型升级，建设一批新型“智慧市场”，提升资源整合能力。</w:t>
            </w:r>
          </w:p>
          <w:p>
            <w:pPr>
              <w:spacing w:line="400" w:lineRule="exact"/>
              <w:ind w:firstLine="480" w:firstLineChars="200"/>
              <w:contextualSpacing/>
              <w:rPr>
                <w:rFonts w:ascii="Times New Roman" w:hAnsi="Times New Roman" w:cs="仿宋_GB2312"/>
              </w:rPr>
            </w:pPr>
            <w:r>
              <w:rPr>
                <w:rFonts w:hint="eastAsia" w:ascii="楷体" w:hAnsi="楷体" w:eastAsia="楷体" w:cs="楷体"/>
                <w:bCs/>
                <w:sz w:val="24"/>
                <w:szCs w:val="24"/>
              </w:rPr>
              <w:t>4.区域新型消费中心建设行动。</w:t>
            </w:r>
            <w:r>
              <w:rPr>
                <w:rFonts w:hint="eastAsia" w:ascii="Times New Roman" w:hAnsi="Times New Roman" w:cs="仿宋_GB2312"/>
                <w:sz w:val="24"/>
                <w:szCs w:val="24"/>
              </w:rPr>
              <w:t>中心城区按照“1+4+6+N”的商贸空间体系布局，打造白河湾中央商务区核心商圈，老城区、滨河路、白河南、高铁新城4个区域商圈，陶瓷建材市场、家具市场、汽车及汽车后市场、小商品市场、钢铝材市场、农产品市场6大专业批发市场，各县（市、区）布局建设一批县域商贸服务中心。开展消费聚集区示范创建活动，加快万德隆城市广场等项目建设。鼓励国内外知名商业综合体商管公司投资、运营大型商业综合体项目，新建万达广场、红星美凯龙等商业综合体，完善提升新田360、建业凯旋广场等已建成商业综合体。以“全国示范步行街”“省级示范步行街”建设为契机，改造提升南阳府衙、卧龙岗文化园武侯里、内乡县衙、社旗山陕会馆等历史文化特色街区，培育白河南商贸步行街等复合型时尚商贸街区，引导品牌专业店、专卖店、餐饮店等特色业态集聚发展。</w:t>
            </w:r>
          </w:p>
        </w:tc>
      </w:tr>
    </w:tbl>
    <w:p>
      <w:pPr>
        <w:spacing w:line="560" w:lineRule="exact"/>
        <w:contextualSpacing/>
        <w:jc w:val="center"/>
        <w:outlineLvl w:val="1"/>
        <w:rPr>
          <w:rFonts w:ascii="楷体_GB2312" w:hAnsi="楷体_GB2312" w:eastAsia="楷体_GB2312" w:cs="楷体_GB2312"/>
        </w:rPr>
      </w:pPr>
      <w:bookmarkStart w:id="1338" w:name="_Toc2050049318"/>
      <w:r>
        <w:rPr>
          <w:rFonts w:hint="eastAsia" w:ascii="楷体_GB2312" w:hAnsi="楷体_GB2312" w:eastAsia="楷体_GB2312" w:cs="楷体_GB2312"/>
        </w:rPr>
        <w:t>第三节 推动流通业态转型升级</w:t>
      </w:r>
      <w:bookmarkEnd w:id="1338"/>
    </w:p>
    <w:p>
      <w:pPr>
        <w:spacing w:line="560" w:lineRule="exact"/>
        <w:ind w:firstLine="640" w:firstLineChars="200"/>
        <w:contextualSpacing/>
        <w:rPr>
          <w:rFonts w:ascii="仿宋_GB2312" w:cs="仿宋"/>
        </w:rPr>
      </w:pPr>
      <w:r>
        <w:rPr>
          <w:rFonts w:hint="eastAsia" w:ascii="仿宋_GB2312" w:cs="仿宋"/>
          <w:bCs/>
        </w:rPr>
        <w:t>推动商贸流通线上线下融合发展。</w:t>
      </w:r>
      <w:r>
        <w:rPr>
          <w:rFonts w:hint="eastAsia" w:ascii="仿宋_GB2312" w:cs="仿宋"/>
        </w:rPr>
        <w:t>实施“互联网+”战略，加快利用现代信息技术促进商业模式创新、技术运用创新和消费服务创新，鼓励万德隆、大统百货等传统</w:t>
      </w:r>
      <w:r>
        <w:rPr>
          <w:rFonts w:hint="eastAsia" w:ascii="仿宋_GB2312" w:hAnsi="仿宋_GB2312" w:cs="仿宋_GB2312"/>
        </w:rPr>
        <w:t>实体商贸企业</w:t>
      </w:r>
      <w:r>
        <w:rPr>
          <w:rFonts w:hint="eastAsia" w:ascii="仿宋_GB2312" w:cs="仿宋"/>
        </w:rPr>
        <w:t>顺应新兴消费主体需求，以自主品牌为支撑，发挥营销网络优势，优化交易流程、支付方式和配送模式，开展服务设施人性化、智能化改造，</w:t>
      </w:r>
      <w:r>
        <w:rPr>
          <w:rFonts w:hint="eastAsia" w:ascii="仿宋_GB2312" w:hAnsi="Times New Roman"/>
        </w:rPr>
        <w:t>发展协同经济、社交电商等新业态</w:t>
      </w:r>
      <w:r>
        <w:rPr>
          <w:rFonts w:hint="eastAsia" w:ascii="仿宋_GB2312" w:cs="仿宋"/>
        </w:rPr>
        <w:t>，</w:t>
      </w:r>
      <w:r>
        <w:rPr>
          <w:rFonts w:hint="eastAsia" w:ascii="仿宋_GB2312" w:hAnsi="仿宋_GB2312" w:cs="仿宋_GB2312"/>
        </w:rPr>
        <w:t>创新升级“科技+购物+服务”消费体验。</w:t>
      </w:r>
      <w:r>
        <w:rPr>
          <w:rFonts w:hint="eastAsia" w:ascii="仿宋_GB2312" w:hAnsi="Times New Roman"/>
        </w:rPr>
        <w:t>支持互联网平台企业向线下延伸拓展，加快传统业态数字化改造，发展个性化定制、柔性化生产，推动线上线下消费高效融合、大中小企业协同联动、上下游全链条一体发展。发挥电商优势，促进玉器、花卉、艾草、纺织等特色产品上线销售</w:t>
      </w:r>
      <w:r>
        <w:rPr>
          <w:rFonts w:hint="eastAsia" w:ascii="仿宋_GB2312" w:cs="仿宋"/>
        </w:rPr>
        <w:t>。推动传统零售服务和电商渠道资源整合，探索应用“无人销售”商店、自助提货柜、扫脸支付等新技术、新模式，加强线上线下服务有机融合、有效</w:t>
      </w:r>
      <w:r>
        <w:rPr>
          <w:rFonts w:ascii="仿宋_GB2312" w:cs="仿宋"/>
        </w:rPr>
        <w:t>衔接</w:t>
      </w:r>
      <w:r>
        <w:rPr>
          <w:rFonts w:hint="eastAsia" w:ascii="仿宋_GB2312" w:cs="仿宋"/>
        </w:rPr>
        <w:t>。</w:t>
      </w:r>
    </w:p>
    <w:p>
      <w:pPr>
        <w:spacing w:line="560" w:lineRule="exact"/>
        <w:ind w:firstLine="640" w:firstLineChars="200"/>
        <w:contextualSpacing/>
        <w:rPr>
          <w:rFonts w:ascii="仿宋_GB2312" w:hAnsi="仿宋_GB2312" w:cs="仿宋_GB2312"/>
        </w:rPr>
      </w:pPr>
      <w:r>
        <w:rPr>
          <w:rFonts w:hint="eastAsia" w:ascii="仿宋_GB2312" w:cs="仿宋"/>
          <w:bCs/>
        </w:rPr>
        <w:t>推动商贸流通业态融合创新发展。</w:t>
      </w:r>
      <w:r>
        <w:rPr>
          <w:rFonts w:hint="eastAsia" w:ascii="仿宋_GB2312" w:hAnsi="仿宋_GB2312" w:cs="仿宋_GB2312"/>
        </w:rPr>
        <w:t>培育拓展现代商贸流通新业态，拓展电子信息、通信产品、教育培训、文化娱乐、体育健身、休闲旅游等消费，大力发展跨境电商、冷链物流、快递物流、数字物流、电商物流、绿色物流、城市共同配送等业态。</w:t>
      </w:r>
      <w:r>
        <w:rPr>
          <w:rFonts w:hint="eastAsia" w:ascii="仿宋_GB2312" w:hAnsi="黑体"/>
        </w:rPr>
        <w:t>鼓励创新消费品营销方式，通过设立消费体验馆、新品发布中心、创意设计坊、电商直播基地等，推动跨界融合发展。</w:t>
      </w:r>
      <w:r>
        <w:rPr>
          <w:rFonts w:ascii="Times New Roman" w:hAnsi="Times New Roman"/>
        </w:rPr>
        <w:t>推动直播电商、社交电商、小程序电商等新模式创新发展，培育一批在线新经济领军企业</w:t>
      </w:r>
      <w:r>
        <w:rPr>
          <w:rFonts w:hint="eastAsia" w:ascii="仿宋_GB2312" w:hAnsi="仿宋_GB2312" w:cs="仿宋_GB2312"/>
        </w:rPr>
        <w:t>，推动电商与乡村旅游、休闲农业等多产业融合</w:t>
      </w:r>
      <w:r>
        <w:rPr>
          <w:rFonts w:ascii="Times New Roman" w:hAnsi="Times New Roman"/>
        </w:rPr>
        <w:t>。</w:t>
      </w:r>
      <w:r>
        <w:rPr>
          <w:rFonts w:hint="eastAsia" w:ascii="仿宋_GB2312" w:hAnsi="仿宋_GB2312" w:cs="仿宋_GB2312"/>
        </w:rPr>
        <w:t>借助南阳山水生态资源、历史文化资源等，大力提振文旅消费，</w:t>
      </w:r>
      <w:r>
        <w:rPr>
          <w:rFonts w:hint="eastAsia" w:ascii="Times New Roman" w:hAnsi="Times New Roman"/>
        </w:rPr>
        <w:t>探索推进文化和旅游5G场景运用示范项目建设，促进“</w:t>
      </w:r>
      <w:r>
        <w:rPr>
          <w:rFonts w:hint="eastAsia" w:ascii="仿宋_GB2312" w:hAnsi="仿宋_GB2312" w:cs="仿宋_GB2312"/>
        </w:rPr>
        <w:t>商旅文娱体”深度融合发展。充分挖掘南阳中医药资源，加快建设张仲景健康城、桐柏映山红养老养生产业园区等项目建设，大力发展中医康养、数字康养、特色康养产业</w:t>
      </w:r>
      <w:r>
        <w:rPr>
          <w:rFonts w:hint="eastAsia" w:ascii="Times New Roman" w:hAnsi="Times New Roman"/>
        </w:rPr>
        <w:t>。鼓励餐饮企业利用电子商务平台开展网订店取、社区配送等服务，建立“中央厨房＋社区配送</w:t>
      </w:r>
      <w:r>
        <w:rPr>
          <w:rFonts w:hint="eastAsia" w:ascii="仿宋_GB2312" w:hAnsi="仿宋_GB2312" w:cs="仿宋_GB2312"/>
        </w:rPr>
        <w:t>+</w:t>
      </w:r>
      <w:r>
        <w:rPr>
          <w:rFonts w:hint="eastAsia" w:ascii="Times New Roman" w:hAnsi="Times New Roman"/>
        </w:rPr>
        <w:t>就餐”服务体系。</w:t>
      </w:r>
      <w:r>
        <w:rPr>
          <w:rFonts w:hint="eastAsia" w:ascii="仿宋_GB2312" w:hAnsi="仿宋_GB2312" w:cs="仿宋_GB2312"/>
        </w:rPr>
        <w:t>拓展社区家政服务网络平台功能，着力发展面向老年人的网上订餐、家政服务预约、健康咨询服务等内容。支持洗染等行业依托现有的电商平台或自有服务平台，开展便民服务等。引导个性化、时尚化、品牌化消费，培育和发展定制类消费。</w:t>
      </w:r>
    </w:p>
    <w:p>
      <w:pPr>
        <w:pBdr>
          <w:top w:val="none" w:color="000000" w:sz="0" w:space="0"/>
          <w:left w:val="none" w:color="000000" w:sz="0" w:space="0"/>
          <w:bottom w:val="none" w:color="000000" w:sz="0" w:space="23"/>
          <w:right w:val="none" w:color="000000" w:sz="0" w:space="0"/>
        </w:pBdr>
        <w:topLinePunct/>
        <w:spacing w:line="560" w:lineRule="exact"/>
        <w:ind w:firstLine="640" w:firstLineChars="200"/>
        <w:contextualSpacing/>
        <w:rPr>
          <w:rFonts w:ascii="仿宋_GB2312" w:hAnsi="仿宋_GB2312" w:cs="仿宋_GB2312"/>
        </w:rPr>
      </w:pPr>
      <w:r>
        <w:rPr>
          <w:rFonts w:hint="eastAsia" w:ascii="仿宋_GB2312" w:cs="仿宋"/>
          <w:bCs/>
        </w:rPr>
        <w:t>推动内外贸流通一体化发展。</w:t>
      </w:r>
      <w:r>
        <w:rPr>
          <w:rFonts w:hint="eastAsia" w:ascii="仿宋_GB2312" w:hAnsi="仿宋_GB2312" w:cs="仿宋_GB2312"/>
        </w:rPr>
        <w:t>深化国际产能合作，拓展与“一带一路”沿线国家和地区产业链供应链合作，推动豫西南地区与郑州都市圈、武汉城市圈等紧密对接。进一步扩大内外销“同线同标同质”实施范围，推动出口产品进商场、进超市、进广场、进街区、进平台、进批发渠道。探索创建内外贸融合发展平台，打造一批具有国际影响力的大型展会，培育一批内外贸结合、经营模式与国际接轨的商品交易市场。引导外贸企业完善出口转内销机制，主动捕捉国内消费趋势，通过自营、合作等方式增加国内市场优质商品供给，打造国内自有品牌，拓展出口产品内销渠道。推动有条件的内贸企业“走出去”，加强与境外企业、消费品产地、专业协会等合作，通过战略合作、资本运作等方式拓展海外生产、营销和物流服务网络，完善全球采购与分销渠道，对接国内外商品产地和消费市场，培育国际资源配置和整合优势。</w:t>
      </w:r>
    </w:p>
    <w:tbl>
      <w:tblPr>
        <w:tblStyle w:val="26"/>
        <w:tblpPr w:leftFromText="180" w:rightFromText="180" w:vertAnchor="text" w:horzAnchor="page" w:tblpX="1725" w:tblpY="-404"/>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3" w:hRule="atLeast"/>
        </w:trPr>
        <w:tc>
          <w:tcPr>
            <w:tcW w:w="8816" w:type="dxa"/>
            <w:tcBorders>
              <w:tl2br w:val="nil"/>
              <w:tr2bl w:val="nil"/>
            </w:tcBorders>
          </w:tcPr>
          <w:p>
            <w:pPr>
              <w:topLinePunct/>
              <w:spacing w:line="400" w:lineRule="exact"/>
              <w:contextualSpacing/>
              <w:jc w:val="center"/>
              <w:rPr>
                <w:rFonts w:ascii="Times New Roman" w:hAnsi="Times New Roman" w:cs="仿宋_GB2312"/>
                <w:bCs/>
                <w:sz w:val="24"/>
                <w:szCs w:val="24"/>
              </w:rPr>
            </w:pPr>
            <w:r>
              <w:rPr>
                <w:rFonts w:hint="eastAsia" w:ascii="Times New Roman" w:hAnsi="Times New Roman" w:eastAsia="黑体" w:cs="黑体"/>
                <w:sz w:val="28"/>
                <w:szCs w:val="28"/>
              </w:rPr>
              <w:t>专栏3：商贸流通业态升级工程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816" w:type="dxa"/>
            <w:tcBorders>
              <w:tl2br w:val="nil"/>
              <w:tr2bl w:val="nil"/>
            </w:tcBorders>
          </w:tcPr>
          <w:p>
            <w:pPr>
              <w:topLinePunct/>
              <w:spacing w:line="400" w:lineRule="exact"/>
              <w:ind w:firstLine="480" w:firstLineChars="200"/>
              <w:contextualSpacing/>
              <w:rPr>
                <w:rFonts w:ascii="仿宋_GB2312" w:cs="仿宋"/>
                <w:sz w:val="24"/>
                <w:szCs w:val="24"/>
              </w:rPr>
            </w:pPr>
            <w:r>
              <w:rPr>
                <w:rFonts w:hint="eastAsia" w:ascii="楷体" w:hAnsi="楷体" w:eastAsia="楷体" w:cs="楷体"/>
                <w:bCs/>
                <w:sz w:val="24"/>
                <w:szCs w:val="24"/>
              </w:rPr>
              <w:t>1.“互联网+流通”工程。</w:t>
            </w:r>
            <w:r>
              <w:rPr>
                <w:rFonts w:hint="eastAsia" w:ascii="仿宋_GB2312" w:cs="仿宋"/>
                <w:sz w:val="24"/>
                <w:szCs w:val="24"/>
              </w:rPr>
              <w:t>围绕河南省副中心城市建设目标，顺应社会消费新趋势，推动形成互联网时代以消费者需求为中心的“多层级实体店+跨区域网店+高效率物流配送网络”的新型商业布局体系。深度运用数字技术改造提升一批智慧商店、智慧商业综合体，推进智慧商务、智慧设施、智慧服务、智慧营销、智慧环境、智慧管理等场景应用创新，打造一批智慧化高品质消费集聚平台。培育一批商品经营特色突出、产业链供应链服务功能强大、线上线下融合发展的商品市场示范基地。引导电商平台、传统企业发挥流通数据优势，提升产销衔接水平，拓展精准营销和个性化服务，深度发掘消费潜力。</w:t>
            </w:r>
          </w:p>
          <w:p>
            <w:pPr>
              <w:topLinePunct/>
              <w:spacing w:line="400" w:lineRule="exact"/>
              <w:ind w:firstLine="480" w:firstLineChars="200"/>
              <w:contextualSpacing/>
              <w:rPr>
                <w:rFonts w:ascii="Times New Roman" w:hAnsi="Times New Roman" w:cs="仿宋_GB2312"/>
                <w:sz w:val="24"/>
                <w:szCs w:val="24"/>
              </w:rPr>
            </w:pPr>
            <w:r>
              <w:rPr>
                <w:rFonts w:hint="eastAsia" w:ascii="楷体" w:hAnsi="楷体" w:eastAsia="楷体" w:cs="楷体"/>
                <w:bCs/>
                <w:sz w:val="24"/>
                <w:szCs w:val="24"/>
              </w:rPr>
              <w:t>2.商贸大数据平台建设工程。</w:t>
            </w:r>
            <w:r>
              <w:rPr>
                <w:rFonts w:hint="eastAsia" w:ascii="Times New Roman" w:hAnsi="Times New Roman" w:cs="仿宋_GB2312"/>
                <w:sz w:val="24"/>
                <w:szCs w:val="24"/>
              </w:rPr>
              <w:t>紧扣商贸大数据的采集、加工、存储、分析、服务和云平台建设运营，拓展物联、数联、智联数字化应用场景。推进大数据、云计算、人工智能、区块链等技术与商贸融合发展，加快区块链等技术在商品溯源、跨境汇款、供应链金融和电子票据等领域应用，逐步实现政府部门、平台、企业间商贸数据资源共享，有效破除数据壁垒和“孤岛”。推动流通大数据赋能生产环节，为工农业生产提供决策支持，提升个性化定制和柔性化生产水平，加强商贸大数据挖掘分析，依法有序开展消费金融、供应链金融、小额贷款、精准营销等业务。</w:t>
            </w:r>
          </w:p>
          <w:p>
            <w:pPr>
              <w:topLinePunct/>
              <w:spacing w:line="400" w:lineRule="exact"/>
              <w:ind w:firstLine="480" w:firstLineChars="200"/>
              <w:contextualSpacing/>
              <w:rPr>
                <w:rFonts w:ascii="Times New Roman" w:hAnsi="Times New Roman" w:cs="仿宋_GB2312"/>
              </w:rPr>
            </w:pPr>
            <w:r>
              <w:rPr>
                <w:rFonts w:hint="eastAsia" w:ascii="楷体" w:hAnsi="楷体" w:eastAsia="楷体" w:cs="楷体"/>
                <w:bCs/>
                <w:sz w:val="24"/>
                <w:szCs w:val="24"/>
              </w:rPr>
              <w:t>3.城市共同配送提升工程。</w:t>
            </w:r>
            <w:r>
              <w:rPr>
                <w:rFonts w:hint="eastAsia" w:ascii="Times New Roman" w:hAnsi="Times New Roman" w:cs="仿宋_GB2312"/>
                <w:sz w:val="24"/>
                <w:szCs w:val="24"/>
              </w:rPr>
              <w:t>重点支持物联网技术、信息技术、标准化设备等应用推广，在农产品、日用品、医药及冷链、电商、快递等行业开展分区域共同配送服务，提高城市配送效率，降低物流成本。依托专业化第三方物流或供应商为多个商贸企业、社区门店、市场入驻商户等共同配送；依托物流园区推广配送班车，开展干线与支线结合的城区集中配送；支持万德隆配送中心等大型商贸流通企业建设城市共同配送公共服务平台，通过集中采购提高统一配送率，利用其物流系统为所属门店和社会企业统一配送；整合存量配送资源，在学校、社区等周边设立末端配送站。</w:t>
            </w:r>
          </w:p>
        </w:tc>
      </w:tr>
    </w:tbl>
    <w:p>
      <w:pPr>
        <w:spacing w:line="560" w:lineRule="exact"/>
        <w:contextualSpacing/>
        <w:jc w:val="center"/>
        <w:outlineLvl w:val="0"/>
        <w:rPr>
          <w:rFonts w:ascii="黑体" w:hAnsi="黑体" w:eastAsia="黑体" w:cs="黑体"/>
        </w:rPr>
      </w:pPr>
      <w:bookmarkStart w:id="1339" w:name="_Toc529662364"/>
      <w:r>
        <w:rPr>
          <w:rFonts w:hint="eastAsia" w:ascii="黑体" w:hAnsi="黑体" w:eastAsia="黑体" w:cs="黑体"/>
        </w:rPr>
        <w:t>第四章 促进供应链现代化，畅通供需循环</w:t>
      </w:r>
      <w:bookmarkEnd w:id="1339"/>
    </w:p>
    <w:p>
      <w:pPr>
        <w:spacing w:line="560" w:lineRule="exact"/>
        <w:ind w:firstLine="640" w:firstLineChars="200"/>
        <w:contextualSpacing/>
        <w:rPr>
          <w:rFonts w:ascii="仿宋_GB2312" w:hAnsi="仿宋_GB2312" w:cs="仿宋_GB2312"/>
        </w:rPr>
      </w:pPr>
      <w:r>
        <w:rPr>
          <w:rFonts w:hint="eastAsia" w:ascii="仿宋_GB2312" w:hAnsi="仿宋_GB2312" w:cs="仿宋_GB2312"/>
        </w:rPr>
        <w:t>立足服务产业链、提升价值链，围绕农产品产销、制造业高质量发展、服务贸易等重点领域，提升供应链现代化、数字化、智能化水平，增强供应链安全性稳定性。</w:t>
      </w:r>
    </w:p>
    <w:p>
      <w:pPr>
        <w:spacing w:line="560" w:lineRule="exact"/>
        <w:contextualSpacing/>
        <w:jc w:val="center"/>
        <w:outlineLvl w:val="1"/>
        <w:rPr>
          <w:rFonts w:ascii="楷体_GB2312" w:hAnsi="楷体_GB2312" w:eastAsia="楷体_GB2312" w:cs="楷体_GB2312"/>
        </w:rPr>
      </w:pPr>
      <w:bookmarkStart w:id="1340" w:name="_Toc1801952089"/>
      <w:r>
        <w:rPr>
          <w:rFonts w:hint="eastAsia" w:ascii="楷体_GB2312" w:hAnsi="楷体_GB2312" w:eastAsia="楷体_GB2312" w:cs="楷体_GB2312"/>
        </w:rPr>
        <w:t>第一节 打造重点产业供应链中心</w:t>
      </w:r>
      <w:bookmarkEnd w:id="1340"/>
    </w:p>
    <w:p>
      <w:pPr>
        <w:spacing w:line="560" w:lineRule="exact"/>
        <w:ind w:firstLine="640" w:firstLineChars="200"/>
        <w:contextualSpacing/>
        <w:rPr>
          <w:rFonts w:ascii="仿宋_GB2312" w:hAnsi="仿宋_GB2312" w:cs="仿宋_GB2312"/>
        </w:rPr>
      </w:pPr>
      <w:r>
        <w:rPr>
          <w:rFonts w:hint="eastAsia" w:ascii="仿宋" w:hAnsi="仿宋" w:cs="仿宋"/>
          <w:bCs/>
        </w:rPr>
        <w:t>持续提高农产品供应链发展质量。</w:t>
      </w:r>
      <w:r>
        <w:rPr>
          <w:rFonts w:hint="eastAsia" w:ascii="仿宋_GB2312" w:hAnsi="仿宋_GB2312" w:cs="仿宋_GB2312"/>
        </w:rPr>
        <w:t>以农副产品主产区、重要集散地和主销区为依托，优先选择粮食、生猪、果蔬、花卉、中药材等优势产品，</w:t>
      </w:r>
      <w:r>
        <w:rPr>
          <w:rFonts w:hint="eastAsia" w:ascii="仿宋" w:hAnsi="仿宋" w:cs="仿宋"/>
        </w:rPr>
        <w:t>以精准化种养、可视化管理、可追溯监管为重点，建设一批数字农业产业园、智慧养殖场、智能农业车间，</w:t>
      </w:r>
      <w:r>
        <w:rPr>
          <w:rFonts w:hint="eastAsia" w:ascii="仿宋_GB2312" w:hAnsi="仿宋_GB2312" w:cs="仿宋_GB2312"/>
        </w:rPr>
        <w:t>加快推广“生鲜电子商务+冷链宅配”“中央厨房+食材冷链配送”等流通模式，打造种养、加工、流通、销售、服务于一体的农副产品产业链供应链。鼓励大型商贸、电商、物流、平台企业等与农业生产经营主体开展合作，通过合资经营、直采直销、订单农业等形式，形成供应链利益共同体，增强产品稳定、精准保供能力。支持有条件的市场主体建设改造集配中心、中转保鲜库、加工分拨中心、共同配送中心等设施及配套设备，增强农副产品产后商品化处理和流通能力。引导商贸、电商、物流等企业加快农产品零售终端网点布局、拓宽线上销售渠道，增加面向乡村振兴重点帮扶乡镇的农产品销售专档、专区、专柜，增强供应链末端服务保障能力，构建农商联系紧密、产销衔接畅通的农产品供应链。</w:t>
      </w:r>
    </w:p>
    <w:p>
      <w:pPr>
        <w:pStyle w:val="20"/>
        <w:spacing w:line="560" w:lineRule="exact"/>
        <w:ind w:firstLine="360"/>
        <w:contextualSpacing/>
      </w:pPr>
    </w:p>
    <w:tbl>
      <w:tblPr>
        <w:tblStyle w:val="26"/>
        <w:tblW w:w="0" w:type="auto"/>
        <w:tblInd w:w="13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8" w:hRule="atLeast"/>
        </w:trPr>
        <w:tc>
          <w:tcPr>
            <w:tcW w:w="8816" w:type="dxa"/>
            <w:tcBorders>
              <w:tl2br w:val="nil"/>
              <w:tr2bl w:val="nil"/>
            </w:tcBorders>
          </w:tcPr>
          <w:p>
            <w:pPr>
              <w:topLinePunct/>
              <w:spacing w:line="400" w:lineRule="exact"/>
              <w:contextualSpacing/>
              <w:jc w:val="center"/>
              <w:rPr>
                <w:rFonts w:ascii="Times New Roman" w:hAnsi="Times New Roman" w:cs="仿宋_GB2312"/>
                <w:bCs/>
                <w:sz w:val="24"/>
                <w:szCs w:val="24"/>
              </w:rPr>
            </w:pPr>
            <w:r>
              <w:rPr>
                <w:rFonts w:hint="eastAsia" w:ascii="Times New Roman" w:hAnsi="Times New Roman" w:eastAsia="黑体" w:cs="黑体"/>
                <w:sz w:val="28"/>
                <w:szCs w:val="28"/>
              </w:rPr>
              <w:t>专栏4：</w:t>
            </w:r>
            <w:r>
              <w:rPr>
                <w:rFonts w:hint="eastAsia" w:ascii="黑体" w:hAnsi="黑体" w:eastAsia="黑体" w:cs="黑体"/>
                <w:kern w:val="0"/>
                <w:sz w:val="28"/>
                <w:szCs w:val="28"/>
              </w:rPr>
              <w:t>农产品供应链高质量发展工程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816" w:type="dxa"/>
            <w:tcBorders>
              <w:tl2br w:val="nil"/>
              <w:tr2bl w:val="nil"/>
            </w:tcBorders>
          </w:tcPr>
          <w:p>
            <w:pPr>
              <w:topLinePunct/>
              <w:spacing w:line="400" w:lineRule="exact"/>
              <w:ind w:firstLine="480" w:firstLineChars="200"/>
              <w:contextualSpacing/>
              <w:rPr>
                <w:rFonts w:ascii="Times New Roman" w:hAnsi="Times New Roman" w:cs="仿宋_GB2312"/>
                <w:sz w:val="24"/>
                <w:szCs w:val="24"/>
              </w:rPr>
            </w:pPr>
            <w:r>
              <w:rPr>
                <w:rFonts w:hint="eastAsia" w:ascii="楷体" w:hAnsi="楷体" w:eastAsia="楷体" w:cs="楷体"/>
                <w:bCs/>
                <w:sz w:val="24"/>
                <w:szCs w:val="24"/>
              </w:rPr>
              <w:t>1.农产品物流园建设工程。</w:t>
            </w:r>
            <w:r>
              <w:rPr>
                <w:rFonts w:hint="eastAsia" w:ascii="Times New Roman" w:hAnsi="Times New Roman" w:cs="仿宋_GB2312"/>
                <w:sz w:val="24"/>
                <w:szCs w:val="24"/>
              </w:rPr>
              <w:t>围绕肉制品、粮油制品、酒及饮料、特色食品等产品打造一批具有区域影响力的物流园区。重点支持内乡牧原智慧物流园、唐河粮食物流园、淅川国际农产品电商物流园等园区建设发展。</w:t>
            </w:r>
          </w:p>
          <w:p>
            <w:pPr>
              <w:topLinePunct/>
              <w:spacing w:line="400" w:lineRule="exact"/>
              <w:ind w:firstLine="480" w:firstLineChars="200"/>
              <w:contextualSpacing/>
              <w:rPr>
                <w:rFonts w:ascii="Times New Roman" w:hAnsi="Times New Roman" w:cs="仿宋_GB2312"/>
                <w:sz w:val="24"/>
                <w:szCs w:val="24"/>
              </w:rPr>
            </w:pPr>
            <w:r>
              <w:rPr>
                <w:rFonts w:hint="eastAsia" w:ascii="楷体" w:hAnsi="楷体" w:eastAsia="楷体" w:cs="楷体"/>
                <w:bCs/>
                <w:sz w:val="24"/>
                <w:szCs w:val="24"/>
              </w:rPr>
              <w:t>2.农产品供应链平台建设工程。</w:t>
            </w:r>
            <w:r>
              <w:rPr>
                <w:rFonts w:hint="eastAsia" w:ascii="Times New Roman" w:hAnsi="Times New Roman" w:cs="仿宋_GB2312"/>
                <w:sz w:val="24"/>
                <w:szCs w:val="24"/>
              </w:rPr>
              <w:t>建立健全智慧农业云平台，构建农业供应链大数据，加强信息资源共享，拓展流通渠道，提升资源配置能力和市场占有率，打造具有区域影响力的农产品供应链平台。</w:t>
            </w:r>
          </w:p>
          <w:p>
            <w:pPr>
              <w:topLinePunct/>
              <w:spacing w:line="400" w:lineRule="exact"/>
              <w:ind w:firstLine="480" w:firstLineChars="200"/>
              <w:contextualSpacing/>
              <w:rPr>
                <w:rFonts w:ascii="Times New Roman" w:hAnsi="Times New Roman" w:cs="仿宋_GB2312"/>
              </w:rPr>
            </w:pPr>
            <w:r>
              <w:rPr>
                <w:rFonts w:hint="eastAsia" w:ascii="楷体" w:hAnsi="楷体" w:eastAsia="楷体" w:cs="楷体"/>
                <w:bCs/>
                <w:sz w:val="24"/>
                <w:szCs w:val="24"/>
              </w:rPr>
              <w:t>3.冷链物流提质发展工程。</w:t>
            </w:r>
            <w:r>
              <w:rPr>
                <w:rFonts w:hint="eastAsia" w:ascii="Times New Roman" w:hAnsi="Times New Roman" w:cs="仿宋_GB2312"/>
                <w:bCs/>
                <w:sz w:val="24"/>
                <w:szCs w:val="24"/>
              </w:rPr>
              <w:t>聚焦“6+1”重点品类（肉类、水果、蔬菜、水产品、乳品、速冻食品等主要生鲜食品以及疫苗等医药产品），分类优化冷链服务流程与规范，完善仓储、运输、流通加工、分拨配送、寄递、信息等冷链服务功能，强化一体化服务能力，支撑冷链产品产销精准高效对接。引导城市商业街区、商圈、农贸市场共建共享小型公共冷库，推动农产品批发市场冷库改造、配套建设封闭式装卸站台等设施，鼓励商超、生鲜连锁店加大零售端冷链设施改造升级力度。</w:t>
            </w:r>
            <w:r>
              <w:rPr>
                <w:rFonts w:hint="eastAsia" w:ascii="Times New Roman" w:hAnsi="Times New Roman" w:cs="仿宋_GB2312"/>
                <w:sz w:val="24"/>
                <w:szCs w:val="24"/>
              </w:rPr>
              <w:t>加快南阳万邦农产品冷链物流园、桐柏今达冷链物流园、唐河凤凰岭冷链物流服务中心等项目建设，打造一批农产品一站式采购平台和综合服务基地。</w:t>
            </w:r>
          </w:p>
        </w:tc>
      </w:tr>
    </w:tbl>
    <w:p>
      <w:pPr>
        <w:spacing w:line="560" w:lineRule="exact"/>
        <w:ind w:firstLine="640" w:firstLineChars="200"/>
        <w:contextualSpacing/>
        <w:rPr>
          <w:rFonts w:ascii="仿宋_GB2312" w:hAnsi="仿宋_GB2312" w:cs="仿宋_GB2312"/>
        </w:rPr>
      </w:pPr>
      <w:r>
        <w:rPr>
          <w:rFonts w:hint="eastAsia" w:ascii="仿宋" w:hAnsi="仿宋" w:cs="仿宋"/>
          <w:bCs/>
        </w:rPr>
        <w:t>加快提升制造业供应链服务水平。</w:t>
      </w:r>
      <w:r>
        <w:rPr>
          <w:rFonts w:hint="eastAsia" w:ascii="仿宋_GB2312" w:hAnsi="仿宋_GB2312" w:cs="仿宋_GB2312"/>
        </w:rPr>
        <w:t>推动优势制造企业以核心技术、自主品牌、营销网络等为依托，增强对供应链上下游资源的整合能力，加快成为“链主”企业，推动中小制造企业向“专精特细”发展，形成设计、研发、制造、配套、流通、售后全链条协同的制造业供应链体系。结合装备制造、绿色食品、生物产业、电子信息、新型建材等优势产业发展需求，发挥产业规模优势，打造一批供应链公共服务平台，强化资源整合与供需对接，稳步推动产业集群数字转型、链式发展。瞄准生物产业、电子信息、新材料、新能源等新兴产业发展方向，优化制造业供应链服务中心布局，积极融入相关行业工业互联网生态。统筹各类开发区内生产制造设施与流通设施规划布局，谋划大宗商品和重要原材料集散设施，推动制造企业与流通企业密切合作，提供一体化制造业物流解决方案，增强柔性制造、敏捷制造能力。</w:t>
      </w:r>
    </w:p>
    <w:p>
      <w:pPr>
        <w:spacing w:line="560" w:lineRule="exact"/>
        <w:ind w:firstLine="640" w:firstLineChars="200"/>
        <w:contextualSpacing/>
        <w:rPr>
          <w:rFonts w:ascii="仿宋_GB2312" w:hAnsi="仿宋_GB2312" w:cs="仿宋_GB2312"/>
        </w:rPr>
      </w:pPr>
      <w:r>
        <w:rPr>
          <w:rFonts w:hint="eastAsia" w:ascii="仿宋" w:hAnsi="仿宋" w:cs="仿宋"/>
          <w:bCs/>
        </w:rPr>
        <w:t>推动供应链服务专业化发展。</w:t>
      </w:r>
      <w:r>
        <w:rPr>
          <w:rFonts w:hint="eastAsia" w:ascii="仿宋_GB2312" w:hAnsi="仿宋_GB2312" w:cs="仿宋_GB2312"/>
        </w:rPr>
        <w:t>围绕商贸供应链模式创新、供应链结构调整、供应链流程优化等目标推动流通供应链体系创新发展，力争</w:t>
      </w:r>
      <w:r>
        <w:rPr>
          <w:rFonts w:ascii="Times New Roman" w:hAnsi="Times New Roman"/>
        </w:rPr>
        <w:t>在</w:t>
      </w:r>
      <w:r>
        <w:rPr>
          <w:rFonts w:hint="eastAsia" w:ascii="Times New Roman" w:hAnsi="Times New Roman"/>
        </w:rPr>
        <w:t>3</w:t>
      </w:r>
      <w:r>
        <w:rPr>
          <w:rFonts w:ascii="Times New Roman" w:hAnsi="Times New Roman"/>
        </w:rPr>
        <w:t>至</w:t>
      </w:r>
      <w:r>
        <w:rPr>
          <w:rFonts w:hint="eastAsia" w:ascii="Times New Roman" w:hAnsi="Times New Roman"/>
        </w:rPr>
        <w:t>5</w:t>
      </w:r>
      <w:r>
        <w:rPr>
          <w:rFonts w:ascii="Times New Roman" w:hAnsi="Times New Roman"/>
        </w:rPr>
        <w:t>年内，培育壮大</w:t>
      </w:r>
      <w:r>
        <w:rPr>
          <w:rFonts w:hint="eastAsia" w:ascii="Times New Roman" w:hAnsi="Times New Roman"/>
        </w:rPr>
        <w:t>5</w:t>
      </w:r>
      <w:r>
        <w:rPr>
          <w:rFonts w:ascii="Times New Roman" w:hAnsi="Times New Roman"/>
        </w:rPr>
        <w:t>家</w:t>
      </w:r>
      <w:r>
        <w:rPr>
          <w:rFonts w:hint="eastAsia" w:ascii="仿宋_GB2312" w:hAnsi="仿宋_GB2312" w:cs="仿宋_GB2312"/>
        </w:rPr>
        <w:t>以上具有较强资源整合能力和较强竞争力的供应链龙头企业，在全国、全省发挥示范带动作用。鼓励有条件的制造业骨干企业向供应链集成服务商转型，面向行业提供产品设计、技术研发、物流配送、资金融通等专业化供应链服务。推动专业批发市场向“网货供应链服务商”转型，为市场商户提供线上展示、网上支付、订单管理、统一结算等供应链服务。支持优势电子商务平台企业和品牌网商整合研发、采购、生产、营销和服务等环节资源，形成全程可控、响应快速的专业供应链网络服务平台。鼓励流通企业与生产商、供应商合作，聚焦中药材、花卉苗木、汽车展销、超硬材料、轴承系列等领域，整合上下游商流、物流、信息流、资金流，发展供应链协同平台，实现供需对接、集中采购、统管库存、支付结算、物流配送等功能整合，提高供应链资源共享能力和配置效率。推动政府采购供应链平台发展。</w:t>
      </w:r>
    </w:p>
    <w:p>
      <w:pPr>
        <w:spacing w:line="560" w:lineRule="exact"/>
        <w:contextualSpacing/>
        <w:jc w:val="center"/>
        <w:outlineLvl w:val="1"/>
        <w:rPr>
          <w:rFonts w:ascii="楷体_GB2312" w:hAnsi="楷体_GB2312" w:eastAsia="楷体_GB2312" w:cs="楷体_GB2312"/>
        </w:rPr>
      </w:pPr>
      <w:bookmarkStart w:id="1341" w:name="_Toc269181208"/>
      <w:r>
        <w:rPr>
          <w:rFonts w:hint="eastAsia" w:ascii="楷体_GB2312" w:hAnsi="楷体_GB2312" w:eastAsia="楷体_GB2312" w:cs="楷体_GB2312"/>
        </w:rPr>
        <w:t>第二节 推动供应链数字化开放化</w:t>
      </w:r>
      <w:bookmarkEnd w:id="1341"/>
    </w:p>
    <w:p>
      <w:pPr>
        <w:spacing w:line="560" w:lineRule="exact"/>
        <w:ind w:firstLine="640" w:firstLineChars="200"/>
        <w:contextualSpacing/>
        <w:rPr>
          <w:rFonts w:ascii="仿宋_GB2312" w:hAnsi="仿宋_GB2312" w:cs="仿宋_GB2312"/>
        </w:rPr>
      </w:pPr>
      <w:r>
        <w:rPr>
          <w:rFonts w:hint="eastAsia" w:ascii="Times New Roman" w:hAnsi="Times New Roman"/>
          <w:bCs/>
        </w:rPr>
        <w:t>建立供应链技术创新应用体系。</w:t>
      </w:r>
      <w:r>
        <w:rPr>
          <w:rFonts w:hint="eastAsia" w:ascii="仿宋_GB2312" w:hAnsi="仿宋_GB2312" w:cs="仿宋_GB2312"/>
        </w:rPr>
        <w:t>加大以信息技术为核心的新型基础设施投入，积极推动区块链、大数据、</w:t>
      </w:r>
      <w:r>
        <w:rPr>
          <w:rFonts w:hint="eastAsia" w:ascii="Times New Roman" w:hAnsi="Times New Roman"/>
        </w:rPr>
        <w:t>5G</w:t>
      </w:r>
      <w:r>
        <w:rPr>
          <w:rFonts w:ascii="Times New Roman" w:hAnsi="Times New Roman"/>
        </w:rPr>
        <w:t>、物联网、云计算</w:t>
      </w:r>
      <w:r>
        <w:rPr>
          <w:rFonts w:hint="eastAsia" w:ascii="仿宋_GB2312" w:hAnsi="仿宋_GB2312" w:cs="仿宋_GB2312"/>
        </w:rPr>
        <w:t>等新兴技术在供应链领域的集成应用，推动供应链协同高效化、智能化，实现供应链即时、可视、可感知，提高供应链整体应变能力和智能化水平。重点围绕传统优势产业和战略新兴产业，建立健全供应链产学研用合作创新机制，支持南阳高校、科研院所和重点企业建立一批供应链协同创新综合体，着力开展重点产业供应链数智融合技术、物流仓储数智技术、品牌质量监控追溯管理标准等研究，推进新技术和现代管理方法在供应链领域的创新应用。加快培育一批软件开发、数据服务、风险控制、管理咨询、商业流程外包等第三方供应链服务商，引导知名供应链服务企业在南阳设立地区总部或分支机构。</w:t>
      </w:r>
    </w:p>
    <w:p>
      <w:pPr>
        <w:spacing w:line="560" w:lineRule="exact"/>
        <w:ind w:firstLine="640" w:firstLineChars="200"/>
        <w:contextualSpacing/>
        <w:rPr>
          <w:rFonts w:ascii="仿宋_GB2312" w:hAnsi="仿宋_GB2312" w:cs="仿宋_GB2312"/>
        </w:rPr>
      </w:pPr>
      <w:r>
        <w:rPr>
          <w:rFonts w:hint="eastAsia" w:ascii="Times New Roman" w:hAnsi="Times New Roman"/>
          <w:bCs/>
        </w:rPr>
        <w:t>积极融入全球全国供应链体系。</w:t>
      </w:r>
      <w:r>
        <w:rPr>
          <w:rFonts w:hint="eastAsia" w:ascii="仿宋_GB2312" w:hAnsi="仿宋_GB2312" w:cs="仿宋_GB2312"/>
        </w:rPr>
        <w:t>聚焦“一带一路”建设，在中医药、农产品、技术、旅游等方面加强与“一带一路”沿线国家合作，推动境外经贸合作区、境外生产基地、分销网络、物流配送中心、海外仓等布局，加快融入国际物流供应链体系，提高全球范围内供应链协同和配置资源的能力。提升卧龙综合保税区、开发区、跨境电商综试区等平台供应链服务水平，推动我市企业跨境整合国内外资源，促进跨境电商物流信息互联互通。积极发展重点进口龙头企业、加工企业和供应链服务企业，完善进口商品交易、仓储物流、渠道分销、金融服务体系，培育壮大一批进口交易平台、展贸平台、供应链平台和促进服务平台，持续提升区域贸易投资便利化水平和供应链开放协同水平。</w:t>
      </w:r>
    </w:p>
    <w:p>
      <w:pPr>
        <w:pStyle w:val="20"/>
        <w:spacing w:line="560" w:lineRule="exact"/>
        <w:ind w:firstLine="360"/>
        <w:contextualSpacing/>
        <w:rPr>
          <w:rFonts w:ascii="仿宋_GB2312" w:hAnsi="仿宋_GB2312" w:cs="仿宋_GB2312"/>
          <w:szCs w:val="32"/>
        </w:rPr>
      </w:pPr>
    </w:p>
    <w:tbl>
      <w:tblPr>
        <w:tblStyle w:val="26"/>
        <w:tblW w:w="0" w:type="auto"/>
        <w:tblInd w:w="13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7" w:hRule="atLeast"/>
        </w:trPr>
        <w:tc>
          <w:tcPr>
            <w:tcW w:w="8816" w:type="dxa"/>
            <w:tcBorders>
              <w:tl2br w:val="nil"/>
              <w:tr2bl w:val="nil"/>
            </w:tcBorders>
          </w:tcPr>
          <w:p>
            <w:pPr>
              <w:topLinePunct/>
              <w:spacing w:line="400" w:lineRule="exact"/>
              <w:contextualSpacing/>
              <w:jc w:val="center"/>
              <w:rPr>
                <w:rFonts w:ascii="Times New Roman" w:hAnsi="Times New Roman" w:cs="仿宋_GB2312"/>
                <w:bCs/>
                <w:sz w:val="24"/>
                <w:szCs w:val="24"/>
              </w:rPr>
            </w:pPr>
            <w:r>
              <w:rPr>
                <w:rFonts w:hint="eastAsia" w:ascii="Times New Roman" w:hAnsi="Times New Roman" w:eastAsia="黑体" w:cs="黑体"/>
                <w:sz w:val="28"/>
                <w:szCs w:val="28"/>
              </w:rPr>
              <w:t>专栏5：</w:t>
            </w:r>
            <w:r>
              <w:rPr>
                <w:rFonts w:hint="eastAsia" w:ascii="黑体" w:hAnsi="黑体" w:eastAsia="黑体" w:cs="黑体"/>
                <w:kern w:val="0"/>
                <w:sz w:val="28"/>
                <w:szCs w:val="28"/>
              </w:rPr>
              <w:t>供应链数字化开放化提升工程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816" w:type="dxa"/>
            <w:tcBorders>
              <w:tl2br w:val="nil"/>
              <w:tr2bl w:val="nil"/>
            </w:tcBorders>
          </w:tcPr>
          <w:p>
            <w:pPr>
              <w:topLinePunct/>
              <w:spacing w:line="400" w:lineRule="exact"/>
              <w:ind w:firstLine="480" w:firstLineChars="200"/>
              <w:contextualSpacing/>
              <w:rPr>
                <w:rFonts w:ascii="Times New Roman" w:hAnsi="Times New Roman" w:cs="仿宋_GB2312"/>
                <w:sz w:val="24"/>
                <w:szCs w:val="24"/>
              </w:rPr>
            </w:pPr>
            <w:r>
              <w:rPr>
                <w:rFonts w:hint="eastAsia" w:ascii="楷体" w:hAnsi="楷体" w:eastAsia="楷体" w:cs="楷体"/>
                <w:bCs/>
                <w:sz w:val="24"/>
                <w:szCs w:val="24"/>
              </w:rPr>
              <w:t>1.供应链技术创新工程。</w:t>
            </w:r>
            <w:r>
              <w:rPr>
                <w:rFonts w:hint="eastAsia" w:ascii="Times New Roman" w:hAnsi="Times New Roman" w:cs="仿宋_GB2312"/>
                <w:sz w:val="24"/>
                <w:szCs w:val="24"/>
              </w:rPr>
              <w:t>加快推进新一代网络信息技术及数智管理方法在重点产业供应链领域创新应用，促进全链中小微企业数智化应用推广普及，大力发展数字农业、智慧物流，打造供应链技术创新应用标杆和典型应用场景。</w:t>
            </w:r>
          </w:p>
          <w:p>
            <w:pPr>
              <w:topLinePunct/>
              <w:spacing w:line="400" w:lineRule="exact"/>
              <w:ind w:firstLine="480" w:firstLineChars="200"/>
              <w:contextualSpacing/>
              <w:rPr>
                <w:rFonts w:ascii="Times New Roman" w:hAnsi="Times New Roman" w:cs="仿宋_GB2312"/>
              </w:rPr>
            </w:pPr>
            <w:r>
              <w:rPr>
                <w:rFonts w:hint="eastAsia" w:ascii="楷体" w:hAnsi="楷体" w:eastAsia="楷体" w:cs="楷体"/>
                <w:bCs/>
                <w:sz w:val="24"/>
                <w:szCs w:val="24"/>
              </w:rPr>
              <w:t>2.跨境电子商务集聚工程。</w:t>
            </w:r>
            <w:r>
              <w:rPr>
                <w:rFonts w:hint="eastAsia" w:ascii="Times New Roman" w:hAnsi="Times New Roman" w:cs="仿宋_GB2312"/>
                <w:sz w:val="24"/>
                <w:szCs w:val="24"/>
              </w:rPr>
              <w:t>围绕“产业提升、市场主体培育、品牌塑造、人才培养”，完善信息共享、物流支撑、金融服务、信用监管、统计监测和风险防控六大体系，培育一批跨境电商特色产业集群，建成在全国有一定影响力的新兴区域跨境电子商务中心。</w:t>
            </w:r>
          </w:p>
        </w:tc>
      </w:tr>
    </w:tbl>
    <w:p>
      <w:pPr>
        <w:spacing w:line="560" w:lineRule="exact"/>
        <w:contextualSpacing/>
        <w:jc w:val="center"/>
        <w:outlineLvl w:val="1"/>
        <w:rPr>
          <w:rFonts w:ascii="楷体_GB2312" w:hAnsi="楷体_GB2312" w:eastAsia="楷体_GB2312" w:cs="楷体_GB2312"/>
        </w:rPr>
      </w:pPr>
      <w:bookmarkStart w:id="1342" w:name="_Toc1493143218"/>
      <w:r>
        <w:rPr>
          <w:rFonts w:hint="eastAsia" w:ascii="楷体_GB2312" w:hAnsi="楷体_GB2312" w:eastAsia="楷体_GB2312" w:cs="楷体_GB2312"/>
        </w:rPr>
        <w:t>第三节 增强供应链安全可靠性</w:t>
      </w:r>
      <w:bookmarkEnd w:id="1342"/>
    </w:p>
    <w:p>
      <w:pPr>
        <w:spacing w:line="560" w:lineRule="exact"/>
        <w:ind w:firstLine="640" w:firstLineChars="200"/>
        <w:contextualSpacing/>
        <w:rPr>
          <w:rFonts w:ascii="仿宋_GB2312" w:hAnsi="仿宋_GB2312" w:cs="仿宋_GB2312"/>
        </w:rPr>
      </w:pPr>
      <w:r>
        <w:rPr>
          <w:rFonts w:hint="eastAsia" w:ascii="Times New Roman" w:hAnsi="Times New Roman"/>
          <w:bCs/>
        </w:rPr>
        <w:t>完善应急储备体系。</w:t>
      </w:r>
      <w:r>
        <w:rPr>
          <w:rFonts w:hint="eastAsia" w:ascii="仿宋_GB2312" w:hAnsi="仿宋_GB2312" w:cs="仿宋_GB2312"/>
        </w:rPr>
        <w:t>继续完善重要商品应急保供预案，加强粮油、医疗药品、日用品、农资等重要商品储备，加快建立应急物流体系。依托物流枢纽、示范物流园区、骨干冷链物流基地、邮政快递核心枢纽和储备基础设施等，加快布局综合性应急物流仓储设施，构建智能高效的应急储备信息网络体系。完善物流园区、物流企业应急功能，提高餐饮、医疗等单位应急能力，加快煤炭、油气应急储运中心建设。健全应急物资管理体制机制，完善物资采购、进出库、储备、调拨、使用等各项管理制度，提升应急储备专业管理水平，确保关键时刻应急储备物资及时高效调用。建立关键物流设施清单，科学确定重要物流设施品种和规模，健全物流设施设防标准，提升重大物流设施抗灾预灾及快速恢复能力。引导优势产业供应链核心企业在网络布局、流程管控、物流保障、应急储备、技术和人员管理等方面增强供应链韧性与弹性。</w:t>
      </w:r>
    </w:p>
    <w:p>
      <w:pPr>
        <w:spacing w:line="560" w:lineRule="exact"/>
        <w:ind w:firstLine="640" w:firstLineChars="200"/>
        <w:contextualSpacing/>
        <w:rPr>
          <w:rFonts w:ascii="仿宋_GB2312" w:hAnsi="仿宋_GB2312" w:cs="仿宋_GB2312"/>
        </w:rPr>
      </w:pPr>
      <w:r>
        <w:rPr>
          <w:rFonts w:hint="eastAsia" w:ascii="Times New Roman" w:hAnsi="Times New Roman"/>
          <w:bCs/>
        </w:rPr>
        <w:t>提高供应链应急保障能力。</w:t>
      </w:r>
      <w:r>
        <w:rPr>
          <w:rFonts w:hint="eastAsia" w:ascii="仿宋_GB2312" w:hAnsi="仿宋_GB2312" w:cs="仿宋_GB2312"/>
        </w:rPr>
        <w:t>优化应急物资储备布局，打造层次分明、类型合理、协同高效的应急物资储备节点网络。加强公共应急调度系统建设，健全应急物资的分级响应和保障体系，构建区域应急物流协同保障体系。增强应急物流社会动员能力，建立以企业为主体的应急物流队伍，完善物流企业平急转换机制，强化跨区域、跨领域应急物流协调组织，加强应急时期运输绿色通道和物资中转调运站建设，确保应急物资及时调配到位。完善交通运输应急救援联动机制和应急预案体系，加强跨部门、跨区域的综合交通运输突发事件应急会商与联动处置。加快交通应急抢通能力建设，推广应用快速通达、转运装卸技术设备，探索无人机（车）递送等新模式。研究制定产业供应链安全评估标准，引导重点产业龙头骨干企业加强供应链安全评估，厘清供应链关键节点、重要设施和主要供应商等情况及地域分布，排查供应链风险点，建立供应链风险预警系统，提升风险防范和抵御能力。定期开展应急保障单位相关人员培训管理和应急演练，提升应急响应速度。</w:t>
      </w:r>
    </w:p>
    <w:p>
      <w:pPr>
        <w:spacing w:line="560" w:lineRule="exact"/>
        <w:ind w:firstLine="640" w:firstLineChars="200"/>
        <w:contextualSpacing/>
        <w:rPr>
          <w:rFonts w:ascii="黑体" w:hAnsi="黑体" w:eastAsia="黑体" w:cs="黑体"/>
        </w:rPr>
      </w:pPr>
      <w:r>
        <w:rPr>
          <w:rFonts w:hint="eastAsia" w:ascii="Times New Roman" w:hAnsi="Times New Roman"/>
          <w:bCs/>
        </w:rPr>
        <w:t>加强供应链安全管理。</w:t>
      </w:r>
      <w:r>
        <w:rPr>
          <w:rFonts w:hint="eastAsia" w:ascii="仿宋_GB2312" w:hAnsi="仿宋_GB2312" w:cs="仿宋_GB2312"/>
        </w:rPr>
        <w:t>结合疫情防控中城市供应链响应暴露出的问题，深化应急管理体制改革，探索建立跨区域、跨部门、跨行业协同机制，搭建综合应急保障指挥调度平台，统一管理日常储备和应急物资保障工作，制定应急保障预案，实行按情况紧急程度分级动员，推动应急运输管理智能高效、有序统一。研究建立基于事件的重点产业和基本消费供应链预警体系和应急处置预案，加强对城市生活供应链风险预警管理。建立安全风险分级管控和隐患排查治理双重预防机制，完善监测监控体系，积极探索“互联网+安全监管”模式。健全应急物流安全生产标准规范，落实企业安全生产主体责任和行业部门监管责任，完善安全生产诚信管理体系。推动完善豫鄂陕跨区域应急协同保障和储备调运制度。</w:t>
      </w:r>
    </w:p>
    <w:p>
      <w:pPr>
        <w:spacing w:line="560" w:lineRule="exact"/>
        <w:contextualSpacing/>
        <w:jc w:val="center"/>
        <w:outlineLvl w:val="0"/>
        <w:rPr>
          <w:rFonts w:ascii="黑体" w:hAnsi="黑体" w:eastAsia="黑体" w:cs="黑体"/>
        </w:rPr>
      </w:pPr>
      <w:bookmarkStart w:id="1343" w:name="_Toc445936153"/>
      <w:r>
        <w:rPr>
          <w:rFonts w:hint="eastAsia" w:ascii="黑体" w:hAnsi="黑体" w:eastAsia="黑体" w:cs="黑体"/>
        </w:rPr>
        <w:t>第五章 完善流通设施网络，畅通区域循环</w:t>
      </w:r>
      <w:bookmarkEnd w:id="1343"/>
    </w:p>
    <w:p>
      <w:pPr>
        <w:pStyle w:val="5"/>
        <w:spacing w:line="560" w:lineRule="exact"/>
        <w:ind w:firstLine="640" w:firstLineChars="200"/>
        <w:contextualSpacing/>
        <w:rPr>
          <w:rFonts w:ascii="楷体_GB2312" w:hAnsi="楷体_GB2312" w:eastAsia="楷体_GB2312" w:cs="楷体_GB2312"/>
        </w:rPr>
      </w:pPr>
      <w:r>
        <w:rPr>
          <w:rFonts w:hint="eastAsia"/>
          <w:szCs w:val="30"/>
        </w:rPr>
        <w:t>立足南阳区位优势和资源禀赋条件，围绕南阳打造全国性综合交通枢纽城市，统筹推进“公铁空水”四位一体立体化现代综合运输体系建设，加快物流枢纽网络建设，着力完善城乡商贸</w:t>
      </w:r>
      <w:r>
        <w:rPr>
          <w:szCs w:val="30"/>
        </w:rPr>
        <w:t>基础设施体系，</w:t>
      </w:r>
      <w:r>
        <w:rPr>
          <w:rFonts w:hint="eastAsia"/>
          <w:szCs w:val="30"/>
        </w:rPr>
        <w:t>提升核心枢纽能级，为畅通区域循环</w:t>
      </w:r>
      <w:r>
        <w:rPr>
          <w:szCs w:val="30"/>
        </w:rPr>
        <w:t>提供</w:t>
      </w:r>
      <w:r>
        <w:rPr>
          <w:rFonts w:hint="eastAsia"/>
          <w:szCs w:val="30"/>
        </w:rPr>
        <w:t>有力</w:t>
      </w:r>
      <w:r>
        <w:rPr>
          <w:szCs w:val="30"/>
        </w:rPr>
        <w:t>支撑</w:t>
      </w:r>
      <w:r>
        <w:rPr>
          <w:rFonts w:hint="eastAsia"/>
          <w:szCs w:val="30"/>
        </w:rPr>
        <w:t>。</w:t>
      </w:r>
    </w:p>
    <w:p>
      <w:pPr>
        <w:spacing w:line="560" w:lineRule="exact"/>
        <w:contextualSpacing/>
        <w:jc w:val="center"/>
        <w:outlineLvl w:val="1"/>
        <w:rPr>
          <w:rFonts w:ascii="楷体_GB2312" w:hAnsi="楷体_GB2312" w:eastAsia="楷体_GB2312" w:cs="楷体_GB2312"/>
        </w:rPr>
      </w:pPr>
      <w:bookmarkStart w:id="1344" w:name="_Toc1996777847"/>
      <w:r>
        <w:rPr>
          <w:rFonts w:hint="eastAsia" w:ascii="楷体_GB2312" w:hAnsi="楷体_GB2312" w:eastAsia="楷体_GB2312" w:cs="楷体_GB2312"/>
        </w:rPr>
        <w:t>第一节 加强综合运输体系建设</w:t>
      </w:r>
      <w:bookmarkEnd w:id="1344"/>
    </w:p>
    <w:p>
      <w:pPr>
        <w:spacing w:line="560" w:lineRule="exact"/>
        <w:ind w:firstLine="640" w:firstLineChars="200"/>
        <w:contextualSpacing/>
        <w:rPr>
          <w:rFonts w:ascii="仿宋_GB2312" w:hAnsi="仿宋_GB2312" w:cs="仿宋_GB2312"/>
          <w:szCs w:val="30"/>
        </w:rPr>
      </w:pPr>
      <w:r>
        <w:rPr>
          <w:rFonts w:hint="eastAsia"/>
          <w:bCs/>
          <w:szCs w:val="30"/>
        </w:rPr>
        <w:t>打造全国性铁路货运枢纽。</w:t>
      </w:r>
      <w:r>
        <w:rPr>
          <w:rFonts w:ascii="Times New Roman" w:hAnsi="Times New Roman"/>
          <w:szCs w:val="30"/>
        </w:rPr>
        <w:t>强化与周边区域高铁互联互通，完善南阳国家级综合运输通道高铁功能。</w:t>
      </w:r>
      <w:r>
        <w:rPr>
          <w:rFonts w:hint="eastAsia" w:ascii="Times New Roman" w:hAnsi="Times New Roman"/>
          <w:szCs w:val="30"/>
        </w:rPr>
        <w:t>加快南信合高铁</w:t>
      </w:r>
      <w:r>
        <w:rPr>
          <w:rFonts w:ascii="Times New Roman" w:hAnsi="Times New Roman"/>
          <w:szCs w:val="30"/>
        </w:rPr>
        <w:t>建设，构筑南阳东向高铁通道，</w:t>
      </w:r>
      <w:r>
        <w:rPr>
          <w:rFonts w:hint="eastAsia" w:ascii="Times New Roman" w:hAnsi="Times New Roman"/>
          <w:szCs w:val="30"/>
        </w:rPr>
        <w:t>形成</w:t>
      </w:r>
      <w:r>
        <w:rPr>
          <w:rFonts w:ascii="Times New Roman" w:hAnsi="Times New Roman"/>
          <w:szCs w:val="30"/>
        </w:rPr>
        <w:t>与长三角城市群的高铁直连。谋划南阳至</w:t>
      </w:r>
      <w:r>
        <w:rPr>
          <w:rFonts w:hint="eastAsia" w:ascii="Times New Roman" w:hAnsi="Times New Roman"/>
          <w:szCs w:val="30"/>
        </w:rPr>
        <w:t>西安</w:t>
      </w:r>
      <w:r>
        <w:rPr>
          <w:rFonts w:ascii="Times New Roman" w:hAnsi="Times New Roman"/>
          <w:szCs w:val="30"/>
        </w:rPr>
        <w:t>高铁，形成与关中平原城市群的快速通道，抢抓打通大陆桥走廊机遇</w:t>
      </w:r>
      <w:r>
        <w:rPr>
          <w:rFonts w:hint="eastAsia" w:ascii="Times New Roman" w:hAnsi="Times New Roman"/>
          <w:szCs w:val="30"/>
        </w:rPr>
        <w:t>，</w:t>
      </w:r>
      <w:r>
        <w:rPr>
          <w:rFonts w:ascii="Times New Roman" w:hAnsi="Times New Roman"/>
          <w:szCs w:val="30"/>
        </w:rPr>
        <w:t>带动沿线</w:t>
      </w:r>
      <w:r>
        <w:rPr>
          <w:rFonts w:hint="eastAsia" w:ascii="Times New Roman" w:hAnsi="Times New Roman"/>
          <w:szCs w:val="30"/>
        </w:rPr>
        <w:t>地区</w:t>
      </w:r>
      <w:r>
        <w:rPr>
          <w:rFonts w:ascii="Times New Roman" w:hAnsi="Times New Roman"/>
          <w:szCs w:val="30"/>
        </w:rPr>
        <w:t>发展。争取呼南高铁豫西通道洛阳至南阳段进入国家相关规划，形成二湛运输通道的高铁主通道</w:t>
      </w:r>
      <w:r>
        <w:rPr>
          <w:rFonts w:hint="eastAsia" w:ascii="Times New Roman" w:hAnsi="Times New Roman"/>
          <w:szCs w:val="30"/>
        </w:rPr>
        <w:t>，促进</w:t>
      </w:r>
      <w:r>
        <w:rPr>
          <w:rFonts w:ascii="Times New Roman" w:hAnsi="Times New Roman"/>
          <w:szCs w:val="30"/>
        </w:rPr>
        <w:t>南阳</w:t>
      </w:r>
      <w:r>
        <w:rPr>
          <w:rFonts w:hint="eastAsia" w:ascii="Times New Roman" w:hAnsi="Times New Roman"/>
          <w:szCs w:val="30"/>
        </w:rPr>
        <w:t>与</w:t>
      </w:r>
      <w:r>
        <w:rPr>
          <w:rFonts w:ascii="Times New Roman" w:hAnsi="Times New Roman"/>
          <w:szCs w:val="30"/>
        </w:rPr>
        <w:t>洛阳联动发展。积极争取南阳</w:t>
      </w:r>
      <w:r>
        <w:rPr>
          <w:rFonts w:hint="eastAsia" w:ascii="Times New Roman" w:hAnsi="Times New Roman"/>
          <w:szCs w:val="30"/>
        </w:rPr>
        <w:t>经</w:t>
      </w:r>
      <w:r>
        <w:rPr>
          <w:rFonts w:ascii="Times New Roman" w:hAnsi="Times New Roman"/>
          <w:szCs w:val="30"/>
        </w:rPr>
        <w:t>驻马店至阜阳、南阳至十堰高铁进入国家相关规划、实现与周边相邻地市高铁直连。建成铁路二级物</w:t>
      </w:r>
      <w:r>
        <w:rPr>
          <w:rFonts w:hint="eastAsia" w:ascii="仿宋_GB2312" w:hAnsi="仿宋_GB2312" w:cs="仿宋_GB2312"/>
          <w:szCs w:val="30"/>
        </w:rPr>
        <w:t>流基地，提升铁路货运能力。实施铁路专用线进企入园工程，打通铁路运输“最后一公里”。</w:t>
      </w:r>
    </w:p>
    <w:p>
      <w:pPr>
        <w:spacing w:line="560" w:lineRule="exact"/>
        <w:ind w:firstLine="640" w:firstLineChars="200"/>
        <w:contextualSpacing/>
        <w:rPr>
          <w:rFonts w:ascii="Times New Roman" w:hAnsi="Times New Roman"/>
          <w:szCs w:val="30"/>
        </w:rPr>
      </w:pPr>
      <w:r>
        <w:rPr>
          <w:rFonts w:hint="eastAsia"/>
          <w:bCs/>
          <w:szCs w:val="30"/>
        </w:rPr>
        <w:t>强力推进公路网建设。</w:t>
      </w:r>
      <w:r>
        <w:rPr>
          <w:rFonts w:hint="eastAsia" w:ascii="Times New Roman" w:hAnsi="Times New Roman"/>
          <w:szCs w:val="30"/>
        </w:rPr>
        <w:t>发挥高速公路在交通运输中的辐射带动、支撑引领作用，加快推进郑西高速双龙至西峡段、渑淅高速西峡至淅川段和淅川至豫鄂省界段、焦唐高速汝州至方城段和方城至唐河段、南阳至邓州高速公路建成通车，有序推进淮内高速桐柏至邓州段、郑南高速南阳段、南新高速、嵩内高速南阳段、沈卢高速方城至南召段建设和二广高速、兰南高速公路南阳段扩容改造项目前期工作，新建高速公路出入口，有效提升高速公路覆盖面，实现高速公路内联外通、互联互通、快联快通。推动G312、S237等公路改建工程建设，构建中心城区干线公路大外环，与沪陕－二广－商南－兰南高速形成“高</w:t>
      </w:r>
      <w:r>
        <w:rPr>
          <w:rFonts w:ascii="Times New Roman" w:hAnsi="Times New Roman"/>
          <w:szCs w:val="30"/>
        </w:rPr>
        <w:t>+</w:t>
      </w:r>
      <w:r>
        <w:rPr>
          <w:rFonts w:hint="eastAsia" w:ascii="Times New Roman" w:hAnsi="Times New Roman"/>
          <w:szCs w:val="30"/>
        </w:rPr>
        <w:t>干”公路环线，引导疏解城市对外、过境交通，实现内外交通分离。建设县城绕城货运通道，推进G312、S237等普通国省干线改线项目建设，缓解过境交通、货运交通给城市带来的安全、噪音、环境污染等问题，促进通道运输与城市宜居和谐共赢。加快推进G312、S103等公路改建工程，实现各县（市）与中心城区主要通道一级公路快速直连。加快推进S228社旗至南阳段、S228南阳至官庄段、S234鸭河工区至南阳段、南阳至镇平一级公路改建工程，促进城市组团式发展和一体化发展格局。完善干线公路对经济产业节点的覆盖，推进G328、S228等公路改建工程，服务产业集聚区、物流园区等重要经济节点。强化干线公路与其他运输方式衔接，建设机场、铁路站、内河港口的干线公路连接线，完善综合交通枢纽集疏运系统。</w:t>
      </w:r>
      <w:r>
        <w:rPr>
          <w:rFonts w:ascii="Times New Roman" w:hAnsi="Times New Roman"/>
          <w:szCs w:val="30"/>
        </w:rPr>
        <w:t xml:space="preserve"> </w:t>
      </w:r>
    </w:p>
    <w:p>
      <w:pPr>
        <w:spacing w:line="560" w:lineRule="exact"/>
        <w:ind w:firstLine="640" w:firstLineChars="200"/>
        <w:contextualSpacing/>
        <w:rPr>
          <w:rFonts w:ascii="Times New Roman" w:hAnsi="Times New Roman"/>
        </w:rPr>
      </w:pPr>
      <w:r>
        <w:rPr>
          <w:rFonts w:hint="eastAsia"/>
          <w:bCs/>
          <w:szCs w:val="30"/>
        </w:rPr>
        <w:t>提升航空运输能力。</w:t>
      </w:r>
      <w:r>
        <w:rPr>
          <w:rFonts w:hint="eastAsia" w:ascii="Times New Roman" w:hAnsi="Times New Roman"/>
          <w:bCs/>
        </w:rPr>
        <w:t>加密覆盖京津冀、长三角、粤港澳大湾区和成渝地区双城经济圈4极主要城市的航线网络布局，申请开放航空口岸，开通国际和地区航线航班，主动融入“一带一路”，为南阳扩大对外开放、发展外向型经济提供支撑。</w:t>
      </w:r>
      <w:r>
        <w:rPr>
          <w:rFonts w:hint="eastAsia" w:ascii="仿宋" w:hAnsi="仿宋" w:cs="仿宋"/>
        </w:rPr>
        <w:t>全面提速南阳机场迁建，规划建设临空经济区，打造集人流、物流为一体的区域性航空枢纽</w:t>
      </w:r>
      <w:r>
        <w:rPr>
          <w:rFonts w:hint="eastAsia" w:ascii="仿宋" w:hAnsi="仿宋" w:cs="仿宋"/>
          <w:lang w:val="zh-CN" w:bidi="zh-CN"/>
        </w:rPr>
        <w:t>。</w:t>
      </w:r>
      <w:r>
        <w:rPr>
          <w:rFonts w:hint="eastAsia" w:ascii="Times New Roman" w:hAnsi="Times New Roman"/>
        </w:rPr>
        <w:t>加快通用航空产业发展，规划建设鸭河、镇平等通用机场，</w:t>
      </w:r>
      <w:r>
        <w:rPr>
          <w:rFonts w:ascii="Times New Roman" w:hAnsi="Times New Roman"/>
        </w:rPr>
        <w:t>因地制宜发展通航+运营、通航+旅游、通航+制造、通航+物流等主要功能模块，提升区域经济辐射能力。依托鸭河通用机场核心板块、航空教育板块、配套产业三大板块，建设配套的航空物流园、通用飞机国际博览交易中心、飞行器制造中心、无人机研制中心和航空旅游产品加工基地，</w:t>
      </w:r>
      <w:r>
        <w:rPr>
          <w:rFonts w:hint="eastAsia" w:ascii="仿宋_GB2312" w:hAnsi="仿宋_GB2312" w:cs="仿宋_GB2312"/>
        </w:rPr>
        <w:t>打造“产业+文化+旅游+物流”四位一</w:t>
      </w:r>
      <w:r>
        <w:rPr>
          <w:rFonts w:ascii="Times New Roman" w:hAnsi="Times New Roman"/>
        </w:rPr>
        <w:t>体、融合发展的通用航空小镇。</w:t>
      </w:r>
      <w:r>
        <w:rPr>
          <w:rFonts w:hint="eastAsia" w:ascii="Times New Roman" w:hAnsi="Times New Roman"/>
        </w:rPr>
        <w:t>统筹</w:t>
      </w:r>
      <w:r>
        <w:rPr>
          <w:rFonts w:ascii="Times New Roman" w:hAnsi="Times New Roman"/>
        </w:rPr>
        <w:t>通航运营、航空产业、文化创意及科技研发</w:t>
      </w:r>
      <w:r>
        <w:rPr>
          <w:rFonts w:hint="eastAsia" w:ascii="Times New Roman" w:hAnsi="Times New Roman"/>
        </w:rPr>
        <w:t>，</w:t>
      </w:r>
      <w:r>
        <w:rPr>
          <w:rFonts w:ascii="Times New Roman" w:hAnsi="Times New Roman"/>
        </w:rPr>
        <w:t>共同</w:t>
      </w:r>
      <w:r>
        <w:rPr>
          <w:rFonts w:hint="eastAsia" w:ascii="Times New Roman" w:hAnsi="Times New Roman"/>
        </w:rPr>
        <w:t>打造集</w:t>
      </w:r>
      <w:r>
        <w:rPr>
          <w:rFonts w:ascii="Times New Roman" w:hAnsi="Times New Roman"/>
        </w:rPr>
        <w:t>生产、居住、商务、休闲、旅游、会展等多种功能</w:t>
      </w:r>
      <w:r>
        <w:rPr>
          <w:rFonts w:hint="eastAsia" w:ascii="Times New Roman" w:hAnsi="Times New Roman"/>
        </w:rPr>
        <w:t>为一体</w:t>
      </w:r>
      <w:r>
        <w:rPr>
          <w:rFonts w:ascii="Times New Roman" w:hAnsi="Times New Roman"/>
        </w:rPr>
        <w:t>的镇平柳泉铺航空旅游小镇。</w:t>
      </w:r>
    </w:p>
    <w:p>
      <w:pPr>
        <w:spacing w:line="560" w:lineRule="exact"/>
        <w:ind w:firstLine="640" w:firstLineChars="200"/>
        <w:contextualSpacing/>
        <w:rPr>
          <w:rFonts w:ascii="Times New Roman" w:hAnsi="Times New Roman"/>
        </w:rPr>
      </w:pPr>
      <w:r>
        <w:rPr>
          <w:rFonts w:hint="eastAsia"/>
          <w:bCs/>
          <w:szCs w:val="30"/>
        </w:rPr>
        <w:t>打造汉江中上游水陆联运中心。</w:t>
      </w:r>
      <w:r>
        <w:rPr>
          <w:rFonts w:ascii="Times New Roman" w:hAnsi="Times New Roman"/>
        </w:rPr>
        <w:t>结合南阳内河水运发展条件</w:t>
      </w:r>
      <w:r>
        <w:rPr>
          <w:rFonts w:hint="eastAsia" w:ascii="Times New Roman" w:hAnsi="Times New Roman"/>
        </w:rPr>
        <w:t>，</w:t>
      </w:r>
      <w:r>
        <w:rPr>
          <w:rFonts w:hint="eastAsia" w:ascii="仿宋" w:hAnsi="仿宋" w:cs="仿宋"/>
        </w:rPr>
        <w:t>加快推进唐河航运工程建设，规划建设白河航运工程和沿河港区，发展临港经济，构建通江达海的内河水运体系</w:t>
      </w:r>
      <w:r>
        <w:rPr>
          <w:rFonts w:ascii="Times New Roman" w:hAnsi="Times New Roman"/>
        </w:rPr>
        <w:t>。充分挖掘水运需求市场潜力，推动沿河港口码头设施及后方物流园区建设</w:t>
      </w:r>
      <w:r>
        <w:rPr>
          <w:rFonts w:hint="eastAsia" w:ascii="Times New Roman" w:hAnsi="Times New Roman"/>
        </w:rPr>
        <w:t>，</w:t>
      </w:r>
      <w:r>
        <w:rPr>
          <w:rFonts w:ascii="Times New Roman" w:hAnsi="Times New Roman"/>
        </w:rPr>
        <w:t>加快推进铁路专用线、疏港公路等集疏运通道畅通工作，鼓励粮食、煤炭、生产制造、商贸流通等企业积极采用水路运输方式进行物资调入和输出。规划</w:t>
      </w:r>
      <w:r>
        <w:rPr>
          <w:rFonts w:hint="eastAsia" w:ascii="Times New Roman" w:hAnsi="Times New Roman"/>
        </w:rPr>
        <w:t>唐河港区、南阳港中心港区</w:t>
      </w:r>
      <w:r>
        <w:rPr>
          <w:rFonts w:ascii="Times New Roman" w:hAnsi="Times New Roman"/>
        </w:rPr>
        <w:t>两大集装箱多式联运枢纽，重点打造内河集装箱多式联运中心和大宗散货集散中心，优化集装箱联运流程，制定内河水运集装箱运输发展扶持政策和补贴标准，突出内河集装箱运输的成本、效率优势。协作沟通武汉港等长江中游核心港口，鼓励开通与武汉港间的快运班轮，提高本港到发货物的接驳效率和能力。</w:t>
      </w:r>
      <w:r>
        <w:rPr>
          <w:rFonts w:hint="eastAsia" w:ascii="Times New Roman" w:hAnsi="Times New Roman"/>
        </w:rPr>
        <w:t>建设矿建材料、煤炭等大宗散货物资长江中游航运北翼起点，形成大宗物资交易中心，充分挖掘水运需求市场潜力，鼓励粮食、煤炭、生产制造、商贸流通等企业积极采用水路运输方式进行物资调入和输出。</w:t>
      </w:r>
    </w:p>
    <w:p>
      <w:pPr>
        <w:spacing w:line="560" w:lineRule="exact"/>
        <w:ind w:firstLine="640" w:firstLineChars="200"/>
        <w:contextualSpacing/>
        <w:rPr>
          <w:rFonts w:ascii="Times New Roman" w:hAnsi="Times New Roman"/>
        </w:rPr>
      </w:pPr>
      <w:r>
        <w:rPr>
          <w:rFonts w:hint="eastAsia"/>
          <w:bCs/>
          <w:szCs w:val="30"/>
        </w:rPr>
        <w:t>统筹推进多式联运体系建设。</w:t>
      </w:r>
      <w:r>
        <w:rPr>
          <w:rFonts w:hint="eastAsia" w:ascii="Times New Roman" w:hAnsi="Times New Roman"/>
        </w:rPr>
        <w:t>充分发挥各种运输方式的比较优势和组合效率，推动联运转运设施、场站合理布局建设，强化设施、设备、管理等标准对接，加强铁路、公路、水运、民航、邮政等各种交通运输信息的开放共享，形成“宜水则水、宜陆则陆、宜空则空”的综合运输新格局。强化干线公路与其他运输方式衔接，建设机场、铁路站、内河港口至干线公路的连接线。大力推动公铁、公水联运发展，构建以唐河、白河沿线港口为核心的内河水陆联运中心。培育多式联运经营主体，鼓励骨干运输企业向多式联运经营人、综合物流服务商转变，培育壮大多式联运运营服务平台，丰富“门到门”一体化联运服务产品，打造多式联运品牌。以国家南阳商贸服务型物流枢纽建设为契机，建设多式联运服务中心、智慧甩挂运输中心等项目。积极推进南阳卧龙综合保税区国际陆港多式联运示范工程建设，加强与郑州、武汉等地通关合作，加快发展“一单制”联运服务，推广应用多式联运运单、集装箱、厢式半挂车等标准化运载单元和货运车辆，实现多式联运一体化运作。</w:t>
      </w:r>
    </w:p>
    <w:tbl>
      <w:tblPr>
        <w:tblStyle w:val="26"/>
        <w:tblW w:w="0" w:type="auto"/>
        <w:tblInd w:w="13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8" w:hRule="atLeast"/>
        </w:trPr>
        <w:tc>
          <w:tcPr>
            <w:tcW w:w="8816" w:type="dxa"/>
            <w:tcBorders>
              <w:tl2br w:val="nil"/>
              <w:tr2bl w:val="nil"/>
            </w:tcBorders>
          </w:tcPr>
          <w:p>
            <w:pPr>
              <w:topLinePunct/>
              <w:spacing w:line="360" w:lineRule="exact"/>
              <w:contextualSpacing/>
              <w:jc w:val="center"/>
              <w:rPr>
                <w:rFonts w:ascii="Times New Roman" w:hAnsi="Times New Roman" w:cs="仿宋_GB2312"/>
                <w:bCs/>
                <w:sz w:val="24"/>
                <w:szCs w:val="24"/>
              </w:rPr>
            </w:pPr>
            <w:r>
              <w:rPr>
                <w:rFonts w:hint="eastAsia" w:ascii="Times New Roman" w:hAnsi="Times New Roman" w:eastAsia="黑体" w:cs="黑体"/>
                <w:sz w:val="28"/>
                <w:szCs w:val="28"/>
              </w:rPr>
              <w:t>专栏6：综合运输体系建设工程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816" w:type="dxa"/>
            <w:tcBorders>
              <w:tl2br w:val="nil"/>
              <w:tr2bl w:val="nil"/>
            </w:tcBorders>
          </w:tcPr>
          <w:p>
            <w:pPr>
              <w:topLinePunct/>
              <w:spacing w:line="360" w:lineRule="exact"/>
              <w:ind w:firstLine="480" w:firstLineChars="200"/>
              <w:contextualSpacing/>
              <w:rPr>
                <w:rFonts w:ascii="Times New Roman" w:hAnsi="Times New Roman" w:cs="仿宋_GB2312"/>
                <w:sz w:val="24"/>
                <w:szCs w:val="24"/>
              </w:rPr>
            </w:pPr>
            <w:r>
              <w:rPr>
                <w:rFonts w:hint="eastAsia" w:ascii="楷体" w:hAnsi="楷体" w:eastAsia="楷体" w:cs="楷体"/>
                <w:bCs/>
                <w:sz w:val="24"/>
                <w:szCs w:val="24"/>
              </w:rPr>
              <w:t>1.高速公路扩容改造工程。</w:t>
            </w:r>
            <w:r>
              <w:rPr>
                <w:rFonts w:hint="eastAsia" w:ascii="Times New Roman" w:hAnsi="Times New Roman" w:cs="仿宋_GB2312"/>
                <w:sz w:val="24"/>
                <w:szCs w:val="24"/>
              </w:rPr>
              <w:t xml:space="preserve">加快推进郑西高速双龙至西峡段、渑淅高速西峡至淅川段和淅川至豫鄂省界段、焦唐高速汝州至方城段和方城至唐河段、南阳至邓州高速公路建成通车，推进郑州至南阳高速公路南阳段、淮滨至内乡高速公路桐柏至邓州段、南阳至新野高速公路、沈丘至卢氏高速公路方城至西峡段和二广高速、兰南高速公路南阳段扩容改造项目前期工作开展。加快推动中心城区新增绕城高速（G55）S330出入口、绕城高速（G55）中州大道出入口、绕城高速（G40）车站路出入口、绕城高速（G40）白河大道出入口、绕城高速（G83）Y015出入口等高速出入口建设。 </w:t>
            </w:r>
          </w:p>
          <w:p>
            <w:pPr>
              <w:topLinePunct/>
              <w:spacing w:line="360" w:lineRule="exact"/>
              <w:ind w:firstLine="480" w:firstLineChars="200"/>
              <w:contextualSpacing/>
              <w:rPr>
                <w:rFonts w:ascii="Times New Roman" w:hAnsi="Times New Roman" w:cs="仿宋_GB2312"/>
                <w:sz w:val="24"/>
                <w:szCs w:val="24"/>
              </w:rPr>
            </w:pPr>
            <w:r>
              <w:rPr>
                <w:rFonts w:hint="eastAsia" w:ascii="楷体" w:hAnsi="楷体" w:eastAsia="楷体" w:cs="楷体"/>
                <w:bCs/>
                <w:sz w:val="24"/>
                <w:szCs w:val="24"/>
              </w:rPr>
              <w:t>2.干线公路网络畅通工程。</w:t>
            </w:r>
            <w:r>
              <w:rPr>
                <w:rFonts w:hint="eastAsia" w:ascii="Times New Roman" w:hAnsi="Times New Roman" w:cs="仿宋_GB2312"/>
                <w:sz w:val="24"/>
                <w:szCs w:val="24"/>
              </w:rPr>
              <w:t>推动G312、S237等公路改建工程建设，与沪陕－二广－商南－兰南高速形成“高+干”公路环线。优化完善国省干线主通道，推进G312、S103等普通国省干线改线项目，巩固区域交通枢纽地位，助力南阳全国性综合交通枢纽城市和河南省副中心城市建设。推进普通国省道城区环线公路改建项目，主要建设南阳市中心城区外环路、淅川、镇平、南召县城环城公路。协调节点畅通公路升级改造，升级改造G234、G328等国省道连接重要节点道路。有序开展试点旅游路、生态路和品质路建设，改建S239、S243等与景区连接道路。积极改建国省道瓶颈公路，改建S228线、S328线等“通而不畅”路段。</w:t>
            </w:r>
          </w:p>
          <w:p>
            <w:pPr>
              <w:topLinePunct/>
              <w:spacing w:line="360" w:lineRule="exact"/>
              <w:ind w:firstLine="480" w:firstLineChars="200"/>
              <w:contextualSpacing/>
              <w:rPr>
                <w:rFonts w:ascii="Times New Roman" w:hAnsi="Times New Roman" w:cs="仿宋_GB2312"/>
                <w:sz w:val="24"/>
                <w:szCs w:val="24"/>
              </w:rPr>
            </w:pPr>
            <w:r>
              <w:rPr>
                <w:rFonts w:hint="eastAsia" w:ascii="楷体" w:hAnsi="楷体" w:eastAsia="楷体" w:cs="楷体"/>
                <w:bCs/>
                <w:sz w:val="24"/>
                <w:szCs w:val="24"/>
              </w:rPr>
              <w:t>3.内河水陆联运提升工程。</w:t>
            </w:r>
            <w:r>
              <w:rPr>
                <w:rFonts w:hint="eastAsia" w:ascii="Times New Roman" w:hAnsi="Times New Roman" w:cs="仿宋_GB2312"/>
                <w:sz w:val="24"/>
                <w:szCs w:val="24"/>
              </w:rPr>
              <w:t>加快唐河航运工程（马店至省界段）建设进度，推动唐河航运工程（社旗至马店段）、白河航运工程开工建设，做好唐沙运河线位空间预留，统筹预控跨航、涉航相关设施建设标准。加快推动南阳港中心港区、唐河港区、新野港区、社旗港区建设，统筹落实桥梁等碍航设施改造工作，满足500至1000吨级内河集装箱船舶满载通行需要。开展唐河、白河主航道内河集装箱船型主尺度标准研究，研制适用于南阳内河航道的标准化集装箱船型。</w:t>
            </w:r>
          </w:p>
          <w:p>
            <w:pPr>
              <w:topLinePunct/>
              <w:spacing w:line="360" w:lineRule="exact"/>
              <w:ind w:firstLine="480" w:firstLineChars="200"/>
              <w:contextualSpacing/>
              <w:rPr>
                <w:rFonts w:ascii="仿宋_GB2312" w:cs="仿宋"/>
                <w:sz w:val="24"/>
                <w:szCs w:val="24"/>
              </w:rPr>
            </w:pPr>
            <w:r>
              <w:rPr>
                <w:rFonts w:hint="eastAsia" w:ascii="楷体" w:hAnsi="楷体" w:eastAsia="楷体" w:cs="楷体"/>
                <w:bCs/>
                <w:sz w:val="24"/>
                <w:szCs w:val="24"/>
              </w:rPr>
              <w:t>4.铁路专用线进企入园工程。</w:t>
            </w:r>
            <w:r>
              <w:rPr>
                <w:rFonts w:hint="eastAsia" w:ascii="仿宋_GB2312" w:cs="仿宋"/>
                <w:sz w:val="24"/>
                <w:szCs w:val="24"/>
              </w:rPr>
              <w:t>开展货运枢纽（物流园区）集疏运道路建设行动。积极推进西峡公铁联动物流园专用线、南阳港唐河临港物流园铁路专用线、南阳港中心港区临港物流园铁路专用线、内乡牧原智慧物流园铁路专用线、南召中铁路港物流园铁路专用线、卧龙综合保税区国际陆港铁路专用线、新野县工业园区铁路专用线、方城县铁路货运专用线规划建设。</w:t>
            </w:r>
          </w:p>
          <w:p>
            <w:pPr>
              <w:topLinePunct/>
              <w:spacing w:line="360" w:lineRule="exact"/>
              <w:ind w:firstLine="480" w:firstLineChars="200"/>
              <w:contextualSpacing/>
              <w:rPr>
                <w:rFonts w:ascii="Times New Roman" w:hAnsi="Times New Roman" w:cs="仿宋_GB2312"/>
              </w:rPr>
            </w:pPr>
            <w:r>
              <w:rPr>
                <w:rFonts w:hint="eastAsia" w:ascii="楷体" w:hAnsi="楷体" w:eastAsia="楷体" w:cs="楷体"/>
                <w:bCs/>
                <w:sz w:val="24"/>
                <w:szCs w:val="24"/>
              </w:rPr>
              <w:t>5.多式联运试点示范工程。</w:t>
            </w:r>
            <w:r>
              <w:rPr>
                <w:rFonts w:hint="eastAsia" w:ascii="Times New Roman" w:hAnsi="Times New Roman" w:cs="仿宋_GB2312"/>
                <w:sz w:val="24"/>
                <w:szCs w:val="24"/>
              </w:rPr>
              <w:t>探索确立一批多式联运试点示范企业和园区，支持企业建设多式联运综合信息服务平台，开展一批联运转运通道、装备研发推广、标准规则制定等项目；引导园区开放枢纽场站、运力调配、班线计划等数据资源，提升铁水、公铁、公水、空陆等联运能级。</w:t>
            </w:r>
          </w:p>
        </w:tc>
      </w:tr>
    </w:tbl>
    <w:p>
      <w:pPr>
        <w:spacing w:line="560" w:lineRule="exact"/>
        <w:contextualSpacing/>
        <w:jc w:val="center"/>
        <w:outlineLvl w:val="1"/>
        <w:rPr>
          <w:rFonts w:ascii="楷体_GB2312" w:hAnsi="楷体_GB2312" w:eastAsia="楷体_GB2312" w:cs="楷体_GB2312"/>
        </w:rPr>
      </w:pPr>
      <w:bookmarkStart w:id="1345" w:name="_Toc515370043"/>
      <w:r>
        <w:rPr>
          <w:rFonts w:hint="eastAsia" w:ascii="楷体_GB2312" w:hAnsi="楷体_GB2312" w:eastAsia="楷体_GB2312" w:cs="楷体_GB2312"/>
        </w:rPr>
        <w:t>第二节 推进物流枢纽网络建设</w:t>
      </w:r>
      <w:bookmarkEnd w:id="1345"/>
    </w:p>
    <w:p>
      <w:pPr>
        <w:spacing w:line="560" w:lineRule="exact"/>
        <w:ind w:firstLine="640" w:firstLineChars="200"/>
        <w:contextualSpacing/>
        <w:rPr>
          <w:rFonts w:ascii="仿宋_GB2312" w:hAnsi="仿宋_GB2312" w:cs="仿宋_GB2312"/>
        </w:rPr>
      </w:pPr>
      <w:r>
        <w:rPr>
          <w:rFonts w:hint="eastAsia"/>
          <w:bCs/>
          <w:szCs w:val="30"/>
        </w:rPr>
        <w:t>加快建设南阳国家商贸型物流枢纽。</w:t>
      </w:r>
      <w:r>
        <w:rPr>
          <w:rFonts w:hint="eastAsia" w:ascii="仿宋_GB2312" w:hAnsi="仿宋_GB2312" w:cs="仿宋_GB2312"/>
        </w:rPr>
        <w:t>依托陆海空综合交通优势，增强集散和配送能力，打造国家重要商贸物流枢纽。</w:t>
      </w:r>
      <w:r>
        <w:rPr>
          <w:rFonts w:hint="eastAsia" w:ascii="仿宋" w:hAnsi="仿宋" w:cs="仿宋"/>
        </w:rPr>
        <w:t>加快建设以综合物流基地为引领，以国际陆港物流片区、农产品物流片区、高铁商贸物流片区为重点，以其他物流园区、物流企业为节点的</w:t>
      </w:r>
      <w:r>
        <w:rPr>
          <w:rFonts w:hint="eastAsia" w:ascii="仿宋" w:hAnsi="仿宋" w:cs="仿宋"/>
          <w:szCs w:val="30"/>
          <w:lang w:bidi="en-US"/>
        </w:rPr>
        <w:t>“</w:t>
      </w:r>
      <w:r>
        <w:rPr>
          <w:rFonts w:hint="eastAsia" w:ascii="Times New Roman" w:hAnsi="Times New Roman" w:cs="仿宋"/>
          <w:szCs w:val="30"/>
          <w:lang w:bidi="en-US"/>
        </w:rPr>
        <w:t>1</w:t>
      </w:r>
      <w:r>
        <w:rPr>
          <w:rFonts w:hint="eastAsia" w:ascii="仿宋" w:hAnsi="仿宋" w:cs="仿宋"/>
          <w:szCs w:val="30"/>
          <w:lang w:bidi="en-US"/>
        </w:rPr>
        <w:t>+</w:t>
      </w:r>
      <w:r>
        <w:rPr>
          <w:rFonts w:hint="eastAsia" w:ascii="Times New Roman" w:hAnsi="Times New Roman" w:cs="仿宋"/>
          <w:szCs w:val="30"/>
          <w:lang w:bidi="en-US"/>
        </w:rPr>
        <w:t>3</w:t>
      </w:r>
      <w:r>
        <w:rPr>
          <w:rFonts w:hint="eastAsia" w:ascii="仿宋" w:hAnsi="仿宋" w:cs="仿宋"/>
          <w:szCs w:val="30"/>
          <w:lang w:bidi="en-US"/>
        </w:rPr>
        <w:t>+</w:t>
      </w:r>
      <w:r>
        <w:rPr>
          <w:rFonts w:hint="eastAsia" w:ascii="Times New Roman" w:hAnsi="Times New Roman" w:cs="仿宋"/>
          <w:szCs w:val="30"/>
          <w:lang w:bidi="en-US"/>
        </w:rPr>
        <w:t>N</w:t>
      </w:r>
      <w:r>
        <w:rPr>
          <w:rFonts w:hint="eastAsia" w:ascii="仿宋" w:hAnsi="仿宋" w:cs="仿宋"/>
          <w:szCs w:val="30"/>
          <w:lang w:bidi="en-US"/>
        </w:rPr>
        <w:t>”</w:t>
      </w:r>
      <w:r>
        <w:rPr>
          <w:rFonts w:hint="eastAsia" w:ascii="仿宋" w:hAnsi="仿宋" w:cs="仿宋"/>
        </w:rPr>
        <w:t>三级物流体系。</w:t>
      </w:r>
      <w:r>
        <w:rPr>
          <w:rFonts w:hint="eastAsia" w:ascii="仿宋_GB2312" w:hAnsi="仿宋_GB2312" w:cs="仿宋_GB2312"/>
        </w:rPr>
        <w:t>加强南阳与空港、陆港等枢纽协调联动，推进枢纽内各运输环节和多种运输方式之间一体化衔接，提升运输效率、降低物流成本。创新物流业与其他产业融合发展的产业组织方式和发展路径，坚持以物流环境营造和供应链管理水平提升为手段，实现区域全产业链集成和产业集群化发展。探索建立南阳国家物流枢纽和国内不同圈层陆港、空港枢纽的物流组织、枢纽业务联动机制。</w:t>
      </w:r>
    </w:p>
    <w:p>
      <w:pPr>
        <w:spacing w:line="560" w:lineRule="exact"/>
        <w:ind w:firstLine="640" w:firstLineChars="200"/>
        <w:contextualSpacing/>
        <w:jc w:val="left"/>
        <w:rPr>
          <w:rFonts w:ascii="仿宋_GB2312" w:hAnsi="仿宋_GB2312" w:cs="仿宋_GB2312"/>
        </w:rPr>
      </w:pPr>
      <w:r>
        <w:rPr>
          <w:rFonts w:hint="eastAsia"/>
          <w:bCs/>
          <w:szCs w:val="30"/>
        </w:rPr>
        <w:t>优化物流节点空间布局。</w:t>
      </w:r>
      <w:r>
        <w:rPr>
          <w:rFonts w:hint="eastAsia" w:ascii="仿宋_GB2312" w:hAnsi="仿宋_GB2312" w:cs="仿宋_GB2312"/>
        </w:rPr>
        <w:t>按照“依托产业、突出特色、错位发展、协同联动”的发展思路，完善提升各县（市、区）和重要工业区物流空间布局，形成城乡联动、全域覆盖的特色物流节点网络体系。立足服务商贸服务型国家物流枢纽和区域物流枢纽（节点）建设，支持卧龙区现代物流产业园国家级枢纽、唐河港区临港物流园省级物流枢纽建设，积极推进南阳港中心港区物流产业园、新野港区物流园、社旗港区物流园规划建设，谋划将南阳港中心港区物流产业园纳入国家级枢纽、将新野港区物流园、社旗港区物流园纳入省级物流枢纽，加快推进邓州区域物流枢纽建设。积极争取布局建设国家骨干冷链物流基地，为跨区域产业合作和居民消费提供集散分拨、衔接转运等专业化服务。推动资源要素向物流枢纽集聚，建设物流设施集群和供应链组织中心，构建“通道+枢纽+平台+网络+主体”一体化运行体系，提升枢纽组织能力，放大集聚发展的规模经济效益和辐射带动效应，培育形成要素集聚全、流通效率高、业态模式新、聚合能力强的枢纽经济增长极。推动物流枢纽跨区域业务对接、设施联通、功能联合和资源共享，支撑带动周边地区产业链和供应链协同发展。</w:t>
      </w:r>
    </w:p>
    <w:p>
      <w:pPr>
        <w:spacing w:line="560" w:lineRule="exact"/>
        <w:ind w:firstLine="640" w:firstLineChars="200"/>
        <w:contextualSpacing/>
        <w:rPr>
          <w:rFonts w:ascii="仿宋_GB2312" w:hAnsi="仿宋_GB2312" w:cs="仿宋_GB2312"/>
        </w:rPr>
      </w:pPr>
      <w:r>
        <w:rPr>
          <w:rFonts w:hint="eastAsia"/>
          <w:bCs/>
          <w:szCs w:val="30"/>
        </w:rPr>
        <w:t>完善城乡物流设施网络。</w:t>
      </w:r>
      <w:r>
        <w:rPr>
          <w:rFonts w:hint="eastAsia" w:ascii="仿宋_GB2312" w:hAnsi="仿宋_GB2312" w:cs="仿宋_GB2312"/>
        </w:rPr>
        <w:t>推进城乡高效配送试点城市建设，加强公用型城市配送中心建设、将末端配送设施纳入社区统一管理，加快县、乡、村三级物流网络和中心站点建设，鼓励企业建设城乡物流配送网点，推动设施共享共用，构建城乡双向流通网络。统筹农村商贸流通市场、干线物流、快递物流、农资配送等资源，探索“运邮合作”“交邮融合”“客货同网”等协同发展模式，开行统仓共配、统一配送、定时定点定线的农村物流“货运班车”，进一步畅通农产品进城流通渠道。扎实推进“快递下乡”工程，引导电商快递企业由“服务到村”向“驻村设点”转型。以产销冷链集配中心为支撑，高效衔接国家骨干冷链物流基地和两端冷链物流设施，加大冷链物流全流程监管力度，消除“断链”隐患，构建干支线运输和两端集配一体化运作的区域冷链物流服务网络。培育打造一批本地化农村物流服务品牌企业，鼓励社会化物流配送主体与农村商贸超市、电商服务站、农资供应点业务对接和系统衔接，提升农产品流通“最后一公里”和上市“最初一公里”组织化水平。</w:t>
      </w:r>
    </w:p>
    <w:tbl>
      <w:tblPr>
        <w:tblStyle w:val="26"/>
        <w:tblW w:w="0" w:type="auto"/>
        <w:tblInd w:w="13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816" w:type="dxa"/>
            <w:tcBorders>
              <w:tl2br w:val="nil"/>
              <w:tr2bl w:val="nil"/>
            </w:tcBorders>
          </w:tcPr>
          <w:p>
            <w:pPr>
              <w:topLinePunct/>
              <w:spacing w:line="360" w:lineRule="exact"/>
              <w:contextualSpacing/>
              <w:jc w:val="center"/>
              <w:rPr>
                <w:rFonts w:ascii="Times New Roman" w:hAnsi="Times New Roman" w:cs="仿宋_GB2312"/>
                <w:bCs/>
                <w:sz w:val="24"/>
                <w:szCs w:val="24"/>
              </w:rPr>
            </w:pPr>
            <w:r>
              <w:rPr>
                <w:rFonts w:hint="eastAsia" w:ascii="Times New Roman" w:hAnsi="Times New Roman" w:eastAsia="黑体" w:cs="黑体"/>
                <w:sz w:val="28"/>
                <w:szCs w:val="28"/>
              </w:rPr>
              <w:t>专栏7：城乡物流提质畅通工程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8816" w:type="dxa"/>
            <w:tcBorders>
              <w:tl2br w:val="nil"/>
              <w:tr2bl w:val="nil"/>
            </w:tcBorders>
          </w:tcPr>
          <w:p>
            <w:pPr>
              <w:topLinePunct/>
              <w:spacing w:line="360" w:lineRule="exact"/>
              <w:ind w:firstLine="480" w:firstLineChars="200"/>
              <w:contextualSpacing/>
              <w:rPr>
                <w:rFonts w:ascii="Times New Roman" w:hAnsi="Times New Roman" w:cs="仿宋_GB2312"/>
                <w:sz w:val="24"/>
                <w:szCs w:val="24"/>
              </w:rPr>
            </w:pPr>
            <w:r>
              <w:rPr>
                <w:rFonts w:hint="eastAsia" w:ascii="楷体" w:hAnsi="楷体" w:eastAsia="楷体" w:cs="楷体"/>
                <w:bCs/>
                <w:sz w:val="24"/>
                <w:szCs w:val="24"/>
              </w:rPr>
              <w:t>1.物流园区建强培优工程。</w:t>
            </w:r>
            <w:r>
              <w:rPr>
                <w:rFonts w:ascii="Times New Roman" w:hAnsi="Times New Roman" w:cs="仿宋_GB2312"/>
                <w:sz w:val="24"/>
                <w:szCs w:val="24"/>
              </w:rPr>
              <w:t>新建</w:t>
            </w:r>
            <w:r>
              <w:rPr>
                <w:rFonts w:hint="eastAsia" w:ascii="Times New Roman" w:hAnsi="Times New Roman" w:cs="仿宋_GB2312"/>
                <w:sz w:val="24"/>
                <w:szCs w:val="24"/>
              </w:rPr>
              <w:t>南阳铁路二级物流基地、内乡牧原智慧物流园、淅川县城北综合物流园、西峡县公铁联运物流园、南阳港唐河临港物流园区、南阳国际陆港物流园、河南安棚铁路货运有限公司公铁联运物流园、唐河县年中转300万吨粮食物流园</w:t>
            </w:r>
            <w:r>
              <w:rPr>
                <w:rFonts w:ascii="Times New Roman" w:hAnsi="Times New Roman" w:cs="仿宋_GB2312"/>
                <w:sz w:val="24"/>
                <w:szCs w:val="24"/>
              </w:rPr>
              <w:t>等</w:t>
            </w:r>
            <w:r>
              <w:rPr>
                <w:rFonts w:hint="eastAsia" w:ascii="Times New Roman" w:hAnsi="Times New Roman" w:cs="仿宋_GB2312"/>
                <w:sz w:val="24"/>
                <w:szCs w:val="24"/>
              </w:rPr>
              <w:t>物流园区项目</w:t>
            </w:r>
            <w:r>
              <w:rPr>
                <w:rFonts w:ascii="Times New Roman" w:hAnsi="Times New Roman" w:cs="仿宋_GB2312"/>
                <w:sz w:val="24"/>
                <w:szCs w:val="24"/>
              </w:rPr>
              <w:t>。</w:t>
            </w:r>
          </w:p>
          <w:p>
            <w:pPr>
              <w:topLinePunct/>
              <w:spacing w:line="360" w:lineRule="exact"/>
              <w:ind w:firstLine="480" w:firstLineChars="200"/>
              <w:contextualSpacing/>
              <w:rPr>
                <w:rFonts w:ascii="Times New Roman" w:hAnsi="Times New Roman" w:cs="仿宋_GB2312"/>
              </w:rPr>
            </w:pPr>
            <w:r>
              <w:rPr>
                <w:rFonts w:hint="eastAsia" w:ascii="楷体" w:hAnsi="楷体" w:eastAsia="楷体" w:cs="楷体"/>
                <w:bCs/>
                <w:sz w:val="24"/>
                <w:szCs w:val="24"/>
              </w:rPr>
              <w:t>2.农村商品双向畅通工程。</w:t>
            </w:r>
            <w:r>
              <w:rPr>
                <w:rFonts w:hint="eastAsia" w:ascii="Times New Roman" w:hAnsi="Times New Roman" w:cs="仿宋_GB2312"/>
                <w:sz w:val="24"/>
                <w:szCs w:val="24"/>
              </w:rPr>
              <w:t>改造、建设一批县域物流分拨中心，引导县域电商产业园、物流园区整合特色农产品、快消品、工业品等资源，开展货源直采和统仓共配，打造农特产品网供分拨基地。加强综合集配中心、冷藏储运和信息化等流通基础设施建设，重点建设加工配送中心、集配中心和田头市场。</w:t>
            </w:r>
            <w:r>
              <w:rPr>
                <w:rFonts w:hint="eastAsia" w:ascii="Times New Roman" w:hAnsi="Times New Roman" w:cs="仿宋_GB2312"/>
                <w:bCs/>
                <w:sz w:val="24"/>
                <w:szCs w:val="24"/>
              </w:rPr>
              <w:t>引导专业冷链物流企业适应农产品产地多点布局和小批量、多批次运输需求特点，开展从冷链源头基点到冷链集配中心、国家骨干冷链物流基地的干支衔接运输组织，构建稳定、高效、低成本运行的农产品出村进城冷链物流网络。</w:t>
            </w:r>
            <w:r>
              <w:rPr>
                <w:rFonts w:hint="eastAsia" w:ascii="Times New Roman" w:hAnsi="Times New Roman" w:cs="仿宋_GB2312"/>
                <w:sz w:val="24"/>
                <w:szCs w:val="24"/>
              </w:rPr>
              <w:t>到 2025 年，实现全市县级“连锁商超+物流集散中心”、乡镇“商贸中心+分拨配送中心”、村级“新型便利店+快递网点”网络全覆盖。</w:t>
            </w:r>
          </w:p>
        </w:tc>
      </w:tr>
    </w:tbl>
    <w:p>
      <w:pPr>
        <w:spacing w:line="560" w:lineRule="exact"/>
        <w:contextualSpacing/>
        <w:jc w:val="center"/>
        <w:outlineLvl w:val="1"/>
        <w:rPr>
          <w:rFonts w:ascii="楷体_GB2312" w:hAnsi="楷体_GB2312" w:eastAsia="楷体_GB2312" w:cs="楷体_GB2312"/>
        </w:rPr>
      </w:pPr>
      <w:bookmarkStart w:id="1346" w:name="_Toc160272428"/>
      <w:r>
        <w:rPr>
          <w:rFonts w:hint="eastAsia" w:ascii="楷体_GB2312" w:hAnsi="楷体_GB2312" w:eastAsia="楷体_GB2312" w:cs="楷体_GB2312"/>
        </w:rPr>
        <w:t>第三节 加快现代商贸设施建设</w:t>
      </w:r>
      <w:bookmarkEnd w:id="1346"/>
    </w:p>
    <w:p>
      <w:pPr>
        <w:spacing w:line="560" w:lineRule="exact"/>
        <w:ind w:firstLine="640" w:firstLineChars="200"/>
        <w:contextualSpacing/>
        <w:rPr>
          <w:rFonts w:ascii="仿宋_GB2312" w:hAnsi="仿宋_GB2312" w:cs="仿宋_GB2312"/>
        </w:rPr>
      </w:pPr>
      <w:r>
        <w:rPr>
          <w:rFonts w:hint="eastAsia"/>
          <w:bCs/>
          <w:szCs w:val="30"/>
        </w:rPr>
        <w:t>提升城市商贸设施能级。</w:t>
      </w:r>
      <w:r>
        <w:rPr>
          <w:rFonts w:hint="eastAsia" w:ascii="仿宋_GB2312" w:hAnsi="仿宋_GB2312" w:cs="仿宋_GB2312"/>
        </w:rPr>
        <w:t>按照“老城区提升、新城区繁荣”的原则，统筹规划商业网点功能布局，打造一批城市商业名片和地标性商业设施，重点以文化创意与博物馆、商街旅游与娱乐餐饮、电子产品与电子商务为主，培育城市综合体集群，加快南阳医圣祠文化园建设。推动传统商圈及沿街商业设施迭代升级，加快新兴业态培育和功能优化，完善公共服务配套，提高资源整合能力和消费集聚水平。指导各县（市、区）商业满足当地消费需求，改造提升百货商场、超市卖场、特色商业街，合理布局建设商业综合体、购物中心，推动商业结构调整、发展新兴商业业态。推动社区优化布局百货、超市、农贸市场、便利店等商业设施，加快城市社区邻里中心等综合性服务网点建设，改造建设一批“一刻钟便民生活圈”，完善服务功能，打造业态丰富、功能完善的社区商圈，形成主城区商业中心、县（市）商圈和社区商业良性互动的商业发展格局，大幅提高社区居民的生活便利化水平。</w:t>
      </w:r>
    </w:p>
    <w:p>
      <w:pPr>
        <w:spacing w:line="560" w:lineRule="exact"/>
        <w:ind w:firstLine="640" w:firstLineChars="200"/>
        <w:contextualSpacing/>
        <w:rPr>
          <w:rFonts w:ascii="仿宋_GB2312" w:hAnsi="仿宋_GB2312" w:cs="仿宋_GB2312"/>
        </w:rPr>
      </w:pPr>
      <w:r>
        <w:rPr>
          <w:rFonts w:hint="eastAsia"/>
          <w:bCs/>
          <w:szCs w:val="30"/>
        </w:rPr>
        <w:t>完善城乡商贸设施网络。</w:t>
      </w:r>
      <w:r>
        <w:rPr>
          <w:rFonts w:hint="eastAsia" w:ascii="仿宋_GB2312" w:hAnsi="仿宋_GB2312" w:cs="仿宋_GB2312"/>
        </w:rPr>
        <w:t>开展县域商业体系建设提质行动，推进县城商贸设施改造提升，支持乡镇商贸设施共建共用，打造“多站合一、一站多能”的村级商业网点。引导大型商贸流通企业向县域下沉供销网络，鼓励新零售企业在乡镇开设体验店，支持各类商贸企业向农村地区发展营销网点、延伸服务网络，扩大电商、快递、品牌商超农村覆盖面。合理规划建设一批公益性农产品流通设施，将农贸市场、社区直供店（点）、平价店、医保定点药店、家政服务网点、再生资源回收点等纳入微利经营的流通设施范围。新建和改造一批县域电商产业园区、乡村电商服务站点，推动其向“一区多园、功能集聚”发展。加快田间地头流通设施建设，推进农产品产地市场、集配中心和低温加工处理中心改造升级，加快农产品运输、仓储设施专业化改造，提高农产品商品化处理能力。探索农产品网上大宗交易和生鲜产品网上直销模式，推广农超对接、农批对接、农校对接等产销衔接方式，引导大型连锁企业服务网点向乡村延伸，在城乡结合部建立产品展销中心、服务中心、物流配送网点，改造村镇夫妻店、邮政站点、供销合作社等，推动资源要素向农村市场倾斜，构建农产品上行、工业品下乡的双向流通体系。到</w:t>
      </w:r>
      <w:r>
        <w:rPr>
          <w:rFonts w:hint="eastAsia" w:ascii="Times New Roman" w:hAnsi="Times New Roman"/>
        </w:rPr>
        <w:t>2025</w:t>
      </w:r>
      <w:r>
        <w:rPr>
          <w:rFonts w:hint="eastAsia" w:ascii="仿宋_GB2312" w:hAnsi="仿宋_GB2312" w:cs="仿宋_GB2312"/>
        </w:rPr>
        <w:t>年，实现县县有连锁商超和物流配送中心、乡镇有商贸中心、村村通快递。</w:t>
      </w:r>
    </w:p>
    <w:p>
      <w:pPr>
        <w:spacing w:line="560" w:lineRule="exact"/>
        <w:ind w:firstLine="640" w:firstLineChars="200"/>
        <w:contextualSpacing/>
        <w:rPr>
          <w:rFonts w:ascii="黑体" w:hAnsi="黑体" w:eastAsia="黑体" w:cs="黑体"/>
        </w:rPr>
      </w:pPr>
      <w:r>
        <w:rPr>
          <w:rFonts w:hint="eastAsia"/>
          <w:bCs/>
          <w:szCs w:val="30"/>
        </w:rPr>
        <w:t>加强新型商贸基础设施建设。</w:t>
      </w:r>
      <w:r>
        <w:rPr>
          <w:rFonts w:hint="eastAsia" w:ascii="仿宋_GB2312" w:cs="仿宋"/>
        </w:rPr>
        <w:t>加快商品市场</w:t>
      </w:r>
      <w:r>
        <w:rPr>
          <w:rFonts w:hint="eastAsia" w:ascii="Times New Roman" w:hAnsi="Times New Roman"/>
        </w:rPr>
        <w:t>5G</w:t>
      </w:r>
      <w:r>
        <w:rPr>
          <w:rFonts w:hint="eastAsia" w:ascii="仿宋_GB2312" w:cs="仿宋"/>
        </w:rPr>
        <w:t>网络、智慧终端等数字化智能化设施设备建设，培育一批特色突出、产业链供应链服务功能强大、线上线下融合发展的商品市场示范基地。</w:t>
      </w:r>
      <w:r>
        <w:rPr>
          <w:rFonts w:hint="eastAsia" w:ascii="仿宋_GB2312" w:hAnsi="仿宋_GB2312" w:cs="仿宋_GB2312"/>
        </w:rPr>
        <w:t>积极推进城市大型商圈、商品市场、商业街等商业设施</w:t>
      </w:r>
      <w:r>
        <w:rPr>
          <w:rFonts w:hint="eastAsia" w:ascii="Times New Roman" w:hAnsi="Times New Roman" w:cs="仿宋_GB2312"/>
        </w:rPr>
        <w:t>5G</w:t>
      </w:r>
      <w:r>
        <w:rPr>
          <w:rFonts w:hint="eastAsia" w:ascii="仿宋_GB2312" w:hAnsi="仿宋_GB2312" w:cs="仿宋_GB2312"/>
        </w:rPr>
        <w:t>信号全覆盖，推动物业商管、营销引流、消费导购、推广活动等各个场景下的</w:t>
      </w:r>
      <w:r>
        <w:rPr>
          <w:rFonts w:hint="eastAsia" w:ascii="Times New Roman" w:hAnsi="Times New Roman" w:cs="仿宋_GB2312"/>
        </w:rPr>
        <w:t>5G</w:t>
      </w:r>
      <w:r>
        <w:rPr>
          <w:rFonts w:hint="eastAsia" w:ascii="仿宋_GB2312" w:hAnsi="仿宋_GB2312" w:cs="仿宋_GB2312"/>
        </w:rPr>
        <w:t>数字化智能应用，</w:t>
      </w:r>
      <w:r>
        <w:rPr>
          <w:rFonts w:hint="eastAsia" w:ascii="仿宋_GB2312" w:cs="仿宋"/>
        </w:rPr>
        <w:t>加快建设智慧商超、智慧街区、智慧商圈和智慧体验馆</w:t>
      </w:r>
      <w:r>
        <w:rPr>
          <w:rFonts w:hint="eastAsia" w:ascii="仿宋_GB2312" w:hAnsi="仿宋_GB2312" w:cs="仿宋_GB2312"/>
        </w:rPr>
        <w:t>。鼓励有条件的平台企业，充分借助工业互联网、虚拟现实、人工智能、区块链等技术，建设“云上商贸”服务平台，促进传统商业“上线上云上平台”。优化布局智能商务终端，推进快递服务站、多功能智能快件箱、无人售货机和智能回收箱等智能终端设施建设和资源共享。加快农产品批发市场智能化、信息化、链条化改造升级。加强适老型新型商贸基础设施建设，积极解决老年人在商贸消费领域运用智能技术“数字鸿沟”问题。</w:t>
      </w:r>
    </w:p>
    <w:p>
      <w:pPr>
        <w:spacing w:line="560" w:lineRule="exact"/>
        <w:contextualSpacing/>
        <w:jc w:val="center"/>
        <w:outlineLvl w:val="0"/>
        <w:rPr>
          <w:rFonts w:ascii="黑体" w:hAnsi="黑体" w:eastAsia="黑体" w:cs="黑体"/>
        </w:rPr>
      </w:pPr>
      <w:bookmarkStart w:id="1347" w:name="_Toc704929096"/>
      <w:r>
        <w:rPr>
          <w:rFonts w:hint="eastAsia" w:ascii="黑体" w:hAnsi="黑体" w:eastAsia="黑体" w:cs="黑体"/>
        </w:rPr>
        <w:t>第六章 做实流通载体平台，畅通内外双循环</w:t>
      </w:r>
      <w:bookmarkEnd w:id="1347"/>
    </w:p>
    <w:p>
      <w:pPr>
        <w:spacing w:line="560" w:lineRule="exact"/>
        <w:ind w:firstLine="640" w:firstLineChars="200"/>
        <w:contextualSpacing/>
        <w:rPr>
          <w:rFonts w:ascii="仿宋_GB2312" w:hAnsi="仿宋_GB2312" w:cs="仿宋_GB2312"/>
        </w:rPr>
      </w:pPr>
      <w:r>
        <w:rPr>
          <w:rFonts w:hint="eastAsia" w:ascii="仿宋_GB2312" w:hAnsi="仿宋_GB2312" w:cs="仿宋_GB2312"/>
        </w:rPr>
        <w:t>积极对接国家和区域重大发展战略，加快南阳国际陆港、中国（南阳）跨境电子商务综合试验区等各类平台建设，深化体制机制创新，构建高水平现代化流通载体平台体系，为畅通国内大循环、促进国内国际双循环提供有力支撑和强大动能。</w:t>
      </w:r>
    </w:p>
    <w:p>
      <w:pPr>
        <w:spacing w:line="560" w:lineRule="exact"/>
        <w:contextualSpacing/>
        <w:jc w:val="center"/>
        <w:outlineLvl w:val="1"/>
        <w:rPr>
          <w:rFonts w:ascii="楷体_GB2312" w:hAnsi="楷体_GB2312" w:eastAsia="楷体_GB2312" w:cs="楷体_GB2312"/>
        </w:rPr>
      </w:pPr>
      <w:bookmarkStart w:id="1348" w:name="_Toc553540073"/>
      <w:r>
        <w:rPr>
          <w:rFonts w:hint="eastAsia" w:ascii="楷体_GB2312" w:hAnsi="楷体_GB2312" w:eastAsia="楷体_GB2312" w:cs="楷体_GB2312"/>
        </w:rPr>
        <w:t>第一节 加快推进南阳国际陆港建设</w:t>
      </w:r>
      <w:bookmarkEnd w:id="1348"/>
    </w:p>
    <w:p>
      <w:pPr>
        <w:spacing w:line="560" w:lineRule="exact"/>
        <w:ind w:firstLine="640" w:firstLineChars="200"/>
        <w:contextualSpacing/>
        <w:rPr>
          <w:rFonts w:ascii="Times New Roman" w:hAnsi="Times New Roman" w:cs="仿宋_GB2312"/>
        </w:rPr>
      </w:pPr>
      <w:r>
        <w:rPr>
          <w:rFonts w:hint="eastAsia"/>
          <w:bCs/>
          <w:szCs w:val="30"/>
        </w:rPr>
        <w:t>高标准规划建设南阳国际陆港。</w:t>
      </w:r>
      <w:r>
        <w:rPr>
          <w:rFonts w:hint="eastAsia" w:ascii="Times New Roman" w:hAnsi="Times New Roman" w:cs="仿宋_GB2312"/>
        </w:rPr>
        <w:t>围绕物流商贸、智能制造、多式联运、数字产业、总部经济等领域，</w:t>
      </w:r>
      <w:r>
        <w:rPr>
          <w:rFonts w:hint="eastAsia" w:ascii="仿宋_GB2312" w:hAnsi="仿宋_GB2312" w:cs="仿宋_GB2312"/>
        </w:rPr>
        <w:t>依托卧龙综合保税区、铁路二级物流基地，</w:t>
      </w:r>
      <w:r>
        <w:rPr>
          <w:rFonts w:hint="eastAsia" w:ascii="Times New Roman" w:hAnsi="Times New Roman" w:cs="仿宋_GB2312"/>
        </w:rPr>
        <w:t>打造南阳国际陆港新城。加快推进中欧班列（南阳）“宛渝欧”“宛西欧”发展，统筹中欧班列直发、铁海快线专列等线路和货源，逐步扩大香菇制品、羊绒被、藤编工艺品等产品出口和粮食、纸浆、玉石等产品进口规模。支持国际供应链服务企业依托国际陆港和中欧班列（南阳）拓展配送网络，支持境内菜鸟国际、“三通一达”等龙头物流企业在国际陆港建设仓储分拨中心，培育若干运行规范有序的跨境电商线上商城。加快国际陆港艾草产业园建设。</w:t>
      </w:r>
    </w:p>
    <w:p>
      <w:pPr>
        <w:spacing w:line="560" w:lineRule="exact"/>
        <w:ind w:firstLine="640" w:firstLineChars="200"/>
        <w:contextualSpacing/>
        <w:rPr>
          <w:rFonts w:ascii="仿宋_GB2312" w:hAnsi="仿宋_GB2312" w:cs="仿宋_GB2312"/>
        </w:rPr>
      </w:pPr>
      <w:r>
        <w:rPr>
          <w:rFonts w:hint="eastAsia"/>
          <w:bCs/>
          <w:szCs w:val="30"/>
        </w:rPr>
        <w:t>全面促进南阳卧龙综合保税区提能增效。</w:t>
      </w:r>
      <w:r>
        <w:rPr>
          <w:rFonts w:hint="eastAsia" w:ascii="Times New Roman" w:hAnsi="Times New Roman" w:cs="仿宋_GB2312"/>
        </w:rPr>
        <w:t>推进卧龙综合保税区公共服务设施建设</w:t>
      </w:r>
      <w:r>
        <w:rPr>
          <w:rFonts w:hint="eastAsia" w:cs="仿宋_GB2312"/>
        </w:rPr>
        <w:t>和口岸布局</w:t>
      </w:r>
      <w:r>
        <w:rPr>
          <w:rFonts w:hint="eastAsia" w:ascii="Times New Roman" w:hAnsi="Times New Roman" w:cs="仿宋_GB2312"/>
        </w:rPr>
        <w:t>，拓展综合性物流分拨中心、保税物流仓储中心、交易服务平台等各载体平台功能，发挥好“保税+”叠加效应，促进南阳</w:t>
      </w:r>
      <w:r>
        <w:rPr>
          <w:rFonts w:hint="eastAsia" w:cs="仿宋_GB2312"/>
        </w:rPr>
        <w:t>农副</w:t>
      </w:r>
      <w:r>
        <w:rPr>
          <w:rFonts w:hint="eastAsia" w:ascii="Times New Roman" w:hAnsi="Times New Roman" w:cs="仿宋_GB2312"/>
        </w:rPr>
        <w:t>产品、</w:t>
      </w:r>
      <w:r>
        <w:rPr>
          <w:rFonts w:hint="eastAsia" w:cs="仿宋_GB2312"/>
        </w:rPr>
        <w:t>进出口加工产业</w:t>
      </w:r>
      <w:r>
        <w:rPr>
          <w:rFonts w:hint="eastAsia" w:ascii="Times New Roman" w:hAnsi="Times New Roman" w:cs="仿宋_GB2312"/>
        </w:rPr>
        <w:t>等特色产业发展。推进卧龙综合保税区与河南电子口岸公司合作建设跨境电商通关平台，打造集保税仓储物流、保税加工制造、分拨转运、商品展示体验、支付金融于一体的服务体系。</w:t>
      </w:r>
      <w:r>
        <w:rPr>
          <w:rFonts w:hint="eastAsia" w:cs="仿宋_GB2312"/>
        </w:rPr>
        <w:t>拓展与西安国际港务区、</w:t>
      </w:r>
      <w:r>
        <w:rPr>
          <w:rFonts w:hint="eastAsia" w:ascii="仿宋_GB2312"/>
        </w:rPr>
        <w:t>成都国际陆港、山东省港口集团、南航南阳基地合作。支持</w:t>
      </w:r>
      <w:r>
        <w:rPr>
          <w:rFonts w:hint="eastAsia" w:ascii="仿宋_GB2312" w:hAnsi="仿宋_GB2312" w:cs="仿宋_GB2312"/>
        </w:rPr>
        <w:t>卧龙综合保税区加快申建河南自贸区开放创新联动区，积极申建粮食、肉类等各类海关指定监管场地及食用菌市场采购贸易方式试点，</w:t>
      </w:r>
      <w:r>
        <w:rPr>
          <w:rFonts w:hint="eastAsia" w:ascii="Times New Roman" w:hAnsi="Times New Roman" w:cs="仿宋_GB2312"/>
        </w:rPr>
        <w:t>推动国际陆港与卧龙综合保税区联动发展，打造全市开放型经济新引擎</w:t>
      </w:r>
      <w:r>
        <w:rPr>
          <w:rFonts w:hint="eastAsia" w:ascii="仿宋_GB2312" w:hAnsi="仿宋_GB2312" w:cs="仿宋_GB2312"/>
        </w:rPr>
        <w:t>。</w:t>
      </w:r>
    </w:p>
    <w:p>
      <w:pPr>
        <w:pStyle w:val="10"/>
        <w:spacing w:line="560" w:lineRule="exact"/>
        <w:ind w:firstLine="640"/>
        <w:contextualSpacing/>
        <w:rPr>
          <w:rFonts w:ascii="仿宋_GB2312"/>
        </w:rPr>
      </w:pPr>
      <w:r>
        <w:rPr>
          <w:rFonts w:hint="eastAsia"/>
          <w:bCs/>
          <w:szCs w:val="30"/>
        </w:rPr>
        <w:t>推进综合保税区体制机制改革。</w:t>
      </w:r>
      <w:r>
        <w:rPr>
          <w:rFonts w:hint="eastAsia" w:cs="仿宋_GB2312"/>
        </w:rPr>
        <w:t>深化实行“管委会+国有公司”管理模式，选优配齐财政、税务、市场监管、住建、城管等驻区机构</w:t>
      </w:r>
      <w:r>
        <w:rPr>
          <w:rFonts w:hint="eastAsia" w:ascii="仿宋_GB2312" w:hAnsi="仿宋_GB2312" w:cs="仿宋_GB2312"/>
        </w:rPr>
        <w:t>，</w:t>
      </w:r>
      <w:r>
        <w:rPr>
          <w:rFonts w:hint="eastAsia" w:cs="仿宋_GB2312"/>
        </w:rPr>
        <w:t>优化完善企业服务中心、海关监管区服务中心、社会事务服务中心等专业化服务机构。深入推进“放管服效”改革，创新事中事后监管方式，加强监管全覆盖、常态化建设。大力推进口岸作业时限管理，将进出口货物整体通关时间稳定在合理区间，进一步提升口岸数字化、精细化管理水平，探索建立口岸通关便利化评价体系。</w:t>
      </w:r>
    </w:p>
    <w:p>
      <w:pPr>
        <w:spacing w:line="560" w:lineRule="exact"/>
        <w:contextualSpacing/>
        <w:jc w:val="center"/>
        <w:outlineLvl w:val="1"/>
        <w:rPr>
          <w:rFonts w:ascii="楷体_GB2312" w:hAnsi="楷体_GB2312" w:eastAsia="楷体_GB2312" w:cs="楷体_GB2312"/>
        </w:rPr>
      </w:pPr>
      <w:bookmarkStart w:id="1349" w:name="_Toc1962178646"/>
      <w:r>
        <w:rPr>
          <w:rFonts w:hint="eastAsia" w:ascii="楷体_GB2312" w:hAnsi="楷体_GB2312" w:eastAsia="楷体_GB2312" w:cs="楷体_GB2312"/>
        </w:rPr>
        <w:t>第二节 打造区域进出口商品分拨集散和消费中心</w:t>
      </w:r>
      <w:bookmarkEnd w:id="1349"/>
    </w:p>
    <w:p>
      <w:pPr>
        <w:spacing w:line="560" w:lineRule="exact"/>
        <w:ind w:firstLine="640" w:firstLineChars="200"/>
        <w:contextualSpacing/>
        <w:rPr>
          <w:rFonts w:ascii="仿宋_GB2312" w:hAnsi="仿宋_GB2312" w:cs="仿宋_GB2312"/>
        </w:rPr>
      </w:pPr>
      <w:r>
        <w:rPr>
          <w:rFonts w:hint="eastAsia"/>
          <w:bCs/>
          <w:szCs w:val="30"/>
        </w:rPr>
        <w:t>扎实推动中国（南阳）跨境电子商务综合试验区发展。</w:t>
      </w:r>
      <w:r>
        <w:rPr>
          <w:rFonts w:hint="eastAsia" w:ascii="Times New Roman" w:hAnsi="Times New Roman" w:cs="仿宋_GB2312"/>
        </w:rPr>
        <w:t>依托中国（河南）国际贸易“单一窗口”，建设跨境电商线上综合服务平台，完善信息共享、金融服务、信用管理、统计监测、风险防控、质量追溯六大服务体系。依托南阳产业、区位、生态、资源优势，以卧龙综合保税区为核心，以镇平园区、西峡园区为示范，以各县（市、区）跨境电商产业园区为支撑，规划建设线下综合园区平台，有效承接线上“单一窗口”平台功能，完善跨境电商配套服务体系，优化线下园区基础设施载体，提升公共服务能级，促进跨境电子商务线下园区和线上平台联动发展。</w:t>
      </w:r>
      <w:r>
        <w:rPr>
          <w:rFonts w:hint="eastAsia" w:cs="仿宋_GB2312"/>
        </w:rPr>
        <w:t>积极</w:t>
      </w:r>
      <w:r>
        <w:rPr>
          <w:rFonts w:hint="eastAsia" w:ascii="Times New Roman" w:hAnsi="Times New Roman" w:cs="仿宋_GB2312"/>
        </w:rPr>
        <w:t>拓展O2O、C2B等电子商务模式，</w:t>
      </w:r>
      <w:r>
        <w:rPr>
          <w:rFonts w:hint="eastAsia" w:ascii="仿宋_GB2312" w:hAnsi="仿宋_GB2312" w:cs="仿宋_GB2312"/>
        </w:rPr>
        <w:t>聚焦农产品跨境电子商务</w:t>
      </w:r>
      <w:r>
        <w:rPr>
          <w:rFonts w:hint="eastAsia" w:ascii="Times New Roman" w:hAnsi="Times New Roman"/>
        </w:rPr>
        <w:t>B2B</w:t>
      </w:r>
      <w:r>
        <w:rPr>
          <w:rFonts w:hint="eastAsia" w:ascii="仿宋_GB2312" w:hAnsi="仿宋_GB2312" w:cs="仿宋_GB2312"/>
        </w:rPr>
        <w:t>交易监管模式创新，完善跨境电子商务发展体制机制，</w:t>
      </w:r>
      <w:r>
        <w:rPr>
          <w:rFonts w:hint="eastAsia" w:ascii="Times New Roman" w:hAnsi="Times New Roman" w:cs="仿宋_GB2312"/>
        </w:rPr>
        <w:t>推进南阳市中医药、新材料、新能源等特色产业跃迁发展，</w:t>
      </w:r>
      <w:r>
        <w:rPr>
          <w:rFonts w:hint="eastAsia" w:ascii="仿宋_GB2312" w:hAnsi="仿宋_GB2312" w:cs="仿宋_GB2312"/>
        </w:rPr>
        <w:t>推动完善跨境电商生态圈。</w:t>
      </w:r>
    </w:p>
    <w:p>
      <w:pPr>
        <w:spacing w:line="560" w:lineRule="exact"/>
        <w:ind w:firstLine="640" w:firstLineChars="200"/>
        <w:contextualSpacing/>
        <w:rPr>
          <w:rFonts w:ascii="Times New Roman" w:hAnsi="Times New Roman" w:cs="仿宋_GB2312"/>
        </w:rPr>
      </w:pPr>
      <w:r>
        <w:rPr>
          <w:rFonts w:hint="eastAsia"/>
          <w:bCs/>
          <w:szCs w:val="30"/>
        </w:rPr>
        <w:t>加快推进零售进口试点城市建设。</w:t>
      </w:r>
      <w:r>
        <w:rPr>
          <w:rFonts w:hint="eastAsia" w:cs="仿宋_GB2312"/>
        </w:rPr>
        <w:t>顺应</w:t>
      </w:r>
      <w:r>
        <w:rPr>
          <w:rFonts w:hint="eastAsia" w:ascii="Times New Roman" w:hAnsi="Times New Roman" w:cs="仿宋_GB2312"/>
        </w:rPr>
        <w:t>市场消费需求，引进培育一批</w:t>
      </w:r>
      <w:r>
        <w:rPr>
          <w:rFonts w:hint="eastAsia" w:cs="仿宋_GB2312"/>
        </w:rPr>
        <w:t>发展</w:t>
      </w:r>
      <w:r>
        <w:rPr>
          <w:rFonts w:hint="eastAsia" w:ascii="Times New Roman" w:hAnsi="Times New Roman" w:cs="仿宋_GB2312"/>
        </w:rPr>
        <w:t>潜力大、经营业绩好、辐射能力强的进口贸易主体。</w:t>
      </w:r>
      <w:r>
        <w:rPr>
          <w:rFonts w:hint="eastAsia" w:cs="仿宋_GB2312"/>
        </w:rPr>
        <w:t>积极落实</w:t>
      </w:r>
      <w:r>
        <w:rPr>
          <w:rFonts w:hint="eastAsia" w:ascii="Times New Roman" w:hAnsi="Times New Roman" w:cs="仿宋_GB2312"/>
        </w:rPr>
        <w:t>进口减免政策，加强跨境支付、物流仓储、贸易监管、消费者服务等贸易领域全产业链配套和服务。优化进口结构、扩大进口规模，统筹跨境电商商品和其他保税货物仓储，探索跨境电商零售进口退货中心仓模式以及保税商品“同仓存储、同车配送、同包发货”业务模式，提升供应链管理、专业服务、品质控制和售后服务等综合能力。加快建设南阳市进口商品展销中心，</w:t>
      </w:r>
      <w:r>
        <w:rPr>
          <w:rFonts w:hint="eastAsia" w:cs="仿宋_GB2312"/>
        </w:rPr>
        <w:t>积极申办国际性特色节会，创新开展进口商品博览会“云参展”等活动，</w:t>
      </w:r>
      <w:r>
        <w:rPr>
          <w:rFonts w:hint="eastAsia" w:ascii="Times New Roman" w:hAnsi="Times New Roman" w:cs="仿宋_GB2312"/>
        </w:rPr>
        <w:t>积极与阿里巴巴国际站、eBay、Amazon等平台对接合作，建设进口商品“世界超市”。</w:t>
      </w:r>
    </w:p>
    <w:p>
      <w:pPr>
        <w:pStyle w:val="10"/>
        <w:spacing w:line="560" w:lineRule="exact"/>
        <w:ind w:firstLine="640"/>
        <w:contextualSpacing/>
        <w:rPr>
          <w:rFonts w:cs="仿宋_GB2312"/>
        </w:rPr>
      </w:pPr>
      <w:r>
        <w:rPr>
          <w:rFonts w:hint="eastAsia"/>
          <w:bCs/>
          <w:szCs w:val="30"/>
        </w:rPr>
        <w:t>大力培育跨境电商特色产业园。</w:t>
      </w:r>
      <w:r>
        <w:rPr>
          <w:rFonts w:hint="eastAsia" w:cs="仿宋_GB2312"/>
        </w:rPr>
        <w:t>积极承接跨境电商相关产业转移，促进本土特色产业与跨境电商深度融合，做大做强跨境电商产业。重点推动食用菌、艾制品、茶叶等优质农产品通过跨境电商渠道拓展国际市场，打造适合农产品出口的跨境电商全产业链。支持餐厨用品、地毯、丝制品、仿真花等特色产业企业建设跨境电商产品设计中心，丰富跨境电商家居用品品类，打造跨境电商家居产业特色集群。引导传统外贸企业、制造企业积极开展跨境电商业务，积极引进国内外知名跨境电商平台企业和配套服务企业，提升跨境电商综合服务水平。引导各县（市、区）充分依托各区域产业发展基础与资源要素禀赋优势，积极整合区域资源，新建或改造提升一批跨境电商产业园，加快构建产业综合配套体系，打造跨境电商产业生态圈。</w:t>
      </w:r>
    </w:p>
    <w:tbl>
      <w:tblPr>
        <w:tblStyle w:val="26"/>
        <w:tblW w:w="0" w:type="auto"/>
        <w:tblInd w:w="9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46" w:hRule="atLeast"/>
        </w:trPr>
        <w:tc>
          <w:tcPr>
            <w:tcW w:w="8854" w:type="dxa"/>
            <w:tcBorders>
              <w:tl2br w:val="nil"/>
              <w:tr2bl w:val="nil"/>
            </w:tcBorders>
            <w:vAlign w:val="center"/>
          </w:tcPr>
          <w:p>
            <w:pPr>
              <w:topLinePunct/>
              <w:spacing w:line="360" w:lineRule="exact"/>
              <w:contextualSpacing/>
              <w:jc w:val="center"/>
              <w:rPr>
                <w:rFonts w:ascii="Times New Roman" w:hAnsi="Times New Roman" w:eastAsia="黑体" w:cs="黑体"/>
              </w:rPr>
            </w:pPr>
            <w:r>
              <w:rPr>
                <w:rFonts w:hint="eastAsia" w:ascii="Times New Roman" w:hAnsi="Times New Roman" w:eastAsia="黑体" w:cs="黑体"/>
                <w:sz w:val="28"/>
                <w:szCs w:val="28"/>
              </w:rPr>
              <w:t>专栏8：跨境电子商务跃迁发展工程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854" w:type="dxa"/>
            <w:tcBorders>
              <w:tl2br w:val="nil"/>
              <w:tr2bl w:val="nil"/>
            </w:tcBorders>
          </w:tcPr>
          <w:p>
            <w:pPr>
              <w:topLinePunct/>
              <w:spacing w:line="360" w:lineRule="exact"/>
              <w:ind w:firstLine="480" w:firstLineChars="200"/>
              <w:contextualSpacing/>
              <w:rPr>
                <w:rFonts w:ascii="Times New Roman" w:hAnsi="Times New Roman" w:cs="仿宋_GB2312"/>
                <w:sz w:val="24"/>
                <w:szCs w:val="24"/>
              </w:rPr>
            </w:pPr>
            <w:r>
              <w:rPr>
                <w:rFonts w:hint="eastAsia" w:ascii="楷体" w:hAnsi="楷体" w:eastAsia="楷体" w:cs="楷体"/>
                <w:bCs/>
                <w:sz w:val="24"/>
                <w:szCs w:val="24"/>
              </w:rPr>
              <w:t>1.电子商务产业园建设工程。</w:t>
            </w:r>
            <w:r>
              <w:rPr>
                <w:rFonts w:hint="eastAsia" w:ascii="Times New Roman" w:hAnsi="Times New Roman" w:cs="仿宋_GB2312"/>
                <w:sz w:val="24"/>
                <w:szCs w:val="24"/>
              </w:rPr>
              <w:t>稳步推动卧龙综合保税区跨境电子商务产业园、镇平梧桐树新经济产业园、内乡县电商创业孵化园、桐柏县电商产业园、西峡县电商产业孵化园、方城县电商产业园、社旗县电商产业园、唐河县电商产业园、南召县电商产业园、淅川县电商产业园、新野县愿景电商产业园等园区建设，加快推进中关村信息谷、白河大数据产业园建设，培育一批具有区域影响力的跨境电商产业园。</w:t>
            </w:r>
          </w:p>
          <w:p>
            <w:pPr>
              <w:topLinePunct/>
              <w:spacing w:line="360" w:lineRule="exact"/>
              <w:ind w:firstLine="480" w:firstLineChars="200"/>
              <w:contextualSpacing/>
              <w:rPr>
                <w:rFonts w:ascii="Times New Roman" w:hAnsi="Times New Roman" w:cs="仿宋_GB2312"/>
              </w:rPr>
            </w:pPr>
            <w:r>
              <w:rPr>
                <w:rFonts w:hint="eastAsia" w:ascii="楷体" w:hAnsi="楷体" w:eastAsia="楷体" w:cs="楷体"/>
                <w:bCs/>
                <w:sz w:val="24"/>
                <w:szCs w:val="24"/>
              </w:rPr>
              <w:t>2.跨境电商产业带建设工程。</w:t>
            </w:r>
            <w:r>
              <w:rPr>
                <w:rFonts w:hint="eastAsia" w:ascii="Times New Roman" w:hAnsi="Times New Roman" w:cs="仿宋_GB2312"/>
                <w:sz w:val="24"/>
                <w:szCs w:val="24"/>
              </w:rPr>
              <w:t>依托西峡、唐河食用菌种植、食品加工产业基地，打造食用菌跨境电商产业带。利用卧龙、宛城、桐柏艾草种植基地优势，打造艾制品跨境电商产业带。依托社旗仿真花良好产业基础，改造升级物流园、电商产业园等载体，打造仿真花跨境电商产业带。依托新野、邓州、内乡、镇平服装纺织产业优势，打造服装纺织跨境电商产业带。依托卧龙、方城、南召、淅川汽车零部件、超硬材料等装备制造产业优势，打造装备制造跨境电商产业带。</w:t>
            </w:r>
          </w:p>
        </w:tc>
      </w:tr>
    </w:tbl>
    <w:p>
      <w:pPr>
        <w:spacing w:line="560" w:lineRule="exact"/>
        <w:contextualSpacing/>
        <w:jc w:val="center"/>
        <w:outlineLvl w:val="1"/>
        <w:rPr>
          <w:rFonts w:ascii="楷体_GB2312" w:hAnsi="楷体_GB2312" w:eastAsia="楷体_GB2312" w:cs="楷体_GB2312"/>
        </w:rPr>
      </w:pPr>
      <w:bookmarkStart w:id="1350" w:name="_Toc2104180669"/>
      <w:r>
        <w:rPr>
          <w:rFonts w:hint="eastAsia" w:ascii="楷体_GB2312" w:hAnsi="楷体_GB2312" w:eastAsia="楷体_GB2312" w:cs="楷体_GB2312"/>
        </w:rPr>
        <w:t>第三节 着力提升各类产业载体平台发展能级</w:t>
      </w:r>
      <w:bookmarkEnd w:id="1350"/>
    </w:p>
    <w:p>
      <w:pPr>
        <w:spacing w:line="560" w:lineRule="exact"/>
        <w:ind w:firstLine="640" w:firstLineChars="200"/>
        <w:contextualSpacing/>
        <w:rPr>
          <w:rFonts w:ascii="仿宋_GB2312" w:hAnsi="仿宋_GB2312" w:cs="仿宋_GB2312"/>
        </w:rPr>
      </w:pPr>
      <w:r>
        <w:rPr>
          <w:rFonts w:hint="eastAsia"/>
          <w:bCs/>
          <w:szCs w:val="30"/>
        </w:rPr>
        <w:t>推动各类产业平台联动开放发展。</w:t>
      </w:r>
      <w:r>
        <w:rPr>
          <w:rFonts w:hint="eastAsia" w:ascii="仿宋_GB2312" w:hAnsi="仿宋_GB2312" w:cs="仿宋_GB2312"/>
        </w:rPr>
        <w:t>深化与京津冀、长江中游、长三角、粤港澳大湾区产业合作，</w:t>
      </w:r>
      <w:r>
        <w:rPr>
          <w:rFonts w:hint="eastAsia" w:ascii="Times New Roman" w:hAnsi="Times New Roman" w:cs="仿宋_GB2312"/>
        </w:rPr>
        <w:t>整合各类产业平台资源，</w:t>
      </w:r>
      <w:r>
        <w:rPr>
          <w:rFonts w:hint="eastAsia" w:ascii="仿宋_GB2312" w:hAnsi="仿宋_GB2312" w:cs="仿宋_GB2312"/>
        </w:rPr>
        <w:t>成立产业园区联盟，</w:t>
      </w:r>
      <w:r>
        <w:rPr>
          <w:rFonts w:hint="eastAsia" w:ascii="Times New Roman" w:hAnsi="Times New Roman" w:cs="仿宋_GB2312"/>
        </w:rPr>
        <w:t>探索“产业园区+创新孵化器+产业基金+产业联盟”一体化推进模式，</w:t>
      </w:r>
      <w:r>
        <w:rPr>
          <w:rFonts w:hint="eastAsia" w:ascii="仿宋_GB2312" w:hAnsi="仿宋_GB2312" w:cs="仿宋_GB2312"/>
        </w:rPr>
        <w:t>组建联合招商联盟、联合采购联盟，探索在境外设立工商中心，促进双向投资贸易合作。支持南阳开展公路、铁路、水运、航空多式联运</w:t>
      </w:r>
      <w:r>
        <w:rPr>
          <w:rFonts w:hint="eastAsia" w:ascii="Times New Roman" w:hAnsi="Times New Roman" w:cs="仿宋_GB2312"/>
        </w:rPr>
        <w:t>，推进各产业平台“一单到底，物流全球”开放发展。</w:t>
      </w:r>
      <w:r>
        <w:rPr>
          <w:rFonts w:hint="eastAsia" w:ascii="仿宋_GB2312" w:hAnsi="仿宋_GB2312" w:cs="仿宋_GB2312"/>
        </w:rPr>
        <w:t>围绕食品加工、</w:t>
      </w:r>
      <w:r>
        <w:rPr>
          <w:rFonts w:hint="eastAsia" w:ascii="Times New Roman" w:hAnsi="Times New Roman" w:cs="仿宋_GB2312"/>
        </w:rPr>
        <w:t>生物产业、</w:t>
      </w:r>
      <w:r>
        <w:rPr>
          <w:rFonts w:hint="eastAsia" w:ascii="仿宋_GB2312" w:hAnsi="仿宋_GB2312" w:cs="仿宋_GB2312"/>
        </w:rPr>
        <w:t>跨境电商、高端制造、建筑新材料、数字经济等产业，加快规划一批产业园区</w:t>
      </w:r>
      <w:r>
        <w:rPr>
          <w:rFonts w:hint="eastAsia" w:ascii="Times New Roman" w:hAnsi="Times New Roman" w:cs="仿宋_GB2312"/>
        </w:rPr>
        <w:t>，形成分工明晰、各具特色的产业基地</w:t>
      </w:r>
      <w:r>
        <w:rPr>
          <w:rFonts w:hint="eastAsia" w:ascii="仿宋_GB2312" w:hAnsi="仿宋_GB2312" w:cs="仿宋_GB2312"/>
        </w:rPr>
        <w:t>，鼓励中南钻石、中光学、乐凯华、森霸传感等龙头企业高质量发展，争取引进中科遥感和北斗应用、新能源汽车及总成制造、新型真空玻璃制造等项目</w:t>
      </w:r>
      <w:r>
        <w:rPr>
          <w:rFonts w:hint="eastAsia" w:ascii="Times New Roman" w:hAnsi="Times New Roman" w:cs="仿宋_GB2312"/>
        </w:rPr>
        <w:t>，加强上下游关联产业培育</w:t>
      </w:r>
      <w:r>
        <w:rPr>
          <w:rFonts w:hint="eastAsia" w:ascii="仿宋_GB2312" w:hAnsi="仿宋_GB2312" w:cs="仿宋_GB2312"/>
        </w:rPr>
        <w:t>。</w:t>
      </w:r>
    </w:p>
    <w:p>
      <w:pPr>
        <w:spacing w:line="560" w:lineRule="exact"/>
        <w:ind w:firstLine="640" w:firstLineChars="200"/>
        <w:contextualSpacing/>
        <w:rPr>
          <w:rFonts w:ascii="Times New Roman" w:hAnsi="Times New Roman" w:cs="仿宋_GB2312"/>
        </w:rPr>
      </w:pPr>
      <w:r>
        <w:rPr>
          <w:rFonts w:hint="eastAsia"/>
          <w:bCs/>
          <w:szCs w:val="30"/>
        </w:rPr>
        <w:t>搭建产业发展服务平台。</w:t>
      </w:r>
      <w:r>
        <w:rPr>
          <w:rFonts w:hint="eastAsia" w:ascii="Times New Roman" w:hAnsi="Times New Roman" w:cs="仿宋_GB2312"/>
        </w:rPr>
        <w:t>搭建</w:t>
      </w:r>
      <w:r>
        <w:rPr>
          <w:rFonts w:hint="eastAsia" w:cs="仿宋_GB2312"/>
        </w:rPr>
        <w:t>分工深化、</w:t>
      </w:r>
      <w:r>
        <w:rPr>
          <w:rFonts w:hint="eastAsia" w:ascii="Times New Roman" w:hAnsi="Times New Roman" w:cs="仿宋_GB2312"/>
        </w:rPr>
        <w:t>智能高效、便捷安全的流通交易服务平台，</w:t>
      </w:r>
      <w:r>
        <w:rPr>
          <w:rFonts w:hint="eastAsia" w:cs="仿宋_GB2312"/>
        </w:rPr>
        <w:t>推进监管部门、流通企业、金融服务企业间信息共享</w:t>
      </w:r>
      <w:r>
        <w:rPr>
          <w:rFonts w:hint="eastAsia" w:ascii="Times New Roman" w:hAnsi="Times New Roman" w:cs="仿宋_GB2312"/>
        </w:rPr>
        <w:t>。</w:t>
      </w:r>
      <w:r>
        <w:rPr>
          <w:rFonts w:hint="eastAsia" w:ascii="仿宋_GB2312" w:hAnsi="仿宋_GB2312" w:cs="仿宋_GB2312"/>
        </w:rPr>
        <w:t>围绕建材、冷链食品、装备制造等领域建设一批工业互联网平台，</w:t>
      </w:r>
      <w:r>
        <w:rPr>
          <w:rFonts w:hint="eastAsia" w:ascii="Times New Roman" w:hAnsi="Times New Roman" w:cs="仿宋_GB2312"/>
        </w:rPr>
        <w:t>支持东森医药物流、中商农产品批发、香菜网等电商物流信息平台建设</w:t>
      </w:r>
      <w:r>
        <w:rPr>
          <w:rFonts w:hint="eastAsia" w:cs="仿宋_GB2312"/>
        </w:rPr>
        <w:t>。依托行业协会、专业机构、科研单位等，试点组建集项目合作、企业咨询、人才培训、检测认证、创新转化等于一体的集群发展促进机构。推进县城产业平台公共配套设施建设，新建一批智能标准生产、职业技能培训、仓储集散回收、便企政务服务设施。</w:t>
      </w:r>
    </w:p>
    <w:p>
      <w:pPr>
        <w:pStyle w:val="10"/>
        <w:spacing w:line="560" w:lineRule="exact"/>
        <w:ind w:firstLine="640"/>
        <w:contextualSpacing/>
        <w:rPr>
          <w:rFonts w:ascii="仿宋_GB2312" w:hAnsi="仿宋_GB2312" w:cs="仿宋_GB2312"/>
        </w:rPr>
      </w:pPr>
      <w:r>
        <w:rPr>
          <w:rFonts w:hint="eastAsia"/>
          <w:bCs/>
          <w:szCs w:val="30"/>
        </w:rPr>
        <w:t>提升开发区创新发展能力。</w:t>
      </w:r>
      <w:r>
        <w:rPr>
          <w:rFonts w:hint="eastAsia" w:ascii="仿宋_GB2312" w:hAnsi="仿宋_GB2312" w:cs="仿宋_GB2312"/>
        </w:rPr>
        <w:t>推进开发区“亩产论英雄”改革，建立工业用地“标准地”出让控制性指标体系，推行“标准地+代办制”，探索“标准地+告知承诺制”审批模式。支持开发区与国内外知名研究机构和创新平台等协作，围绕技术创新、产品研发、成果转化、示范推广等实施一批合作项目。加快推动各开发区</w:t>
      </w:r>
      <w:r>
        <w:rPr>
          <w:rFonts w:hint="eastAsia" w:ascii="Times New Roman" w:hAnsi="Times New Roman"/>
        </w:rPr>
        <w:t>5G</w:t>
      </w:r>
      <w:r>
        <w:rPr>
          <w:rFonts w:hint="eastAsia" w:ascii="仿宋_GB2312" w:hAnsi="仿宋_GB2312" w:cs="仿宋_GB2312"/>
        </w:rPr>
        <w:t>基站、大数据中心、人工智能、智能网联汽车等新型基础设施建设布局，力争建设</w:t>
      </w:r>
      <w:r>
        <w:rPr>
          <w:rFonts w:hint="eastAsia" w:ascii="Times New Roman" w:hAnsi="Times New Roman"/>
        </w:rPr>
        <w:t>3</w:t>
      </w:r>
      <w:r>
        <w:rPr>
          <w:rFonts w:hint="eastAsia"/>
        </w:rPr>
        <w:t>~</w:t>
      </w:r>
      <w:r>
        <w:rPr>
          <w:rFonts w:hint="eastAsia" w:ascii="Times New Roman" w:hAnsi="Times New Roman"/>
        </w:rPr>
        <w:t>5</w:t>
      </w:r>
      <w:r>
        <w:rPr>
          <w:rFonts w:hint="eastAsia" w:ascii="仿宋_GB2312" w:hAnsi="仿宋_GB2312" w:cs="仿宋_GB2312"/>
        </w:rPr>
        <w:t>家智能化示范园区。探索</w:t>
      </w:r>
      <w:r>
        <w:rPr>
          <w:rFonts w:hint="eastAsia" w:cs="仿宋_GB2312"/>
        </w:rPr>
        <w:t>建立县（市）产业规划沟通协调机制，以开发区为主体发展飞地经济，共建合作示范产业园区，探索收益分享机制。依托南阳经开区，积极争取建立国际合作产业园</w:t>
      </w:r>
      <w:r>
        <w:rPr>
          <w:rFonts w:hint="eastAsia" w:ascii="仿宋_GB2312" w:hAnsi="仿宋_GB2312" w:cs="仿宋_GB2312"/>
        </w:rPr>
        <w:t>。</w:t>
      </w:r>
    </w:p>
    <w:p>
      <w:pPr>
        <w:pStyle w:val="10"/>
        <w:spacing w:line="560" w:lineRule="exact"/>
        <w:ind w:firstLine="640"/>
        <w:contextualSpacing/>
        <w:rPr>
          <w:rFonts w:ascii="仿宋_GB2312" w:hAnsi="仿宋_GB2312" w:cs="仿宋_GB2312"/>
        </w:rPr>
      </w:pPr>
    </w:p>
    <w:tbl>
      <w:tblPr>
        <w:tblStyle w:val="26"/>
        <w:tblW w:w="0" w:type="auto"/>
        <w:tblInd w:w="9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46" w:hRule="atLeast"/>
        </w:trPr>
        <w:tc>
          <w:tcPr>
            <w:tcW w:w="8854" w:type="dxa"/>
            <w:tcBorders>
              <w:tl2br w:val="nil"/>
              <w:tr2bl w:val="nil"/>
            </w:tcBorders>
            <w:vAlign w:val="center"/>
          </w:tcPr>
          <w:p>
            <w:pPr>
              <w:topLinePunct/>
              <w:spacing w:line="360" w:lineRule="exact"/>
              <w:contextualSpacing/>
              <w:jc w:val="center"/>
              <w:rPr>
                <w:rFonts w:ascii="Times New Roman" w:hAnsi="Times New Roman" w:eastAsia="黑体" w:cs="黑体"/>
              </w:rPr>
            </w:pPr>
            <w:r>
              <w:rPr>
                <w:rFonts w:hint="eastAsia" w:ascii="Times New Roman" w:hAnsi="Times New Roman" w:eastAsia="黑体" w:cs="黑体"/>
                <w:sz w:val="28"/>
                <w:szCs w:val="28"/>
              </w:rPr>
              <w:t>专栏9：开放载体平台提升工程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8854" w:type="dxa"/>
            <w:tcBorders>
              <w:tl2br w:val="nil"/>
              <w:tr2bl w:val="nil"/>
            </w:tcBorders>
          </w:tcPr>
          <w:p>
            <w:pPr>
              <w:topLinePunct/>
              <w:spacing w:line="360" w:lineRule="exact"/>
              <w:ind w:firstLine="480" w:firstLineChars="200"/>
              <w:contextualSpacing/>
              <w:rPr>
                <w:rFonts w:ascii="Times New Roman" w:hAnsi="Times New Roman" w:cs="仿宋_GB2312"/>
                <w:sz w:val="24"/>
                <w:szCs w:val="24"/>
              </w:rPr>
            </w:pPr>
            <w:r>
              <w:rPr>
                <w:rFonts w:hint="eastAsia" w:ascii="楷体" w:hAnsi="楷体" w:eastAsia="楷体" w:cs="楷体"/>
                <w:bCs/>
                <w:sz w:val="24"/>
                <w:szCs w:val="24"/>
              </w:rPr>
              <w:t>1.卧龙综合保税区：</w:t>
            </w:r>
            <w:r>
              <w:rPr>
                <w:rFonts w:hint="eastAsia" w:ascii="Times New Roman" w:hAnsi="Times New Roman" w:cs="仿宋_GB2312"/>
                <w:sz w:val="24"/>
                <w:szCs w:val="24"/>
              </w:rPr>
              <w:t>依托现有基础，强化产业带动，加快申建河南自贸试验区南阳开放创新联动区核心片区、建设南阳跨境电商综试区核心园区，打造集工业制造、商贸物流、总部经济、山水生态及配套服务功能于一体的国际陆港新城。</w:t>
            </w:r>
          </w:p>
          <w:p>
            <w:pPr>
              <w:topLinePunct/>
              <w:spacing w:line="360" w:lineRule="exact"/>
              <w:ind w:firstLine="480" w:firstLineChars="200"/>
              <w:contextualSpacing/>
              <w:rPr>
                <w:rFonts w:ascii="Times New Roman" w:hAnsi="Times New Roman" w:cs="仿宋_GB2312"/>
                <w:sz w:val="24"/>
                <w:szCs w:val="24"/>
              </w:rPr>
            </w:pPr>
            <w:r>
              <w:rPr>
                <w:rFonts w:hint="eastAsia" w:ascii="楷体" w:hAnsi="楷体" w:eastAsia="楷体" w:cs="楷体"/>
                <w:bCs/>
                <w:sz w:val="24"/>
                <w:szCs w:val="24"/>
              </w:rPr>
              <w:t>2.中国（南阳）跨境电子商务综合试验区：</w:t>
            </w:r>
            <w:r>
              <w:rPr>
                <w:rFonts w:hint="eastAsia" w:ascii="Times New Roman" w:hAnsi="Times New Roman" w:cs="仿宋_GB2312"/>
                <w:sz w:val="24"/>
                <w:szCs w:val="24"/>
              </w:rPr>
              <w:t>充分利用 RCEP 等自贸协定，主动对接区域性跨境电商中心城市、全国农产品跨境电商出口示范区、中部地区跨境电商创新创业聚集区建设，带动南阳传统外贸企业转型升级、推动信息技术与传统产业深度融合，加快形成跨境电子商务全产业链“生态圈”，探索“买全球、卖全球”的南阳模式。</w:t>
            </w:r>
          </w:p>
          <w:p>
            <w:pPr>
              <w:topLinePunct/>
              <w:spacing w:line="360" w:lineRule="exact"/>
              <w:ind w:firstLine="480" w:firstLineChars="200"/>
              <w:contextualSpacing/>
            </w:pPr>
            <w:r>
              <w:rPr>
                <w:rFonts w:hint="eastAsia" w:ascii="楷体" w:hAnsi="楷体" w:eastAsia="楷体" w:cs="楷体"/>
                <w:bCs/>
                <w:sz w:val="24"/>
                <w:szCs w:val="24"/>
              </w:rPr>
              <w:t>3.零售进口试点城市：</w:t>
            </w:r>
            <w:r>
              <w:rPr>
                <w:rFonts w:hint="eastAsia" w:ascii="Times New Roman" w:hAnsi="Times New Roman" w:cs="仿宋_GB2312"/>
                <w:sz w:val="24"/>
                <w:szCs w:val="24"/>
              </w:rPr>
              <w:t>积极落实跨境电商零售进口税收政策，提高进口通关便利化水平，积极推动平台为南阳进口贸易服务。鼓励跨境电商龙头企业设立进口商品中心仓，大力发展O2O、网购保税进口+实体“新零售”等新模式，提升各类产业链的配套服务水平，加快建设南阳市进口商品展销中心。</w:t>
            </w:r>
          </w:p>
          <w:p>
            <w:pPr>
              <w:topLinePunct/>
              <w:spacing w:line="360" w:lineRule="exact"/>
              <w:ind w:firstLine="640" w:firstLineChars="200"/>
              <w:contextualSpacing/>
              <w:rPr>
                <w:rFonts w:ascii="Times New Roman" w:hAnsi="Times New Roman" w:cs="仿宋_GB2312"/>
              </w:rPr>
            </w:pPr>
          </w:p>
        </w:tc>
      </w:tr>
    </w:tbl>
    <w:p>
      <w:pPr>
        <w:spacing w:line="560" w:lineRule="exact"/>
        <w:contextualSpacing/>
        <w:jc w:val="center"/>
        <w:outlineLvl w:val="0"/>
        <w:rPr>
          <w:rFonts w:ascii="黑体" w:hAnsi="黑体" w:eastAsia="黑体" w:cs="黑体"/>
        </w:rPr>
      </w:pPr>
      <w:bookmarkStart w:id="1351" w:name="_Toc690255201"/>
      <w:r>
        <w:rPr>
          <w:rFonts w:hint="eastAsia" w:ascii="黑体" w:hAnsi="黑体" w:eastAsia="黑体" w:cs="黑体"/>
        </w:rPr>
        <w:t>第七章 强化金融信用支撑，畅通要素循环</w:t>
      </w:r>
      <w:bookmarkEnd w:id="1351"/>
    </w:p>
    <w:p>
      <w:pPr>
        <w:spacing w:line="560" w:lineRule="exact"/>
        <w:ind w:firstLine="640" w:firstLineChars="200"/>
        <w:contextualSpacing/>
        <w:rPr>
          <w:rFonts w:ascii="仿宋_GB2312" w:hAnsi="仿宋_GB2312" w:cs="仿宋_GB2312"/>
        </w:rPr>
      </w:pPr>
      <w:r>
        <w:rPr>
          <w:rFonts w:hint="eastAsia" w:ascii="仿宋_GB2312" w:hAnsi="仿宋_GB2312" w:cs="仿宋_GB2312"/>
        </w:rPr>
        <w:t>围绕低成本交易和资金安全高效流动需求，加强流通领域金融和信用基础设施建设，为流通企业提供丰富多元的金融产品和服务，营造诚实守信的市场环境，夯实支撑现代流通的软件设施。</w:t>
      </w:r>
    </w:p>
    <w:p>
      <w:pPr>
        <w:spacing w:line="560" w:lineRule="exact"/>
        <w:contextualSpacing/>
        <w:jc w:val="center"/>
        <w:outlineLvl w:val="1"/>
        <w:rPr>
          <w:rFonts w:ascii="楷体_GB2312" w:hAnsi="楷体_GB2312" w:eastAsia="楷体_GB2312" w:cs="楷体_GB2312"/>
        </w:rPr>
      </w:pPr>
      <w:bookmarkStart w:id="1352" w:name="_Toc1255774201"/>
      <w:r>
        <w:rPr>
          <w:rFonts w:hint="eastAsia" w:ascii="楷体_GB2312" w:hAnsi="楷体_GB2312" w:eastAsia="楷体_GB2312" w:cs="楷体_GB2312"/>
        </w:rPr>
        <w:t>第一节 强化流通领域金融服务支撑</w:t>
      </w:r>
      <w:bookmarkEnd w:id="1352"/>
    </w:p>
    <w:p>
      <w:pPr>
        <w:spacing w:line="560" w:lineRule="exact"/>
        <w:ind w:firstLine="640" w:firstLineChars="200"/>
        <w:contextualSpacing/>
        <w:rPr>
          <w:rFonts w:ascii="仿宋_GB2312" w:hAnsi="仿宋_GB2312" w:cs="仿宋_GB2312"/>
        </w:rPr>
      </w:pPr>
      <w:r>
        <w:rPr>
          <w:rFonts w:hint="eastAsia"/>
          <w:bCs/>
          <w:szCs w:val="30"/>
        </w:rPr>
        <w:t>健全流通领域银企合作机制。</w:t>
      </w:r>
      <w:r>
        <w:rPr>
          <w:rFonts w:ascii="仿宋_GB2312" w:hAnsi="仿宋_GB2312" w:cs="仿宋_GB2312"/>
        </w:rPr>
        <w:t>在合法合规、风险可控的前提下，鼓励银行业金融机构</w:t>
      </w:r>
      <w:r>
        <w:rPr>
          <w:rFonts w:hint="eastAsia" w:ascii="仿宋_GB2312" w:hAnsi="仿宋_GB2312" w:cs="仿宋_GB2312"/>
        </w:rPr>
        <w:t>与</w:t>
      </w:r>
      <w:r>
        <w:rPr>
          <w:rFonts w:ascii="仿宋_GB2312" w:hAnsi="仿宋_GB2312" w:cs="仿宋_GB2312"/>
        </w:rPr>
        <w:t>第三方支付机构、跨境电商平台、外贸综合服务企业等开展协同合作，为</w:t>
      </w:r>
      <w:r>
        <w:rPr>
          <w:rFonts w:hint="eastAsia" w:ascii="仿宋_GB2312" w:hAnsi="仿宋_GB2312" w:cs="仿宋_GB2312"/>
        </w:rPr>
        <w:t>流通</w:t>
      </w:r>
      <w:r>
        <w:rPr>
          <w:rFonts w:ascii="仿宋_GB2312" w:hAnsi="仿宋_GB2312" w:cs="仿宋_GB2312"/>
        </w:rPr>
        <w:t>企业提供支付、结算、融资、保险</w:t>
      </w:r>
      <w:r>
        <w:rPr>
          <w:rFonts w:hint="eastAsia" w:ascii="仿宋_GB2312" w:hAnsi="仿宋_GB2312" w:cs="仿宋_GB2312"/>
        </w:rPr>
        <w:t>、退税</w:t>
      </w:r>
      <w:r>
        <w:rPr>
          <w:rFonts w:ascii="仿宋_GB2312" w:hAnsi="仿宋_GB2312" w:cs="仿宋_GB2312"/>
        </w:rPr>
        <w:t>等“一站式”金融服务。支持银行业金融机构开发适合</w:t>
      </w:r>
      <w:r>
        <w:rPr>
          <w:rFonts w:hint="eastAsia" w:ascii="仿宋_GB2312" w:hAnsi="仿宋_GB2312" w:cs="仿宋_GB2312"/>
        </w:rPr>
        <w:t>现代流通发展</w:t>
      </w:r>
      <w:r>
        <w:rPr>
          <w:rFonts w:ascii="仿宋_GB2312" w:hAnsi="仿宋_GB2312" w:cs="仿宋_GB2312"/>
        </w:rPr>
        <w:t>需求的金融产品，为交易背景真实、信用条件较好的</w:t>
      </w:r>
      <w:r>
        <w:rPr>
          <w:rFonts w:hint="eastAsia" w:ascii="仿宋_GB2312" w:hAnsi="仿宋_GB2312" w:cs="仿宋_GB2312"/>
        </w:rPr>
        <w:t>现代流通主体</w:t>
      </w:r>
      <w:r>
        <w:rPr>
          <w:rFonts w:ascii="仿宋_GB2312" w:hAnsi="仿宋_GB2312" w:cs="仿宋_GB2312"/>
        </w:rPr>
        <w:t>提供信用贷款、应收账款融资、出口退税账户质押融资、仓单质押融资、信保保单融资等。引导银行业金融机构与核心企业、政府部门相关系统对接，大力发展基于金融科技为内核的供应链金融服务模式，便捷链上中小微企业的融资服务。支持</w:t>
      </w:r>
      <w:r>
        <w:rPr>
          <w:rFonts w:hint="eastAsia" w:ascii="仿宋_GB2312" w:hAnsi="仿宋_GB2312" w:cs="仿宋_GB2312"/>
        </w:rPr>
        <w:t>银行业</w:t>
      </w:r>
      <w:r>
        <w:rPr>
          <w:rFonts w:ascii="仿宋_GB2312" w:hAnsi="仿宋_GB2312" w:cs="仿宋_GB2312"/>
        </w:rPr>
        <w:t>金融机构和支付机构合作，在政策允许范围内为企业和个人跨境货物贸易、服务贸易提供人民币结算服务。</w:t>
      </w:r>
    </w:p>
    <w:p>
      <w:pPr>
        <w:spacing w:line="560" w:lineRule="exact"/>
        <w:ind w:firstLine="640" w:firstLineChars="200"/>
        <w:contextualSpacing/>
        <w:rPr>
          <w:rFonts w:ascii="仿宋_GB2312" w:hAnsi="仿宋_GB2312" w:cs="仿宋_GB2312"/>
        </w:rPr>
      </w:pPr>
      <w:r>
        <w:rPr>
          <w:rFonts w:hint="eastAsia"/>
          <w:bCs/>
          <w:szCs w:val="30"/>
        </w:rPr>
        <w:t>拓宽流通领域融资渠道。</w:t>
      </w:r>
      <w:r>
        <w:rPr>
          <w:rFonts w:hint="eastAsia" w:ascii="仿宋_GB2312" w:hAnsi="仿宋_GB2312" w:cs="仿宋_GB2312"/>
        </w:rPr>
        <w:t>发挥非银行金融机构作用，</w:t>
      </w:r>
      <w:r>
        <w:rPr>
          <w:rFonts w:ascii="仿宋_GB2312" w:hAnsi="仿宋_GB2312" w:cs="仿宋_GB2312"/>
        </w:rPr>
        <w:t>鼓励</w:t>
      </w:r>
      <w:r>
        <w:rPr>
          <w:rFonts w:hint="eastAsia" w:ascii="仿宋_GB2312" w:hAnsi="仿宋_GB2312" w:cs="仿宋_GB2312"/>
        </w:rPr>
        <w:t>商业保理、</w:t>
      </w:r>
      <w:r>
        <w:rPr>
          <w:rFonts w:ascii="仿宋_GB2312" w:hAnsi="仿宋_GB2312" w:cs="仿宋_GB2312"/>
        </w:rPr>
        <w:t>融资租赁、小额贷款、融资担保</w:t>
      </w:r>
      <w:r>
        <w:rPr>
          <w:rFonts w:hint="eastAsia" w:ascii="仿宋_GB2312" w:hAnsi="仿宋_GB2312" w:cs="仿宋_GB2312"/>
        </w:rPr>
        <w:t>、大宗商品期货交易</w:t>
      </w:r>
      <w:r>
        <w:rPr>
          <w:rFonts w:ascii="仿宋_GB2312" w:hAnsi="仿宋_GB2312" w:cs="仿宋_GB2312"/>
        </w:rPr>
        <w:t>等专业金融机构</w:t>
      </w:r>
      <w:r>
        <w:rPr>
          <w:rFonts w:hint="eastAsia" w:ascii="仿宋_GB2312" w:hAnsi="仿宋_GB2312" w:cs="仿宋_GB2312"/>
        </w:rPr>
        <w:t>在依法合规、风险可控的前提下加大对商贸、交通物流、农村流通等领域的金融支持力度。规范中小企业通过标准化票据融资行为，有序引入债券市场资金，支付上游企业款项。</w:t>
      </w:r>
      <w:r>
        <w:rPr>
          <w:rFonts w:ascii="仿宋_GB2312" w:hAnsi="仿宋_GB2312" w:cs="仿宋_GB2312"/>
        </w:rPr>
        <w:t>引导金融机构规范开展</w:t>
      </w:r>
      <w:r>
        <w:rPr>
          <w:rFonts w:hint="eastAsia" w:ascii="仿宋_GB2312" w:hAnsi="仿宋_GB2312" w:cs="仿宋_GB2312"/>
        </w:rPr>
        <w:t>供应链及流通领域</w:t>
      </w:r>
      <w:r>
        <w:rPr>
          <w:rFonts w:ascii="仿宋_GB2312" w:hAnsi="仿宋_GB2312" w:cs="仿宋_GB2312"/>
        </w:rPr>
        <w:t>相关的资产证券化、提供资管产品等表外融资服务。</w:t>
      </w:r>
      <w:r>
        <w:rPr>
          <w:rFonts w:hint="eastAsia" w:ascii="仿宋_GB2312" w:hAnsi="仿宋_GB2312" w:cs="仿宋_GB2312"/>
          <w:kern w:val="0"/>
          <w:lang w:bidi="ar"/>
        </w:rPr>
        <w:t>支持符合条件的流通企业上市挂牌直接融资，</w:t>
      </w:r>
      <w:r>
        <w:rPr>
          <w:rFonts w:hint="eastAsia" w:ascii="仿宋_GB2312" w:hAnsi="仿宋_GB2312" w:cs="仿宋_GB2312"/>
        </w:rPr>
        <w:t>引导</w:t>
      </w:r>
      <w:r>
        <w:rPr>
          <w:rFonts w:ascii="仿宋_GB2312" w:hAnsi="仿宋_GB2312" w:cs="仿宋_GB2312"/>
        </w:rPr>
        <w:t>有条件的企业基于真实交易场景，根据需要</w:t>
      </w:r>
      <w:r>
        <w:rPr>
          <w:rFonts w:hint="eastAsia" w:ascii="仿宋_GB2312" w:hAnsi="仿宋_GB2312" w:cs="仿宋_GB2312"/>
        </w:rPr>
        <w:t>利用</w:t>
      </w:r>
      <w:r>
        <w:rPr>
          <w:rFonts w:ascii="仿宋_GB2312" w:hAnsi="仿宋_GB2312" w:cs="仿宋_GB2312"/>
        </w:rPr>
        <w:t>企业债、金融债、公司债等直接债务融资工具满足融资需要。</w:t>
      </w:r>
    </w:p>
    <w:p>
      <w:pPr>
        <w:spacing w:line="560" w:lineRule="exact"/>
        <w:ind w:firstLine="640" w:firstLineChars="200"/>
        <w:contextualSpacing/>
      </w:pPr>
      <w:r>
        <w:rPr>
          <w:rFonts w:hint="eastAsia"/>
          <w:bCs/>
          <w:szCs w:val="30"/>
        </w:rPr>
        <w:t>构建流通领域金融服务生态。</w:t>
      </w:r>
      <w:r>
        <w:rPr>
          <w:rFonts w:hint="eastAsia" w:ascii="仿宋" w:hAnsi="仿宋" w:cs="仿宋"/>
          <w:lang w:bidi="zh-CN"/>
        </w:rPr>
        <w:t>借助</w:t>
      </w:r>
      <w:r>
        <w:rPr>
          <w:rFonts w:hint="eastAsia" w:ascii="仿宋" w:hAnsi="仿宋" w:cs="仿宋"/>
          <w:lang w:val="zh-CN" w:bidi="zh-CN"/>
        </w:rPr>
        <w:t>“招金入宛”</w:t>
      </w:r>
      <w:r>
        <w:rPr>
          <w:rFonts w:hint="eastAsia" w:ascii="仿宋" w:hAnsi="仿宋" w:cs="仿宋"/>
        </w:rPr>
        <w:t>工程，鼓励基金、证券、投资公司等各类金融机构在宛设立分支机构，根据流通行业生产周期、产品属性、融资特点创新金融产品，开展供应链金融业务。充分发挥财政资金引导作用，建立健全相关配套制度，有序推进</w:t>
      </w:r>
      <w:r>
        <w:rPr>
          <w:rFonts w:ascii="仿宋_GB2312" w:hAnsi="仿宋_GB2312" w:cs="仿宋_GB2312"/>
        </w:rPr>
        <w:t>设立各类流通领域发展基金。</w:t>
      </w:r>
      <w:r>
        <w:rPr>
          <w:rFonts w:hint="eastAsia" w:ascii="仿宋_GB2312" w:hAnsi="仿宋_GB2312" w:cs="仿宋_GB2312"/>
        </w:rPr>
        <w:t>建立流通领域融资项目库，梳理龙头流通企业、重点建设项目等金融需求。引导保险机构继续完善流通领域货物运输等保险服务，丰富对流通各环节的保险供给，为流通领域提供更精准的保险保障。</w:t>
      </w:r>
      <w:r>
        <w:rPr>
          <w:rFonts w:hint="eastAsia" w:ascii="仿宋" w:hAnsi="仿宋" w:cs="仿宋"/>
        </w:rPr>
        <w:t>积极发展数字金融、绿色金融、科技金融等新业态，</w:t>
      </w:r>
      <w:r>
        <w:rPr>
          <w:rFonts w:ascii="仿宋_GB2312" w:hAnsi="仿宋_GB2312" w:cs="仿宋_GB2312"/>
        </w:rPr>
        <w:t>引进培育各类股权投资基金、创业投资基金及私募基金，加大全市流通领域项目投资。</w:t>
      </w:r>
      <w:r>
        <w:rPr>
          <w:rFonts w:hint="eastAsia" w:ascii="仿宋_GB2312" w:hAnsi="仿宋_GB2312" w:cs="仿宋_GB2312"/>
        </w:rPr>
        <w:t>创新融资服务产品，建立供应链服务平台，探索流通领域金融服务新方案，优化平台企业收费，降低流通交易成本，解决企业融资难题。</w:t>
      </w:r>
    </w:p>
    <w:p>
      <w:pPr>
        <w:spacing w:line="560" w:lineRule="exact"/>
        <w:contextualSpacing/>
        <w:jc w:val="center"/>
        <w:outlineLvl w:val="1"/>
        <w:rPr>
          <w:rFonts w:ascii="楷体_GB2312" w:hAnsi="楷体_GB2312" w:eastAsia="楷体_GB2312" w:cs="楷体_GB2312"/>
        </w:rPr>
      </w:pPr>
      <w:bookmarkStart w:id="1353" w:name="_Toc930367525"/>
      <w:r>
        <w:rPr>
          <w:rFonts w:hint="eastAsia" w:ascii="楷体_GB2312" w:hAnsi="楷体_GB2312" w:eastAsia="楷体_GB2312" w:cs="楷体_GB2312"/>
        </w:rPr>
        <w:t>第二节 强化流通领域信用体系建设</w:t>
      </w:r>
      <w:bookmarkEnd w:id="1353"/>
    </w:p>
    <w:p>
      <w:pPr>
        <w:spacing w:line="560" w:lineRule="exact"/>
        <w:ind w:firstLine="640" w:firstLineChars="200"/>
        <w:contextualSpacing/>
        <w:rPr>
          <w:rFonts w:ascii="仿宋_GB2312" w:hAnsi="仿宋_GB2312" w:cs="仿宋_GB2312"/>
        </w:rPr>
      </w:pPr>
      <w:r>
        <w:rPr>
          <w:rFonts w:hint="eastAsia"/>
          <w:bCs/>
          <w:szCs w:val="30"/>
        </w:rPr>
        <w:t>推进流通信用信息归集共享。</w:t>
      </w:r>
      <w:r>
        <w:rPr>
          <w:rFonts w:hint="eastAsia" w:ascii="仿宋_GB2312" w:hAnsi="仿宋_GB2312" w:cs="仿宋_GB2312"/>
        </w:rPr>
        <w:t>强化流通信用信息归集整合，收集流通领域各类信用主体的全信息数据，进一步归集市场监管、税务、海关、交通运输等领域流通信用信息，完善相关数据库，推动各类信息互联互通。充分借助大数据互联网公开信息，多维度汇集流通活动中产生的信用信息，拓展信用数据整合范围。推动流通信用信息开放共享，加强流通领域信用信息开放共享，将事前承诺、事中评价分类、事后激励约束融入现代流通体系建设全过程。</w:t>
      </w:r>
    </w:p>
    <w:p>
      <w:pPr>
        <w:spacing w:line="560" w:lineRule="exact"/>
        <w:ind w:firstLine="640" w:firstLineChars="200"/>
        <w:contextualSpacing/>
        <w:rPr>
          <w:rFonts w:ascii="仿宋_GB2312" w:hAnsi="仿宋_GB2312" w:cs="仿宋_GB2312"/>
        </w:rPr>
      </w:pPr>
      <w:r>
        <w:rPr>
          <w:rFonts w:hint="eastAsia"/>
          <w:bCs/>
          <w:szCs w:val="30"/>
        </w:rPr>
        <w:t>加快完善重要产品追溯体系。</w:t>
      </w:r>
      <w:r>
        <w:rPr>
          <w:rFonts w:hint="eastAsia" w:ascii="仿宋_GB2312" w:hAnsi="仿宋_GB2312" w:cs="仿宋_GB2312"/>
        </w:rPr>
        <w:t>加强追溯数据分析和成果应用，畅通追溯信息公共查询通道，鼓励行业协会、第三方机构等依法依规建立重要产品追溯系统，推动与国家、省重要产品追溯管理平台、企业及第三方追溯平台对接和数据共享。督促平台企业承担商品质量、食品安全保障等责任。开展农产品、中药材、食品药品、玉器、大宗商品等重要产品追溯标准化工作，制定追溯体系重要产品和企业名录，实行动态化目录管理。以卧龙综合保税区、跨境电商企业为重点，健全重要产品追溯数据信息，探索推进跨境电子商务、零售进出口等领域重要产品全流程可追溯体系和质量标识制度体系。鼓励追溯体系建设主体面向社会公众提供追溯信息查询服务，增强商业化增值应用，加强追溯数据安全保障和商业秘密保护。</w:t>
      </w:r>
    </w:p>
    <w:p>
      <w:pPr>
        <w:spacing w:line="560" w:lineRule="exact"/>
        <w:ind w:firstLine="640" w:firstLineChars="200"/>
        <w:contextualSpacing/>
        <w:rPr>
          <w:rFonts w:ascii="仿宋_GB2312" w:hAnsi="仿宋_GB2312" w:cs="仿宋_GB2312"/>
        </w:rPr>
      </w:pPr>
      <w:r>
        <w:rPr>
          <w:rFonts w:hint="eastAsia"/>
          <w:bCs/>
          <w:szCs w:val="30"/>
        </w:rPr>
        <w:t>健全流通领域信用监管机制。</w:t>
      </w:r>
      <w:r>
        <w:rPr>
          <w:rFonts w:hint="eastAsia" w:ascii="仿宋_GB2312" w:hAnsi="仿宋_GB2312" w:cs="仿宋_GB2312"/>
        </w:rPr>
        <w:t>巩固社会信用体系建设示范区建设成果，进一步完善流通领域信用信息采集、利用、查询、披露等制度，推动行业管理部门、行业组织和征信机构、银行业金融机构等信息共享，构建以信用监管为基础的新型监管模式。围绕流通领域行政许可、备案和证明事项等环节，提升信用承诺标准化规范化水平，加强对承诺市场主体信用状况的事中事后核查，将信用承诺书及履约状况纳入市场主体信用记录。鼓励市场主体主动向社会作出信用承诺，支持协会商会建立健全行业信用承诺制度，强化行业自律。探索开展第三方机构主导的市场主体公共信用综合评价和信用风险分级分类管理，在流通领域更多行业和部门实施以信用为基础的差别化监管措施。建立健全守信激励和失信联合惩戒机制，加大诚信企业示范宣传和典型失信案件曝光力度，增强市场主体信用意识和契约精神，切实落实经营者主体责任。健全信用修复机制，鼓励失信主体消除不良影响，重塑良好信用。</w:t>
      </w:r>
    </w:p>
    <w:tbl>
      <w:tblPr>
        <w:tblStyle w:val="26"/>
        <w:tblW w:w="0" w:type="auto"/>
        <w:tblInd w:w="9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46" w:hRule="atLeast"/>
        </w:trPr>
        <w:tc>
          <w:tcPr>
            <w:tcW w:w="8854" w:type="dxa"/>
            <w:tcBorders>
              <w:tl2br w:val="nil"/>
              <w:tr2bl w:val="nil"/>
            </w:tcBorders>
            <w:vAlign w:val="center"/>
          </w:tcPr>
          <w:p>
            <w:pPr>
              <w:topLinePunct/>
              <w:spacing w:line="360" w:lineRule="exact"/>
              <w:contextualSpacing/>
              <w:jc w:val="center"/>
              <w:rPr>
                <w:rFonts w:ascii="Times New Roman" w:hAnsi="Times New Roman" w:eastAsia="黑体" w:cs="黑体"/>
              </w:rPr>
            </w:pPr>
            <w:r>
              <w:rPr>
                <w:rFonts w:hint="eastAsia" w:ascii="Times New Roman" w:hAnsi="Times New Roman" w:eastAsia="黑体" w:cs="黑体"/>
                <w:sz w:val="28"/>
                <w:szCs w:val="28"/>
              </w:rPr>
              <w:t>专栏10：流通领域金融信用建设工程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854" w:type="dxa"/>
            <w:tcBorders>
              <w:tl2br w:val="nil"/>
              <w:tr2bl w:val="nil"/>
            </w:tcBorders>
          </w:tcPr>
          <w:p>
            <w:pPr>
              <w:topLinePunct/>
              <w:spacing w:line="360" w:lineRule="exact"/>
              <w:ind w:firstLine="480" w:firstLineChars="200"/>
              <w:contextualSpacing/>
              <w:rPr>
                <w:rFonts w:ascii="Times New Roman" w:hAnsi="Times New Roman" w:cs="仿宋_GB2312"/>
                <w:sz w:val="24"/>
                <w:szCs w:val="24"/>
              </w:rPr>
            </w:pPr>
            <w:r>
              <w:rPr>
                <w:rFonts w:hint="eastAsia" w:ascii="楷体" w:hAnsi="楷体" w:eastAsia="楷体" w:cs="楷体"/>
                <w:bCs/>
                <w:sz w:val="24"/>
                <w:szCs w:val="24"/>
              </w:rPr>
              <w:t>1.流通领域企业上市促进行动。</w:t>
            </w:r>
            <w:r>
              <w:rPr>
                <w:rFonts w:hint="eastAsia" w:ascii="Times New Roman" w:hAnsi="Times New Roman" w:cs="仿宋_GB2312"/>
                <w:sz w:val="24"/>
                <w:szCs w:val="24"/>
              </w:rPr>
              <w:t>探索建立流通领域上市企业培育库，支持有能力的本地流通企业在境内外证券交易所上市或在新三板、中原股交中心挂牌融资。对上市融资的流通企业，进行财税奖励和奖补。</w:t>
            </w:r>
          </w:p>
          <w:p>
            <w:pPr>
              <w:topLinePunct/>
              <w:spacing w:line="360" w:lineRule="exact"/>
              <w:ind w:firstLine="480" w:firstLineChars="200"/>
              <w:contextualSpacing/>
              <w:rPr>
                <w:rFonts w:ascii="Times New Roman" w:hAnsi="Times New Roman" w:cs="仿宋_GB2312"/>
                <w:sz w:val="24"/>
                <w:szCs w:val="24"/>
              </w:rPr>
            </w:pPr>
            <w:r>
              <w:rPr>
                <w:rFonts w:hint="eastAsia" w:ascii="楷体" w:hAnsi="楷体" w:eastAsia="楷体" w:cs="楷体"/>
                <w:bCs/>
                <w:sz w:val="24"/>
                <w:szCs w:val="24"/>
              </w:rPr>
              <w:t>2.流通领域“信易贷”推广行动。</w:t>
            </w:r>
            <w:r>
              <w:rPr>
                <w:rFonts w:hint="eastAsia" w:ascii="Times New Roman" w:hAnsi="Times New Roman" w:cs="仿宋_GB2312"/>
                <w:sz w:val="24"/>
                <w:szCs w:val="24"/>
              </w:rPr>
              <w:t>更大范围推广实施“信易贷”模式，支持各地设立“信易贷”专项风险缓释基金或风险补偿金，打造流通领域“信易贷”特色品牌，扩大中小微流通企业信用贷款规模，加大对农村电商、智慧物流等领域信贷支持力度。</w:t>
            </w:r>
          </w:p>
          <w:p>
            <w:pPr>
              <w:topLinePunct/>
              <w:spacing w:line="360" w:lineRule="exact"/>
              <w:ind w:firstLine="480" w:firstLineChars="200"/>
              <w:contextualSpacing/>
              <w:rPr>
                <w:rFonts w:ascii="Times New Roman" w:hAnsi="Times New Roman" w:cs="仿宋_GB2312"/>
                <w:sz w:val="24"/>
                <w:szCs w:val="24"/>
              </w:rPr>
            </w:pPr>
            <w:r>
              <w:rPr>
                <w:rFonts w:hint="eastAsia" w:ascii="楷体" w:hAnsi="楷体" w:eastAsia="楷体" w:cs="楷体"/>
                <w:bCs/>
                <w:sz w:val="24"/>
                <w:szCs w:val="24"/>
              </w:rPr>
              <w:t>3.流通信用信息归集共享行动。</w:t>
            </w:r>
            <w:r>
              <w:rPr>
                <w:rFonts w:hint="eastAsia" w:ascii="Times New Roman" w:hAnsi="Times New Roman" w:cs="仿宋_GB2312"/>
                <w:sz w:val="24"/>
                <w:szCs w:val="24"/>
              </w:rPr>
              <w:t>依托南阳市信用信息共享平台，进一步归集市场监管、税务、海关等领域信用信息，完善相关数据库，推动产品生产信息、消费流通信息、质量追溯信息互联互通。推动信用服务领域供给侧改革，培育一批专业化、特色化信用骨干服务机构。</w:t>
            </w:r>
          </w:p>
          <w:p>
            <w:pPr>
              <w:topLinePunct/>
              <w:spacing w:line="360" w:lineRule="exact"/>
              <w:ind w:firstLine="480" w:firstLineChars="200"/>
              <w:contextualSpacing/>
              <w:rPr>
                <w:rFonts w:ascii="Times New Roman" w:hAnsi="Times New Roman" w:cs="仿宋_GB2312"/>
              </w:rPr>
            </w:pPr>
            <w:r>
              <w:rPr>
                <w:rFonts w:hint="eastAsia" w:ascii="楷体" w:hAnsi="楷体" w:eastAsia="楷体" w:cs="楷体"/>
                <w:bCs/>
                <w:sz w:val="24"/>
                <w:szCs w:val="24"/>
              </w:rPr>
              <w:t>4.重要产品追溯体系建设行动。</w:t>
            </w:r>
            <w:r>
              <w:rPr>
                <w:rFonts w:hint="eastAsia" w:ascii="Times New Roman" w:hAnsi="Times New Roman" w:cs="仿宋_GB2312"/>
                <w:sz w:val="24"/>
                <w:szCs w:val="24"/>
              </w:rPr>
              <w:t>加快推进香菇、生猪、月季、玉器、中药材、煤炭等重要产品追溯体系建设，加强重点产品追溯信息服务和质量安全，有序扩大追溯管理范围，逐步将供应链上下游企业纳入追溯体系，建立来源可追、去向可查、责任可究的全程可追溯体系。</w:t>
            </w:r>
          </w:p>
        </w:tc>
      </w:tr>
    </w:tbl>
    <w:p>
      <w:pPr>
        <w:spacing w:line="560" w:lineRule="exact"/>
        <w:contextualSpacing/>
        <w:jc w:val="center"/>
        <w:outlineLvl w:val="0"/>
        <w:rPr>
          <w:rFonts w:ascii="黑体" w:hAnsi="黑体" w:eastAsia="黑体" w:cs="黑体"/>
        </w:rPr>
      </w:pPr>
      <w:bookmarkStart w:id="1354" w:name="_Toc1428125669"/>
      <w:r>
        <w:rPr>
          <w:rFonts w:hint="eastAsia" w:ascii="黑体" w:hAnsi="黑体" w:eastAsia="黑体" w:cs="黑体"/>
        </w:rPr>
        <w:t>第八章 优化流通发展环境，提升流通治理能力</w:t>
      </w:r>
      <w:bookmarkEnd w:id="1354"/>
    </w:p>
    <w:p>
      <w:pPr>
        <w:spacing w:line="560" w:lineRule="exact"/>
        <w:ind w:firstLine="640" w:firstLineChars="200"/>
        <w:contextualSpacing/>
      </w:pPr>
      <w:r>
        <w:rPr>
          <w:rFonts w:hint="eastAsia"/>
        </w:rPr>
        <w:t>围绕建设</w:t>
      </w:r>
      <w:r>
        <w:rPr>
          <w:rFonts w:hint="eastAsia" w:ascii="Times New Roman" w:hAnsi="Times New Roman" w:cs="仿宋_GB2312"/>
        </w:rPr>
        <w:t>主体活跃、产业繁荣、内联外通、绿色智慧、安全高效的现代流通体系</w:t>
      </w:r>
      <w:r>
        <w:rPr>
          <w:rFonts w:hint="eastAsia"/>
        </w:rPr>
        <w:t>，深化流通领域“放管服效”改革，进一步激发各类市场主体活力，营造市场化、法治化、制度化的现代流通发展环境，不断提升流通治理能力。</w:t>
      </w:r>
    </w:p>
    <w:p>
      <w:pPr>
        <w:spacing w:line="560" w:lineRule="exact"/>
        <w:contextualSpacing/>
        <w:jc w:val="center"/>
        <w:outlineLvl w:val="1"/>
        <w:rPr>
          <w:rFonts w:ascii="楷体_GB2312" w:hAnsi="楷体_GB2312" w:eastAsia="楷体_GB2312" w:cs="楷体_GB2312"/>
        </w:rPr>
      </w:pPr>
      <w:bookmarkStart w:id="1355" w:name="_Toc520685457"/>
      <w:r>
        <w:rPr>
          <w:rFonts w:hint="eastAsia" w:ascii="楷体_GB2312" w:hAnsi="楷体_GB2312" w:eastAsia="楷体_GB2312" w:cs="楷体_GB2312"/>
        </w:rPr>
        <w:t>第一节 推进流通标准化发展</w:t>
      </w:r>
      <w:bookmarkEnd w:id="1355"/>
    </w:p>
    <w:p>
      <w:pPr>
        <w:spacing w:line="560" w:lineRule="exact"/>
        <w:ind w:firstLine="640" w:firstLineChars="200"/>
        <w:contextualSpacing/>
        <w:rPr>
          <w:rFonts w:ascii="仿宋_GB2312"/>
          <w:kern w:val="0"/>
          <w:shd w:val="clear" w:color="auto" w:fill="FFFFFF"/>
        </w:rPr>
      </w:pPr>
      <w:r>
        <w:rPr>
          <w:rFonts w:hint="eastAsia"/>
          <w:bCs/>
        </w:rPr>
        <w:t>加强商贸物流标准化。</w:t>
      </w:r>
      <w:r>
        <w:rPr>
          <w:rFonts w:hint="eastAsia" w:ascii="仿宋_GB2312"/>
          <w:kern w:val="0"/>
          <w:shd w:val="clear" w:color="auto" w:fill="FFFFFF"/>
        </w:rPr>
        <w:t>支持商贸物流设施资源开放共享，加快社会化的标准托盘循环共用体系建设，加快推进仓储、加工、分拣、配送等流程服务标准化。在商贸物流行业中推广使用国家统一物品编码、电子条码、电子二维码、电子标签（</w:t>
      </w:r>
      <w:r>
        <w:rPr>
          <w:rFonts w:hint="eastAsia" w:ascii="Times New Roman" w:hAnsi="Times New Roman"/>
          <w:kern w:val="0"/>
          <w:shd w:val="clear" w:color="auto" w:fill="FFFFFF"/>
        </w:rPr>
        <w:t>RFID</w:t>
      </w:r>
      <w:r>
        <w:rPr>
          <w:rFonts w:hint="eastAsia" w:ascii="仿宋_GB2312"/>
          <w:kern w:val="0"/>
          <w:shd w:val="clear" w:color="auto" w:fill="FFFFFF"/>
        </w:rPr>
        <w:t>）以及自动识别、货物跟踪、智能交通、物联网等先进技术，支持物流企业开发应用内部信息管理系统，提高企业信息化管理水平。推广标准化装载单元，实行包装标准化，发展单元化物流。开展商贸流通和物流设备设施标准化试点，加快企业标准向行业标准、国家标准、地方标准转化，培育一批商贸物流标准化试点企业。</w:t>
      </w:r>
    </w:p>
    <w:p>
      <w:pPr>
        <w:spacing w:line="560" w:lineRule="exact"/>
        <w:ind w:firstLine="640" w:firstLineChars="200"/>
        <w:contextualSpacing/>
        <w:rPr>
          <w:rFonts w:ascii="仿宋_GB2312"/>
          <w:kern w:val="0"/>
          <w:shd w:val="clear" w:color="auto" w:fill="FFFFFF"/>
        </w:rPr>
      </w:pPr>
      <w:r>
        <w:rPr>
          <w:rFonts w:hint="eastAsia"/>
          <w:bCs/>
        </w:rPr>
        <w:t>加强农产品流通标准化。</w:t>
      </w:r>
      <w:r>
        <w:rPr>
          <w:rFonts w:hint="eastAsia" w:ascii="Times New Roman" w:hAnsi="Times New Roman"/>
        </w:rPr>
        <w:t>推动现代农业产品流通基础设施标准化，</w:t>
      </w:r>
      <w:r>
        <w:rPr>
          <w:rFonts w:hint="eastAsia" w:ascii="仿宋_GB2312"/>
          <w:kern w:val="0"/>
          <w:shd w:val="clear" w:color="auto" w:fill="FFFFFF"/>
        </w:rPr>
        <w:t>加快</w:t>
      </w:r>
      <w:r>
        <w:rPr>
          <w:rFonts w:ascii="仿宋_GB2312"/>
          <w:kern w:val="0"/>
          <w:shd w:val="clear" w:color="auto" w:fill="FFFFFF"/>
        </w:rPr>
        <w:t>农产品仓储、转运设施和运输工具标准化改造，</w:t>
      </w:r>
      <w:r>
        <w:rPr>
          <w:rFonts w:hint="eastAsia" w:ascii="Times New Roman" w:hAnsi="Times New Roman"/>
        </w:rPr>
        <w:t>建设一批能满足消费需求的标准化现代流通基础设施。引导农产品市场标准化，</w:t>
      </w:r>
      <w:r>
        <w:rPr>
          <w:rFonts w:hint="eastAsia" w:ascii="仿宋_GB2312"/>
          <w:kern w:val="0"/>
          <w:shd w:val="clear" w:color="auto" w:fill="FFFFFF"/>
        </w:rPr>
        <w:t>鼓励农产品批发市场开展绿色市场认证、环境及质量体系认证，支持农产品批发市场设立标准化销售专区，推进农产品质量等级化、包装规格化、标识规范化。引导农业龙头企业、农民专业合作社及农户按照农产品准入标准实行标准化生产，保证上市农产品的质量和安全，并通过分级销售实现农产品优质优价，促进农民增收。</w:t>
      </w:r>
    </w:p>
    <w:p>
      <w:pPr>
        <w:spacing w:line="560" w:lineRule="exact"/>
        <w:ind w:firstLine="640" w:firstLineChars="200"/>
        <w:contextualSpacing/>
        <w:rPr>
          <w:rFonts w:ascii="仿宋_GB2312" w:hAnsi="仿宋_GB2312" w:cs="仿宋_GB2312"/>
          <w:kern w:val="0"/>
          <w:shd w:val="clear" w:color="auto" w:fill="FFFFFF"/>
        </w:rPr>
      </w:pPr>
      <w:r>
        <w:rPr>
          <w:rFonts w:hint="eastAsia"/>
          <w:bCs/>
        </w:rPr>
        <w:t>推动交通运输标准化。</w:t>
      </w:r>
      <w:r>
        <w:rPr>
          <w:rFonts w:hint="eastAsia" w:ascii="仿宋_GB2312" w:hAnsi="仿宋_GB2312" w:cs="仿宋_GB2312"/>
          <w:kern w:val="0"/>
          <w:shd w:val="clear" w:color="auto" w:fill="FFFFFF"/>
        </w:rPr>
        <w:t>以“一单制”</w:t>
      </w:r>
      <w:r>
        <w:rPr>
          <w:rFonts w:ascii="仿宋_GB2312"/>
          <w:kern w:val="0"/>
          <w:shd w:val="clear" w:color="auto" w:fill="FFFFFF"/>
        </w:rPr>
        <w:t>的运输制度</w:t>
      </w:r>
      <w:r>
        <w:rPr>
          <w:rFonts w:hint="eastAsia" w:ascii="仿宋_GB2312"/>
          <w:kern w:val="0"/>
          <w:shd w:val="clear" w:color="auto" w:fill="FFFFFF"/>
        </w:rPr>
        <w:t>为核心</w:t>
      </w:r>
      <w:r>
        <w:rPr>
          <w:rFonts w:ascii="仿宋_GB2312"/>
          <w:kern w:val="0"/>
          <w:shd w:val="clear" w:color="auto" w:fill="FFFFFF"/>
        </w:rPr>
        <w:t>，强化交通、仓储、装卸</w:t>
      </w:r>
      <w:r>
        <w:rPr>
          <w:rFonts w:hint="eastAsia" w:ascii="仿宋_GB2312"/>
          <w:kern w:val="0"/>
          <w:shd w:val="clear" w:color="auto" w:fill="FFFFFF"/>
        </w:rPr>
        <w:t>各个</w:t>
      </w:r>
      <w:r>
        <w:rPr>
          <w:rFonts w:ascii="仿宋_GB2312"/>
          <w:kern w:val="0"/>
          <w:shd w:val="clear" w:color="auto" w:fill="FFFFFF"/>
        </w:rPr>
        <w:t>环节</w:t>
      </w:r>
      <w:r>
        <w:rPr>
          <w:rFonts w:hint="eastAsia" w:ascii="仿宋_GB2312"/>
          <w:kern w:val="0"/>
          <w:shd w:val="clear" w:color="auto" w:fill="FFFFFF"/>
        </w:rPr>
        <w:t>的</w:t>
      </w:r>
      <w:r>
        <w:rPr>
          <w:rFonts w:ascii="仿宋_GB2312"/>
          <w:kern w:val="0"/>
          <w:shd w:val="clear" w:color="auto" w:fill="FFFFFF"/>
        </w:rPr>
        <w:t>对接，推</w:t>
      </w:r>
      <w:r>
        <w:rPr>
          <w:rFonts w:hint="eastAsia" w:ascii="仿宋_GB2312"/>
          <w:kern w:val="0"/>
          <w:shd w:val="clear" w:color="auto" w:fill="FFFFFF"/>
        </w:rPr>
        <w:t>动交通运输体系</w:t>
      </w:r>
      <w:r>
        <w:rPr>
          <w:rFonts w:ascii="仿宋_GB2312"/>
          <w:kern w:val="0"/>
          <w:shd w:val="clear" w:color="auto" w:fill="FFFFFF"/>
        </w:rPr>
        <w:t>标准化</w:t>
      </w:r>
      <w:r>
        <w:rPr>
          <w:rFonts w:hint="eastAsia" w:ascii="仿宋_GB2312"/>
          <w:kern w:val="0"/>
          <w:shd w:val="clear" w:color="auto" w:fill="FFFFFF"/>
        </w:rPr>
        <w:t>，实现</w:t>
      </w:r>
      <w:r>
        <w:rPr>
          <w:rFonts w:ascii="仿宋_GB2312"/>
          <w:kern w:val="0"/>
          <w:shd w:val="clear" w:color="auto" w:fill="FFFFFF"/>
        </w:rPr>
        <w:t>一站托运、一次收费、一单到底</w:t>
      </w:r>
      <w:r>
        <w:rPr>
          <w:rFonts w:hint="eastAsia" w:ascii="仿宋_GB2312"/>
          <w:kern w:val="0"/>
          <w:shd w:val="clear" w:color="auto" w:fill="FFFFFF"/>
        </w:rPr>
        <w:t>的</w:t>
      </w:r>
      <w:r>
        <w:rPr>
          <w:rFonts w:hint="eastAsia" w:ascii="仿宋_GB2312" w:hAnsi="仿宋_GB2312" w:cs="仿宋_GB2312"/>
          <w:kern w:val="0"/>
          <w:shd w:val="clear" w:color="auto" w:fill="FFFFFF"/>
        </w:rPr>
        <w:t>“一单制”运输模式。</w:t>
      </w:r>
      <w:r>
        <w:rPr>
          <w:rFonts w:hint="eastAsia" w:ascii="仿宋_GB2312" w:cs="仿宋"/>
        </w:rPr>
        <w:t>以推进标准化托盘循环共用为切入点，不断提高标准托盘普及率</w:t>
      </w:r>
      <w:r>
        <w:rPr>
          <w:rFonts w:hint="eastAsia" w:ascii="仿宋_GB2312" w:hAnsi="仿宋_GB2312" w:cs="仿宋_GB2312"/>
          <w:kern w:val="0"/>
          <w:shd w:val="clear" w:color="auto" w:fill="FFFFFF"/>
        </w:rPr>
        <w:t>支持企业更新应用集装化、标准化、模块化货运车辆，提高公路集装箱货车、厢式货车使用比率。全面推行货物电子标签制度，对整箱、整车等标准化货物单元统一赋码，推进全链条对接、全过程追踪。选择大型货运场站、重点物流园区、龙头交通运输企业开展标准化试点。</w:t>
      </w:r>
    </w:p>
    <w:tbl>
      <w:tblPr>
        <w:tblStyle w:val="26"/>
        <w:tblW w:w="0" w:type="auto"/>
        <w:tblInd w:w="9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6" w:hRule="atLeast"/>
        </w:trPr>
        <w:tc>
          <w:tcPr>
            <w:tcW w:w="8854" w:type="dxa"/>
            <w:tcBorders>
              <w:tl2br w:val="nil"/>
              <w:tr2bl w:val="nil"/>
            </w:tcBorders>
            <w:vAlign w:val="center"/>
          </w:tcPr>
          <w:p>
            <w:pPr>
              <w:topLinePunct/>
              <w:spacing w:line="360" w:lineRule="exact"/>
              <w:contextualSpacing/>
              <w:jc w:val="center"/>
              <w:rPr>
                <w:rFonts w:ascii="Times New Roman" w:hAnsi="Times New Roman" w:eastAsia="黑体" w:cs="黑体"/>
              </w:rPr>
            </w:pPr>
            <w:r>
              <w:rPr>
                <w:rFonts w:hint="eastAsia" w:ascii="Times New Roman" w:hAnsi="Times New Roman" w:eastAsia="黑体" w:cs="黑体"/>
                <w:sz w:val="28"/>
                <w:szCs w:val="28"/>
              </w:rPr>
              <w:t>专栏11：现代</w:t>
            </w:r>
            <w:r>
              <w:rPr>
                <w:rFonts w:hint="eastAsia" w:ascii="黑体" w:hAnsi="黑体" w:eastAsia="黑体" w:cs="黑体"/>
                <w:sz w:val="28"/>
                <w:szCs w:val="28"/>
              </w:rPr>
              <w:t>流通体系标准化建设工程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854" w:type="dxa"/>
            <w:tcBorders>
              <w:tl2br w:val="nil"/>
              <w:tr2bl w:val="nil"/>
            </w:tcBorders>
          </w:tcPr>
          <w:p>
            <w:pPr>
              <w:topLinePunct/>
              <w:spacing w:line="360" w:lineRule="exact"/>
              <w:ind w:firstLine="480" w:firstLineChars="200"/>
              <w:contextualSpacing/>
              <w:rPr>
                <w:rFonts w:ascii="Times New Roman" w:hAnsi="Times New Roman" w:cs="仿宋_GB2312"/>
                <w:sz w:val="24"/>
                <w:szCs w:val="24"/>
              </w:rPr>
            </w:pPr>
            <w:r>
              <w:rPr>
                <w:rFonts w:hint="eastAsia" w:ascii="楷体" w:hAnsi="楷体" w:eastAsia="楷体" w:cs="楷体"/>
                <w:bCs/>
                <w:sz w:val="24"/>
                <w:szCs w:val="24"/>
              </w:rPr>
              <w:t>1.商贸流通标准化专项行动。</w:t>
            </w:r>
            <w:r>
              <w:rPr>
                <w:rFonts w:hint="eastAsia" w:ascii="Times New Roman" w:hAnsi="Times New Roman" w:cs="仿宋_GB2312"/>
                <w:sz w:val="24"/>
                <w:szCs w:val="24"/>
              </w:rPr>
              <w:t>聚集农产品流通、商品交易市场、电子商务、跨境电商、新兴消费品等商贸流通重点领域，推行标准化试点工作加快流通体系标准化建设，到2025年，国家、行业推荐性标准执行率不低于70%，力争成功创建一批国家级和省级商贸流通标准化试点企业，培育一批商贸物流标准化示范企业（园区、机构）。</w:t>
            </w:r>
          </w:p>
          <w:p>
            <w:pPr>
              <w:topLinePunct/>
              <w:spacing w:line="360" w:lineRule="exact"/>
              <w:ind w:firstLine="480" w:firstLineChars="200"/>
              <w:contextualSpacing/>
              <w:rPr>
                <w:rFonts w:ascii="Times New Roman" w:hAnsi="Times New Roman" w:cs="仿宋_GB2312"/>
                <w:sz w:val="24"/>
                <w:szCs w:val="24"/>
              </w:rPr>
            </w:pPr>
            <w:r>
              <w:rPr>
                <w:rFonts w:hint="eastAsia" w:ascii="楷体" w:hAnsi="楷体" w:eastAsia="楷体" w:cs="楷体"/>
                <w:bCs/>
                <w:sz w:val="24"/>
                <w:szCs w:val="24"/>
              </w:rPr>
              <w:t>2.农产品冷链物流标准化示范工程。</w:t>
            </w:r>
            <w:r>
              <w:rPr>
                <w:rFonts w:hint="eastAsia" w:ascii="Times New Roman" w:hAnsi="Times New Roman" w:cs="仿宋_GB2312"/>
                <w:sz w:val="24"/>
                <w:szCs w:val="24"/>
              </w:rPr>
              <w:t>推行符合标准的质量安全认证制度和市场准入制度，开展水果、生鲜、禽蛋、熟食、豆制品、蔬菜、副食、地方土特产等重点农产品冷链流通标准化示范，培育一批农产品冷链流通标准化示范企业。</w:t>
            </w:r>
          </w:p>
          <w:p>
            <w:pPr>
              <w:topLinePunct/>
              <w:spacing w:line="360" w:lineRule="exact"/>
              <w:ind w:firstLine="480" w:firstLineChars="200"/>
              <w:contextualSpacing/>
              <w:rPr>
                <w:rFonts w:ascii="Times New Roman" w:hAnsi="Times New Roman" w:cs="仿宋_GB2312"/>
              </w:rPr>
            </w:pPr>
            <w:r>
              <w:rPr>
                <w:rFonts w:hint="eastAsia" w:ascii="楷体" w:hAnsi="楷体" w:eastAsia="楷体" w:cs="楷体"/>
                <w:bCs/>
                <w:sz w:val="24"/>
                <w:szCs w:val="24"/>
              </w:rPr>
              <w:t>3.交通运输标准化建设行动。</w:t>
            </w:r>
            <w:r>
              <w:rPr>
                <w:rFonts w:hint="eastAsia" w:ascii="Times New Roman" w:hAnsi="Times New Roman" w:cs="仿宋_GB2312"/>
                <w:sz w:val="24"/>
                <w:szCs w:val="24"/>
              </w:rPr>
              <w:t>加快运输工具、载运装备、设施体系等交通运输标准对接和系统运作，推动“一单制”运输模式建设。在智慧高速公路建设、四好农村路、绿色交通等领域推广实施相关国家级和省级地方标准。</w:t>
            </w:r>
          </w:p>
        </w:tc>
      </w:tr>
    </w:tbl>
    <w:p>
      <w:pPr>
        <w:spacing w:line="560" w:lineRule="exact"/>
        <w:contextualSpacing/>
        <w:jc w:val="center"/>
        <w:outlineLvl w:val="1"/>
        <w:rPr>
          <w:rFonts w:ascii="楷体_GB2312" w:hAnsi="楷体_GB2312" w:eastAsia="楷体_GB2312" w:cs="楷体_GB2312"/>
        </w:rPr>
      </w:pPr>
      <w:bookmarkStart w:id="1356" w:name="_Toc380079424"/>
      <w:r>
        <w:rPr>
          <w:rFonts w:hint="eastAsia" w:ascii="楷体_GB2312" w:hAnsi="楷体_GB2312" w:eastAsia="楷体_GB2312" w:cs="楷体_GB2312"/>
        </w:rPr>
        <w:t>第二节 推进流通绿色化发展</w:t>
      </w:r>
      <w:bookmarkEnd w:id="1356"/>
    </w:p>
    <w:p>
      <w:pPr>
        <w:spacing w:line="560" w:lineRule="exact"/>
        <w:ind w:firstLine="640" w:firstLineChars="200"/>
        <w:contextualSpacing/>
        <w:rPr>
          <w:rFonts w:ascii="仿宋_GB2312"/>
          <w:shd w:val="clear" w:color="auto" w:fill="FFFFFF"/>
        </w:rPr>
      </w:pPr>
      <w:r>
        <w:rPr>
          <w:rFonts w:hint="eastAsia"/>
          <w:bCs/>
        </w:rPr>
        <w:t>加快商贸流通领域绿色转型。</w:t>
      </w:r>
      <w:r>
        <w:rPr>
          <w:rFonts w:hint="eastAsia" w:ascii="仿宋_GB2312"/>
          <w:shd w:val="clear" w:color="auto" w:fill="FFFFFF"/>
        </w:rPr>
        <w:t>加大商贸设施节能改造力度，推广应用新型节能设备，提高商贸领域节能减排水平。引导绿色生产，推动绿色产品和技术认证，支持流通企业与绿色商品生产企业对接，丰富绿色消费品生产，打造绿色低碳供应链。</w:t>
      </w:r>
      <w:r>
        <w:rPr>
          <w:rFonts w:hint="eastAsia" w:ascii="仿宋_GB2312"/>
          <w:bCs/>
          <w:shd w:val="clear" w:color="auto" w:fill="FFFFFF"/>
        </w:rPr>
        <w:t>鼓励在物流园区、大型仓储设施应用绿色建筑材料、节能装备等节能管理模式，推广使用绿色包材和循环包装。推进绿色企业平台建设，严格监控企业固、液、气污染物排放指标，限制高污染、高消耗设备的销售和使用，</w:t>
      </w:r>
      <w:r>
        <w:rPr>
          <w:rFonts w:hint="eastAsia" w:ascii="仿宋_GB2312"/>
          <w:shd w:val="clear" w:color="auto" w:fill="FFFFFF"/>
        </w:rPr>
        <w:t>在耗水量大的行业，推行节水、节能、环保技术和装备。加快绿色消费平台建设，引导传统百货商场、交易市场、宾馆酒店向绿色商场、绿色市场、绿色饭店转型。促进再生资源绿色循环，积极探索再生资源回收</w:t>
      </w:r>
      <w:r>
        <w:rPr>
          <w:rFonts w:ascii="仿宋_GB2312"/>
          <w:shd w:val="clear" w:color="auto" w:fill="FFFFFF"/>
        </w:rPr>
        <w:t>+</w:t>
      </w:r>
      <w:r>
        <w:rPr>
          <w:rFonts w:hint="eastAsia" w:ascii="仿宋_GB2312"/>
          <w:shd w:val="clear" w:color="auto" w:fill="FFFFFF"/>
        </w:rPr>
        <w:t>互联网，加大黄标车淘汰力度，促进报废汽车回收拆解和综合利用。</w:t>
      </w:r>
    </w:p>
    <w:p>
      <w:pPr>
        <w:spacing w:line="560" w:lineRule="exact"/>
        <w:ind w:firstLine="640" w:firstLineChars="200"/>
        <w:contextualSpacing/>
        <w:rPr>
          <w:rFonts w:ascii="仿宋_GB2312"/>
          <w:shd w:val="clear" w:color="auto" w:fill="FFFFFF"/>
        </w:rPr>
      </w:pPr>
      <w:r>
        <w:rPr>
          <w:rFonts w:hint="eastAsia"/>
          <w:bCs/>
        </w:rPr>
        <w:t>提高物流运输绿色化水平。</w:t>
      </w:r>
      <w:r>
        <w:rPr>
          <w:rFonts w:hint="eastAsia" w:ascii="仿宋_GB2312" w:hAnsi="仿宋_GB2312" w:cs="仿宋_GB2312"/>
          <w:kern w:val="0"/>
          <w:shd w:val="clear" w:color="auto" w:fill="FFFFFF"/>
        </w:rPr>
        <w:t>发挥各类交通互补优势，促进运输结构优化调整，推进</w:t>
      </w:r>
      <w:r>
        <w:rPr>
          <w:kern w:val="0"/>
          <w:shd w:val="clear" w:color="auto" w:fill="FFFFFF"/>
        </w:rPr>
        <w:t>矿石、钢铁等大宗物资及集装箱</w:t>
      </w:r>
      <w:r>
        <w:rPr>
          <w:rFonts w:hint="eastAsia" w:ascii="仿宋_GB2312" w:hAnsi="仿宋_GB2312" w:cs="仿宋_GB2312"/>
          <w:kern w:val="0"/>
          <w:shd w:val="clear" w:color="auto" w:fill="FFFFFF"/>
        </w:rPr>
        <w:t>中长距离运输向铁路、水运转移，</w:t>
      </w:r>
      <w:r>
        <w:rPr>
          <w:kern w:val="0"/>
          <w:shd w:val="clear" w:color="auto" w:fill="FFFFFF"/>
        </w:rPr>
        <w:t>提高水运</w:t>
      </w:r>
      <w:r>
        <w:rPr>
          <w:rFonts w:hint="eastAsia"/>
          <w:kern w:val="0"/>
          <w:shd w:val="clear" w:color="auto" w:fill="FFFFFF"/>
        </w:rPr>
        <w:t>和铁路运输</w:t>
      </w:r>
      <w:r>
        <w:rPr>
          <w:kern w:val="0"/>
          <w:shd w:val="clear" w:color="auto" w:fill="FFFFFF"/>
        </w:rPr>
        <w:t>在综合运输中的承运比重</w:t>
      </w:r>
      <w:r>
        <w:rPr>
          <w:rFonts w:hint="eastAsia" w:ascii="仿宋_GB2312" w:hAnsi="仿宋_GB2312" w:cs="仿宋_GB2312"/>
          <w:kern w:val="0"/>
          <w:shd w:val="clear" w:color="auto" w:fill="FFFFFF"/>
        </w:rPr>
        <w:t>。</w:t>
      </w:r>
      <w:r>
        <w:rPr>
          <w:rFonts w:hint="eastAsia" w:ascii="Times New Roman" w:hAnsi="Times New Roman"/>
        </w:rPr>
        <w:t>推动新能源交通体系建设，</w:t>
      </w:r>
      <w:r>
        <w:rPr>
          <w:rFonts w:hint="eastAsia" w:ascii="仿宋_GB2312"/>
          <w:shd w:val="clear" w:color="auto" w:fill="FFFFFF"/>
        </w:rPr>
        <w:t>大力发展专业化公路货车车型和节能环保船舶，</w:t>
      </w:r>
      <w:r>
        <w:rPr>
          <w:rFonts w:hint="eastAsia" w:ascii="Times New Roman" w:hAnsi="Times New Roman"/>
        </w:rPr>
        <w:t>鼓励发展以清洁能源为主的交通运输。完善绿色流通运输服务体系，倡导低碳环保的运输模式，促进绿色流通设施建设，构建低环境负荷的循环物流系统。</w:t>
      </w:r>
      <w:r>
        <w:rPr>
          <w:rFonts w:hint="eastAsia" w:ascii="仿宋_GB2312"/>
          <w:shd w:val="clear" w:color="auto" w:fill="FFFFFF"/>
        </w:rPr>
        <w:t>引导物流企业增强节能环保意识，广泛应用绿色环保的新型物流技术和装备，适用新能源物流车辆、铁路集装箱等低能耗低排放运输工具和节能型绿色仓储设施。</w:t>
      </w:r>
    </w:p>
    <w:tbl>
      <w:tblPr>
        <w:tblStyle w:val="26"/>
        <w:tblW w:w="0" w:type="auto"/>
        <w:tblInd w:w="9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6" w:hRule="atLeast"/>
        </w:trPr>
        <w:tc>
          <w:tcPr>
            <w:tcW w:w="8854" w:type="dxa"/>
            <w:tcBorders>
              <w:tl2br w:val="nil"/>
              <w:tr2bl w:val="nil"/>
            </w:tcBorders>
            <w:vAlign w:val="center"/>
          </w:tcPr>
          <w:p>
            <w:pPr>
              <w:topLinePunct/>
              <w:spacing w:line="360" w:lineRule="exact"/>
              <w:contextualSpacing/>
              <w:jc w:val="center"/>
              <w:rPr>
                <w:rFonts w:ascii="Times New Roman" w:hAnsi="Times New Roman" w:eastAsia="黑体" w:cs="黑体"/>
              </w:rPr>
            </w:pPr>
            <w:r>
              <w:rPr>
                <w:rFonts w:hint="eastAsia" w:ascii="Times New Roman" w:hAnsi="Times New Roman" w:eastAsia="黑体" w:cs="黑体"/>
                <w:sz w:val="28"/>
                <w:szCs w:val="28"/>
              </w:rPr>
              <w:t>专栏12：</w:t>
            </w:r>
            <w:r>
              <w:rPr>
                <w:rFonts w:hint="eastAsia" w:ascii="黑体" w:hAnsi="黑体" w:eastAsia="黑体" w:cs="黑体"/>
                <w:sz w:val="28"/>
                <w:szCs w:val="28"/>
              </w:rPr>
              <w:t>流通体系绿色化发展工程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854" w:type="dxa"/>
            <w:tcBorders>
              <w:tl2br w:val="nil"/>
              <w:tr2bl w:val="nil"/>
            </w:tcBorders>
          </w:tcPr>
          <w:p>
            <w:pPr>
              <w:topLinePunct/>
              <w:spacing w:line="360" w:lineRule="exact"/>
              <w:ind w:firstLine="480" w:firstLineChars="200"/>
              <w:contextualSpacing/>
              <w:rPr>
                <w:rFonts w:ascii="仿宋_GB2312" w:cs="仿宋_GB2312"/>
                <w:kern w:val="0"/>
                <w:sz w:val="24"/>
                <w:szCs w:val="24"/>
                <w:lang w:bidi="ar"/>
              </w:rPr>
            </w:pPr>
            <w:r>
              <w:rPr>
                <w:rFonts w:hint="eastAsia" w:ascii="楷体" w:hAnsi="楷体" w:eastAsia="楷体" w:cs="楷体"/>
                <w:bCs/>
                <w:sz w:val="24"/>
                <w:szCs w:val="24"/>
              </w:rPr>
              <w:t>1.商贸企业绿色化转型工程。</w:t>
            </w:r>
            <w:r>
              <w:rPr>
                <w:rFonts w:hint="eastAsia" w:ascii="仿宋_GB2312" w:cs="仿宋_GB2312"/>
                <w:kern w:val="0"/>
                <w:sz w:val="24"/>
                <w:szCs w:val="24"/>
                <w:lang w:bidi="ar"/>
              </w:rPr>
              <w:t>引导流通企业扩大绿色商品采购和销售，加强设施设备绿色低碳化改造，开展绿色企业和绿色商场创建活动，培育一批集节能改造和节能产品销售于一体的绿色流通企业。</w:t>
            </w:r>
            <w:r>
              <w:rPr>
                <w:rFonts w:hint="eastAsia" w:ascii="仿宋_GB2312" w:cs="仿宋_GB2312"/>
                <w:bCs/>
                <w:kern w:val="0"/>
                <w:sz w:val="24"/>
                <w:szCs w:val="24"/>
                <w:lang w:bidi="ar"/>
              </w:rPr>
              <w:t>培育一批专业化逆向物流服务企业，提高回收物品的收集、分拣、加工、搬运、仓储、包装、维修等管理水平。</w:t>
            </w:r>
          </w:p>
          <w:p>
            <w:pPr>
              <w:topLinePunct/>
              <w:spacing w:line="360" w:lineRule="exact"/>
              <w:ind w:firstLine="480" w:firstLineChars="200"/>
              <w:contextualSpacing/>
              <w:rPr>
                <w:rFonts w:ascii="Times New Roman" w:hAnsi="Times New Roman" w:cs="仿宋_GB2312"/>
              </w:rPr>
            </w:pPr>
            <w:r>
              <w:rPr>
                <w:rFonts w:hint="eastAsia" w:ascii="楷体" w:hAnsi="楷体" w:eastAsia="楷体" w:cs="楷体"/>
                <w:bCs/>
                <w:sz w:val="24"/>
                <w:szCs w:val="24"/>
              </w:rPr>
              <w:t>2.交通运输绿色化转型工程。</w:t>
            </w:r>
            <w:r>
              <w:rPr>
                <w:rFonts w:hint="eastAsia" w:ascii="仿宋_GB2312" w:cs="仿宋_GB2312"/>
                <w:kern w:val="0"/>
                <w:sz w:val="24"/>
                <w:szCs w:val="24"/>
                <w:lang w:bidi="ar"/>
              </w:rPr>
              <w:t>全面淘汰老旧车、黄标车，限制高污染、高耗能机动车的销售和使用。加快发展清洁绿色运输装备，扩大新能源和清洁能源车辆的应用领域，</w:t>
            </w:r>
            <w:r>
              <w:rPr>
                <w:rFonts w:hint="eastAsia"/>
                <w:bCs/>
                <w:kern w:val="0"/>
                <w:sz w:val="24"/>
                <w:szCs w:val="24"/>
                <w:lang w:bidi="ar"/>
              </w:rPr>
              <w:t>推广新能源物流配送车辆</w:t>
            </w:r>
            <w:r>
              <w:rPr>
                <w:rFonts w:hint="eastAsia" w:ascii="仿宋_GB2312" w:cs="仿宋_GB2312"/>
                <w:kern w:val="0"/>
                <w:sz w:val="24"/>
                <w:szCs w:val="24"/>
                <w:lang w:bidi="ar"/>
              </w:rPr>
              <w:t>，构建以低排放车、新能源车为主的短途货运系统</w:t>
            </w:r>
            <w:r>
              <w:rPr>
                <w:rFonts w:hint="eastAsia"/>
                <w:bCs/>
                <w:kern w:val="0"/>
                <w:sz w:val="24"/>
                <w:szCs w:val="24"/>
                <w:lang w:bidi="ar"/>
              </w:rPr>
              <w:t>。到</w:t>
            </w:r>
            <w:r>
              <w:rPr>
                <w:rFonts w:hint="eastAsia" w:ascii="Times New Roman" w:hAnsi="Times New Roman"/>
                <w:bCs/>
                <w:kern w:val="0"/>
                <w:sz w:val="24"/>
                <w:szCs w:val="24"/>
                <w:lang w:bidi="ar"/>
              </w:rPr>
              <w:t>2025</w:t>
            </w:r>
            <w:r>
              <w:rPr>
                <w:rFonts w:hint="eastAsia"/>
                <w:bCs/>
                <w:kern w:val="0"/>
                <w:sz w:val="24"/>
                <w:szCs w:val="24"/>
                <w:lang w:bidi="ar"/>
              </w:rPr>
              <w:t>年，力争节能型环保型营运客货车占比达到</w:t>
            </w:r>
            <w:r>
              <w:rPr>
                <w:rFonts w:hint="eastAsia" w:ascii="Times New Roman" w:hAnsi="Times New Roman"/>
                <w:bCs/>
                <w:kern w:val="0"/>
                <w:sz w:val="24"/>
                <w:szCs w:val="24"/>
                <w:lang w:bidi="ar"/>
              </w:rPr>
              <w:t>10</w:t>
            </w:r>
            <w:r>
              <w:rPr>
                <w:rFonts w:ascii="Times New Roman" w:hAnsi="Times New Roman"/>
                <w:bCs/>
                <w:kern w:val="0"/>
                <w:sz w:val="24"/>
                <w:szCs w:val="24"/>
                <w:lang w:bidi="ar"/>
              </w:rPr>
              <w:t>%</w:t>
            </w:r>
            <w:r>
              <w:rPr>
                <w:rFonts w:hint="eastAsia"/>
                <w:bCs/>
                <w:kern w:val="0"/>
                <w:sz w:val="24"/>
                <w:szCs w:val="24"/>
                <w:lang w:bidi="ar"/>
              </w:rPr>
              <w:t>，客货运车辆单位运输周转量能耗大幅下降。</w:t>
            </w:r>
          </w:p>
        </w:tc>
      </w:tr>
    </w:tbl>
    <w:p>
      <w:pPr>
        <w:spacing w:line="560" w:lineRule="exact"/>
        <w:contextualSpacing/>
        <w:jc w:val="center"/>
        <w:outlineLvl w:val="1"/>
        <w:rPr>
          <w:rFonts w:ascii="楷体_GB2312" w:hAnsi="楷体_GB2312" w:eastAsia="楷体_GB2312" w:cs="楷体_GB2312"/>
        </w:rPr>
      </w:pPr>
      <w:bookmarkStart w:id="1357" w:name="_Toc2066403245"/>
      <w:r>
        <w:rPr>
          <w:rFonts w:hint="eastAsia" w:ascii="楷体_GB2312" w:hAnsi="楷体_GB2312" w:eastAsia="楷体_GB2312" w:cs="楷体_GB2312"/>
        </w:rPr>
        <w:t>第三节 推进流通智能化发展</w:t>
      </w:r>
      <w:bookmarkEnd w:id="1357"/>
    </w:p>
    <w:p>
      <w:pPr>
        <w:spacing w:line="560" w:lineRule="exact"/>
        <w:ind w:firstLine="640" w:firstLineChars="200"/>
        <w:contextualSpacing/>
        <w:rPr>
          <w:rFonts w:ascii="仿宋_GB2312"/>
          <w:bCs/>
          <w:shd w:val="clear" w:color="auto" w:fill="FFFFFF"/>
        </w:rPr>
      </w:pPr>
      <w:r>
        <w:rPr>
          <w:rFonts w:hint="eastAsia"/>
          <w:bCs/>
        </w:rPr>
        <w:t>推进交通智能化发展。</w:t>
      </w:r>
      <w:r>
        <w:rPr>
          <w:rFonts w:hint="eastAsia"/>
        </w:rPr>
        <w:t>推动高速公路、普通公路、农村公路数字化转型，加快构建数字化的采集体系、网络化的传输体系和智能化的应用体系，</w:t>
      </w:r>
      <w:r>
        <w:rPr>
          <w:rFonts w:hint="eastAsia" w:ascii="仿宋_GB2312"/>
          <w:bCs/>
          <w:shd w:val="clear" w:color="auto" w:fill="FFFFFF"/>
        </w:rPr>
        <w:t>实现规划、设计、建造、养护、运行管理等全要素全周期数字化，提升智能化管理水平。完善智能流通网络云平台建设，</w:t>
      </w:r>
      <w:r>
        <w:rPr>
          <w:rFonts w:hint="eastAsia"/>
        </w:rPr>
        <w:t>在重要隧道、桥梁、长大下坡、事故多发路段等</w:t>
      </w:r>
      <w:r>
        <w:rPr>
          <w:rFonts w:hint="eastAsia" w:ascii="仿宋_GB2312"/>
          <w:bCs/>
          <w:shd w:val="clear" w:color="auto" w:fill="FFFFFF"/>
        </w:rPr>
        <w:t>关键地段</w:t>
      </w:r>
      <w:r>
        <w:rPr>
          <w:rFonts w:hint="eastAsia"/>
        </w:rPr>
        <w:t>部署主动感知、预警和控制系统</w:t>
      </w:r>
      <w:r>
        <w:rPr>
          <w:rFonts w:hint="eastAsia" w:ascii="仿宋_GB2312"/>
          <w:bCs/>
          <w:shd w:val="clear" w:color="auto" w:fill="FFFFFF"/>
        </w:rPr>
        <w:t>，提升智能化服务水平和应急管理水平</w:t>
      </w:r>
      <w:r>
        <w:rPr>
          <w:rFonts w:hint="eastAsia"/>
        </w:rPr>
        <w:t>。推进全市航道、港口、库区、船闸航运枢纽、渡口等数字化监测设施建设。</w:t>
      </w:r>
      <w:r>
        <w:rPr>
          <w:rFonts w:hint="eastAsia" w:ascii="仿宋_GB2312"/>
          <w:bCs/>
          <w:shd w:val="clear" w:color="auto" w:fill="FFFFFF"/>
        </w:rPr>
        <w:t>规划打造基于城市智能流通系统的城市“交通大脑”，强化部门、行业间的协调联动，完善流通信息服务平台，实现流通体系全面感知、智能分析、合理统筹。</w:t>
      </w:r>
    </w:p>
    <w:p>
      <w:pPr>
        <w:spacing w:line="560" w:lineRule="exact"/>
        <w:ind w:firstLine="640" w:firstLineChars="200"/>
        <w:contextualSpacing/>
      </w:pPr>
      <w:r>
        <w:rPr>
          <w:rFonts w:hint="eastAsia"/>
          <w:bCs/>
        </w:rPr>
        <w:t>推动物流智能化创新。</w:t>
      </w:r>
      <w:r>
        <w:rPr>
          <w:rFonts w:hint="eastAsia" w:ascii="Times New Roman" w:hAnsi="Times New Roman"/>
        </w:rPr>
        <w:t>采用专业化、智能化、自动化技术，促进传统物流园区、物流中心、物流中转站等物流设施、设备的升级改造，打造数字化、智能化的物流设施网络。推进无人配送车、自动分</w:t>
      </w:r>
      <w:r>
        <w:rPr>
          <w:rFonts w:hint="eastAsia"/>
        </w:rPr>
        <w:t>拣</w:t>
      </w:r>
      <w:r>
        <w:rPr>
          <w:rFonts w:hint="eastAsia" w:ascii="Times New Roman" w:hAnsi="Times New Roman"/>
        </w:rPr>
        <w:t>机、机械臂、无人机等高端设备，以及决策树、大数据、云平台、云计算等技术在物流智能化建设中的应用，加强无接触式配送服务设施建设。</w:t>
      </w:r>
      <w:r>
        <w:rPr>
          <w:rFonts w:hint="eastAsia"/>
        </w:rPr>
        <w:t>推广应用物联网、射频识别、机器人等技术、设备，完善智慧物流配送调配体系，建设智能仓储系统。</w:t>
      </w:r>
      <w:r>
        <w:rPr>
          <w:rFonts w:hint="eastAsia" w:ascii="Times New Roman" w:hAnsi="Times New Roman"/>
        </w:rPr>
        <w:t>鼓励网络货运、车货匹配、智能航运等“互联网+货运物流”新模式发展。探索搭建城市冷链智慧公共配送平台，整合冷链运力资源，动态优化城市配送路径，提升城市冷链配送效率。</w:t>
      </w:r>
    </w:p>
    <w:p>
      <w:pPr>
        <w:spacing w:line="560" w:lineRule="exact"/>
        <w:ind w:firstLine="640" w:firstLineChars="200"/>
        <w:contextualSpacing/>
      </w:pPr>
      <w:r>
        <w:rPr>
          <w:rFonts w:hint="eastAsia"/>
          <w:bCs/>
        </w:rPr>
        <w:t>促进商贸智能化提升。</w:t>
      </w:r>
      <w:r>
        <w:rPr>
          <w:rFonts w:hint="eastAsia"/>
        </w:rPr>
        <w:t>探索构建线上线下融合发展的体验式智慧商圈，促进商圈内不同经营模式和业态优势互补、信息互联互通、消费客户资源共享，提高商圈内资源整合能力和消费集聚水平。鼓励零售企业利用互联网技术推进实体店铺数字化改造，增强店面场景化、立体化、智能化展示功能，开展全渠道营销。</w:t>
      </w:r>
      <w:r>
        <w:rPr>
          <w:rFonts w:hint="eastAsia" w:ascii="Times New Roman" w:hAnsi="Times New Roman"/>
        </w:rPr>
        <w:t>鼓励有实力的电子商务企业以品牌为支撑，充分利用互联网平台的优势，增设线下定点体验店，推广实体店铺产品的立体化展示，利用VR、AR等技术，提升用户体验质量。</w:t>
      </w:r>
      <w:r>
        <w:rPr>
          <w:rFonts w:hint="eastAsia"/>
        </w:rPr>
        <w:t>积极开发虚拟现实、现实增强等人工智能新技术新服务，大力推广可穿戴、生活服务机器人等智能化产品，提高智能化产品和服务的供给能力。</w:t>
      </w:r>
    </w:p>
    <w:tbl>
      <w:tblPr>
        <w:tblStyle w:val="26"/>
        <w:tblW w:w="0" w:type="auto"/>
        <w:tblInd w:w="9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6" w:hRule="atLeast"/>
        </w:trPr>
        <w:tc>
          <w:tcPr>
            <w:tcW w:w="8854" w:type="dxa"/>
            <w:tcBorders>
              <w:tl2br w:val="nil"/>
              <w:tr2bl w:val="nil"/>
            </w:tcBorders>
            <w:vAlign w:val="center"/>
          </w:tcPr>
          <w:p>
            <w:pPr>
              <w:topLinePunct/>
              <w:spacing w:line="360" w:lineRule="exact"/>
              <w:contextualSpacing/>
              <w:jc w:val="center"/>
              <w:rPr>
                <w:rFonts w:ascii="Times New Roman" w:hAnsi="Times New Roman" w:eastAsia="黑体" w:cs="黑体"/>
              </w:rPr>
            </w:pPr>
            <w:r>
              <w:rPr>
                <w:rFonts w:hint="eastAsia" w:ascii="Times New Roman" w:hAnsi="Times New Roman" w:eastAsia="黑体" w:cs="黑体"/>
                <w:sz w:val="28"/>
                <w:szCs w:val="28"/>
              </w:rPr>
              <w:t>专栏13：</w:t>
            </w:r>
            <w:r>
              <w:rPr>
                <w:rFonts w:hint="eastAsia" w:ascii="黑体" w:hAnsi="黑体" w:eastAsia="黑体" w:cs="黑体"/>
                <w:sz w:val="28"/>
                <w:szCs w:val="28"/>
              </w:rPr>
              <w:t>流通体系智能化提升工程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854" w:type="dxa"/>
            <w:tcBorders>
              <w:tl2br w:val="nil"/>
              <w:tr2bl w:val="nil"/>
            </w:tcBorders>
          </w:tcPr>
          <w:p>
            <w:pPr>
              <w:topLinePunct/>
              <w:spacing w:line="360" w:lineRule="exact"/>
              <w:ind w:firstLine="480" w:firstLineChars="200"/>
              <w:contextualSpacing/>
              <w:rPr>
                <w:rFonts w:ascii="Times New Roman" w:hAnsi="Times New Roman" w:cs="仿宋_GB2312"/>
                <w:sz w:val="24"/>
                <w:szCs w:val="24"/>
              </w:rPr>
            </w:pPr>
            <w:r>
              <w:rPr>
                <w:rFonts w:hint="eastAsia" w:ascii="楷体" w:hAnsi="楷体" w:eastAsia="楷体" w:cs="楷体"/>
                <w:bCs/>
                <w:sz w:val="24"/>
                <w:szCs w:val="24"/>
              </w:rPr>
              <w:t>1.智慧交通建设示范工程。</w:t>
            </w:r>
            <w:r>
              <w:rPr>
                <w:rFonts w:hint="eastAsia" w:ascii="Times New Roman" w:hAnsi="Times New Roman" w:cs="仿宋_GB2312"/>
                <w:sz w:val="24"/>
                <w:szCs w:val="24"/>
              </w:rPr>
              <w:t>推广大数据算法、5G、人工智能、北斗导航、遥感、地理信息系统等技术在交通运输领域应用，推动新建设施感知系统与基础设施同步规划、同步建设，实现公、铁、空、水等各种运输方式间的信息交换共享，保障综合运输协同有序运行。</w:t>
            </w:r>
          </w:p>
          <w:p>
            <w:pPr>
              <w:topLinePunct/>
              <w:spacing w:line="360" w:lineRule="exact"/>
              <w:ind w:firstLine="480" w:firstLineChars="200"/>
              <w:contextualSpacing/>
              <w:rPr>
                <w:rFonts w:ascii="Times New Roman" w:hAnsi="Times New Roman" w:cs="仿宋_GB2312"/>
                <w:sz w:val="24"/>
                <w:szCs w:val="24"/>
              </w:rPr>
            </w:pPr>
            <w:r>
              <w:rPr>
                <w:rFonts w:hint="eastAsia" w:ascii="楷体" w:hAnsi="楷体" w:eastAsia="楷体" w:cs="楷体"/>
                <w:bCs/>
                <w:sz w:val="24"/>
                <w:szCs w:val="24"/>
              </w:rPr>
              <w:t>2.智能物流设施升级工程。</w:t>
            </w:r>
            <w:r>
              <w:rPr>
                <w:rFonts w:hint="eastAsia" w:ascii="Times New Roman" w:hAnsi="Times New Roman" w:cs="仿宋_GB2312"/>
                <w:sz w:val="24"/>
                <w:szCs w:val="24"/>
              </w:rPr>
              <w:t>加强智慧流通基础设施建设，推动传统物流枢纽、物流园区、物流中心、港口码头、货运场站等物流基础设施设备改造升级，打造一批智慧物流园区、智慧港口、智慧口岸、数字仓库等设施网络。加快物流集散和储运设施智能化建设推动农产品流通全程智慧冷链建设，推广货运车联网，推动物流园区、仓储设施、配送网点与配送车辆信息网络无缝对接。</w:t>
            </w:r>
          </w:p>
          <w:p>
            <w:pPr>
              <w:topLinePunct/>
              <w:spacing w:line="360" w:lineRule="exact"/>
              <w:ind w:firstLine="480" w:firstLineChars="200"/>
              <w:contextualSpacing/>
              <w:rPr>
                <w:rFonts w:ascii="Times New Roman" w:hAnsi="Times New Roman" w:cs="仿宋_GB2312"/>
              </w:rPr>
            </w:pPr>
            <w:r>
              <w:rPr>
                <w:rFonts w:hint="eastAsia" w:ascii="楷体" w:hAnsi="楷体" w:eastAsia="楷体" w:cs="楷体"/>
                <w:bCs/>
                <w:sz w:val="24"/>
                <w:szCs w:val="24"/>
              </w:rPr>
              <w:t>3.商贸流通智能化建设示范工程。</w:t>
            </w:r>
            <w:r>
              <w:rPr>
                <w:rFonts w:hint="eastAsia" w:ascii="Times New Roman" w:hAnsi="Times New Roman" w:cs="仿宋_GB2312"/>
                <w:sz w:val="24"/>
                <w:szCs w:val="24"/>
              </w:rPr>
              <w:t>深入推进城乡商贸智能化服务平台建设，打造一批线下体验馆、线上虚拟现实平台、村镇智能配送中心，推动城乡商贸数字化网络平台建设。开展智能化终端基础设施建设，实施一批智能化终端设施示范项目，实现商品流通的自动化、可视化、智能化、网络化跟踪与管理。</w:t>
            </w:r>
          </w:p>
        </w:tc>
      </w:tr>
    </w:tbl>
    <w:p>
      <w:pPr>
        <w:spacing w:line="560" w:lineRule="exact"/>
        <w:contextualSpacing/>
        <w:jc w:val="center"/>
        <w:outlineLvl w:val="1"/>
        <w:rPr>
          <w:rFonts w:ascii="楷体_GB2312" w:hAnsi="楷体_GB2312" w:eastAsia="楷体_GB2312" w:cs="楷体_GB2312"/>
        </w:rPr>
      </w:pPr>
      <w:bookmarkStart w:id="1358" w:name="_Toc1591525387"/>
      <w:r>
        <w:rPr>
          <w:rFonts w:hint="eastAsia" w:ascii="楷体_GB2312" w:hAnsi="楷体_GB2312" w:eastAsia="楷体_GB2312" w:cs="楷体_GB2312"/>
        </w:rPr>
        <w:t>第四节 打造一流营商环境</w:t>
      </w:r>
      <w:bookmarkEnd w:id="1358"/>
    </w:p>
    <w:p>
      <w:pPr>
        <w:spacing w:line="560" w:lineRule="exact"/>
        <w:ind w:firstLine="640" w:firstLineChars="200"/>
        <w:contextualSpacing/>
        <w:rPr>
          <w:rFonts w:ascii="仿宋_GB2312" w:hAnsi="仿宋_GB2312" w:cs="仿宋_GB2312"/>
        </w:rPr>
      </w:pPr>
      <w:r>
        <w:rPr>
          <w:rFonts w:hint="eastAsia"/>
          <w:bCs/>
        </w:rPr>
        <w:t>深化流通领域“放管服效”改革。</w:t>
      </w:r>
      <w:r>
        <w:rPr>
          <w:rFonts w:hint="eastAsia" w:ascii="Times New Roman" w:hAnsi="Times New Roman"/>
        </w:rPr>
        <w:t>以</w:t>
      </w:r>
      <w:r>
        <w:rPr>
          <w:rFonts w:hint="eastAsia" w:ascii="Times New Roman" w:hAnsi="Times New Roman"/>
          <w:lang w:val="zh-CN"/>
        </w:rPr>
        <w:t>“数字</w:t>
      </w:r>
      <w:r>
        <w:rPr>
          <w:rFonts w:hint="eastAsia" w:ascii="Times New Roman" w:hAnsi="Times New Roman"/>
        </w:rPr>
        <w:t>赋能”</w:t>
      </w:r>
      <w:r>
        <w:rPr>
          <w:rFonts w:hint="eastAsia" w:ascii="仿宋_GB2312" w:hAnsi="仿宋_GB2312" w:cs="仿宋_GB2312"/>
        </w:rPr>
        <w:t>破除妨碍生产要素市场化配置和商品服务流通的体制机制障碍，</w:t>
      </w:r>
      <w:r>
        <w:rPr>
          <w:rFonts w:hint="eastAsia" w:ascii="Times New Roman" w:hAnsi="Times New Roman"/>
        </w:rPr>
        <w:t>提高现代流通服务效能，努力营造</w:t>
      </w:r>
      <w:r>
        <w:rPr>
          <w:rFonts w:hint="eastAsia" w:ascii="Times New Roman" w:hAnsi="Times New Roman"/>
          <w:lang w:val="zh-CN"/>
        </w:rPr>
        <w:t>“六</w:t>
      </w:r>
      <w:r>
        <w:rPr>
          <w:rFonts w:hint="eastAsia" w:ascii="Times New Roman" w:hAnsi="Times New Roman"/>
        </w:rPr>
        <w:t>最”营商环境，</w:t>
      </w:r>
      <w:r>
        <w:rPr>
          <w:rFonts w:hint="eastAsia" w:ascii="仿宋_GB2312" w:hAnsi="仿宋_GB2312" w:cs="仿宋_GB2312"/>
        </w:rPr>
        <w:t>进一步推进现代流通领域“放管服效”改革</w:t>
      </w:r>
      <w:r>
        <w:rPr>
          <w:rFonts w:hint="eastAsia" w:ascii="Times New Roman" w:hAnsi="Times New Roman"/>
        </w:rPr>
        <w:t>，最大化降低商贸流通企业制度性交易成本。整合各类数字化信息平台，建立线上、线下融合的流通政务服务体系</w:t>
      </w:r>
      <w:r>
        <w:rPr>
          <w:rFonts w:hint="eastAsia" w:ascii="仿宋_GB2312" w:hAnsi="仿宋_GB2312" w:cs="仿宋_GB2312"/>
        </w:rPr>
        <w:t>，为现代流通企业提供全流程高效服务</w:t>
      </w:r>
      <w:r>
        <w:rPr>
          <w:rFonts w:hint="eastAsia" w:ascii="Times New Roman" w:hAnsi="Times New Roman"/>
        </w:rPr>
        <w:t>。</w:t>
      </w:r>
      <w:r>
        <w:rPr>
          <w:rFonts w:hint="eastAsia" w:ascii="仿宋_GB2312" w:hAnsi="仿宋_GB2312" w:cs="仿宋_GB2312"/>
        </w:rPr>
        <w:t>抓实“万人助万企”活动。对标全国最先进地区，按照“四减一造两提”要求</w:t>
      </w:r>
      <w:r>
        <w:rPr>
          <w:rFonts w:hint="eastAsia" w:ascii="Times New Roman" w:hAnsi="Times New Roman"/>
        </w:rPr>
        <w:t>，推进联合审图、区域评估、并联审批、联合验收</w:t>
      </w:r>
      <w:r>
        <w:rPr>
          <w:rFonts w:hint="eastAsia" w:ascii="仿宋_GB2312" w:hAnsi="仿宋_GB2312" w:cs="仿宋_GB2312"/>
        </w:rPr>
        <w:t>，推广“容缺办理”“多评合一”等模式，强化现代流通领域重大项目资金、土地、审批等要素保障。</w:t>
      </w:r>
    </w:p>
    <w:p>
      <w:pPr>
        <w:spacing w:line="560" w:lineRule="exact"/>
        <w:ind w:firstLine="640" w:firstLineChars="200"/>
        <w:contextualSpacing/>
        <w:rPr>
          <w:rFonts w:ascii="仿宋_GB2312" w:hAnsi="仿宋_GB2312" w:cs="仿宋_GB2312"/>
        </w:rPr>
      </w:pPr>
      <w:r>
        <w:rPr>
          <w:rFonts w:hint="eastAsia"/>
          <w:bCs/>
        </w:rPr>
        <w:t>完善数字化现代流通治理体系。</w:t>
      </w:r>
      <w:r>
        <w:rPr>
          <w:rFonts w:hint="eastAsia" w:ascii="仿宋_GB2312" w:hAnsi="仿宋_GB2312" w:cs="仿宋_GB2312"/>
        </w:rPr>
        <w:t>建立符合南阳特色、有权威性的商贸流通投资监测体系，形成和完善商贸流通市场统计监测体系，加强现代流通体系运行监测和信息引导，增强供需适配、市场调控、高效流通、应急保供等工作的预见性、精准性和有效性。完善现代流通项目全流程数字化跟踪机制，推动其政策制定、项目引进、企业帮扶等领域应用。积极参与口岸跨部门、跨关区一体化通关协作，全面推进通关各环节全程无纸化作业，加快建成国内领先的国际贸易“单一窗口”，推进跨境贸易便利化。</w:t>
      </w:r>
    </w:p>
    <w:p>
      <w:pPr>
        <w:spacing w:line="560" w:lineRule="exact"/>
        <w:ind w:firstLine="640" w:firstLineChars="200"/>
        <w:contextualSpacing/>
        <w:rPr>
          <w:rFonts w:ascii="仿宋_GB2312" w:hAnsi="仿宋_GB2312" w:cs="仿宋_GB2312"/>
        </w:rPr>
      </w:pPr>
      <w:r>
        <w:rPr>
          <w:rFonts w:hint="eastAsia"/>
          <w:bCs/>
        </w:rPr>
        <w:t>优化国际化商务营商环境。</w:t>
      </w:r>
      <w:r>
        <w:rPr>
          <w:rFonts w:hint="eastAsia" w:ascii="仿宋_GB2312" w:hAnsi="仿宋_GB2312" w:cs="仿宋_GB2312"/>
        </w:rPr>
        <w:t>以《中华人民共和国外商投资法》实施为契机，树立整体智治、高效协同理念，全面实施外商投资准入前国民待遇加负面清单管理制度，深化商贸、文旅、物流等领域对外开放。大力推进跨境商贸流通“一站式”集成服务体系建设，加强上下对接和部门协同，加快实现政策咨询、法律服务、风险管控以及企业注册、财税事务、海关申报、物流服务等内容全方位覆盖。强化外贸预警体系建设，探索建立对外投资风险预警地图，对标世界银行标准，主动学习借鉴上海、苏州、绍兴等地营商环境建设经验，健全涉外商贸服务、知识产权保护、大通关建设等综合配套服务。稳妥推动数据要素可交易、可流通，探索跨境数据安全有序流动。</w:t>
      </w:r>
    </w:p>
    <w:tbl>
      <w:tblPr>
        <w:tblStyle w:val="26"/>
        <w:tblW w:w="0" w:type="auto"/>
        <w:tblInd w:w="9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6" w:hRule="atLeast"/>
        </w:trPr>
        <w:tc>
          <w:tcPr>
            <w:tcW w:w="8854" w:type="dxa"/>
            <w:tcBorders>
              <w:tl2br w:val="nil"/>
              <w:tr2bl w:val="nil"/>
            </w:tcBorders>
            <w:vAlign w:val="center"/>
          </w:tcPr>
          <w:p>
            <w:pPr>
              <w:topLinePunct/>
              <w:spacing w:line="360" w:lineRule="exact"/>
              <w:contextualSpacing/>
              <w:jc w:val="center"/>
              <w:rPr>
                <w:rFonts w:ascii="Times New Roman" w:hAnsi="Times New Roman" w:eastAsia="黑体" w:cs="黑体"/>
              </w:rPr>
            </w:pPr>
            <w:r>
              <w:rPr>
                <w:rFonts w:hint="eastAsia" w:ascii="Times New Roman" w:hAnsi="Times New Roman" w:eastAsia="黑体" w:cs="黑体"/>
                <w:sz w:val="28"/>
                <w:szCs w:val="28"/>
              </w:rPr>
              <w:t>专栏14：现代化营商环境建设工程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8854" w:type="dxa"/>
            <w:tcBorders>
              <w:tl2br w:val="nil"/>
              <w:tr2bl w:val="nil"/>
            </w:tcBorders>
          </w:tcPr>
          <w:p>
            <w:pPr>
              <w:pStyle w:val="72"/>
              <w:topLinePunct/>
              <w:spacing w:line="360" w:lineRule="exact"/>
              <w:ind w:left="0" w:firstLine="480" w:firstLineChars="200"/>
              <w:contextualSpacing/>
              <w:rPr>
                <w:rFonts w:ascii="Times New Roman" w:hAnsi="Times New Roman" w:eastAsia="仿宋_GB2312" w:cs="仿宋_GB2312"/>
                <w:sz w:val="24"/>
                <w:szCs w:val="24"/>
              </w:rPr>
            </w:pPr>
            <w:r>
              <w:rPr>
                <w:rFonts w:hint="eastAsia" w:ascii="楷体" w:hAnsi="楷体" w:eastAsia="楷体" w:cs="楷体"/>
                <w:bCs/>
                <w:sz w:val="24"/>
                <w:szCs w:val="24"/>
                <w:lang w:val="en-US" w:eastAsia="zh-CN" w:bidi="ar-SA"/>
              </w:rPr>
              <w:t>1.商务治理数字化改革工程。</w:t>
            </w:r>
            <w:r>
              <w:rPr>
                <w:rFonts w:hint="eastAsia" w:ascii="Times New Roman" w:hAnsi="Times New Roman" w:eastAsia="仿宋_GB2312" w:cs="仿宋_GB2312"/>
                <w:sz w:val="24"/>
                <w:szCs w:val="24"/>
                <w:lang w:val="en-US" w:eastAsia="zh-CN"/>
              </w:rPr>
              <w:t>抓好数字贸易、智慧交通等商务治理数字化改革重点项目和领域，促进</w:t>
            </w:r>
            <w:r>
              <w:rPr>
                <w:rFonts w:hint="eastAsia" w:ascii="Times New Roman" w:hAnsi="Times New Roman" w:eastAsia="仿宋_GB2312" w:cs="仿宋_GB2312"/>
                <w:sz w:val="24"/>
                <w:szCs w:val="24"/>
              </w:rPr>
              <w:t>大数据、人工智能、云计算等数字技术在</w:t>
            </w:r>
            <w:r>
              <w:rPr>
                <w:rFonts w:hint="eastAsia" w:ascii="Times New Roman" w:hAnsi="Times New Roman" w:eastAsia="仿宋_GB2312" w:cs="仿宋_GB2312"/>
                <w:sz w:val="24"/>
                <w:szCs w:val="24"/>
                <w:lang w:val="en-US" w:eastAsia="zh-CN"/>
              </w:rPr>
              <w:t>智慧商贸、智慧物流</w:t>
            </w:r>
            <w:r>
              <w:rPr>
                <w:rFonts w:hint="eastAsia" w:ascii="Times New Roman" w:hAnsi="Times New Roman" w:eastAsia="仿宋_GB2312" w:cs="仿宋_GB2312"/>
                <w:sz w:val="24"/>
                <w:szCs w:val="24"/>
              </w:rPr>
              <w:t>、资源调配等方面更好发挥支撑作用。加快完善商务数据仓，加强与重点平台企业的数据共享，推动</w:t>
            </w:r>
            <w:r>
              <w:rPr>
                <w:rFonts w:hint="eastAsia" w:ascii="Times New Roman" w:hAnsi="Times New Roman" w:eastAsia="仿宋_GB2312" w:cs="仿宋_GB2312"/>
                <w:sz w:val="24"/>
                <w:szCs w:val="24"/>
                <w:lang w:val="en-US" w:eastAsia="zh-CN"/>
              </w:rPr>
              <w:t>商贸、流通、</w:t>
            </w:r>
            <w:r>
              <w:rPr>
                <w:rFonts w:hint="eastAsia" w:ascii="Times New Roman" w:hAnsi="Times New Roman" w:eastAsia="仿宋_GB2312" w:cs="仿宋_GB2312"/>
                <w:sz w:val="24"/>
                <w:szCs w:val="24"/>
              </w:rPr>
              <w:t>消费等领域统计方式数字化改革。</w:t>
            </w:r>
          </w:p>
          <w:p>
            <w:pPr>
              <w:pStyle w:val="72"/>
              <w:topLinePunct/>
              <w:spacing w:line="360" w:lineRule="exact"/>
              <w:ind w:left="0" w:firstLine="480" w:firstLineChars="200"/>
              <w:contextualSpacing/>
              <w:rPr>
                <w:rFonts w:ascii="Times New Roman" w:hAnsi="Times New Roman" w:eastAsia="仿宋_GB2312" w:cs="仿宋_GB2312"/>
                <w:bCs/>
                <w:szCs w:val="32"/>
              </w:rPr>
            </w:pPr>
            <w:r>
              <w:rPr>
                <w:rFonts w:hint="eastAsia" w:ascii="楷体" w:hAnsi="楷体" w:eastAsia="楷体" w:cs="楷体"/>
                <w:bCs/>
                <w:sz w:val="24"/>
                <w:szCs w:val="24"/>
                <w:lang w:val="en-US" w:eastAsia="zh-CN" w:bidi="ar-SA"/>
              </w:rPr>
              <w:t>2.</w:t>
            </w:r>
            <w:r>
              <w:rPr>
                <w:rFonts w:hint="eastAsia" w:ascii="楷体" w:hAnsi="楷体" w:eastAsia="楷体" w:cs="楷体"/>
                <w:bCs/>
                <w:sz w:val="24"/>
                <w:szCs w:val="24"/>
                <w:lang w:val="zh-CN" w:eastAsia="zh-CN" w:bidi="ar-SA"/>
              </w:rPr>
              <w:t>“互联</w:t>
            </w:r>
            <w:r>
              <w:rPr>
                <w:rFonts w:hint="eastAsia" w:ascii="楷体" w:hAnsi="楷体" w:eastAsia="楷体" w:cs="楷体"/>
                <w:bCs/>
                <w:sz w:val="24"/>
                <w:szCs w:val="24"/>
                <w:lang w:val="en-US" w:eastAsia="zh-CN" w:bidi="ar-SA"/>
              </w:rPr>
              <w:t>网+政务服务”示范工程。</w:t>
            </w:r>
            <w:r>
              <w:rPr>
                <w:rFonts w:hint="eastAsia" w:ascii="Times New Roman" w:hAnsi="Times New Roman" w:eastAsia="仿宋_GB2312" w:cs="仿宋_GB2312"/>
                <w:sz w:val="24"/>
                <w:szCs w:val="24"/>
                <w:lang w:val="en-US" w:eastAsia="zh-CN"/>
              </w:rPr>
              <w:t>学习借鉴深圳“深i企－精准服务企业”“深商通”、绍兴</w:t>
            </w:r>
            <w:r>
              <w:rPr>
                <w:rFonts w:hint="eastAsia" w:ascii="Times New Roman" w:hAnsi="Times New Roman" w:eastAsia="仿宋_GB2312" w:cs="仿宋_GB2312"/>
                <w:sz w:val="24"/>
                <w:szCs w:val="24"/>
                <w:lang w:val="zh-CN" w:eastAsia="zh-CN"/>
              </w:rPr>
              <w:t>“企</w:t>
            </w:r>
            <w:r>
              <w:rPr>
                <w:rFonts w:hint="eastAsia" w:ascii="Times New Roman" w:hAnsi="Times New Roman" w:eastAsia="仿宋_GB2312" w:cs="仿宋_GB2312"/>
                <w:sz w:val="24"/>
                <w:szCs w:val="24"/>
                <w:lang w:val="en-US" w:eastAsia="zh-CN"/>
              </w:rPr>
              <w:t>业码”等先进经验，优化推广“万人助万企”企业服务公共平台、“企业开办”一网通、</w:t>
            </w:r>
            <w:r>
              <w:rPr>
                <w:rFonts w:hint="eastAsia" w:ascii="Times New Roman" w:hAnsi="Times New Roman" w:eastAsia="仿宋_GB2312" w:cs="仿宋_GB2312"/>
                <w:sz w:val="24"/>
                <w:szCs w:val="24"/>
                <w:lang w:val="zh-CN" w:eastAsia="zh-CN"/>
              </w:rPr>
              <w:t>“宛</w:t>
            </w:r>
            <w:r>
              <w:rPr>
                <w:rFonts w:hint="eastAsia" w:ascii="Times New Roman" w:hAnsi="Times New Roman" w:eastAsia="仿宋_GB2312" w:cs="仿宋_GB2312"/>
                <w:sz w:val="24"/>
                <w:szCs w:val="24"/>
                <w:lang w:val="en-US" w:eastAsia="zh-CN"/>
              </w:rPr>
              <w:t>快办”等平台涉企服务功能，为各类流通市场主体提供高效便捷政务服务，努力打造“无证明城市”。</w:t>
            </w:r>
          </w:p>
        </w:tc>
      </w:tr>
    </w:tbl>
    <w:p>
      <w:pPr>
        <w:spacing w:line="560" w:lineRule="exact"/>
        <w:contextualSpacing/>
        <w:jc w:val="center"/>
        <w:outlineLvl w:val="0"/>
        <w:rPr>
          <w:rFonts w:ascii="黑体" w:hAnsi="黑体" w:eastAsia="黑体" w:cs="黑体"/>
        </w:rPr>
      </w:pPr>
      <w:bookmarkStart w:id="1359" w:name="_Toc813981106"/>
      <w:r>
        <w:rPr>
          <w:rFonts w:hint="eastAsia" w:ascii="黑体" w:hAnsi="黑体" w:eastAsia="黑体" w:cs="黑体"/>
        </w:rPr>
        <w:t>第九章 规划实施保障</w:t>
      </w:r>
      <w:bookmarkEnd w:id="1359"/>
    </w:p>
    <w:p>
      <w:pPr>
        <w:spacing w:line="560" w:lineRule="exact"/>
        <w:contextualSpacing/>
        <w:jc w:val="center"/>
        <w:outlineLvl w:val="1"/>
        <w:rPr>
          <w:rFonts w:ascii="楷体_GB2312" w:hAnsi="楷体_GB2312" w:eastAsia="楷体_GB2312" w:cs="楷体_GB2312"/>
        </w:rPr>
      </w:pPr>
      <w:bookmarkStart w:id="1360" w:name="_Toc1855417700"/>
      <w:r>
        <w:rPr>
          <w:rFonts w:hint="eastAsia" w:ascii="楷体_GB2312" w:hAnsi="楷体_GB2312" w:eastAsia="楷体_GB2312" w:cs="楷体_GB2312"/>
        </w:rPr>
        <w:t>第一节 加强组织实施</w:t>
      </w:r>
      <w:bookmarkEnd w:id="1360"/>
    </w:p>
    <w:p>
      <w:pPr>
        <w:spacing w:line="520" w:lineRule="exact"/>
        <w:ind w:firstLine="640" w:firstLineChars="200"/>
        <w:contextualSpacing/>
        <w:rPr>
          <w:rFonts w:ascii="仿宋_GB2312" w:hAnsi="仿宋_GB2312" w:cs="仿宋_GB2312"/>
        </w:rPr>
      </w:pPr>
      <w:r>
        <w:rPr>
          <w:rFonts w:hint="eastAsia" w:ascii="仿宋_GB2312" w:hAnsi="仿宋_GB2312" w:cs="仿宋_GB2312"/>
        </w:rPr>
        <w:t>加强市发展改革、交通运输、商务、工业和信息化、市场监管等多部门的综合协调，统筹指导协调规划实施，审议重大项目、重大政策、重大工程、重大问题和重要工作安排。各级、各有关部门要提高认识，按照各自职责，强化分工协作、配合联动，完善配套政策，细化落实本规划确定的主要目标和重点任务。注重发挥企业、园区、行业协会及其他组织和个人的作用，形成共同推动南阳现代流通体系建设的强大合力。</w:t>
      </w:r>
    </w:p>
    <w:p>
      <w:pPr>
        <w:spacing w:line="520" w:lineRule="exact"/>
        <w:contextualSpacing/>
        <w:jc w:val="center"/>
        <w:outlineLvl w:val="1"/>
        <w:rPr>
          <w:rFonts w:ascii="楷体_GB2312" w:hAnsi="楷体_GB2312" w:eastAsia="楷体_GB2312" w:cs="楷体_GB2312"/>
        </w:rPr>
      </w:pPr>
      <w:bookmarkStart w:id="1361" w:name="_Toc1379518897"/>
      <w:r>
        <w:rPr>
          <w:rFonts w:hint="eastAsia" w:ascii="楷体_GB2312" w:hAnsi="楷体_GB2312" w:eastAsia="楷体_GB2312" w:cs="楷体_GB2312"/>
        </w:rPr>
        <w:t>第二节 强化政策支持</w:t>
      </w:r>
      <w:bookmarkEnd w:id="1361"/>
    </w:p>
    <w:p>
      <w:pPr>
        <w:spacing w:line="520" w:lineRule="exact"/>
        <w:ind w:firstLine="640" w:firstLineChars="200"/>
        <w:contextualSpacing/>
        <w:rPr>
          <w:rFonts w:ascii="Times New Roman" w:hAnsi="Times New Roman"/>
          <w:szCs w:val="22"/>
        </w:rPr>
      </w:pPr>
      <w:r>
        <w:rPr>
          <w:rFonts w:hint="eastAsia" w:ascii="Times New Roman" w:hAnsi="Times New Roman"/>
          <w:szCs w:val="22"/>
        </w:rPr>
        <w:t>对标省内外先进，不断完善政策举措，形成具有南阳特色的流通领域政策体系，用足用好促进现代流通体系发展的各项政策。</w:t>
      </w:r>
      <w:r>
        <w:rPr>
          <w:rFonts w:hint="eastAsia" w:ascii="仿宋_GB2312" w:hAnsi="仿宋_GB2312" w:cs="仿宋_GB2312"/>
        </w:rPr>
        <w:t>深化流通领域改革创新，进一步优化我市营商环境，</w:t>
      </w:r>
      <w:r>
        <w:rPr>
          <w:rFonts w:hint="eastAsia" w:ascii="Times New Roman" w:hAnsi="Times New Roman"/>
          <w:szCs w:val="22"/>
        </w:rPr>
        <w:t>坚持鼓励创新和包容审慎的原则，采取既具弹性又规范的市场准入监管，简化各类行政审批事项，破除影响流通领域新技术、新产品、新业态发展的制度障碍。</w:t>
      </w:r>
      <w:r>
        <w:rPr>
          <w:rFonts w:hint="eastAsia" w:ascii="仿宋_GB2312" w:hAnsi="仿宋_GB2312" w:cs="仿宋_GB2312"/>
        </w:rPr>
        <w:t>认真落实流通领域各类税费减免政策，切实降低企业运营成本。整合各部门政策资源，围绕现代流通体系发展的重点领域、重点产业和骨干企业，出台品牌培育、技术创新、设施建设改造、人才培养、金融创新、标准制定等相关扶持政策。</w:t>
      </w:r>
      <w:r>
        <w:rPr>
          <w:rFonts w:hint="eastAsia" w:ascii="Times New Roman" w:hAnsi="Times New Roman"/>
          <w:szCs w:val="22"/>
        </w:rPr>
        <w:t>充分发挥行业协会作用，引导行业协会在加强行业自律、服务行业发展、反映行业诉求等方面发</w:t>
      </w:r>
    </w:p>
    <w:p>
      <w:pPr>
        <w:spacing w:line="520" w:lineRule="exact"/>
        <w:contextualSpacing/>
        <w:rPr>
          <w:rFonts w:ascii="Times New Roman" w:hAnsi="Times New Roman"/>
        </w:rPr>
      </w:pPr>
      <w:r>
        <w:rPr>
          <w:rFonts w:hint="eastAsia" w:ascii="Times New Roman" w:hAnsi="Times New Roman"/>
          <w:szCs w:val="22"/>
        </w:rPr>
        <w:t>挥更大作用。</w:t>
      </w:r>
    </w:p>
    <w:p>
      <w:pPr>
        <w:spacing w:line="520" w:lineRule="exact"/>
        <w:contextualSpacing/>
        <w:jc w:val="center"/>
        <w:outlineLvl w:val="1"/>
        <w:rPr>
          <w:rFonts w:ascii="楷体_GB2312" w:hAnsi="楷体_GB2312" w:eastAsia="楷体_GB2312" w:cs="楷体_GB2312"/>
        </w:rPr>
      </w:pPr>
      <w:bookmarkStart w:id="1362" w:name="_Toc536819082"/>
      <w:r>
        <w:rPr>
          <w:rFonts w:hint="eastAsia" w:ascii="楷体_GB2312" w:hAnsi="楷体_GB2312" w:eastAsia="楷体_GB2312" w:cs="楷体_GB2312"/>
        </w:rPr>
        <w:t>第三节 抓实要素保障</w:t>
      </w:r>
      <w:bookmarkEnd w:id="1362"/>
    </w:p>
    <w:p>
      <w:pPr>
        <w:spacing w:line="520" w:lineRule="exact"/>
        <w:ind w:firstLine="640" w:firstLineChars="200"/>
        <w:contextualSpacing/>
        <w:rPr>
          <w:rFonts w:ascii="仿宋_GB2312" w:hAnsi="仿宋_GB2312" w:cs="仿宋_GB2312"/>
        </w:rPr>
      </w:pPr>
      <w:r>
        <w:rPr>
          <w:rFonts w:hint="eastAsia" w:ascii="仿宋_GB2312" w:hAnsi="仿宋_GB2312" w:cs="仿宋_GB2312"/>
        </w:rPr>
        <w:t>将流通设施和网点布局纳入各级城乡规划和土地利用规划，落实好现有各类土地支持政策，保障重要商品储备库、新型农村流通主体、新建社区商业、智慧物流、再生资源回收等设施用地需求，鼓励有条件的地区开展新型产业用地政策试点。发挥各级财政资金的促进作用，加大对流通关键领域、薄弱环节和重点工程的支持力度，完善公益性流通设施投入长效机制，鼓励金融机构加大产品和服务创新，拓宽融资渠道，加大对流通主体和流通基础设施建设的财政金融支持</w:t>
      </w:r>
      <w:r>
        <w:rPr>
          <w:rFonts w:hint="eastAsia" w:ascii="Times New Roman" w:hAnsi="Times New Roman"/>
        </w:rPr>
        <w:t>。</w:t>
      </w:r>
      <w:r>
        <w:rPr>
          <w:rFonts w:hint="eastAsia" w:ascii="仿宋_GB2312" w:hAnsi="仿宋_GB2312" w:cs="仿宋_GB2312"/>
        </w:rPr>
        <w:t>强化现代流通人才队伍建设，鼓励市内大中专院校开设供应链管理、智慧商贸、现代物流、国际商务、电子商务等专业和课程，鼓励采取企业内训、岗位实训、外部培训、校企联合办学等多种方式培养复合型流通人才，建立和完善政校企联合培养和人才引进激励机制，多渠道、多平台、多维度打造流通人才发展高地。</w:t>
      </w:r>
    </w:p>
    <w:p>
      <w:pPr>
        <w:spacing w:line="520" w:lineRule="exact"/>
        <w:contextualSpacing/>
        <w:jc w:val="center"/>
        <w:outlineLvl w:val="1"/>
        <w:rPr>
          <w:rFonts w:ascii="楷体_GB2312" w:hAnsi="楷体_GB2312" w:eastAsia="楷体_GB2312" w:cs="楷体_GB2312"/>
        </w:rPr>
      </w:pPr>
      <w:bookmarkStart w:id="1363" w:name="_Toc1370184372"/>
      <w:r>
        <w:rPr>
          <w:rFonts w:hint="eastAsia" w:ascii="楷体_GB2312" w:hAnsi="楷体_GB2312" w:eastAsia="楷体_GB2312" w:cs="楷体_GB2312"/>
        </w:rPr>
        <w:t>第四节 做好监测评估</w:t>
      </w:r>
      <w:bookmarkEnd w:id="1363"/>
    </w:p>
    <w:p>
      <w:pPr>
        <w:spacing w:line="520" w:lineRule="exact"/>
        <w:ind w:firstLine="640" w:firstLineChars="200"/>
        <w:contextualSpacing/>
        <w:rPr>
          <w:rFonts w:ascii="仿宋_GB2312" w:hAnsi="仿宋_GB2312" w:cs="仿宋_GB2312"/>
        </w:rPr>
      </w:pPr>
      <w:r>
        <w:rPr>
          <w:rFonts w:hint="eastAsia" w:ascii="仿宋_GB2312" w:hAnsi="仿宋_GB2312" w:cs="仿宋_GB2312"/>
          <w:szCs w:val="22"/>
        </w:rPr>
        <w:t>健全规划实施监测和动态评估机制，健全统计样本库，提高数据分析能力，强化预测预警。及时做好规划阶段性评估工作，提高规划阶段性实效，适时对目标任务进行必要调整。加强舆论引导，完善督导考核机制，确保各项流通体系建设发展任务落到实处。充分尊重基层首创精神，对各地在实施规划中好的做法和有效经验，要及时总结，积极推广。</w:t>
      </w:r>
    </w:p>
    <w:p>
      <w:pPr>
        <w:spacing w:line="560" w:lineRule="exact"/>
        <w:contextualSpacing/>
        <w:jc w:val="center"/>
        <w:rPr>
          <w:sz w:val="30"/>
          <w:szCs w:val="30"/>
        </w:rPr>
      </w:pPr>
    </w:p>
    <w:p>
      <w:pPr>
        <w:spacing w:line="560" w:lineRule="exact"/>
        <w:contextualSpacing/>
        <w:jc w:val="center"/>
        <w:rPr>
          <w:sz w:val="30"/>
          <w:szCs w:val="30"/>
        </w:rPr>
      </w:pPr>
    </w:p>
    <w:p>
      <w:pPr>
        <w:rPr>
          <w:rFonts w:ascii="方正小标宋简体" w:hAnsi="方正小标宋简体" w:eastAsia="方正小标宋简体" w:cs="方正小标宋简体"/>
          <w:kern w:val="0"/>
          <w:sz w:val="44"/>
          <w:szCs w:val="44"/>
          <w:lang w:val="zh-CN" w:bidi="zh-CN"/>
        </w:rPr>
      </w:pPr>
      <w:r>
        <w:rPr>
          <w:rFonts w:hint="eastAsia" w:ascii="方正小标宋简体" w:hAnsi="方正小标宋简体" w:eastAsia="方正小标宋简体" w:cs="方正小标宋简体"/>
          <w:kern w:val="0"/>
          <w:sz w:val="44"/>
          <w:szCs w:val="44"/>
          <w:lang w:val="zh-CN" w:bidi="zh-CN"/>
        </w:rPr>
        <w:br w:type="page"/>
      </w:r>
    </w:p>
    <w:p>
      <w:pPr>
        <w:autoSpaceDE w:val="0"/>
        <w:autoSpaceDN w:val="0"/>
        <w:spacing w:line="560" w:lineRule="exact"/>
        <w:contextualSpacing/>
        <w:jc w:val="center"/>
        <w:rPr>
          <w:rFonts w:ascii="黑体" w:hAnsi="黑体" w:cs="黑体"/>
          <w:sz w:val="36"/>
          <w:szCs w:val="36"/>
          <w:lang w:val="zh-CN"/>
        </w:rPr>
      </w:pPr>
      <w:r>
        <w:rPr>
          <w:rFonts w:hint="eastAsia" w:ascii="方正小标宋简体" w:hAnsi="方正小标宋简体" w:eastAsia="方正小标宋简体" w:cs="方正小标宋简体"/>
          <w:kern w:val="0"/>
          <w:sz w:val="44"/>
          <w:szCs w:val="44"/>
          <w:lang w:val="zh-CN" w:bidi="zh-CN"/>
        </w:rPr>
        <w:t>南阳市“十四五”深化区域合</w:t>
      </w:r>
      <w:r>
        <w:rPr>
          <w:rFonts w:hint="eastAsia" w:ascii="方正小标宋简体" w:hAnsi="方正小标宋简体" w:eastAsia="方正小标宋简体" w:cs="方正小标宋简体"/>
          <w:kern w:val="0"/>
          <w:sz w:val="44"/>
          <w:szCs w:val="44"/>
          <w:lang w:bidi="zh-CN"/>
        </w:rPr>
        <w:t>作</w:t>
      </w:r>
      <w:r>
        <w:rPr>
          <w:rFonts w:hint="eastAsia" w:ascii="方正小标宋简体" w:hAnsi="方正小标宋简体" w:eastAsia="方正小标宋简体" w:cs="方正小标宋简体"/>
          <w:kern w:val="0"/>
          <w:sz w:val="44"/>
          <w:szCs w:val="44"/>
          <w:lang w:val="zh-CN" w:bidi="zh-CN"/>
        </w:rPr>
        <w:t>融入对接国家重大发展战略规划</w:t>
      </w:r>
    </w:p>
    <w:p>
      <w:pPr>
        <w:spacing w:line="560" w:lineRule="exact"/>
        <w:contextualSpacing/>
        <w:rPr>
          <w:lang w:val="zh-CN"/>
        </w:rPr>
      </w:pP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rPr>
        <w:t>2021年5月，</w:t>
      </w:r>
      <w:r>
        <w:rPr>
          <w:rFonts w:hint="eastAsia" w:ascii="仿宋_GB2312" w:hAnsi="仿宋_GB2312" w:cs="仿宋_GB2312"/>
          <w:lang w:val="zh-CN"/>
        </w:rPr>
        <w:t>习近平总书记亲临南阳视察，作出了一系列重要指示要求，为我市带来了千载难逢的重大发展机遇，前进方向更加明确，前行动力更加充足，在国家大局中的地位愈发凸显，发展位势大幅提升。南阳地处中原腹地，位于郑州、西安、武汉三大都市圈，及京津冀、长三角、大湾区、成渝双城经济圈四极几何中心，是多重国家重大发展战略交汇地，是国家新定位的全国性综合交通枢纽城市，是省委省政府明确建设的河南省副中心城市，精准对接京津冀耦合发展打造五大基地，深度链接长三角共振发展打造四大优选地，强化联接大湾区协同发展打造四大高地，必将助推南阳从局部优势逐步演变为整体优势，从单点优势加快转化为综合优势，激发出强大的发展势能，实现从“盆地”走向“高峰”。</w:t>
      </w:r>
    </w:p>
    <w:p>
      <w:pPr>
        <w:pStyle w:val="6"/>
        <w:spacing w:line="560" w:lineRule="exact"/>
        <w:ind w:firstLine="640"/>
        <w:contextualSpacing/>
        <w:jc w:val="center"/>
        <w:rPr>
          <w:lang w:val="zh-CN"/>
        </w:rPr>
      </w:pPr>
      <w:bookmarkStart w:id="1364" w:name="_Toc427924703"/>
      <w:r>
        <w:rPr>
          <w:rFonts w:hint="eastAsia" w:ascii="黑体" w:hAnsi="黑体" w:cs="黑体"/>
          <w:szCs w:val="32"/>
          <w:lang w:val="zh-CN"/>
        </w:rPr>
        <w:t>第一章 规划背景</w:t>
      </w:r>
      <w:bookmarkEnd w:id="1364"/>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lang w:val="zh-CN"/>
        </w:rPr>
        <w:t>党的十八大以来，习近平总书记亲自谋划、亲自部署、亲自推动京津冀协同发展、长江经济带发展、粤港澳大湾区建设、长三角一体化发展、黄河流域生态保护和高质量发展等重大国家战略，为区域融合发展擘画了宏伟蓝图，为新发展阶段南阳探索新时代区域融合发展新模式、新路径提供了根本遵循。近年来，我市积极对接和融入重大国家战略，与京津冀、长三角、大湾区等区域的“硬”联系和“软”沟通日益加深，各展所长、优势互补、开放共赢的区域经济发展新格局正在逐步形成。编制实施本规划，有利于加速构建区域融合发展新模式，有利于推动南阳实现绿色崛起、美丽富民，加快建设河南省副中心城市。</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lang w:val="zh-CN"/>
        </w:rPr>
        <w:t>本规划依据《河南省国民经济和社会发展第十四个五年规划和2035年远景目标纲要》《南阳市国民经济和社会发展第十四个五年规划和2035年远景目标纲要》《河南省“十四五”深化区域合作融入对接国家重大战略规划》编制，是当前和今后一个时期指导南阳与京津冀、长三角、大湾区等区域融合发展实现高水平崛起的指导性文件。</w:t>
      </w:r>
    </w:p>
    <w:p>
      <w:pPr>
        <w:pStyle w:val="7"/>
        <w:spacing w:line="560" w:lineRule="exact"/>
        <w:contextualSpacing/>
        <w:jc w:val="center"/>
        <w:rPr>
          <w:rFonts w:ascii="楷体_GB2312" w:hAnsi="楷体_GB2312" w:eastAsia="楷体_GB2312" w:cs="楷体_GB2312"/>
          <w:lang w:val="zh-CN"/>
        </w:rPr>
      </w:pPr>
      <w:bookmarkStart w:id="1365" w:name="_Toc2114926214"/>
      <w:r>
        <w:rPr>
          <w:rFonts w:hint="eastAsia" w:ascii="楷体_GB2312" w:hAnsi="楷体_GB2312" w:eastAsia="楷体_GB2312" w:cs="楷体_GB2312"/>
          <w:b w:val="0"/>
          <w:lang w:bidi="zh-CN"/>
        </w:rPr>
        <w:t>第</w:t>
      </w:r>
      <w:r>
        <w:rPr>
          <w:rFonts w:hint="eastAsia" w:ascii="楷体_GB2312" w:hAnsi="楷体_GB2312" w:eastAsia="楷体_GB2312" w:cs="楷体_GB2312"/>
          <w:b w:val="0"/>
          <w:lang w:val="zh-CN" w:bidi="zh-CN"/>
        </w:rPr>
        <w:t>一</w:t>
      </w:r>
      <w:r>
        <w:rPr>
          <w:rFonts w:hint="eastAsia" w:ascii="楷体_GB2312" w:hAnsi="楷体_GB2312" w:eastAsia="楷体_GB2312" w:cs="楷体_GB2312"/>
          <w:b w:val="0"/>
          <w:lang w:bidi="zh-CN"/>
        </w:rPr>
        <w:t xml:space="preserve">节 </w:t>
      </w:r>
      <w:r>
        <w:rPr>
          <w:rFonts w:hint="eastAsia" w:ascii="楷体_GB2312" w:hAnsi="楷体_GB2312" w:eastAsia="楷体_GB2312" w:cs="楷体_GB2312"/>
          <w:b w:val="0"/>
          <w:lang w:val="zh-CN" w:bidi="zh-CN"/>
        </w:rPr>
        <w:t>合作现状</w:t>
      </w:r>
      <w:bookmarkEnd w:id="1365"/>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lang w:val="zh-CN"/>
        </w:rPr>
        <w:t>“十三五”时期，我市充分发挥比较优势，主动对接并积极融入重大国家战略，持续深化区域合作，合作领域不断拓展，在科技创新、产业发展、文化旅游、生态保护、基础设施、教育卫生等领域合作成果丰硕，为“十四五”时期深化区域合作奠定了坚实基础。</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bCs/>
          <w:lang w:val="zh-CN"/>
        </w:rPr>
        <w:t>合作区域持续扩大。</w:t>
      </w:r>
      <w:r>
        <w:rPr>
          <w:rFonts w:hint="eastAsia" w:ascii="仿宋_GB2312" w:hAnsi="仿宋_GB2312" w:cs="仿宋_GB2312"/>
          <w:lang w:val="zh-CN"/>
        </w:rPr>
        <w:t>南阳跨境电商零售进口试点城市和跨境电子商务综合试验区线上综合服务平台和线下综合园区项目落地卧龙综合保税区。组织企业参加广交会、东盟博览会、进口博览会等国内重点展会，鼓励企业参加国内外网上交易会和网络洽谈会，组织企业参加线下活动，助力开拓“一带一路”市场。共签订京宛合作协议100余个，合作领域涵盖人才、农业、科技、教育、卫生等方面。先后出台了《关于推进丹江口库区及上游地区对口协作工作的通知》《北京市南水北调对口协作规划》《北京市南水北调对口协作“十四五”规划》《南阳市人民政府关于进一步加强南水北调对口协作工作意见》等政策文件。每年召开全市京宛合作工作推进会，互派干部双向挂职，建立外出创业人员联络处，打通服务“最后一公里”。参与长三角地区经贸合作交流会，增强与长三角联系，与浙江绍兴缔结为友好城市。</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bCs/>
          <w:lang w:val="zh-CN"/>
        </w:rPr>
        <w:t>投资项目持续增多。</w:t>
      </w:r>
      <w:r>
        <w:rPr>
          <w:rFonts w:hint="eastAsia" w:ascii="仿宋_GB2312" w:hAnsi="仿宋_GB2312" w:cs="仿宋_GB2312"/>
          <w:lang w:val="zh-CN"/>
        </w:rPr>
        <w:t>“十三五”时期，我市与“一带一路”沿线的50余个国家有贸易往来，实现进出口额超7</w:t>
      </w:r>
      <w:r>
        <w:rPr>
          <w:rFonts w:hint="eastAsia" w:ascii="仿宋_GB2312" w:hAnsi="仿宋_GB2312" w:cs="仿宋_GB2312"/>
        </w:rPr>
        <w:t>00</w:t>
      </w:r>
      <w:r>
        <w:rPr>
          <w:rFonts w:hint="eastAsia" w:ascii="仿宋_GB2312" w:hAnsi="仿宋_GB2312" w:cs="仿宋_GB2312"/>
          <w:lang w:val="zh-CN"/>
        </w:rPr>
        <w:t>亿元，在“一带一路”沿线国家直接投资近2亿美元，并设立多家境外企业。招商引资工作成果丰硕，高于全省平均增速；持续举办中国·南阳第十三届、十四届、十五届玉雕节暨国际玉文化博览会经贸洽谈会和第七届中国中医药发展大会暨中国·南阳第十三届张仲景医药文化节经贸洽谈会。</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bCs/>
          <w:lang w:val="zh-CN"/>
        </w:rPr>
        <w:t>流通体系持续完善。</w:t>
      </w:r>
      <w:r>
        <w:rPr>
          <w:rFonts w:hint="eastAsia" w:ascii="仿宋_GB2312" w:hAnsi="仿宋_GB2312" w:cs="仿宋_GB2312"/>
          <w:lang w:val="zh-CN"/>
        </w:rPr>
        <w:t>全国性综合交通枢纽地位初步奠定，“空水铁公”四位一体，布局合理、功能完善、内捷外畅、安全高效的现代交通体系基本呈现。国际航空物流通道陆续打通，南阳机场通航能力不断增强，南阳机场迁建纳入国家规划。鸭河、镇平等通用机场前期工作扎实。郑渝高铁郑襄段开通运营、南阳进入“高铁时代”，浩吉铁路建成通车，铁路货运能力显著增强。高速路网不断加密，“两环八纵四横”高速公路网加快构建。唐河航运工程一期加快建设，唐河航运工程二期、白河航运工程前期工作有序推进。</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bCs/>
          <w:lang w:val="zh-CN"/>
        </w:rPr>
        <w:t>协同创新持续提升。</w:t>
      </w:r>
      <w:r>
        <w:rPr>
          <w:rFonts w:hint="eastAsia" w:ascii="仿宋_GB2312" w:hAnsi="仿宋_GB2312" w:cs="仿宋_GB2312"/>
          <w:lang w:val="zh-CN"/>
        </w:rPr>
        <w:t>京津冀农林高校协同创新联盟9所高校与南阳市人民政府签订战略合作框架协议，加强校市合作。中科院天津中科物联网技术研究所在南阳建设新型科研平台。与人民大学签署市校战略协议建立了长期对接交流机制，在基础教育、高等教育、科研等领域达成13项合作意向。与北京中关村科技园区管委会签订战略合作框架协定，共同推进建设中关村南阳科技产业园，设立南阳中关村信息谷创新中心。北京理工大学光成像技术与系统教育部重点实验室南阳分实验室挂牌运营。</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bCs/>
          <w:lang w:val="zh-CN"/>
        </w:rPr>
        <w:t>民生共建持续深化。</w:t>
      </w:r>
      <w:r>
        <w:rPr>
          <w:rFonts w:hint="eastAsia" w:ascii="仿宋_GB2312" w:hAnsi="仿宋_GB2312" w:cs="仿宋_GB2312"/>
          <w:lang w:val="zh-CN"/>
        </w:rPr>
        <w:t>与北京市教委在干部教师培训、学校结对帮扶、师生交流交往等方面开展协作，推动北京优质教育资源在南阳落地共享。建设“京宛友谊月季园”。与北京电台合作拍摄“大河上下”系列节目，进一步扩大南阳作为南水北调中线渠首和核心水源区的影响，组织淅川县移民精神报告团赴中国科学院大学开展移民精神宣讲，弘扬宣传南水北调精神。在北京双创中心对南阳18个品类、239个特色扶贫农产品进行展示和销售，打响绿色有机的渠首品牌；参加全国“2020消费扶贫</w:t>
      </w:r>
      <w:r>
        <w:rPr>
          <w:rFonts w:hint="eastAsia" w:ascii="仿宋_GB2312" w:hAnsi="仿宋_GB2312" w:cs="仿宋_GB2312"/>
        </w:rPr>
        <w:t>-</w:t>
      </w:r>
      <w:r>
        <w:rPr>
          <w:rFonts w:hint="eastAsia" w:ascii="仿宋_GB2312" w:hAnsi="仿宋_GB2312" w:cs="仿宋_GB2312"/>
          <w:lang w:val="zh-CN"/>
        </w:rPr>
        <w:t>贫困地区农副产品产销对接会”，为农产品在京销售开辟了新渠道。</w:t>
      </w:r>
    </w:p>
    <w:p>
      <w:pPr>
        <w:pStyle w:val="7"/>
        <w:spacing w:line="560" w:lineRule="exact"/>
        <w:contextualSpacing/>
        <w:jc w:val="center"/>
        <w:rPr>
          <w:rFonts w:ascii="楷体_GB2312" w:hAnsi="楷体_GB2312" w:eastAsia="楷体_GB2312" w:cs="楷体_GB2312"/>
          <w:b w:val="0"/>
          <w:lang w:val="zh-CN" w:bidi="zh-CN"/>
        </w:rPr>
      </w:pPr>
      <w:bookmarkStart w:id="1366" w:name="_Toc571760053"/>
      <w:r>
        <w:rPr>
          <w:rFonts w:hint="eastAsia" w:ascii="楷体_GB2312" w:hAnsi="楷体_GB2312" w:eastAsia="楷体_GB2312" w:cs="楷体_GB2312"/>
          <w:b w:val="0"/>
          <w:lang w:val="zh-CN" w:bidi="zh-CN"/>
        </w:rPr>
        <w:t>第二节 机遇挑战</w:t>
      </w:r>
      <w:bookmarkEnd w:id="1366"/>
    </w:p>
    <w:p>
      <w:pPr>
        <w:spacing w:line="560" w:lineRule="exact"/>
        <w:ind w:firstLine="640" w:firstLineChars="200"/>
        <w:contextualSpacing/>
        <w:rPr>
          <w:rFonts w:ascii="仿宋" w:hAnsi="仿宋" w:eastAsia="仿宋" w:cs="仿宋"/>
          <w:lang w:val="zh-CN"/>
        </w:rPr>
      </w:pPr>
      <w:r>
        <w:rPr>
          <w:rFonts w:hint="eastAsia" w:ascii="仿宋_GB2312" w:hAnsi="仿宋_GB2312" w:cs="仿宋_GB2312"/>
          <w:lang w:val="zh-CN"/>
        </w:rPr>
        <w:t>“十四五”时期，区域融合发展面临的机遇更具战略性、可塑性，面临的挑战更具复杂性、全局性。</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bCs/>
          <w:lang w:val="zh-CN"/>
        </w:rPr>
        <w:t>——构建以国内大循环为主体、国内国际双循环相互促进的新发展格局，为南阳实现高质量发展提供了难得战略机遇。</w:t>
      </w:r>
      <w:r>
        <w:rPr>
          <w:rFonts w:hint="eastAsia" w:ascii="仿宋_GB2312" w:hAnsi="仿宋_GB2312" w:cs="仿宋_GB2312"/>
          <w:lang w:val="zh-CN"/>
        </w:rPr>
        <w:t>随着全国统一开放竞争有序的商品和要素市场加快形成，特别是总书记明确提出促进区域协调发展，构建优势互补、高质量发展的区域经济布局，将有力吸引资本、知识、技术、管理、数据等要素从发达地区溢出，与南阳的消费、劳动力、土地、资源等要素结合，推动我市成为国内新旧要素集聚新高地，有利于发挥区位和产业优势，加快构建高质量发展动力系统和现代经济体系，引领带动豫南高效生态经济示范区发展，进一步凸显在区域经济布局中的重要地位。</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bCs/>
          <w:lang w:val="zh-CN"/>
        </w:rPr>
        <w:t>——新时代推动中部地区高质量发展战略，为南阳实现高质量发展提供了难得政策机遇。</w:t>
      </w:r>
      <w:r>
        <w:rPr>
          <w:rFonts w:hint="eastAsia" w:ascii="仿宋_GB2312" w:hAnsi="仿宋_GB2312" w:cs="仿宋_GB2312"/>
          <w:lang w:val="zh-CN"/>
        </w:rPr>
        <w:t>《中共中央国务院关于新时代推动中部地区高质量发展的意见》明确要求中部主动融入区域重大战略，推动省际协作和交界地区协同发展，为增强区域发展协同性、推动中部地区加快崛起指明了方向、提供了遵循。比照实施振兴东北地区等老工业基地和西部大开发等优惠政策的持续实施，将为南阳发展带来更多政策优惠。</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bCs/>
          <w:lang w:val="zh-CN"/>
        </w:rPr>
        <w:t>——河南省副中心城市新目标新定位，为南阳实现高质量发展提供了难得历史机遇。</w:t>
      </w:r>
      <w:r>
        <w:rPr>
          <w:rFonts w:hint="eastAsia" w:ascii="仿宋_GB2312" w:hAnsi="仿宋_GB2312" w:cs="仿宋_GB2312"/>
          <w:lang w:val="zh-CN"/>
        </w:rPr>
        <w:t>省第十一次党代会明确提出，支持南阳建设河南省副中心城市，与信阳、驻马店协作互动，建设豫南高效生态经济示范区。南阳地处豫鄂陕三省交界，跨长江、淮河、黄河三大流域，又有汉江生态经济带、淮河生态经济带、大别山革命老区振兴发展等国家战略叠加，向北能够通过京宛对口协作积极承接北京产业转移和科技成果转化，向南能够以汉江生态经济带为“桥梁”深度融入长江经济带、积极对接大湾区，向东能够以淮河生态经济带为“纽带”，依托南信合高铁通道，积极融入长三角地区产业链供应链，为提升城市能级拓展出更加广阔的战略空间。</w:t>
      </w:r>
    </w:p>
    <w:p>
      <w:pPr>
        <w:spacing w:line="560" w:lineRule="exact"/>
        <w:ind w:firstLine="640" w:firstLineChars="200"/>
        <w:contextualSpacing/>
        <w:rPr>
          <w:rFonts w:ascii="仿宋_GB2312" w:hAnsi="仿宋_GB2312" w:cs="仿宋_GB2312"/>
        </w:rPr>
      </w:pPr>
      <w:r>
        <w:rPr>
          <w:rFonts w:hint="eastAsia" w:ascii="仿宋_GB2312" w:hAnsi="仿宋_GB2312" w:cs="仿宋_GB2312"/>
          <w:lang w:val="zh-CN"/>
        </w:rPr>
        <w:t>虽然我市在新时期融入区域发展的机遇空前，但同时，在新一轮区域竞争态势下所面临的形势也日益严峻。我市仍处于转型攻坚、爬坡过坎的紧要时期，发展不平衡不充分的问题仍然突出，经济总量虽多年稳居全省第三位，但与人口、国土面积在全省所占分量还不相称。城镇化水平偏低，中心城区综合承载和辐射带动力弱。区域竞争更加激烈，内外贸易联动发展、区域流通能力提升等方面仍面临诸多挑战。</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lang w:val="zh-CN"/>
        </w:rPr>
        <w:t>综合研判，站在河南省副中心城市建设新的历史起点上，区域融合发展仍处于大有可为的战略机遇期。“十四五”时期，必须深度融入国家、省重大战略，全面加强科技、产业、人才、教育、生态环境、文化旅游等领域务实合作，实现北引、东接、西联、南下、中拓全方位开放，全面开启高水平崛起新征程。</w:t>
      </w:r>
    </w:p>
    <w:p>
      <w:pPr>
        <w:pStyle w:val="6"/>
        <w:spacing w:line="560" w:lineRule="exact"/>
        <w:ind w:firstLine="0" w:firstLineChars="0"/>
        <w:contextualSpacing/>
        <w:jc w:val="center"/>
        <w:rPr>
          <w:rFonts w:ascii="楷体" w:hAnsi="楷体" w:cs="楷体"/>
          <w:b/>
          <w:lang w:bidi="zh-CN"/>
        </w:rPr>
      </w:pPr>
      <w:bookmarkStart w:id="1367" w:name="_Toc5716784"/>
      <w:r>
        <w:rPr>
          <w:rFonts w:hint="eastAsia" w:ascii="黑体" w:hAnsi="黑体" w:cs="黑体"/>
          <w:szCs w:val="32"/>
          <w:lang w:val="zh-CN"/>
        </w:rPr>
        <w:t>第二章 总体要求</w:t>
      </w:r>
      <w:bookmarkEnd w:id="1367"/>
    </w:p>
    <w:p>
      <w:pPr>
        <w:pStyle w:val="7"/>
        <w:spacing w:line="560" w:lineRule="exact"/>
        <w:contextualSpacing/>
        <w:jc w:val="center"/>
        <w:rPr>
          <w:rFonts w:ascii="楷体_GB2312" w:hAnsi="楷体_GB2312" w:eastAsia="楷体_GB2312" w:cs="楷体_GB2312"/>
          <w:b w:val="0"/>
          <w:lang w:val="zh-CN" w:bidi="zh-CN"/>
        </w:rPr>
      </w:pPr>
      <w:bookmarkStart w:id="1368" w:name="_Toc2006656123"/>
      <w:r>
        <w:rPr>
          <w:rFonts w:hint="eastAsia" w:ascii="楷体_GB2312" w:hAnsi="楷体_GB2312" w:eastAsia="楷体_GB2312" w:cs="楷体_GB2312"/>
          <w:b w:val="0"/>
          <w:lang w:val="zh-CN" w:bidi="zh-CN"/>
        </w:rPr>
        <w:t>第一节 指导思想</w:t>
      </w:r>
      <w:bookmarkEnd w:id="1368"/>
    </w:p>
    <w:p>
      <w:pPr>
        <w:spacing w:line="560" w:lineRule="exact"/>
        <w:ind w:firstLine="640" w:firstLineChars="200"/>
        <w:contextualSpacing/>
        <w:rPr>
          <w:b/>
          <w:lang w:val="zh-CN"/>
        </w:rPr>
      </w:pPr>
      <w:r>
        <w:rPr>
          <w:rFonts w:hint="eastAsia" w:ascii="仿宋_GB2312" w:hAnsi="仿宋_GB2312" w:cs="仿宋_GB2312"/>
          <w:lang w:val="zh-CN"/>
        </w:rPr>
        <w:t>以习近平新时代中国特色社会主义思想为指导，深入贯彻党的十九大和十九届历次全会精神，全面落实习近平总书记视察南阳重要讲话重要指示，认真贯彻省第十一次党代会、市第七次党代会精神，完整、准确贯彻新发展理念，紧抓构建新发展格局机遇，以河南省副中心城市建设为统领，以全方位推进高质量发展为主题，充分发挥南阳比较优势，深化与京津冀、长三角、大湾区等区域全方位、深层次、多领域对接合作，强化创新驱动、开放带动、项目拉动“三大支撑”，加快构建“北引、东接、西联、南下、中拓”全方位开放发展新格局，打造渠首高质量发展增长极、对接沿海经济带新枢纽、对外开</w:t>
      </w:r>
      <w:r>
        <w:rPr>
          <w:rFonts w:hint="eastAsia" w:ascii="仿宋_GB2312" w:hAnsi="仿宋_GB2312" w:cs="仿宋_GB2312"/>
        </w:rPr>
        <w:t>放</w:t>
      </w:r>
      <w:r>
        <w:rPr>
          <w:rFonts w:hint="eastAsia" w:ascii="仿宋_GB2312" w:hAnsi="仿宋_GB2312" w:cs="仿宋_GB2312"/>
          <w:lang w:val="zh-CN"/>
        </w:rPr>
        <w:t>新高地、承接产业转移新基地、高质量发展示范区和省际合作示范区，建设新时代区域开放新高地和对外开放合作新门户。</w:t>
      </w:r>
    </w:p>
    <w:p>
      <w:pPr>
        <w:pStyle w:val="7"/>
        <w:spacing w:line="560" w:lineRule="exact"/>
        <w:contextualSpacing/>
        <w:jc w:val="center"/>
        <w:rPr>
          <w:rFonts w:ascii="楷体_GB2312" w:hAnsi="楷体_GB2312" w:eastAsia="楷体_GB2312" w:cs="楷体_GB2312"/>
          <w:b w:val="0"/>
          <w:lang w:val="zh-CN" w:bidi="zh-CN"/>
        </w:rPr>
      </w:pPr>
      <w:bookmarkStart w:id="1369" w:name="_Toc425931978"/>
      <w:r>
        <w:rPr>
          <w:rFonts w:hint="eastAsia" w:ascii="楷体_GB2312" w:hAnsi="楷体_GB2312" w:eastAsia="楷体_GB2312" w:cs="楷体_GB2312"/>
          <w:b w:val="0"/>
          <w:lang w:val="zh-CN" w:bidi="zh-CN"/>
        </w:rPr>
        <w:t>第二节 基本原则</w:t>
      </w:r>
      <w:bookmarkEnd w:id="1369"/>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bCs/>
          <w:lang w:val="zh-CN"/>
        </w:rPr>
        <w:t>统筹规划，加强协调。</w:t>
      </w:r>
      <w:r>
        <w:rPr>
          <w:rFonts w:hint="eastAsia" w:ascii="仿宋_GB2312" w:hAnsi="仿宋_GB2312" w:cs="仿宋_GB2312"/>
          <w:lang w:val="zh-CN"/>
        </w:rPr>
        <w:t>增强深化区域合作、融入对接国家重大发展战略的统筹性和协同性。建立健全机制，加大协调力度，充分调动各方面的主动性和创造性，推进各项政策措施协调配套，提高整体效益。</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bCs/>
          <w:lang w:val="zh-CN"/>
        </w:rPr>
        <w:t>市场主导，政府引领。</w:t>
      </w:r>
      <w:r>
        <w:rPr>
          <w:rFonts w:hint="eastAsia" w:ascii="仿宋_GB2312" w:hAnsi="仿宋_GB2312" w:cs="仿宋_GB2312"/>
          <w:lang w:val="zh-CN"/>
        </w:rPr>
        <w:t>充分发挥市场在配置资源的决定性作用，畅通要素跨区域流动渠道。优化营商环境，转变政府职能，加强规划引领，建立区域融合发展新机制。</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bCs/>
          <w:lang w:val="zh-CN"/>
        </w:rPr>
        <w:t>项目拉动，服务转型。</w:t>
      </w:r>
      <w:r>
        <w:rPr>
          <w:rFonts w:hint="eastAsia" w:ascii="仿宋_GB2312" w:hAnsi="仿宋_GB2312" w:cs="仿宋_GB2312"/>
          <w:lang w:val="zh-CN"/>
        </w:rPr>
        <w:t>坚持“项目为王”，围绕重点领域、重大任务，在科技创新、生态保护、教育医疗、产业经贸等领域实施一批跨区域融合发展重大项目，为转型发展提供有力支撑。</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bCs/>
          <w:lang w:val="zh-CN"/>
        </w:rPr>
        <w:t>互惠互利，务实合作。</w:t>
      </w:r>
      <w:r>
        <w:rPr>
          <w:rFonts w:hint="eastAsia" w:ascii="仿宋_GB2312" w:hAnsi="仿宋_GB2312" w:cs="仿宋_GB2312"/>
          <w:lang w:val="zh-CN"/>
        </w:rPr>
        <w:t>立足比较优势，充分激发市场主体的主动性、创造性，寻找结合点，抓住关键点，推动务实合作，实现互惠互利、合作共赢，让人民群众感受到发展带来的更多获得感、幸福感和安全感。</w:t>
      </w:r>
    </w:p>
    <w:p>
      <w:pPr>
        <w:spacing w:line="560" w:lineRule="exact"/>
        <w:ind w:firstLine="640" w:firstLineChars="200"/>
        <w:contextualSpacing/>
        <w:rPr>
          <w:b/>
          <w:lang w:val="zh-CN"/>
        </w:rPr>
      </w:pPr>
      <w:r>
        <w:rPr>
          <w:rFonts w:hint="eastAsia" w:ascii="仿宋_GB2312" w:hAnsi="仿宋_GB2312" w:cs="仿宋_GB2312"/>
          <w:bCs/>
          <w:lang w:val="zh-CN"/>
        </w:rPr>
        <w:t>全面对接，重点突破。</w:t>
      </w:r>
      <w:r>
        <w:rPr>
          <w:rFonts w:hint="eastAsia" w:ascii="仿宋_GB2312" w:hAnsi="仿宋_GB2312" w:cs="仿宋_GB2312"/>
          <w:lang w:val="zh-CN"/>
        </w:rPr>
        <w:t>在交通互联互通、产业联动发展、生态合作、人才交流、政策衔接、机制协调等关键领域，加强对接，强化实施力度，注重创新，争取实现重大突破。</w:t>
      </w:r>
    </w:p>
    <w:p>
      <w:pPr>
        <w:pStyle w:val="7"/>
        <w:spacing w:line="560" w:lineRule="exact"/>
        <w:contextualSpacing/>
        <w:jc w:val="center"/>
        <w:rPr>
          <w:rFonts w:ascii="楷体_GB2312" w:hAnsi="楷体_GB2312" w:eastAsia="楷体_GB2312" w:cs="楷体_GB2312"/>
          <w:b w:val="0"/>
          <w:lang w:val="zh-CN" w:bidi="zh-CN"/>
        </w:rPr>
      </w:pPr>
      <w:bookmarkStart w:id="1370" w:name="_Toc1152897321"/>
      <w:r>
        <w:rPr>
          <w:rFonts w:hint="eastAsia" w:ascii="楷体_GB2312" w:hAnsi="楷体_GB2312" w:eastAsia="楷体_GB2312" w:cs="楷体_GB2312"/>
          <w:b w:val="0"/>
          <w:lang w:val="zh-CN" w:bidi="zh-CN"/>
        </w:rPr>
        <w:t>第三节 发展格局</w:t>
      </w:r>
      <w:bookmarkEnd w:id="1370"/>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lang w:val="zh-CN"/>
        </w:rPr>
        <w:t>加快构建开放型经济新体制，着力打造兼收并蓄、更具吸附力的开放环境。拓宽开放空间，构建“北引、东接、西联、南下、中拓”的开放格局。</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bCs/>
          <w:lang w:val="zh-CN"/>
        </w:rPr>
        <w:t>北引。</w:t>
      </w:r>
      <w:r>
        <w:rPr>
          <w:rFonts w:hint="eastAsia" w:ascii="仿宋_GB2312" w:hAnsi="仿宋_GB2312" w:cs="仿宋_GB2312"/>
          <w:lang w:val="zh-CN"/>
        </w:rPr>
        <w:t>以水为媒，围绕“保水质、护运行、强民生、促转型”工作主线，深化京宛对口协作，积极参与京津冀协同发展，全面落实京宛战略合作协议，密切合作关系，拓展合作领域，扩大合作成效，将南阳打造成为京津地区重要的产业转移承接基地、生产加工基地、科技成果转化孵化基地、有机农产品供应基地和旅游目的地。</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bCs/>
          <w:lang w:val="zh-CN"/>
        </w:rPr>
        <w:t>东接。</w:t>
      </w:r>
      <w:r>
        <w:rPr>
          <w:rFonts w:hint="eastAsia" w:ascii="仿宋_GB2312" w:hAnsi="仿宋_GB2312" w:cs="仿宋_GB2312"/>
          <w:lang w:val="zh-CN"/>
        </w:rPr>
        <w:t>着眼连通长三角增长极，借势淮河生态经济带战略，依托河南省着力打造的中原—长三角经济走廊，以唐白河航运、南信合高铁为纽带，打通东向物流通道，推动与上海、南京等城市在市场、产业、资本、人才等方面的对接融合，构建跨区域资源要素的重要承载地和引力场，打造开放型经济“桥头堡”。</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bCs/>
          <w:lang w:val="zh-CN"/>
        </w:rPr>
        <w:t>西联。</w:t>
      </w:r>
      <w:r>
        <w:rPr>
          <w:rFonts w:hint="eastAsia" w:ascii="仿宋_GB2312" w:hAnsi="仿宋_GB2312" w:cs="仿宋_GB2312"/>
          <w:lang w:val="zh-CN"/>
        </w:rPr>
        <w:t>通过拓展中欧班列、申建口岸、借势大陆桥走廊，积极融入“一带一路”建设，前瞻性谋划布局外向型产业，加强与洛阳、西安、商洛等城市合作交流，推动在科技创新、历史遗迹保护、文化传承、交通互联等领域多层次合作，打造郑洛西高质量发展合作带的辐射区。</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bCs/>
          <w:lang w:val="zh-CN"/>
        </w:rPr>
        <w:t>南下。</w:t>
      </w:r>
      <w:r>
        <w:rPr>
          <w:rFonts w:hint="eastAsia" w:ascii="仿宋_GB2312" w:hAnsi="仿宋_GB2312" w:cs="仿宋_GB2312"/>
          <w:lang w:val="zh-CN"/>
        </w:rPr>
        <w:t>发挥南阳市场空间广阔、人力资源丰富、历史文化厚重等比较优势，深度对接长江经济带、汉江生态经济带、粤港澳大湾区，强化在数字经济、科技创新等方面的合作，拓展南向开放空间。</w:t>
      </w:r>
    </w:p>
    <w:p>
      <w:pPr>
        <w:spacing w:line="560" w:lineRule="exact"/>
        <w:ind w:firstLine="640" w:firstLineChars="200"/>
        <w:contextualSpacing/>
      </w:pPr>
      <w:r>
        <w:rPr>
          <w:rFonts w:hint="eastAsia" w:ascii="仿宋_GB2312" w:hAnsi="仿宋_GB2312" w:cs="仿宋_GB2312"/>
          <w:bCs/>
          <w:lang w:val="zh-CN"/>
        </w:rPr>
        <w:t>中拓。</w:t>
      </w:r>
      <w:r>
        <w:rPr>
          <w:rFonts w:hint="eastAsia" w:ascii="仿宋_GB2312" w:hAnsi="仿宋_GB2312" w:cs="仿宋_GB2312"/>
          <w:lang w:val="zh-CN"/>
        </w:rPr>
        <w:t>立足南阳自身实际，借助河南发展优势，积极融入中原城市群协同发展，深化豫鄂陕省际区域合作，协同打造豫南高效生态经济示范区，实现周边区域联动发展。</w:t>
      </w:r>
    </w:p>
    <w:p>
      <w:pPr>
        <w:pStyle w:val="7"/>
        <w:spacing w:line="560" w:lineRule="exact"/>
        <w:contextualSpacing/>
        <w:jc w:val="center"/>
        <w:rPr>
          <w:rFonts w:ascii="楷体_GB2312" w:hAnsi="楷体_GB2312" w:eastAsia="楷体_GB2312" w:cs="楷体_GB2312"/>
          <w:b w:val="0"/>
          <w:lang w:val="zh-CN" w:bidi="zh-CN"/>
        </w:rPr>
      </w:pPr>
      <w:bookmarkStart w:id="1371" w:name="_Toc851782986"/>
      <w:r>
        <w:rPr>
          <w:rFonts w:hint="eastAsia" w:ascii="楷体_GB2312" w:hAnsi="楷体_GB2312" w:eastAsia="楷体_GB2312" w:cs="楷体_GB2312"/>
          <w:b w:val="0"/>
          <w:lang w:val="zh-CN" w:bidi="zh-CN"/>
        </w:rPr>
        <w:t>第四节 发展目标</w:t>
      </w:r>
      <w:bookmarkEnd w:id="1371"/>
    </w:p>
    <w:p>
      <w:pPr>
        <w:pStyle w:val="2"/>
        <w:spacing w:line="560" w:lineRule="exact"/>
        <w:ind w:firstLine="640"/>
        <w:contextualSpacing/>
        <w:rPr>
          <w:rFonts w:ascii="仿宋_GB2312" w:hAnsi="仿宋_GB2312" w:cs="仿宋_GB2312"/>
        </w:rPr>
      </w:pPr>
      <w:r>
        <w:rPr>
          <w:rFonts w:hint="eastAsia" w:ascii="仿宋_GB2312" w:hAnsi="仿宋_GB2312" w:cs="仿宋_GB2312"/>
        </w:rPr>
        <w:t>——</w:t>
      </w:r>
      <w:r>
        <w:rPr>
          <w:rFonts w:hint="eastAsia" w:ascii="仿宋_GB2312" w:hAnsi="仿宋_GB2312" w:cs="仿宋_GB2312"/>
          <w:kern w:val="0"/>
          <w:lang w:val="zh-CN" w:bidi="zh-CN"/>
        </w:rPr>
        <w:t>带动产业集聚发展。</w:t>
      </w:r>
      <w:r>
        <w:rPr>
          <w:rFonts w:hint="eastAsia" w:ascii="仿宋_GB2312" w:hAnsi="仿宋_GB2312" w:cs="仿宋_GB2312"/>
          <w:lang w:val="zh-CN"/>
        </w:rPr>
        <w:t>通过区域合作，聚焦招大引强，推动链群发展，壮大产业规模，到</w:t>
      </w:r>
      <w:r>
        <w:rPr>
          <w:rFonts w:hint="eastAsia" w:ascii="仿宋_GB2312" w:hAnsi="仿宋_GB2312" w:cs="仿宋_GB2312"/>
        </w:rPr>
        <w:t>2025年</w:t>
      </w:r>
      <w:r>
        <w:rPr>
          <w:rFonts w:hint="eastAsia" w:ascii="仿宋_GB2312" w:hAnsi="仿宋_GB2312" w:cs="仿宋_GB2312"/>
          <w:lang w:val="zh-CN"/>
        </w:rPr>
        <w:t>，助力打造装备制造、绿色食品、电子信息、生物产业、新型建材等</w:t>
      </w:r>
      <w:r>
        <w:rPr>
          <w:rFonts w:hint="eastAsia" w:ascii="仿宋_GB2312" w:hAnsi="仿宋_GB2312" w:cs="仿宋_GB2312"/>
        </w:rPr>
        <w:t>5</w:t>
      </w:r>
      <w:r>
        <w:rPr>
          <w:rFonts w:hint="eastAsia" w:ascii="仿宋_GB2312" w:hAnsi="仿宋_GB2312" w:cs="仿宋_GB2312"/>
          <w:lang w:val="zh-CN"/>
        </w:rPr>
        <w:t>个千</w:t>
      </w:r>
      <w:r>
        <w:rPr>
          <w:rFonts w:hint="eastAsia" w:ascii="仿宋_GB2312" w:hAnsi="仿宋_GB2312" w:cs="仿宋_GB2312"/>
        </w:rPr>
        <w:t>亿级先进制造业产业集群，培育现代化工、纺织服装、玉产品等3个五百亿级产业集群，第二产业占比提高到40%以上。</w:t>
      </w:r>
    </w:p>
    <w:p>
      <w:pPr>
        <w:pStyle w:val="4"/>
        <w:spacing w:line="560" w:lineRule="exact"/>
        <w:ind w:firstLine="640" w:firstLineChars="200"/>
        <w:contextualSpacing/>
        <w:rPr>
          <w:rFonts w:ascii="仿宋_GB2312" w:hAnsi="仿宋_GB2312" w:cs="仿宋_GB2312"/>
        </w:rPr>
      </w:pPr>
      <w:r>
        <w:rPr>
          <w:rFonts w:hint="eastAsia" w:ascii="仿宋_GB2312" w:hAnsi="仿宋_GB2312" w:cs="仿宋_GB2312"/>
        </w:rPr>
        <w:t>——助</w:t>
      </w:r>
      <w:r>
        <w:rPr>
          <w:rFonts w:hint="eastAsia" w:ascii="仿宋_GB2312" w:hAnsi="仿宋_GB2312" w:cs="仿宋_GB2312"/>
          <w:kern w:val="0"/>
        </w:rPr>
        <w:t>推科创能力提升</w:t>
      </w:r>
      <w:r>
        <w:rPr>
          <w:rFonts w:hint="eastAsia" w:ascii="仿宋_GB2312" w:hAnsi="仿宋_GB2312" w:cs="仿宋_GB2312"/>
        </w:rPr>
        <w:t>。通过深化科技合作，完善科技创新体系，搭建科技创新平台，提升企业自主创新能力，到2025年，高新技术企业达到500家以上，科技型中小企业达到1000家以上，高新技术产业增加值占规模以上工业增加值的比重达到55%以上。</w:t>
      </w:r>
    </w:p>
    <w:p>
      <w:pPr>
        <w:pStyle w:val="4"/>
        <w:spacing w:line="560" w:lineRule="exact"/>
        <w:ind w:firstLine="640" w:firstLineChars="200"/>
        <w:contextualSpacing/>
        <w:rPr>
          <w:rFonts w:ascii="仿宋_GB2312" w:hAnsi="仿宋_GB2312" w:cs="仿宋_GB2312"/>
        </w:rPr>
      </w:pPr>
      <w:r>
        <w:rPr>
          <w:rFonts w:hint="eastAsia" w:ascii="仿宋_GB2312" w:hAnsi="仿宋_GB2312" w:cs="仿宋_GB2312"/>
        </w:rPr>
        <w:t>——</w:t>
      </w:r>
      <w:r>
        <w:rPr>
          <w:rFonts w:hint="eastAsia" w:ascii="仿宋_GB2312" w:hAnsi="仿宋_GB2312" w:cs="仿宋_GB2312"/>
          <w:kern w:val="0"/>
        </w:rPr>
        <w:t>聚力枢纽经济培育。协</w:t>
      </w:r>
      <w:r>
        <w:rPr>
          <w:rFonts w:hint="eastAsia" w:ascii="仿宋_GB2312" w:hAnsi="仿宋_GB2312" w:cs="仿宋_GB2312"/>
        </w:rPr>
        <w:t>同周边省市，谋划建设南信合高铁，加快推进唐白河复航工程，协调推动机场迁建前期工作，初步建成“空水铁公”全国性综合交通枢纽。到2025年，实现南阳至周边省会2小时通达、全国主要城市3小时通达，全市货运量达到4亿吨，货物周转量突破1050亿吨公里，推动交通区位优势向枢纽经济优势转变。</w:t>
      </w:r>
    </w:p>
    <w:p>
      <w:pPr>
        <w:pStyle w:val="5"/>
        <w:overflowPunct w:val="0"/>
        <w:topLinePunct/>
        <w:spacing w:line="560" w:lineRule="exact"/>
        <w:ind w:firstLine="640" w:firstLineChars="200"/>
        <w:contextualSpacing/>
        <w:rPr>
          <w:rFonts w:ascii="仿宋_GB2312" w:hAnsi="仿宋_GB2312" w:cs="仿宋_GB2312"/>
          <w:lang w:val="zh-CN"/>
        </w:rPr>
      </w:pPr>
      <w:r>
        <w:rPr>
          <w:rFonts w:hint="eastAsia" w:ascii="仿宋_GB2312" w:hAnsi="仿宋_GB2312" w:cs="仿宋_GB2312"/>
        </w:rPr>
        <w:t>——促</w:t>
      </w:r>
      <w:r>
        <w:rPr>
          <w:rFonts w:hint="eastAsia" w:ascii="仿宋_GB2312" w:hAnsi="仿宋_GB2312" w:cs="仿宋_GB2312"/>
          <w:kern w:val="0"/>
          <w:lang w:val="zh-CN" w:bidi="zh-CN"/>
        </w:rPr>
        <w:t>进文旅康养融合</w:t>
      </w:r>
      <w:r>
        <w:rPr>
          <w:rFonts w:hint="eastAsia" w:ascii="仿宋_GB2312" w:hAnsi="仿宋_GB2312" w:cs="仿宋_GB2312"/>
        </w:rPr>
        <w:t>。</w:t>
      </w:r>
      <w:r>
        <w:rPr>
          <w:rFonts w:hint="eastAsia" w:ascii="仿宋_GB2312" w:hAnsi="仿宋_GB2312" w:cs="仿宋_GB2312"/>
          <w:lang w:val="zh-CN"/>
        </w:rPr>
        <w:t>深度挖掘旅游资源，搭建康养旅游平台，突出南阳文化内涵，打响南阳旅游品牌。依托交通枢纽优势，融合周边省市旅游资源，打造多条精品旅游线路，推动南阳文旅康养产业跨越发展。到2025年，形成具有南阳特色的千亿级文旅康养产业集群。</w:t>
      </w:r>
    </w:p>
    <w:p>
      <w:pPr>
        <w:pStyle w:val="5"/>
        <w:overflowPunct w:val="0"/>
        <w:topLinePunct/>
        <w:spacing w:line="560" w:lineRule="exact"/>
        <w:ind w:firstLine="640" w:firstLineChars="200"/>
        <w:contextualSpacing/>
        <w:rPr>
          <w:rFonts w:ascii="仿宋_GB2312" w:hAnsi="仿宋_GB2312" w:cs="仿宋_GB2312"/>
        </w:rPr>
      </w:pPr>
      <w:r>
        <w:rPr>
          <w:rFonts w:hint="eastAsia" w:ascii="仿宋_GB2312" w:hAnsi="仿宋_GB2312" w:cs="仿宋_GB2312"/>
          <w:bCs/>
        </w:rPr>
        <w:t>——</w:t>
      </w:r>
      <w:r>
        <w:rPr>
          <w:rFonts w:hint="eastAsia" w:ascii="仿宋_GB2312" w:hAnsi="仿宋_GB2312" w:cs="仿宋_GB2312"/>
          <w:kern w:val="0"/>
          <w:lang w:val="zh-CN" w:bidi="zh-CN"/>
        </w:rPr>
        <w:t>协同生态联防共治。立</w:t>
      </w:r>
      <w:r>
        <w:rPr>
          <w:rFonts w:hint="eastAsia" w:ascii="仿宋_GB2312" w:hAnsi="仿宋_GB2312" w:cs="仿宋_GB2312"/>
          <w:lang w:val="zh-CN"/>
        </w:rPr>
        <w:t>足南水北调中线水源地、汉江流域、淮河源头实际，强化生态红线保护意识，突出水资源污染防治，协同省内外邻近地市完善联防共治机制，合作建设豫南高效生态经济示范区，创建国家生态文明建设示范</w:t>
      </w:r>
      <w:r>
        <w:rPr>
          <w:rFonts w:hint="eastAsia" w:ascii="仿宋_GB2312" w:hAnsi="仿宋_GB2312" w:cs="仿宋_GB2312"/>
        </w:rPr>
        <w:t>市。“十四五”期间，丹江口水库出水水质稳定保持Ⅱ类以上，其他流域水质持续改善。</w:t>
      </w:r>
    </w:p>
    <w:p>
      <w:pPr>
        <w:pStyle w:val="5"/>
        <w:overflowPunct w:val="0"/>
        <w:topLinePunct/>
        <w:spacing w:line="560" w:lineRule="exact"/>
        <w:ind w:firstLine="640" w:firstLineChars="200"/>
        <w:contextualSpacing/>
        <w:rPr>
          <w:lang w:val="zh-CN"/>
        </w:rPr>
      </w:pPr>
      <w:r>
        <w:rPr>
          <w:rFonts w:hint="eastAsia" w:ascii="仿宋_GB2312" w:hAnsi="仿宋_GB2312" w:cs="仿宋_GB2312"/>
          <w:lang w:val="zh-CN"/>
        </w:rPr>
        <w:t>到2035年，全市对接落实国家、省重大区域发展战略的体制机制更加完善，区域协同发展水平进一步提高，在基础设施联通、产业体系联动、科创资源联合、公共服务联享、生态系统联保等方面取得更大进展，与京津冀、长三角、粤港澳大湾区等区域战略合作更加紧密，形成更高水平、更宽领域的对外开放合作格局。</w:t>
      </w:r>
    </w:p>
    <w:p>
      <w:pPr>
        <w:pStyle w:val="6"/>
        <w:spacing w:line="560" w:lineRule="exact"/>
        <w:ind w:firstLine="640"/>
        <w:contextualSpacing/>
        <w:jc w:val="center"/>
        <w:rPr>
          <w:lang w:val="zh-CN"/>
        </w:rPr>
      </w:pPr>
      <w:bookmarkStart w:id="1372" w:name="_Toc613246187"/>
      <w:r>
        <w:rPr>
          <w:rFonts w:hint="eastAsia" w:ascii="黑体" w:hAnsi="黑体" w:cs="黑体"/>
          <w:szCs w:val="32"/>
          <w:lang w:val="zh-CN"/>
        </w:rPr>
        <w:t>第三章 精准对接京津冀，打造渠首高质量发展</w:t>
      </w:r>
      <w:r>
        <w:rPr>
          <w:rFonts w:hint="eastAsia" w:ascii="黑体" w:hAnsi="黑体" w:cs="黑体"/>
          <w:szCs w:val="32"/>
        </w:rPr>
        <w:t>增长</w:t>
      </w:r>
      <w:r>
        <w:rPr>
          <w:rFonts w:hint="eastAsia" w:ascii="黑体" w:hAnsi="黑体" w:cs="黑体"/>
          <w:szCs w:val="32"/>
          <w:lang w:val="zh-CN"/>
        </w:rPr>
        <w:t>极</w:t>
      </w:r>
      <w:bookmarkEnd w:id="1372"/>
    </w:p>
    <w:p>
      <w:pPr>
        <w:pStyle w:val="5"/>
        <w:overflowPunct w:val="0"/>
        <w:topLinePunct/>
        <w:spacing w:line="560" w:lineRule="exact"/>
        <w:ind w:firstLine="640" w:firstLineChars="200"/>
        <w:contextualSpacing/>
        <w:rPr>
          <w:lang w:val="zh-CN"/>
        </w:rPr>
      </w:pPr>
      <w:r>
        <w:rPr>
          <w:rFonts w:hint="eastAsia" w:ascii="仿宋_GB2312" w:hAnsi="仿宋_GB2312" w:cs="仿宋_GB2312"/>
          <w:lang w:val="zh-CN"/>
        </w:rPr>
        <w:t>充分利用南水北调水源地独特优势，以水为媒，深化京宛对口协作，借力“京津冀协同发展战略”，认真落实京宛合作战略框架协议，积极拓展作领域，持续扩大合作成果，着力在承接产业转移、科技成果转移转化、人才交流培养、民生服务等方面加强合作、取得实效。</w:t>
      </w:r>
    </w:p>
    <w:p>
      <w:pPr>
        <w:pStyle w:val="7"/>
        <w:spacing w:line="560" w:lineRule="exact"/>
        <w:contextualSpacing/>
        <w:jc w:val="center"/>
        <w:rPr>
          <w:rFonts w:ascii="楷体_GB2312" w:hAnsi="楷体_GB2312" w:eastAsia="楷体_GB2312" w:cs="楷体_GB2312"/>
          <w:b w:val="0"/>
          <w:lang w:val="zh-CN" w:bidi="zh-CN"/>
        </w:rPr>
      </w:pPr>
      <w:bookmarkStart w:id="1373" w:name="_Toc255332065"/>
      <w:r>
        <w:rPr>
          <w:rFonts w:hint="eastAsia" w:ascii="楷体_GB2312" w:hAnsi="楷体_GB2312" w:eastAsia="楷体_GB2312" w:cs="楷体_GB2312"/>
          <w:b w:val="0"/>
          <w:lang w:val="zh-CN" w:bidi="zh-CN"/>
        </w:rPr>
        <w:t>第一节 打造保障京津冀供给基地</w:t>
      </w:r>
      <w:bookmarkEnd w:id="1373"/>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清洁饮用水供应基地。高质量推进水质保护，扛牢保水质、护运行</w:t>
      </w:r>
      <w:r>
        <w:rPr>
          <w:rFonts w:hint="eastAsia" w:ascii="仿宋_GB2312" w:hAnsi="仿宋_GB2312" w:cs="仿宋_GB2312"/>
          <w:lang w:val="zh-CN"/>
        </w:rPr>
        <w:t>重大政治责任，稳定持续加大水源区生态环境保护投入，深度开展系列生态环境综合治理工程，持续改善生态环境，确保“一渠清水永续北送”。</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特色农产品供应基地。</w:t>
      </w:r>
      <w:r>
        <w:rPr>
          <w:rFonts w:hint="eastAsia" w:ascii="仿宋_GB2312" w:hAnsi="仿宋_GB2312" w:cs="仿宋_GB2312"/>
          <w:lang w:val="zh-CN"/>
        </w:rPr>
        <w:t>强化市农业科学院、农业职业学院等本地院所与中国农业大学、北京林业大学、中国农业科学院等大院大所合作。加强农产品“三品一标”和质量安全可追溯体系建设，做大做强丹江口库区和干渠沿线绿色有机农业产业带，打响水源地公共品牌，创建国家地理标志产品保护示范区，建设国家农产品质量安全市。培育农产品品牌和拓展销售渠道。探索以政府引导、企业运作的模式，引入市场经营主体，合力打造农产品区域公共品牌。加强农产品生产技术标准体系建设，推动全产业链标准化生产。开展水源区优质农产品进京推介活动，提升在北京市场的知名度。</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bCs/>
          <w:kern w:val="0"/>
          <w:lang w:val="zh-CN" w:bidi="zh-CN"/>
        </w:rPr>
        <w:t>康养休假目的地。</w:t>
      </w:r>
      <w:r>
        <w:rPr>
          <w:rFonts w:hint="eastAsia" w:ascii="仿宋_GB2312" w:hAnsi="仿宋_GB2312" w:cs="仿宋_GB2312"/>
          <w:kern w:val="0"/>
          <w:lang w:val="zh-CN" w:bidi="zh-CN"/>
        </w:rPr>
        <w:t>充</w:t>
      </w:r>
      <w:r>
        <w:rPr>
          <w:rFonts w:hint="eastAsia" w:ascii="仿宋_GB2312" w:hAnsi="仿宋_GB2312" w:cs="仿宋_GB2312"/>
          <w:lang w:val="zh-CN"/>
        </w:rPr>
        <w:t>分发挥南阳旅游资源优势，积极对接北京文化旅游部门，加强旅游宣传推介合作，挖掘南阳渠首文化、楚汉文化、长征红色文化、长城历史文化、农耕文化等特色文化内涵，共同举办文旅节和展会，打造卧龙岗、南水北调渠首等特色旅游品牌和线路，推动京宛两地互为旅游客源地和目的地。充分发挥南阳医圣故里和中医药品牌特色，重点向北京市推介一批较为成熟的健康产业园区、养老养生基地等，积极引进北京成熟康养机构来宛开办分支机构，吸引北京市大型医疗机构来宛开办医养结合型养老机构。加强京宛两地在中医研究院所、中医制药企业、中医院校、中医药文博馆等方面合作，打造全国中医药名都。</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spacing w:line="400" w:lineRule="exact"/>
              <w:contextualSpacing/>
              <w:jc w:val="center"/>
              <w:rPr>
                <w:rFonts w:ascii="黑体" w:hAnsi="黑体" w:eastAsia="黑体"/>
                <w:bCs/>
                <w:kern w:val="44"/>
                <w:sz w:val="28"/>
                <w:szCs w:val="28"/>
              </w:rPr>
            </w:pPr>
            <w:r>
              <w:rPr>
                <w:rFonts w:hint="eastAsia" w:ascii="黑体" w:eastAsia="黑体"/>
                <w:sz w:val="28"/>
                <w:szCs w:val="28"/>
              </w:rPr>
              <w:t>专栏1：</w:t>
            </w:r>
            <w:r>
              <w:rPr>
                <w:rFonts w:hint="eastAsia" w:ascii="黑体" w:hAnsi="仿宋" w:eastAsia="黑体" w:cs="仿宋"/>
                <w:kern w:val="0"/>
                <w:sz w:val="28"/>
                <w:szCs w:val="28"/>
                <w:lang w:val="zh-CN" w:bidi="zh-CN"/>
              </w:rPr>
              <w:t>保障京津冀安全重大工程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400" w:lineRule="exact"/>
              <w:ind w:firstLine="480" w:firstLineChars="200"/>
              <w:contextualSpacing/>
              <w:rPr>
                <w:rFonts w:ascii="仿宋_GB2312" w:hAnsi="仿宋_GB2312" w:cs="仿宋_GB2312"/>
                <w:sz w:val="24"/>
                <w:szCs w:val="24"/>
                <w:lang w:val="zh-CN"/>
              </w:rPr>
            </w:pPr>
            <w:r>
              <w:rPr>
                <w:rFonts w:hint="eastAsia" w:ascii="楷体" w:hAnsi="楷体" w:eastAsia="楷体" w:cs="楷体"/>
                <w:bCs/>
                <w:sz w:val="24"/>
                <w:szCs w:val="24"/>
              </w:rPr>
              <w:t>南水北调水质保护工程。</w:t>
            </w:r>
            <w:r>
              <w:rPr>
                <w:rFonts w:hint="eastAsia" w:ascii="仿宋_GB2312" w:hAnsi="仿宋_GB2312" w:cs="仿宋_GB2312"/>
                <w:sz w:val="24"/>
                <w:szCs w:val="24"/>
                <w:lang w:val="zh-CN"/>
              </w:rPr>
              <w:t>完善保水质、护运行长效机制，提升污水、垃圾、厕所革命、固废处理（处置）能力，开展农业面源污染、工业点源污染治理行动。推进水源地生态涵养林、抚育林改造、湿地建设和石漠化治理。开展丹江口环库区复合型生态廊道建设，实施西峡县西坪镇淇河水生态修复工程、内乡县桃溪镇寺河小流域治理、邓州市水源地生态廊道建设等重大项目，建设总干渠沿线绿色生态屏障。建设水源区“空天地潜”一体化监测系统和南水北调配套工程信息化系统。</w:t>
            </w:r>
          </w:p>
          <w:p>
            <w:pPr>
              <w:spacing w:line="400" w:lineRule="exact"/>
              <w:ind w:firstLine="480" w:firstLineChars="200"/>
              <w:contextualSpacing/>
              <w:rPr>
                <w:rFonts w:ascii="仿宋_GB2312" w:hAnsi="仿宋_GB2312" w:cs="仿宋_GB2312"/>
                <w:sz w:val="24"/>
                <w:szCs w:val="24"/>
                <w:lang w:val="zh-CN"/>
              </w:rPr>
            </w:pPr>
            <w:r>
              <w:rPr>
                <w:rFonts w:hint="eastAsia" w:ascii="楷体" w:hAnsi="楷体" w:eastAsia="楷体" w:cs="楷体"/>
                <w:bCs/>
                <w:sz w:val="24"/>
                <w:szCs w:val="24"/>
              </w:rPr>
              <w:t>名优特农产品进京工程。</w:t>
            </w:r>
            <w:r>
              <w:rPr>
                <w:rFonts w:hint="eastAsia" w:ascii="仿宋_GB2312" w:hAnsi="仿宋_GB2312" w:cs="仿宋_GB2312"/>
                <w:sz w:val="24"/>
                <w:szCs w:val="24"/>
                <w:lang w:val="zh-CN"/>
              </w:rPr>
              <w:t>加强基地建设，建立京宛粮食主销区和主产区长效合作机制，支持北京市社会资本和现代农业企业来南阳投资建设农产品生产基地；加强与北京农产品批发市场、大型超市、高校机关、大型电商平台合作，加大农产品进京销售力度，鼓励牧原、想念、仲景、三色鸽、方城烩面、博望坡等本地龙头企业与北京企业建立联产、联营、直销关系；加强服务平台建设，建立进京农产品调度服务中心，组织、协调、筛选进京企业及产品，常态化组织开展特色农产品进京展销活动，打响“中线渠首”“宛品天下”“水源地”“淅有山川”等区域公共品牌。</w:t>
            </w:r>
          </w:p>
          <w:p>
            <w:pPr>
              <w:spacing w:line="400" w:lineRule="exact"/>
              <w:ind w:firstLine="480" w:firstLineChars="200"/>
              <w:contextualSpacing/>
              <w:rPr>
                <w:rFonts w:ascii="仿宋_GB2312" w:hAnsi="仿宋_GB2312" w:cs="仿宋_GB2312"/>
                <w:sz w:val="24"/>
                <w:szCs w:val="24"/>
                <w:lang w:val="zh-CN"/>
              </w:rPr>
            </w:pPr>
            <w:r>
              <w:rPr>
                <w:rFonts w:hint="eastAsia" w:ascii="楷体" w:hAnsi="楷体" w:eastAsia="楷体" w:cs="楷体"/>
                <w:bCs/>
                <w:sz w:val="24"/>
                <w:szCs w:val="24"/>
              </w:rPr>
              <w:t>康养休假南阳行工程。</w:t>
            </w:r>
            <w:r>
              <w:rPr>
                <w:rFonts w:hint="eastAsia" w:ascii="仿宋_GB2312" w:hAnsi="仿宋_GB2312" w:cs="仿宋_GB2312"/>
                <w:sz w:val="24"/>
                <w:szCs w:val="24"/>
                <w:lang w:val="zh-CN"/>
              </w:rPr>
              <w:t>通过开通旅游专列、个性化定制方案等手段，加强南阳康养品牌在京津冀的知晓度、知名度和美誉度，吸引京津冀市民来南阳康养度假。</w:t>
            </w:r>
          </w:p>
          <w:p>
            <w:pPr>
              <w:spacing w:line="400" w:lineRule="exact"/>
              <w:ind w:firstLine="480" w:firstLineChars="200"/>
              <w:contextualSpacing/>
              <w:rPr>
                <w:rFonts w:ascii="仿宋_GB2312" w:hAnsi="仿宋_GB2312" w:cs="仿宋_GB2312"/>
                <w:sz w:val="24"/>
                <w:szCs w:val="24"/>
                <w:lang w:val="zh-CN"/>
              </w:rPr>
            </w:pPr>
            <w:bookmarkStart w:id="1374" w:name="_Toc12424"/>
            <w:bookmarkStart w:id="1375" w:name="_Toc8757"/>
            <w:bookmarkStart w:id="1376" w:name="_Toc31911"/>
            <w:bookmarkStart w:id="1377" w:name="_Toc28081"/>
            <w:r>
              <w:rPr>
                <w:rFonts w:hint="eastAsia" w:ascii="楷体" w:hAnsi="楷体" w:eastAsia="楷体" w:cs="楷体"/>
                <w:bCs/>
                <w:sz w:val="24"/>
                <w:szCs w:val="24"/>
              </w:rPr>
              <w:t>加强节水政绩考核。</w:t>
            </w:r>
            <w:r>
              <w:rPr>
                <w:rFonts w:hint="eastAsia" w:ascii="仿宋_GB2312" w:hAnsi="仿宋_GB2312" w:cs="仿宋_GB2312"/>
                <w:sz w:val="24"/>
                <w:szCs w:val="24"/>
                <w:lang w:val="zh-CN"/>
              </w:rPr>
              <w:t>将节水作为约束性指标纳入政绩考核范围，推动取用水指标与节水成效评估相挂钩，在水资源承载超载地区和地下水超采、禁采和限采区率先推行，建立双控工作督查和责任追究制度。制定行业用水效率准入制度，全面实行取用水计划制定、全过程管理、精准计量，严格限制地下水漏斗区、超过水资源承载力地区建设高耗水项目。严格项目准入和规范管理。</w:t>
            </w:r>
            <w:bookmarkEnd w:id="1374"/>
            <w:bookmarkEnd w:id="1375"/>
            <w:bookmarkEnd w:id="1376"/>
            <w:bookmarkEnd w:id="1377"/>
          </w:p>
          <w:p>
            <w:pPr>
              <w:spacing w:line="400" w:lineRule="exact"/>
              <w:ind w:firstLine="480" w:firstLineChars="200"/>
              <w:contextualSpacing/>
            </w:pPr>
            <w:bookmarkStart w:id="1378" w:name="_Toc17069"/>
            <w:bookmarkStart w:id="1379" w:name="_Toc20504"/>
            <w:bookmarkStart w:id="1380" w:name="_Toc28170"/>
            <w:bookmarkStart w:id="1381" w:name="_Toc26615"/>
            <w:r>
              <w:rPr>
                <w:rFonts w:hint="eastAsia" w:ascii="楷体" w:hAnsi="楷体" w:eastAsia="楷体" w:cs="楷体"/>
                <w:bCs/>
                <w:sz w:val="24"/>
                <w:szCs w:val="24"/>
              </w:rPr>
              <w:t>统筹优化水资源配置。</w:t>
            </w:r>
            <w:r>
              <w:rPr>
                <w:rFonts w:hint="eastAsia" w:ascii="仿宋_GB2312" w:hAnsi="仿宋_GB2312" w:cs="仿宋_GB2312"/>
                <w:sz w:val="24"/>
                <w:szCs w:val="24"/>
                <w:lang w:val="zh-CN"/>
              </w:rPr>
              <w:t>合理使用地表水，控制使用地下水，积极利用非常规水。建设方城贾河等调蓄水库增加南水北调丰水期用水储备，适度降低水资源利用强度。实施地下水超采釆综合治理。制定地下水超采区治理方案，合理调整地下水开采布局，逐年压减和调整地下水开采量，实现釆补平衡。</w:t>
            </w:r>
            <w:bookmarkEnd w:id="1378"/>
            <w:bookmarkEnd w:id="1379"/>
            <w:bookmarkEnd w:id="1380"/>
            <w:bookmarkEnd w:id="1381"/>
          </w:p>
        </w:tc>
      </w:tr>
    </w:tbl>
    <w:p>
      <w:pPr>
        <w:pStyle w:val="7"/>
        <w:spacing w:line="560" w:lineRule="exact"/>
        <w:contextualSpacing/>
        <w:jc w:val="center"/>
        <w:rPr>
          <w:rFonts w:ascii="楷体_GB2312" w:hAnsi="楷体_GB2312" w:eastAsia="楷体_GB2312" w:cs="楷体_GB2312"/>
          <w:b w:val="0"/>
          <w:lang w:val="zh-CN" w:bidi="zh-CN"/>
        </w:rPr>
      </w:pPr>
      <w:bookmarkStart w:id="1382" w:name="_Toc2143533411"/>
      <w:r>
        <w:rPr>
          <w:rFonts w:hint="eastAsia" w:ascii="楷体_GB2312" w:hAnsi="楷体_GB2312" w:eastAsia="楷体_GB2312" w:cs="楷体_GB2312"/>
          <w:b w:val="0"/>
          <w:lang w:val="zh-CN" w:bidi="zh-CN"/>
        </w:rPr>
        <w:t>第二节 打造京津产业转移承接基地</w:t>
      </w:r>
      <w:bookmarkEnd w:id="1382"/>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承接北京产业转移。</w:t>
      </w:r>
      <w:r>
        <w:rPr>
          <w:rFonts w:hint="eastAsia" w:ascii="仿宋_GB2312" w:hAnsi="仿宋_GB2312" w:cs="仿宋_GB2312"/>
          <w:lang w:val="zh-CN"/>
        </w:rPr>
        <w:t>坚持巩固提升传统产业与培育壮大新兴产业并举，研究北京产业转移重点，积极承接产业转移。建立京宛产业转移精准对接机制，加大招商引资力度，积极组织参加京豫（宛）投资推介会，吸引产业链条整体转移和关联产业协同转移，重点争取承接北京智能装备、高端数控装备、数字经济、节能环保装备、电子信息等产业转移。加快建设南阳中关村科技产业园、京宛协作双创示范园等承接产业转移示范区。</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加强新兴产业合作。</w:t>
      </w:r>
      <w:r>
        <w:rPr>
          <w:rFonts w:hint="eastAsia" w:ascii="仿宋_GB2312" w:hAnsi="仿宋_GB2312" w:cs="仿宋_GB2312"/>
          <w:lang w:val="zh-CN"/>
        </w:rPr>
        <w:t>推动与北京在战略性新兴产业的研发设计、配套加工、市场拓展等领域进行有效对接。鼓励北京市新一代信息技术、高端装备、新能源等行业企业在南阳建设生产基地，培育形成一批新兴产业集群。利用北京市互联网平台优势资源，推进南阳移动互联网、大数据、云计算、物联网、工业软件产业发展，加快推进商贸流通、工业生产、金融服务等领域信息化发展。</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推进中医药高质量发展。加</w:t>
      </w:r>
      <w:r>
        <w:rPr>
          <w:rFonts w:hint="eastAsia" w:ascii="仿宋_GB2312" w:hAnsi="仿宋_GB2312" w:cs="仿宋_GB2312"/>
          <w:lang w:val="zh-CN"/>
        </w:rPr>
        <w:t>强两地中医药合作，聚焦传承弘扬中医药文化，推进中医药科研和创新，办好张仲景医药文化节、仲景论坛、仲景书院，提升南阳中医药文化在国内国际的影响力。发展壮大中医药产业，加强南阳适宜产区道地药材优良品种选育，建设一批良种繁育、种植基地。以中医药龙头企业为引领，以中药材物流基地、中医药健康旅游基地为支撑，推动中医药产业高质量发展。</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助推金融业繁荣发展。借</w:t>
      </w:r>
      <w:r>
        <w:rPr>
          <w:rFonts w:hint="eastAsia" w:ascii="仿宋_GB2312" w:hAnsi="仿宋_GB2312" w:cs="仿宋_GB2312"/>
          <w:lang w:val="zh-CN"/>
        </w:rPr>
        <w:t>助北京金融资源集中优势和在京行业协会作用，吸引在京保险、信托、基金等各类金融机构和国外资本，支持南阳经济社会高质量发展。发挥首都金融产业人才集聚和金融机构实践经验丰富的优势，开展政银企对接活动，指导支持南阳提高融资效率，优化融资结构，创新金融产品，更好地服务项目和企业发展。支持南阳市创新型中小企业新三板挂牌、北京证券交易所上市融资。</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搭建商贸交流和展销平台。</w:t>
      </w:r>
      <w:r>
        <w:rPr>
          <w:rFonts w:hint="eastAsia" w:ascii="仿宋_GB2312" w:hAnsi="仿宋_GB2312" w:cs="仿宋_GB2312"/>
          <w:lang w:val="zh-CN"/>
        </w:rPr>
        <w:t>发挥北京市科技、农业、旅游、经贸、人才等各类综合服务平台作用，加强两地企业在技术、资金等方面的合作。鼓励两地商贸企业和特色品牌相互延伸，融合发展。发挥北京会展业优势，鼓励北京会展企业参与南阳大型会展设施建设管理、会展项目承接、会展资源整合和市场推广，推动重点商贸流通企业转型升级。</w:t>
      </w:r>
    </w:p>
    <w:p>
      <w:pPr>
        <w:pStyle w:val="7"/>
        <w:spacing w:line="560" w:lineRule="exact"/>
        <w:contextualSpacing/>
        <w:jc w:val="center"/>
        <w:rPr>
          <w:rFonts w:ascii="楷体_GB2312" w:hAnsi="楷体_GB2312" w:eastAsia="楷体_GB2312" w:cs="楷体_GB2312"/>
          <w:b w:val="0"/>
          <w:lang w:val="zh-CN" w:bidi="zh-CN"/>
        </w:rPr>
      </w:pPr>
      <w:bookmarkStart w:id="1383" w:name="_Toc762311051"/>
      <w:r>
        <w:rPr>
          <w:rFonts w:hint="eastAsia" w:ascii="楷体_GB2312" w:hAnsi="楷体_GB2312" w:eastAsia="楷体_GB2312" w:cs="楷体_GB2312"/>
          <w:b w:val="0"/>
          <w:lang w:val="zh-CN" w:bidi="zh-CN"/>
        </w:rPr>
        <w:t>第三节 打造科技成果转化孵化基地</w:t>
      </w:r>
      <w:bookmarkEnd w:id="1383"/>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加强科技创新合作。</w:t>
      </w:r>
      <w:r>
        <w:rPr>
          <w:rFonts w:hint="eastAsia" w:ascii="仿宋_GB2312" w:hAnsi="仿宋_GB2312" w:cs="仿宋_GB2312"/>
          <w:lang w:val="zh-CN"/>
        </w:rPr>
        <w:t>深化与京津高等院校、科研机构、企业的多层次多领域合作，开展创新资源共享、科技联合攻关、科技成果协同转化，探索共建一批科技创新园区和成果转化基地。依托河南省中科院成果转移转化南阳分中心、南阳高新区，搭建企业技术供需对接平台，强化科技成果转化落地及应用，促进科研成果跨区域转化。鼓励两地产业园区加强合作交流，积极借鉴中关村国家自主创新示范区、北京经济技术开发区成功经验，推动应用科技项目、科研经费、科研平台、科技人才等可推广可复制制度措施，激活南阳创新创业活力。鼓励双方优秀的创业投资企业和创业投资管理团队，开放共享“双创”资源，举办“双创”论坛，吸引优秀的创业投资企业和创业投资管理团队参与南阳创业投资发展。</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推进科技成果转化创新。提</w:t>
      </w:r>
      <w:r>
        <w:rPr>
          <w:rFonts w:hint="eastAsia" w:ascii="仿宋_GB2312" w:hAnsi="仿宋_GB2312" w:cs="仿宋_GB2312"/>
          <w:lang w:val="zh-CN"/>
        </w:rPr>
        <w:t>升创新策源能力，聚焦优势领域、主导产业，瞄准北京各类优质科创资源，积极开展人才技术引进、科研攻关、学术交流等方面的合作，共建一批高水平的产业研究院、重点实验室、创新联盟、院士专家工作站、博士后科研工作站等。重点在汽车及零部件制造、新能源、新材料、电子信息、医药、农副产品深加工等方面，开展研发、生产、加工、销售等全链条合作。重点打造中关村南阳协同发展创新中心、谯士彦院士工作站、南阳农科院种质创新示范基地、西峡食用菌研究中心等重要平台。</w:t>
      </w:r>
    </w:p>
    <w:p>
      <w:pPr>
        <w:spacing w:line="560" w:lineRule="exact"/>
        <w:ind w:firstLine="640" w:firstLineChars="200"/>
        <w:contextualSpacing/>
        <w:rPr>
          <w:b/>
          <w:lang w:val="zh-CN"/>
        </w:rPr>
      </w:pPr>
      <w:r>
        <w:rPr>
          <w:rFonts w:hint="eastAsia" w:ascii="仿宋_GB2312" w:hAnsi="仿宋_GB2312" w:cs="仿宋_GB2312"/>
          <w:lang w:val="zh-CN"/>
        </w:rPr>
        <w:t>加快推动技术协作转化。建立人才智力对口协作长效机制，探索建立共享专家人才库，共享科技人才，推动北京“院士专家南阳行”常态化。搭建合作平台，发挥院士专家工作站平台作用，为南阳经济社会发展提供智力支持。探索“揭榜挂帅”机制，支持“双百行动”参与企业和“院士专家南阳行”对接成效显著企业，推动科技成果转化，打造对口协作科技创新交流合作示范样板，成为北京产业转移承接和科技成果转化基地。</w:t>
      </w:r>
    </w:p>
    <w:p>
      <w:pPr>
        <w:pStyle w:val="7"/>
        <w:spacing w:line="560" w:lineRule="exact"/>
        <w:contextualSpacing/>
        <w:jc w:val="center"/>
        <w:rPr>
          <w:rFonts w:ascii="楷体_GB2312" w:hAnsi="楷体_GB2312" w:eastAsia="楷体_GB2312" w:cs="楷体_GB2312"/>
          <w:b w:val="0"/>
          <w:lang w:val="zh-CN" w:bidi="zh-CN"/>
        </w:rPr>
      </w:pPr>
      <w:bookmarkStart w:id="1384" w:name="_Toc322203414"/>
      <w:r>
        <w:rPr>
          <w:rFonts w:hint="eastAsia" w:ascii="楷体_GB2312" w:hAnsi="楷体_GB2312" w:eastAsia="楷体_GB2312" w:cs="楷体_GB2312"/>
          <w:b w:val="0"/>
          <w:lang w:val="zh-CN" w:bidi="zh-CN"/>
        </w:rPr>
        <w:t>第四节 打造民生服务共享基地</w:t>
      </w:r>
      <w:bookmarkEnd w:id="1384"/>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精准提升民生保障。在</w:t>
      </w:r>
      <w:r>
        <w:rPr>
          <w:rFonts w:hint="eastAsia" w:ascii="仿宋_GB2312" w:hAnsi="仿宋_GB2312" w:cs="仿宋_GB2312"/>
          <w:lang w:val="zh-CN"/>
        </w:rPr>
        <w:t>教育、公共卫生、文旅等领域广泛合作，通过培训交流、合作办学（医）、远程教育（诊疗），推动与北京高校、医院开展结对合作。中心城区每年实施教育、医疗、文旅、养老类项目4个以上；水源地4县（市）通过合作共建、挂牌分校（分院）等形式，引进北京教育、医疗机构10家以上，社会事业发展水平有效提高。</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深化教育领域合作。</w:t>
      </w:r>
      <w:r>
        <w:rPr>
          <w:rFonts w:hint="eastAsia" w:ascii="仿宋_GB2312" w:hAnsi="仿宋_GB2312" w:cs="仿宋_GB2312"/>
          <w:lang w:val="zh-CN"/>
        </w:rPr>
        <w:t>建立和完善基础教育交流培训机制，深化中小学校交流合作，选派教师进行跟岗研修，邀请北京骨干教师到南阳开展示范课教学，依托两地骨干教师、学科名师，定期开展集中教学研讨，相互分享优质教学资源和成功经验。鼓励高校围绕优势特色学科、重点实验室、在线开放课程等方面开展战略合作和人才培养，开展重点学科共建、联合培养本科生和研究生，开展科研技术合作，共享线上资源，共同申报科研创新项目，开展技术攻关。推进职业教育合作交流，加强重点专业和实训基地建设，深化校企合作，促进产教融合。建立面向京津豫区域市场需求的职业教育服务模式，壮大“工匠式”人才队伍。</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加快医疗资源共建共享。</w:t>
      </w:r>
      <w:r>
        <w:rPr>
          <w:rFonts w:hint="eastAsia" w:ascii="仿宋_GB2312" w:hAnsi="仿宋_GB2312" w:cs="仿宋_GB2312"/>
          <w:lang w:val="zh-CN"/>
        </w:rPr>
        <w:t>推动北京优质医疗资源继续通过对口支援、共建共管、办分院等方式与南阳共建医疗联合体或医院集团，支持北京重点医院专业特色科室入驻南阳。建立市、县、区三级综合性医院、专科医院等多层次卫生健康对口协作机制，积极开展“手拉手”结对。市级医院要探索与北京市三级综合性医院、中医医院建立远程会诊系统，重点搭建核心水源区急危重症协同救治平台，推进多发、易发病病理研究及救治重点实验室项目建设、淅川县渠首移民医院建设、重点医学专科技术协作等项目。完善门诊通用病例、双向转诊、转检、会诊、联网等合作机制。建立急救医疗网络体系，实现急救网络互通和急救信息共享。加强两地医技合作，争取北京市选派医疗专家进行驻点帮扶。鼓励两地医疗机构组建医联体，开展两地医疗从业人员交流互访。</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spacing w:line="400" w:lineRule="exact"/>
              <w:contextualSpacing/>
              <w:jc w:val="center"/>
              <w:rPr>
                <w:rFonts w:ascii="楷体" w:hAnsi="楷体" w:eastAsia="楷体" w:cs="楷体"/>
                <w:bCs/>
                <w:sz w:val="24"/>
                <w:szCs w:val="24"/>
              </w:rPr>
            </w:pPr>
            <w:r>
              <w:rPr>
                <w:rFonts w:hint="eastAsia" w:ascii="黑体" w:eastAsia="黑体"/>
                <w:sz w:val="28"/>
                <w:szCs w:val="28"/>
              </w:rPr>
              <w:t>专栏2：民生服务共享重大工程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spacing w:line="400" w:lineRule="exact"/>
              <w:ind w:firstLine="480" w:firstLineChars="200"/>
              <w:contextualSpacing/>
              <w:rPr>
                <w:rFonts w:ascii="仿宋_GB2312" w:hAnsi="仿宋_GB2312" w:cs="仿宋_GB2312"/>
                <w:sz w:val="24"/>
                <w:szCs w:val="24"/>
                <w:lang w:val="zh-CN"/>
              </w:rPr>
            </w:pPr>
            <w:r>
              <w:rPr>
                <w:rFonts w:hint="eastAsia" w:ascii="楷体" w:hAnsi="楷体" w:eastAsia="楷体" w:cs="楷体"/>
                <w:bCs/>
                <w:sz w:val="24"/>
                <w:szCs w:val="24"/>
              </w:rPr>
              <w:t>医疗卫生携手工程。</w:t>
            </w:r>
            <w:r>
              <w:rPr>
                <w:rFonts w:hint="eastAsia" w:ascii="仿宋_GB2312" w:hAnsi="仿宋_GB2312" w:cs="仿宋_GB2312"/>
                <w:sz w:val="24"/>
                <w:szCs w:val="24"/>
                <w:lang w:val="zh-CN"/>
              </w:rPr>
              <w:t>建立两地医疗机构常态化合作机制，定期开展医疗领域重点学术研究。探索北京市综合性医院、疾病预防控制机构等与南阳建立远程会诊系统，开展疑难急重症诊治；探索在南阳设立北京医疗院士专家工作站，提供技术指导，提高城乡医疗卫生服务水平。开展两地医疗从业人员交流互访，探索“组团式”培养人才模式，聚焦重点科室，支持水源区“组团式”选派医疗人员到北京跟岗学习锻炼，实现示范引导作用。加强两地医技合作，支持北京市知名医疗机构到水源区设立分院或合作办院，推进协同创新，实现共建共享。支持一批有示范带动作用的基层医疗公共服务项目。实施国家区域医疗中心、张仲景国医大学等重点项目。</w:t>
            </w:r>
          </w:p>
          <w:p>
            <w:pPr>
              <w:spacing w:line="400" w:lineRule="exact"/>
              <w:ind w:firstLine="480" w:firstLineChars="200"/>
              <w:contextualSpacing/>
              <w:rPr>
                <w:rFonts w:ascii="仿宋_GB2312" w:hAnsi="仿宋_GB2312" w:cs="仿宋_GB2312"/>
                <w:sz w:val="24"/>
                <w:szCs w:val="24"/>
                <w:lang w:val="zh-CN"/>
              </w:rPr>
            </w:pPr>
            <w:r>
              <w:rPr>
                <w:rFonts w:hint="eastAsia" w:ascii="楷体" w:hAnsi="楷体" w:eastAsia="楷体" w:cs="楷体"/>
                <w:bCs/>
                <w:sz w:val="24"/>
                <w:szCs w:val="24"/>
              </w:rPr>
              <w:t>教育能力提升工程。</w:t>
            </w:r>
            <w:r>
              <w:rPr>
                <w:rFonts w:hint="eastAsia" w:ascii="仿宋_GB2312" w:hAnsi="仿宋_GB2312" w:cs="仿宋_GB2312"/>
                <w:sz w:val="24"/>
                <w:szCs w:val="24"/>
                <w:lang w:val="zh-CN"/>
              </w:rPr>
              <w:t>积极推进两地师资培训及合作办学，邀请北京骨干教师到水源区开展示范课教学。支持利用现有科技手段，完善远程教育网络，实现两地教育资源共享，推动水源区基础教育水平提升。加强两地职业教育协作，深化师资合作，积极推进中职学校学生联合培养工作，鼓励北京市职业院校对水源区实行招生优惠，探索北京市职业院校在水源区创建分校。支持一批有示范带动作用的基层教育公共服务项目。</w:t>
            </w:r>
          </w:p>
          <w:p>
            <w:pPr>
              <w:spacing w:line="400" w:lineRule="exact"/>
              <w:ind w:firstLine="480" w:firstLineChars="200"/>
              <w:contextualSpacing/>
              <w:rPr>
                <w:rFonts w:ascii="楷体" w:hAnsi="楷体" w:eastAsia="楷体" w:cs="楷体"/>
                <w:bCs/>
                <w:sz w:val="24"/>
                <w:szCs w:val="24"/>
              </w:rPr>
            </w:pPr>
            <w:r>
              <w:rPr>
                <w:rFonts w:hint="eastAsia" w:ascii="楷体" w:hAnsi="楷体" w:eastAsia="楷体" w:cs="楷体"/>
                <w:bCs/>
                <w:sz w:val="24"/>
                <w:szCs w:val="24"/>
              </w:rPr>
              <w:t>高校结对共建共享工程。</w:t>
            </w:r>
            <w:r>
              <w:rPr>
                <w:rFonts w:hint="eastAsia" w:ascii="仿宋_GB2312" w:hAnsi="仿宋_GB2312" w:cs="仿宋_GB2312"/>
                <w:sz w:val="24"/>
                <w:szCs w:val="24"/>
                <w:lang w:val="zh-CN"/>
              </w:rPr>
              <w:t>继续引导支持两地高等院校开展结对协作，加强交流合作，重点学科共建，联合培养本科生和研究生；鼓励共建国家重点实验室，开展科研技术合作，共享线上资源，共同申报科研创新项目，开展技术攻关；选派青年骨干教师开展短中期进修，提升教师专业能力和研究水平，推动高校高质量发展。</w:t>
            </w:r>
          </w:p>
        </w:tc>
      </w:tr>
    </w:tbl>
    <w:p>
      <w:pPr>
        <w:pStyle w:val="7"/>
        <w:spacing w:line="560" w:lineRule="exact"/>
        <w:contextualSpacing/>
        <w:jc w:val="center"/>
        <w:rPr>
          <w:rFonts w:ascii="楷体_GB2312" w:hAnsi="楷体_GB2312" w:eastAsia="楷体_GB2312" w:cs="楷体_GB2312"/>
          <w:lang w:val="zh-CN"/>
        </w:rPr>
      </w:pPr>
      <w:bookmarkStart w:id="1385" w:name="_Toc466179951"/>
      <w:r>
        <w:rPr>
          <w:rFonts w:hint="eastAsia" w:ascii="楷体_GB2312" w:hAnsi="楷体_GB2312" w:eastAsia="楷体_GB2312" w:cs="楷体_GB2312"/>
          <w:b w:val="0"/>
          <w:lang w:val="zh-CN" w:bidi="zh-CN"/>
        </w:rPr>
        <w:t>第五节</w:t>
      </w:r>
      <w:r>
        <w:rPr>
          <w:rFonts w:hint="eastAsia" w:ascii="楷体_GB2312" w:hAnsi="楷体_GB2312" w:eastAsia="楷体_GB2312" w:cs="楷体_GB2312"/>
          <w:b w:val="0"/>
          <w:lang w:bidi="zh-CN"/>
        </w:rPr>
        <w:t xml:space="preserve"> 打造跨区域人才交流基地</w:t>
      </w:r>
      <w:bookmarkEnd w:id="1385"/>
    </w:p>
    <w:p>
      <w:pPr>
        <w:spacing w:line="560" w:lineRule="exact"/>
        <w:ind w:firstLine="640" w:firstLineChars="200"/>
        <w:contextualSpacing/>
        <w:rPr>
          <w:rFonts w:ascii="仿宋_GB2312" w:hAnsi="仿宋_GB2312" w:cs="仿宋_GB2312"/>
          <w:kern w:val="0"/>
          <w:lang w:val="zh-CN" w:bidi="zh-CN"/>
        </w:rPr>
      </w:pPr>
      <w:r>
        <w:rPr>
          <w:rFonts w:hint="eastAsia" w:ascii="仿宋_GB2312" w:hAnsi="仿宋_GB2312" w:cs="仿宋_GB2312"/>
          <w:kern w:val="0"/>
          <w:lang w:val="zh-CN" w:bidi="zh-CN"/>
        </w:rPr>
        <w:t>持续开展干部人才双向交流挂职。</w:t>
      </w:r>
      <w:r>
        <w:rPr>
          <w:rFonts w:hint="eastAsia" w:ascii="仿宋_GB2312" w:hAnsi="仿宋_GB2312" w:cs="仿宋_GB2312"/>
          <w:lang w:val="zh-CN"/>
        </w:rPr>
        <w:t>继续实施党政干部、企业管理人员、专业人才双向挂职交流、锻炼、培养，发挥挂职干部人才桥梁纽带作用，促进两地优势产业、资源对接，加强政务、商务交流合作。采取上挂下派锻炼、横向交流等形式，每年互派一批干部人才、企业管理人才到北京对口部门和企事业单位挂职学习，加强挂职干部管理，实行干部挂职述职报告制度，进一步增强责任</w:t>
      </w:r>
      <w:r>
        <w:rPr>
          <w:rFonts w:hint="eastAsia" w:ascii="仿宋_GB2312" w:hAnsi="仿宋_GB2312" w:cs="仿宋_GB2312"/>
          <w:kern w:val="0"/>
          <w:lang w:val="zh-CN" w:bidi="zh-CN"/>
        </w:rPr>
        <w:t>感。</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探索“组团式”培训培养专业技术人才模式。</w:t>
      </w:r>
      <w:r>
        <w:rPr>
          <w:rFonts w:hint="eastAsia" w:ascii="仿宋_GB2312" w:hAnsi="仿宋_GB2312" w:cs="仿宋_GB2312"/>
          <w:lang w:val="zh-CN"/>
        </w:rPr>
        <w:t>依托北京市高等院校、科技企业，采取研企合作、校企合作、定向培养、合作办学等模式，围绕南阳生态经济发展、传统产业升级、生态环境保护、综合防灾减灾、教育医疗文化等领域紧缺的专业人才，探索“组团式”模式，为南阳培训培养专业技术人才和实用人才。依托南水北调干部学院，定期联合开办高质量发展、城市管理与基层治理、乡村振兴等主题培训。定期选派专家对水源区农村劳动力进行技能培训，提高自我发展能力。</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创新人才合作模式。</w:t>
      </w:r>
      <w:r>
        <w:rPr>
          <w:rFonts w:hint="eastAsia" w:ascii="仿宋_GB2312" w:hAnsi="仿宋_GB2312" w:cs="仿宋_GB2312"/>
          <w:lang w:val="zh-CN"/>
        </w:rPr>
        <w:t>支持南水北调干部学院同北京、天津市委党校、行政学院开展合作交流，定期邀请北京党政培训班来宛社会实践或党政干部、专家学者开办主题培训。积极与北京对接建设水源区劳动力转移就业培训基地，建立完善京宛劳务输出合作对接联动机制和人力资源市场信息共享平台。加快清华大学南阳科创中心建设。充分利用人大国发院、北京院士专家的技术成果优势，搭建京宛常态化高层次人才智力合作交流平台，着力引进一批高水平的科技领军人才、学科带头人、高素质企业家队伍。</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加强民间交往交流。</w:t>
      </w:r>
      <w:r>
        <w:rPr>
          <w:rFonts w:hint="eastAsia" w:ascii="仿宋_GB2312" w:hAnsi="仿宋_GB2312" w:cs="仿宋_GB2312"/>
          <w:lang w:val="zh-CN"/>
        </w:rPr>
        <w:t>鼓励两地工商联、工会、团委、妇联、侨联、商会、协会、专业合作社等群团组织、社会团体和民间组织开展洽谈、产品展销、项目推介、招商引资等各类对接交流活动，积极为两地经贸合作牵线搭桥。高端借智常态化，每年举办高水平专题论坛2次以上，开展重大支撑性研究课题3～4个，人才培养制度化，优秀企业家赴京培训持续开展。到“十四五”末，市直和水源地4县（市）与北京结对区干部挂职交流达到100人次以上。</w:t>
      </w:r>
    </w:p>
    <w:p>
      <w:pPr>
        <w:pStyle w:val="6"/>
        <w:spacing w:line="560" w:lineRule="exact"/>
        <w:ind w:firstLine="640"/>
        <w:contextualSpacing/>
        <w:jc w:val="center"/>
        <w:rPr>
          <w:lang w:val="zh-CN"/>
        </w:rPr>
      </w:pPr>
      <w:bookmarkStart w:id="1386" w:name="_Toc663781751"/>
      <w:r>
        <w:rPr>
          <w:rFonts w:hint="eastAsia" w:ascii="黑体" w:hAnsi="黑体" w:cs="黑体"/>
          <w:szCs w:val="32"/>
          <w:lang w:val="zh-CN"/>
        </w:rPr>
        <w:t>第四章 深度链接长三角，打造对接沿海经济带新枢纽</w:t>
      </w:r>
      <w:bookmarkEnd w:id="1386"/>
    </w:p>
    <w:p>
      <w:pPr>
        <w:spacing w:line="560" w:lineRule="exact"/>
        <w:ind w:firstLine="640" w:firstLineChars="200"/>
        <w:contextualSpacing/>
        <w:rPr>
          <w:b/>
          <w:lang w:val="zh-CN"/>
        </w:rPr>
      </w:pPr>
      <w:r>
        <w:rPr>
          <w:rFonts w:hint="eastAsia" w:ascii="仿宋_GB2312" w:hAnsi="仿宋_GB2312" w:cs="仿宋_GB2312"/>
          <w:lang w:val="zh-CN"/>
        </w:rPr>
        <w:t>抢抓打通大陆桥走廊机遇，畅通东向通道，协同打造中原——长三角经济走廊，推进南信合高铁等重大项目建设，实现与上海、南京等长三角主要城市的对接融合，学习借鉴先进地区经验，促进交通基础设施、市场、产业、资本、人才等方面的深度融合。</w:t>
      </w:r>
    </w:p>
    <w:p>
      <w:pPr>
        <w:pStyle w:val="7"/>
        <w:spacing w:line="560" w:lineRule="exact"/>
        <w:contextualSpacing/>
        <w:jc w:val="center"/>
        <w:rPr>
          <w:rFonts w:ascii="楷体_GB2312" w:hAnsi="楷体_GB2312" w:eastAsia="楷体_GB2312" w:cs="楷体_GB2312"/>
          <w:b w:val="0"/>
          <w:lang w:val="zh-CN" w:bidi="zh-CN"/>
        </w:rPr>
      </w:pPr>
      <w:bookmarkStart w:id="1387" w:name="_Toc2132212343"/>
      <w:r>
        <w:rPr>
          <w:rFonts w:hint="eastAsia" w:ascii="楷体_GB2312" w:hAnsi="楷体_GB2312" w:eastAsia="楷体_GB2312" w:cs="楷体_GB2312"/>
          <w:b w:val="0"/>
          <w:lang w:val="zh-CN" w:bidi="zh-CN"/>
        </w:rPr>
        <w:t>第一节</w:t>
      </w:r>
      <w:r>
        <w:rPr>
          <w:rFonts w:hint="eastAsia" w:ascii="楷体_GB2312" w:hAnsi="楷体_GB2312" w:eastAsia="楷体_GB2312" w:cs="楷体_GB2312"/>
          <w:b w:val="0"/>
          <w:lang w:bidi="zh-CN"/>
        </w:rPr>
        <w:t xml:space="preserve"> </w:t>
      </w:r>
      <w:r>
        <w:rPr>
          <w:rFonts w:hint="eastAsia" w:ascii="楷体_GB2312" w:hAnsi="楷体_GB2312" w:eastAsia="楷体_GB2312" w:cs="楷体_GB2312"/>
          <w:b w:val="0"/>
          <w:lang w:val="zh-CN" w:bidi="zh-CN"/>
        </w:rPr>
        <w:t>基础设施互联互通优选地</w:t>
      </w:r>
      <w:bookmarkEnd w:id="1387"/>
    </w:p>
    <w:p>
      <w:pPr>
        <w:spacing w:line="560" w:lineRule="exact"/>
        <w:ind w:firstLine="640" w:firstLineChars="200"/>
        <w:contextualSpacing/>
        <w:rPr>
          <w:b/>
          <w:lang w:val="zh-CN"/>
        </w:rPr>
      </w:pPr>
      <w:r>
        <w:rPr>
          <w:rFonts w:hint="eastAsia" w:ascii="仿宋_GB2312" w:hAnsi="仿宋_GB2312" w:cs="仿宋_GB2312"/>
          <w:lang w:val="zh-CN"/>
        </w:rPr>
        <w:t>着眼连通长三角，打通东向交通物流大通道和中原—长三角经济走廊，为新时代推动南阳高质量发展提供有力支撑。构建中原—长三角经济走廊南线通道，以交通为先导，统筹推进跨区域基础设施建设，形成互联互通、分工合作、共建共享的基础设施体系，增强区域协同发展的支撑保障。推进唐河、白河航道建设，建成南阳港等港区，联通长江水道。打通南信合高铁通道。加密南阳到长三角城市间航线航班数量。</w:t>
      </w:r>
    </w:p>
    <w:p>
      <w:pPr>
        <w:pStyle w:val="7"/>
        <w:spacing w:line="560" w:lineRule="exact"/>
        <w:contextualSpacing/>
        <w:jc w:val="center"/>
        <w:rPr>
          <w:rFonts w:ascii="楷体_GB2312" w:hAnsi="楷体_GB2312" w:eastAsia="楷体_GB2312" w:cs="楷体_GB2312"/>
          <w:b w:val="0"/>
          <w:lang w:val="zh-CN" w:bidi="zh-CN"/>
        </w:rPr>
      </w:pPr>
      <w:bookmarkStart w:id="1388" w:name="_Toc342771468"/>
      <w:r>
        <w:rPr>
          <w:rFonts w:hint="eastAsia" w:ascii="楷体_GB2312" w:hAnsi="楷体_GB2312" w:eastAsia="楷体_GB2312" w:cs="楷体_GB2312"/>
          <w:b w:val="0"/>
          <w:lang w:bidi="zh-CN"/>
        </w:rPr>
        <w:t>第</w:t>
      </w:r>
      <w:r>
        <w:rPr>
          <w:rFonts w:hint="eastAsia" w:ascii="楷体_GB2312" w:hAnsi="楷体_GB2312" w:eastAsia="楷体_GB2312" w:cs="楷体_GB2312"/>
          <w:b w:val="0"/>
          <w:lang w:val="zh-CN" w:bidi="zh-CN"/>
        </w:rPr>
        <w:t>二</w:t>
      </w:r>
      <w:r>
        <w:rPr>
          <w:rFonts w:hint="eastAsia" w:ascii="楷体_GB2312" w:hAnsi="楷体_GB2312" w:eastAsia="楷体_GB2312" w:cs="楷体_GB2312"/>
          <w:b w:val="0"/>
          <w:lang w:bidi="zh-CN"/>
        </w:rPr>
        <w:t xml:space="preserve">节 </w:t>
      </w:r>
      <w:r>
        <w:rPr>
          <w:rFonts w:hint="eastAsia" w:ascii="楷体_GB2312" w:hAnsi="楷体_GB2312" w:eastAsia="楷体_GB2312" w:cs="楷体_GB2312"/>
          <w:b w:val="0"/>
          <w:lang w:val="zh-CN" w:bidi="zh-CN"/>
        </w:rPr>
        <w:t>承接产业转移优选地</w:t>
      </w:r>
      <w:bookmarkEnd w:id="1388"/>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突出产业承接重点。</w:t>
      </w:r>
      <w:r>
        <w:rPr>
          <w:rFonts w:hint="eastAsia" w:ascii="仿宋_GB2312" w:hAnsi="仿宋_GB2312" w:cs="仿宋_GB2312"/>
          <w:lang w:val="zh-CN"/>
        </w:rPr>
        <w:t>推动先进制造业智能化升级，支持新能源汽车、节能环保装备、智能装备制造等制造领域的合作交流，促进南阳数字化技术与先进制造业深度融合，助力先进制造业产业体系的形成。支持长三角地区大型装备制造企业在南阳设立研发制造基地。加强战略性新兴产业合作，在南阳培育和打造具有全国影响力的战略性新兴产业基地。加快与长三角地区在新一代信息技术、新材料、现代医药等产业合作，鼓励两地企业加强产业配套协作，共同培育一批大企业、大集团。充分利用长三角地区数字经济领先优势，加强两地在工业互联网、云计算、大数据等方面的深入合作。</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构建产业转移平台。以</w:t>
      </w:r>
      <w:r>
        <w:rPr>
          <w:rFonts w:hint="eastAsia" w:ascii="仿宋_GB2312" w:hAnsi="仿宋_GB2312" w:cs="仿宋_GB2312"/>
          <w:lang w:val="zh-CN"/>
        </w:rPr>
        <w:t>进口博览会等国家级功能平台为载体，以开发区为依托，积极承接长三角地区中心区工程机械、轻工食品、纺织服装等传统产业升级转移，有序承接新型、绿色化工业，力争骨干企业迁移布点、相关企业配套跟进、全产业链高质量承接。积极引进长三角地区的先进经验、管理团队，创新管理体制和运行机制，鼓励发展“飞地”园区，通过委托管理、投资合作等多种形式与长三角地区合作共建“区中园”。</w:t>
      </w:r>
    </w:p>
    <w:p>
      <w:pPr>
        <w:spacing w:line="560" w:lineRule="exact"/>
        <w:ind w:firstLine="640" w:firstLineChars="200"/>
        <w:contextualSpacing/>
        <w:rPr>
          <w:b/>
          <w:lang w:val="zh-CN"/>
        </w:rPr>
      </w:pPr>
      <w:r>
        <w:rPr>
          <w:rFonts w:hint="eastAsia" w:ascii="仿宋_GB2312" w:hAnsi="仿宋_GB2312" w:cs="仿宋_GB2312"/>
          <w:kern w:val="0"/>
          <w:lang w:val="zh-CN" w:bidi="zh-CN"/>
        </w:rPr>
        <w:t>完善产业转移机制。探</w:t>
      </w:r>
      <w:r>
        <w:rPr>
          <w:rFonts w:hint="eastAsia" w:ascii="仿宋_GB2312" w:hAnsi="仿宋_GB2312" w:cs="仿宋_GB2312"/>
          <w:lang w:val="zh-CN"/>
        </w:rPr>
        <w:t>索建立跨区域产业转移、重大基础设施建设、园区合作的成本分担机制、税收利益分享机制、利益争端处理机制，完善促进产业承接转移的支持政策。强化公共服务支撑，发展跨区域产业技术创新战略联盟。充分发挥长三角行业协会、商会的桥梁和纽带作用，推动建立区域间产业转移统筹协调机制、重大承接项目促进服务机制。</w:t>
      </w:r>
    </w:p>
    <w:p>
      <w:pPr>
        <w:pStyle w:val="7"/>
        <w:spacing w:line="560" w:lineRule="exact"/>
        <w:contextualSpacing/>
        <w:jc w:val="center"/>
        <w:rPr>
          <w:rFonts w:ascii="楷体_GB2312" w:hAnsi="楷体_GB2312" w:eastAsia="楷体_GB2312" w:cs="楷体_GB2312"/>
          <w:b w:val="0"/>
          <w:lang w:val="zh-CN" w:bidi="zh-CN"/>
        </w:rPr>
      </w:pPr>
      <w:bookmarkStart w:id="1389" w:name="_Toc1995576350"/>
      <w:r>
        <w:rPr>
          <w:rFonts w:hint="eastAsia" w:ascii="楷体_GB2312" w:hAnsi="楷体_GB2312" w:eastAsia="楷体_GB2312" w:cs="楷体_GB2312"/>
          <w:b w:val="0"/>
          <w:lang w:bidi="zh-CN"/>
        </w:rPr>
        <w:t>第</w:t>
      </w:r>
      <w:r>
        <w:rPr>
          <w:rFonts w:hint="eastAsia" w:ascii="楷体_GB2312" w:hAnsi="楷体_GB2312" w:eastAsia="楷体_GB2312" w:cs="楷体_GB2312"/>
          <w:b w:val="0"/>
          <w:lang w:val="zh-CN" w:bidi="zh-CN"/>
        </w:rPr>
        <w:t>三</w:t>
      </w:r>
      <w:r>
        <w:rPr>
          <w:rFonts w:hint="eastAsia" w:ascii="楷体_GB2312" w:hAnsi="楷体_GB2312" w:eastAsia="楷体_GB2312" w:cs="楷体_GB2312"/>
          <w:b w:val="0"/>
          <w:lang w:bidi="zh-CN"/>
        </w:rPr>
        <w:t xml:space="preserve">节 </w:t>
      </w:r>
      <w:r>
        <w:rPr>
          <w:rFonts w:hint="eastAsia" w:ascii="楷体_GB2312" w:hAnsi="楷体_GB2312" w:eastAsia="楷体_GB2312" w:cs="楷体_GB2312"/>
          <w:b w:val="0"/>
          <w:lang w:val="zh-CN" w:bidi="zh-CN"/>
        </w:rPr>
        <w:t>重点领域务实合作优选地</w:t>
      </w:r>
      <w:bookmarkEnd w:id="1389"/>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推动科技创新领域合作。推</w:t>
      </w:r>
      <w:r>
        <w:rPr>
          <w:rFonts w:hint="eastAsia" w:ascii="仿宋_GB2312" w:hAnsi="仿宋_GB2312" w:cs="仿宋_GB2312"/>
          <w:lang w:val="zh-CN"/>
        </w:rPr>
        <w:t>动跨区域科技攻关和科研合作，积极支持南阳高校和科研院所、企业等与长三角地区相关单位合作共建重点实验室、省级工程（技术）研究中心，在大数据、云计算、通用航空、生物产业等重点领域联合开展技术攻关。加快推动南阳农业科技园与长三角地区科研院所、农业科技企业合作。鼓励两地</w:t>
      </w:r>
      <w:r>
        <w:rPr>
          <w:rFonts w:hint="eastAsia" w:ascii="仿宋_GB2312" w:hAnsi="仿宋_GB2312" w:cs="仿宋_GB2312"/>
          <w:kern w:val="0"/>
          <w:lang w:val="zh-CN" w:bidi="zh-CN"/>
        </w:rPr>
        <w:t>职业院校、行业企业开展校校合作和校企合作。共建职业技能鉴定中心和实训基地。推动“双</w:t>
      </w:r>
      <w:r>
        <w:rPr>
          <w:rFonts w:hint="eastAsia" w:ascii="仿宋_GB2312" w:hAnsi="仿宋_GB2312" w:cs="仿宋_GB2312"/>
          <w:lang w:val="zh-CN"/>
        </w:rPr>
        <w:t>创”资源共享和平台共建，鼓励和支持南阳科技企业孵化器、众创空间等双创载体在长三角地区建立离岸孵化器，搭建双创资源共享共建平台。鼓励、引导长三角地区企业、高校、科研机构等单位积极参与南阳产业技术创新战略联盟建设，开展关键核心技术攻关及科技成果转移转化等方面合作。</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深化消费双向互动。</w:t>
      </w:r>
      <w:r>
        <w:rPr>
          <w:rFonts w:hint="eastAsia" w:ascii="仿宋_GB2312" w:hAnsi="仿宋_GB2312" w:cs="仿宋_GB2312"/>
          <w:lang w:val="zh-CN"/>
        </w:rPr>
        <w:t>做好南阳农产品东送的调研、宣传、展示、对接、推广工作，积极拓展南阳特色农产品在长三角地区的市场。深度开展文旅市场合作开发，加强提升与长三角地区各城市通达性与便利度，形成“快进慢游”、功能完善、特色突出、服务优良的旅游交通网络。增强康养产业吸引力，提升旅游服务内涵和品质，吸引长三角地区企业投资南阳康养产业。</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协同推进对外开放。</w:t>
      </w:r>
      <w:r>
        <w:rPr>
          <w:rFonts w:hint="eastAsia" w:ascii="仿宋_GB2312" w:hAnsi="仿宋_GB2312" w:cs="仿宋_GB2312"/>
          <w:lang w:val="zh-CN"/>
        </w:rPr>
        <w:t>全面对接中国（上海）自由贸易试验区、虹桥国际开放枢纽等高水平开放平台，充分利用长三角地区国际贸易市场和国际结算便利，开拓国际市场。加强对接长三角地区海洋经济发展示范区战略，推动南阳“内贸外运”航线、中欧班列与舟山港、连云港等相关港口对接合作。推进两地国际贸易“单一窗口”建设协作及互联互通，逐步拓展空中开放通道建设。</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创建南阳生态保护与建设示范区。</w:t>
      </w:r>
      <w:r>
        <w:rPr>
          <w:rFonts w:hint="eastAsia" w:ascii="仿宋_GB2312" w:hAnsi="仿宋_GB2312" w:cs="仿宋_GB2312"/>
          <w:lang w:val="zh-CN"/>
        </w:rPr>
        <w:t>学习借鉴长三角生态建设成功经验，建设沿淮生态屏障。加强南水北调中线源头区水土流失治理，保护生物多样性，充分发挥森林的综合效益。在桐柏山生态区大力植树造林，提高混交林比例，提高林地生产力。建立和完善跨区域环境保护机制，实施环境监管联动，协同建立健全生态保护补偿机制。</w:t>
      </w:r>
    </w:p>
    <w:p>
      <w:pPr>
        <w:pStyle w:val="7"/>
        <w:spacing w:line="560" w:lineRule="exact"/>
        <w:contextualSpacing/>
        <w:jc w:val="center"/>
        <w:rPr>
          <w:rFonts w:ascii="楷体_GB2312" w:hAnsi="楷体_GB2312" w:eastAsia="楷体_GB2312" w:cs="楷体_GB2312"/>
          <w:lang w:val="zh-CN"/>
        </w:rPr>
      </w:pPr>
      <w:bookmarkStart w:id="1390" w:name="_Toc1578988656"/>
      <w:r>
        <w:rPr>
          <w:rFonts w:hint="eastAsia" w:ascii="楷体_GB2312" w:hAnsi="楷体_GB2312" w:eastAsia="楷体_GB2312" w:cs="楷体_GB2312"/>
          <w:b w:val="0"/>
          <w:lang w:bidi="zh-CN"/>
        </w:rPr>
        <w:t>第</w:t>
      </w:r>
      <w:r>
        <w:rPr>
          <w:rFonts w:hint="eastAsia" w:ascii="楷体_GB2312" w:hAnsi="楷体_GB2312" w:eastAsia="楷体_GB2312" w:cs="楷体_GB2312"/>
          <w:b w:val="0"/>
          <w:lang w:val="zh-CN" w:bidi="zh-CN"/>
        </w:rPr>
        <w:t>四</w:t>
      </w:r>
      <w:r>
        <w:rPr>
          <w:rFonts w:hint="eastAsia" w:ascii="楷体_GB2312" w:hAnsi="楷体_GB2312" w:eastAsia="楷体_GB2312" w:cs="楷体_GB2312"/>
          <w:b w:val="0"/>
          <w:lang w:bidi="zh-CN"/>
        </w:rPr>
        <w:t xml:space="preserve">节 </w:t>
      </w:r>
      <w:r>
        <w:rPr>
          <w:rFonts w:hint="eastAsia" w:ascii="楷体_GB2312" w:hAnsi="楷体_GB2312" w:eastAsia="楷体_GB2312" w:cs="楷体_GB2312"/>
          <w:b w:val="0"/>
          <w:lang w:val="zh-CN" w:bidi="zh-CN"/>
        </w:rPr>
        <w:t>制度复制推广创新优选地</w:t>
      </w:r>
      <w:bookmarkEnd w:id="1390"/>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学习借鉴管理体制改革先进经验。</w:t>
      </w:r>
      <w:r>
        <w:rPr>
          <w:rFonts w:hint="eastAsia" w:ascii="仿宋_GB2312" w:hAnsi="仿宋_GB2312" w:cs="仿宋_GB2312"/>
          <w:lang w:val="zh-CN"/>
        </w:rPr>
        <w:t>借鉴“不破行政隶属，打破行政边界”的制度创新，复制推广长三角地区生态环境标准、环境监测监控体系、环境监管执法“三统一”制度，逐步推进区域卫生监督联动执法工作。借鉴长三角地区体制机制创新的成功经验，推进“放管服效”改革，优化营商环境，推进地方征信体系和地方征信平台建设。加快在南阳复制推广长三角地区成熟的改革试点经验，积极争取与长三角地区合作承担国家改革试点任务。</w:t>
      </w:r>
    </w:p>
    <w:p>
      <w:pPr>
        <w:spacing w:line="560" w:lineRule="exact"/>
        <w:ind w:firstLine="640" w:firstLineChars="200"/>
        <w:contextualSpacing/>
        <w:rPr>
          <w:rFonts w:ascii="仿宋_GB2312" w:hAnsi="仿宋_GB2312" w:cs="仿宋_GB2312"/>
          <w:kern w:val="0"/>
          <w:lang w:val="zh-CN" w:bidi="zh-CN"/>
        </w:rPr>
      </w:pPr>
      <w:r>
        <w:rPr>
          <w:rFonts w:hint="eastAsia" w:ascii="仿宋_GB2312" w:hAnsi="仿宋_GB2312" w:cs="仿宋_GB2312"/>
          <w:kern w:val="0"/>
          <w:lang w:val="zh-CN" w:bidi="zh-CN"/>
        </w:rPr>
        <w:t>促进民营经济合作发展。借</w:t>
      </w:r>
      <w:r>
        <w:rPr>
          <w:rFonts w:hint="eastAsia" w:ascii="仿宋_GB2312" w:hAnsi="仿宋_GB2312" w:cs="仿宋_GB2312"/>
          <w:lang w:val="zh-CN"/>
        </w:rPr>
        <w:t>鉴长三角地区民营经济发展政策机制和培育民营经济市场主体的先进经验，完善南阳民营经济法治化发展环境和融资服务、创新服务、市场服务、创业服务、人才服务等体系。积极组织民营企业参与长三角地区重大经贸活动，积极对接关联企业、对接行业领军企业，实现精准对接，以商招商。邀请长三角地区优秀企业来南阳考察投资，参与世界月季洲际大会等重大活动。遴选一批收益可预期的优质项目，通过政府和社会资本合作（PPP）模式，吸引长三角地区社会资本投资运营。鼓励两地民间资本开展合作，设立股权投资机构等。支持南阳具备条件的企业</w:t>
      </w:r>
      <w:r>
        <w:rPr>
          <w:rFonts w:hint="eastAsia" w:ascii="仿宋_GB2312" w:hAnsi="仿宋_GB2312" w:cs="仿宋_GB2312"/>
          <w:kern w:val="0"/>
          <w:lang w:val="zh-CN" w:bidi="zh-CN"/>
        </w:rPr>
        <w:t>在上交所上市融资。</w:t>
      </w:r>
    </w:p>
    <w:p>
      <w:pPr>
        <w:spacing w:line="560" w:lineRule="exact"/>
        <w:ind w:firstLine="640" w:firstLineChars="200"/>
        <w:contextualSpacing/>
        <w:rPr>
          <w:rFonts w:ascii="黑体" w:hAnsi="黑体" w:cs="黑体"/>
          <w:bCs/>
          <w:lang w:val="zh-CN"/>
        </w:rPr>
      </w:pPr>
      <w:r>
        <w:rPr>
          <w:rFonts w:hint="eastAsia" w:ascii="仿宋_GB2312" w:hAnsi="仿宋_GB2312" w:cs="仿宋_GB2312"/>
          <w:kern w:val="0"/>
          <w:lang w:val="zh-CN" w:bidi="zh-CN"/>
        </w:rPr>
        <w:t>加强人才交流合作。共享人力资源，加强两地人力资源服务合作，建立跨省（市）人力资源服务联盟，构建人力资源信息共享与服务对接机制。按照“不求所有、但求所用”的理念，积极引导</w:t>
      </w:r>
      <w:r>
        <w:rPr>
          <w:rFonts w:hint="eastAsia" w:ascii="仿宋_GB2312" w:hAnsi="仿宋_GB2312" w:cs="仿宋_GB2312"/>
          <w:lang w:val="zh-CN"/>
        </w:rPr>
        <w:t>双方高端人才参与两地创业创新。鼓励和引导长三角地区院士、专家等高层次人才支持南阳产业和企业发展。建设技工人才培养基地，与长三角地区重点企业开展定向委培合作。以市场化运作模式搭建劳动力双向交流基地。共同推动两地智库之间深化合作。围绕能源革命、项目建设、创新生态、国资国企改革等工作，精准选派干部到长三角地区学习培训。</w:t>
      </w:r>
    </w:p>
    <w:p>
      <w:pPr>
        <w:pStyle w:val="6"/>
        <w:numPr>
          <w:ilvl w:val="0"/>
          <w:numId w:val="11"/>
        </w:numPr>
        <w:spacing w:line="560" w:lineRule="exact"/>
        <w:ind w:firstLine="0" w:firstLineChars="0"/>
        <w:contextualSpacing/>
        <w:jc w:val="center"/>
        <w:rPr>
          <w:lang w:val="zh-CN"/>
        </w:rPr>
      </w:pPr>
      <w:bookmarkStart w:id="1391" w:name="_Toc1638518270"/>
      <w:r>
        <w:rPr>
          <w:rFonts w:hint="eastAsia" w:ascii="黑体" w:hAnsi="黑体" w:cs="黑体"/>
          <w:szCs w:val="32"/>
          <w:lang w:val="zh-CN"/>
        </w:rPr>
        <w:t>融入“一带一路”，打造对外开放新高地</w:t>
      </w:r>
      <w:bookmarkEnd w:id="1391"/>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lang w:val="zh-CN"/>
        </w:rPr>
        <w:t>依托卧龙综合保税区，借势欧亚大陆桥走廊，积极融入“一带一路”，通过拓展中欧班列，搭建开放平台，畅通商贸渠道，前瞻布局外向型产业，逐步形成双循环发展格局，推动与沿线地区开展多层次合作。</w:t>
      </w:r>
    </w:p>
    <w:p>
      <w:pPr>
        <w:pStyle w:val="7"/>
        <w:spacing w:line="560" w:lineRule="exact"/>
        <w:contextualSpacing/>
        <w:jc w:val="center"/>
        <w:rPr>
          <w:rFonts w:ascii="楷体_GB2312" w:hAnsi="楷体_GB2312" w:eastAsia="楷体_GB2312" w:cs="楷体_GB2312"/>
          <w:b w:val="0"/>
          <w:lang w:val="zh-CN" w:bidi="zh-CN"/>
        </w:rPr>
      </w:pPr>
      <w:bookmarkStart w:id="1392" w:name="_Toc396974989"/>
      <w:r>
        <w:rPr>
          <w:rFonts w:hint="eastAsia" w:ascii="楷体_GB2312" w:hAnsi="楷体_GB2312" w:eastAsia="楷体_GB2312" w:cs="楷体_GB2312"/>
          <w:b w:val="0"/>
          <w:lang w:val="zh-CN" w:bidi="zh-CN"/>
        </w:rPr>
        <w:t>第一节 完善开放载体</w:t>
      </w:r>
      <w:bookmarkEnd w:id="1392"/>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实施自贸区制度创新复制工程。</w:t>
      </w:r>
      <w:r>
        <w:rPr>
          <w:rFonts w:hint="eastAsia" w:ascii="仿宋_GB2312" w:hAnsi="仿宋_GB2312" w:cs="仿宋_GB2312"/>
          <w:lang w:val="zh-CN"/>
        </w:rPr>
        <w:t>在南阳卧龙综合保税区复制推广自贸区经验做法，积极开展相关改革试点，争取国家支持设立中国（河南）自由贸易试验区南阳开放创新联动区。</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实施中国（南阳）跨境电子商务综合试验区提升工程。加</w:t>
      </w:r>
      <w:r>
        <w:rPr>
          <w:rFonts w:hint="eastAsia" w:ascii="仿宋_GB2312" w:hAnsi="仿宋_GB2312" w:cs="仿宋_GB2312"/>
          <w:lang w:val="zh-CN"/>
        </w:rPr>
        <w:t>快推进中国（南阳）跨境电商综合试验区建设，建设跨境电商园区和培训孵化基地，加快培育市场主体，引导企业开展跨境电商业务，壮大主导优势产业，完善跨境电商产业链和生态圈，构建联通全球市场的新平台。</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建设临空经济区。</w:t>
      </w:r>
      <w:r>
        <w:rPr>
          <w:rFonts w:hint="eastAsia" w:ascii="仿宋_GB2312" w:hAnsi="仿宋_GB2312" w:cs="仿宋_GB2312"/>
          <w:lang w:val="zh-CN"/>
        </w:rPr>
        <w:t>围绕航空制造、维修、物流、教育培训、航空服务等功能定位，规划建设临空经济区，招引国内知名航空、物流企业入驻，推动临空经济区快速发展。建立临空经济区与卧龙综合保税区快速便捷连接渠道，充分利用航空货运平台，推动综合保税区货运发展，实现综合保税区与航空货运良性互动、协调发展。</w:t>
      </w:r>
    </w:p>
    <w:p>
      <w:pPr>
        <w:spacing w:line="560" w:lineRule="exact"/>
        <w:ind w:firstLine="640" w:firstLineChars="200"/>
        <w:contextualSpacing/>
        <w:rPr>
          <w:b/>
          <w:lang w:val="zh-CN"/>
        </w:rPr>
      </w:pPr>
      <w:r>
        <w:rPr>
          <w:rFonts w:hint="eastAsia" w:ascii="仿宋_GB2312" w:hAnsi="仿宋_GB2312" w:cs="仿宋_GB2312"/>
          <w:kern w:val="0"/>
          <w:lang w:val="zh-CN" w:bidi="zh-CN"/>
        </w:rPr>
        <w:t>实施境外合作园区拓展工程。</w:t>
      </w:r>
      <w:r>
        <w:rPr>
          <w:rFonts w:hint="eastAsia" w:ascii="仿宋_GB2312" w:hAnsi="仿宋_GB2312" w:cs="仿宋_GB2312"/>
          <w:lang w:val="zh-CN"/>
        </w:rPr>
        <w:t>加强与相关地市联合协作，引导有实力、有意愿的企业面向“一带一路”沿线国家在先进制造业、农业开发、能源资源等重点领域开展对外投资，持续推动境外园区建设，尽早形成一批可视性成果。</w:t>
      </w:r>
    </w:p>
    <w:p>
      <w:pPr>
        <w:pStyle w:val="7"/>
        <w:spacing w:line="560" w:lineRule="exact"/>
        <w:contextualSpacing/>
        <w:jc w:val="center"/>
        <w:rPr>
          <w:rFonts w:ascii="楷体_GB2312" w:hAnsi="楷体_GB2312" w:eastAsia="楷体_GB2312" w:cs="楷体_GB2312"/>
          <w:b w:val="0"/>
          <w:lang w:val="zh-CN" w:bidi="zh-CN"/>
        </w:rPr>
      </w:pPr>
      <w:bookmarkStart w:id="1393" w:name="_Toc1715625631"/>
      <w:r>
        <w:rPr>
          <w:rFonts w:hint="eastAsia" w:ascii="楷体_GB2312" w:hAnsi="楷体_GB2312" w:eastAsia="楷体_GB2312" w:cs="楷体_GB2312"/>
          <w:b w:val="0"/>
          <w:lang w:val="zh-CN" w:bidi="zh-CN"/>
        </w:rPr>
        <w:t>第二节 畅通开放渠道</w:t>
      </w:r>
      <w:bookmarkEnd w:id="1393"/>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实施提升交通枢纽能级工程。</w:t>
      </w:r>
      <w:r>
        <w:rPr>
          <w:rFonts w:hint="eastAsia" w:ascii="仿宋_GB2312" w:hAnsi="仿宋_GB2312" w:cs="仿宋_GB2312"/>
          <w:lang w:val="zh-CN"/>
        </w:rPr>
        <w:t>围绕建设“全国性综合交通枢纽城市”“商贸服务型国家物流枢纽”等战略目标，加快全国性综合交通枢纽建设，加快打造“空水铁公”立体交通枢纽，大力发展智慧交通和智慧物流，加强绿色基础设施建设，构建现代交通网络，促进对外互联互通。加强新亚欧大陆桥通道与西部陆海新通道的协同互动，构建东西互济、联南通北的国际物流枢纽，打造现代商贸高地。推动中欧班列（南阳）“宛西欧”“宛渝欧”、南阳至老挝、南阳至越南货运班列常态化开行，推广与东部地区联合组织运营模式，促进班列对接本地资源。</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实施航空运输线路织网工程。</w:t>
      </w:r>
      <w:r>
        <w:rPr>
          <w:rFonts w:hint="eastAsia" w:ascii="仿宋_GB2312" w:hAnsi="仿宋_GB2312" w:cs="仿宋_GB2312"/>
          <w:lang w:val="zh-CN"/>
        </w:rPr>
        <w:t>深化与国航、东航、南航等国内大型航空公司合作，积极申建航空口岸，争取新开国际地区航线航班，开通南阳至“一带一路”沿线地区重点城市客运和货运航线航班，不断提升航线网络通达能力。</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实施国际陆海贸易新通道工程。</w:t>
      </w:r>
      <w:r>
        <w:rPr>
          <w:rFonts w:hint="eastAsia" w:ascii="仿宋_GB2312" w:hAnsi="仿宋_GB2312" w:cs="仿宋_GB2312"/>
          <w:lang w:val="zh-CN"/>
        </w:rPr>
        <w:t>加强与沿海港口沿边口岸合作，统筹协调并稳定运行南阳国际货运班列，加强回程货源组织，不断提升运行效益，发展公铁联运、铁海联运模式。强化联动效益，建立完善通道与沿线城市资源共享、政策互惠、优势互补合作沟通机制，携手打造南阳国际陆海贸易新通道。</w:t>
      </w:r>
    </w:p>
    <w:p>
      <w:pPr>
        <w:pStyle w:val="7"/>
        <w:spacing w:line="560" w:lineRule="exact"/>
        <w:contextualSpacing/>
        <w:jc w:val="center"/>
        <w:rPr>
          <w:rFonts w:ascii="楷体_GB2312" w:hAnsi="楷体_GB2312" w:eastAsia="楷体_GB2312" w:cs="楷体_GB2312"/>
          <w:b w:val="0"/>
          <w:lang w:val="zh-CN" w:bidi="zh-CN"/>
        </w:rPr>
      </w:pPr>
      <w:bookmarkStart w:id="1394" w:name="_Toc98058835"/>
      <w:r>
        <w:rPr>
          <w:rFonts w:hint="eastAsia" w:ascii="楷体_GB2312" w:hAnsi="楷体_GB2312" w:eastAsia="楷体_GB2312" w:cs="楷体_GB2312"/>
          <w:b w:val="0"/>
          <w:lang w:val="zh-CN" w:bidi="zh-CN"/>
        </w:rPr>
        <w:t>第三节 发展开放经济</w:t>
      </w:r>
      <w:bookmarkEnd w:id="1394"/>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实施外贸提升工程。加</w:t>
      </w:r>
      <w:r>
        <w:rPr>
          <w:rFonts w:hint="eastAsia" w:ascii="仿宋_GB2312" w:hAnsi="仿宋_GB2312" w:cs="仿宋_GB2312"/>
          <w:lang w:val="zh-CN"/>
        </w:rPr>
        <w:t>大外贸政策措施落实力度，做好外贸综合服务，切实减轻新冠肺炎疫情对外贸的冲击和影响，积极发展跨境电商、服务贸易、服务外包等新业态新模式，对企业开拓市场、出口信保、贸易救济等进行支持，帮助企业降低运营交易成本和建立境外营销服务中心，扩大先进技术、设备、零部件、绿色农产品、高品质商品进口，提升对“一带一路”沿线国家进出口总额。</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实施融入国内外会展网络工程。积</w:t>
      </w:r>
      <w:r>
        <w:rPr>
          <w:rFonts w:hint="eastAsia" w:ascii="仿宋_GB2312" w:hAnsi="仿宋_GB2312" w:cs="仿宋_GB2312"/>
          <w:lang w:val="zh-CN"/>
        </w:rPr>
        <w:t>极参加全国性综合展会和专业展会，精心组织南阳企业参加中国出口商品交易会、中国国际进口博览会、中国国际投资贸易洽谈会等展会，开展专题招商和推介活动。引进培育知名展会来南阳举办，办好南阳月季洲际大会等品牌展会活动，通过专业展会搭建贸易洽谈和招商引资平台。</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实施文旅名片推介工程。</w:t>
      </w:r>
      <w:r>
        <w:rPr>
          <w:rFonts w:hint="eastAsia" w:ascii="仿宋_GB2312" w:hAnsi="仿宋_GB2312" w:cs="仿宋_GB2312"/>
          <w:lang w:val="zh-CN"/>
        </w:rPr>
        <w:t>依托卧龙岗、红二十五军鏖战独树镇等重要遗址资源和南水北调（中线）水源地、老界岭等重要文化生态资源，“四圣”等历史文化名人，策划一批彰显中华文明、中国革命、中华地理的精神标识和自然标识文化旅游精品线路，不断提升古都南阳旅游品牌的国际影响力，打造国内知名生态文化旅游目的地。凝练南阳传统和近现代文化元素，注重“文化南阳”创意表达，打造一批对外展演精品。精心打造文化旅游品牌，做大做强“文学南阳”等知名品牌，谋划打造非物质文化遗产项目品牌。传承与创新“老字号”品牌，不断完善“文化南阳”品牌矩阵。拓展融媒体智能传播渠道，构建全媒体传播体系，提升“文化南阳”国际知名度。</w:t>
      </w:r>
    </w:p>
    <w:p>
      <w:pPr>
        <w:pStyle w:val="7"/>
        <w:spacing w:line="560" w:lineRule="exact"/>
        <w:contextualSpacing/>
        <w:jc w:val="center"/>
        <w:rPr>
          <w:rFonts w:ascii="楷体_GB2312" w:hAnsi="楷体_GB2312" w:eastAsia="楷体_GB2312" w:cs="楷体_GB2312"/>
          <w:b w:val="0"/>
          <w:lang w:val="zh-CN" w:bidi="zh-CN"/>
        </w:rPr>
      </w:pPr>
      <w:bookmarkStart w:id="1395" w:name="_Toc1370088038"/>
      <w:r>
        <w:rPr>
          <w:rFonts w:hint="eastAsia" w:ascii="楷体_GB2312" w:hAnsi="楷体_GB2312" w:eastAsia="楷体_GB2312" w:cs="楷体_GB2312"/>
          <w:b w:val="0"/>
          <w:lang w:val="zh-CN" w:bidi="zh-CN"/>
        </w:rPr>
        <w:t>第四节 优化开放环境</w:t>
      </w:r>
      <w:bookmarkEnd w:id="1395"/>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实施保税区提质增效工程。</w:t>
      </w:r>
      <w:r>
        <w:rPr>
          <w:rFonts w:hint="eastAsia" w:ascii="仿宋_GB2312" w:hAnsi="仿宋_GB2312" w:cs="仿宋_GB2312"/>
          <w:lang w:val="zh-CN"/>
        </w:rPr>
        <w:t>坚持对标国际、开放引领原则，落实国务院促进综合保税区高水平开放高质量发展的若干意见，研究制定切合南阳卧龙综合保税区发展实际需求的政策措施，支持和激励保税区新技术、新产业、新业态、新模式发展。</w:t>
      </w:r>
    </w:p>
    <w:p>
      <w:pPr>
        <w:spacing w:line="560" w:lineRule="exact"/>
        <w:ind w:firstLine="640" w:firstLineChars="200"/>
        <w:contextualSpacing/>
        <w:rPr>
          <w:rFonts w:ascii="仿宋_GB2312" w:hAnsi="仿宋_GB2312" w:cs="仿宋_GB2312"/>
          <w:kern w:val="0"/>
          <w:lang w:val="zh-CN" w:bidi="zh-CN"/>
        </w:rPr>
      </w:pPr>
      <w:r>
        <w:rPr>
          <w:rFonts w:hint="eastAsia" w:ascii="仿宋_GB2312" w:hAnsi="仿宋_GB2312" w:cs="仿宋_GB2312"/>
          <w:kern w:val="0"/>
          <w:lang w:val="zh-CN" w:bidi="zh-CN"/>
        </w:rPr>
        <w:t>实施国际贸易人才引育工程。</w:t>
      </w:r>
      <w:r>
        <w:rPr>
          <w:rFonts w:hint="eastAsia" w:ascii="仿宋_GB2312" w:hAnsi="仿宋_GB2312" w:cs="仿宋_GB2312"/>
          <w:lang w:val="zh-CN"/>
        </w:rPr>
        <w:t>争取国家级人才计划对南阳的支持，注重培养和引进熟悉精通对外贸易、外商投资、国际金融、跨境电商、招商引资等对外开放领域的行政、管理、技术人才，探</w:t>
      </w:r>
      <w:r>
        <w:rPr>
          <w:rFonts w:hint="eastAsia" w:ascii="仿宋_GB2312" w:hAnsi="仿宋_GB2312" w:cs="仿宋_GB2312"/>
          <w:kern w:val="0"/>
          <w:lang w:val="zh-CN" w:bidi="zh-CN"/>
        </w:rPr>
        <w:t>索建立更为灵活便利的开放人才制度。</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实施国际贸易通关便利化工程。丰富完善国际贸易“单一窗口”服务功能，推进口岸物流信息化，优化出口退税、关税保证保</w:t>
      </w:r>
      <w:r>
        <w:rPr>
          <w:rFonts w:hint="eastAsia" w:ascii="仿宋_GB2312" w:hAnsi="仿宋_GB2312" w:cs="仿宋_GB2312"/>
          <w:lang w:val="zh-CN"/>
        </w:rPr>
        <w:t>险等涉外税收服务，鼓励企业应用便利化通关模式，全面实施进口“两步申报”改革，提升进出口整体通关效率。</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实施外商投资舒心工程。</w:t>
      </w:r>
      <w:r>
        <w:rPr>
          <w:rFonts w:hint="eastAsia" w:ascii="仿宋_GB2312" w:hAnsi="仿宋_GB2312" w:cs="仿宋_GB2312"/>
          <w:lang w:val="zh-CN"/>
        </w:rPr>
        <w:t>全面落实《外商投资法》及配套政策措施，完善支持外资企业服务体系，加大先进制造业、现代服务业、现代农业等领域开放力度，保护外商投资合法权益，营造内外资企业稳定、透明、可预期和公平竞争的市场环境。</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实施招商引资提质工程。</w:t>
      </w:r>
      <w:r>
        <w:rPr>
          <w:rFonts w:hint="eastAsia" w:ascii="仿宋_GB2312" w:hAnsi="仿宋_GB2312" w:cs="仿宋_GB2312"/>
          <w:lang w:val="zh-CN"/>
        </w:rPr>
        <w:t>建立新型招商服务平台和网络，开展专业化招商、产业链招商、以商招商，完善招商引资企业投诉受理服务机制，强化招商引资工作责任落实，高质高效开展招商引资。</w:t>
      </w:r>
    </w:p>
    <w:p>
      <w:pPr>
        <w:pStyle w:val="6"/>
        <w:spacing w:line="560" w:lineRule="exact"/>
        <w:ind w:firstLine="640"/>
        <w:contextualSpacing/>
        <w:jc w:val="center"/>
        <w:rPr>
          <w:rFonts w:ascii="仿宋" w:hAnsi="仿宋" w:eastAsia="仿宋" w:cs="仿宋"/>
          <w:lang w:val="zh-CN"/>
        </w:rPr>
      </w:pPr>
      <w:bookmarkStart w:id="1396" w:name="_Toc1023434839"/>
      <w:r>
        <w:rPr>
          <w:rFonts w:hint="eastAsia" w:ascii="黑体" w:hAnsi="黑体" w:cs="黑体"/>
          <w:szCs w:val="32"/>
          <w:lang w:val="zh-CN"/>
        </w:rPr>
        <w:t>第六章 强化联接粤港澳，打造承接产业转移新基地</w:t>
      </w:r>
      <w:bookmarkEnd w:id="1396"/>
    </w:p>
    <w:p>
      <w:pPr>
        <w:spacing w:line="560" w:lineRule="exact"/>
        <w:ind w:firstLine="640" w:firstLineChars="200"/>
        <w:contextualSpacing/>
        <w:rPr>
          <w:b/>
          <w:lang w:val="zh-CN"/>
        </w:rPr>
      </w:pPr>
      <w:r>
        <w:rPr>
          <w:rFonts w:hint="eastAsia" w:ascii="仿宋_GB2312" w:hAnsi="仿宋_GB2312" w:cs="仿宋_GB2312"/>
          <w:lang w:val="zh-CN"/>
        </w:rPr>
        <w:t>充分依靠南阳与粤港澳大湾区人员交往密切的优势，发挥南阳市场潜力大、劳动力丰富、历史人文厚重等比较优势，强化在数字经济、产业转移、科技创新等方面的合作，拓展南向合作空间。</w:t>
      </w:r>
    </w:p>
    <w:p>
      <w:pPr>
        <w:pStyle w:val="7"/>
        <w:spacing w:line="560" w:lineRule="exact"/>
        <w:contextualSpacing/>
        <w:jc w:val="center"/>
        <w:rPr>
          <w:rFonts w:ascii="楷体_GB2312" w:hAnsi="楷体_GB2312" w:eastAsia="楷体_GB2312" w:cs="楷体_GB2312"/>
          <w:b w:val="0"/>
          <w:lang w:val="zh-CN" w:bidi="zh-CN"/>
        </w:rPr>
      </w:pPr>
      <w:bookmarkStart w:id="1397" w:name="_Toc624009777"/>
      <w:r>
        <w:rPr>
          <w:rFonts w:hint="eastAsia" w:ascii="楷体_GB2312" w:hAnsi="楷体_GB2312" w:eastAsia="楷体_GB2312" w:cs="楷体_GB2312"/>
          <w:b w:val="0"/>
          <w:lang w:val="zh-CN" w:bidi="zh-CN"/>
        </w:rPr>
        <w:t>第一节 数字经济合作新高地</w:t>
      </w:r>
      <w:bookmarkEnd w:id="1397"/>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加快发展数字经济。借</w:t>
      </w:r>
      <w:r>
        <w:rPr>
          <w:rFonts w:hint="eastAsia" w:ascii="仿宋_GB2312" w:hAnsi="仿宋_GB2312" w:cs="仿宋_GB2312"/>
          <w:lang w:val="zh-CN"/>
        </w:rPr>
        <w:t>力大湾区全球大数据硅谷和国际数据经济创新中心，支持南阳制造、IT等行业企业协同开展技术、设备、产品研发、服务创新及综合应用示范。加强与大湾区先进制造业及科技创新对接，推动互联网、大数据、人工智能和实体经济深度融合。联合大湾区优秀企业在南阳共同建设创新中心，以信息技术推进南阳产业与互联网深度融合，增强信息服务供给能力，共同推进“数字南阳”建设。积极推进以“互联网+先进制造业”为特色的工业互联网在南阳的发展，融入国际领先、国内一流的跨行业跨领域跨区域工业互联网平台。</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加快南阳数字经济场景应用。</w:t>
      </w:r>
      <w:r>
        <w:rPr>
          <w:rFonts w:hint="eastAsia" w:ascii="仿宋_GB2312" w:hAnsi="仿宋_GB2312" w:cs="仿宋_GB2312"/>
          <w:lang w:val="zh-CN"/>
        </w:rPr>
        <w:t>发挥南阳空间范围大、人口数量多、消费市场大、应用场景丰富等优势，联合发展基于物联网、大数据、人工智能的专业化服务，提升各领域融合发展、信息化协同和精细化管理水平。发挥大湾区智慧产业与大数据领域的品牌、服务、市场拓展优势，重点开发南阳疾病防治、公共安全、新型城镇化、文化体育等重点领域技术集成和场景应用。充分借鉴大湾区在互联网、大数据、区块链、新一代人工智能等技术融入社会治理方面经验，提升南阳社会治理水平。</w:t>
      </w:r>
    </w:p>
    <w:p>
      <w:pPr>
        <w:pStyle w:val="7"/>
        <w:spacing w:line="560" w:lineRule="exact"/>
        <w:contextualSpacing/>
        <w:jc w:val="center"/>
        <w:rPr>
          <w:rFonts w:ascii="楷体_GB2312" w:hAnsi="楷体_GB2312" w:eastAsia="楷体_GB2312" w:cs="楷体_GB2312"/>
          <w:b w:val="0"/>
          <w:lang w:val="zh-CN" w:bidi="zh-CN"/>
        </w:rPr>
      </w:pPr>
      <w:bookmarkStart w:id="1398" w:name="_Toc1444075800"/>
      <w:r>
        <w:rPr>
          <w:rFonts w:hint="eastAsia" w:ascii="楷体_GB2312" w:hAnsi="楷体_GB2312" w:eastAsia="楷体_GB2312" w:cs="楷体_GB2312"/>
          <w:b w:val="0"/>
          <w:lang w:val="zh-CN" w:bidi="zh-CN"/>
        </w:rPr>
        <w:t>第二节 承接产业转移新高地</w:t>
      </w:r>
      <w:bookmarkEnd w:id="1398"/>
    </w:p>
    <w:p>
      <w:pPr>
        <w:spacing w:line="560" w:lineRule="exact"/>
        <w:ind w:firstLine="640" w:firstLineChars="200"/>
        <w:contextualSpacing/>
        <w:rPr>
          <w:b/>
          <w:lang w:val="zh-CN"/>
        </w:rPr>
      </w:pPr>
      <w:r>
        <w:rPr>
          <w:rFonts w:hint="eastAsia" w:ascii="仿宋_GB2312" w:hAnsi="仿宋_GB2312" w:cs="仿宋_GB2312"/>
          <w:lang w:val="zh-CN"/>
        </w:rPr>
        <w:t>积极承接大湾区电子信息、智能制造、新材料、生物产业等战略性新兴产业以及汽车零部件、整车装配等装备制造产业，重点推动与广州、深圳、佛山等市开展深度合作，引进一批先进制造业项目，打造先进制造业集群。加大精准招商力度，引进粤港澳先进制造业龙头企业和技术人才，着力延伸产业链条、培育产业集群。利用大湾区的科技创新资源优势，集中力量打造冶炼等资源型产业集群，协力推进粮油加工、生物产业等消费型产业集群。争取大湾区城市在南阳建设发展“飞地经济”。与大湾区合作共建产业园区，承接大湾区产业转移。推进园区管理与日常运营相分离，通过特许经营、政府购买服务等方式，将南阳合作园区部分或全部事务委托给广州、深圳成熟开发区或第三方专业化管理团队，提高园区专业化和市场化运行水平。</w:t>
      </w:r>
    </w:p>
    <w:p>
      <w:pPr>
        <w:pStyle w:val="7"/>
        <w:spacing w:line="560" w:lineRule="exact"/>
        <w:contextualSpacing/>
        <w:jc w:val="center"/>
        <w:rPr>
          <w:rFonts w:ascii="楷体_GB2312" w:hAnsi="楷体_GB2312" w:eastAsia="楷体_GB2312" w:cs="楷体_GB2312"/>
          <w:b w:val="0"/>
          <w:lang w:val="zh-CN" w:bidi="zh-CN"/>
        </w:rPr>
      </w:pPr>
      <w:bookmarkStart w:id="1399" w:name="_Toc1657004640"/>
      <w:r>
        <w:rPr>
          <w:rFonts w:hint="eastAsia" w:ascii="楷体_GB2312" w:hAnsi="楷体_GB2312" w:eastAsia="楷体_GB2312" w:cs="楷体_GB2312"/>
          <w:b w:val="0"/>
          <w:lang w:val="zh-CN" w:bidi="zh-CN"/>
        </w:rPr>
        <w:t>第三节 现代服务业合作新高地</w:t>
      </w:r>
      <w:bookmarkEnd w:id="1399"/>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加快跨境电商服务合作。加</w:t>
      </w:r>
      <w:r>
        <w:rPr>
          <w:rFonts w:hint="eastAsia" w:ascii="仿宋_GB2312" w:hAnsi="仿宋_GB2312" w:cs="仿宋_GB2312"/>
          <w:lang w:val="zh-CN"/>
        </w:rPr>
        <w:t>强与深圳等大湾区港口城市的物流合作，努力推动实现口岸直通、港口协同。鼓励我市企业参加广交会、全球跨境电子商务大会等活动，宣传南阳优质特色产品，吸引企业来宛投资合作。</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推动绿色金融对接合作。</w:t>
      </w:r>
      <w:r>
        <w:rPr>
          <w:rFonts w:hint="eastAsia" w:ascii="仿宋_GB2312" w:hAnsi="仿宋_GB2312" w:cs="仿宋_GB2312"/>
          <w:lang w:val="zh-CN"/>
        </w:rPr>
        <w:t>搭建双方融资对接平台，互设金融机构，联合开展绿色金融业务创新。以碳达峰、碳中和为牵引，探索推动标准互认、市场互通，深化绿色债券市场、绿色产业投资、绿色产业资产证券化、绿色信贷业务、绿色企业上市等方面合作。与广州、深圳等联手搭建涵盖绿色信贷、绿色债券、绿色保险、绿色基金、碳金融、环境信息、绿色产业等在内的全口径“涉绿”信息共享平台。</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推动文旅康养交流合作。</w:t>
      </w:r>
      <w:r>
        <w:rPr>
          <w:rFonts w:hint="eastAsia" w:ascii="仿宋_GB2312" w:hAnsi="仿宋_GB2312" w:cs="仿宋_GB2312"/>
          <w:lang w:val="zh-CN"/>
        </w:rPr>
        <w:t>加强创意设计、影视、动漫游戏、音乐、文化、康养等领域合作，支持优质公共服务资源来南阳发展，加快文旅、养生保健、医疗、康复养老及信息服务等产业融合。鼓励和支持大湾区大型养老产业集团以独资、合资、合作、并购等多种形式在南阳兴办养老机构，推动康养产业发展，重点推动与广东共建综合性医疗健康数据管理和健康服务中心，建设一批互换式、候鸟式、旅居式养老联合体。</w:t>
      </w:r>
    </w:p>
    <w:p>
      <w:pPr>
        <w:spacing w:line="560" w:lineRule="exact"/>
        <w:ind w:firstLine="640" w:firstLineChars="200"/>
        <w:contextualSpacing/>
        <w:rPr>
          <w:b/>
          <w:lang w:val="zh-CN"/>
        </w:rPr>
      </w:pPr>
      <w:r>
        <w:rPr>
          <w:rFonts w:hint="eastAsia" w:ascii="仿宋_GB2312" w:hAnsi="仿宋_GB2312" w:cs="仿宋_GB2312"/>
          <w:kern w:val="0"/>
          <w:lang w:val="zh-CN" w:bidi="zh-CN"/>
        </w:rPr>
        <w:t>促进与港澳交流合作。</w:t>
      </w:r>
      <w:r>
        <w:rPr>
          <w:rFonts w:hint="eastAsia" w:ascii="仿宋_GB2312" w:hAnsi="仿宋_GB2312" w:cs="仿宋_GB2312"/>
          <w:lang w:val="zh-CN"/>
        </w:rPr>
        <w:t>借助广交会、世界月季洲际大会等文化交流特色品牌节庆活动，积极开展文化艺术交流。积极参加在粤港澳大湾区举办的大型文化旅游展会，举办多种形式的文化旅游推介活动。支持更多优质绿色产品进入港澳市场，扩大南阳品牌在港澳的知名度、美誉度。</w:t>
      </w:r>
    </w:p>
    <w:p>
      <w:pPr>
        <w:pStyle w:val="7"/>
        <w:spacing w:line="560" w:lineRule="exact"/>
        <w:contextualSpacing/>
        <w:jc w:val="center"/>
        <w:rPr>
          <w:rFonts w:ascii="楷体_GB2312" w:hAnsi="楷体_GB2312" w:eastAsia="楷体_GB2312" w:cs="楷体_GB2312"/>
          <w:b w:val="0"/>
          <w:lang w:val="zh-CN" w:bidi="zh-CN"/>
        </w:rPr>
      </w:pPr>
      <w:bookmarkStart w:id="1400" w:name="_Toc931997785"/>
      <w:r>
        <w:rPr>
          <w:rFonts w:hint="eastAsia" w:ascii="楷体_GB2312" w:hAnsi="楷体_GB2312" w:eastAsia="楷体_GB2312" w:cs="楷体_GB2312"/>
          <w:b w:val="0"/>
          <w:lang w:val="zh-CN" w:bidi="zh-CN"/>
        </w:rPr>
        <w:t>第四节 科技成果应用转化新高地</w:t>
      </w:r>
      <w:bookmarkEnd w:id="1400"/>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共建共享科技创新平台。</w:t>
      </w:r>
      <w:r>
        <w:rPr>
          <w:rFonts w:hint="eastAsia" w:ascii="仿宋_GB2312" w:hAnsi="仿宋_GB2312" w:cs="仿宋_GB2312"/>
          <w:lang w:val="zh-CN"/>
        </w:rPr>
        <w:t>对接大湾区科技创新基础平台共享体系，推动重大科研基础设施和大型科研仪器共享，共建技术创新中心及重点实验室、工程（技术）研究中心等技术创新研发平台。探索在深圳、广州等创新资源集聚地设立离岸科创平台，规划建设大湾区离岸创新联盟，发展“科创飞地”。建立跨区域产业协同发展新模式和利益共享新机制，借助粤港澳大湾区的人才、科技、产业优势，促进更多新技术、新产品、新业态在南阳落地。</w:t>
      </w:r>
    </w:p>
    <w:p>
      <w:pPr>
        <w:spacing w:line="560" w:lineRule="exact"/>
        <w:ind w:firstLine="640" w:firstLineChars="200"/>
        <w:contextualSpacing/>
        <w:rPr>
          <w:b/>
          <w:lang w:val="zh-CN"/>
        </w:rPr>
      </w:pPr>
      <w:r>
        <w:rPr>
          <w:rFonts w:hint="eastAsia" w:ascii="仿宋_GB2312" w:hAnsi="仿宋_GB2312" w:cs="仿宋_GB2312"/>
          <w:kern w:val="0"/>
          <w:lang w:val="zh-CN" w:bidi="zh-CN"/>
        </w:rPr>
        <w:t>携手提升科技创新能力。</w:t>
      </w:r>
      <w:r>
        <w:rPr>
          <w:rFonts w:hint="eastAsia" w:ascii="仿宋_GB2312" w:hAnsi="仿宋_GB2312" w:cs="仿宋_GB2312"/>
          <w:lang w:val="zh-CN"/>
        </w:rPr>
        <w:t>围绕重点产业、关键技术，加强与大湾区高等院校和科研机构产学研合作，联合开展重大科技攻关，合力提高南阳自主创新能力。共同推进科技成果转化，依托重点科研机构、高校、科技型企业，建设开放型科技成果中试基地，推动大湾区科技成果在南阳转化。</w:t>
      </w:r>
    </w:p>
    <w:p>
      <w:pPr>
        <w:pStyle w:val="6"/>
        <w:spacing w:line="560" w:lineRule="exact"/>
        <w:ind w:firstLine="640"/>
        <w:contextualSpacing/>
        <w:jc w:val="center"/>
        <w:rPr>
          <w:lang w:val="zh-CN"/>
        </w:rPr>
      </w:pPr>
      <w:bookmarkStart w:id="1401" w:name="_Toc961770640"/>
      <w:r>
        <w:rPr>
          <w:rFonts w:hint="eastAsia" w:ascii="黑体" w:hAnsi="黑体" w:cs="黑体"/>
          <w:szCs w:val="32"/>
        </w:rPr>
        <w:t>第七章 融入</w:t>
      </w:r>
      <w:r>
        <w:rPr>
          <w:rFonts w:hint="eastAsia" w:ascii="黑体" w:hAnsi="黑体" w:cs="黑体"/>
          <w:szCs w:val="32"/>
          <w:lang w:val="zh-CN"/>
        </w:rPr>
        <w:t>中部地区崛起战略，打造高质量发展示范区</w:t>
      </w:r>
      <w:bookmarkEnd w:id="1401"/>
    </w:p>
    <w:p>
      <w:pPr>
        <w:spacing w:line="560" w:lineRule="exact"/>
        <w:ind w:firstLine="640" w:firstLineChars="200"/>
        <w:contextualSpacing/>
        <w:rPr>
          <w:b/>
        </w:rPr>
      </w:pPr>
      <w:r>
        <w:rPr>
          <w:rFonts w:hint="eastAsia" w:ascii="仿宋_GB2312" w:hAnsi="仿宋_GB2312" w:cs="仿宋_GB2312"/>
        </w:rPr>
        <w:t>立足南阳自身实际，借助河南发展优势，积极融入中原城市群协同发展，打造豫南高效生态经济示范区，实现周边区域联动发展。</w:t>
      </w:r>
    </w:p>
    <w:p>
      <w:pPr>
        <w:pStyle w:val="7"/>
        <w:spacing w:line="560" w:lineRule="exact"/>
        <w:contextualSpacing/>
        <w:jc w:val="center"/>
        <w:rPr>
          <w:rFonts w:ascii="楷体_GB2312" w:hAnsi="楷体_GB2312" w:eastAsia="楷体_GB2312" w:cs="楷体_GB2312"/>
          <w:b w:val="0"/>
          <w:lang w:val="zh-CN" w:bidi="zh-CN"/>
        </w:rPr>
      </w:pPr>
      <w:bookmarkStart w:id="1402" w:name="_Toc1353058214"/>
      <w:r>
        <w:rPr>
          <w:rFonts w:hint="eastAsia" w:ascii="楷体_GB2312" w:hAnsi="楷体_GB2312" w:eastAsia="楷体_GB2312" w:cs="楷体_GB2312"/>
          <w:b w:val="0"/>
          <w:lang w:val="zh-CN" w:bidi="zh-CN"/>
        </w:rPr>
        <w:t>第一节 联动郑洛西高质量发展合作带</w:t>
      </w:r>
      <w:bookmarkEnd w:id="1402"/>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bidi="zh-CN"/>
        </w:rPr>
        <w:t>共建科技创新示范带。</w:t>
      </w:r>
      <w:r>
        <w:rPr>
          <w:rFonts w:hint="eastAsia" w:ascii="仿宋_GB2312" w:hAnsi="仿宋_GB2312" w:cs="仿宋_GB2312"/>
        </w:rPr>
        <w:t>依托郑州、洛阳、西安创新资源要素，发挥南阳国家创新城市、国家知识产权示范城市优势，</w:t>
      </w:r>
      <w:r>
        <w:rPr>
          <w:rFonts w:hint="eastAsia" w:ascii="仿宋_GB2312" w:hAnsi="仿宋_GB2312" w:cs="仿宋_GB2312"/>
          <w:lang w:val="zh-CN"/>
        </w:rPr>
        <w:t>共建科技创新示范带。健全完善企业、高等学校、科研院所共建共享共担的产学研协同创新机制。充分发挥南阳高校院所在基础研究领域的主力军作用，深化与西安交通大学、西北工业大学、郑州大学等合作对接，积极承接国家重大科技项目，开展基础研究和技术攻关。建立跨区域创新服务联盟，搭建中小企业公共服务平台网络，加快构建以政府财政投入为引导、以企业投入为主体、以银行信贷和风险投资等金融资本为支撑、以民间投资为补充的多元化、多渠道、多层次科技投入体系，支持科技型、成长型企业发展。</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bidi="zh-CN"/>
        </w:rPr>
        <w:t>共建文旅消费金三角。</w:t>
      </w:r>
      <w:r>
        <w:rPr>
          <w:rFonts w:hint="eastAsia" w:ascii="仿宋_GB2312" w:hAnsi="仿宋_GB2312" w:cs="仿宋_GB2312"/>
          <w:kern w:val="0"/>
          <w:lang w:val="zh-CN" w:bidi="zh-CN"/>
        </w:rPr>
        <w:t>充</w:t>
      </w:r>
      <w:r>
        <w:rPr>
          <w:rFonts w:hint="eastAsia" w:ascii="仿宋_GB2312" w:hAnsi="仿宋_GB2312" w:cs="仿宋_GB2312"/>
          <w:lang w:val="zh-CN"/>
        </w:rPr>
        <w:t>分发挥南阳国家历史文化名城优势，以全域旅游为统领，以建设国内知名生态文化旅游目的地为目标，依托南阳独特的自然资源、历史文化遗存和仲景文化优势，推进生态与旅游、康养、研学、体育等产业深度融合发展。以山水生态为基底，以“中医药康养”为特色，突出“一水一圣”（南水北调、医圣）品牌，打响“水源地”“康养伏牛”“仲景南阳”、镇平玉文化等品牌。联动郑州、西安、洛阳文旅资源优势，探索实施文旅一卡通工程，加快文旅资源融合发展，发挥最大效益。以郑</w:t>
      </w:r>
      <w:r>
        <w:rPr>
          <w:rFonts w:hint="eastAsia" w:ascii="仿宋_GB2312" w:hAnsi="仿宋_GB2312" w:cs="仿宋_GB2312"/>
        </w:rPr>
        <w:t>州</w:t>
      </w:r>
      <w:r>
        <w:rPr>
          <w:rFonts w:hint="eastAsia" w:ascii="仿宋_GB2312" w:hAnsi="仿宋_GB2312" w:cs="仿宋_GB2312"/>
          <w:lang w:val="zh-CN"/>
        </w:rPr>
        <w:t>、西安作为国际消费核心城市，南阳积极融入郑州国际消费中心，大力提升消费品质，建成多个高品质商圈。持续推动消费业态创新，持续挖掘并充分利用历史文化元素，推进免税店、进口商品体验店等国际消费平台通道建设。</w:t>
      </w:r>
    </w:p>
    <w:p>
      <w:pPr>
        <w:spacing w:line="560" w:lineRule="exact"/>
        <w:ind w:firstLine="640" w:firstLineChars="200"/>
        <w:contextualSpacing/>
        <w:rPr>
          <w:b/>
          <w:lang w:val="zh-CN"/>
        </w:rPr>
      </w:pPr>
      <w:r>
        <w:rPr>
          <w:rFonts w:hint="eastAsia" w:ascii="仿宋_GB2312" w:hAnsi="仿宋_GB2312" w:cs="仿宋_GB2312"/>
          <w:kern w:val="0"/>
          <w:lang w:bidi="zh-CN"/>
        </w:rPr>
        <w:t>探索跨区域协同对外开放。</w:t>
      </w:r>
      <w:r>
        <w:rPr>
          <w:rFonts w:hint="eastAsia" w:ascii="仿宋_GB2312" w:hAnsi="仿宋_GB2312" w:cs="仿宋_GB2312"/>
          <w:lang w:val="zh-CN"/>
        </w:rPr>
        <w:t>积极融入郑州都市圈、西安都市圈，探索一体化发展路径模式，推动跨区域全方位协同开放</w:t>
      </w:r>
      <w:r>
        <w:rPr>
          <w:rFonts w:hint="eastAsia" w:ascii="仿宋_GB2312" w:hAnsi="仿宋_GB2312" w:cs="仿宋_GB2312"/>
          <w:kern w:val="0"/>
          <w:lang w:val="zh-CN" w:bidi="zh-CN"/>
        </w:rPr>
        <w:t>。加强政务服务数据资源归集共享，谋划建设一体化在线政务服务平台，推动贸易自由化、投资便利化、商事制度改革及资金、人才、数据等要素便捷跨区域流动。</w:t>
      </w:r>
    </w:p>
    <w:p>
      <w:pPr>
        <w:pStyle w:val="7"/>
        <w:spacing w:line="560" w:lineRule="exact"/>
        <w:contextualSpacing/>
        <w:jc w:val="center"/>
        <w:rPr>
          <w:rFonts w:ascii="楷体_GB2312" w:hAnsi="楷体_GB2312" w:eastAsia="楷体_GB2312" w:cs="楷体_GB2312"/>
          <w:b w:val="0"/>
          <w:lang w:val="zh-CN" w:bidi="zh-CN"/>
        </w:rPr>
      </w:pPr>
      <w:bookmarkStart w:id="1403" w:name="_Toc1359922489"/>
      <w:r>
        <w:rPr>
          <w:rFonts w:hint="eastAsia" w:ascii="楷体_GB2312" w:hAnsi="楷体_GB2312" w:eastAsia="楷体_GB2312" w:cs="楷体_GB2312"/>
          <w:b w:val="0"/>
          <w:lang w:val="zh-CN" w:bidi="zh-CN"/>
        </w:rPr>
        <w:t>第二节 融入省级重大战略</w:t>
      </w:r>
      <w:bookmarkEnd w:id="1403"/>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密切对接郑州国家中心城市。立</w:t>
      </w:r>
      <w:r>
        <w:rPr>
          <w:rFonts w:hint="eastAsia" w:ascii="仿宋_GB2312" w:hAnsi="仿宋_GB2312" w:cs="仿宋_GB2312"/>
          <w:lang w:val="zh-CN"/>
        </w:rPr>
        <w:t>足南阳人口、市场、交通、劳动力、生态资源等比较优势，密切关注郑州的科技创新、产业集群、教育医疗等优势，积极对接郑州的知名企业、科研院所、优质教育和医疗资源等，重点引进建设一批大项目，培育壮大新兴产业，以信息化助推城市高质量发展。</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建设郑洛新国家自主创新示范区辐射区。</w:t>
      </w:r>
      <w:r>
        <w:rPr>
          <w:rFonts w:hint="eastAsia" w:ascii="仿宋_GB2312" w:hAnsi="仿宋_GB2312" w:cs="仿宋_GB2312"/>
          <w:lang w:val="zh-CN"/>
        </w:rPr>
        <w:t>按照创新集聚、产业集群、资源集约、系统集成的要求，以南阳高新区为依托，积极推进辐射区建设，复制推广自创区先行先试优惠政策，加速创新资源集聚，不断提升辐射区辐射点创新能力。争取创建全国全省先进制造业、新材料、生态治理和能源资源综合利用技术创新中心。抓好南阳科技大市场、中科院科技成果转化中心南阳分中心、郑州大学南阳研究院、院士工作站、国际联合实验室等平台载体建设，实行动态管理机制，与自创区核心区、辐射点良性互动发展，形成核心引领、梯次发展、全面提升的创新发展新局面，建设成为引领、辐射和带动全市创新发展的综合载体与核心增长极，以自创区辐射区高质量发展引领带动全市经济社会高质量发展。</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对接郑州航空港经济综合实验区。</w:t>
      </w:r>
      <w:r>
        <w:rPr>
          <w:rFonts w:hint="eastAsia" w:ascii="仿宋_GB2312" w:hAnsi="仿宋_GB2312" w:cs="仿宋_GB2312"/>
          <w:lang w:val="zh-CN"/>
        </w:rPr>
        <w:t>加强与郑州航空港对接合作，融入全球主要经济体空中经济廊道和全球性航空物流中心。加快构建航空经济产业生态体系，培育航空、临空型产业集群，做大做强南阳航空经济、口岸经济、临港经济，通过郑州航空港的辐射，发展航空经济。</w:t>
      </w:r>
    </w:p>
    <w:p>
      <w:pPr>
        <w:spacing w:line="560" w:lineRule="exact"/>
        <w:ind w:firstLine="640" w:firstLineChars="200"/>
        <w:contextualSpacing/>
        <w:rPr>
          <w:rFonts w:ascii="仿宋_GB2312" w:hAnsi="仿宋_GB2312" w:cs="仿宋_GB2312"/>
          <w:kern w:val="0"/>
          <w:lang w:val="zh-CN" w:bidi="zh-CN"/>
        </w:rPr>
      </w:pPr>
      <w:r>
        <w:rPr>
          <w:rFonts w:hint="eastAsia" w:ascii="仿宋_GB2312" w:hAnsi="仿宋_GB2312" w:cs="仿宋_GB2312"/>
          <w:kern w:val="0"/>
          <w:lang w:val="zh-CN" w:bidi="zh-CN"/>
        </w:rPr>
        <w:t>建设中国（河南）自由贸易试验区南阳开放创新联动区。</w:t>
      </w:r>
      <w:r>
        <w:rPr>
          <w:rFonts w:hint="eastAsia" w:ascii="仿宋_GB2312" w:hAnsi="仿宋_GB2312" w:cs="仿宋_GB2312"/>
          <w:lang w:val="zh-CN"/>
        </w:rPr>
        <w:t>以卧龙综合保税区为核心，加快申建中国（河南）自由贸易试验区南阳开放创新联动区，建立以投资贸易自由化便利化为核心的制度体系、高质量建设现代化开放型经济体系、构建安全高效的风险防控体系，建设更高水平开放型经济新体制，以开放促改革、促发展、促创新，把南阳自贸试验区开放创新联动区建设成为新时代改革开放新高地。</w:t>
      </w:r>
    </w:p>
    <w:p>
      <w:pPr>
        <w:spacing w:line="560" w:lineRule="exact"/>
        <w:ind w:firstLine="640" w:firstLineChars="200"/>
        <w:contextualSpacing/>
        <w:rPr>
          <w:b/>
          <w:lang w:val="zh-CN"/>
        </w:rPr>
      </w:pPr>
      <w:r>
        <w:rPr>
          <w:rFonts w:hint="eastAsia" w:ascii="仿宋_GB2312" w:hAnsi="仿宋_GB2312" w:cs="仿宋_GB2312"/>
          <w:kern w:val="0"/>
          <w:lang w:val="zh-CN" w:bidi="zh-CN"/>
        </w:rPr>
        <w:t>建设国家大数据（河南）综合试验区协同区。</w:t>
      </w:r>
      <w:r>
        <w:rPr>
          <w:rFonts w:hint="eastAsia" w:ascii="仿宋_GB2312" w:hAnsi="仿宋_GB2312" w:cs="仿宋_GB2312"/>
          <w:lang w:val="zh-CN"/>
        </w:rPr>
        <w:t>引进和培育一批具有行业领先地位的大数据企业，形成一批具有自主知识产权的大数据技术和产品，建设一批具有较强辐射带动能力的大数据创新创业基地，建设国家大数据（河南）综合试验区协同区。加快信息基础设施、融合基础设施建设，推进5G网络商业化规模化应用和传统基础设施智慧化升级，建设南阳数据中心和大数据产业园。</w:t>
      </w:r>
    </w:p>
    <w:p>
      <w:pPr>
        <w:pStyle w:val="7"/>
        <w:spacing w:line="560" w:lineRule="exact"/>
        <w:contextualSpacing/>
        <w:jc w:val="center"/>
        <w:rPr>
          <w:rFonts w:ascii="楷体_GB2312" w:hAnsi="楷体_GB2312" w:eastAsia="楷体_GB2312" w:cs="楷体_GB2312"/>
          <w:b w:val="0"/>
          <w:lang w:val="zh-CN" w:bidi="zh-CN"/>
        </w:rPr>
      </w:pPr>
      <w:bookmarkStart w:id="1404" w:name="_Toc929213207"/>
      <w:r>
        <w:rPr>
          <w:rFonts w:hint="eastAsia" w:ascii="楷体_GB2312" w:hAnsi="楷体_GB2312" w:eastAsia="楷体_GB2312" w:cs="楷体_GB2312"/>
          <w:b w:val="0"/>
          <w:lang w:val="zh-CN" w:bidi="zh-CN"/>
        </w:rPr>
        <w:t>第三节</w:t>
      </w:r>
      <w:r>
        <w:rPr>
          <w:rFonts w:hint="eastAsia" w:ascii="楷体_GB2312" w:hAnsi="楷体_GB2312" w:eastAsia="楷体_GB2312" w:cs="楷体_GB2312"/>
          <w:b w:val="0"/>
          <w:lang w:bidi="zh-CN"/>
        </w:rPr>
        <w:t xml:space="preserve"> </w:t>
      </w:r>
      <w:r>
        <w:rPr>
          <w:rFonts w:hint="eastAsia" w:ascii="楷体_GB2312" w:hAnsi="楷体_GB2312" w:eastAsia="楷体_GB2312" w:cs="楷体_GB2312"/>
          <w:b w:val="0"/>
          <w:lang w:val="zh-CN" w:bidi="zh-CN"/>
        </w:rPr>
        <w:t>创建国家生态文明建设示范市</w:t>
      </w:r>
      <w:bookmarkEnd w:id="1404"/>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实施生态安全屏障工程。</w:t>
      </w:r>
      <w:r>
        <w:rPr>
          <w:rFonts w:hint="eastAsia" w:ascii="仿宋_GB2312" w:hAnsi="仿宋_GB2312" w:cs="仿宋_GB2312"/>
          <w:lang w:val="zh-CN"/>
        </w:rPr>
        <w:t>牢固树立绿水青山就是金山银山理念，统筹推进山水林田湖草沙系统治理。将生态保护红线、环境质量底线、资源利用上线的硬约束落实到环境管控单元，建立全覆盖的生</w:t>
      </w:r>
      <w:r>
        <w:rPr>
          <w:rFonts w:hint="eastAsia" w:ascii="仿宋_GB2312" w:hAnsi="仿宋_GB2312" w:cs="仿宋_GB2312"/>
          <w:kern w:val="0"/>
          <w:lang w:val="zh-CN" w:bidi="zh-CN"/>
        </w:rPr>
        <w:t>态环境分区管控体系。坚持以水而定、量水而行，把水资源作为最大刚性约束，严格取用水管理。继续深化做实河湖长制。加快解决中小河流、病险水库和山洪灾害等防汛薄弱环节，</w:t>
      </w:r>
      <w:r>
        <w:rPr>
          <w:rFonts w:hint="eastAsia" w:ascii="仿宋_GB2312" w:hAnsi="仿宋_GB2312" w:cs="仿宋_GB2312"/>
          <w:lang w:val="zh-CN"/>
        </w:rPr>
        <w:t>增强城乡防洪能力。以河道生态整治和河道外两岸造林绿化为重点，建设河流生态廊道。科学推进国土绿化行动，推行林长制，大力推进森林质量精准提升工程，加强生物多样性系统保护。争创国家生态文明建设示范市，支持西峡县申报国家“两山”实践创新基地，支持邓州市建设“两山”实践创新基地。</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实施生态环境共保联治工程。</w:t>
      </w:r>
      <w:r>
        <w:rPr>
          <w:rFonts w:hint="eastAsia" w:ascii="仿宋_GB2312" w:hAnsi="仿宋_GB2312" w:cs="仿宋_GB2312"/>
          <w:lang w:val="zh-CN"/>
        </w:rPr>
        <w:t>打好污染防治攻坚战，强化全民共治、源头防治，落实生态保护补偿和生态环境损害赔偿制度，共同解决区域环境突出问题。协同开展大气污染联防联控，推进重点行业大气污染深度治理。加快推进城镇污水收集处理设施建设和改造，推广污水资源化利用。推进土壤污染综合防治先行区建设。实施粮食主产区永久基本农田面源污染专项治理工程，加强畜禽养殖污染综合治理和资源化利用。加快实施矿山修复重点工程、尾矿库污染治理工程，推动矿业绿色发展。</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实施绿色生产生活工程。</w:t>
      </w:r>
      <w:r>
        <w:rPr>
          <w:rFonts w:hint="eastAsia" w:ascii="仿宋_GB2312" w:hAnsi="仿宋_GB2312" w:cs="仿宋_GB2312"/>
          <w:lang w:val="zh-CN"/>
        </w:rPr>
        <w:t>加大开发区循环化改造力度，推进资源循环利用基地建设，新建一批循环经济示范城市、示范园区。开展低碳城市试点，积极推进近零碳排放示范工程，开展节约型机关和绿色家庭、绿色学校、绿色社区、绿色建筑等创建行动，鼓励绿色消费和绿色出行，促进产业绿色转型发展，提升生态碳汇能力。按照国家统一部署，扎实做好碳达峰、碳中和各项工作。健全有利于节约用水的价格机制，完善促进节能环保的电价机制。争创“无废城市”建设试点。</w:t>
      </w:r>
    </w:p>
    <w:p>
      <w:pPr>
        <w:pStyle w:val="7"/>
        <w:spacing w:line="560" w:lineRule="exact"/>
        <w:contextualSpacing/>
        <w:jc w:val="center"/>
        <w:rPr>
          <w:rFonts w:ascii="楷体_GB2312" w:hAnsi="楷体_GB2312" w:eastAsia="楷体_GB2312" w:cs="楷体_GB2312"/>
          <w:b w:val="0"/>
          <w:lang w:val="zh-CN" w:bidi="zh-CN"/>
        </w:rPr>
      </w:pPr>
      <w:bookmarkStart w:id="1405" w:name="_Toc1924818267"/>
      <w:r>
        <w:rPr>
          <w:rFonts w:hint="eastAsia" w:ascii="楷体_GB2312" w:hAnsi="楷体_GB2312" w:eastAsia="楷体_GB2312" w:cs="楷体_GB2312"/>
          <w:b w:val="0"/>
          <w:lang w:bidi="zh-CN"/>
        </w:rPr>
        <w:t xml:space="preserve">第四节 </w:t>
      </w:r>
      <w:r>
        <w:rPr>
          <w:rFonts w:hint="eastAsia" w:ascii="楷体_GB2312" w:hAnsi="楷体_GB2312" w:eastAsia="楷体_GB2312" w:cs="楷体_GB2312"/>
          <w:b w:val="0"/>
          <w:lang w:val="zh-CN" w:bidi="zh-CN"/>
        </w:rPr>
        <w:t>共建共享社会公共服务</w:t>
      </w:r>
      <w:bookmarkEnd w:id="1405"/>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实施基本公共服务提升工程。</w:t>
      </w:r>
      <w:r>
        <w:rPr>
          <w:rFonts w:hint="eastAsia" w:ascii="仿宋_GB2312" w:hAnsi="仿宋_GB2312" w:cs="仿宋_GB2312"/>
          <w:lang w:val="zh-CN"/>
        </w:rPr>
        <w:t>总结新冠肺炎疫情防控经验模式，加强公共卫生体系建设，完善公共卫生服务项目，建立公共卫生事业稳定投入机制，完善突发公共卫生事件监测预警处置机制，防范化解重大疫情和突发公共卫生风险，着力补齐公共卫生风险防控和应急管理短板，重点支持早期监测预警能力、应急医疗救治体系、医疗物资储备设施及隔离设施等传染病防治项目建设，加快实施传染病医院、疾控中心标准化建设，提高城乡社区医疗服务能力。推动基本医疗保险信息互联共享，完善住院费用异地直接结算。加强对重点行业、重点群体就业支持，引导重点就业群体跨地区就业，促进多渠道灵活就业。支持农民工、高校毕业生和退役军人等人员返乡入乡就业创业。完善农村留守老人关爱服务工作体系，健全农村养老服务设施。</w:t>
      </w:r>
    </w:p>
    <w:p>
      <w:pPr>
        <w:spacing w:line="560" w:lineRule="exact"/>
        <w:ind w:firstLine="640" w:firstLineChars="200"/>
        <w:contextualSpacing/>
        <w:rPr>
          <w:rFonts w:ascii="仿宋_GB2312" w:hAnsi="仿宋_GB2312" w:cs="仿宋_GB2312"/>
          <w:kern w:val="0"/>
          <w:lang w:val="zh-CN" w:bidi="zh-CN"/>
        </w:rPr>
      </w:pPr>
      <w:r>
        <w:rPr>
          <w:rFonts w:hint="eastAsia" w:ascii="仿宋_GB2312" w:hAnsi="仿宋_GB2312" w:cs="仿宋_GB2312"/>
          <w:kern w:val="0"/>
          <w:lang w:val="zh-CN" w:bidi="zh-CN"/>
        </w:rPr>
        <w:t>实施公共服务品质提升工程。</w:t>
      </w:r>
      <w:r>
        <w:rPr>
          <w:rFonts w:hint="eastAsia" w:ascii="仿宋_GB2312" w:hAnsi="仿宋_GB2312" w:cs="仿宋_GB2312"/>
          <w:lang w:val="zh-CN"/>
        </w:rPr>
        <w:t>支持国内一流科研机构在南阳设立分支机构，鼓励国外著名高校与南阳各大学开展合作办学。大力开展职业技能培训，加快高水平高职学校和专业建设，打造一批示范性职业教育集团（联盟），与中部其他地区共建共享一批产教融合实训基地。建设南阳区域医疗中心，鼓励国内外大型综合性医疗机构依法依规在南阳设立分支机构。支持县级医院与乡镇（社区）</w:t>
      </w:r>
      <w:r>
        <w:rPr>
          <w:rFonts w:hint="eastAsia" w:ascii="仿宋_GB2312" w:hAnsi="仿宋_GB2312" w:cs="仿宋_GB2312"/>
          <w:kern w:val="0"/>
          <w:lang w:val="zh-CN" w:bidi="zh-CN"/>
        </w:rPr>
        <w:t>医疗机构建立医疗共同体，提升基层医疗机构服务水平。</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实施社会治理提升工程。</w:t>
      </w:r>
      <w:r>
        <w:rPr>
          <w:rFonts w:hint="eastAsia" w:ascii="仿宋_GB2312" w:hAnsi="仿宋_GB2312" w:cs="仿宋_GB2312"/>
          <w:lang w:val="zh-CN"/>
        </w:rPr>
        <w:t>完善突发事件监测预警、应急响应平台和决策指挥系统，建设区域应急救援平台和区域保障中心，提高应急物资生产、储备和调配能力。依托社会管理信息化平台，推动政府部门业务数据互联共享，打造智慧城市、智慧社区。推进城市社区网格化管理，推动治理重心下移，实现社区服务规范化、全覆盖。完善村党组织领导乡村治理的体制机制，强化村级组织自治功能，全面实施村级事务阳光工程。全面推进“一区一警、一村一辅警”建设，打造平安社区、平安乡村。加强农村道路交通安全监督管理。加强农村普法教育和法律援助，依法解决农村社会矛盾。</w:t>
      </w:r>
    </w:p>
    <w:p>
      <w:pPr>
        <w:spacing w:line="560" w:lineRule="exact"/>
        <w:ind w:firstLine="640" w:firstLineChars="200"/>
        <w:contextualSpacing/>
        <w:rPr>
          <w:rFonts w:ascii="黑体" w:hAnsi="黑体" w:cs="黑体"/>
          <w:bCs/>
          <w:lang w:val="zh-CN"/>
        </w:rPr>
      </w:pPr>
      <w:r>
        <w:rPr>
          <w:rFonts w:hint="eastAsia" w:ascii="仿宋_GB2312" w:hAnsi="仿宋_GB2312" w:cs="仿宋_GB2312"/>
          <w:kern w:val="0"/>
          <w:lang w:val="zh-CN" w:bidi="zh-CN"/>
        </w:rPr>
        <w:t>实施城市能级提升工程。</w:t>
      </w:r>
      <w:r>
        <w:rPr>
          <w:rFonts w:hint="eastAsia" w:ascii="仿宋_GB2312" w:hAnsi="仿宋_GB2312" w:cs="仿宋_GB2312"/>
          <w:lang w:val="zh-CN"/>
        </w:rPr>
        <w:t>拓展城市空间，增强城市承载力、吸引力、凝聚力、竞争力。做强城市经济，推动先进制造业和现代服务业齐头并进、提速发展。完善城市功能，重点部位迅速突破，强力推进“四改一治”“</w:t>
      </w:r>
      <w:r>
        <w:rPr>
          <w:rFonts w:hint="eastAsia" w:ascii="仿宋_GB2312" w:hAnsi="仿宋_GB2312" w:cs="仿宋_GB2312"/>
        </w:rPr>
        <w:t>1050</w:t>
      </w:r>
      <w:r>
        <w:rPr>
          <w:rFonts w:hint="eastAsia" w:ascii="仿宋_GB2312" w:hAnsi="仿宋_GB2312" w:cs="仿宋_GB2312"/>
          <w:lang w:val="zh-CN"/>
        </w:rPr>
        <w:t>”工程，以人为本的理念贯穿始终，打造没有“城市病”的健康城市。科学合理运营，用好用活现代金融手段，让各类资本源源不断流入南阳。坚持以城带乡，加快农业农村现代化。</w:t>
      </w:r>
    </w:p>
    <w:p>
      <w:pPr>
        <w:pStyle w:val="6"/>
        <w:spacing w:line="560" w:lineRule="exact"/>
        <w:ind w:firstLine="640"/>
        <w:contextualSpacing/>
        <w:jc w:val="center"/>
      </w:pPr>
      <w:bookmarkStart w:id="1406" w:name="_Toc1365639273"/>
      <w:r>
        <w:rPr>
          <w:rFonts w:hint="eastAsia" w:ascii="黑体" w:hAnsi="黑体" w:cs="黑体"/>
          <w:szCs w:val="32"/>
          <w:lang w:val="zh-CN"/>
        </w:rPr>
        <w:t>第八章</w:t>
      </w:r>
      <w:r>
        <w:rPr>
          <w:rFonts w:hint="eastAsia" w:ascii="黑体" w:hAnsi="黑体" w:cs="黑体"/>
          <w:szCs w:val="32"/>
        </w:rPr>
        <w:t xml:space="preserve"> </w:t>
      </w:r>
      <w:r>
        <w:rPr>
          <w:rFonts w:hint="eastAsia" w:ascii="黑体" w:hAnsi="黑体" w:cs="黑体"/>
          <w:szCs w:val="32"/>
          <w:lang w:val="zh-CN"/>
        </w:rPr>
        <w:t>融入长江经济带，打造省际合作示范</w:t>
      </w:r>
      <w:r>
        <w:rPr>
          <w:rFonts w:hint="eastAsia" w:ascii="黑体" w:hAnsi="黑体" w:cs="黑体"/>
          <w:szCs w:val="32"/>
        </w:rPr>
        <w:t>区</w:t>
      </w:r>
      <w:bookmarkEnd w:id="1406"/>
    </w:p>
    <w:p>
      <w:pPr>
        <w:spacing w:line="560" w:lineRule="exact"/>
        <w:ind w:firstLine="640" w:firstLineChars="200"/>
        <w:contextualSpacing/>
        <w:rPr>
          <w:b/>
          <w:lang w:val="zh-CN"/>
        </w:rPr>
      </w:pPr>
      <w:r>
        <w:rPr>
          <w:rFonts w:hint="eastAsia" w:ascii="仿宋_GB2312" w:hAnsi="仿宋_GB2312" w:cs="仿宋_GB2312"/>
          <w:lang w:val="zh-CN"/>
        </w:rPr>
        <w:t>依托十堰、襄阳、武汉等汉江生态经济带重要节点城市，充分发挥南阳区位相近、联系密切的优势，深入对接长江经济带国家战略，探索融入长江中游城市群组团发展可行性，拓展合作空间。</w:t>
      </w:r>
    </w:p>
    <w:p>
      <w:pPr>
        <w:pStyle w:val="7"/>
        <w:spacing w:line="560" w:lineRule="exact"/>
        <w:contextualSpacing/>
        <w:jc w:val="center"/>
        <w:rPr>
          <w:rFonts w:ascii="楷体_GB2312" w:hAnsi="楷体_GB2312" w:eastAsia="楷体_GB2312" w:cs="楷体_GB2312"/>
          <w:b w:val="0"/>
          <w:lang w:val="zh-CN" w:bidi="zh-CN"/>
        </w:rPr>
      </w:pPr>
      <w:bookmarkStart w:id="1407" w:name="_Toc788385682"/>
      <w:r>
        <w:rPr>
          <w:rFonts w:hint="eastAsia" w:ascii="楷体_GB2312" w:hAnsi="楷体_GB2312" w:eastAsia="楷体_GB2312" w:cs="楷体_GB2312"/>
          <w:b w:val="0"/>
          <w:lang w:bidi="zh-CN"/>
        </w:rPr>
        <w:t>第</w:t>
      </w:r>
      <w:r>
        <w:rPr>
          <w:rFonts w:hint="eastAsia" w:ascii="楷体_GB2312" w:hAnsi="楷体_GB2312" w:eastAsia="楷体_GB2312" w:cs="楷体_GB2312"/>
          <w:b w:val="0"/>
          <w:lang w:val="zh-CN" w:bidi="zh-CN"/>
        </w:rPr>
        <w:t>一</w:t>
      </w:r>
      <w:r>
        <w:rPr>
          <w:rFonts w:hint="eastAsia" w:ascii="楷体_GB2312" w:hAnsi="楷体_GB2312" w:eastAsia="楷体_GB2312" w:cs="楷体_GB2312"/>
          <w:b w:val="0"/>
          <w:lang w:bidi="zh-CN"/>
        </w:rPr>
        <w:t xml:space="preserve">节 </w:t>
      </w:r>
      <w:r>
        <w:rPr>
          <w:rFonts w:hint="eastAsia" w:ascii="楷体_GB2312" w:hAnsi="楷体_GB2312" w:eastAsia="楷体_GB2312" w:cs="楷体_GB2312"/>
          <w:b w:val="0"/>
          <w:lang w:val="zh-CN" w:bidi="zh-CN"/>
        </w:rPr>
        <w:t>对接长江中游城市群</w:t>
      </w:r>
      <w:bookmarkEnd w:id="1407"/>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建设中原城市群与长江中游城市群链接重要枢纽。</w:t>
      </w:r>
      <w:r>
        <w:rPr>
          <w:rFonts w:hint="eastAsia" w:ascii="仿宋_GB2312" w:hAnsi="仿宋_GB2312" w:cs="仿宋_GB2312"/>
          <w:lang w:val="zh-CN"/>
        </w:rPr>
        <w:t>发挥南阳市作为中原城市群南部门户区位优势，加快高速公路网络建设，优化普通干线路网布局，推动轨道交通四网融合发展，建成全国性综合交通枢纽城市和商贸服务型国家物流枢纽。依托汉江水道，推进唐河复航工程建设，建成南阳港等港区，联通长江水道，加强南阳与长江中游城市群对接协作，成为中原城市群与长江中游城市群经济走廊的重要节点。</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实施市场一体化工程。</w:t>
      </w:r>
      <w:r>
        <w:rPr>
          <w:rFonts w:hint="eastAsia" w:ascii="仿宋_GB2312" w:hAnsi="仿宋_GB2312" w:cs="仿宋_GB2312"/>
          <w:lang w:val="zh-CN"/>
        </w:rPr>
        <w:t>提升南阳生产要素市场、消费市场等与长江中游城市群主要城市的一体化发展水平，加快资本、数据、创新资源、商品、服务等与长江中游城市群主要城市的对接融入，通过一体化战略带动南阳经济社会整体的发展。</w:t>
      </w:r>
    </w:p>
    <w:p>
      <w:pPr>
        <w:spacing w:line="560" w:lineRule="exact"/>
        <w:ind w:firstLine="640" w:firstLineChars="200"/>
        <w:contextualSpacing/>
        <w:rPr>
          <w:b/>
          <w:lang w:val="zh-CN"/>
        </w:rPr>
      </w:pPr>
      <w:r>
        <w:rPr>
          <w:rFonts w:hint="eastAsia" w:ascii="仿宋_GB2312" w:hAnsi="仿宋_GB2312" w:cs="仿宋_GB2312"/>
          <w:kern w:val="0"/>
          <w:lang w:val="zh-CN" w:bidi="zh-CN"/>
        </w:rPr>
        <w:t>承接长江中游城市群先进制造业转移。</w:t>
      </w:r>
      <w:r>
        <w:rPr>
          <w:rFonts w:hint="eastAsia" w:ascii="仿宋_GB2312" w:hAnsi="仿宋_GB2312" w:cs="仿宋_GB2312"/>
          <w:lang w:val="zh-CN"/>
        </w:rPr>
        <w:t>以先进制造业开发区为依托，通过投资合作等多种形式，与长江中游城市群共建一批产业园区，积极承接长江中游城市群装备制造、食品加工、纺织服装、生物产业等产业升级转移，聚焦新兴产业链关键环节，引进培育一批引领型高新技术企业。完善园区基础配套设施，强化项目促进服务，力争吸引长江中游城市群城市骨干企业迁移布点、全产业链高质量承接。</w:t>
      </w:r>
    </w:p>
    <w:p>
      <w:pPr>
        <w:pStyle w:val="7"/>
        <w:spacing w:line="560" w:lineRule="exact"/>
        <w:contextualSpacing/>
        <w:jc w:val="center"/>
        <w:rPr>
          <w:rFonts w:ascii="楷体_GB2312" w:hAnsi="楷体_GB2312" w:eastAsia="楷体_GB2312" w:cs="楷体_GB2312"/>
          <w:b w:val="0"/>
          <w:lang w:val="zh-CN" w:bidi="zh-CN"/>
        </w:rPr>
      </w:pPr>
      <w:bookmarkStart w:id="1408" w:name="_Toc203266597"/>
      <w:r>
        <w:rPr>
          <w:rFonts w:hint="eastAsia" w:ascii="楷体_GB2312" w:hAnsi="楷体_GB2312" w:eastAsia="楷体_GB2312" w:cs="楷体_GB2312"/>
          <w:b w:val="0"/>
          <w:lang w:bidi="zh-CN"/>
        </w:rPr>
        <w:t>第</w:t>
      </w:r>
      <w:r>
        <w:rPr>
          <w:rFonts w:hint="eastAsia" w:ascii="楷体_GB2312" w:hAnsi="楷体_GB2312" w:eastAsia="楷体_GB2312" w:cs="楷体_GB2312"/>
          <w:b w:val="0"/>
          <w:lang w:val="zh-CN" w:bidi="zh-CN"/>
        </w:rPr>
        <w:t>二</w:t>
      </w:r>
      <w:r>
        <w:rPr>
          <w:rFonts w:hint="eastAsia" w:ascii="楷体_GB2312" w:hAnsi="楷体_GB2312" w:eastAsia="楷体_GB2312" w:cs="楷体_GB2312"/>
          <w:b w:val="0"/>
          <w:lang w:bidi="zh-CN"/>
        </w:rPr>
        <w:t xml:space="preserve">节 </w:t>
      </w:r>
      <w:r>
        <w:rPr>
          <w:rFonts w:hint="eastAsia" w:ascii="楷体_GB2312" w:hAnsi="楷体_GB2312" w:eastAsia="楷体_GB2312" w:cs="楷体_GB2312"/>
          <w:b w:val="0"/>
          <w:lang w:val="zh-CN" w:bidi="zh-CN"/>
        </w:rPr>
        <w:t>对接成渝双城经济圈</w:t>
      </w:r>
      <w:bookmarkEnd w:id="1408"/>
    </w:p>
    <w:p>
      <w:pPr>
        <w:spacing w:line="560" w:lineRule="exact"/>
        <w:ind w:firstLine="640" w:firstLineChars="200"/>
        <w:contextualSpacing/>
        <w:rPr>
          <w:rFonts w:ascii="仿宋" w:hAnsi="仿宋" w:eastAsia="仿宋" w:cs="仿宋"/>
          <w:b/>
          <w:lang w:val="zh-CN"/>
        </w:rPr>
      </w:pPr>
      <w:r>
        <w:rPr>
          <w:rFonts w:hint="eastAsia" w:ascii="仿宋_GB2312" w:hAnsi="仿宋_GB2312" w:cs="仿宋_GB2312"/>
          <w:lang w:val="zh-CN"/>
        </w:rPr>
        <w:t>依托郑渝高铁，强化与成渝地区互联互通，建立长效合作机制，开展教育、文化、医疗、产业等多领域合作。加强两地公共文化管理和服务人才的培训交流，促进两地文化发展繁荣。发挥南阳农业品种更新、基地建设等方面优势，加大两地农超、农商对接力度，开展两地农特产品的展销和流通。支持与巴南开展中医药合作，共建生物产业园、医疗器械产业园和健康服务产业园。强化中原文化、巴蜀文化交流，引导、支持两地企业联合开发旅游资源，加强两地旅游宣传推介、旅游线路开拓等方面的合作，加强旅游标准、管理和服务对接，联合创建旅游品牌，打造旅游发展合作联盟。</w:t>
      </w:r>
    </w:p>
    <w:p>
      <w:pPr>
        <w:spacing w:line="560" w:lineRule="exact"/>
        <w:contextualSpacing/>
        <w:rPr>
          <w:lang w:val="zh-CN"/>
        </w:rPr>
      </w:pP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contextualSpacing/>
              <w:jc w:val="center"/>
            </w:pPr>
            <w:r>
              <w:rPr>
                <w:rFonts w:hint="eastAsia" w:ascii="黑体" w:eastAsia="黑体"/>
                <w:sz w:val="28"/>
                <w:szCs w:val="28"/>
              </w:rPr>
              <w:t>专栏3：宛成渝合作重大工程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tcBorders>
              <w:top w:val="single" w:color="auto" w:sz="4" w:space="0"/>
              <w:left w:val="single" w:color="auto" w:sz="4" w:space="0"/>
              <w:bottom w:val="single" w:color="auto" w:sz="4" w:space="0"/>
              <w:right w:val="single" w:color="auto" w:sz="4" w:space="0"/>
            </w:tcBorders>
          </w:tcPr>
          <w:p>
            <w:pPr>
              <w:spacing w:line="400" w:lineRule="exact"/>
              <w:ind w:firstLine="480" w:firstLineChars="200"/>
              <w:contextualSpacing/>
              <w:rPr>
                <w:rFonts w:ascii="Times New Roman" w:hAnsi="Times New Roman"/>
                <w:bCs/>
                <w:sz w:val="24"/>
                <w:szCs w:val="24"/>
              </w:rPr>
            </w:pPr>
            <w:r>
              <w:rPr>
                <w:rFonts w:hint="eastAsia" w:ascii="楷体" w:hAnsi="楷体" w:eastAsia="楷体" w:cs="楷体"/>
                <w:bCs/>
                <w:sz w:val="24"/>
                <w:szCs w:val="24"/>
              </w:rPr>
              <w:t>生态共建工程。</w:t>
            </w:r>
            <w:r>
              <w:rPr>
                <w:rFonts w:hint="eastAsia" w:ascii="Times New Roman" w:hAnsi="Times New Roman"/>
                <w:bCs/>
                <w:sz w:val="24"/>
                <w:szCs w:val="24"/>
              </w:rPr>
              <w:t>丹江—唐白河流域生态保护修复项目，推进方城汉山水库建设，加强桐柏山淮河源生态环境保护跨区域协作。</w:t>
            </w:r>
          </w:p>
          <w:p>
            <w:pPr>
              <w:spacing w:line="400" w:lineRule="exact"/>
              <w:ind w:firstLine="480" w:firstLineChars="200"/>
              <w:contextualSpacing/>
              <w:rPr>
                <w:rFonts w:ascii="Times New Roman" w:hAnsi="Times New Roman"/>
                <w:bCs/>
                <w:sz w:val="24"/>
                <w:szCs w:val="24"/>
              </w:rPr>
            </w:pPr>
            <w:r>
              <w:rPr>
                <w:rFonts w:hint="eastAsia" w:ascii="楷体" w:hAnsi="楷体" w:eastAsia="楷体" w:cs="楷体"/>
                <w:bCs/>
                <w:sz w:val="24"/>
                <w:szCs w:val="24"/>
              </w:rPr>
              <w:t>基础设施互联互通工程。</w:t>
            </w:r>
            <w:r>
              <w:rPr>
                <w:rFonts w:hint="eastAsia" w:ascii="Times New Roman" w:hAnsi="Times New Roman"/>
                <w:bCs/>
                <w:sz w:val="24"/>
                <w:szCs w:val="24"/>
              </w:rPr>
              <w:t>建设唐河社旗至省界航运工程和南阳港唐河、新野、社旗等港区。推进唐沙河复航项目前期。加快南阳机场迁建，支持有条件的县（市）规划建设通用机场。加强丹江口水库环库生态通道等重要省际通道建设。</w:t>
            </w:r>
          </w:p>
          <w:p>
            <w:pPr>
              <w:spacing w:line="400" w:lineRule="exact"/>
              <w:ind w:firstLine="480" w:firstLineChars="200"/>
              <w:contextualSpacing/>
              <w:rPr>
                <w:rFonts w:ascii="Times New Roman" w:hAnsi="Times New Roman"/>
                <w:bCs/>
                <w:sz w:val="24"/>
                <w:szCs w:val="24"/>
              </w:rPr>
            </w:pPr>
            <w:r>
              <w:rPr>
                <w:rFonts w:hint="eastAsia" w:ascii="楷体" w:hAnsi="楷体" w:eastAsia="楷体" w:cs="楷体"/>
                <w:bCs/>
                <w:sz w:val="24"/>
                <w:szCs w:val="24"/>
              </w:rPr>
              <w:t>文旅融合发展工程。</w:t>
            </w:r>
            <w:r>
              <w:rPr>
                <w:rFonts w:hint="eastAsia" w:ascii="Times New Roman" w:hAnsi="Times New Roman"/>
                <w:bCs/>
                <w:sz w:val="24"/>
                <w:szCs w:val="24"/>
              </w:rPr>
              <w:t>构建旅游发展合作联盟，打造跨区域旅游线路，建立互为旅游目的地客源联动机制，打造武汉、南阳“周末游”产品。联合开展张仲景医药文化节、玉雕节、世界月季洲际大会等特色活动。深度发掘红色革命文化资源，共同推进革命老区红色文旅建设。</w:t>
            </w:r>
          </w:p>
          <w:p>
            <w:pPr>
              <w:spacing w:line="400" w:lineRule="exact"/>
              <w:ind w:firstLine="480" w:firstLineChars="200"/>
              <w:contextualSpacing/>
              <w:rPr>
                <w:rFonts w:ascii="Times New Roman" w:hAnsi="Times New Roman"/>
                <w:bCs/>
                <w:sz w:val="24"/>
                <w:szCs w:val="24"/>
              </w:rPr>
            </w:pPr>
            <w:r>
              <w:rPr>
                <w:rFonts w:hint="eastAsia" w:ascii="楷体" w:hAnsi="楷体" w:eastAsia="楷体" w:cs="楷体"/>
                <w:bCs/>
                <w:sz w:val="24"/>
                <w:szCs w:val="24"/>
              </w:rPr>
              <w:t>合作开发平台工程。</w:t>
            </w:r>
            <w:r>
              <w:rPr>
                <w:rFonts w:hint="eastAsia" w:ascii="Times New Roman" w:hAnsi="Times New Roman"/>
                <w:bCs/>
                <w:sz w:val="24"/>
                <w:szCs w:val="24"/>
              </w:rPr>
              <w:t>跨境电商综试区建设工程。加快推动南阳跨境电商综试区、南阳卧龙综合保税区建设。推动南阳跨境电商综试区健全体制机制、培育特色产业、完善配套服务和监管制度，打造具有一定辐射带动能力的新型区域跨境电子商务中心。</w:t>
            </w:r>
          </w:p>
        </w:tc>
      </w:tr>
    </w:tbl>
    <w:p>
      <w:pPr>
        <w:pStyle w:val="7"/>
        <w:spacing w:line="560" w:lineRule="exact"/>
        <w:contextualSpacing/>
        <w:jc w:val="center"/>
        <w:rPr>
          <w:rFonts w:ascii="楷体_GB2312" w:hAnsi="楷体_GB2312" w:eastAsia="楷体_GB2312" w:cs="楷体_GB2312"/>
          <w:b w:val="0"/>
          <w:lang w:bidi="zh-CN"/>
        </w:rPr>
      </w:pPr>
      <w:bookmarkStart w:id="1409" w:name="_Toc371052946"/>
      <w:r>
        <w:rPr>
          <w:rFonts w:hint="eastAsia" w:ascii="楷体_GB2312" w:hAnsi="楷体_GB2312" w:eastAsia="楷体_GB2312" w:cs="楷体_GB2312"/>
          <w:b w:val="0"/>
          <w:lang w:bidi="zh-CN"/>
        </w:rPr>
        <w:t>第三节 联动武汉城市圈</w:t>
      </w:r>
      <w:bookmarkEnd w:id="1409"/>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实施承接武汉都市圈产业转移工程。</w:t>
      </w:r>
      <w:r>
        <w:rPr>
          <w:rFonts w:hint="eastAsia" w:ascii="仿宋_GB2312" w:hAnsi="仿宋_GB2312" w:cs="仿宋_GB2312"/>
        </w:rPr>
        <w:t>探</w:t>
      </w:r>
      <w:r>
        <w:rPr>
          <w:rFonts w:hint="eastAsia" w:ascii="仿宋_GB2312" w:hAnsi="仿宋_GB2312" w:cs="仿宋_GB2312"/>
          <w:lang w:val="zh-CN"/>
        </w:rPr>
        <w:t>索“研发在武汉、生产在南阳，孵化在武汉、加速在南阳，引才在武汉，用才在南阳”的发展新模式，加强南阳重点企业与武汉城市圈头部企业互动，积极承接武汉都市圈产业转移，整合科技创新资源，加快先进制造业高质量发展。鼓励和推动科技创新，加快延链、补链、强链，推动先进制造业链群式发展。加快推进产业基础高级化、产业链现代化，促进先进制造业和现代服务业深度融合，集中力量培育千亿级产业集群和百亿级园区和企业。</w:t>
      </w:r>
    </w:p>
    <w:p>
      <w:pPr>
        <w:spacing w:line="560" w:lineRule="exact"/>
        <w:ind w:firstLine="640" w:firstLineChars="200"/>
        <w:contextualSpacing/>
        <w:rPr>
          <w:rFonts w:ascii="仿宋_GB2312" w:hAnsi="仿宋_GB2312" w:cs="仿宋_GB2312"/>
        </w:rPr>
      </w:pPr>
      <w:r>
        <w:rPr>
          <w:rFonts w:hint="eastAsia" w:ascii="仿宋_GB2312" w:hAnsi="仿宋_GB2312" w:cs="仿宋_GB2312"/>
          <w:kern w:val="0"/>
          <w:lang w:val="zh-CN" w:bidi="zh-CN"/>
        </w:rPr>
        <w:t>建设科技成果转化南阳基地。</w:t>
      </w:r>
      <w:r>
        <w:rPr>
          <w:rFonts w:hint="eastAsia" w:ascii="仿宋_GB2312" w:hAnsi="仿宋_GB2312" w:cs="仿宋_GB2312"/>
          <w:lang w:val="zh-CN"/>
        </w:rPr>
        <w:t>鼓励我市企业与武汉市高校、科研院所、高新技术企业加强合作交流，共建科技创新服务平台、科技成果转化平台和科技研发生产基地，形成“武汉研发+南阳转化”的创新协作模式。瞄准武汉高校和科研院所优质科创资源，积极开展人才技术引进、科研攻关、学术交流等方面的合作，共建一批高水平的产业研究院、重点实验室、创新联盟、院士专家工作站、博士后科研工作站等。</w:t>
      </w:r>
      <w:r>
        <w:rPr>
          <w:rFonts w:hint="eastAsia" w:ascii="仿宋_GB2312" w:hAnsi="仿宋_GB2312" w:cs="仿宋_GB2312"/>
        </w:rPr>
        <w:t xml:space="preserve">  </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实施人才引进培育计划。</w:t>
      </w:r>
      <w:r>
        <w:rPr>
          <w:rFonts w:hint="eastAsia" w:ascii="仿宋_GB2312" w:hAnsi="仿宋_GB2312" w:cs="仿宋_GB2312"/>
          <w:lang w:val="zh-CN"/>
        </w:rPr>
        <w:t>依托武汉高等院校、科技企业，采取研企合作、校企合作、定向培养、合作办学等模式，围绕南阳生态经济发展、传统产业升级、生态环境保护、综合防灾减灾、教育医疗文化等领域紧缺的专业人才，探索“组团式”模式，为南阳培养专业技术人才和实用人才。依托创新平台，瞄准重点产业、重点领域和优势学科，健全人才需求预测预警和引才目录定期发布机制，实行绿色通道和容缺受理服务等便利措施，面向武汉高等院校，加快引进一批高层次和急需紧缺人才（团队）。鼓励规上工业企业建设高校实训基地。探索在武汉建立人才联络工作站。</w:t>
      </w:r>
    </w:p>
    <w:p>
      <w:pPr>
        <w:spacing w:line="560" w:lineRule="exact"/>
        <w:ind w:firstLine="640" w:firstLineChars="200"/>
        <w:contextualSpacing/>
        <w:rPr>
          <w:b/>
          <w:lang w:val="zh-CN"/>
        </w:rPr>
      </w:pPr>
      <w:r>
        <w:rPr>
          <w:rFonts w:hint="eastAsia" w:ascii="仿宋_GB2312" w:hAnsi="仿宋_GB2312" w:cs="仿宋_GB2312"/>
          <w:kern w:val="0"/>
          <w:lang w:val="zh-CN" w:bidi="zh-CN"/>
        </w:rPr>
        <w:t>实施跨区域公共服务协作工程。</w:t>
      </w:r>
      <w:r>
        <w:rPr>
          <w:rFonts w:hint="eastAsia" w:ascii="仿宋_GB2312" w:hAnsi="仿宋_GB2312" w:cs="仿宋_GB2312"/>
          <w:lang w:val="zh-CN"/>
        </w:rPr>
        <w:t>推进南阳与武汉城市圈在教育、公共卫生、社保、就业等社会事业领域的城际交流合作。支持南阳高等院校、科研院所等机构在重点领域技术突破、科研成果转化和高等学校对口帮扶等方面与武汉等地市开展深入合作。深化职业教育合作，扶持一批有特色的培训机构、技工学校和大型企业职教集团，开拓新工种、新职业，开展订单式培训。推动医疗服务市场与武汉都市圈开放对接，推进医疗保险合作，互相认定一批异地医保定点医疗机构，完善居民异地转诊机制。加强突发公共卫生事件应急管理合作，提高区域内突发公共卫生事件应急处置的信息共享水平和联动能力，加强防汛、森林防火等信息共享与预警。推动南阳与武汉城市群在劳动就业、社会养老、社会救助等领域的合作与衔接，建设区域性社保数据库以及社会保障信息平台，推进社保信息共享。完善跨省区就业服务体系，搭建就业信息共享平台，推动就业政策与武汉城市群衔接，促进人力资源规范、有序、高效流动与配置。</w:t>
      </w:r>
    </w:p>
    <w:p>
      <w:pPr>
        <w:pStyle w:val="7"/>
        <w:spacing w:line="560" w:lineRule="exact"/>
        <w:contextualSpacing/>
        <w:jc w:val="center"/>
        <w:rPr>
          <w:rFonts w:ascii="楷体_GB2312" w:hAnsi="楷体_GB2312" w:eastAsia="楷体_GB2312" w:cs="楷体_GB2312"/>
        </w:rPr>
      </w:pPr>
      <w:bookmarkStart w:id="1410" w:name="_Toc1640168668"/>
      <w:r>
        <w:rPr>
          <w:rFonts w:hint="eastAsia" w:ascii="楷体_GB2312" w:hAnsi="楷体_GB2312" w:eastAsia="楷体_GB2312" w:cs="楷体_GB2312"/>
          <w:b w:val="0"/>
          <w:lang w:bidi="zh-CN"/>
        </w:rPr>
        <w:t>第四节 对接汉江生态经济带</w:t>
      </w:r>
      <w:bookmarkEnd w:id="1410"/>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加强南阳襄阳协调对接。</w:t>
      </w:r>
      <w:r>
        <w:rPr>
          <w:rFonts w:hint="eastAsia" w:ascii="仿宋_GB2312" w:hAnsi="仿宋_GB2312" w:cs="仿宋_GB2312"/>
          <w:lang w:val="zh-CN"/>
        </w:rPr>
        <w:t>持续推动与襄阳在基础设施、产业发展、文化旅游、公共服务、生态环保等方面的对接合作。加快构筑生态安全屏障、强化现代基础设施支撑、加快产业转型升级、统筹城乡协调发展、全方位扩大开放合作、提升基本公共服务保障能力，围绕工业转型升级、现代农业培育、服务业提升、基础设施完善、生态环境保护、社会事业保障等领域加强合作。</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实施交通等基础设施一体化工程。</w:t>
      </w:r>
      <w:r>
        <w:rPr>
          <w:rFonts w:hint="eastAsia" w:ascii="仿宋_GB2312" w:hAnsi="仿宋_GB2312" w:cs="仿宋_GB2312"/>
          <w:lang w:val="zh-CN"/>
        </w:rPr>
        <w:t>协同实施唐白河（唐河）航运开发，加强岸线资源保护和利用，建成一批港区，打通豫鄂“黄金水道”。共同谋划建设交通基础设施项目，完善交通路网，提升互联互通水平。依托沪陕高速，积极推动我市沿线中小城市发展，增强产业和人口集聚能力，打造支撑汉江生态经济带发展的新轴线。依托二广高速，积极发展装备制造、纺织服装、汽车及零部件、绿色食品等产业，打造汉江生态经济带南北联动的纵向轴线。</w:t>
      </w:r>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kern w:val="0"/>
          <w:lang w:val="zh-CN" w:bidi="zh-CN"/>
        </w:rPr>
        <w:t>实施生态保护一体化工程。</w:t>
      </w:r>
      <w:r>
        <w:rPr>
          <w:rFonts w:hint="eastAsia" w:ascii="仿宋_GB2312" w:hAnsi="仿宋_GB2312" w:cs="仿宋_GB2312"/>
          <w:lang w:val="zh-CN"/>
        </w:rPr>
        <w:t>积极开展汉江流域水环境综合整治和生态治理，共建一批生态保护项目，协调解决跨省流域重大环境问题，保障环境安全。建立统一的实时在线环境监控系统，健全环境信息公开制度，建立环境污染事故应急联动机制。</w:t>
      </w:r>
    </w:p>
    <w:p>
      <w:pPr>
        <w:spacing w:line="560" w:lineRule="exact"/>
        <w:ind w:firstLine="640" w:firstLineChars="200"/>
        <w:contextualSpacing/>
      </w:pPr>
      <w:r>
        <w:rPr>
          <w:rFonts w:hint="eastAsia" w:ascii="仿宋_GB2312" w:hAnsi="仿宋_GB2312" w:cs="仿宋_GB2312"/>
          <w:kern w:val="0"/>
          <w:lang w:val="zh-CN" w:bidi="zh-CN"/>
        </w:rPr>
        <w:t>实施产业创新协同工程。</w:t>
      </w:r>
      <w:r>
        <w:rPr>
          <w:rFonts w:hint="eastAsia" w:ascii="仿宋_GB2312" w:hAnsi="仿宋_GB2312" w:cs="仿宋_GB2312"/>
          <w:lang w:val="zh-CN"/>
        </w:rPr>
        <w:t>发挥各地创新资源优势，积极培育高端装备制造、电子信息、生物产业、新能源、新材料等产业，打造一批新兴产业基地。支持行业龙头企业、高校、科研院所协同创建各类创新平台。依托自然和生态资源优势，探索推进豫鄂两省旅游资源共享，两省旅游一卡通。通过联合打造旅游精品线路、世界旅游品牌，推动旅游业健康发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400" w:lineRule="exact"/>
              <w:contextualSpacing/>
              <w:jc w:val="center"/>
              <w:rPr>
                <w:rFonts w:ascii="Times New Roman" w:hAnsi="Times New Roman"/>
              </w:rPr>
            </w:pPr>
            <w:r>
              <w:rPr>
                <w:rFonts w:hint="eastAsia" w:ascii="黑体" w:eastAsia="黑体"/>
                <w:sz w:val="28"/>
                <w:szCs w:val="28"/>
              </w:rPr>
              <w:t>专栏4：融入汉江生态经济带重大工程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400" w:lineRule="exact"/>
              <w:ind w:firstLine="480" w:firstLineChars="200"/>
              <w:contextualSpacing/>
              <w:rPr>
                <w:rFonts w:ascii="Times New Roman" w:hAnsi="Times New Roman"/>
                <w:bCs/>
                <w:sz w:val="24"/>
                <w:szCs w:val="24"/>
              </w:rPr>
            </w:pPr>
            <w:r>
              <w:rPr>
                <w:rFonts w:hint="eastAsia" w:ascii="楷体" w:hAnsi="楷体" w:eastAsia="楷体" w:cs="楷体"/>
                <w:bCs/>
                <w:sz w:val="24"/>
                <w:szCs w:val="24"/>
              </w:rPr>
              <w:t>生态环境治理工程。</w:t>
            </w:r>
            <w:r>
              <w:rPr>
                <w:rFonts w:hint="eastAsia" w:ascii="Times New Roman" w:hAnsi="Times New Roman"/>
                <w:bCs/>
                <w:sz w:val="24"/>
                <w:szCs w:val="24"/>
              </w:rPr>
              <w:t>高新区汉城河上游治理工程、邓州市环古城河旅游PPP项目、内乡县湍河县城至七里坪段河道综合治理项目、淅川县矿山生态修复、南阳市静脉产业园区建设项目、方城县三河一廊环境综合治理项目、示范区农村环境综合治理项目、镇平县南水北调及属地水源地沿线重点镇污水处理厂建设项目、淅川县污染与退化土地修复治理、内乡县默河水环境综合治理项目、淅川县丹江鄂豫河段综合治理工程、淅川县石漠化治理、南阳市白河流域生态廊道可持续发展项目、南阳市鸭河流域生态廊道可持续发展工程。</w:t>
            </w:r>
          </w:p>
          <w:p>
            <w:pPr>
              <w:spacing w:line="400" w:lineRule="exact"/>
              <w:ind w:firstLine="480" w:firstLineChars="200"/>
              <w:contextualSpacing/>
              <w:rPr>
                <w:rFonts w:ascii="Times New Roman" w:hAnsi="Times New Roman"/>
                <w:bCs/>
                <w:sz w:val="24"/>
                <w:szCs w:val="24"/>
              </w:rPr>
            </w:pPr>
            <w:r>
              <w:rPr>
                <w:rFonts w:hint="eastAsia" w:ascii="楷体" w:hAnsi="楷体" w:eastAsia="楷体" w:cs="楷体"/>
                <w:bCs/>
                <w:sz w:val="24"/>
                <w:szCs w:val="24"/>
              </w:rPr>
              <w:t>服务业提升工程。</w:t>
            </w:r>
            <w:r>
              <w:rPr>
                <w:rFonts w:hint="eastAsia" w:ascii="Times New Roman" w:hAnsi="Times New Roman"/>
                <w:bCs/>
                <w:sz w:val="24"/>
                <w:szCs w:val="24"/>
              </w:rPr>
              <w:t>南阳国际陆港现代物流园建设项目、唐河县南阳港务储运有限公司冷链物流建设项目、唐河县年中转300万吨粮食现代物流园建设项目、方城烩面小镇项目、中国物流集团方城物流园项目、南阳诚发金融港国际化商业综合体项目、示范区南阳万邦厚疆农产品批发市场项目、内乡县牧原智慧物流园、南召大宝天曼创建国家级旅游度假区项目、镇平县太公湖旅游度假区、淅川县全域旅游公共基础设施建设项目、内乡县煤贸物流园、镇平县言石小镇项目。</w:t>
            </w:r>
          </w:p>
          <w:p>
            <w:pPr>
              <w:spacing w:line="400" w:lineRule="exact"/>
              <w:ind w:firstLine="480" w:firstLineChars="200"/>
              <w:contextualSpacing/>
            </w:pPr>
            <w:r>
              <w:rPr>
                <w:rFonts w:hint="eastAsia" w:ascii="楷体" w:hAnsi="楷体" w:eastAsia="楷体" w:cs="楷体"/>
                <w:bCs/>
                <w:sz w:val="24"/>
                <w:szCs w:val="24"/>
              </w:rPr>
              <w:t>基础设施完善工程。</w:t>
            </w:r>
            <w:r>
              <w:rPr>
                <w:rFonts w:hint="eastAsia" w:ascii="Times New Roman" w:hAnsi="Times New Roman"/>
                <w:bCs/>
                <w:sz w:val="24"/>
                <w:szCs w:val="24"/>
              </w:rPr>
              <w:t>高新区鸭河快速通道建设工程、内乡县沈丘至卢氏高速建设项目、内乡县嵩县至内乡高速建设项目、沈丘至卢氏高速公路（南召段）、南召县呼南高铁豫西通道（南召段）、唐河复航建设项目、西峡县渑池至西峡高速西峡至淅川马蹬段、唐河县焦作至唐河高速方城至唐河段、桐邓高速建设项目、郑州至南阳高速公路（南召段）、淅川县渑淅高速马蹬至省界段、淅川县渑淅高速淅川至三淅高速、淅川县内邓高速师岗至马蹬寇楼段、嵩县至内乡高速公路（南召段）、西峡县郑州至西峡高速公路双龙至西峡段、丹水至淅川高速公路、南阳国际陆港铁路专用线建设项目、内乡县通用机场建设项目、唐河县通用机场、鸭河工区通用机场。</w:t>
            </w:r>
          </w:p>
        </w:tc>
      </w:tr>
    </w:tbl>
    <w:p>
      <w:pPr>
        <w:spacing w:line="560" w:lineRule="exact"/>
        <w:contextualSpacing/>
        <w:jc w:val="center"/>
        <w:outlineLvl w:val="0"/>
        <w:rPr>
          <w:b/>
          <w:lang w:val="zh-CN"/>
        </w:rPr>
      </w:pPr>
      <w:bookmarkStart w:id="1411" w:name="_Toc816512785"/>
      <w:r>
        <w:rPr>
          <w:rFonts w:hint="eastAsia" w:ascii="黑体" w:hAnsi="黑体" w:eastAsia="黑体" w:cs="黑体"/>
          <w:lang w:val="zh-CN"/>
        </w:rPr>
        <w:t>第九章 保障措施</w:t>
      </w:r>
      <w:bookmarkEnd w:id="1411"/>
    </w:p>
    <w:p>
      <w:pPr>
        <w:pStyle w:val="7"/>
        <w:spacing w:line="560" w:lineRule="exact"/>
        <w:contextualSpacing/>
        <w:jc w:val="center"/>
        <w:rPr>
          <w:lang w:val="zh-CN"/>
        </w:rPr>
      </w:pPr>
      <w:bookmarkStart w:id="1412" w:name="_Toc626385012"/>
      <w:r>
        <w:rPr>
          <w:rFonts w:hint="eastAsia" w:ascii="楷体_GB2312" w:hAnsi="楷体_GB2312" w:eastAsia="楷体_GB2312" w:cs="楷体_GB2312"/>
          <w:b w:val="0"/>
          <w:lang w:bidi="zh-CN"/>
        </w:rPr>
        <w:t xml:space="preserve">第一节 </w:t>
      </w:r>
      <w:r>
        <w:rPr>
          <w:rFonts w:hint="eastAsia" w:ascii="楷体_GB2312" w:hAnsi="楷体_GB2312" w:eastAsia="楷体_GB2312" w:cs="楷体_GB2312"/>
          <w:b w:val="0"/>
          <w:lang w:val="zh-CN" w:bidi="zh-CN"/>
        </w:rPr>
        <w:t>加强组织领导</w:t>
      </w:r>
      <w:bookmarkEnd w:id="1412"/>
    </w:p>
    <w:p>
      <w:pPr>
        <w:spacing w:line="560" w:lineRule="exact"/>
        <w:ind w:firstLine="640" w:firstLineChars="200"/>
        <w:contextualSpacing/>
        <w:rPr>
          <w:lang w:val="zh-CN"/>
        </w:rPr>
      </w:pPr>
      <w:r>
        <w:rPr>
          <w:rFonts w:hint="eastAsia" w:ascii="仿宋_GB2312" w:hAnsi="仿宋_GB2312" w:cs="仿宋_GB2312"/>
          <w:lang w:val="zh-CN"/>
        </w:rPr>
        <w:t>强化各相关部门配合联动，及时研究解决区域合作中遇到的困难和问题，推动区域合作不断深化。在京津冀、长三角、大湾区等地区设立招才引智工作联络机构，加大南阳引才政策宣传力度，提升南阳引才政策的知晓度和影响力。优化高层次人才创新创业服务环境，为引进的高层次人才提供专业化、系统化、个性化服务。建立定期合作交流机制，促进高层交流互动。组建跨区域人力资源服务联盟，构建人力资源信息共享与服务对接机制。制定招商引资图谱，明确重点方向、重点领域和重点项目。充分利用中介机构和民间组织的协调网络和优势，发挥行业协会、商会等非官方组织在协调和推进区域间企业、政府合作中的桥梁纽带作用。引导、帮助异地南阳商（协）会发展，建立异地南阳商（协）会区域性联盟合作机制，凝聚各方力量，服务南阳与各区域融合发展。</w:t>
      </w:r>
    </w:p>
    <w:p>
      <w:pPr>
        <w:pStyle w:val="7"/>
        <w:spacing w:line="560" w:lineRule="exact"/>
        <w:contextualSpacing/>
        <w:jc w:val="center"/>
        <w:rPr>
          <w:lang w:val="zh-CN"/>
        </w:rPr>
      </w:pPr>
      <w:bookmarkStart w:id="1413" w:name="_Toc1636218431"/>
      <w:r>
        <w:rPr>
          <w:rFonts w:hint="eastAsia" w:ascii="楷体_GB2312" w:hAnsi="楷体_GB2312" w:eastAsia="楷体_GB2312" w:cs="楷体_GB2312"/>
          <w:b w:val="0"/>
          <w:lang w:bidi="zh-CN"/>
        </w:rPr>
        <w:t>第</w:t>
      </w:r>
      <w:r>
        <w:rPr>
          <w:rFonts w:hint="eastAsia" w:ascii="楷体_GB2312" w:hAnsi="楷体_GB2312" w:eastAsia="楷体_GB2312" w:cs="楷体_GB2312"/>
          <w:b w:val="0"/>
          <w:lang w:val="zh-CN" w:bidi="zh-CN"/>
        </w:rPr>
        <w:t>二</w:t>
      </w:r>
      <w:r>
        <w:rPr>
          <w:rFonts w:hint="eastAsia" w:ascii="楷体_GB2312" w:hAnsi="楷体_GB2312" w:eastAsia="楷体_GB2312" w:cs="楷体_GB2312"/>
          <w:b w:val="0"/>
          <w:lang w:bidi="zh-CN"/>
        </w:rPr>
        <w:t xml:space="preserve">节 </w:t>
      </w:r>
      <w:r>
        <w:rPr>
          <w:rFonts w:hint="eastAsia" w:ascii="楷体_GB2312" w:hAnsi="楷体_GB2312" w:eastAsia="楷体_GB2312" w:cs="楷体_GB2312"/>
          <w:b w:val="0"/>
          <w:lang w:val="zh-CN" w:bidi="zh-CN"/>
        </w:rPr>
        <w:t>优化营商环境</w:t>
      </w:r>
      <w:bookmarkEnd w:id="1413"/>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lang w:val="zh-CN"/>
        </w:rPr>
        <w:t>落实国家、省优化营商环境条例,推动出台《南阳市优化营商环境条例》,建立健全营商环境地方法规体系,严肃查处破坏营商环境行为。实施南阳市全国一流营商环境提升行动,对行业准入、资质标准、政府采购等方面的歧视性规定进行清理,营造对内外资一视同仁的市场环境。强化竞争政策实施,健全公平竞争审查规则和工作机制。严格规范涉企行政执法行为,依法平等保护各类市场主体和企业家合法权益。对电子商务、服务贸易、展会等服务产业,加强知识产权执法保护,严格执行知识产权侵权惩罚性赔偿制度。</w:t>
      </w:r>
    </w:p>
    <w:p>
      <w:pPr>
        <w:pStyle w:val="7"/>
        <w:spacing w:line="560" w:lineRule="exact"/>
        <w:contextualSpacing/>
        <w:jc w:val="center"/>
        <w:rPr>
          <w:rFonts w:ascii="楷体_GB2312" w:hAnsi="楷体_GB2312" w:eastAsia="楷体_GB2312" w:cs="楷体_GB2312"/>
          <w:b w:val="0"/>
          <w:lang w:val="zh-CN" w:bidi="zh-CN"/>
        </w:rPr>
      </w:pPr>
      <w:bookmarkStart w:id="1414" w:name="_Toc1578823836"/>
      <w:r>
        <w:rPr>
          <w:rFonts w:hint="eastAsia" w:ascii="楷体_GB2312" w:hAnsi="楷体_GB2312" w:eastAsia="楷体_GB2312" w:cs="楷体_GB2312"/>
          <w:b w:val="0"/>
          <w:lang w:bidi="zh-CN"/>
        </w:rPr>
        <w:t>第</w:t>
      </w:r>
      <w:r>
        <w:rPr>
          <w:rFonts w:hint="eastAsia" w:ascii="楷体_GB2312" w:hAnsi="楷体_GB2312" w:eastAsia="楷体_GB2312" w:cs="楷体_GB2312"/>
          <w:b w:val="0"/>
          <w:lang w:val="zh-CN" w:bidi="zh-CN"/>
        </w:rPr>
        <w:t>三</w:t>
      </w:r>
      <w:r>
        <w:rPr>
          <w:rFonts w:hint="eastAsia" w:ascii="楷体_GB2312" w:hAnsi="楷体_GB2312" w:eastAsia="楷体_GB2312" w:cs="楷体_GB2312"/>
          <w:b w:val="0"/>
          <w:lang w:bidi="zh-CN"/>
        </w:rPr>
        <w:t>节 抓好规划实施</w:t>
      </w:r>
      <w:bookmarkEnd w:id="1414"/>
    </w:p>
    <w:p>
      <w:pPr>
        <w:spacing w:line="560" w:lineRule="exact"/>
        <w:ind w:firstLine="640" w:firstLineChars="200"/>
        <w:contextualSpacing/>
        <w:rPr>
          <w:rFonts w:ascii="仿宋_GB2312" w:hAnsi="仿宋_GB2312" w:cs="仿宋_GB2312"/>
          <w:lang w:val="zh-CN"/>
        </w:rPr>
      </w:pPr>
      <w:r>
        <w:rPr>
          <w:rFonts w:hint="eastAsia" w:ascii="仿宋_GB2312" w:hAnsi="仿宋_GB2312" w:cs="仿宋_GB2312"/>
        </w:rPr>
        <w:t>抢抓国家</w:t>
      </w:r>
      <w:r>
        <w:rPr>
          <w:rFonts w:hint="eastAsia" w:ascii="仿宋_GB2312" w:hAnsi="仿宋_GB2312" w:cs="仿宋_GB2312"/>
          <w:lang w:val="zh-CN"/>
        </w:rPr>
        <w:t>重大战略</w:t>
      </w:r>
      <w:r>
        <w:rPr>
          <w:rFonts w:hint="eastAsia" w:ascii="仿宋_GB2312" w:hAnsi="仿宋_GB2312" w:cs="仿宋_GB2312"/>
        </w:rPr>
        <w:t>和重大政策机遇</w:t>
      </w:r>
      <w:r>
        <w:rPr>
          <w:rFonts w:hint="eastAsia" w:ascii="仿宋_GB2312" w:hAnsi="仿宋_GB2312" w:cs="仿宋_GB2312"/>
          <w:lang w:val="zh-CN"/>
        </w:rPr>
        <w:t>，</w:t>
      </w:r>
      <w:r>
        <w:rPr>
          <w:rFonts w:hint="eastAsia" w:ascii="仿宋_GB2312" w:hAnsi="仿宋_GB2312" w:cs="仿宋_GB2312"/>
        </w:rPr>
        <w:t>坚定不移围绕</w:t>
      </w:r>
      <w:r>
        <w:rPr>
          <w:rFonts w:hint="eastAsia" w:ascii="仿宋_GB2312" w:hAnsi="仿宋_GB2312" w:cs="仿宋_GB2312"/>
          <w:lang w:val="zh-CN"/>
        </w:rPr>
        <w:t>主导产业布局，突出主导产业项目，</w:t>
      </w:r>
      <w:r>
        <w:rPr>
          <w:rFonts w:hint="eastAsia" w:ascii="仿宋_GB2312" w:hAnsi="仿宋_GB2312" w:cs="仿宋_GB2312"/>
          <w:lang w:val="en"/>
        </w:rPr>
        <w:t>做实做细项目谋划储备，不断增强项目发展后劲，</w:t>
      </w:r>
      <w:r>
        <w:rPr>
          <w:rFonts w:hint="eastAsia" w:ascii="仿宋_GB2312" w:hAnsi="仿宋_GB2312" w:cs="仿宋_GB2312"/>
        </w:rPr>
        <w:t>明确责任抓落实、创新机制抓推进、强化协调抓服务、集中要素抓保障，严格落实项目建设“五</w:t>
      </w:r>
      <w:r>
        <w:rPr>
          <w:rFonts w:hint="eastAsia" w:ascii="仿宋_GB2312" w:hAnsi="仿宋_GB2312" w:cs="仿宋_GB2312"/>
          <w:lang w:val="zh-CN"/>
        </w:rPr>
        <w:t>快一提”工作机制，</w:t>
      </w:r>
      <w:r>
        <w:rPr>
          <w:rFonts w:hint="eastAsia" w:ascii="仿宋_GB2312" w:hAnsi="仿宋_GB2312" w:cs="仿宋_GB2312"/>
        </w:rPr>
        <w:t>实行全生命周期和全流程高效闭环服务保障，凝心聚力推动项目加快建设。</w:t>
      </w:r>
      <w:r>
        <w:rPr>
          <w:rFonts w:hint="eastAsia" w:ascii="仿宋_GB2312" w:hAnsi="仿宋_GB2312" w:cs="仿宋_GB2312"/>
          <w:lang w:val="zh-CN"/>
        </w:rPr>
        <w:t>加强对规划实施的跟踪分析、督促检查和协调指导，推动规划各项指标和任务的落实。完善监督机制，鼓励社会传媒和公众有序参与区域规划与区域政策的实施和监督，加强宣传引导，形成全社会关心、支持和推动区域融合发展，促进高水平崛起的良好氛围。</w:t>
      </w:r>
    </w:p>
    <w:p>
      <w:pPr>
        <w:pStyle w:val="2"/>
        <w:spacing w:line="560" w:lineRule="exact"/>
        <w:ind w:firstLine="640"/>
        <w:contextualSpacing/>
      </w:pPr>
    </w:p>
    <w:p>
      <w:pPr>
        <w:spacing w:line="560" w:lineRule="exact"/>
        <w:contextualSpacing/>
      </w:pPr>
      <w:r>
        <w:br w:type="page"/>
      </w:r>
      <w:bookmarkStart w:id="1415" w:name="_bookmark0"/>
      <w:bookmarkEnd w:id="1415"/>
    </w:p>
    <w:p>
      <w:pPr>
        <w:spacing w:line="560" w:lineRule="exact"/>
        <w:contextualSpacing/>
        <w:jc w:val="center"/>
        <w:rPr>
          <w:rFonts w:ascii="Times New Roman" w:hAnsi="Times New Roman" w:eastAsia="方正小标宋简体"/>
          <w:sz w:val="44"/>
          <w:szCs w:val="44"/>
        </w:rPr>
      </w:pPr>
      <w:bookmarkStart w:id="1416" w:name="附件：浙江省公共服务提升“十四五”规划_（征求意见稿）"/>
      <w:bookmarkEnd w:id="1416"/>
      <w:r>
        <w:rPr>
          <w:rFonts w:hint="eastAsia" w:ascii="Times New Roman" w:hAnsi="Times New Roman" w:eastAsia="方正小标宋简体"/>
          <w:sz w:val="44"/>
          <w:szCs w:val="44"/>
        </w:rPr>
        <w:t>南阳市“十四五”公共服务</w:t>
      </w:r>
    </w:p>
    <w:p>
      <w:pPr>
        <w:spacing w:line="560" w:lineRule="exact"/>
        <w:contextualSpacing/>
        <w:jc w:val="center"/>
        <w:rPr>
          <w:rFonts w:ascii="Times New Roman" w:hAnsi="Times New Roman" w:eastAsia="方正小标宋简体"/>
          <w:sz w:val="44"/>
          <w:szCs w:val="44"/>
        </w:rPr>
      </w:pPr>
      <w:r>
        <w:rPr>
          <w:rFonts w:hint="eastAsia" w:ascii="Times New Roman" w:hAnsi="Times New Roman" w:eastAsia="方正小标宋简体"/>
          <w:sz w:val="44"/>
          <w:szCs w:val="44"/>
        </w:rPr>
        <w:t>和社会保障规划</w:t>
      </w:r>
    </w:p>
    <w:p>
      <w:pPr>
        <w:pStyle w:val="2"/>
        <w:ind w:firstLine="640"/>
      </w:pPr>
    </w:p>
    <w:p>
      <w:pPr>
        <w:spacing w:line="560" w:lineRule="exact"/>
        <w:ind w:firstLine="640" w:firstLineChars="200"/>
        <w:contextualSpacing/>
        <w:rPr>
          <w:rFonts w:ascii="Times New Roman" w:hAnsi="Times New Roman"/>
        </w:rPr>
      </w:pPr>
      <w:bookmarkStart w:id="1417" w:name="_Toc19718"/>
      <w:r>
        <w:rPr>
          <w:rFonts w:hint="eastAsia" w:ascii="Times New Roman" w:hAnsi="Times New Roman"/>
        </w:rPr>
        <w:t>公共服务是政府为满足公民生存和发展需要，运用法定权利和公共资源，面向全体公民或特定群体，组织协调或直接提供的产品和服务。社会保障是国家为维护社会公平和促进社会稳定发展，对社会成员特别是生活困难群体生活权利给予基本保障的制度安排。“十四五”时期，我市经济将步入新发展格局，人口形成新结构，社会出现新特征，消费达到新层次。新格局催生新机遇，新形势倒逼新发展，全市公共服务和社会保障事业大有可为。为深入贯彻落实省第十一次党代会和市第七次党代会精神，依据《河南省“十四五”公共服务和社会保障规划》和《南阳市国民经济和社会发展第十四个五年规划和二○三五年远景目标纲要》，重点围绕公共教育、就业创业、医疗卫生、托育养老、住房保障、社会救助、社会福利、优军服务保障和文体服务保障等领域，编制本规划，是今后五年乃至更长一段时期促进公共服务发展的综合性、基础性、指导性文件。</w:t>
      </w:r>
    </w:p>
    <w:p>
      <w:pPr>
        <w:numPr>
          <w:ilvl w:val="0"/>
          <w:numId w:val="12"/>
        </w:numPr>
        <w:spacing w:line="560" w:lineRule="exact"/>
        <w:contextualSpacing/>
        <w:jc w:val="center"/>
        <w:outlineLvl w:val="0"/>
        <w:rPr>
          <w:rFonts w:ascii="Times New Roman" w:hAnsi="Times New Roman" w:eastAsia="黑体"/>
        </w:rPr>
      </w:pPr>
      <w:r>
        <w:rPr>
          <w:rFonts w:ascii="Times New Roman" w:hAnsi="Times New Roman" w:eastAsia="黑体"/>
        </w:rPr>
        <w:t xml:space="preserve"> </w:t>
      </w:r>
      <w:r>
        <w:rPr>
          <w:rFonts w:hint="eastAsia" w:ascii="Times New Roman" w:hAnsi="Times New Roman" w:eastAsia="黑体"/>
        </w:rPr>
        <w:t>规划背景</w:t>
      </w:r>
      <w:bookmarkEnd w:id="1417"/>
    </w:p>
    <w:p>
      <w:pPr>
        <w:spacing w:line="560" w:lineRule="exact"/>
        <w:ind w:firstLine="640" w:firstLineChars="200"/>
        <w:contextualSpacing/>
        <w:rPr>
          <w:rFonts w:ascii="Times New Roman" w:hAnsi="Times New Roman"/>
        </w:rPr>
      </w:pPr>
      <w:r>
        <w:rPr>
          <w:rFonts w:hint="eastAsia" w:ascii="Times New Roman" w:hAnsi="Times New Roman"/>
        </w:rPr>
        <w:t>“十三五”时期，我市坚持以增进人民福祉、促进人的全面发展为目标，聚焦民生重点领域和关键环节，积极推动公共服务供给侧改革，公共服务和社会保障体系不断健全。进入新发展阶段，我市公共服务和社会保障进一步发展面临新机遇、新挑战。</w:t>
      </w:r>
    </w:p>
    <w:p>
      <w:pPr>
        <w:pStyle w:val="7"/>
        <w:spacing w:line="560" w:lineRule="exact"/>
        <w:contextualSpacing/>
        <w:jc w:val="center"/>
        <w:rPr>
          <w:rFonts w:ascii="Times New Roman" w:hAnsi="Times New Roman" w:eastAsia="楷体_GB2312"/>
          <w:b w:val="0"/>
          <w:szCs w:val="32"/>
        </w:rPr>
      </w:pPr>
      <w:bookmarkStart w:id="1418" w:name="_Toc19957"/>
      <w:r>
        <w:rPr>
          <w:rFonts w:hint="eastAsia" w:ascii="Times New Roman" w:hAnsi="Times New Roman" w:eastAsia="楷体_GB2312"/>
          <w:b w:val="0"/>
          <w:bCs/>
          <w:szCs w:val="32"/>
        </w:rPr>
        <w:t>第一节  发展基础</w:t>
      </w:r>
      <w:bookmarkEnd w:id="1418"/>
    </w:p>
    <w:p>
      <w:pPr>
        <w:pStyle w:val="71"/>
        <w:spacing w:line="560" w:lineRule="exact"/>
        <w:ind w:firstLine="640" w:firstLineChars="200"/>
        <w:contextualSpacing/>
        <w:rPr>
          <w:rFonts w:ascii="Times New Roman" w:hAnsi="Times New Roman" w:eastAsia="仿宋_GB2312" w:cs="Times New Roman"/>
          <w:sz w:val="32"/>
          <w:szCs w:val="32"/>
          <w:lang w:val="en-US" w:eastAsia="zh-CN"/>
        </w:rPr>
      </w:pPr>
      <w:bookmarkStart w:id="1419" w:name="_Toc32763"/>
      <w:bookmarkStart w:id="1420" w:name="_Toc8448"/>
      <w:bookmarkStart w:id="1421" w:name="_Toc11414"/>
      <w:r>
        <w:rPr>
          <w:rFonts w:hint="eastAsia" w:ascii="Times New Roman" w:hAnsi="Times New Roman" w:eastAsia="仿宋_GB2312" w:cs="Times New Roman"/>
          <w:bCs/>
          <w:kern w:val="0"/>
          <w:sz w:val="32"/>
          <w:szCs w:val="32"/>
          <w:lang w:val="en-US" w:eastAsia="zh-CN" w:bidi="ar-SA"/>
        </w:rPr>
        <w:t>公共服务供给能力持续增强。</w:t>
      </w:r>
      <w:r>
        <w:rPr>
          <w:rFonts w:hint="eastAsia" w:ascii="Times New Roman" w:hAnsi="Times New Roman" w:eastAsia="仿宋_GB2312" w:cs="Times New Roman"/>
          <w:kern w:val="0"/>
          <w:sz w:val="32"/>
          <w:szCs w:val="32"/>
          <w:lang w:val="en-US" w:eastAsia="zh-CN" w:bidi="ar-SA"/>
        </w:rPr>
        <w:t>坚持在发展中保障和改善民生，大幅度增加公共服务财政投入总量。全市一般公共预算教育经费支出从2015年的101.59亿元增长到2020年的135.98亿元，增幅达33.8%。学前教育毛入园率、九年义务教育巩固率、高中阶段教育毛入学率分别由2015年的80.5%、95%、85.2%提高到2020年的86%、96.1%、92.1%，均高于全省平均水平，义务教育大班额比例下降到0.36%，低于全省平均水平，全市所有县区实现义务教育发展基本均衡。2020年，全市每千人口医疗卫生机构床位数达到6.56张、执业医师3.11人、注册护士数3.42人，分别较2015年增长60.4%、51%和92.1%；全市各类养老机构达到1054家，养老床位5.8万张；全市行政村建成综合性文化服务中心4249个，覆盖率达到93.5%</w:t>
      </w:r>
      <w:bookmarkEnd w:id="1419"/>
      <w:r>
        <w:rPr>
          <w:rFonts w:hint="eastAsia" w:ascii="Times New Roman" w:hAnsi="Times New Roman" w:eastAsia="仿宋_GB2312" w:cs="Times New Roman"/>
          <w:kern w:val="0"/>
          <w:sz w:val="32"/>
          <w:szCs w:val="32"/>
          <w:lang w:val="en-US" w:eastAsia="zh-CN" w:bidi="ar-SA"/>
        </w:rPr>
        <w:t>；广播、电视人口覆盖率均为100%；人均体育场地面积1.93平方米。</w:t>
      </w:r>
      <w:bookmarkStart w:id="1422" w:name="_Toc15559"/>
      <w:bookmarkStart w:id="1423" w:name="_Toc24750"/>
    </w:p>
    <w:p>
      <w:pPr>
        <w:pStyle w:val="71"/>
        <w:spacing w:line="560" w:lineRule="exact"/>
        <w:ind w:firstLine="640" w:firstLineChars="200"/>
        <w:contextualSpacing/>
        <w:rPr>
          <w:rFonts w:ascii="Times New Roman" w:hAnsi="Times New Roman" w:eastAsia="仿宋" w:cs="Times New Roman"/>
          <w:szCs w:val="32"/>
          <w:lang w:val="en-US" w:eastAsia="zh-CN"/>
        </w:rPr>
      </w:pPr>
      <w:r>
        <w:rPr>
          <w:rFonts w:hint="eastAsia" w:ascii="Times New Roman" w:hAnsi="Times New Roman" w:eastAsia="仿宋_GB2312" w:cs="Times New Roman"/>
          <w:bCs/>
          <w:kern w:val="0"/>
          <w:sz w:val="32"/>
          <w:szCs w:val="32"/>
          <w:lang w:val="en-US" w:eastAsia="zh-CN" w:bidi="ar-SA"/>
        </w:rPr>
        <w:t>公共服务均等化水平明显提升。</w:t>
      </w:r>
      <w:r>
        <w:rPr>
          <w:rFonts w:hint="eastAsia" w:ascii="仿宋_GB2312" w:hAnsi="仿宋_GB2312" w:eastAsia="仿宋_GB2312" w:cs="仿宋_GB2312"/>
          <w:kern w:val="0"/>
          <w:sz w:val="32"/>
          <w:szCs w:val="32"/>
          <w:lang w:val="en-US" w:eastAsia="zh-CN" w:bidi="en-US"/>
        </w:rPr>
        <w:t>持续推进基本公共服务资源向基层、农村、边远地区和困难群众倾斜，初步建成广覆盖、保基本的公共服务体系。全市所有县（区）实现义务教育基本均衡发展。全市医疗卫生“五大中心”实现全覆盖，县域医共体、城市医联体建设有序推进，分级诊疗、有序就医格局初步形成，远程医疗系统全部接入省远程医疗中心交互平台，贫困人口县域内就诊率稳定在</w:t>
      </w:r>
      <w:r>
        <w:rPr>
          <w:rFonts w:hint="eastAsia" w:ascii="Times New Roman" w:hAnsi="Times New Roman" w:eastAsia="仿宋_GB2312" w:cs="Times New Roman"/>
          <w:kern w:val="0"/>
          <w:sz w:val="32"/>
          <w:szCs w:val="32"/>
          <w:lang w:val="en-US" w:eastAsia="zh-CN" w:bidi="ar-SA"/>
        </w:rPr>
        <w:t>95</w:t>
      </w:r>
      <w:r>
        <w:rPr>
          <w:rFonts w:hint="eastAsia" w:ascii="仿宋_GB2312" w:hAnsi="仿宋_GB2312" w:eastAsia="仿宋_GB2312" w:cs="仿宋_GB2312"/>
          <w:kern w:val="0"/>
          <w:sz w:val="32"/>
          <w:szCs w:val="32"/>
          <w:lang w:val="en-US" w:eastAsia="zh-CN" w:bidi="en-US"/>
        </w:rPr>
        <w:t>%以上。城乡</w:t>
      </w:r>
      <w:r>
        <w:rPr>
          <w:rFonts w:hint="eastAsia" w:ascii="仿宋_GB2312" w:hAnsi="仿宋_GB2312" w:eastAsia="仿宋_GB2312" w:cs="仿宋_GB2312"/>
          <w:kern w:val="0"/>
          <w:sz w:val="32"/>
          <w:szCs w:val="32"/>
          <w:lang w:eastAsia="zh-CN" w:bidi="en-US"/>
        </w:rPr>
        <w:t>养老院服务质量合格率达到</w:t>
      </w:r>
      <w:r>
        <w:rPr>
          <w:rFonts w:hint="eastAsia" w:ascii="Times New Roman" w:hAnsi="Times New Roman" w:eastAsia="仿宋_GB2312" w:cs="Times New Roman"/>
          <w:kern w:val="0"/>
          <w:sz w:val="32"/>
          <w:szCs w:val="32"/>
          <w:lang w:val="en-US" w:eastAsia="zh-CN" w:bidi="ar-SA"/>
        </w:rPr>
        <w:t>90</w:t>
      </w:r>
      <w:r>
        <w:rPr>
          <w:rFonts w:hint="eastAsia" w:ascii="仿宋_GB2312" w:hAnsi="仿宋_GB2312" w:eastAsia="仿宋_GB2312" w:cs="仿宋_GB2312"/>
          <w:kern w:val="0"/>
          <w:sz w:val="32"/>
          <w:szCs w:val="32"/>
          <w:lang w:eastAsia="zh-CN" w:bidi="en-US"/>
        </w:rPr>
        <w:t>%以上，养老机构规范化、标准化综合管理服务水平显著提升。</w:t>
      </w:r>
      <w:r>
        <w:rPr>
          <w:rStyle w:val="64"/>
          <w:rFonts w:ascii="Times New Roman" w:hAnsi="Times New Roman" w:eastAsia="仿宋_GB2312"/>
          <w:kern w:val="0"/>
          <w:sz w:val="32"/>
          <w:szCs w:val="32"/>
        </w:rPr>
        <w:t>公共文化服务场馆全面实现免费开放，</w:t>
      </w:r>
      <w:r>
        <w:rPr>
          <w:rFonts w:hint="eastAsia" w:ascii="仿宋" w:hAnsi="仿宋" w:eastAsia="仿宋" w:cs="Times New Roman"/>
          <w:sz w:val="32"/>
          <w:szCs w:val="32"/>
        </w:rPr>
        <w:t>城市社区“</w:t>
      </w:r>
      <w:r>
        <w:rPr>
          <w:rFonts w:hint="eastAsia" w:ascii="Times New Roman" w:hAnsi="Times New Roman" w:eastAsia="仿宋_GB2312" w:cs="Times New Roman"/>
          <w:kern w:val="0"/>
          <w:sz w:val="32"/>
          <w:szCs w:val="32"/>
          <w:lang w:val="en-US" w:eastAsia="zh-CN" w:bidi="ar-SA"/>
        </w:rPr>
        <w:t>15</w:t>
      </w:r>
      <w:r>
        <w:rPr>
          <w:rFonts w:hint="eastAsia" w:ascii="仿宋" w:hAnsi="仿宋" w:eastAsia="仿宋" w:cs="Times New Roman"/>
          <w:sz w:val="32"/>
          <w:szCs w:val="32"/>
        </w:rPr>
        <w:t>分钟健身圈”和全市</w:t>
      </w:r>
      <w:r>
        <w:rPr>
          <w:rFonts w:hint="eastAsia" w:ascii="仿宋" w:hAnsi="仿宋" w:eastAsia="仿宋" w:cs="Times New Roman"/>
          <w:sz w:val="32"/>
          <w:szCs w:val="32"/>
          <w:lang w:eastAsia="zh-CN"/>
        </w:rPr>
        <w:t>所有</w:t>
      </w:r>
      <w:r>
        <w:rPr>
          <w:rFonts w:hint="eastAsia" w:ascii="仿宋" w:hAnsi="仿宋" w:eastAsia="仿宋" w:cs="Times New Roman"/>
          <w:sz w:val="32"/>
          <w:szCs w:val="32"/>
        </w:rPr>
        <w:t>街道、社区、乡镇、行政村全民健身设施</w:t>
      </w:r>
      <w:r>
        <w:rPr>
          <w:rFonts w:hint="eastAsia" w:ascii="仿宋" w:hAnsi="仿宋" w:eastAsia="仿宋" w:cs="Times New Roman"/>
          <w:sz w:val="32"/>
          <w:szCs w:val="32"/>
          <w:lang w:val="en-US" w:eastAsia="zh-CN"/>
        </w:rPr>
        <w:t>覆盖率均达到</w:t>
      </w:r>
      <w:r>
        <w:rPr>
          <w:rFonts w:hint="eastAsia" w:ascii="Times New Roman" w:hAnsi="Times New Roman" w:eastAsia="仿宋_GB2312" w:cs="Times New Roman"/>
          <w:kern w:val="0"/>
          <w:sz w:val="32"/>
          <w:szCs w:val="32"/>
          <w:lang w:val="en-US" w:eastAsia="zh-CN" w:bidi="ar-SA"/>
        </w:rPr>
        <w:t>100</w:t>
      </w:r>
      <w:r>
        <w:rPr>
          <w:rFonts w:hint="eastAsia" w:ascii="仿宋" w:hAnsi="仿宋" w:eastAsia="仿宋" w:cs="Times New Roman"/>
          <w:sz w:val="32"/>
          <w:szCs w:val="32"/>
          <w:lang w:val="en-US" w:eastAsia="zh-CN"/>
        </w:rPr>
        <w:t>%</w:t>
      </w:r>
      <w:r>
        <w:rPr>
          <w:rFonts w:hint="eastAsia" w:ascii="仿宋" w:hAnsi="仿宋" w:eastAsia="仿宋" w:cs="Times New Roman"/>
          <w:sz w:val="32"/>
          <w:szCs w:val="32"/>
          <w:lang w:eastAsia="zh-CN"/>
        </w:rPr>
        <w:t>。</w:t>
      </w:r>
    </w:p>
    <w:bookmarkEnd w:id="1422"/>
    <w:bookmarkEnd w:id="1423"/>
    <w:p>
      <w:pPr>
        <w:overflowPunct w:val="0"/>
        <w:spacing w:line="560" w:lineRule="exact"/>
        <w:ind w:firstLine="640" w:firstLineChars="200"/>
        <w:contextualSpacing/>
        <w:rPr>
          <w:rFonts w:ascii="仿宋_GB2312" w:hAnsi="仿宋_GB2312" w:cs="仿宋_GB2312"/>
          <w:lang w:bidi="en-US"/>
        </w:rPr>
      </w:pPr>
      <w:bookmarkStart w:id="1424" w:name="_Toc18597"/>
      <w:bookmarkStart w:id="1425" w:name="_Toc7328"/>
      <w:r>
        <w:rPr>
          <w:rFonts w:hint="eastAsia" w:ascii="Times New Roman" w:hAnsi="Times New Roman"/>
          <w:bCs/>
          <w:kern w:val="0"/>
        </w:rPr>
        <w:t>公共服务重点领域亮点频现。</w:t>
      </w:r>
      <w:r>
        <w:rPr>
          <w:rFonts w:hint="eastAsia" w:ascii="仿宋_GB2312" w:hAnsi="仿宋_GB2312" w:cs="仿宋_GB2312"/>
          <w:kern w:val="0"/>
          <w:lang w:bidi="en-US"/>
        </w:rPr>
        <w:t>立足建设教育强市目标，恢复重建张仲景国医大学项目启动，十五年制完全学校建成投用，实现南阳教育里程碑式的重大突破。全市控辍保学经验得到国务院领导批示，内乡县提高乡村教师待遇的做法在全国推广，教育领域“南阳经验”叫响全国。在全省率先开展“医疗卫生</w:t>
      </w:r>
      <w:r>
        <w:rPr>
          <w:rFonts w:hint="eastAsia" w:ascii="Times New Roman" w:hAnsi="Times New Roman"/>
          <w:kern w:val="0"/>
        </w:rPr>
        <w:t>+</w:t>
      </w:r>
      <w:r>
        <w:rPr>
          <w:rFonts w:hint="eastAsia" w:ascii="仿宋_GB2312" w:hAnsi="仿宋_GB2312" w:cs="仿宋_GB2312"/>
          <w:kern w:val="0"/>
          <w:lang w:bidi="en-US"/>
        </w:rPr>
        <w:t>敬老服务”一体化医养结合新模式试点，探索出一条医疗、护理、康复、养老资源无缝对接的体制机制。创新开展了农村</w:t>
      </w:r>
      <w:bookmarkStart w:id="1426" w:name="OLE_LINK49"/>
      <w:r>
        <w:rPr>
          <w:rFonts w:hint="eastAsia" w:ascii="仿宋_GB2312" w:hAnsi="仿宋_GB2312" w:cs="仿宋_GB2312"/>
          <w:kern w:val="0"/>
          <w:lang w:bidi="en-US"/>
        </w:rPr>
        <w:t>老年人</w:t>
      </w:r>
      <w:bookmarkEnd w:id="1426"/>
      <w:r>
        <w:rPr>
          <w:rFonts w:hint="eastAsia" w:ascii="仿宋_GB2312" w:hAnsi="仿宋_GB2312" w:cs="仿宋_GB2312"/>
          <w:kern w:val="0"/>
          <w:lang w:bidi="en-US"/>
        </w:rPr>
        <w:t>“四集中”兜底保障养老工作，相关工作经验由民政部列入全国农村养老服务工作案例，并向全国推广。出生缺陷三级预防体系持续完善，出生人口素质持续提高。方城县成功创建全市首家“全国计划生育优质服务先进单位”。全市托位数</w:t>
      </w:r>
      <w:r>
        <w:rPr>
          <w:rFonts w:hint="eastAsia" w:ascii="Times New Roman" w:hAnsi="Times New Roman"/>
          <w:kern w:val="0"/>
        </w:rPr>
        <w:t>14668</w:t>
      </w:r>
      <w:r>
        <w:rPr>
          <w:rFonts w:hint="eastAsia" w:ascii="仿宋_GB2312" w:hAnsi="仿宋_GB2312" w:cs="仿宋_GB2312"/>
          <w:kern w:val="0"/>
          <w:lang w:bidi="en-US"/>
        </w:rPr>
        <w:t>个，建成公共场所母婴设施</w:t>
      </w:r>
      <w:r>
        <w:rPr>
          <w:rFonts w:hint="eastAsia" w:ascii="Times New Roman" w:hAnsi="Times New Roman"/>
          <w:kern w:val="0"/>
        </w:rPr>
        <w:t>178</w:t>
      </w:r>
      <w:r>
        <w:rPr>
          <w:rFonts w:hint="eastAsia" w:ascii="仿宋_GB2312" w:hAnsi="仿宋_GB2312" w:cs="仿宋_GB2312"/>
          <w:kern w:val="0"/>
          <w:lang w:bidi="en-US"/>
        </w:rPr>
        <w:t>处。深</w:t>
      </w:r>
      <w:r>
        <w:rPr>
          <w:rFonts w:hint="eastAsia" w:ascii="仿宋_GB2312" w:hAnsi="仿宋_GB2312" w:cs="仿宋_GB2312"/>
        </w:rPr>
        <w:t>化</w:t>
      </w:r>
      <w:r>
        <w:rPr>
          <w:rFonts w:hint="eastAsia" w:ascii="仿宋_GB2312" w:hAnsi="仿宋_GB2312" w:cs="仿宋_GB2312"/>
          <w:lang w:val="zh-CN"/>
        </w:rPr>
        <w:t>“放</w:t>
      </w:r>
      <w:r>
        <w:rPr>
          <w:rFonts w:hint="eastAsia" w:ascii="仿宋_GB2312" w:hAnsi="仿宋_GB2312" w:cs="仿宋_GB2312"/>
        </w:rPr>
        <w:t>管服效”改革，市政务服务中心拥有国家级“优质服务窗口”</w:t>
      </w:r>
      <w:r>
        <w:rPr>
          <w:rFonts w:hint="eastAsia" w:ascii="Times New Roman" w:hAnsi="Times New Roman"/>
          <w:kern w:val="0"/>
        </w:rPr>
        <w:t>4</w:t>
      </w:r>
      <w:r>
        <w:rPr>
          <w:rFonts w:hint="eastAsia" w:ascii="仿宋_GB2312" w:hAnsi="仿宋_GB2312" w:cs="仿宋_GB2312"/>
        </w:rPr>
        <w:t>个。</w:t>
      </w:r>
      <w:r>
        <w:rPr>
          <w:rFonts w:hint="eastAsia" w:ascii="仿宋_GB2312" w:hAnsi="仿宋_GB2312" w:cs="仿宋_GB2312"/>
          <w:kern w:val="0"/>
          <w:lang w:bidi="en-US"/>
        </w:rPr>
        <w:t>全民健身活动蓬勃开展，两次获得全国“最具体育活力城市”称号。</w:t>
      </w:r>
      <w:r>
        <w:rPr>
          <w:rStyle w:val="64"/>
          <w:rFonts w:ascii="Times New Roman" w:hAnsi="Times New Roman"/>
        </w:rPr>
        <w:t>南召、西峡被命名为</w:t>
      </w:r>
      <w:r>
        <w:rPr>
          <w:rStyle w:val="64"/>
          <w:rFonts w:hint="eastAsia" w:ascii="Times New Roman" w:hAnsi="Times New Roman"/>
        </w:rPr>
        <w:t>河南</w:t>
      </w:r>
      <w:r>
        <w:rPr>
          <w:rStyle w:val="64"/>
          <w:rFonts w:ascii="Times New Roman" w:hAnsi="Times New Roman"/>
        </w:rPr>
        <w:t>省中医药健康旅游示范区</w:t>
      </w:r>
      <w:r>
        <w:rPr>
          <w:rStyle w:val="64"/>
          <w:rFonts w:hint="eastAsia" w:ascii="Times New Roman" w:hAnsi="Times New Roman"/>
        </w:rPr>
        <w:t>。</w:t>
      </w:r>
      <w:r>
        <w:rPr>
          <w:rFonts w:hint="eastAsia" w:ascii="仿宋_GB2312" w:hAnsi="仿宋_GB2312" w:cs="仿宋_GB2312"/>
          <w:kern w:val="0"/>
          <w:lang w:bidi="en-US"/>
        </w:rPr>
        <w:t>优军优抚走在全省前列。</w:t>
      </w:r>
    </w:p>
    <w:bookmarkEnd w:id="1424"/>
    <w:bookmarkEnd w:id="1425"/>
    <w:p>
      <w:pPr>
        <w:pStyle w:val="71"/>
        <w:spacing w:line="560" w:lineRule="exact"/>
        <w:ind w:firstLine="640" w:firstLineChars="200"/>
        <w:contextualSpacing/>
        <w:rPr>
          <w:rFonts w:ascii="仿宋_GB2312" w:hAnsi="仿宋_GB2312" w:eastAsia="仿宋_GB2312" w:cs="仿宋_GB2312"/>
          <w:sz w:val="32"/>
          <w:szCs w:val="32"/>
          <w:lang w:val="en-US" w:eastAsia="zh-CN" w:bidi="en-US"/>
        </w:rPr>
      </w:pPr>
      <w:bookmarkStart w:id="1427" w:name="_Toc30485"/>
      <w:bookmarkStart w:id="1428" w:name="_Toc10189"/>
      <w:bookmarkStart w:id="1429" w:name="_Toc20877"/>
      <w:r>
        <w:rPr>
          <w:rFonts w:hint="eastAsia" w:ascii="Times New Roman" w:hAnsi="Times New Roman" w:eastAsia="仿宋_GB2312" w:cs="Times New Roman"/>
          <w:bCs/>
          <w:kern w:val="0"/>
          <w:sz w:val="32"/>
          <w:szCs w:val="32"/>
          <w:lang w:val="en-US" w:eastAsia="zh-CN" w:bidi="ar-SA"/>
        </w:rPr>
        <w:t>公共服务体制改革进程不断加快。</w:t>
      </w:r>
      <w:r>
        <w:rPr>
          <w:rFonts w:hint="eastAsia" w:ascii="仿宋_GB2312" w:hAnsi="仿宋_GB2312" w:eastAsia="仿宋_GB2312" w:cs="仿宋_GB2312"/>
          <w:kern w:val="0"/>
          <w:sz w:val="32"/>
          <w:szCs w:val="32"/>
          <w:lang w:val="en-US" w:eastAsia="zh-CN" w:bidi="en-US"/>
        </w:rPr>
        <w:t>加快中小学布局调整，以“全国领先、省内一流”为目标，大力实施完全学校“名校集团化办学”战略，通过市属学校帮扶，走出一条纵向一体、横向联动、均衡发展、整体提升的办学模式。统筹推进医疗、医保、医药联动改革，药品耗材加成全面取消，医保市级统筹、药品集中招采落实到位。国家基本药物制度持续巩固，基本药物目录品种增加到</w:t>
      </w:r>
      <w:r>
        <w:rPr>
          <w:rFonts w:hint="eastAsia" w:ascii="Times New Roman" w:hAnsi="Times New Roman" w:eastAsia="仿宋_GB2312" w:cs="Times New Roman"/>
          <w:kern w:val="0"/>
          <w:sz w:val="32"/>
          <w:szCs w:val="32"/>
          <w:lang w:val="en-US" w:eastAsia="zh-CN" w:bidi="ar-SA"/>
        </w:rPr>
        <w:t>685</w:t>
      </w:r>
      <w:r>
        <w:rPr>
          <w:rFonts w:hint="eastAsia" w:ascii="仿宋_GB2312" w:hAnsi="仿宋_GB2312" w:eastAsia="仿宋_GB2312" w:cs="仿宋_GB2312"/>
          <w:kern w:val="0"/>
          <w:sz w:val="32"/>
          <w:szCs w:val="32"/>
          <w:lang w:val="en-US" w:eastAsia="zh-CN" w:bidi="en-US"/>
        </w:rPr>
        <w:t>种。持续推进“就医一卡通”建设，</w:t>
      </w:r>
      <w:r>
        <w:rPr>
          <w:rFonts w:hint="eastAsia" w:ascii="Times New Roman" w:hAnsi="Times New Roman" w:eastAsia="仿宋_GB2312" w:cs="Times New Roman"/>
          <w:kern w:val="0"/>
          <w:sz w:val="32"/>
          <w:szCs w:val="32"/>
          <w:lang w:val="en-US" w:eastAsia="zh-CN" w:bidi="ar-SA"/>
        </w:rPr>
        <w:t>56</w:t>
      </w:r>
      <w:r>
        <w:rPr>
          <w:rFonts w:hint="eastAsia" w:ascii="仿宋_GB2312" w:hAnsi="仿宋_GB2312" w:eastAsia="仿宋_GB2312" w:cs="仿宋_GB2312"/>
          <w:kern w:val="0"/>
          <w:sz w:val="32"/>
          <w:szCs w:val="32"/>
          <w:lang w:val="en-US" w:eastAsia="zh-CN" w:bidi="en-US"/>
        </w:rPr>
        <w:t>家二级以上公立医疗机构实现多卡通用，一卡就诊。公办养老机构改革步伐加快，探索医养协作、外包委托、养内设医和医养一体等医养结合模式，社会资本参与养老服务的积极性明显提高，养老产业与医疗、地产、旅游等业态融合发展加速推进。社会保险制度改革取得突破性进展，城乡居民基本养老保险制度合并实施。职业教育加快发展，持续深入推进全民技能振兴工程，技工教育加快发展，全市人才资源总量</w:t>
      </w:r>
      <w:r>
        <w:rPr>
          <w:rFonts w:hint="eastAsia" w:ascii="Times New Roman" w:hAnsi="Times New Roman" w:eastAsia="仿宋_GB2312" w:cs="Times New Roman"/>
          <w:kern w:val="0"/>
          <w:sz w:val="32"/>
          <w:szCs w:val="32"/>
          <w:lang w:val="en-US" w:eastAsia="zh-CN" w:bidi="ar-SA"/>
        </w:rPr>
        <w:t>105.7</w:t>
      </w:r>
      <w:r>
        <w:rPr>
          <w:rFonts w:hint="eastAsia" w:ascii="仿宋_GB2312" w:hAnsi="仿宋_GB2312" w:eastAsia="仿宋_GB2312" w:cs="仿宋_GB2312"/>
          <w:kern w:val="0"/>
          <w:sz w:val="32"/>
          <w:szCs w:val="32"/>
          <w:lang w:val="en-US" w:eastAsia="zh-CN" w:bidi="en-US"/>
        </w:rPr>
        <w:t>万人，高技能人才总量达</w:t>
      </w:r>
      <w:r>
        <w:rPr>
          <w:rFonts w:hint="eastAsia" w:ascii="Times New Roman" w:hAnsi="Times New Roman" w:eastAsia="仿宋_GB2312" w:cs="Times New Roman"/>
          <w:kern w:val="0"/>
          <w:sz w:val="32"/>
          <w:szCs w:val="32"/>
          <w:lang w:val="en-US" w:eastAsia="zh-CN" w:bidi="ar-SA"/>
        </w:rPr>
        <w:t>19.1</w:t>
      </w:r>
      <w:r>
        <w:rPr>
          <w:rFonts w:hint="eastAsia" w:ascii="仿宋_GB2312" w:hAnsi="仿宋_GB2312" w:eastAsia="仿宋_GB2312" w:cs="仿宋_GB2312"/>
          <w:kern w:val="0"/>
          <w:sz w:val="32"/>
          <w:szCs w:val="32"/>
          <w:lang w:val="en-US" w:eastAsia="zh-CN" w:bidi="en-US"/>
        </w:rPr>
        <w:t>万人，专业技术人才总量</w:t>
      </w:r>
      <w:r>
        <w:rPr>
          <w:rFonts w:hint="eastAsia" w:ascii="Times New Roman" w:hAnsi="Times New Roman" w:eastAsia="仿宋_GB2312" w:cs="Times New Roman"/>
          <w:kern w:val="0"/>
          <w:sz w:val="32"/>
          <w:szCs w:val="32"/>
          <w:lang w:val="en-US" w:eastAsia="zh-CN" w:bidi="ar-SA"/>
        </w:rPr>
        <w:t>28.1万</w:t>
      </w:r>
      <w:r>
        <w:rPr>
          <w:rFonts w:hint="eastAsia" w:ascii="仿宋_GB2312" w:hAnsi="仿宋_GB2312" w:eastAsia="仿宋_GB2312" w:cs="仿宋_GB2312"/>
          <w:kern w:val="0"/>
          <w:sz w:val="32"/>
          <w:szCs w:val="32"/>
          <w:lang w:val="en-US" w:eastAsia="zh-CN" w:bidi="en-US"/>
        </w:rPr>
        <w:t>人，高、中、初级专业技术人才比例为</w:t>
      </w:r>
      <w:r>
        <w:rPr>
          <w:rFonts w:hint="eastAsia" w:ascii="Times New Roman" w:hAnsi="Times New Roman" w:eastAsia="仿宋_GB2312" w:cs="Times New Roman"/>
          <w:kern w:val="0"/>
          <w:sz w:val="32"/>
          <w:szCs w:val="32"/>
          <w:lang w:val="en-US" w:eastAsia="zh-CN" w:bidi="ar-SA"/>
        </w:rPr>
        <w:t>8:30:62，</w:t>
      </w:r>
      <w:r>
        <w:rPr>
          <w:rFonts w:hint="eastAsia" w:ascii="仿宋_GB2312" w:hAnsi="仿宋_GB2312" w:eastAsia="仿宋_GB2312" w:cs="仿宋_GB2312"/>
          <w:kern w:val="0"/>
          <w:sz w:val="32"/>
          <w:szCs w:val="32"/>
          <w:lang w:val="en-US" w:eastAsia="zh-CN" w:bidi="en-US"/>
        </w:rPr>
        <w:t>为经济社会发展提供了有力支撑。</w:t>
      </w:r>
      <w:bookmarkEnd w:id="1427"/>
    </w:p>
    <w:bookmarkEnd w:id="1428"/>
    <w:bookmarkEnd w:id="1429"/>
    <w:p>
      <w:pPr>
        <w:spacing w:line="560" w:lineRule="exact"/>
        <w:ind w:firstLine="640" w:firstLineChars="200"/>
        <w:contextualSpacing/>
        <w:rPr>
          <w:rFonts w:ascii="Times New Roman" w:hAnsi="Times New Roman"/>
        </w:rPr>
      </w:pPr>
      <w:r>
        <w:rPr>
          <w:rFonts w:hint="eastAsia" w:ascii="Times New Roman" w:hAnsi="Times New Roman"/>
          <w:bCs/>
          <w:kern w:val="0"/>
        </w:rPr>
        <w:t>社会保障政策机制逐步完善。</w:t>
      </w:r>
      <w:r>
        <w:rPr>
          <w:rFonts w:hint="eastAsia" w:ascii="仿宋_GB2312" w:hAnsi="仿宋_GB2312" w:cs="仿宋_GB2312"/>
          <w:kern w:val="0"/>
          <w:lang w:bidi="en-US"/>
        </w:rPr>
        <w:t>不断扩大基本医疗保险覆盖面，基本养老保险参保率达到</w:t>
      </w:r>
      <w:r>
        <w:rPr>
          <w:rFonts w:hint="eastAsia" w:ascii="Times New Roman" w:hAnsi="Times New Roman"/>
          <w:kern w:val="0"/>
        </w:rPr>
        <w:t>95.7%</w:t>
      </w:r>
      <w:r>
        <w:rPr>
          <w:rFonts w:hint="eastAsia" w:ascii="仿宋_GB2312" w:hAnsi="仿宋_GB2312" w:cs="仿宋_GB2312"/>
          <w:kern w:val="0"/>
          <w:lang w:bidi="en-US"/>
        </w:rPr>
        <w:t>，基本实现应保尽保。开展医疗卫生突出问题“清零行动”，全市实现贫困人口基本医保覆盖率、家庭医生签约服务率、贫困村卫生室和合格村医覆盖率“三个</w:t>
      </w:r>
      <w:r>
        <w:rPr>
          <w:rFonts w:hint="eastAsia" w:ascii="Times New Roman" w:hAnsi="Times New Roman"/>
          <w:kern w:val="0"/>
        </w:rPr>
        <w:t>100%</w:t>
      </w:r>
      <w:r>
        <w:rPr>
          <w:rFonts w:hint="eastAsia" w:ascii="仿宋_GB2312" w:hAnsi="仿宋_GB2312" w:cs="仿宋_GB2312"/>
          <w:kern w:val="0"/>
          <w:lang w:bidi="en-US"/>
        </w:rPr>
        <w:t>”。实施就业优先和失业保险援企稳岗政策，“十三五”时期，全市累计新增城镇就业</w:t>
      </w:r>
      <w:r>
        <w:rPr>
          <w:rFonts w:hint="eastAsia" w:ascii="Times New Roman" w:hAnsi="Times New Roman"/>
          <w:kern w:val="0"/>
        </w:rPr>
        <w:t>37</w:t>
      </w:r>
      <w:r>
        <w:rPr>
          <w:rFonts w:hint="eastAsia" w:ascii="仿宋_GB2312" w:hAnsi="仿宋_GB2312" w:cs="仿宋_GB2312"/>
          <w:kern w:val="0"/>
          <w:lang w:bidi="en-US"/>
        </w:rPr>
        <w:t>万人、失业人员再就业</w:t>
      </w:r>
      <w:r>
        <w:rPr>
          <w:rFonts w:hint="eastAsia" w:ascii="Times New Roman" w:hAnsi="Times New Roman"/>
          <w:kern w:val="0"/>
        </w:rPr>
        <w:t>8.4</w:t>
      </w:r>
      <w:r>
        <w:rPr>
          <w:rFonts w:hint="eastAsia" w:ascii="仿宋_GB2312" w:hAnsi="仿宋_GB2312" w:cs="仿宋_GB2312"/>
          <w:kern w:val="0"/>
          <w:lang w:bidi="en-US"/>
        </w:rPr>
        <w:t>万人、就业困难人员实现就业</w:t>
      </w:r>
      <w:r>
        <w:rPr>
          <w:rFonts w:hint="eastAsia" w:ascii="Times New Roman" w:hAnsi="Times New Roman"/>
          <w:kern w:val="0"/>
        </w:rPr>
        <w:t>4.2</w:t>
      </w:r>
      <w:r>
        <w:rPr>
          <w:rFonts w:hint="eastAsia" w:ascii="仿宋_GB2312" w:hAnsi="仿宋_GB2312" w:cs="仿宋_GB2312"/>
          <w:kern w:val="0"/>
          <w:lang w:bidi="en-US"/>
        </w:rPr>
        <w:t>万人、农村劳动力转移就业</w:t>
      </w:r>
      <w:r>
        <w:rPr>
          <w:rFonts w:hint="eastAsia" w:ascii="Times New Roman" w:hAnsi="Times New Roman"/>
          <w:kern w:val="0"/>
        </w:rPr>
        <w:t>32.6</w:t>
      </w:r>
      <w:r>
        <w:rPr>
          <w:rFonts w:hint="eastAsia" w:ascii="仿宋_GB2312" w:hAnsi="仿宋_GB2312" w:cs="仿宋_GB2312"/>
          <w:kern w:val="0"/>
          <w:lang w:bidi="en-US"/>
        </w:rPr>
        <w:t>万人，城镇登记失业率控制在</w:t>
      </w:r>
      <w:r>
        <w:rPr>
          <w:rFonts w:hint="eastAsia" w:ascii="Times New Roman" w:hAnsi="Times New Roman"/>
          <w:kern w:val="0"/>
        </w:rPr>
        <w:t>4%</w:t>
      </w:r>
      <w:r>
        <w:rPr>
          <w:rFonts w:hint="eastAsia" w:ascii="仿宋_GB2312" w:hAnsi="仿宋_GB2312" w:cs="仿宋_GB2312"/>
          <w:kern w:val="0"/>
          <w:lang w:bidi="en-US"/>
        </w:rPr>
        <w:t>以内。不断完善覆盖城乡的社会救助兜底保障体系，</w:t>
      </w:r>
      <w:r>
        <w:rPr>
          <w:rFonts w:hint="eastAsia" w:ascii="仿宋_GB2312" w:hAnsi="仿宋_GB2312" w:cs="仿宋_GB2312"/>
        </w:rPr>
        <w:t>落实兜底保障政策，形成了较为完善的兜底保障体系，实现了服务对象满意、家属满意、社会满意</w:t>
      </w:r>
      <w:r>
        <w:rPr>
          <w:rFonts w:hint="eastAsia" w:ascii="仿宋" w:hAnsi="仿宋" w:eastAsia="仿宋" w:cs="仿宋"/>
        </w:rPr>
        <w:t>。</w:t>
      </w:r>
      <w:r>
        <w:rPr>
          <w:rFonts w:hint="eastAsia" w:ascii="仿宋_GB2312" w:hAnsi="仿宋_GB2312" w:cs="仿宋_GB2312"/>
          <w:kern w:val="0"/>
          <w:lang w:bidi="en-US"/>
        </w:rPr>
        <w:t>健全特困人员救助供养制度、乡镇（街道）临时救助备用金制度、困难残疾人生活补贴和重度残疾人护理补贴制度，</w:t>
      </w:r>
      <w:r>
        <w:rPr>
          <w:rFonts w:hint="eastAsia" w:ascii="Times New Roman" w:hAnsi="Times New Roman"/>
        </w:rPr>
        <w:t>出台</w:t>
      </w:r>
      <w:r>
        <w:rPr>
          <w:rFonts w:ascii="Times New Roman" w:hAnsi="Times New Roman"/>
        </w:rPr>
        <w:t>80</w:t>
      </w:r>
      <w:r>
        <w:rPr>
          <w:rFonts w:hint="eastAsia" w:ascii="Times New Roman" w:hAnsi="Times New Roman"/>
        </w:rPr>
        <w:t>岁以上老人高龄津贴制度，惠及全市高龄老人</w:t>
      </w:r>
      <w:r>
        <w:rPr>
          <w:rFonts w:hint="eastAsia" w:ascii="Times New Roman" w:hAnsi="Times New Roman"/>
          <w:kern w:val="0"/>
        </w:rPr>
        <w:t>19.3</w:t>
      </w:r>
      <w:r>
        <w:rPr>
          <w:rFonts w:hint="eastAsia" w:ascii="Times New Roman" w:hAnsi="Times New Roman"/>
        </w:rPr>
        <w:t>万人，</w:t>
      </w:r>
      <w:r>
        <w:rPr>
          <w:rFonts w:hint="eastAsia" w:ascii="仿宋" w:hAnsi="仿宋" w:eastAsia="仿宋" w:cs="仿宋"/>
        </w:rPr>
        <w:t>累计发放资金近</w:t>
      </w:r>
      <w:r>
        <w:rPr>
          <w:rFonts w:hint="eastAsia" w:ascii="Times New Roman" w:hAnsi="Times New Roman"/>
          <w:kern w:val="0"/>
        </w:rPr>
        <w:t>2.4</w:t>
      </w:r>
      <w:r>
        <w:rPr>
          <w:rFonts w:hint="eastAsia" w:ascii="仿宋" w:hAnsi="仿宋" w:eastAsia="仿宋" w:cs="仿宋"/>
        </w:rPr>
        <w:t>亿元。</w:t>
      </w:r>
      <w:r>
        <w:rPr>
          <w:rFonts w:hint="eastAsia" w:ascii="Times New Roman" w:hAnsi="Times New Roman"/>
        </w:rPr>
        <w:t>组建退役军人服务保障机构，退役军人和其他优抚对象保障能力显著提升。</w:t>
      </w:r>
    </w:p>
    <w:p>
      <w:pPr>
        <w:pStyle w:val="71"/>
        <w:spacing w:line="560" w:lineRule="exact"/>
        <w:ind w:firstLine="640" w:firstLineChars="200"/>
        <w:contextualSpacing/>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总体上看，“十三五”时期我市公共服务建设和社会保障事业取得巨大成绩，建立起比较完善的公共服务体系和社会保障体系。但是，全市公共服务和社会保障不充分、不平衡、不协调的问题依然突出：一是优质</w:t>
      </w:r>
      <w:r>
        <w:rPr>
          <w:rFonts w:hint="eastAsia" w:eastAsia="仿宋_GB2312"/>
          <w:sz w:val="32"/>
          <w:szCs w:val="32"/>
        </w:rPr>
        <w:t>公共服务资源总体较为短缺</w:t>
      </w:r>
      <w:r>
        <w:rPr>
          <w:rFonts w:hint="eastAsia" w:eastAsia="仿宋_GB2312"/>
          <w:sz w:val="32"/>
          <w:szCs w:val="32"/>
          <w:lang w:eastAsia="zh-CN"/>
        </w:rPr>
        <w:t>，主要指标与</w:t>
      </w:r>
      <w:r>
        <w:rPr>
          <w:rFonts w:hint="eastAsia" w:eastAsia="仿宋_GB2312"/>
          <w:sz w:val="32"/>
          <w:szCs w:val="32"/>
          <w:lang w:val="en-US" w:eastAsia="zh-CN"/>
        </w:rPr>
        <w:t>先进</w:t>
      </w:r>
      <w:r>
        <w:rPr>
          <w:rFonts w:hint="eastAsia" w:eastAsia="仿宋_GB2312"/>
          <w:sz w:val="32"/>
          <w:szCs w:val="32"/>
          <w:lang w:eastAsia="zh-CN"/>
        </w:rPr>
        <w:t>地区还有较大差距，与人民对美好生活的向往不适应；二是城乡</w:t>
      </w:r>
      <w:r>
        <w:rPr>
          <w:rFonts w:hint="eastAsia" w:eastAsia="仿宋_GB2312"/>
          <w:sz w:val="32"/>
          <w:szCs w:val="32"/>
        </w:rPr>
        <w:t>、区域、群体间公共服务和社会保障差距依然存在</w:t>
      </w:r>
      <w:r>
        <w:rPr>
          <w:rFonts w:hint="eastAsia" w:eastAsia="仿宋_GB2312"/>
          <w:sz w:val="32"/>
          <w:szCs w:val="32"/>
          <w:lang w:eastAsia="zh-CN"/>
        </w:rPr>
        <w:t>，公共服务标准化、均等化需要继续加强；三是</w:t>
      </w:r>
      <w:r>
        <w:rPr>
          <w:rFonts w:hint="eastAsia" w:eastAsia="仿宋_GB2312"/>
          <w:sz w:val="32"/>
          <w:szCs w:val="32"/>
        </w:rPr>
        <w:t>公共</w:t>
      </w:r>
      <w:r>
        <w:rPr>
          <w:rFonts w:hint="eastAsia" w:eastAsia="仿宋_GB2312"/>
          <w:sz w:val="32"/>
          <w:szCs w:val="32"/>
          <w:lang w:eastAsia="zh-CN"/>
        </w:rPr>
        <w:t>服务和社会保障资源</w:t>
      </w:r>
      <w:r>
        <w:rPr>
          <w:rFonts w:hint="eastAsia" w:eastAsia="仿宋_GB2312"/>
          <w:sz w:val="32"/>
          <w:szCs w:val="32"/>
        </w:rPr>
        <w:t>配置机制与城镇化进程不相匹配</w:t>
      </w:r>
      <w:r>
        <w:rPr>
          <w:rFonts w:hint="eastAsia" w:eastAsia="仿宋_GB2312"/>
          <w:sz w:val="32"/>
          <w:szCs w:val="32"/>
          <w:lang w:eastAsia="zh-CN"/>
        </w:rPr>
        <w:t>，协同推进经济社会高质量发展和增进民生福祉任重道远。</w:t>
      </w:r>
    </w:p>
    <w:bookmarkEnd w:id="1420"/>
    <w:bookmarkEnd w:id="1421"/>
    <w:p>
      <w:pPr>
        <w:pStyle w:val="7"/>
        <w:spacing w:line="560" w:lineRule="exact"/>
        <w:contextualSpacing/>
        <w:jc w:val="center"/>
        <w:rPr>
          <w:rFonts w:ascii="Times New Roman" w:hAnsi="Times New Roman" w:eastAsia="楷体_GB2312"/>
          <w:b w:val="0"/>
          <w:szCs w:val="32"/>
        </w:rPr>
      </w:pPr>
      <w:bookmarkStart w:id="1430" w:name="_Toc21104"/>
      <w:r>
        <w:rPr>
          <w:rFonts w:hint="eastAsia" w:ascii="Times New Roman" w:hAnsi="Times New Roman" w:eastAsia="楷体_GB2312"/>
          <w:b w:val="0"/>
          <w:bCs/>
          <w:szCs w:val="32"/>
        </w:rPr>
        <w:t>第二节  发展环境</w:t>
      </w:r>
      <w:bookmarkEnd w:id="1430"/>
    </w:p>
    <w:p>
      <w:pPr>
        <w:spacing w:line="560" w:lineRule="exact"/>
        <w:ind w:firstLine="640" w:firstLineChars="200"/>
        <w:contextualSpacing/>
        <w:rPr>
          <w:rFonts w:ascii="Times New Roman" w:hAnsi="Times New Roman"/>
        </w:rPr>
      </w:pPr>
      <w:r>
        <w:rPr>
          <w:rFonts w:hint="eastAsia" w:ascii="Times New Roman" w:hAnsi="Times New Roman"/>
        </w:rPr>
        <w:t>“十四五”时期我国将开启全面建设社会主义现代化国家新征程，国内外政治经济形势发生巨大变化。以人民为中心，推动公共服务供给能力和社会保障水平稳步提升，助力南阳市建设河南省副中心城市，既迎来大有可为机遇期，也面临新的更加艰巨的挑战。</w:t>
      </w:r>
    </w:p>
    <w:p>
      <w:pPr>
        <w:spacing w:line="560" w:lineRule="exact"/>
        <w:ind w:firstLine="640" w:firstLineChars="200"/>
        <w:contextualSpacing/>
        <w:rPr>
          <w:rFonts w:ascii="Times New Roman" w:hAnsi="Times New Roman"/>
        </w:rPr>
      </w:pPr>
      <w:r>
        <w:rPr>
          <w:rFonts w:hint="eastAsia" w:ascii="Times New Roman" w:hAnsi="Times New Roman"/>
          <w:bCs/>
          <w:kern w:val="0"/>
        </w:rPr>
        <w:t>——经济步入新格局。</w:t>
      </w:r>
      <w:r>
        <w:rPr>
          <w:rFonts w:hint="eastAsia" w:ascii="Times New Roman" w:hAnsi="Times New Roman"/>
        </w:rPr>
        <w:t>“十四五”时期我国将加快构建以国内大循环为主体、国际国内双循环相互促进的新发展格局，将为全市经济发展创造更多有效需求，为提升公共服务发展水平和保障基本民生提供强大内生动力。同时，受中美战略竞争加剧和新冠疫情走向不明的双重影响，全市经济发展速度进一步减缓，保民生兜底线的任务更加艰巨。</w:t>
      </w:r>
    </w:p>
    <w:p>
      <w:pPr>
        <w:spacing w:line="560" w:lineRule="exact"/>
        <w:ind w:firstLine="640" w:firstLineChars="200"/>
        <w:contextualSpacing/>
        <w:rPr>
          <w:rFonts w:ascii="Times New Roman" w:hAnsi="Times New Roman"/>
        </w:rPr>
      </w:pPr>
      <w:r>
        <w:rPr>
          <w:rFonts w:hint="eastAsia" w:ascii="Times New Roman" w:hAnsi="Times New Roman"/>
          <w:bCs/>
          <w:kern w:val="0"/>
        </w:rPr>
        <w:t>——人口形成新结构。</w:t>
      </w:r>
      <w:r>
        <w:rPr>
          <w:rFonts w:hint="eastAsia" w:ascii="Times New Roman" w:hAnsi="Times New Roman"/>
        </w:rPr>
        <w:t>“十四五”时期全市人口总量增长势头将明显减弱，劳动年龄人口减少，人口老龄化加速，老年抚养比上升，新型城镇化推动城乡人口结构变化，对公共服务供给结构、资源布局、覆盖人群等带来较大影响，</w:t>
      </w:r>
      <w:r>
        <w:rPr>
          <w:rFonts w:hint="eastAsia" w:ascii="Times New Roman" w:hAnsi="Times New Roman"/>
          <w:kern w:val="21"/>
        </w:rPr>
        <w:t>财政优先支持公共服务和社会保障的压力较大。</w:t>
      </w:r>
    </w:p>
    <w:p>
      <w:pPr>
        <w:spacing w:line="560" w:lineRule="exact"/>
        <w:ind w:firstLine="640" w:firstLineChars="200"/>
        <w:contextualSpacing/>
        <w:rPr>
          <w:rFonts w:ascii="Times New Roman" w:hAnsi="Times New Roman"/>
        </w:rPr>
      </w:pPr>
      <w:r>
        <w:rPr>
          <w:rFonts w:hint="eastAsia" w:ascii="Times New Roman" w:hAnsi="Times New Roman"/>
          <w:bCs/>
          <w:kern w:val="0"/>
        </w:rPr>
        <w:t>——社会呈现新特征。</w:t>
      </w:r>
      <w:r>
        <w:rPr>
          <w:rFonts w:hint="eastAsia" w:ascii="Times New Roman" w:hAnsi="Times New Roman"/>
        </w:rPr>
        <w:t>社会结构深刻变动、利益格局深刻调整，人民群众的公平意识、民主意识、权利意识不断增强，合理引导社会预期、加快推进公共服务均等化、普惠化、高质量发展的任务更加艰巨。</w:t>
      </w:r>
    </w:p>
    <w:p>
      <w:pPr>
        <w:spacing w:line="560" w:lineRule="exact"/>
        <w:ind w:firstLine="640" w:firstLineChars="200"/>
        <w:contextualSpacing/>
        <w:rPr>
          <w:rFonts w:ascii="Times New Roman" w:hAnsi="Times New Roman"/>
        </w:rPr>
      </w:pPr>
      <w:r>
        <w:rPr>
          <w:rFonts w:hint="eastAsia" w:ascii="Times New Roman" w:hAnsi="Times New Roman"/>
          <w:bCs/>
          <w:kern w:val="0"/>
        </w:rPr>
        <w:t>——消费体现新需求。</w:t>
      </w:r>
      <w:r>
        <w:rPr>
          <w:rFonts w:hint="eastAsia" w:ascii="Times New Roman" w:hAnsi="Times New Roman"/>
        </w:rPr>
        <w:t>到“十四五”末南阳市经济总量接近6000亿元，中等收入群体规模不断扩大，群众提高生活水平和改善生活质量的愿望更加强烈，消费需求更加多样化多层次，提高公共服务供给质量和水平的要求更加紧迫。</w:t>
      </w:r>
    </w:p>
    <w:p>
      <w:pPr>
        <w:spacing w:line="560" w:lineRule="exact"/>
        <w:ind w:firstLine="640" w:firstLineChars="200"/>
        <w:contextualSpacing/>
        <w:rPr>
          <w:rFonts w:ascii="Times New Roman" w:hAnsi="Times New Roman"/>
        </w:rPr>
      </w:pPr>
      <w:r>
        <w:rPr>
          <w:rFonts w:hint="eastAsia" w:ascii="Times New Roman" w:hAnsi="Times New Roman"/>
          <w:bCs/>
          <w:kern w:val="0"/>
        </w:rPr>
        <w:t>——科技孕育新突破。</w:t>
      </w:r>
      <w:r>
        <w:rPr>
          <w:rFonts w:hint="eastAsia" w:ascii="Times New Roman" w:hAnsi="Times New Roman"/>
        </w:rPr>
        <w:t>“十四五”时期新一轮科技革命和产业变革进一步加速，移动互联网、物联网、大数据、云计算等技术快速发展，推动公共服务新业态不断发展、供给方式不断创新、服务模式更加丰富，为提升全市公共服务水平提供了坚实支撑。同时新科技的运用也倒逼全市要加快构建智慧型公共服务生态，不断提升基本民生服务和社会保障效率。</w:t>
      </w:r>
    </w:p>
    <w:p>
      <w:pPr>
        <w:pStyle w:val="6"/>
        <w:spacing w:line="560" w:lineRule="exact"/>
        <w:ind w:firstLine="0" w:firstLineChars="0"/>
        <w:contextualSpacing/>
        <w:jc w:val="center"/>
        <w:rPr>
          <w:rFonts w:ascii="Times New Roman" w:hAnsi="Times New Roman"/>
          <w:bCs/>
        </w:rPr>
      </w:pPr>
      <w:bookmarkStart w:id="1431" w:name="_Toc11412"/>
      <w:bookmarkStart w:id="1432" w:name="_Toc10203"/>
      <w:r>
        <w:rPr>
          <w:rFonts w:hint="eastAsia" w:ascii="Times New Roman" w:hAnsi="Times New Roman"/>
        </w:rPr>
        <w:t>第二章</w:t>
      </w:r>
      <w:r>
        <w:rPr>
          <w:rFonts w:ascii="Times New Roman" w:hAnsi="Times New Roman"/>
        </w:rPr>
        <w:t xml:space="preserve">  </w:t>
      </w:r>
      <w:r>
        <w:rPr>
          <w:rFonts w:hint="eastAsia" w:ascii="Times New Roman" w:hAnsi="Times New Roman"/>
        </w:rPr>
        <w:t>总体</w:t>
      </w:r>
      <w:bookmarkEnd w:id="1431"/>
      <w:r>
        <w:rPr>
          <w:rFonts w:hint="eastAsia" w:ascii="Times New Roman" w:hAnsi="Times New Roman"/>
        </w:rPr>
        <w:t>要求</w:t>
      </w:r>
      <w:bookmarkEnd w:id="1432"/>
    </w:p>
    <w:p>
      <w:pPr>
        <w:pStyle w:val="7"/>
        <w:spacing w:line="560" w:lineRule="exact"/>
        <w:contextualSpacing/>
        <w:jc w:val="center"/>
        <w:rPr>
          <w:rFonts w:ascii="Times New Roman" w:hAnsi="Times New Roman" w:eastAsia="楷体_GB2312"/>
          <w:b w:val="0"/>
          <w:szCs w:val="32"/>
        </w:rPr>
      </w:pPr>
      <w:bookmarkStart w:id="1433" w:name="_Toc63240442"/>
      <w:bookmarkStart w:id="1434" w:name="_Toc14674"/>
      <w:bookmarkStart w:id="1435" w:name="_Toc31719"/>
      <w:r>
        <w:rPr>
          <w:rFonts w:hint="eastAsia" w:ascii="Times New Roman" w:hAnsi="Times New Roman" w:eastAsia="楷体_GB2312"/>
          <w:b w:val="0"/>
          <w:bCs/>
          <w:szCs w:val="32"/>
        </w:rPr>
        <w:t>第一节  指导思想</w:t>
      </w:r>
    </w:p>
    <w:p>
      <w:pPr>
        <w:spacing w:line="560" w:lineRule="exact"/>
        <w:ind w:firstLine="640" w:firstLineChars="200"/>
        <w:contextualSpacing/>
        <w:rPr>
          <w:rFonts w:ascii="Times New Roman" w:hAnsi="Times New Roman"/>
        </w:rPr>
      </w:pPr>
      <w:r>
        <w:rPr>
          <w:rFonts w:hint="eastAsia" w:ascii="Times New Roman" w:hAnsi="Times New Roman"/>
        </w:rPr>
        <w:t>高举中国特色社会主义伟大旗帜，以习近平新时代中国特色社会主义思想为指导，深入贯彻党的十九大和十九届历次全会精神，全面落实习近平总书记视察南阳的重要讲话重要指示，立足新发展阶段，贯彻新发展理念，坚持以人民为中心思想，扎实推进共同富裕，锚定省域副中心城市建设战略目标，聚焦全市人民群众最关心最直接最现实的利益问题，着力推进基本公共服务均等化、标准化，着力增强普惠性公共服务供给能力，着力推进高品质生活服务跨越升级，建立健全覆盖全民、统筹城乡、公平统一、可持续的多层次社会保障体系，让发展转型成果更多更公平惠及广大人民群众，不断实现全市人民对美好生活的向往。</w:t>
      </w:r>
    </w:p>
    <w:p>
      <w:pPr>
        <w:pStyle w:val="7"/>
        <w:spacing w:line="560" w:lineRule="exact"/>
        <w:contextualSpacing/>
        <w:jc w:val="center"/>
        <w:rPr>
          <w:rFonts w:ascii="Times New Roman" w:hAnsi="Times New Roman" w:eastAsia="楷体_GB2312"/>
          <w:b w:val="0"/>
          <w:szCs w:val="32"/>
        </w:rPr>
      </w:pPr>
      <w:bookmarkStart w:id="1436" w:name="_Toc973"/>
      <w:r>
        <w:rPr>
          <w:rFonts w:hint="eastAsia" w:ascii="Times New Roman" w:hAnsi="Times New Roman" w:eastAsia="楷体_GB2312"/>
          <w:b w:val="0"/>
          <w:bCs/>
          <w:szCs w:val="32"/>
        </w:rPr>
        <w:t>第二节 发展思路</w:t>
      </w:r>
      <w:bookmarkEnd w:id="1436"/>
    </w:p>
    <w:p>
      <w:pPr>
        <w:spacing w:line="560" w:lineRule="exact"/>
        <w:contextualSpacing/>
        <w:rPr>
          <w:rFonts w:ascii="仿宋_GB2312" w:hAnsi="仿宋_GB2312" w:cs="仿宋_GB2312"/>
        </w:rPr>
      </w:pPr>
      <w:r>
        <w:rPr>
          <w:rFonts w:hint="eastAsia" w:ascii="Times New Roman" w:hAnsi="Times New Roman"/>
          <w:bCs/>
          <w:kern w:val="0"/>
        </w:rPr>
        <w:t xml:space="preserve">        ——把握一个方向。</w:t>
      </w:r>
      <w:r>
        <w:rPr>
          <w:rFonts w:hint="eastAsia" w:ascii="仿宋_GB2312" w:hAnsi="仿宋_GB2312" w:cs="仿宋_GB2312"/>
        </w:rPr>
        <w:t>即把准高质量发展这一方向。围绕现代教育、就业创业、医疗卫生、养老托育、社会保障、住房保障等关键民生领域，推进“幼有所育”向“幼有善育”方向发展，“学有所教”向“学有优教”方向发展，“劳有所得”向“劳有厚得”方向发展，“病有所医”向“病有良医”方向发展，“老有所养”向“老有颐养”方向发展，“住有所居”向“住有宜居”方向发展，“弱有所扶”向“弱有众扶”方向发展。</w:t>
      </w:r>
    </w:p>
    <w:p>
      <w:pPr>
        <w:pStyle w:val="5"/>
        <w:spacing w:line="560" w:lineRule="exact"/>
        <w:ind w:firstLine="640" w:firstLineChars="200"/>
        <w:contextualSpacing/>
        <w:rPr>
          <w:rFonts w:ascii="仿宋_GB2312" w:hAnsi="仿宋_GB2312" w:cs="仿宋_GB2312"/>
        </w:rPr>
      </w:pPr>
      <w:r>
        <w:rPr>
          <w:rFonts w:hint="eastAsia" w:ascii="Times New Roman" w:hAnsi="Times New Roman"/>
          <w:bCs/>
          <w:kern w:val="0"/>
        </w:rPr>
        <w:t>——健全两大体系。</w:t>
      </w:r>
      <w:r>
        <w:rPr>
          <w:rFonts w:hint="eastAsia" w:ascii="仿宋_GB2312" w:hAnsi="仿宋_GB2312" w:cs="仿宋_GB2312"/>
        </w:rPr>
        <w:t>围绕公共服务、社会保障两大任务，推动实现社会公平正义、促进民生事业转型发展。一是加强全市普惠性、基础性民生设施和工程项目建设，不断完善公共服务体系，维护和提升全体公民基本发展权。二是持续健全多层次社会保障体系，巩固和加强特殊困难群体的基本生存权，统筹推进社会保障事业和公共服务协同发展，增强公民发展权、生存权之间的系统性、协同性。</w:t>
      </w:r>
    </w:p>
    <w:p>
      <w:pPr>
        <w:pStyle w:val="5"/>
        <w:spacing w:line="560" w:lineRule="exact"/>
        <w:ind w:firstLine="640" w:firstLineChars="200"/>
        <w:contextualSpacing/>
        <w:rPr>
          <w:rFonts w:ascii="仿宋_GB2312" w:hAnsi="仿宋_GB2312" w:cs="仿宋_GB2312"/>
        </w:rPr>
      </w:pPr>
      <w:r>
        <w:rPr>
          <w:rFonts w:hint="eastAsia" w:ascii="Times New Roman" w:hAnsi="Times New Roman"/>
          <w:bCs/>
          <w:kern w:val="0"/>
        </w:rPr>
        <w:t>——统筹三个层次。</w:t>
      </w:r>
      <w:r>
        <w:rPr>
          <w:rFonts w:hint="eastAsia" w:ascii="仿宋_GB2312" w:hAnsi="仿宋_GB2312" w:cs="仿宋_GB2312"/>
        </w:rPr>
        <w:t>一是基本公共服务，由政府提供兜底保障，重在加快推进基本民生服务均等化和标准化，保障全体人民生存和发展基本需要。二是普惠性公共服务，政府出台鼓励支持政策，重在引导社会资本投入，加快服务供给扩容提质，实现大多数公民以可承受的价格付费享有。三是高品质生活服务，政府通过规范市场，提升产品可持续供给能力，满足人民群众多样化、个性化、高品质服务需求。</w:t>
      </w:r>
    </w:p>
    <w:p>
      <w:pPr>
        <w:spacing w:line="560" w:lineRule="exact"/>
        <w:ind w:firstLine="640" w:firstLineChars="200"/>
        <w:contextualSpacing/>
        <w:rPr>
          <w:rFonts w:ascii="仿宋_GB2312" w:hAnsi="仿宋_GB2312" w:cs="仿宋_GB2312"/>
        </w:rPr>
      </w:pPr>
      <w:r>
        <w:rPr>
          <w:rFonts w:hint="eastAsia" w:ascii="Times New Roman" w:hAnsi="Times New Roman"/>
          <w:bCs/>
          <w:kern w:val="0"/>
        </w:rPr>
        <w:t>——完善四项机制。</w:t>
      </w:r>
      <w:r>
        <w:rPr>
          <w:rFonts w:hint="eastAsia" w:ascii="仿宋_GB2312" w:hAnsi="仿宋_GB2312" w:cs="仿宋_GB2312"/>
        </w:rPr>
        <w:t>一是完善标准规范，</w:t>
      </w:r>
      <w:bookmarkStart w:id="1437" w:name="_Toc3992"/>
      <w:bookmarkStart w:id="1438" w:name="_Toc16122"/>
      <w:bookmarkStart w:id="1439" w:name="_Toc25154"/>
      <w:bookmarkStart w:id="1440" w:name="_Toc17834"/>
      <w:bookmarkStart w:id="1441" w:name="_Toc63240494"/>
      <w:bookmarkStart w:id="1442" w:name="_Toc10129"/>
      <w:bookmarkStart w:id="1443" w:name="_Toc28929"/>
      <w:r>
        <w:rPr>
          <w:rFonts w:hint="eastAsia" w:ascii="仿宋_GB2312" w:hAnsi="仿宋_GB2312" w:cs="仿宋_GB2312"/>
        </w:rPr>
        <w:t>以标准化推进基本公共服务均等化，依据基本公共服务省级标准，支持全市各县（市、区）开展基本公共服务标准化试点示范。二是</w:t>
      </w:r>
      <w:bookmarkEnd w:id="1437"/>
      <w:bookmarkEnd w:id="1438"/>
      <w:bookmarkEnd w:id="1439"/>
      <w:bookmarkEnd w:id="1440"/>
      <w:bookmarkEnd w:id="1441"/>
      <w:bookmarkEnd w:id="1442"/>
      <w:bookmarkEnd w:id="1443"/>
      <w:r>
        <w:rPr>
          <w:rFonts w:hint="eastAsia" w:ascii="仿宋_GB2312" w:hAnsi="仿宋_GB2312" w:cs="仿宋_GB2312"/>
        </w:rPr>
        <w:t>强化财力保障，建立完善与经济发展和政府财力水平相适应的基本公共服务支出保障机制，明确市本级和各县（市、区）在公共服务领域事权和支出责任，确保基本公共服务和社会保障项目及标准落实到位。三是优化资源配置，按照高效、公平原则和人口流动情况调整基本公共服务设施布局，建立完善公共服务资源与常住人口规模、服务半径挂钩制度。四是完善制度配套衔接，推动全市城乡、区域、人群和不同领域公共服务制度安排相互衔接、互相配套，增强制度之间的系统性、整体性和协同性。</w:t>
      </w:r>
    </w:p>
    <w:p>
      <w:pPr>
        <w:pStyle w:val="7"/>
        <w:spacing w:line="560" w:lineRule="exact"/>
        <w:contextualSpacing/>
        <w:jc w:val="center"/>
        <w:rPr>
          <w:rFonts w:ascii="Times New Roman" w:hAnsi="Times New Roman" w:eastAsia="楷体_GB2312"/>
          <w:b w:val="0"/>
          <w:szCs w:val="32"/>
        </w:rPr>
      </w:pPr>
      <w:bookmarkStart w:id="1444" w:name="_Toc23114"/>
      <w:r>
        <w:rPr>
          <w:rFonts w:hint="eastAsia" w:ascii="Times New Roman" w:hAnsi="Times New Roman" w:eastAsia="楷体_GB2312"/>
          <w:b w:val="0"/>
          <w:bCs/>
          <w:szCs w:val="32"/>
        </w:rPr>
        <w:t>第三节  基本原则</w:t>
      </w:r>
      <w:bookmarkEnd w:id="1444"/>
    </w:p>
    <w:p>
      <w:pPr>
        <w:spacing w:line="560" w:lineRule="exact"/>
        <w:ind w:firstLine="640" w:firstLineChars="200"/>
        <w:contextualSpacing/>
        <w:rPr>
          <w:rFonts w:ascii="Times New Roman" w:hAnsi="Times New Roman"/>
        </w:rPr>
      </w:pPr>
      <w:r>
        <w:rPr>
          <w:rFonts w:hint="eastAsia" w:ascii="Times New Roman" w:hAnsi="Times New Roman"/>
          <w:bCs/>
          <w:kern w:val="0"/>
        </w:rPr>
        <w:t>——以人为本，应保尽保。</w:t>
      </w:r>
      <w:r>
        <w:rPr>
          <w:rFonts w:hint="eastAsia" w:ascii="Times New Roman" w:hAnsi="Times New Roman"/>
        </w:rPr>
        <w:t>坚持以人民为中心，围绕全生命周期加强基础性、普惠性、兜底性民生保障建设，确保基本公共服务和社会保障全覆盖，让改革发展成果更公平惠及全市人民，走好共同富裕之路。</w:t>
      </w:r>
    </w:p>
    <w:p>
      <w:pPr>
        <w:spacing w:line="560" w:lineRule="exact"/>
        <w:ind w:firstLine="640" w:firstLineChars="200"/>
        <w:contextualSpacing/>
        <w:rPr>
          <w:rFonts w:ascii="Times New Roman" w:hAnsi="Times New Roman"/>
        </w:rPr>
      </w:pPr>
      <w:r>
        <w:rPr>
          <w:rFonts w:hint="eastAsia" w:ascii="Times New Roman" w:hAnsi="Times New Roman"/>
          <w:bCs/>
          <w:kern w:val="0"/>
        </w:rPr>
        <w:t>——尽力而为、量力而行。</w:t>
      </w:r>
      <w:r>
        <w:rPr>
          <w:rFonts w:hint="eastAsia" w:ascii="Times New Roman" w:hAnsi="Times New Roman"/>
        </w:rPr>
        <w:t>充分考虑经济发展状况和财力负担的可持续性，稳妥有序提升公共服务保障水平，合理引导社会预期，不吊高胃口、不过度承诺，实现公共服务保障水平与经济社会发展水平</w:t>
      </w:r>
      <w:r>
        <w:rPr>
          <w:rFonts w:ascii="Times New Roman" w:hAnsi="Times New Roman"/>
        </w:rPr>
        <w:t>“</w:t>
      </w:r>
      <w:r>
        <w:rPr>
          <w:rFonts w:hint="eastAsia" w:ascii="Times New Roman" w:hAnsi="Times New Roman"/>
        </w:rPr>
        <w:t>同频共振</w:t>
      </w:r>
      <w:r>
        <w:rPr>
          <w:rFonts w:ascii="Times New Roman" w:hAnsi="Times New Roman"/>
        </w:rPr>
        <w:t>”</w:t>
      </w:r>
      <w:r>
        <w:rPr>
          <w:rFonts w:hint="eastAsia" w:ascii="Times New Roman" w:hAnsi="Times New Roman"/>
        </w:rPr>
        <w:t>。</w:t>
      </w:r>
    </w:p>
    <w:p>
      <w:pPr>
        <w:spacing w:line="560" w:lineRule="exact"/>
        <w:ind w:firstLine="640" w:firstLineChars="200"/>
        <w:contextualSpacing/>
        <w:rPr>
          <w:rFonts w:ascii="Times New Roman" w:hAnsi="Times New Roman"/>
        </w:rPr>
      </w:pPr>
      <w:r>
        <w:rPr>
          <w:rFonts w:hint="eastAsia" w:ascii="Times New Roman" w:hAnsi="Times New Roman"/>
          <w:bCs/>
          <w:kern w:val="0"/>
        </w:rPr>
        <w:t>——政府主导、分类施策。</w:t>
      </w:r>
      <w:r>
        <w:rPr>
          <w:rFonts w:hint="eastAsia" w:ascii="Times New Roman" w:hAnsi="Times New Roman"/>
        </w:rPr>
        <w:t>划清政府权责边界，强化政府对基本公共服务供给和社会保障的兜底责任，不断推进基本公共服务均等化，不断健全更加公平更可持续社会保障体系。发挥政府引导作用，不断扩大普惠性非基本公共服务供给，鼓励生活性服务业高品质多样化升级。</w:t>
      </w:r>
    </w:p>
    <w:p>
      <w:pPr>
        <w:spacing w:line="560" w:lineRule="exact"/>
        <w:ind w:firstLine="640" w:firstLineChars="200"/>
        <w:contextualSpacing/>
        <w:rPr>
          <w:rFonts w:ascii="Times New Roman" w:hAnsi="Times New Roman"/>
        </w:rPr>
      </w:pPr>
      <w:r>
        <w:rPr>
          <w:rFonts w:hint="eastAsia" w:ascii="Times New Roman" w:hAnsi="Times New Roman"/>
          <w:bCs/>
          <w:kern w:val="0"/>
        </w:rPr>
        <w:t>——多元参与、共建共享。</w:t>
      </w:r>
      <w:r>
        <w:rPr>
          <w:rFonts w:hint="eastAsia" w:ascii="Times New Roman" w:hAnsi="Times New Roman"/>
        </w:rPr>
        <w:t>进一步放宽市场准入，支持社会力量参与公共服务，发挥好各类企事业单位、协会商会、公益团体等市场主体和社会组织的作用，引导群众自我管理、自我服务，形成共建共享的公共服务发展格局。</w:t>
      </w:r>
    </w:p>
    <w:p>
      <w:pPr>
        <w:pStyle w:val="7"/>
        <w:spacing w:line="560" w:lineRule="exact"/>
        <w:contextualSpacing/>
        <w:jc w:val="center"/>
        <w:rPr>
          <w:rFonts w:ascii="Times New Roman" w:hAnsi="Times New Roman" w:eastAsia="楷体_GB2312"/>
          <w:b w:val="0"/>
          <w:szCs w:val="32"/>
        </w:rPr>
      </w:pPr>
      <w:bookmarkStart w:id="1445" w:name="_Toc23913"/>
      <w:r>
        <w:rPr>
          <w:rFonts w:hint="eastAsia" w:ascii="Times New Roman" w:hAnsi="Times New Roman" w:eastAsia="楷体_GB2312"/>
          <w:b w:val="0"/>
          <w:bCs/>
          <w:szCs w:val="32"/>
        </w:rPr>
        <w:t>第四节</w:t>
      </w:r>
      <w:r>
        <w:rPr>
          <w:rFonts w:ascii="Times New Roman" w:hAnsi="Times New Roman" w:eastAsia="楷体_GB2312"/>
          <w:b w:val="0"/>
          <w:bCs/>
          <w:szCs w:val="32"/>
        </w:rPr>
        <w:t xml:space="preserve">  </w:t>
      </w:r>
      <w:r>
        <w:rPr>
          <w:rFonts w:hint="eastAsia" w:ascii="Times New Roman" w:hAnsi="Times New Roman" w:eastAsia="楷体_GB2312"/>
          <w:b w:val="0"/>
          <w:bCs/>
          <w:szCs w:val="32"/>
        </w:rPr>
        <w:t>主要目标</w:t>
      </w:r>
      <w:bookmarkEnd w:id="1445"/>
    </w:p>
    <w:p>
      <w:pPr>
        <w:spacing w:line="560" w:lineRule="exact"/>
        <w:ind w:firstLine="640" w:firstLineChars="200"/>
        <w:contextualSpacing/>
        <w:rPr>
          <w:rFonts w:ascii="Times New Roman" w:hAnsi="Times New Roman"/>
        </w:rPr>
      </w:pPr>
      <w:r>
        <w:rPr>
          <w:rFonts w:hint="eastAsia" w:ascii="Times New Roman" w:hAnsi="Times New Roman"/>
          <w:bCs/>
          <w:kern w:val="0"/>
        </w:rPr>
        <w:t>——公共服务供给能力进一步提升。</w:t>
      </w:r>
      <w:r>
        <w:rPr>
          <w:rFonts w:hint="eastAsia" w:ascii="Times New Roman" w:hAnsi="Times New Roman"/>
        </w:rPr>
        <w:t>张仲景国医大学复建招生，南阳职教园区高质量发展，南阳农业职业学院、河南工业职业技术学院、南阳职业学院、南阳科技职业学院升本进展顺利，建好用好完全学校，市一中新校区建成招生，初步成为全省教育高地。国家中医区域医疗中心、省区域医疗中心、市中心医院新院区、市中医院新院区等重点项目建成投用，市骨科医院、市口腔医院、市眼科医院等一批市管医院外迁工程完工投用，重点学科建设进一步增强，基本建成全省健康强市。城镇新增就业达到40万人，高技能人才总量达到50万人。养老服务市场全面放开，社会力量运营的养老床位占比超过50%。</w:t>
      </w:r>
      <w:r>
        <w:rPr>
          <w:rFonts w:hint="eastAsia" w:ascii="仿宋_GB2312" w:hAnsi="仿宋_GB2312" w:cs="仿宋_GB2312"/>
          <w:shd w:val="clear" w:color="auto" w:fill="FFFFFF"/>
        </w:rPr>
        <w:t>汉文化、中医药文化、“四圣”文化、官德文化</w:t>
      </w:r>
      <w:r>
        <w:rPr>
          <w:rFonts w:hint="eastAsia" w:ascii="微软雅黑" w:hAnsi="微软雅黑" w:eastAsia="微软雅黑" w:cs="仿宋_GB2312"/>
          <w:shd w:val="clear" w:color="auto" w:fill="FFFFFF"/>
        </w:rPr>
        <w:t>、</w:t>
      </w:r>
      <w:r>
        <w:rPr>
          <w:rStyle w:val="64"/>
          <w:rFonts w:hint="eastAsia" w:ascii="Times New Roman" w:hAnsi="Times New Roman"/>
        </w:rPr>
        <w:t>商埠文化旅游品牌享誉中原，旅游综合收入占GDP总量6%以上，</w:t>
      </w:r>
      <w:r>
        <w:rPr>
          <w:rFonts w:hint="eastAsia" w:ascii="仿宋_GB2312" w:hAnsi="仿宋_GB2312" w:cs="仿宋_GB2312"/>
          <w:kern w:val="0"/>
          <w:lang w:bidi="en-US"/>
        </w:rPr>
        <w:t>形成一批具有影响力、竞争力、品牌化旅游服务领军型企业。</w:t>
      </w:r>
    </w:p>
    <w:p>
      <w:pPr>
        <w:spacing w:line="560" w:lineRule="exact"/>
        <w:ind w:firstLine="641"/>
        <w:contextualSpacing/>
        <w:rPr>
          <w:rStyle w:val="64"/>
          <w:rFonts w:ascii="Times New Roman" w:hAnsi="Times New Roman"/>
        </w:rPr>
      </w:pPr>
      <w:r>
        <w:rPr>
          <w:rFonts w:hint="eastAsia" w:ascii="Times New Roman" w:hAnsi="Times New Roman"/>
          <w:bCs/>
          <w:kern w:val="0"/>
        </w:rPr>
        <w:t>——公共服务资源配置进一步优化。</w:t>
      </w:r>
      <w:r>
        <w:rPr>
          <w:rStyle w:val="64"/>
          <w:rFonts w:hint="eastAsia" w:ascii="Times New Roman" w:hAnsi="Times New Roman"/>
        </w:rPr>
        <w:t>教育短板填平补齐，“大班额”“城镇挤”“乡村弱”现象基本消除。公立医院、紧密型县域医共体实现高质量发展，多层次医疗保障体系更加完善，县域就诊率达到90%左右，疑难危重病例市域外转率持续降低，人民群众能够就近享有公平可及的高水平健康服务。居家、社区和机构养老服务实现融合发展，</w:t>
      </w:r>
      <w:r>
        <w:rPr>
          <w:rFonts w:hint="eastAsia" w:ascii="仿宋_GB2312" w:hAnsi="仿宋_GB2312" w:cs="仿宋_GB2312"/>
          <w:kern w:val="0"/>
          <w:lang w:bidi="en-US"/>
        </w:rPr>
        <w:t>城市居家社区“</w:t>
      </w:r>
      <w:r>
        <w:rPr>
          <w:rStyle w:val="64"/>
          <w:rFonts w:hint="eastAsia" w:ascii="Times New Roman" w:hAnsi="Times New Roman"/>
        </w:rPr>
        <w:t>15</w:t>
      </w:r>
      <w:r>
        <w:rPr>
          <w:rFonts w:hint="eastAsia" w:ascii="仿宋_GB2312" w:hAnsi="仿宋_GB2312" w:cs="仿宋_GB2312"/>
          <w:kern w:val="0"/>
          <w:lang w:bidi="en-US"/>
        </w:rPr>
        <w:t>分钟养老服务圈”全面建成，农村三级养老服务网络逐步完善</w:t>
      </w:r>
      <w:r>
        <w:rPr>
          <w:rStyle w:val="64"/>
          <w:rFonts w:hint="eastAsia" w:ascii="Times New Roman" w:hAnsi="Times New Roman"/>
        </w:rPr>
        <w:t>，养老服务设施覆盖率达70%以上。全市人均体育场地面积达到2.6平方米，经常参加体育锻炼人数比例达到45%。建成城镇社区10分钟健身圈，实现县（市、区）体育场、室外体育活动广场、体育馆、游泳馆（池）和全民健身综合馆全覆盖。</w:t>
      </w:r>
    </w:p>
    <w:p>
      <w:pPr>
        <w:overflowPunct w:val="0"/>
        <w:spacing w:line="560" w:lineRule="exact"/>
        <w:ind w:firstLine="640" w:firstLineChars="200"/>
        <w:contextualSpacing/>
        <w:rPr>
          <w:rFonts w:ascii="仿宋_GB2312" w:hAnsi="仿宋_GB2312" w:cs="仿宋_GB2312"/>
        </w:rPr>
      </w:pPr>
      <w:r>
        <w:rPr>
          <w:rFonts w:hint="eastAsia" w:ascii="Times New Roman" w:hAnsi="Times New Roman"/>
          <w:bCs/>
          <w:kern w:val="0"/>
        </w:rPr>
        <w:t>——公共服务综合改革进一步深化。</w:t>
      </w:r>
      <w:r>
        <w:rPr>
          <w:rStyle w:val="64"/>
          <w:rFonts w:hint="eastAsia" w:ascii="Times New Roman" w:hAnsi="Times New Roman"/>
        </w:rPr>
        <w:t>政府公共服务“放管服”改革持续深化，基本实现政务服务“一网通办”、优质服务资源“一卡共享”、数字化服务“一码同扫”。以“一老一小”为重点的全生命周期健康服务体系基本建成，健康服务模式更加先进有效，医药卫生体制改革纵深推进，教育、医疗、养老供给模式改革、治理机制改革、管理体制创新等一大批改革成果落地见效。</w:t>
      </w:r>
      <w:r>
        <w:rPr>
          <w:rFonts w:hint="eastAsia" w:ascii="仿宋_GB2312" w:hAnsi="仿宋_GB2312" w:cs="仿宋_GB2312"/>
        </w:rPr>
        <w:t>劳动关系协调机制不断健全，劳动保障监察治理体系和治理能力更加现代化。</w:t>
      </w:r>
      <w:r>
        <w:rPr>
          <w:rFonts w:hint="eastAsia" w:ascii="Times New Roman" w:hAnsi="Times New Roman" w:cs="仿宋_GB2312"/>
        </w:rPr>
        <w:t>文化旅游业发展体制进一步创新，社会资本投资文旅项目潜力加速释放。</w:t>
      </w:r>
    </w:p>
    <w:p>
      <w:pPr>
        <w:overflowPunct w:val="0"/>
        <w:spacing w:line="560" w:lineRule="exact"/>
        <w:ind w:firstLine="640" w:firstLineChars="200"/>
        <w:contextualSpacing/>
      </w:pPr>
      <w:r>
        <w:rPr>
          <w:rFonts w:hint="eastAsia" w:ascii="Times New Roman" w:hAnsi="Times New Roman"/>
          <w:bCs/>
          <w:kern w:val="0"/>
        </w:rPr>
        <w:t>——社会兜底保障能力进一步增强。</w:t>
      </w:r>
      <w:r>
        <w:rPr>
          <w:rFonts w:hint="eastAsia" w:ascii="Times New Roman" w:hAnsi="Times New Roman" w:cs="仿宋_GB2312"/>
        </w:rPr>
        <w:t>教育、医疗、养老等基本民生保障财力投入持续加大，公共服务财政、投融资、用地、税费减免、人才培训、财政补贴支持政策不断完善。城乡基本社会保险实现应保尽保，社会保险经办服务体系更加便民利民。到2025年，九年义务教育巩固率达到96%以上，基本养老保险参保率达到98%，护理型床位占比达到60%以上，残疾人“两项补贴”覆盖率达到100%。</w:t>
      </w:r>
    </w:p>
    <w:p>
      <w:pPr>
        <w:spacing w:line="560" w:lineRule="exact"/>
        <w:contextualSpacing/>
        <w:jc w:val="center"/>
        <w:rPr>
          <w:rFonts w:ascii="Times New Roman" w:hAnsi="Times New Roman" w:eastAsia="黑体"/>
          <w:sz w:val="28"/>
          <w:szCs w:val="28"/>
        </w:rPr>
      </w:pPr>
      <w:r>
        <w:rPr>
          <w:rFonts w:hint="eastAsia" w:ascii="Times New Roman" w:hAnsi="Times New Roman" w:eastAsia="黑体"/>
          <w:sz w:val="28"/>
          <w:szCs w:val="28"/>
        </w:rPr>
        <w:t>南阳市“十四五”社会领域公共服务发展指标</w:t>
      </w:r>
    </w:p>
    <w:tbl>
      <w:tblPr>
        <w:tblStyle w:val="26"/>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79"/>
        <w:gridCol w:w="4079"/>
        <w:gridCol w:w="1008"/>
        <w:gridCol w:w="117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20" w:type="dxa"/>
            <w:vAlign w:val="center"/>
          </w:tcPr>
          <w:p>
            <w:pPr>
              <w:spacing w:line="240" w:lineRule="exact"/>
              <w:contextualSpacing/>
              <w:jc w:val="center"/>
              <w:textAlignment w:val="center"/>
              <w:rPr>
                <w:rFonts w:ascii="Times New Roman" w:hAnsi="Times New Roman" w:eastAsia="黑体"/>
                <w:sz w:val="24"/>
              </w:rPr>
            </w:pPr>
          </w:p>
        </w:tc>
        <w:tc>
          <w:tcPr>
            <w:tcW w:w="1179" w:type="dxa"/>
            <w:vAlign w:val="center"/>
          </w:tcPr>
          <w:p>
            <w:pPr>
              <w:spacing w:line="240" w:lineRule="exact"/>
              <w:contextualSpacing/>
              <w:jc w:val="center"/>
              <w:textAlignment w:val="center"/>
              <w:rPr>
                <w:rFonts w:ascii="Times New Roman" w:hAnsi="Times New Roman" w:eastAsia="黑体"/>
                <w:sz w:val="24"/>
              </w:rPr>
            </w:pPr>
            <w:r>
              <w:rPr>
                <w:rFonts w:hint="eastAsia" w:ascii="Times New Roman" w:hAnsi="Times New Roman" w:eastAsia="黑体"/>
                <w:sz w:val="24"/>
              </w:rPr>
              <w:t>领域</w:t>
            </w:r>
          </w:p>
        </w:tc>
        <w:tc>
          <w:tcPr>
            <w:tcW w:w="4079" w:type="dxa"/>
            <w:vAlign w:val="center"/>
          </w:tcPr>
          <w:p>
            <w:pPr>
              <w:spacing w:line="240" w:lineRule="exact"/>
              <w:contextualSpacing/>
              <w:jc w:val="center"/>
              <w:textAlignment w:val="center"/>
              <w:rPr>
                <w:rFonts w:ascii="Times New Roman" w:hAnsi="Times New Roman" w:eastAsia="黑体"/>
                <w:sz w:val="24"/>
              </w:rPr>
            </w:pPr>
            <w:r>
              <w:rPr>
                <w:rFonts w:hint="eastAsia" w:ascii="Times New Roman" w:hAnsi="Times New Roman" w:eastAsia="黑体"/>
                <w:sz w:val="24"/>
              </w:rPr>
              <w:t>指标</w:t>
            </w:r>
          </w:p>
        </w:tc>
        <w:tc>
          <w:tcPr>
            <w:tcW w:w="1008" w:type="dxa"/>
            <w:vAlign w:val="center"/>
          </w:tcPr>
          <w:p>
            <w:pPr>
              <w:spacing w:line="240" w:lineRule="exact"/>
              <w:contextualSpacing/>
              <w:jc w:val="center"/>
              <w:textAlignment w:val="center"/>
              <w:rPr>
                <w:rFonts w:ascii="Times New Roman" w:hAnsi="Times New Roman" w:eastAsia="黑体"/>
                <w:sz w:val="24"/>
              </w:rPr>
            </w:pPr>
            <w:r>
              <w:rPr>
                <w:rFonts w:ascii="Times New Roman" w:hAnsi="Times New Roman" w:eastAsia="黑体"/>
                <w:sz w:val="24"/>
              </w:rPr>
              <w:t>2020</w:t>
            </w:r>
            <w:r>
              <w:rPr>
                <w:rFonts w:hint="eastAsia" w:ascii="Times New Roman" w:hAnsi="Times New Roman" w:eastAsia="黑体"/>
                <w:sz w:val="24"/>
              </w:rPr>
              <w:t>年</w:t>
            </w:r>
          </w:p>
        </w:tc>
        <w:tc>
          <w:tcPr>
            <w:tcW w:w="1178" w:type="dxa"/>
            <w:vAlign w:val="center"/>
          </w:tcPr>
          <w:p>
            <w:pPr>
              <w:spacing w:line="240" w:lineRule="exact"/>
              <w:contextualSpacing/>
              <w:jc w:val="center"/>
              <w:textAlignment w:val="center"/>
              <w:rPr>
                <w:rFonts w:ascii="Times New Roman" w:hAnsi="Times New Roman" w:eastAsia="黑体"/>
                <w:sz w:val="24"/>
              </w:rPr>
            </w:pPr>
            <w:r>
              <w:rPr>
                <w:rFonts w:ascii="Times New Roman" w:hAnsi="Times New Roman" w:eastAsia="黑体"/>
                <w:sz w:val="24"/>
              </w:rPr>
              <w:t>2025</w:t>
            </w:r>
            <w:r>
              <w:rPr>
                <w:rFonts w:hint="eastAsia" w:ascii="Times New Roman" w:hAnsi="Times New Roman" w:eastAsia="黑体"/>
                <w:sz w:val="24"/>
              </w:rPr>
              <w:t>年</w:t>
            </w:r>
          </w:p>
        </w:tc>
        <w:tc>
          <w:tcPr>
            <w:tcW w:w="933" w:type="dxa"/>
            <w:vAlign w:val="center"/>
          </w:tcPr>
          <w:p>
            <w:pPr>
              <w:spacing w:line="240" w:lineRule="exact"/>
              <w:contextualSpacing/>
              <w:jc w:val="center"/>
              <w:textAlignment w:val="center"/>
              <w:rPr>
                <w:rFonts w:ascii="Times New Roman" w:hAnsi="Times New Roman" w:eastAsia="黑体"/>
                <w:sz w:val="24"/>
              </w:rPr>
            </w:pPr>
            <w:r>
              <w:rPr>
                <w:rFonts w:hint="eastAsia" w:ascii="Times New Roman" w:hAnsi="Times New Roman" w:eastAsia="黑体"/>
                <w:sz w:val="24"/>
              </w:rPr>
              <w:t>指标</w:t>
            </w:r>
          </w:p>
          <w:p>
            <w:pPr>
              <w:spacing w:line="240" w:lineRule="exact"/>
              <w:contextualSpacing/>
              <w:jc w:val="center"/>
              <w:textAlignment w:val="center"/>
              <w:rPr>
                <w:rFonts w:ascii="Times New Roman" w:hAnsi="Times New Roman" w:eastAsia="黑体"/>
                <w:sz w:val="24"/>
              </w:rPr>
            </w:pPr>
            <w:r>
              <w:rPr>
                <w:rFonts w:hint="eastAsia" w:ascii="Times New Roman" w:hAnsi="Times New Roman" w:eastAsia="黑体"/>
                <w:sz w:val="24"/>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restart"/>
            <w:vAlign w:val="center"/>
          </w:tcPr>
          <w:p>
            <w:pPr>
              <w:spacing w:line="240" w:lineRule="exact"/>
              <w:contextualSpacing/>
              <w:jc w:val="center"/>
              <w:textAlignment w:val="center"/>
              <w:rPr>
                <w:rFonts w:ascii="Times New Roman" w:hAnsi="Times New Roman"/>
                <w:bCs/>
                <w:sz w:val="24"/>
              </w:rPr>
            </w:pPr>
            <w:r>
              <w:rPr>
                <w:rFonts w:hint="eastAsia" w:ascii="Times New Roman" w:hAnsi="Times New Roman"/>
                <w:bCs/>
                <w:sz w:val="24"/>
              </w:rPr>
              <w:t>总体指标</w:t>
            </w:r>
          </w:p>
        </w:tc>
        <w:tc>
          <w:tcPr>
            <w:tcW w:w="1179" w:type="dxa"/>
            <w:vMerge w:val="restart"/>
            <w:vAlign w:val="center"/>
          </w:tcPr>
          <w:p>
            <w:pPr>
              <w:spacing w:line="240" w:lineRule="exact"/>
              <w:contextualSpacing/>
              <w:jc w:val="center"/>
              <w:textAlignment w:val="center"/>
              <w:rPr>
                <w:rFonts w:ascii="Times New Roman" w:hAnsi="Times New Roman"/>
                <w:bCs/>
                <w:sz w:val="24"/>
              </w:rPr>
            </w:pPr>
          </w:p>
        </w:tc>
        <w:tc>
          <w:tcPr>
            <w:tcW w:w="4079"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人均公共服务财政支出（元）</w:t>
            </w:r>
          </w:p>
        </w:tc>
        <w:tc>
          <w:tcPr>
            <w:tcW w:w="100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6000</w:t>
            </w:r>
          </w:p>
        </w:tc>
        <w:tc>
          <w:tcPr>
            <w:tcW w:w="117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稳定增长</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spacing w:line="240" w:lineRule="exact"/>
              <w:contextualSpacing/>
              <w:jc w:val="center"/>
              <w:textAlignment w:val="center"/>
              <w:rPr>
                <w:rFonts w:ascii="Times New Roman" w:hAnsi="Times New Roman"/>
                <w:bCs/>
                <w:sz w:val="24"/>
              </w:rPr>
            </w:pPr>
          </w:p>
        </w:tc>
        <w:tc>
          <w:tcPr>
            <w:tcW w:w="1179" w:type="dxa"/>
            <w:vMerge w:val="continue"/>
            <w:vAlign w:val="center"/>
          </w:tcPr>
          <w:p>
            <w:pPr>
              <w:spacing w:line="240" w:lineRule="exact"/>
              <w:contextualSpacing/>
              <w:jc w:val="center"/>
              <w:textAlignment w:val="center"/>
              <w:rPr>
                <w:rFonts w:ascii="Times New Roman" w:hAnsi="Times New Roman"/>
                <w:bCs/>
                <w:sz w:val="24"/>
              </w:rPr>
            </w:pPr>
          </w:p>
        </w:tc>
        <w:tc>
          <w:tcPr>
            <w:tcW w:w="4079"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人均预期寿命（岁）</w:t>
            </w:r>
          </w:p>
        </w:tc>
        <w:tc>
          <w:tcPr>
            <w:tcW w:w="1008" w:type="dxa"/>
            <w:vAlign w:val="center"/>
          </w:tcPr>
          <w:p>
            <w:pPr>
              <w:spacing w:line="240" w:lineRule="exact"/>
              <w:contextualSpacing/>
              <w:jc w:val="center"/>
              <w:textAlignment w:val="center"/>
              <w:rPr>
                <w:rFonts w:ascii="Times New Roman" w:hAnsi="Times New Roman"/>
                <w:sz w:val="24"/>
              </w:rPr>
            </w:pPr>
            <w:r>
              <w:rPr>
                <w:rFonts w:ascii="Times New Roman" w:hAnsi="Times New Roman"/>
                <w:sz w:val="24"/>
              </w:rPr>
              <w:t>77</w:t>
            </w:r>
            <w:r>
              <w:rPr>
                <w:rFonts w:hint="eastAsia" w:ascii="Times New Roman" w:hAnsi="Times New Roman"/>
                <w:sz w:val="24"/>
              </w:rPr>
              <w:t>.35</w:t>
            </w:r>
          </w:p>
        </w:tc>
        <w:tc>
          <w:tcPr>
            <w:tcW w:w="117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78.7</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spacing w:line="240" w:lineRule="exact"/>
              <w:contextualSpacing/>
              <w:jc w:val="center"/>
              <w:textAlignment w:val="center"/>
              <w:rPr>
                <w:rFonts w:ascii="Times New Roman" w:hAnsi="Times New Roman"/>
                <w:bCs/>
                <w:sz w:val="24"/>
              </w:rPr>
            </w:pPr>
          </w:p>
        </w:tc>
        <w:tc>
          <w:tcPr>
            <w:tcW w:w="1179" w:type="dxa"/>
            <w:vMerge w:val="continue"/>
            <w:vAlign w:val="center"/>
          </w:tcPr>
          <w:p>
            <w:pPr>
              <w:spacing w:line="240" w:lineRule="exact"/>
              <w:contextualSpacing/>
              <w:jc w:val="center"/>
              <w:textAlignment w:val="center"/>
              <w:rPr>
                <w:rFonts w:ascii="Times New Roman" w:hAnsi="Times New Roman"/>
                <w:bCs/>
                <w:sz w:val="24"/>
              </w:rPr>
            </w:pPr>
          </w:p>
        </w:tc>
        <w:tc>
          <w:tcPr>
            <w:tcW w:w="4079"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劳动年龄人口平均受教育年限（年）</w:t>
            </w:r>
          </w:p>
        </w:tc>
        <w:tc>
          <w:tcPr>
            <w:tcW w:w="1008" w:type="dxa"/>
            <w:vAlign w:val="center"/>
          </w:tcPr>
          <w:p>
            <w:pPr>
              <w:spacing w:line="240" w:lineRule="exact"/>
              <w:contextualSpacing/>
              <w:jc w:val="center"/>
              <w:textAlignment w:val="center"/>
              <w:rPr>
                <w:rFonts w:ascii="Times New Roman" w:hAnsi="Times New Roman"/>
                <w:sz w:val="24"/>
              </w:rPr>
            </w:pPr>
            <w:r>
              <w:rPr>
                <w:rFonts w:ascii="Times New Roman" w:hAnsi="Times New Roman"/>
                <w:sz w:val="24"/>
              </w:rPr>
              <w:t>10.</w:t>
            </w:r>
            <w:r>
              <w:rPr>
                <w:rFonts w:hint="eastAsia" w:ascii="Times New Roman" w:hAnsi="Times New Roman"/>
                <w:sz w:val="24"/>
              </w:rPr>
              <w:t>6</w:t>
            </w:r>
          </w:p>
        </w:tc>
        <w:tc>
          <w:tcPr>
            <w:tcW w:w="1178" w:type="dxa"/>
            <w:vAlign w:val="center"/>
          </w:tcPr>
          <w:p>
            <w:pPr>
              <w:spacing w:line="240" w:lineRule="exact"/>
              <w:contextualSpacing/>
              <w:jc w:val="center"/>
              <w:textAlignment w:val="center"/>
              <w:rPr>
                <w:rFonts w:ascii="Times New Roman" w:hAnsi="Times New Roman"/>
                <w:sz w:val="24"/>
              </w:rPr>
            </w:pPr>
            <w:r>
              <w:rPr>
                <w:rFonts w:ascii="Times New Roman" w:hAnsi="Times New Roman"/>
                <w:sz w:val="24"/>
              </w:rPr>
              <w:t>11.</w:t>
            </w:r>
            <w:r>
              <w:rPr>
                <w:rFonts w:hint="eastAsia" w:ascii="Times New Roman" w:hAnsi="Times New Roman"/>
                <w:sz w:val="24"/>
              </w:rPr>
              <w:t>3</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restart"/>
            <w:vAlign w:val="center"/>
          </w:tcPr>
          <w:p>
            <w:pPr>
              <w:spacing w:line="240" w:lineRule="exact"/>
              <w:contextualSpacing/>
              <w:jc w:val="center"/>
              <w:textAlignment w:val="center"/>
              <w:rPr>
                <w:rFonts w:ascii="Times New Roman" w:hAnsi="Times New Roman"/>
                <w:bCs/>
                <w:sz w:val="24"/>
              </w:rPr>
            </w:pPr>
            <w:r>
              <w:rPr>
                <w:rFonts w:hint="eastAsia" w:ascii="Times New Roman" w:hAnsi="Times New Roman"/>
                <w:bCs/>
                <w:sz w:val="24"/>
              </w:rPr>
              <w:t>基本</w:t>
            </w:r>
          </w:p>
          <w:p>
            <w:pPr>
              <w:spacing w:line="240" w:lineRule="exact"/>
              <w:contextualSpacing/>
              <w:jc w:val="center"/>
              <w:textAlignment w:val="center"/>
              <w:rPr>
                <w:rFonts w:ascii="Times New Roman" w:hAnsi="Times New Roman"/>
                <w:bCs/>
                <w:sz w:val="24"/>
              </w:rPr>
            </w:pPr>
            <w:r>
              <w:rPr>
                <w:rFonts w:hint="eastAsia" w:ascii="Times New Roman" w:hAnsi="Times New Roman"/>
                <w:bCs/>
                <w:sz w:val="24"/>
              </w:rPr>
              <w:t>公共服务</w:t>
            </w:r>
          </w:p>
        </w:tc>
        <w:tc>
          <w:tcPr>
            <w:tcW w:w="1179" w:type="dxa"/>
            <w:vMerge w:val="restart"/>
            <w:vAlign w:val="center"/>
          </w:tcPr>
          <w:p>
            <w:pPr>
              <w:spacing w:line="240" w:lineRule="exact"/>
              <w:contextualSpacing/>
              <w:jc w:val="center"/>
              <w:textAlignment w:val="center"/>
              <w:rPr>
                <w:rFonts w:ascii="Times New Roman" w:hAnsi="Times New Roman"/>
                <w:bCs/>
                <w:sz w:val="24"/>
              </w:rPr>
            </w:pPr>
            <w:r>
              <w:rPr>
                <w:rFonts w:hint="eastAsia" w:ascii="Times New Roman" w:hAnsi="Times New Roman"/>
                <w:bCs/>
                <w:sz w:val="24"/>
              </w:rPr>
              <w:t>幼儿照护</w:t>
            </w:r>
          </w:p>
        </w:tc>
        <w:tc>
          <w:tcPr>
            <w:tcW w:w="4079"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以乡（镇、街道）为单位适龄儿童免疫规划疫苗接种率</w:t>
            </w:r>
          </w:p>
        </w:tc>
        <w:tc>
          <w:tcPr>
            <w:tcW w:w="1008" w:type="dxa"/>
            <w:vAlign w:val="center"/>
          </w:tcPr>
          <w:p>
            <w:pPr>
              <w:spacing w:line="240" w:lineRule="exact"/>
              <w:contextualSpacing/>
              <w:jc w:val="center"/>
              <w:textAlignment w:val="center"/>
              <w:rPr>
                <w:rFonts w:ascii="Times New Roman" w:hAnsi="Times New Roman"/>
                <w:sz w:val="24"/>
              </w:rPr>
            </w:pPr>
            <w:r>
              <w:rPr>
                <w:rFonts w:ascii="Times New Roman" w:hAnsi="Times New Roman"/>
                <w:sz w:val="24"/>
              </w:rPr>
              <w:t xml:space="preserve">≥90% </w:t>
            </w:r>
          </w:p>
        </w:tc>
        <w:tc>
          <w:tcPr>
            <w:tcW w:w="1178" w:type="dxa"/>
            <w:vAlign w:val="center"/>
          </w:tcPr>
          <w:p>
            <w:pPr>
              <w:spacing w:line="240" w:lineRule="exact"/>
              <w:contextualSpacing/>
              <w:jc w:val="center"/>
              <w:textAlignment w:val="center"/>
              <w:rPr>
                <w:rFonts w:ascii="Times New Roman" w:hAnsi="Times New Roman"/>
                <w:sz w:val="24"/>
              </w:rPr>
            </w:pPr>
            <w:r>
              <w:rPr>
                <w:rFonts w:ascii="Times New Roman" w:hAnsi="Times New Roman"/>
                <w:sz w:val="24"/>
              </w:rPr>
              <w:t xml:space="preserve">≥90% </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spacing w:line="240" w:lineRule="exact"/>
              <w:contextualSpacing/>
              <w:jc w:val="center"/>
              <w:textAlignment w:val="center"/>
              <w:rPr>
                <w:rFonts w:ascii="Times New Roman" w:hAnsi="Times New Roman"/>
                <w:bCs/>
                <w:sz w:val="24"/>
              </w:rPr>
            </w:pPr>
          </w:p>
        </w:tc>
        <w:tc>
          <w:tcPr>
            <w:tcW w:w="1179" w:type="dxa"/>
            <w:vMerge w:val="continue"/>
            <w:vAlign w:val="center"/>
          </w:tcPr>
          <w:p>
            <w:pPr>
              <w:spacing w:line="240" w:lineRule="exact"/>
              <w:contextualSpacing/>
              <w:jc w:val="center"/>
              <w:textAlignment w:val="center"/>
              <w:rPr>
                <w:rFonts w:ascii="Times New Roman" w:hAnsi="Times New Roman"/>
                <w:bCs/>
                <w:sz w:val="24"/>
              </w:rPr>
            </w:pPr>
          </w:p>
        </w:tc>
        <w:tc>
          <w:tcPr>
            <w:tcW w:w="4079"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孤儿和事实无人抚养儿童保障覆盖率</w:t>
            </w:r>
          </w:p>
        </w:tc>
        <w:tc>
          <w:tcPr>
            <w:tcW w:w="1008" w:type="dxa"/>
            <w:vAlign w:val="center"/>
          </w:tcPr>
          <w:p>
            <w:pPr>
              <w:spacing w:line="240" w:lineRule="exact"/>
              <w:contextualSpacing/>
              <w:jc w:val="center"/>
              <w:textAlignment w:val="center"/>
              <w:rPr>
                <w:rFonts w:ascii="Times New Roman" w:hAnsi="Times New Roman"/>
                <w:sz w:val="24"/>
              </w:rPr>
            </w:pPr>
            <w:r>
              <w:rPr>
                <w:rFonts w:ascii="Times New Roman" w:hAnsi="Times New Roman"/>
                <w:sz w:val="24"/>
              </w:rPr>
              <w:t>≥9</w:t>
            </w:r>
            <w:r>
              <w:rPr>
                <w:rFonts w:hint="eastAsia" w:ascii="Times New Roman" w:hAnsi="Times New Roman"/>
                <w:sz w:val="24"/>
              </w:rPr>
              <w:t>9</w:t>
            </w:r>
            <w:r>
              <w:rPr>
                <w:rFonts w:ascii="Times New Roman" w:hAnsi="Times New Roman"/>
                <w:sz w:val="24"/>
              </w:rPr>
              <w:t>%</w:t>
            </w:r>
          </w:p>
        </w:tc>
        <w:tc>
          <w:tcPr>
            <w:tcW w:w="117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应保尽保</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spacing w:line="240" w:lineRule="exact"/>
              <w:contextualSpacing/>
              <w:jc w:val="center"/>
              <w:textAlignment w:val="center"/>
              <w:rPr>
                <w:rFonts w:ascii="Times New Roman" w:hAnsi="Times New Roman"/>
                <w:bCs/>
                <w:sz w:val="24"/>
              </w:rPr>
            </w:pPr>
          </w:p>
        </w:tc>
        <w:tc>
          <w:tcPr>
            <w:tcW w:w="1179" w:type="dxa"/>
            <w:vMerge w:val="restart"/>
            <w:vAlign w:val="center"/>
          </w:tcPr>
          <w:p>
            <w:pPr>
              <w:spacing w:line="240" w:lineRule="exact"/>
              <w:contextualSpacing/>
              <w:jc w:val="center"/>
              <w:textAlignment w:val="center"/>
              <w:rPr>
                <w:rFonts w:ascii="Times New Roman" w:hAnsi="Times New Roman"/>
                <w:bCs/>
                <w:sz w:val="24"/>
              </w:rPr>
            </w:pPr>
            <w:r>
              <w:rPr>
                <w:rFonts w:hint="eastAsia" w:ascii="Times New Roman" w:hAnsi="Times New Roman"/>
                <w:bCs/>
                <w:sz w:val="24"/>
              </w:rPr>
              <w:t>现代教育</w:t>
            </w:r>
          </w:p>
        </w:tc>
        <w:tc>
          <w:tcPr>
            <w:tcW w:w="4079"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九年义务教育巩固率</w:t>
            </w:r>
          </w:p>
        </w:tc>
        <w:tc>
          <w:tcPr>
            <w:tcW w:w="1008" w:type="dxa"/>
            <w:vAlign w:val="center"/>
          </w:tcPr>
          <w:p>
            <w:pPr>
              <w:spacing w:line="240" w:lineRule="exact"/>
              <w:contextualSpacing/>
              <w:jc w:val="center"/>
              <w:textAlignment w:val="center"/>
              <w:rPr>
                <w:rFonts w:ascii="Times New Roman" w:hAnsi="Times New Roman"/>
                <w:sz w:val="24"/>
              </w:rPr>
            </w:pPr>
            <w:r>
              <w:rPr>
                <w:rFonts w:ascii="Times New Roman" w:hAnsi="Times New Roman"/>
                <w:sz w:val="24"/>
              </w:rPr>
              <w:t>96</w:t>
            </w:r>
            <w:r>
              <w:rPr>
                <w:rFonts w:hint="eastAsia" w:ascii="Times New Roman" w:hAnsi="Times New Roman"/>
                <w:sz w:val="24"/>
              </w:rPr>
              <w:t>％</w:t>
            </w:r>
          </w:p>
        </w:tc>
        <w:tc>
          <w:tcPr>
            <w:tcW w:w="1178" w:type="dxa"/>
            <w:vAlign w:val="center"/>
          </w:tcPr>
          <w:p>
            <w:pPr>
              <w:spacing w:line="240" w:lineRule="exact"/>
              <w:contextualSpacing/>
              <w:jc w:val="center"/>
              <w:textAlignment w:val="center"/>
              <w:rPr>
                <w:rFonts w:ascii="Times New Roman" w:hAnsi="Times New Roman"/>
                <w:sz w:val="24"/>
              </w:rPr>
            </w:pPr>
            <w:r>
              <w:rPr>
                <w:rFonts w:ascii="Times New Roman" w:hAnsi="Times New Roman"/>
                <w:sz w:val="24"/>
              </w:rPr>
              <w:t>&gt;96</w:t>
            </w:r>
            <w:r>
              <w:rPr>
                <w:rFonts w:hint="eastAsia" w:ascii="Times New Roman" w:hAnsi="Times New Roman"/>
                <w:sz w:val="24"/>
              </w:rPr>
              <w:t>％</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spacing w:line="240" w:lineRule="exact"/>
              <w:contextualSpacing/>
              <w:jc w:val="center"/>
              <w:textAlignment w:val="center"/>
              <w:rPr>
                <w:rFonts w:ascii="Times New Roman" w:hAnsi="Times New Roman"/>
                <w:bCs/>
                <w:sz w:val="24"/>
              </w:rPr>
            </w:pPr>
          </w:p>
        </w:tc>
        <w:tc>
          <w:tcPr>
            <w:tcW w:w="1179" w:type="dxa"/>
            <w:vMerge w:val="continue"/>
            <w:vAlign w:val="center"/>
          </w:tcPr>
          <w:p>
            <w:pPr>
              <w:spacing w:line="240" w:lineRule="exact"/>
              <w:contextualSpacing/>
              <w:jc w:val="center"/>
              <w:textAlignment w:val="center"/>
              <w:rPr>
                <w:rFonts w:ascii="Times New Roman" w:hAnsi="Times New Roman"/>
                <w:bCs/>
                <w:sz w:val="24"/>
              </w:rPr>
            </w:pPr>
          </w:p>
        </w:tc>
        <w:tc>
          <w:tcPr>
            <w:tcW w:w="4079"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义务教育家庭经济困难学生生活补助</w:t>
            </w:r>
          </w:p>
        </w:tc>
        <w:tc>
          <w:tcPr>
            <w:tcW w:w="100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100％</w:t>
            </w:r>
          </w:p>
        </w:tc>
        <w:tc>
          <w:tcPr>
            <w:tcW w:w="117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100％</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spacing w:line="240" w:lineRule="exact"/>
              <w:contextualSpacing/>
              <w:jc w:val="center"/>
              <w:textAlignment w:val="center"/>
              <w:rPr>
                <w:rFonts w:ascii="Times New Roman" w:hAnsi="Times New Roman"/>
                <w:bCs/>
                <w:sz w:val="24"/>
              </w:rPr>
            </w:pPr>
          </w:p>
        </w:tc>
        <w:tc>
          <w:tcPr>
            <w:tcW w:w="1179" w:type="dxa"/>
            <w:vMerge w:val="restart"/>
            <w:vAlign w:val="center"/>
          </w:tcPr>
          <w:p>
            <w:pPr>
              <w:spacing w:line="240" w:lineRule="exact"/>
              <w:contextualSpacing/>
              <w:jc w:val="center"/>
              <w:textAlignment w:val="center"/>
              <w:rPr>
                <w:rFonts w:ascii="Times New Roman" w:hAnsi="Times New Roman"/>
                <w:bCs/>
                <w:sz w:val="24"/>
              </w:rPr>
            </w:pPr>
            <w:r>
              <w:rPr>
                <w:rFonts w:hint="eastAsia" w:ascii="Times New Roman" w:hAnsi="Times New Roman"/>
                <w:bCs/>
                <w:sz w:val="24"/>
              </w:rPr>
              <w:t>就业创业</w:t>
            </w:r>
          </w:p>
        </w:tc>
        <w:tc>
          <w:tcPr>
            <w:tcW w:w="4079"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城镇新增就业人数（万人）</w:t>
            </w:r>
          </w:p>
        </w:tc>
        <w:tc>
          <w:tcPr>
            <w:tcW w:w="100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37</w:t>
            </w:r>
          </w:p>
        </w:tc>
        <w:tc>
          <w:tcPr>
            <w:tcW w:w="117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40</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spacing w:line="240" w:lineRule="exact"/>
              <w:contextualSpacing/>
              <w:jc w:val="center"/>
              <w:textAlignment w:val="center"/>
              <w:rPr>
                <w:rFonts w:ascii="Times New Roman" w:hAnsi="Times New Roman"/>
                <w:bCs/>
                <w:sz w:val="24"/>
              </w:rPr>
            </w:pPr>
          </w:p>
        </w:tc>
        <w:tc>
          <w:tcPr>
            <w:tcW w:w="1179" w:type="dxa"/>
            <w:vMerge w:val="continue"/>
            <w:vAlign w:val="center"/>
          </w:tcPr>
          <w:p>
            <w:pPr>
              <w:spacing w:line="240" w:lineRule="exact"/>
              <w:contextualSpacing/>
              <w:jc w:val="center"/>
              <w:textAlignment w:val="center"/>
              <w:rPr>
                <w:rFonts w:ascii="Times New Roman" w:hAnsi="Times New Roman"/>
                <w:bCs/>
                <w:sz w:val="24"/>
              </w:rPr>
            </w:pPr>
          </w:p>
        </w:tc>
        <w:tc>
          <w:tcPr>
            <w:tcW w:w="4079"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持证人员总量（万人）</w:t>
            </w:r>
          </w:p>
        </w:tc>
        <w:tc>
          <w:tcPr>
            <w:tcW w:w="100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w:t>
            </w:r>
          </w:p>
        </w:tc>
        <w:tc>
          <w:tcPr>
            <w:tcW w:w="117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246</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spacing w:line="240" w:lineRule="exact"/>
              <w:contextualSpacing/>
              <w:jc w:val="center"/>
              <w:textAlignment w:val="center"/>
              <w:rPr>
                <w:rFonts w:ascii="Times New Roman" w:hAnsi="Times New Roman"/>
                <w:bCs/>
                <w:sz w:val="24"/>
              </w:rPr>
            </w:pPr>
          </w:p>
        </w:tc>
        <w:tc>
          <w:tcPr>
            <w:tcW w:w="1179" w:type="dxa"/>
            <w:vMerge w:val="continue"/>
            <w:vAlign w:val="center"/>
          </w:tcPr>
          <w:p>
            <w:pPr>
              <w:spacing w:line="240" w:lineRule="exact"/>
              <w:contextualSpacing/>
              <w:jc w:val="center"/>
              <w:textAlignment w:val="center"/>
              <w:rPr>
                <w:rFonts w:ascii="Times New Roman" w:hAnsi="Times New Roman"/>
                <w:bCs/>
                <w:sz w:val="24"/>
              </w:rPr>
            </w:pPr>
          </w:p>
        </w:tc>
        <w:tc>
          <w:tcPr>
            <w:tcW w:w="4079" w:type="dxa"/>
            <w:vAlign w:val="center"/>
          </w:tcPr>
          <w:p>
            <w:pPr>
              <w:overflowPunct w:val="0"/>
              <w:spacing w:line="240" w:lineRule="exact"/>
              <w:ind w:left="42"/>
              <w:contextualSpacing/>
              <w:jc w:val="center"/>
              <w:textAlignment w:val="center"/>
              <w:rPr>
                <w:rFonts w:ascii="Times New Roman" w:hAnsi="Times New Roman"/>
                <w:sz w:val="24"/>
              </w:rPr>
            </w:pPr>
            <w:r>
              <w:rPr>
                <w:rFonts w:ascii="Times New Roman" w:hAnsi="Times New Roman"/>
                <w:sz w:val="24"/>
              </w:rPr>
              <w:t>城镇调查失业率（%）</w:t>
            </w:r>
          </w:p>
        </w:tc>
        <w:tc>
          <w:tcPr>
            <w:tcW w:w="1008" w:type="dxa"/>
            <w:vAlign w:val="center"/>
          </w:tcPr>
          <w:p>
            <w:pPr>
              <w:spacing w:line="240" w:lineRule="exact"/>
              <w:contextualSpacing/>
              <w:jc w:val="center"/>
              <w:textAlignment w:val="center"/>
              <w:rPr>
                <w:rFonts w:ascii="Times New Roman" w:hAnsi="Times New Roman"/>
                <w:sz w:val="24"/>
              </w:rPr>
            </w:pPr>
            <w:r>
              <w:rPr>
                <w:rFonts w:ascii="Times New Roman" w:hAnsi="Times New Roman"/>
                <w:sz w:val="24"/>
              </w:rPr>
              <w:t>&lt;</w:t>
            </w:r>
            <w:r>
              <w:rPr>
                <w:rFonts w:hint="eastAsia" w:ascii="Times New Roman" w:hAnsi="Times New Roman"/>
                <w:sz w:val="24"/>
              </w:rPr>
              <w:t xml:space="preserve"> 4</w:t>
            </w:r>
          </w:p>
        </w:tc>
        <w:tc>
          <w:tcPr>
            <w:tcW w:w="1178" w:type="dxa"/>
            <w:vAlign w:val="center"/>
          </w:tcPr>
          <w:p>
            <w:pPr>
              <w:spacing w:line="240" w:lineRule="exact"/>
              <w:contextualSpacing/>
              <w:jc w:val="center"/>
              <w:textAlignment w:val="center"/>
              <w:rPr>
                <w:sz w:val="24"/>
                <w:szCs w:val="24"/>
              </w:rPr>
            </w:pPr>
            <w:r>
              <w:rPr>
                <w:rFonts w:ascii="Times New Roman" w:hAnsi="Times New Roman"/>
                <w:sz w:val="24"/>
              </w:rPr>
              <w:t>&lt;</w:t>
            </w:r>
            <w:r>
              <w:rPr>
                <w:rFonts w:hint="eastAsia" w:ascii="Times New Roman" w:hAnsi="Times New Roman"/>
                <w:sz w:val="24"/>
              </w:rPr>
              <w:t xml:space="preserve"> 5</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spacing w:line="240" w:lineRule="exact"/>
              <w:contextualSpacing/>
              <w:jc w:val="center"/>
              <w:textAlignment w:val="center"/>
              <w:rPr>
                <w:rFonts w:ascii="Times New Roman" w:hAnsi="Times New Roman"/>
                <w:bCs/>
                <w:sz w:val="24"/>
              </w:rPr>
            </w:pPr>
          </w:p>
        </w:tc>
        <w:tc>
          <w:tcPr>
            <w:tcW w:w="1179" w:type="dxa"/>
            <w:vMerge w:val="restart"/>
            <w:vAlign w:val="center"/>
          </w:tcPr>
          <w:p>
            <w:pPr>
              <w:spacing w:line="240" w:lineRule="exact"/>
              <w:contextualSpacing/>
              <w:jc w:val="center"/>
              <w:textAlignment w:val="center"/>
              <w:rPr>
                <w:rFonts w:ascii="Times New Roman" w:hAnsi="Times New Roman"/>
                <w:bCs/>
                <w:sz w:val="24"/>
              </w:rPr>
            </w:pPr>
            <w:r>
              <w:rPr>
                <w:rFonts w:hint="eastAsia" w:ascii="Times New Roman" w:hAnsi="Times New Roman"/>
                <w:bCs/>
                <w:sz w:val="24"/>
              </w:rPr>
              <w:t>卫生健康</w:t>
            </w:r>
          </w:p>
        </w:tc>
        <w:tc>
          <w:tcPr>
            <w:tcW w:w="4079"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每千常住人口医疗卫生机构床位数</w:t>
            </w:r>
            <w:r>
              <w:rPr>
                <w:rFonts w:ascii="Times New Roman" w:hAnsi="Times New Roman"/>
                <w:sz w:val="24"/>
              </w:rPr>
              <w:t>(</w:t>
            </w:r>
            <w:r>
              <w:rPr>
                <w:rFonts w:hint="eastAsia" w:ascii="Times New Roman" w:hAnsi="Times New Roman"/>
                <w:sz w:val="24"/>
              </w:rPr>
              <w:t>张</w:t>
            </w:r>
            <w:r>
              <w:rPr>
                <w:rFonts w:ascii="Times New Roman" w:hAnsi="Times New Roman"/>
                <w:sz w:val="24"/>
              </w:rPr>
              <w:t>)</w:t>
            </w:r>
          </w:p>
        </w:tc>
        <w:tc>
          <w:tcPr>
            <w:tcW w:w="1008" w:type="dxa"/>
            <w:vAlign w:val="center"/>
          </w:tcPr>
          <w:p>
            <w:pPr>
              <w:spacing w:line="240" w:lineRule="exact"/>
              <w:contextualSpacing/>
              <w:jc w:val="center"/>
              <w:textAlignment w:val="center"/>
              <w:rPr>
                <w:rFonts w:ascii="Times New Roman" w:hAnsi="Times New Roman"/>
                <w:sz w:val="24"/>
              </w:rPr>
            </w:pPr>
            <w:r>
              <w:rPr>
                <w:rFonts w:ascii="Times New Roman" w:hAnsi="Times New Roman"/>
                <w:sz w:val="24"/>
              </w:rPr>
              <w:t>6.</w:t>
            </w:r>
            <w:r>
              <w:rPr>
                <w:rFonts w:hint="eastAsia" w:ascii="Times New Roman" w:hAnsi="Times New Roman"/>
                <w:sz w:val="24"/>
              </w:rPr>
              <w:t>56</w:t>
            </w:r>
          </w:p>
        </w:tc>
        <w:tc>
          <w:tcPr>
            <w:tcW w:w="1178" w:type="dxa"/>
            <w:vAlign w:val="center"/>
          </w:tcPr>
          <w:p>
            <w:pPr>
              <w:spacing w:line="240" w:lineRule="exact"/>
              <w:contextualSpacing/>
              <w:jc w:val="center"/>
              <w:textAlignment w:val="center"/>
              <w:rPr>
                <w:rFonts w:ascii="Times New Roman" w:hAnsi="Times New Roman"/>
                <w:sz w:val="24"/>
              </w:rPr>
            </w:pPr>
            <w:r>
              <w:rPr>
                <w:rFonts w:ascii="Times New Roman" w:hAnsi="Times New Roman"/>
                <w:sz w:val="24"/>
              </w:rPr>
              <w:t>7.7</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spacing w:line="240" w:lineRule="exact"/>
              <w:contextualSpacing/>
              <w:jc w:val="center"/>
              <w:textAlignment w:val="center"/>
              <w:rPr>
                <w:rFonts w:ascii="Times New Roman" w:hAnsi="Times New Roman"/>
                <w:bCs/>
                <w:sz w:val="24"/>
              </w:rPr>
            </w:pPr>
          </w:p>
        </w:tc>
        <w:tc>
          <w:tcPr>
            <w:tcW w:w="1179" w:type="dxa"/>
            <w:vMerge w:val="continue"/>
            <w:vAlign w:val="center"/>
          </w:tcPr>
          <w:p>
            <w:pPr>
              <w:spacing w:line="240" w:lineRule="exact"/>
              <w:contextualSpacing/>
              <w:jc w:val="center"/>
              <w:textAlignment w:val="center"/>
              <w:rPr>
                <w:rFonts w:ascii="Times New Roman" w:hAnsi="Times New Roman"/>
                <w:bCs/>
                <w:sz w:val="24"/>
              </w:rPr>
            </w:pPr>
          </w:p>
        </w:tc>
        <w:tc>
          <w:tcPr>
            <w:tcW w:w="4079"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每千人口拥有执业（助理）医师（人）</w:t>
            </w:r>
          </w:p>
        </w:tc>
        <w:tc>
          <w:tcPr>
            <w:tcW w:w="100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3.11</w:t>
            </w:r>
          </w:p>
        </w:tc>
        <w:tc>
          <w:tcPr>
            <w:tcW w:w="1178" w:type="dxa"/>
            <w:vAlign w:val="center"/>
          </w:tcPr>
          <w:p>
            <w:pPr>
              <w:spacing w:line="240" w:lineRule="exact"/>
              <w:contextualSpacing/>
              <w:jc w:val="center"/>
              <w:textAlignment w:val="center"/>
              <w:rPr>
                <w:rFonts w:ascii="Times New Roman" w:hAnsi="Times New Roman"/>
                <w:sz w:val="24"/>
              </w:rPr>
            </w:pPr>
            <w:r>
              <w:rPr>
                <w:rFonts w:ascii="Times New Roman" w:hAnsi="Times New Roman"/>
                <w:sz w:val="24"/>
              </w:rPr>
              <w:t>3.6</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spacing w:line="240" w:lineRule="exact"/>
              <w:contextualSpacing/>
              <w:jc w:val="center"/>
              <w:textAlignment w:val="center"/>
              <w:rPr>
                <w:rFonts w:ascii="Times New Roman" w:hAnsi="Times New Roman"/>
                <w:bCs/>
                <w:sz w:val="24"/>
              </w:rPr>
            </w:pPr>
          </w:p>
        </w:tc>
        <w:tc>
          <w:tcPr>
            <w:tcW w:w="1179" w:type="dxa"/>
            <w:vMerge w:val="continue"/>
            <w:vAlign w:val="center"/>
          </w:tcPr>
          <w:p>
            <w:pPr>
              <w:spacing w:line="240" w:lineRule="exact"/>
              <w:contextualSpacing/>
              <w:jc w:val="center"/>
              <w:textAlignment w:val="center"/>
              <w:rPr>
                <w:rFonts w:ascii="Times New Roman" w:hAnsi="Times New Roman"/>
                <w:bCs/>
                <w:sz w:val="24"/>
              </w:rPr>
            </w:pPr>
          </w:p>
        </w:tc>
        <w:tc>
          <w:tcPr>
            <w:tcW w:w="4079"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每千常住人口注册护士数（人）</w:t>
            </w:r>
          </w:p>
        </w:tc>
        <w:tc>
          <w:tcPr>
            <w:tcW w:w="1008" w:type="dxa"/>
            <w:vAlign w:val="center"/>
          </w:tcPr>
          <w:p>
            <w:pPr>
              <w:spacing w:line="240" w:lineRule="exact"/>
              <w:contextualSpacing/>
              <w:jc w:val="center"/>
              <w:textAlignment w:val="center"/>
              <w:rPr>
                <w:rFonts w:ascii="Times New Roman" w:hAnsi="Times New Roman"/>
                <w:sz w:val="24"/>
              </w:rPr>
            </w:pPr>
            <w:r>
              <w:rPr>
                <w:rFonts w:ascii="Times New Roman" w:hAnsi="Times New Roman"/>
                <w:sz w:val="24"/>
              </w:rPr>
              <w:t>3.</w:t>
            </w:r>
            <w:r>
              <w:rPr>
                <w:rFonts w:hint="eastAsia" w:ascii="Times New Roman" w:hAnsi="Times New Roman"/>
                <w:sz w:val="24"/>
              </w:rPr>
              <w:t>42</w:t>
            </w:r>
          </w:p>
        </w:tc>
        <w:tc>
          <w:tcPr>
            <w:tcW w:w="1178" w:type="dxa"/>
            <w:vAlign w:val="center"/>
          </w:tcPr>
          <w:p>
            <w:pPr>
              <w:spacing w:line="240" w:lineRule="exact"/>
              <w:contextualSpacing/>
              <w:jc w:val="center"/>
              <w:textAlignment w:val="center"/>
              <w:rPr>
                <w:rFonts w:ascii="Times New Roman" w:hAnsi="Times New Roman"/>
                <w:sz w:val="24"/>
              </w:rPr>
            </w:pPr>
            <w:r>
              <w:rPr>
                <w:rFonts w:ascii="Times New Roman" w:hAnsi="Times New Roman"/>
                <w:sz w:val="24"/>
              </w:rPr>
              <w:t>&gt;4.3</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spacing w:line="240" w:lineRule="exact"/>
              <w:contextualSpacing/>
              <w:jc w:val="center"/>
              <w:textAlignment w:val="center"/>
              <w:rPr>
                <w:rFonts w:ascii="Times New Roman" w:hAnsi="Times New Roman"/>
                <w:bCs/>
                <w:sz w:val="24"/>
              </w:rPr>
            </w:pPr>
          </w:p>
        </w:tc>
        <w:tc>
          <w:tcPr>
            <w:tcW w:w="1179" w:type="dxa"/>
            <w:vMerge w:val="continue"/>
            <w:vAlign w:val="center"/>
          </w:tcPr>
          <w:p>
            <w:pPr>
              <w:spacing w:line="240" w:lineRule="exact"/>
              <w:contextualSpacing/>
              <w:jc w:val="center"/>
              <w:textAlignment w:val="center"/>
              <w:rPr>
                <w:rFonts w:ascii="Times New Roman" w:hAnsi="Times New Roman"/>
                <w:bCs/>
                <w:sz w:val="24"/>
              </w:rPr>
            </w:pPr>
          </w:p>
        </w:tc>
        <w:tc>
          <w:tcPr>
            <w:tcW w:w="4079"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基本医疗保险参保率</w:t>
            </w:r>
          </w:p>
        </w:tc>
        <w:tc>
          <w:tcPr>
            <w:tcW w:w="1008" w:type="dxa"/>
            <w:vAlign w:val="center"/>
          </w:tcPr>
          <w:p>
            <w:pPr>
              <w:spacing w:line="240" w:lineRule="exact"/>
              <w:contextualSpacing/>
              <w:jc w:val="center"/>
              <w:textAlignment w:val="center"/>
              <w:rPr>
                <w:rFonts w:ascii="Times New Roman" w:hAnsi="Times New Roman"/>
                <w:sz w:val="24"/>
              </w:rPr>
            </w:pPr>
            <w:r>
              <w:rPr>
                <w:rFonts w:ascii="Times New Roman" w:hAnsi="Times New Roman"/>
                <w:sz w:val="24"/>
              </w:rPr>
              <w:t>96%</w:t>
            </w:r>
          </w:p>
        </w:tc>
        <w:tc>
          <w:tcPr>
            <w:tcW w:w="1178" w:type="dxa"/>
            <w:vAlign w:val="center"/>
          </w:tcPr>
          <w:p>
            <w:pPr>
              <w:spacing w:line="240" w:lineRule="exact"/>
              <w:contextualSpacing/>
              <w:jc w:val="center"/>
              <w:textAlignment w:val="center"/>
              <w:rPr>
                <w:rFonts w:ascii="Times New Roman" w:hAnsi="Times New Roman"/>
                <w:sz w:val="24"/>
              </w:rPr>
            </w:pPr>
            <w:r>
              <w:rPr>
                <w:rFonts w:ascii="Times New Roman" w:hAnsi="Times New Roman"/>
                <w:sz w:val="24"/>
              </w:rPr>
              <w:t>9</w:t>
            </w:r>
            <w:r>
              <w:rPr>
                <w:rFonts w:hint="eastAsia" w:ascii="Times New Roman" w:hAnsi="Times New Roman"/>
                <w:sz w:val="24"/>
              </w:rPr>
              <w:t>8</w:t>
            </w:r>
            <w:r>
              <w:rPr>
                <w:rFonts w:ascii="Times New Roman" w:hAnsi="Times New Roman"/>
                <w:sz w:val="24"/>
              </w:rPr>
              <w:t>%</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spacing w:line="240" w:lineRule="exact"/>
              <w:contextualSpacing/>
              <w:jc w:val="center"/>
              <w:textAlignment w:val="center"/>
              <w:rPr>
                <w:rFonts w:ascii="Times New Roman" w:hAnsi="Times New Roman"/>
                <w:bCs/>
                <w:sz w:val="24"/>
              </w:rPr>
            </w:pPr>
          </w:p>
        </w:tc>
        <w:tc>
          <w:tcPr>
            <w:tcW w:w="1179" w:type="dxa"/>
            <w:vMerge w:val="restart"/>
            <w:vAlign w:val="center"/>
          </w:tcPr>
          <w:p>
            <w:pPr>
              <w:spacing w:line="240" w:lineRule="exact"/>
              <w:contextualSpacing/>
              <w:jc w:val="center"/>
              <w:textAlignment w:val="center"/>
              <w:rPr>
                <w:rFonts w:ascii="Times New Roman" w:hAnsi="Times New Roman"/>
                <w:bCs/>
                <w:sz w:val="24"/>
              </w:rPr>
            </w:pPr>
            <w:r>
              <w:rPr>
                <w:rFonts w:hint="eastAsia" w:ascii="Times New Roman" w:hAnsi="Times New Roman"/>
                <w:bCs/>
                <w:sz w:val="24"/>
              </w:rPr>
              <w:t>养老服务</w:t>
            </w:r>
          </w:p>
        </w:tc>
        <w:tc>
          <w:tcPr>
            <w:tcW w:w="4079"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基本养老保险参保率</w:t>
            </w:r>
          </w:p>
        </w:tc>
        <w:tc>
          <w:tcPr>
            <w:tcW w:w="1008" w:type="dxa"/>
            <w:vAlign w:val="center"/>
          </w:tcPr>
          <w:p>
            <w:pPr>
              <w:spacing w:line="240" w:lineRule="exact"/>
              <w:contextualSpacing/>
              <w:jc w:val="center"/>
              <w:textAlignment w:val="center"/>
              <w:rPr>
                <w:rFonts w:ascii="Times New Roman" w:hAnsi="Times New Roman"/>
                <w:sz w:val="24"/>
              </w:rPr>
            </w:pPr>
            <w:r>
              <w:rPr>
                <w:rFonts w:ascii="Times New Roman" w:hAnsi="Times New Roman"/>
                <w:sz w:val="24"/>
              </w:rPr>
              <w:t>9</w:t>
            </w:r>
            <w:r>
              <w:rPr>
                <w:rFonts w:hint="eastAsia" w:ascii="Times New Roman" w:hAnsi="Times New Roman"/>
                <w:sz w:val="24"/>
              </w:rPr>
              <w:t>5.7％</w:t>
            </w:r>
          </w:p>
        </w:tc>
        <w:tc>
          <w:tcPr>
            <w:tcW w:w="117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98％</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spacing w:line="240" w:lineRule="exact"/>
              <w:contextualSpacing/>
              <w:jc w:val="center"/>
              <w:textAlignment w:val="center"/>
              <w:rPr>
                <w:rFonts w:ascii="Times New Roman" w:hAnsi="Times New Roman"/>
                <w:bCs/>
                <w:sz w:val="24"/>
              </w:rPr>
            </w:pPr>
          </w:p>
        </w:tc>
        <w:tc>
          <w:tcPr>
            <w:tcW w:w="1179" w:type="dxa"/>
            <w:vMerge w:val="continue"/>
            <w:vAlign w:val="center"/>
          </w:tcPr>
          <w:p>
            <w:pPr>
              <w:spacing w:line="240" w:lineRule="exact"/>
              <w:contextualSpacing/>
              <w:jc w:val="center"/>
              <w:textAlignment w:val="center"/>
              <w:rPr>
                <w:rFonts w:ascii="Times New Roman" w:hAnsi="Times New Roman"/>
                <w:bCs/>
                <w:sz w:val="24"/>
              </w:rPr>
            </w:pPr>
          </w:p>
        </w:tc>
        <w:tc>
          <w:tcPr>
            <w:tcW w:w="4079"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养老机构医养结合率</w:t>
            </w:r>
          </w:p>
        </w:tc>
        <w:tc>
          <w:tcPr>
            <w:tcW w:w="100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w:t>
            </w:r>
          </w:p>
        </w:tc>
        <w:tc>
          <w:tcPr>
            <w:tcW w:w="117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90%</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spacing w:line="240" w:lineRule="exact"/>
              <w:contextualSpacing/>
              <w:jc w:val="center"/>
              <w:textAlignment w:val="center"/>
              <w:rPr>
                <w:rFonts w:ascii="Times New Roman" w:hAnsi="Times New Roman"/>
                <w:bCs/>
                <w:sz w:val="24"/>
              </w:rPr>
            </w:pPr>
          </w:p>
        </w:tc>
        <w:tc>
          <w:tcPr>
            <w:tcW w:w="1179" w:type="dxa"/>
            <w:vMerge w:val="continue"/>
            <w:vAlign w:val="center"/>
          </w:tcPr>
          <w:p>
            <w:pPr>
              <w:spacing w:line="240" w:lineRule="exact"/>
              <w:contextualSpacing/>
              <w:jc w:val="center"/>
              <w:textAlignment w:val="center"/>
              <w:rPr>
                <w:rFonts w:ascii="Times New Roman" w:hAnsi="Times New Roman"/>
                <w:bCs/>
                <w:sz w:val="24"/>
              </w:rPr>
            </w:pPr>
          </w:p>
        </w:tc>
        <w:tc>
          <w:tcPr>
            <w:tcW w:w="4079"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养老机构护理型床位占比</w:t>
            </w:r>
          </w:p>
        </w:tc>
        <w:tc>
          <w:tcPr>
            <w:tcW w:w="100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55％</w:t>
            </w:r>
          </w:p>
        </w:tc>
        <w:tc>
          <w:tcPr>
            <w:tcW w:w="1178" w:type="dxa"/>
            <w:vAlign w:val="center"/>
          </w:tcPr>
          <w:p>
            <w:pPr>
              <w:spacing w:line="240" w:lineRule="exact"/>
              <w:contextualSpacing/>
              <w:jc w:val="center"/>
              <w:textAlignment w:val="center"/>
              <w:rPr>
                <w:rFonts w:ascii="Times New Roman" w:hAnsi="Times New Roman"/>
                <w:sz w:val="24"/>
              </w:rPr>
            </w:pPr>
            <w:r>
              <w:rPr>
                <w:rFonts w:hint="eastAsia" w:ascii="宋体" w:hAnsi="宋体" w:eastAsia="宋体" w:cs="宋体"/>
                <w:sz w:val="21"/>
                <w:szCs w:val="21"/>
              </w:rPr>
              <w:t>≥</w:t>
            </w:r>
            <w:r>
              <w:rPr>
                <w:rFonts w:hint="eastAsia" w:ascii="Times New Roman" w:hAnsi="Times New Roman"/>
                <w:sz w:val="24"/>
              </w:rPr>
              <w:t>60％</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spacing w:line="240" w:lineRule="exact"/>
              <w:contextualSpacing/>
              <w:jc w:val="center"/>
              <w:textAlignment w:val="center"/>
              <w:rPr>
                <w:rFonts w:ascii="Times New Roman" w:hAnsi="Times New Roman"/>
                <w:bCs/>
                <w:sz w:val="24"/>
              </w:rPr>
            </w:pPr>
          </w:p>
        </w:tc>
        <w:tc>
          <w:tcPr>
            <w:tcW w:w="1179" w:type="dxa"/>
            <w:vMerge w:val="restart"/>
            <w:vAlign w:val="center"/>
          </w:tcPr>
          <w:p>
            <w:pPr>
              <w:spacing w:line="240" w:lineRule="exact"/>
              <w:contextualSpacing/>
              <w:jc w:val="center"/>
              <w:textAlignment w:val="center"/>
              <w:rPr>
                <w:rFonts w:ascii="Times New Roman" w:hAnsi="Times New Roman"/>
                <w:bCs/>
                <w:sz w:val="24"/>
              </w:rPr>
            </w:pPr>
            <w:r>
              <w:rPr>
                <w:rFonts w:hint="eastAsia" w:ascii="Times New Roman" w:hAnsi="Times New Roman"/>
                <w:bCs/>
                <w:sz w:val="24"/>
              </w:rPr>
              <w:t>住房保障</w:t>
            </w:r>
          </w:p>
        </w:tc>
        <w:tc>
          <w:tcPr>
            <w:tcW w:w="4079"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城镇户籍低保住房困难家庭申请公租房的保障率</w:t>
            </w:r>
          </w:p>
        </w:tc>
        <w:tc>
          <w:tcPr>
            <w:tcW w:w="100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w:t>
            </w:r>
          </w:p>
        </w:tc>
        <w:tc>
          <w:tcPr>
            <w:tcW w:w="1178" w:type="dxa"/>
            <w:vAlign w:val="center"/>
          </w:tcPr>
          <w:p>
            <w:pPr>
              <w:spacing w:line="240" w:lineRule="exact"/>
              <w:contextualSpacing/>
              <w:jc w:val="center"/>
              <w:textAlignment w:val="center"/>
              <w:rPr>
                <w:rFonts w:ascii="Times New Roman" w:hAnsi="Times New Roman"/>
                <w:sz w:val="24"/>
              </w:rPr>
            </w:pPr>
            <w:r>
              <w:rPr>
                <w:rFonts w:ascii="Times New Roman" w:hAnsi="Times New Roman"/>
                <w:sz w:val="24"/>
              </w:rPr>
              <w:t>100%</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20" w:type="dxa"/>
            <w:vMerge w:val="continue"/>
            <w:vAlign w:val="center"/>
          </w:tcPr>
          <w:p>
            <w:pPr>
              <w:spacing w:line="240" w:lineRule="exact"/>
              <w:contextualSpacing/>
              <w:jc w:val="center"/>
              <w:textAlignment w:val="center"/>
              <w:rPr>
                <w:rFonts w:ascii="Times New Roman" w:hAnsi="Times New Roman"/>
                <w:bCs/>
                <w:sz w:val="24"/>
              </w:rPr>
            </w:pPr>
          </w:p>
        </w:tc>
        <w:tc>
          <w:tcPr>
            <w:tcW w:w="1179" w:type="dxa"/>
            <w:vMerge w:val="continue"/>
            <w:vAlign w:val="center"/>
          </w:tcPr>
          <w:p>
            <w:pPr>
              <w:spacing w:line="240" w:lineRule="exact"/>
              <w:contextualSpacing/>
              <w:jc w:val="center"/>
              <w:textAlignment w:val="center"/>
              <w:rPr>
                <w:rFonts w:ascii="Times New Roman" w:hAnsi="Times New Roman"/>
                <w:bCs/>
                <w:sz w:val="24"/>
              </w:rPr>
            </w:pPr>
          </w:p>
        </w:tc>
        <w:tc>
          <w:tcPr>
            <w:tcW w:w="4079"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符合条件的农村低收入群体在住房安全保障率</w:t>
            </w:r>
          </w:p>
        </w:tc>
        <w:tc>
          <w:tcPr>
            <w:tcW w:w="100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w:t>
            </w:r>
          </w:p>
        </w:tc>
        <w:tc>
          <w:tcPr>
            <w:tcW w:w="1178" w:type="dxa"/>
            <w:vAlign w:val="center"/>
          </w:tcPr>
          <w:p>
            <w:pPr>
              <w:spacing w:line="240" w:lineRule="exact"/>
              <w:contextualSpacing/>
              <w:jc w:val="center"/>
              <w:textAlignment w:val="center"/>
              <w:rPr>
                <w:rFonts w:ascii="Times New Roman" w:hAnsi="Times New Roman"/>
                <w:sz w:val="24"/>
              </w:rPr>
            </w:pPr>
            <w:r>
              <w:rPr>
                <w:rFonts w:ascii="Times New Roman" w:hAnsi="Times New Roman"/>
                <w:sz w:val="24"/>
              </w:rPr>
              <w:t>100%</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spacing w:line="240" w:lineRule="exact"/>
              <w:contextualSpacing/>
              <w:jc w:val="center"/>
              <w:textAlignment w:val="center"/>
              <w:rPr>
                <w:rFonts w:ascii="Times New Roman" w:hAnsi="Times New Roman"/>
                <w:bCs/>
                <w:sz w:val="24"/>
              </w:rPr>
            </w:pPr>
          </w:p>
        </w:tc>
        <w:tc>
          <w:tcPr>
            <w:tcW w:w="1179" w:type="dxa"/>
            <w:vMerge w:val="restart"/>
            <w:vAlign w:val="center"/>
          </w:tcPr>
          <w:p>
            <w:pPr>
              <w:spacing w:line="240" w:lineRule="exact"/>
              <w:contextualSpacing/>
              <w:jc w:val="center"/>
              <w:textAlignment w:val="center"/>
              <w:rPr>
                <w:rFonts w:ascii="Times New Roman" w:hAnsi="Times New Roman"/>
                <w:bCs/>
                <w:sz w:val="24"/>
              </w:rPr>
            </w:pPr>
            <w:r>
              <w:rPr>
                <w:rFonts w:hint="eastAsia" w:ascii="Times New Roman" w:hAnsi="Times New Roman"/>
                <w:bCs/>
                <w:sz w:val="24"/>
              </w:rPr>
              <w:t>兜底救助</w:t>
            </w:r>
          </w:p>
        </w:tc>
        <w:tc>
          <w:tcPr>
            <w:tcW w:w="4079"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城乡低保标准年度增幅</w:t>
            </w:r>
          </w:p>
        </w:tc>
        <w:tc>
          <w:tcPr>
            <w:tcW w:w="100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w:t>
            </w:r>
          </w:p>
        </w:tc>
        <w:tc>
          <w:tcPr>
            <w:tcW w:w="117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1"/>
                <w:szCs w:val="21"/>
              </w:rPr>
              <w:t>不低于上年度人均消费支出增幅</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spacing w:line="240" w:lineRule="exact"/>
              <w:contextualSpacing/>
              <w:jc w:val="center"/>
              <w:textAlignment w:val="center"/>
              <w:rPr>
                <w:rFonts w:ascii="Times New Roman" w:hAnsi="Times New Roman"/>
                <w:bCs/>
                <w:sz w:val="24"/>
              </w:rPr>
            </w:pPr>
          </w:p>
        </w:tc>
        <w:tc>
          <w:tcPr>
            <w:tcW w:w="1179" w:type="dxa"/>
            <w:vMerge w:val="continue"/>
            <w:vAlign w:val="center"/>
          </w:tcPr>
          <w:p>
            <w:pPr>
              <w:spacing w:line="240" w:lineRule="exact"/>
              <w:contextualSpacing/>
              <w:jc w:val="center"/>
              <w:textAlignment w:val="center"/>
              <w:rPr>
                <w:rFonts w:ascii="Times New Roman" w:hAnsi="Times New Roman"/>
                <w:bCs/>
                <w:sz w:val="24"/>
              </w:rPr>
            </w:pPr>
          </w:p>
        </w:tc>
        <w:tc>
          <w:tcPr>
            <w:tcW w:w="4079"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低收入重度残疾人家居无障碍改造数</w:t>
            </w:r>
          </w:p>
        </w:tc>
        <w:tc>
          <w:tcPr>
            <w:tcW w:w="100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w:t>
            </w:r>
          </w:p>
        </w:tc>
        <w:tc>
          <w:tcPr>
            <w:tcW w:w="117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7000户</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spacing w:line="240" w:lineRule="exact"/>
              <w:contextualSpacing/>
              <w:jc w:val="center"/>
              <w:textAlignment w:val="center"/>
              <w:rPr>
                <w:rFonts w:ascii="Times New Roman" w:hAnsi="Times New Roman"/>
                <w:bCs/>
                <w:sz w:val="24"/>
              </w:rPr>
            </w:pPr>
          </w:p>
        </w:tc>
        <w:tc>
          <w:tcPr>
            <w:tcW w:w="1179" w:type="dxa"/>
            <w:vAlign w:val="center"/>
          </w:tcPr>
          <w:p>
            <w:pPr>
              <w:spacing w:line="240" w:lineRule="exact"/>
              <w:contextualSpacing/>
              <w:jc w:val="center"/>
              <w:textAlignment w:val="center"/>
              <w:rPr>
                <w:rFonts w:ascii="Times New Roman" w:hAnsi="Times New Roman"/>
                <w:bCs/>
                <w:sz w:val="24"/>
              </w:rPr>
            </w:pPr>
            <w:r>
              <w:rPr>
                <w:rFonts w:hint="eastAsia" w:ascii="Times New Roman" w:hAnsi="Times New Roman"/>
                <w:bCs/>
                <w:sz w:val="24"/>
              </w:rPr>
              <w:t>拥军优抚</w:t>
            </w:r>
          </w:p>
        </w:tc>
        <w:tc>
          <w:tcPr>
            <w:tcW w:w="4079"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退役军人安置率</w:t>
            </w:r>
          </w:p>
        </w:tc>
        <w:tc>
          <w:tcPr>
            <w:tcW w:w="1008" w:type="dxa"/>
            <w:vAlign w:val="center"/>
          </w:tcPr>
          <w:p>
            <w:pPr>
              <w:spacing w:line="240" w:lineRule="exact"/>
              <w:contextualSpacing/>
              <w:jc w:val="center"/>
              <w:textAlignment w:val="center"/>
              <w:rPr>
                <w:rFonts w:ascii="Times New Roman" w:hAnsi="Times New Roman"/>
                <w:sz w:val="24"/>
              </w:rPr>
            </w:pPr>
            <w:r>
              <w:rPr>
                <w:rFonts w:ascii="Times New Roman" w:hAnsi="Times New Roman"/>
                <w:sz w:val="24"/>
              </w:rPr>
              <w:t>100%</w:t>
            </w:r>
          </w:p>
        </w:tc>
        <w:tc>
          <w:tcPr>
            <w:tcW w:w="1178" w:type="dxa"/>
            <w:vAlign w:val="center"/>
          </w:tcPr>
          <w:p>
            <w:pPr>
              <w:spacing w:line="240" w:lineRule="exact"/>
              <w:contextualSpacing/>
              <w:jc w:val="center"/>
              <w:textAlignment w:val="center"/>
              <w:rPr>
                <w:rFonts w:ascii="Times New Roman" w:hAnsi="Times New Roman"/>
                <w:sz w:val="24"/>
              </w:rPr>
            </w:pPr>
            <w:r>
              <w:rPr>
                <w:rFonts w:ascii="Times New Roman" w:hAnsi="Times New Roman"/>
                <w:sz w:val="24"/>
              </w:rPr>
              <w:t>100%</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20" w:type="dxa"/>
            <w:vMerge w:val="continue"/>
            <w:vAlign w:val="center"/>
          </w:tcPr>
          <w:p>
            <w:pPr>
              <w:spacing w:line="240" w:lineRule="exact"/>
              <w:contextualSpacing/>
              <w:jc w:val="center"/>
              <w:textAlignment w:val="center"/>
              <w:rPr>
                <w:rFonts w:ascii="Times New Roman" w:hAnsi="Times New Roman"/>
                <w:bCs/>
                <w:sz w:val="24"/>
              </w:rPr>
            </w:pPr>
          </w:p>
        </w:tc>
        <w:tc>
          <w:tcPr>
            <w:tcW w:w="1179" w:type="dxa"/>
            <w:vMerge w:val="restart"/>
            <w:vAlign w:val="center"/>
          </w:tcPr>
          <w:p>
            <w:pPr>
              <w:spacing w:line="240" w:lineRule="exact"/>
              <w:contextualSpacing/>
              <w:jc w:val="center"/>
              <w:textAlignment w:val="center"/>
              <w:rPr>
                <w:rFonts w:ascii="Times New Roman" w:hAnsi="Times New Roman"/>
                <w:bCs/>
                <w:sz w:val="24"/>
              </w:rPr>
            </w:pPr>
            <w:r>
              <w:rPr>
                <w:rFonts w:hint="eastAsia" w:ascii="Times New Roman" w:hAnsi="Times New Roman"/>
                <w:bCs/>
                <w:sz w:val="24"/>
              </w:rPr>
              <w:t>文化体育</w:t>
            </w:r>
          </w:p>
        </w:tc>
        <w:tc>
          <w:tcPr>
            <w:tcW w:w="4079"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每万人拥有公共文化设施建筑面积（平方米）</w:t>
            </w:r>
          </w:p>
        </w:tc>
        <w:tc>
          <w:tcPr>
            <w:tcW w:w="100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248</w:t>
            </w:r>
          </w:p>
        </w:tc>
        <w:tc>
          <w:tcPr>
            <w:tcW w:w="117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300</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spacing w:line="240" w:lineRule="exact"/>
              <w:contextualSpacing/>
              <w:jc w:val="center"/>
              <w:textAlignment w:val="center"/>
              <w:rPr>
                <w:rFonts w:ascii="Times New Roman" w:hAnsi="Times New Roman"/>
                <w:bCs/>
                <w:sz w:val="24"/>
              </w:rPr>
            </w:pPr>
          </w:p>
        </w:tc>
        <w:tc>
          <w:tcPr>
            <w:tcW w:w="1179" w:type="dxa"/>
            <w:vMerge w:val="continue"/>
            <w:vAlign w:val="center"/>
          </w:tcPr>
          <w:p>
            <w:pPr>
              <w:spacing w:line="240" w:lineRule="exact"/>
              <w:contextualSpacing/>
              <w:jc w:val="center"/>
              <w:textAlignment w:val="center"/>
              <w:rPr>
                <w:rFonts w:ascii="Times New Roman" w:hAnsi="Times New Roman"/>
                <w:bCs/>
                <w:sz w:val="24"/>
              </w:rPr>
            </w:pPr>
          </w:p>
        </w:tc>
        <w:tc>
          <w:tcPr>
            <w:tcW w:w="4079"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每万人接受公共文化设施服务次数（次）</w:t>
            </w:r>
          </w:p>
        </w:tc>
        <w:tc>
          <w:tcPr>
            <w:tcW w:w="100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3000</w:t>
            </w:r>
          </w:p>
        </w:tc>
        <w:tc>
          <w:tcPr>
            <w:tcW w:w="117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5000</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20" w:type="dxa"/>
            <w:vMerge w:val="continue"/>
            <w:vAlign w:val="center"/>
          </w:tcPr>
          <w:p>
            <w:pPr>
              <w:spacing w:line="240" w:lineRule="exact"/>
              <w:contextualSpacing/>
              <w:jc w:val="center"/>
              <w:textAlignment w:val="center"/>
              <w:rPr>
                <w:rFonts w:ascii="Times New Roman" w:hAnsi="Times New Roman"/>
                <w:bCs/>
                <w:sz w:val="24"/>
              </w:rPr>
            </w:pPr>
          </w:p>
        </w:tc>
        <w:tc>
          <w:tcPr>
            <w:tcW w:w="1179" w:type="dxa"/>
            <w:vMerge w:val="continue"/>
            <w:vAlign w:val="center"/>
          </w:tcPr>
          <w:p>
            <w:pPr>
              <w:spacing w:line="240" w:lineRule="exact"/>
              <w:contextualSpacing/>
              <w:jc w:val="center"/>
              <w:textAlignment w:val="center"/>
              <w:rPr>
                <w:rFonts w:ascii="Times New Roman" w:hAnsi="Times New Roman"/>
                <w:bCs/>
                <w:sz w:val="24"/>
              </w:rPr>
            </w:pPr>
          </w:p>
        </w:tc>
        <w:tc>
          <w:tcPr>
            <w:tcW w:w="4079"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人均体育场地面积（平方米）</w:t>
            </w:r>
          </w:p>
        </w:tc>
        <w:tc>
          <w:tcPr>
            <w:tcW w:w="100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1.91</w:t>
            </w:r>
          </w:p>
        </w:tc>
        <w:tc>
          <w:tcPr>
            <w:tcW w:w="1178" w:type="dxa"/>
            <w:vAlign w:val="center"/>
          </w:tcPr>
          <w:p>
            <w:pPr>
              <w:spacing w:line="240" w:lineRule="exact"/>
              <w:contextualSpacing/>
              <w:jc w:val="center"/>
              <w:textAlignment w:val="center"/>
              <w:rPr>
                <w:rFonts w:ascii="Times New Roman" w:hAnsi="Times New Roman"/>
                <w:sz w:val="24"/>
              </w:rPr>
            </w:pPr>
            <w:r>
              <w:rPr>
                <w:rFonts w:ascii="Times New Roman" w:hAnsi="Times New Roman"/>
                <w:sz w:val="24"/>
              </w:rPr>
              <w:t>2.6</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restart"/>
            <w:vAlign w:val="center"/>
          </w:tcPr>
          <w:p>
            <w:pPr>
              <w:spacing w:line="240" w:lineRule="exact"/>
              <w:contextualSpacing/>
              <w:jc w:val="center"/>
              <w:textAlignment w:val="center"/>
              <w:rPr>
                <w:rFonts w:ascii="Times New Roman" w:hAnsi="Times New Roman"/>
                <w:bCs/>
                <w:sz w:val="24"/>
              </w:rPr>
            </w:pPr>
            <w:r>
              <w:rPr>
                <w:rFonts w:hint="eastAsia" w:ascii="Times New Roman" w:hAnsi="Times New Roman"/>
                <w:bCs/>
                <w:sz w:val="24"/>
              </w:rPr>
              <w:t>普惠性非基本公共服务</w:t>
            </w:r>
          </w:p>
        </w:tc>
        <w:tc>
          <w:tcPr>
            <w:tcW w:w="1179" w:type="dxa"/>
            <w:vMerge w:val="restart"/>
            <w:vAlign w:val="center"/>
          </w:tcPr>
          <w:p>
            <w:pPr>
              <w:spacing w:line="240" w:lineRule="exact"/>
              <w:contextualSpacing/>
              <w:jc w:val="center"/>
              <w:textAlignment w:val="center"/>
              <w:rPr>
                <w:rFonts w:ascii="Times New Roman" w:hAnsi="Times New Roman"/>
                <w:bCs/>
                <w:sz w:val="24"/>
              </w:rPr>
            </w:pPr>
          </w:p>
        </w:tc>
        <w:tc>
          <w:tcPr>
            <w:tcW w:w="4079"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普惠性幼儿园覆盖率</w:t>
            </w:r>
          </w:p>
        </w:tc>
        <w:tc>
          <w:tcPr>
            <w:tcW w:w="100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80%</w:t>
            </w:r>
          </w:p>
        </w:tc>
        <w:tc>
          <w:tcPr>
            <w:tcW w:w="117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85%</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spacing w:line="240" w:lineRule="exact"/>
              <w:contextualSpacing/>
              <w:jc w:val="center"/>
              <w:textAlignment w:val="center"/>
              <w:rPr>
                <w:rFonts w:ascii="Times New Roman" w:hAnsi="Times New Roman"/>
                <w:bCs/>
                <w:sz w:val="24"/>
              </w:rPr>
            </w:pPr>
          </w:p>
        </w:tc>
        <w:tc>
          <w:tcPr>
            <w:tcW w:w="1179" w:type="dxa"/>
            <w:vMerge w:val="continue"/>
            <w:vAlign w:val="center"/>
          </w:tcPr>
          <w:p>
            <w:pPr>
              <w:spacing w:line="240" w:lineRule="exact"/>
              <w:contextualSpacing/>
              <w:jc w:val="center"/>
              <w:textAlignment w:val="center"/>
              <w:rPr>
                <w:rFonts w:ascii="Times New Roman" w:hAnsi="Times New Roman"/>
                <w:bCs/>
                <w:sz w:val="24"/>
              </w:rPr>
            </w:pPr>
          </w:p>
        </w:tc>
        <w:tc>
          <w:tcPr>
            <w:tcW w:w="4079"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每千人口3岁以下婴幼儿托位数（个）</w:t>
            </w:r>
          </w:p>
        </w:tc>
        <w:tc>
          <w:tcPr>
            <w:tcW w:w="100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1.13</w:t>
            </w:r>
          </w:p>
        </w:tc>
        <w:tc>
          <w:tcPr>
            <w:tcW w:w="117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4.5</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spacing w:line="240" w:lineRule="exact"/>
              <w:contextualSpacing/>
              <w:jc w:val="center"/>
              <w:textAlignment w:val="center"/>
              <w:rPr>
                <w:rFonts w:ascii="Times New Roman" w:hAnsi="Times New Roman"/>
                <w:bCs/>
                <w:sz w:val="24"/>
              </w:rPr>
            </w:pPr>
          </w:p>
        </w:tc>
        <w:tc>
          <w:tcPr>
            <w:tcW w:w="1179" w:type="dxa"/>
            <w:vMerge w:val="continue"/>
            <w:vAlign w:val="center"/>
          </w:tcPr>
          <w:p>
            <w:pPr>
              <w:spacing w:line="240" w:lineRule="exact"/>
              <w:contextualSpacing/>
              <w:jc w:val="center"/>
              <w:textAlignment w:val="center"/>
              <w:rPr>
                <w:rFonts w:ascii="Times New Roman" w:hAnsi="Times New Roman"/>
                <w:bCs/>
                <w:sz w:val="24"/>
              </w:rPr>
            </w:pPr>
          </w:p>
        </w:tc>
        <w:tc>
          <w:tcPr>
            <w:tcW w:w="4079"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高等教育毛入学率</w:t>
            </w:r>
          </w:p>
        </w:tc>
        <w:tc>
          <w:tcPr>
            <w:tcW w:w="100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45％</w:t>
            </w:r>
          </w:p>
        </w:tc>
        <w:tc>
          <w:tcPr>
            <w:tcW w:w="1178" w:type="dxa"/>
            <w:vAlign w:val="center"/>
          </w:tcPr>
          <w:p>
            <w:pPr>
              <w:spacing w:line="240" w:lineRule="exact"/>
              <w:contextualSpacing/>
              <w:jc w:val="center"/>
              <w:textAlignment w:val="center"/>
              <w:rPr>
                <w:rFonts w:ascii="Times New Roman" w:hAnsi="Times New Roman"/>
                <w:sz w:val="24"/>
              </w:rPr>
            </w:pPr>
            <w:r>
              <w:rPr>
                <w:rFonts w:ascii="Times New Roman" w:hAnsi="Times New Roman"/>
                <w:sz w:val="24"/>
              </w:rPr>
              <w:t>60</w:t>
            </w:r>
            <w:r>
              <w:rPr>
                <w:rFonts w:hint="eastAsia" w:ascii="Times New Roman" w:hAnsi="Times New Roman"/>
                <w:sz w:val="24"/>
              </w:rPr>
              <w:t>％</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spacing w:line="240" w:lineRule="exact"/>
              <w:contextualSpacing/>
              <w:jc w:val="center"/>
              <w:textAlignment w:val="center"/>
              <w:rPr>
                <w:rFonts w:ascii="Times New Roman" w:hAnsi="Times New Roman"/>
                <w:bCs/>
                <w:sz w:val="24"/>
              </w:rPr>
            </w:pPr>
          </w:p>
        </w:tc>
        <w:tc>
          <w:tcPr>
            <w:tcW w:w="1179" w:type="dxa"/>
            <w:vMerge w:val="continue"/>
            <w:vAlign w:val="center"/>
          </w:tcPr>
          <w:p>
            <w:pPr>
              <w:spacing w:line="240" w:lineRule="exact"/>
              <w:contextualSpacing/>
              <w:jc w:val="center"/>
              <w:textAlignment w:val="center"/>
              <w:rPr>
                <w:rFonts w:ascii="Times New Roman" w:hAnsi="Times New Roman"/>
                <w:bCs/>
                <w:sz w:val="24"/>
              </w:rPr>
            </w:pPr>
          </w:p>
        </w:tc>
        <w:tc>
          <w:tcPr>
            <w:tcW w:w="4079"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高中阶段教育毛入学率</w:t>
            </w:r>
          </w:p>
        </w:tc>
        <w:tc>
          <w:tcPr>
            <w:tcW w:w="1008" w:type="dxa"/>
            <w:vAlign w:val="center"/>
          </w:tcPr>
          <w:p>
            <w:pPr>
              <w:spacing w:line="240" w:lineRule="exact"/>
              <w:contextualSpacing/>
              <w:jc w:val="center"/>
              <w:textAlignment w:val="center"/>
              <w:rPr>
                <w:rFonts w:ascii="Times New Roman" w:hAnsi="Times New Roman"/>
                <w:sz w:val="24"/>
              </w:rPr>
            </w:pPr>
            <w:r>
              <w:rPr>
                <w:rFonts w:ascii="Times New Roman" w:hAnsi="Times New Roman"/>
                <w:sz w:val="24"/>
              </w:rPr>
              <w:t>9</w:t>
            </w:r>
            <w:r>
              <w:rPr>
                <w:rFonts w:hint="eastAsia" w:ascii="Times New Roman" w:hAnsi="Times New Roman"/>
                <w:sz w:val="24"/>
              </w:rPr>
              <w:t>2.1％</w:t>
            </w:r>
          </w:p>
        </w:tc>
        <w:tc>
          <w:tcPr>
            <w:tcW w:w="1178" w:type="dxa"/>
            <w:vAlign w:val="center"/>
          </w:tcPr>
          <w:p>
            <w:pPr>
              <w:spacing w:line="240" w:lineRule="exact"/>
              <w:contextualSpacing/>
              <w:jc w:val="center"/>
              <w:textAlignment w:val="center"/>
              <w:rPr>
                <w:rFonts w:ascii="Times New Roman" w:hAnsi="Times New Roman"/>
                <w:sz w:val="24"/>
              </w:rPr>
            </w:pPr>
            <w:r>
              <w:rPr>
                <w:rFonts w:ascii="Times New Roman" w:hAnsi="Times New Roman"/>
                <w:sz w:val="24"/>
              </w:rPr>
              <w:t>93</w:t>
            </w:r>
            <w:r>
              <w:rPr>
                <w:rFonts w:hint="eastAsia" w:ascii="Times New Roman" w:hAnsi="Times New Roman"/>
                <w:sz w:val="24"/>
              </w:rPr>
              <w:t>.5％</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spacing w:line="240" w:lineRule="exact"/>
              <w:contextualSpacing/>
              <w:jc w:val="center"/>
              <w:textAlignment w:val="center"/>
              <w:rPr>
                <w:rFonts w:ascii="Times New Roman" w:hAnsi="Times New Roman"/>
                <w:bCs/>
                <w:sz w:val="24"/>
              </w:rPr>
            </w:pPr>
          </w:p>
        </w:tc>
        <w:tc>
          <w:tcPr>
            <w:tcW w:w="1179" w:type="dxa"/>
            <w:vMerge w:val="continue"/>
            <w:vAlign w:val="center"/>
          </w:tcPr>
          <w:p>
            <w:pPr>
              <w:spacing w:line="240" w:lineRule="exact"/>
              <w:contextualSpacing/>
              <w:jc w:val="center"/>
              <w:textAlignment w:val="center"/>
              <w:rPr>
                <w:rFonts w:ascii="Times New Roman" w:hAnsi="Times New Roman"/>
                <w:bCs/>
                <w:sz w:val="24"/>
              </w:rPr>
            </w:pPr>
          </w:p>
        </w:tc>
        <w:tc>
          <w:tcPr>
            <w:tcW w:w="4079"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养老服务床位数（万张）</w:t>
            </w:r>
          </w:p>
        </w:tc>
        <w:tc>
          <w:tcPr>
            <w:tcW w:w="100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1</w:t>
            </w:r>
          </w:p>
        </w:tc>
        <w:tc>
          <w:tcPr>
            <w:tcW w:w="117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1.5</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Merge w:val="continue"/>
            <w:vAlign w:val="center"/>
          </w:tcPr>
          <w:p>
            <w:pPr>
              <w:spacing w:line="240" w:lineRule="exact"/>
              <w:contextualSpacing/>
              <w:jc w:val="center"/>
              <w:textAlignment w:val="center"/>
              <w:rPr>
                <w:rFonts w:ascii="Times New Roman" w:hAnsi="Times New Roman"/>
                <w:bCs/>
                <w:sz w:val="24"/>
              </w:rPr>
            </w:pPr>
          </w:p>
        </w:tc>
        <w:tc>
          <w:tcPr>
            <w:tcW w:w="1179" w:type="dxa"/>
            <w:vMerge w:val="continue"/>
            <w:vAlign w:val="center"/>
          </w:tcPr>
          <w:p>
            <w:pPr>
              <w:spacing w:line="240" w:lineRule="exact"/>
              <w:contextualSpacing/>
              <w:jc w:val="center"/>
              <w:textAlignment w:val="center"/>
              <w:rPr>
                <w:rFonts w:ascii="Times New Roman" w:hAnsi="Times New Roman"/>
                <w:bCs/>
                <w:sz w:val="24"/>
              </w:rPr>
            </w:pPr>
          </w:p>
        </w:tc>
        <w:tc>
          <w:tcPr>
            <w:tcW w:w="4079"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城镇老旧小区改造率</w:t>
            </w:r>
          </w:p>
        </w:tc>
        <w:tc>
          <w:tcPr>
            <w:tcW w:w="100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w:t>
            </w:r>
          </w:p>
        </w:tc>
        <w:tc>
          <w:tcPr>
            <w:tcW w:w="1178"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100%</w:t>
            </w:r>
          </w:p>
        </w:tc>
        <w:tc>
          <w:tcPr>
            <w:tcW w:w="933" w:type="dxa"/>
            <w:vAlign w:val="center"/>
          </w:tcPr>
          <w:p>
            <w:pPr>
              <w:spacing w:line="240" w:lineRule="exact"/>
              <w:contextualSpacing/>
              <w:jc w:val="center"/>
              <w:textAlignment w:val="center"/>
              <w:rPr>
                <w:rFonts w:ascii="Times New Roman" w:hAnsi="Times New Roman"/>
                <w:sz w:val="24"/>
              </w:rPr>
            </w:pPr>
            <w:r>
              <w:rPr>
                <w:rFonts w:hint="eastAsia" w:ascii="Times New Roman" w:hAnsi="Times New Roman"/>
                <w:sz w:val="24"/>
              </w:rPr>
              <w:t>预期性</w:t>
            </w:r>
          </w:p>
        </w:tc>
      </w:tr>
    </w:tbl>
    <w:p>
      <w:pPr>
        <w:pStyle w:val="6"/>
        <w:spacing w:line="560" w:lineRule="exact"/>
        <w:ind w:firstLine="0" w:firstLineChars="0"/>
        <w:contextualSpacing/>
        <w:jc w:val="center"/>
        <w:rPr>
          <w:rFonts w:ascii="Times New Roman" w:hAnsi="Times New Roman"/>
          <w:bCs/>
        </w:rPr>
      </w:pPr>
      <w:bookmarkStart w:id="1446" w:name="_Toc28981"/>
      <w:r>
        <w:rPr>
          <w:rFonts w:hint="eastAsia" w:ascii="Times New Roman" w:hAnsi="Times New Roman"/>
        </w:rPr>
        <w:t>第三章</w:t>
      </w:r>
      <w:r>
        <w:rPr>
          <w:rFonts w:ascii="Times New Roman" w:hAnsi="Times New Roman"/>
          <w:kern w:val="21"/>
        </w:rPr>
        <w:t xml:space="preserve">  </w:t>
      </w:r>
      <w:r>
        <w:rPr>
          <w:rFonts w:hint="eastAsia" w:ascii="Times New Roman" w:hAnsi="Times New Roman"/>
        </w:rPr>
        <w:t>发展公平优质的公共教育服务</w:t>
      </w:r>
      <w:bookmarkEnd w:id="1446"/>
    </w:p>
    <w:p>
      <w:pPr>
        <w:spacing w:line="560" w:lineRule="exact"/>
        <w:ind w:firstLine="640" w:firstLineChars="200"/>
        <w:contextualSpacing/>
      </w:pPr>
      <w:bookmarkStart w:id="1447" w:name="_Toc29761"/>
      <w:r>
        <w:rPr>
          <w:rFonts w:hint="eastAsia" w:ascii="Times New Roman" w:hAnsi="Times New Roman"/>
        </w:rPr>
        <w:t>坚持育人为本、立德树人，优化各类教育布局，完善德智体美劳全面培养的教育体系，推进教育现代化，建设教育强市，让每位学生享有更加公平优质的教育。</w:t>
      </w:r>
    </w:p>
    <w:p>
      <w:pPr>
        <w:pStyle w:val="7"/>
        <w:spacing w:line="560" w:lineRule="exact"/>
        <w:contextualSpacing/>
        <w:jc w:val="center"/>
        <w:rPr>
          <w:rFonts w:ascii="Times New Roman" w:hAnsi="Times New Roman" w:eastAsia="楷体_GB2312"/>
          <w:b w:val="0"/>
          <w:szCs w:val="32"/>
        </w:rPr>
      </w:pPr>
      <w:bookmarkStart w:id="1448" w:name="_Toc25044"/>
      <w:bookmarkStart w:id="1449" w:name="_Toc1781"/>
      <w:bookmarkStart w:id="1450" w:name="_Toc2949"/>
      <w:r>
        <w:rPr>
          <w:rFonts w:hint="eastAsia" w:ascii="Times New Roman" w:hAnsi="Times New Roman" w:eastAsia="楷体_GB2312"/>
          <w:b w:val="0"/>
          <w:bCs/>
          <w:szCs w:val="32"/>
        </w:rPr>
        <w:t>第一节</w:t>
      </w:r>
      <w:bookmarkEnd w:id="1448"/>
      <w:r>
        <w:rPr>
          <w:rFonts w:hint="eastAsia" w:ascii="Times New Roman" w:hAnsi="Times New Roman" w:eastAsia="楷体_GB2312"/>
          <w:b w:val="0"/>
          <w:bCs/>
          <w:szCs w:val="32"/>
        </w:rPr>
        <w:t xml:space="preserve">  优先保障学有所教</w:t>
      </w:r>
      <w:bookmarkEnd w:id="1449"/>
      <w:bookmarkEnd w:id="1450"/>
    </w:p>
    <w:p>
      <w:pPr>
        <w:spacing w:line="560" w:lineRule="exact"/>
        <w:ind w:firstLine="640" w:firstLineChars="200"/>
        <w:contextualSpacing/>
        <w:rPr>
          <w:rFonts w:ascii="Times New Roman" w:hAnsi="Times New Roman"/>
        </w:rPr>
      </w:pPr>
      <w:r>
        <w:rPr>
          <w:rFonts w:hint="eastAsia" w:ascii="Times New Roman" w:hAnsi="Times New Roman"/>
          <w:bCs/>
          <w:kern w:val="0"/>
        </w:rPr>
        <w:t>保障教育基本公共服务。</w:t>
      </w:r>
      <w:r>
        <w:rPr>
          <w:rFonts w:hint="eastAsia" w:ascii="Times New Roman" w:hAnsi="Times New Roman"/>
        </w:rPr>
        <w:t>对接受普惠性学前教育的家庭经济困难儿童、孤儿、事实无人抚养儿童和残疾儿童给予生活补助。对城乡义务教育学生免除学杂费、免费提供国家课程教科书、对家庭经济困难学生补助生活费。实施农村义务教育学生营养改善计划。对具有正式注册学籍的普通高中建档立卡等家庭经济困难学生免除学杂费，落实家庭经济困难学生国家助学金政策。对中等职业学校符合条件学生免学费，落实家庭经济困难学生国家助学金政策。</w:t>
      </w:r>
    </w:p>
    <w:p>
      <w:pPr>
        <w:spacing w:line="560" w:lineRule="exact"/>
        <w:ind w:firstLine="640" w:firstLineChars="200"/>
        <w:contextualSpacing/>
        <w:rPr>
          <w:rFonts w:ascii="Times New Roman" w:hAnsi="Times New Roman"/>
        </w:rPr>
      </w:pPr>
      <w:r>
        <w:rPr>
          <w:rFonts w:hint="eastAsia" w:ascii="Times New Roman" w:hAnsi="Times New Roman"/>
          <w:bCs/>
          <w:kern w:val="0"/>
        </w:rPr>
        <w:t>加快学前教育普及普惠发展。</w:t>
      </w:r>
      <w:r>
        <w:rPr>
          <w:rFonts w:hint="eastAsia" w:ascii="Times New Roman" w:hAnsi="Times New Roman"/>
        </w:rPr>
        <w:t>继续实施学前教育行动计划，扩大优质普惠学前教育供给。完善县、乡、村三级学前教育公共服务网络，每个乡镇办好</w:t>
      </w:r>
      <w:r>
        <w:rPr>
          <w:rFonts w:ascii="Times New Roman" w:hAnsi="Times New Roman"/>
        </w:rPr>
        <w:t>1</w:t>
      </w:r>
      <w:r>
        <w:rPr>
          <w:rFonts w:hint="eastAsia" w:ascii="仿宋_GB2312" w:hAnsi="仿宋_GB2312" w:cs="仿宋_GB2312"/>
        </w:rPr>
        <w:t>～</w:t>
      </w:r>
      <w:r>
        <w:rPr>
          <w:rFonts w:ascii="Times New Roman" w:hAnsi="Times New Roman"/>
        </w:rPr>
        <w:t>2</w:t>
      </w:r>
      <w:r>
        <w:rPr>
          <w:rFonts w:hint="eastAsia" w:ascii="Times New Roman" w:hAnsi="Times New Roman"/>
        </w:rPr>
        <w:t>所公办中心幼儿园。支持街道、村集体、有实力的国有企事业单位和普通高等学校举办公办园。充分利用农村中小学闲置校舍、乡村公共服务设施等资源举办公办园。规范城镇小区配套幼儿园建设使用，确保办成公办园或委托办成普惠性民办园。加快普惠性民办园认定，落实补助标准及扶持政策。提高保育教育质量，着力消除幼儿园“小学化”倾向。</w:t>
      </w:r>
      <w:r>
        <w:rPr>
          <w:rFonts w:hint="eastAsia" w:ascii="Times New Roman" w:hAnsi="Times New Roman"/>
          <w:lang w:val="zh-CN"/>
        </w:rPr>
        <w:t>深入开展学前教育结对帮扶行动，促进</w:t>
      </w:r>
      <w:r>
        <w:rPr>
          <w:rFonts w:hint="eastAsia" w:ascii="Times New Roman" w:hAnsi="Times New Roman"/>
        </w:rPr>
        <w:t>学前教育</w:t>
      </w:r>
      <w:r>
        <w:rPr>
          <w:rFonts w:hint="eastAsia" w:ascii="Times New Roman" w:hAnsi="Times New Roman"/>
          <w:lang w:val="zh-CN"/>
        </w:rPr>
        <w:t>城乡一体化发展。</w:t>
      </w:r>
    </w:p>
    <w:p>
      <w:pPr>
        <w:spacing w:line="560" w:lineRule="exact"/>
        <w:ind w:firstLine="640" w:firstLineChars="200"/>
        <w:contextualSpacing/>
        <w:rPr>
          <w:rFonts w:ascii="Times New Roman" w:hAnsi="Times New Roman"/>
        </w:rPr>
      </w:pPr>
      <w:r>
        <w:rPr>
          <w:rFonts w:hint="eastAsia" w:ascii="Times New Roman" w:hAnsi="Times New Roman"/>
          <w:bCs/>
          <w:kern w:val="0"/>
        </w:rPr>
        <w:t>推动义务教育优质均衡发展。</w:t>
      </w:r>
      <w:r>
        <w:rPr>
          <w:rFonts w:hint="eastAsia" w:ascii="Times New Roman" w:hAnsi="Times New Roman"/>
        </w:rPr>
        <w:t>鼓励义务教育基本均衡县区向优质均衡迈进。加快推进义务教育学校标准化建设，确保所有学校达到省定办学条件基本标准。加强乡镇寄宿制学校建设，适应城镇化发展要求，加快城镇学校扩容增位，逐步减小班额标准，探索实施“六年一户”入学办法，缓解“择校热”。提升义务教育巩固水平，加强控辍保学动态监测。推进进城务工随迁子女入学待遇同城化，就近平等享受基本公共教育服务。落实“双减”政策，切实减轻中小学生过重课业负担和校外培训负担，注重学生内在潜质的开发和启蒙。</w:t>
      </w:r>
    </w:p>
    <w:p>
      <w:pPr>
        <w:spacing w:line="560" w:lineRule="exact"/>
        <w:ind w:firstLine="640" w:firstLineChars="200"/>
        <w:contextualSpacing/>
        <w:rPr>
          <w:rFonts w:ascii="Times New Roman" w:hAnsi="Times New Roman"/>
          <w:szCs w:val="40"/>
        </w:rPr>
      </w:pPr>
      <w:r>
        <w:rPr>
          <w:rFonts w:hint="eastAsia" w:ascii="Times New Roman" w:hAnsi="Times New Roman"/>
          <w:bCs/>
          <w:kern w:val="0"/>
        </w:rPr>
        <w:t>鼓励高中阶段学校高质量有特色发展。</w:t>
      </w:r>
      <w:r>
        <w:rPr>
          <w:rFonts w:hint="eastAsia" w:ascii="Times New Roman" w:hAnsi="Times New Roman"/>
          <w:szCs w:val="40"/>
        </w:rPr>
        <w:t>持续实施高中阶段教育普及攻坚计划、积极争取国家教育基础薄弱县普通高中建设项目、国家普通高中改造计划和河南省非贫县普通高中改造项目。落实国家普通高中学校校舍建设标准和装备配备标准，加快消除普通高中大班额。引导普通高中自主特色发展，开展普通高中多样化发展示范校创建活动，打造一批普通高中示范性学科，探索优秀中学生选拔、培养和考核办法，创新人才培养模式。保持高中阶段教育普职比大体相当。以高水平中等职业学校和高水平专业群建设为重点，重点培育一批示范性中职学校，打造我市职业教育特色品牌。</w:t>
      </w:r>
    </w:p>
    <w:p>
      <w:pPr>
        <w:pStyle w:val="7"/>
        <w:spacing w:line="560" w:lineRule="exact"/>
        <w:contextualSpacing/>
        <w:jc w:val="center"/>
        <w:rPr>
          <w:rFonts w:ascii="Times New Roman" w:hAnsi="Times New Roman" w:eastAsia="楷体_GB2312"/>
          <w:b w:val="0"/>
          <w:szCs w:val="32"/>
        </w:rPr>
      </w:pPr>
      <w:bookmarkStart w:id="1451" w:name="_Toc3060"/>
      <w:bookmarkStart w:id="1452" w:name="_Toc29675"/>
      <w:r>
        <w:rPr>
          <w:rFonts w:hint="eastAsia" w:ascii="Times New Roman" w:hAnsi="Times New Roman" w:eastAsia="楷体_GB2312"/>
          <w:b w:val="0"/>
          <w:bCs/>
          <w:szCs w:val="32"/>
        </w:rPr>
        <w:t>第二节</w:t>
      </w:r>
      <w:bookmarkEnd w:id="1451"/>
      <w:r>
        <w:rPr>
          <w:rFonts w:hint="eastAsia" w:ascii="Times New Roman" w:hAnsi="Times New Roman" w:eastAsia="楷体_GB2312"/>
          <w:b w:val="0"/>
          <w:bCs/>
          <w:szCs w:val="32"/>
        </w:rPr>
        <w:t xml:space="preserve">  加快推进学有优教</w:t>
      </w:r>
      <w:bookmarkEnd w:id="1452"/>
    </w:p>
    <w:p>
      <w:pPr>
        <w:spacing w:line="560" w:lineRule="exact"/>
        <w:ind w:firstLine="640" w:firstLineChars="200"/>
        <w:contextualSpacing/>
        <w:rPr>
          <w:rFonts w:ascii="Times New Roman" w:hAnsi="Times New Roman"/>
        </w:rPr>
      </w:pPr>
      <w:r>
        <w:rPr>
          <w:rFonts w:hint="eastAsia" w:ascii="Times New Roman" w:hAnsi="Times New Roman"/>
          <w:bCs/>
          <w:kern w:val="0"/>
        </w:rPr>
        <w:t>推进现代职业教育改革发展。</w:t>
      </w:r>
      <w:r>
        <w:rPr>
          <w:rFonts w:hint="eastAsia" w:ascii="Times New Roman" w:hAnsi="Times New Roman"/>
        </w:rPr>
        <w:t>适应南阳区域和产业发展需要，高质量建设职教园区。以推进中职学校标准化建设工程为抓手，夯实中职教育基础，以增设高职院校和实施“双高工程”为载体，推动高职教育扩容提质，以高水平学校为龙头稳步发展职业本科教育，加快构建现代职业教育体系。深化产教融合、校企合作，精准对接产业发展需求，调整优化职业院校专业布局，推进校企共建新专业、开发新课程、开展订单培养，形成专业与企业深度耦合、联动发展的格局。重点建设一批高水平专业化产教融合实训基地，推进职业教育集团实体化运作，积极创建河南省产教融合试点城市。积极推进“学历+若干职业技能等级”证书制度试点，广泛开展职业技能培训，服务“人人持证、技能河南”建设和高质量就业。</w:t>
      </w:r>
    </w:p>
    <w:p>
      <w:pPr>
        <w:spacing w:line="560" w:lineRule="exact"/>
        <w:ind w:firstLine="640" w:firstLineChars="200"/>
        <w:contextualSpacing/>
        <w:rPr>
          <w:rFonts w:ascii="Times New Roman" w:hAnsi="Times New Roman"/>
        </w:rPr>
      </w:pPr>
      <w:r>
        <w:rPr>
          <w:rFonts w:hint="eastAsia" w:ascii="Times New Roman" w:hAnsi="Times New Roman"/>
          <w:bCs/>
          <w:kern w:val="0"/>
        </w:rPr>
        <w:t>推进高等教育内涵式发展。</w:t>
      </w:r>
      <w:r>
        <w:rPr>
          <w:rFonts w:hint="eastAsia" w:ascii="Times New Roman" w:hAnsi="Times New Roman"/>
        </w:rPr>
        <w:t>加快推进大学城规划建设，重点建设各种类型的示范性高校，继续实施普通高校分类发展计划。支持南阳师范学院更名大学、博士学位授权单位建设，加快本科高校转型发展，加强南阳理工学院高水平应用型本科院校建设，推进南阳农业职业学院、南阳医学高等专科学校、河南工业职业技术学院、南阳职业学院升本。建设一流本科专业点，深入实施“六卓越一拔尖”计划2.0，加强工科、医学、师范教育创新发展，着力办好一批涉农专业以及儿科、学前教育、健康养老、婴幼儿照护等民生亟需相关学科专业，加强基础学科拔尖创新人才培养。提升研究生教育质量，启动实施南阳师范学院多学科协调发展、特色鲜明的高水平师范大学建设立项单位，南阳理工学院力争2023年前获批硕士学位授权点。鼓励全市高等学校与科研院所、行业、企业等联合建立国家工程研究中心、国家国际科技合作基地等创新平台。</w:t>
      </w:r>
    </w:p>
    <w:p>
      <w:pPr>
        <w:spacing w:line="560" w:lineRule="exact"/>
        <w:ind w:firstLine="640" w:firstLineChars="200"/>
        <w:contextualSpacing/>
        <w:rPr>
          <w:rFonts w:ascii="Times New Roman" w:hAnsi="Times New Roman"/>
        </w:rPr>
      </w:pPr>
      <w:r>
        <w:rPr>
          <w:rFonts w:hint="eastAsia" w:ascii="Times New Roman" w:hAnsi="Times New Roman"/>
          <w:bCs/>
          <w:kern w:val="0"/>
        </w:rPr>
        <w:t>加快构建终身学习教育体系。</w:t>
      </w:r>
      <w:r>
        <w:rPr>
          <w:rFonts w:hint="eastAsia" w:ascii="Times New Roman" w:hAnsi="Times New Roman"/>
        </w:rPr>
        <w:t>逐步搭建集中各级各类学习资源的全民终身学习平台，实现各级各类学历教育、非学历教育的互认和衔接。完善终身教育学分积累与转换制度，建立全民终身教育学分银行。深入推进南阳广播电视大学等开放大学建设，建设开放大学信息化平台，提升资源共建共享水平和社会参与度。持续推进学习型城市、学习型企业、学习型家庭、学习型组织建设，全面推进城乡社区教育、老年教育，持续开展社区教育实验区、示范区创建活动。持续推动“诸葛书屋”建设，推进全民阅读，加快建设“书香南阳”。</w:t>
      </w:r>
    </w:p>
    <w:p>
      <w:pPr>
        <w:pStyle w:val="7"/>
        <w:spacing w:line="560" w:lineRule="exact"/>
        <w:contextualSpacing/>
        <w:jc w:val="center"/>
        <w:rPr>
          <w:rFonts w:ascii="Times New Roman" w:hAnsi="Times New Roman" w:eastAsia="楷体_GB2312"/>
          <w:b w:val="0"/>
          <w:szCs w:val="32"/>
        </w:rPr>
      </w:pPr>
      <w:bookmarkStart w:id="1453" w:name="_Toc11112"/>
      <w:bookmarkStart w:id="1454" w:name="_Toc12605"/>
      <w:bookmarkStart w:id="1455" w:name="_Toc5142"/>
      <w:r>
        <w:rPr>
          <w:rFonts w:hint="eastAsia" w:ascii="Times New Roman" w:hAnsi="Times New Roman" w:eastAsia="楷体_GB2312"/>
          <w:b w:val="0"/>
          <w:bCs/>
          <w:szCs w:val="32"/>
        </w:rPr>
        <w:t>第三节  服务保障</w:t>
      </w:r>
      <w:bookmarkEnd w:id="1453"/>
      <w:bookmarkEnd w:id="1454"/>
      <w:bookmarkEnd w:id="1455"/>
    </w:p>
    <w:p>
      <w:pPr>
        <w:spacing w:line="560" w:lineRule="exact"/>
        <w:ind w:firstLine="640" w:firstLineChars="200"/>
        <w:contextualSpacing/>
        <w:rPr>
          <w:rFonts w:ascii="Times New Roman" w:hAnsi="Times New Roman"/>
        </w:rPr>
      </w:pPr>
      <w:r>
        <w:rPr>
          <w:rFonts w:hint="eastAsia" w:ascii="Times New Roman" w:hAnsi="Times New Roman"/>
          <w:bCs/>
          <w:kern w:val="0"/>
        </w:rPr>
        <w:t>加强教师队伍建设。</w:t>
      </w:r>
      <w:r>
        <w:rPr>
          <w:rFonts w:hint="eastAsia" w:ascii="Times New Roman" w:hAnsi="Times New Roman"/>
        </w:rPr>
        <w:t>推进县域内义务教育学校校长、教师交流轮岗，加快推进“县管校聘”改革，促进师资均衡配置。持续开展边远贫困地区、革命老区“两区”对口支教，实行学区（乡镇）内走教制度和教育集团内派驻制度。继续实施乡村教师支持计划，扩大特岗计划和农村学校教育硕士师资培养计划实施规模。落实地方公费师范生培养计划以及定向招生、定向培养、定向就业政策，精准培养本土化乡村教师。分步推进乡村中小学首席教师岗位计划试点，实施银龄讲学计划。创新规范中小学教师编制配备，深化职称考核评价制度和岗位管理机制改革，保障教师待遇，健全中小学教师工资长效联动机制。</w:t>
      </w:r>
    </w:p>
    <w:p>
      <w:pPr>
        <w:spacing w:line="560" w:lineRule="exact"/>
        <w:ind w:firstLine="640" w:firstLineChars="200"/>
        <w:contextualSpacing/>
        <w:rPr>
          <w:rFonts w:ascii="Times New Roman" w:hAnsi="Times New Roman"/>
        </w:rPr>
      </w:pPr>
      <w:r>
        <w:rPr>
          <w:rFonts w:hint="eastAsia" w:ascii="Times New Roman" w:hAnsi="Times New Roman"/>
          <w:bCs/>
          <w:kern w:val="0"/>
        </w:rPr>
        <w:t>推进办学模式改革。</w:t>
      </w:r>
      <w:r>
        <w:rPr>
          <w:rFonts w:hint="eastAsia" w:ascii="仿宋_GB2312" w:hAnsi="仿宋_GB2312" w:cs="仿宋_GB2312"/>
        </w:rPr>
        <w:t>全面推进义务教育集团化办学</w:t>
      </w:r>
      <w:r>
        <w:rPr>
          <w:rFonts w:hint="eastAsia" w:ascii="Times New Roman" w:hAnsi="Times New Roman"/>
        </w:rPr>
        <w:t>，促进优质教育教学资源共享，缩小校际教育质量差距。优化义务教育公民办结构，确保义务教育学位主要由公办学校和政府购买学位方式提供。稳妥推进民办教育分类管理改革，严禁违法违规校外培训行为。统筹推进普通高中新课程改革和高考综合改革，实施普通高中特色提质计划，开设丰富多彩的特色课程。</w:t>
      </w:r>
      <w:r>
        <w:rPr>
          <w:rFonts w:hint="eastAsia" w:ascii="Times New Roman" w:hAnsi="Times New Roman"/>
          <w:szCs w:val="40"/>
        </w:rPr>
        <w:t>推进</w:t>
      </w:r>
      <w:r>
        <w:rPr>
          <w:rFonts w:hint="eastAsia" w:ascii="Times New Roman" w:hAnsi="Times New Roman"/>
        </w:rPr>
        <w:t>普通高中与中等职业学校课程互选、学分互认、资源互通、</w:t>
      </w:r>
      <w:r>
        <w:rPr>
          <w:rFonts w:hint="eastAsia" w:ascii="Times New Roman" w:hAnsi="Times New Roman"/>
          <w:szCs w:val="40"/>
        </w:rPr>
        <w:t>学籍互转，探索在具备条件的中等职业学校开展综合高中班试点。</w:t>
      </w:r>
      <w:r>
        <w:rPr>
          <w:rFonts w:hint="eastAsia" w:ascii="Times New Roman" w:hAnsi="Times New Roman"/>
        </w:rPr>
        <w:t>深化</w:t>
      </w:r>
      <w:bookmarkStart w:id="1456" w:name="OLE_LINK2"/>
      <w:bookmarkStart w:id="1457" w:name="OLE_LINK1"/>
      <w:r>
        <w:rPr>
          <w:rFonts w:hint="eastAsia" w:ascii="Times New Roman" w:hAnsi="Times New Roman"/>
        </w:rPr>
        <w:t>京（津）宛教育交流与合作，借助北京、天津优质教育资源的辐射带动，提升我市基础教育综合水平。</w:t>
      </w:r>
    </w:p>
    <w:p>
      <w:pPr>
        <w:spacing w:line="560" w:lineRule="exact"/>
        <w:ind w:firstLine="640" w:firstLineChars="200"/>
        <w:contextualSpacing/>
      </w:pPr>
      <w:r>
        <w:rPr>
          <w:rFonts w:hint="eastAsia" w:ascii="Times New Roman" w:hAnsi="Times New Roman"/>
          <w:bCs/>
          <w:kern w:val="0"/>
        </w:rPr>
        <w:t>加快教育信息化发展</w:t>
      </w:r>
      <w:bookmarkEnd w:id="1456"/>
      <w:bookmarkEnd w:id="1457"/>
      <w:r>
        <w:rPr>
          <w:rFonts w:hint="eastAsia" w:ascii="Times New Roman" w:hAnsi="Times New Roman"/>
          <w:bCs/>
          <w:kern w:val="0"/>
        </w:rPr>
        <w:t>。</w:t>
      </w:r>
      <w:r>
        <w:rPr>
          <w:rFonts w:hint="eastAsia" w:ascii="Times New Roman" w:hAnsi="Times New Roman"/>
        </w:rPr>
        <w:t>完善南阳数字教育资源公共服务，加快推进与省基础教育资源公共服务平台建设互联互通，建成覆盖全市中小学各年级各学科优质、适用、丰富的数字教育资源及其应用体系。积极推进教育管理公共服务平台、教育资源平台、网络学习空间融通，基本建成全市“互联网+教育”大平台。加强全市学校信息化基础环境建设，推进新一代信息技术与教育教学的深度融合创新，形成“校校用平台、班班用资源、人人用空间”，实现信息化教学与应用师生全覆盖。推进数字教育资源协作共同体建设，构建强校带弱校、优秀教师带其他教师的长效机制，促进城乡教育高位均衡发展。</w:t>
      </w:r>
    </w:p>
    <w:tbl>
      <w:tblPr>
        <w:tblStyle w:val="26"/>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8" w:type="dxa"/>
            <w:vAlign w:val="center"/>
          </w:tcPr>
          <w:p>
            <w:pPr>
              <w:spacing w:line="400" w:lineRule="exact"/>
              <w:ind w:firstLine="560" w:firstLineChars="200"/>
              <w:contextualSpacing/>
              <w:jc w:val="center"/>
              <w:rPr>
                <w:rFonts w:ascii="Times New Roman" w:hAnsi="Times New Roman" w:eastAsia="楷体"/>
                <w:sz w:val="24"/>
                <w:szCs w:val="24"/>
              </w:rPr>
            </w:pPr>
            <w:r>
              <w:rPr>
                <w:rFonts w:hint="eastAsia" w:ascii="Times New Roman" w:hAnsi="Times New Roman" w:eastAsia="黑体"/>
                <w:sz w:val="28"/>
                <w:szCs w:val="28"/>
              </w:rPr>
              <w:t>专栏1：公共教育服务工程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8" w:type="dxa"/>
          </w:tcPr>
          <w:p>
            <w:pPr>
              <w:spacing w:line="400" w:lineRule="exact"/>
              <w:ind w:firstLine="480" w:firstLineChars="200"/>
              <w:contextualSpacing/>
              <w:rPr>
                <w:rFonts w:ascii="仿宋_GB2312" w:hAnsi="仿宋_GB2312" w:cs="仿宋_GB2312"/>
                <w:sz w:val="24"/>
                <w:szCs w:val="24"/>
              </w:rPr>
            </w:pPr>
            <w:r>
              <w:rPr>
                <w:rFonts w:ascii="Times New Roman" w:hAnsi="Times New Roman" w:eastAsia="楷体" w:cs="楷体"/>
                <w:bCs/>
                <w:sz w:val="24"/>
                <w:szCs w:val="24"/>
              </w:rPr>
              <w:t>1</w:t>
            </w:r>
            <w:r>
              <w:rPr>
                <w:rFonts w:hint="eastAsia" w:ascii="Times New Roman" w:hAnsi="Times New Roman" w:eastAsia="楷体" w:cs="楷体"/>
                <w:bCs/>
                <w:sz w:val="24"/>
                <w:szCs w:val="24"/>
              </w:rPr>
              <w:t>.义务教育优质均衡工程。</w:t>
            </w:r>
            <w:r>
              <w:rPr>
                <w:rFonts w:hint="eastAsia" w:ascii="仿宋_GB2312" w:hAnsi="仿宋_GB2312" w:cs="仿宋_GB2312"/>
                <w:sz w:val="24"/>
                <w:szCs w:val="24"/>
              </w:rPr>
              <w:t>持续加强城乡优质教育资源供给和整合，建好用好中心城区完全学校，高标准建成市一中新校区，全面优化城乡中小学、幼儿园布局建设和资源配置，实现学前教育普惠优质、基础教育优质均衡发展。全市实施农村寄宿制学校改扩建工程，新建、改扩建一批城镇中小学，实施创建市级义务教育管理标准化示范学校工作。</w:t>
            </w:r>
          </w:p>
          <w:p>
            <w:pPr>
              <w:spacing w:line="400" w:lineRule="exact"/>
              <w:ind w:firstLine="480" w:firstLineChars="200"/>
              <w:contextualSpacing/>
              <w:rPr>
                <w:rFonts w:ascii="仿宋_GB2312" w:hAnsi="仿宋_GB2312" w:cs="仿宋_GB2312"/>
                <w:sz w:val="24"/>
                <w:szCs w:val="24"/>
              </w:rPr>
            </w:pPr>
            <w:r>
              <w:rPr>
                <w:rFonts w:ascii="Times New Roman" w:hAnsi="Times New Roman" w:eastAsia="楷体" w:cs="楷体"/>
                <w:bCs/>
                <w:sz w:val="24"/>
                <w:szCs w:val="24"/>
              </w:rPr>
              <w:t>2</w:t>
            </w:r>
            <w:r>
              <w:rPr>
                <w:rFonts w:hint="eastAsia" w:ascii="Times New Roman" w:hAnsi="Times New Roman" w:eastAsia="楷体" w:cs="楷体"/>
                <w:bCs/>
                <w:sz w:val="24"/>
                <w:szCs w:val="24"/>
              </w:rPr>
              <w:t>.职业教育改革提质工程。</w:t>
            </w:r>
            <w:r>
              <w:rPr>
                <w:rFonts w:hint="eastAsia" w:ascii="仿宋_GB2312" w:hAnsi="仿宋_GB2312" w:cs="仿宋_GB2312"/>
                <w:sz w:val="24"/>
                <w:szCs w:val="24"/>
              </w:rPr>
              <w:t>实施中等职业学校标准化建设工程，每个县建好办好1所符合当地经济社会发展和技术技能人才培养需要的中等职业学校或职教中心。推进高等职业学校高质量发展，重点建设1-2所优质高等职业院校，增设2-3所特色鲜明、具有竞争力的优质高等职业学校。到2025年，南阳职教园区基础设施基本建成，入驻高职、高专院校5所以上。重点建设一批高水平专业化产教融合实训基地，推动一批产教融合、校企合作项目落地。</w:t>
            </w:r>
          </w:p>
          <w:p>
            <w:pPr>
              <w:spacing w:line="400" w:lineRule="exact"/>
              <w:ind w:firstLine="480" w:firstLineChars="200"/>
              <w:contextualSpacing/>
              <w:rPr>
                <w:rFonts w:ascii="仿宋_GB2312" w:hAnsi="仿宋_GB2312" w:cs="仿宋_GB2312"/>
                <w:sz w:val="24"/>
                <w:szCs w:val="24"/>
              </w:rPr>
            </w:pPr>
            <w:r>
              <w:rPr>
                <w:rFonts w:hint="eastAsia" w:ascii="Times New Roman" w:hAnsi="Times New Roman" w:eastAsia="楷体" w:cs="楷体"/>
                <w:bCs/>
                <w:sz w:val="24"/>
                <w:szCs w:val="24"/>
              </w:rPr>
              <w:t>3.高等教育质量提升工程。</w:t>
            </w:r>
            <w:r>
              <w:rPr>
                <w:rFonts w:hint="eastAsia" w:ascii="仿宋_GB2312" w:hAnsi="仿宋_GB2312" w:cs="仿宋_GB2312"/>
                <w:sz w:val="24"/>
                <w:szCs w:val="24"/>
              </w:rPr>
              <w:t>加快推进南阳大学城建设，恢复重建张仲景国医大学，新建牧原职业学院、南阳工艺美术职业学院等应用型职业学院，加快职业教育资源整合，争取南阳农业职业学院、南阳医学高等专科学校、南阳职业学院、河南工业职业技术学院、南阳科技职业学院升本；加强南阳师范学院、南阳理工学院应用技术类本科院校内涵建设，“十四五”末力争全市本科院校达到6所、高职高专院校达到8所。</w:t>
            </w:r>
          </w:p>
          <w:p>
            <w:pPr>
              <w:spacing w:line="400" w:lineRule="exact"/>
              <w:ind w:firstLine="480" w:firstLineChars="200"/>
              <w:contextualSpacing/>
              <w:rPr>
                <w:rFonts w:ascii="仿宋_GB2312" w:hAnsi="仿宋_GB2312" w:cs="仿宋_GB2312"/>
                <w:sz w:val="24"/>
                <w:szCs w:val="24"/>
              </w:rPr>
            </w:pPr>
            <w:r>
              <w:rPr>
                <w:rFonts w:hint="eastAsia" w:ascii="Times New Roman" w:hAnsi="Times New Roman" w:eastAsia="楷体" w:cs="楷体"/>
                <w:bCs/>
                <w:sz w:val="24"/>
                <w:szCs w:val="24"/>
              </w:rPr>
              <w:t>4.终身教育建设工程。</w:t>
            </w:r>
            <w:r>
              <w:rPr>
                <w:rFonts w:hint="eastAsia" w:ascii="仿宋_GB2312" w:hAnsi="仿宋_GB2312" w:cs="仿宋_GB2312"/>
                <w:sz w:val="24"/>
                <w:szCs w:val="24"/>
              </w:rPr>
              <w:t>实施继续教育推进工程，建设一批面向社会开放共享的优质继续教育网络课程。加快推进学习型社会建设，支持建设一批示范性社区学院（学校），创建一批示范性老年大学（学校），深入研发一批老年教育课程资源。</w:t>
            </w:r>
          </w:p>
          <w:p>
            <w:pPr>
              <w:spacing w:line="400" w:lineRule="exact"/>
              <w:ind w:firstLine="480" w:firstLineChars="200"/>
              <w:contextualSpacing/>
              <w:rPr>
                <w:rFonts w:ascii="Times New Roman" w:hAnsi="Times New Roman" w:eastAsia="仿宋"/>
                <w:sz w:val="24"/>
                <w:szCs w:val="24"/>
              </w:rPr>
            </w:pPr>
            <w:r>
              <w:rPr>
                <w:rFonts w:hint="eastAsia" w:ascii="Times New Roman" w:hAnsi="Times New Roman" w:eastAsia="楷体" w:cs="楷体"/>
                <w:bCs/>
                <w:sz w:val="24"/>
                <w:szCs w:val="24"/>
              </w:rPr>
              <w:t>5.教育信息化建设工程。</w:t>
            </w:r>
            <w:r>
              <w:rPr>
                <w:rFonts w:hint="eastAsia" w:ascii="仿宋_GB2312" w:hAnsi="仿宋_GB2312" w:cs="仿宋_GB2312"/>
                <w:sz w:val="24"/>
                <w:szCs w:val="24"/>
              </w:rPr>
              <w:t>全市中小学校（含教学点）宽带网络接入率达到100%，中小学校平均带宽达到300M以上，多媒体教室占教室总数的比例达到95%以上。到2022年，全市中小学校信息化基础设施基本完备。到2025年，重点培育1-3个教育信息化2.0示范县（市、区）、30个市级数字校园示范校，争创5-10个省级智慧校园示范校或省级数字校园建设标杆校。</w:t>
            </w:r>
          </w:p>
        </w:tc>
      </w:tr>
    </w:tbl>
    <w:p>
      <w:pPr>
        <w:pStyle w:val="6"/>
        <w:spacing w:line="560" w:lineRule="exact"/>
        <w:ind w:firstLine="640"/>
        <w:contextualSpacing/>
        <w:jc w:val="center"/>
        <w:rPr>
          <w:rFonts w:ascii="Times New Roman" w:hAnsi="Times New Roman"/>
          <w:bCs/>
        </w:rPr>
      </w:pPr>
      <w:bookmarkStart w:id="1458" w:name="_Toc11988"/>
      <w:r>
        <w:rPr>
          <w:rFonts w:hint="eastAsia" w:ascii="Times New Roman" w:hAnsi="Times New Roman"/>
        </w:rPr>
        <w:t>第四章</w:t>
      </w:r>
      <w:r>
        <w:rPr>
          <w:rFonts w:ascii="Times New Roman" w:hAnsi="Times New Roman"/>
        </w:rPr>
        <w:t xml:space="preserve">  </w:t>
      </w:r>
      <w:bookmarkEnd w:id="1447"/>
      <w:r>
        <w:rPr>
          <w:rFonts w:hint="eastAsia" w:ascii="Times New Roman" w:hAnsi="Times New Roman"/>
        </w:rPr>
        <w:t>强化全方位就业创业服务</w:t>
      </w:r>
      <w:bookmarkEnd w:id="1458"/>
    </w:p>
    <w:p>
      <w:pPr>
        <w:spacing w:line="560" w:lineRule="exact"/>
        <w:ind w:firstLine="640" w:firstLineChars="200"/>
        <w:contextualSpacing/>
        <w:rPr>
          <w:rFonts w:ascii="Times New Roman" w:hAnsi="Times New Roman"/>
        </w:rPr>
      </w:pPr>
      <w:r>
        <w:rPr>
          <w:rFonts w:hint="eastAsia" w:ascii="Times New Roman" w:hAnsi="Times New Roman"/>
        </w:rPr>
        <w:t>推进“人人持证、技能河南”建设，以技能提升促进就业创业，加强公共就业服务和劳动保护，防范化解失业风险，构建和谐劳动关系。</w:t>
      </w:r>
    </w:p>
    <w:p>
      <w:pPr>
        <w:pStyle w:val="7"/>
        <w:spacing w:line="560" w:lineRule="exact"/>
        <w:contextualSpacing/>
        <w:jc w:val="center"/>
        <w:rPr>
          <w:rFonts w:ascii="Times New Roman" w:hAnsi="Times New Roman" w:eastAsia="楷体_GB2312"/>
          <w:b w:val="0"/>
          <w:szCs w:val="32"/>
        </w:rPr>
      </w:pPr>
      <w:bookmarkStart w:id="1459" w:name="_Toc30494"/>
      <w:bookmarkStart w:id="1460" w:name="_Toc29456"/>
      <w:bookmarkStart w:id="1461" w:name="_Toc20684"/>
      <w:r>
        <w:rPr>
          <w:rFonts w:hint="eastAsia" w:ascii="Times New Roman" w:hAnsi="Times New Roman" w:eastAsia="楷体_GB2312"/>
          <w:b w:val="0"/>
          <w:bCs/>
          <w:szCs w:val="32"/>
        </w:rPr>
        <w:t>第一节</w:t>
      </w:r>
      <w:bookmarkEnd w:id="1459"/>
      <w:r>
        <w:rPr>
          <w:rFonts w:hint="eastAsia" w:ascii="Times New Roman" w:hAnsi="Times New Roman" w:eastAsia="楷体_GB2312"/>
          <w:b w:val="0"/>
          <w:bCs/>
          <w:szCs w:val="32"/>
        </w:rPr>
        <w:t xml:space="preserve">  推动更加充分更高质量就业</w:t>
      </w:r>
      <w:bookmarkEnd w:id="1460"/>
      <w:bookmarkEnd w:id="1461"/>
    </w:p>
    <w:p>
      <w:pPr>
        <w:spacing w:line="560" w:lineRule="exact"/>
        <w:ind w:firstLine="640" w:firstLineChars="200"/>
        <w:contextualSpacing/>
        <w:rPr>
          <w:rFonts w:ascii="Times New Roman" w:hAnsi="Times New Roman"/>
        </w:rPr>
      </w:pPr>
      <w:r>
        <w:rPr>
          <w:rFonts w:hint="eastAsia" w:ascii="Times New Roman" w:hAnsi="Times New Roman"/>
          <w:bCs/>
          <w:kern w:val="0"/>
        </w:rPr>
        <w:t>大力实施职业技能培训。</w:t>
      </w:r>
      <w:r>
        <w:rPr>
          <w:rFonts w:hint="eastAsia" w:ascii="Times New Roman" w:hAnsi="Times New Roman"/>
        </w:rPr>
        <w:t>构建全劳动周期、全工种门类技能培训体系，营造技能就业、技能增收、技能成才的浓厚氛围，加快“人人持证、技能河南”建设。大规模开展高质量的职业技能培训，全面提升企业在岗职工、就业重点群体、建档立卡贫困劳动力等城乡劳动者职业技能水平和就业创业能力。创新职业技能培训模式，全面推行企业新型学徒制，落实</w:t>
      </w:r>
      <w:r>
        <w:rPr>
          <w:rFonts w:hint="eastAsia" w:ascii="Times New Roman" w:hAnsi="Times New Roman"/>
          <w:lang w:val="zh-CN"/>
        </w:rPr>
        <w:t>“互</w:t>
      </w:r>
      <w:r>
        <w:rPr>
          <w:rFonts w:hint="eastAsia" w:ascii="Times New Roman" w:hAnsi="Times New Roman"/>
        </w:rPr>
        <w:t>联网+职业技能培训”计划。加强职业技能培训规范化管理，完善职业技能标准、培训大纲、职业培训包和职业技能培训教材。加大培训资金多元投入力度，统筹各级各类职业技能培训资金，畅通培训补贴直达企业和培训者渠道。到2025年，完成110万人次职业技能培训、75万人取得相应证书。全市持证人员总量达到246万人，占从业人员的60%以上。技能人才占从业人员的40%左右，中高级技能人才占技能人才的比例达到80%以上。</w:t>
      </w:r>
    </w:p>
    <w:p>
      <w:pPr>
        <w:spacing w:line="560" w:lineRule="exact"/>
        <w:ind w:firstLine="640" w:firstLineChars="200"/>
        <w:contextualSpacing/>
        <w:rPr>
          <w:rFonts w:ascii="Times New Roman" w:hAnsi="Times New Roman"/>
        </w:rPr>
      </w:pPr>
      <w:r>
        <w:rPr>
          <w:rFonts w:hint="eastAsia" w:ascii="Times New Roman" w:hAnsi="Times New Roman"/>
          <w:bCs/>
          <w:kern w:val="0"/>
        </w:rPr>
        <w:t>增强公共就业服务能力。</w:t>
      </w:r>
      <w:r>
        <w:rPr>
          <w:rFonts w:hint="eastAsia" w:ascii="Times New Roman" w:hAnsi="Times New Roman"/>
          <w:lang w:val="zh-CN"/>
        </w:rPr>
        <w:t>全面开展就业政策法规咨询、信息发布、职业指导和职业介绍、就业失业登记等免费服务，推进服务规范化和信息化。建立健全行业人力资源需求预测和就业状况定期发布制度，完善人力资源市场供求分析。开展</w:t>
      </w:r>
      <w:r>
        <w:rPr>
          <w:rFonts w:hint="eastAsia" w:ascii="Times New Roman" w:hAnsi="Times New Roman"/>
        </w:rPr>
        <w:t>全市</w:t>
      </w:r>
      <w:r>
        <w:rPr>
          <w:rFonts w:hint="eastAsia" w:ascii="Times New Roman" w:hAnsi="Times New Roman"/>
          <w:lang w:val="zh-CN"/>
        </w:rPr>
        <w:t>就业信息监测，建立健全就业失业登记信息采集录入质量管理制度。健全流动人员人事档案管理服务体系。完善农民工、高校毕业生等重点群体就业支持体系。实施高校毕业生就业创业帮扶行动，完善就业见习服务制度。加强对就业困难人员和零就业家庭的就业援助，利用公益性岗位对就业困难人员托底安置。</w:t>
      </w:r>
    </w:p>
    <w:p>
      <w:pPr>
        <w:spacing w:line="560" w:lineRule="exact"/>
        <w:ind w:firstLine="640" w:firstLineChars="200"/>
        <w:contextualSpacing/>
        <w:rPr>
          <w:rFonts w:ascii="Times New Roman" w:hAnsi="Times New Roman"/>
        </w:rPr>
      </w:pPr>
      <w:r>
        <w:rPr>
          <w:rFonts w:hint="eastAsia" w:ascii="Times New Roman" w:hAnsi="Times New Roman"/>
          <w:bCs/>
          <w:kern w:val="0"/>
        </w:rPr>
        <w:t>促进创业带动就业。</w:t>
      </w:r>
      <w:r>
        <w:rPr>
          <w:rFonts w:hint="eastAsia" w:ascii="Times New Roman" w:hAnsi="Times New Roman"/>
        </w:rPr>
        <w:t>支持创业担保贷款发展，适当放宽贷款条件，提高贷款额度，落实风险分担机制。持续实施返乡入乡创业培训行动计划，扩大创业培训覆盖面，推进网络创业培训和新型创业实训，评选认定一批创业孵化示范基地。依托龙头企业、行业协会等建立服务大众创业的开放式平台，形成覆盖全市的创业孵化体系。支持县区建设返乡入乡创业“一站式”综合服务平台，组织创业创新大赛和交流活动。</w:t>
      </w:r>
    </w:p>
    <w:p>
      <w:pPr>
        <w:spacing w:line="560" w:lineRule="exact"/>
        <w:ind w:firstLine="640" w:firstLineChars="200"/>
        <w:contextualSpacing/>
        <w:rPr>
          <w:rFonts w:ascii="Times New Roman" w:hAnsi="Times New Roman"/>
        </w:rPr>
      </w:pPr>
      <w:r>
        <w:rPr>
          <w:rFonts w:hint="eastAsia" w:ascii="Times New Roman" w:hAnsi="Times New Roman"/>
          <w:bCs/>
          <w:kern w:val="0"/>
        </w:rPr>
        <w:t>拓展就业创业新空间。</w:t>
      </w:r>
      <w:r>
        <w:rPr>
          <w:rFonts w:hint="eastAsia" w:ascii="Times New Roman" w:hAnsi="Times New Roman"/>
        </w:rPr>
        <w:t>瞄准未来就业领域发展潜力，加快布局建设新兴商业综合体，持续探索新模式新业态，不断拓展就业创业新空间，努力实现经济转型升级与就业提质扩面互促共进。坚持包容审慎原则，引导零工经济、地摊经济、夜间经济发展，打造新兴消费场景和夜间经济品牌，培育新的经济增长点，不断扩大灵活就业空间。构建更有利于扩大就业的现代化经济体系，优先支持吸纳就业能力强、潜力大的现代服务业、部分劳动密集型行业和小微企业、民营企业发展。打造具有南阳特色、推销南阳产品的直播销售平台，拓宽新型就业空</w:t>
      </w:r>
      <w:bookmarkStart w:id="1462" w:name="bookmark68"/>
      <w:r>
        <w:rPr>
          <w:rFonts w:hint="eastAsia" w:ascii="Times New Roman" w:hAnsi="Times New Roman"/>
        </w:rPr>
        <w:t>间。</w:t>
      </w:r>
      <w:bookmarkEnd w:id="1462"/>
      <w:r>
        <w:rPr>
          <w:rFonts w:hint="eastAsia" w:ascii="Times New Roman" w:hAnsi="Times New Roman"/>
        </w:rPr>
        <w:t>支持和规范发展新就业形态，清理取消限制灵活就业的不合理规定。</w:t>
      </w:r>
    </w:p>
    <w:p>
      <w:pPr>
        <w:pStyle w:val="7"/>
        <w:spacing w:line="560" w:lineRule="exact"/>
        <w:contextualSpacing/>
        <w:jc w:val="center"/>
        <w:rPr>
          <w:rFonts w:ascii="Times New Roman" w:hAnsi="Times New Roman" w:eastAsia="楷体_GB2312"/>
          <w:b w:val="0"/>
          <w:szCs w:val="32"/>
        </w:rPr>
      </w:pPr>
      <w:bookmarkStart w:id="1463" w:name="_Toc21814"/>
      <w:bookmarkStart w:id="1464" w:name="_Toc5708"/>
      <w:bookmarkStart w:id="1465" w:name="_Toc19339"/>
      <w:r>
        <w:rPr>
          <w:rFonts w:hint="eastAsia" w:ascii="Times New Roman" w:hAnsi="Times New Roman" w:eastAsia="楷体_GB2312"/>
          <w:b w:val="0"/>
          <w:bCs/>
          <w:szCs w:val="32"/>
        </w:rPr>
        <w:t>第二节  服务保障</w:t>
      </w:r>
      <w:bookmarkEnd w:id="1463"/>
      <w:bookmarkEnd w:id="1464"/>
      <w:bookmarkEnd w:id="1465"/>
    </w:p>
    <w:p>
      <w:pPr>
        <w:spacing w:line="560" w:lineRule="exact"/>
        <w:ind w:firstLine="640" w:firstLineChars="200"/>
        <w:contextualSpacing/>
        <w:rPr>
          <w:rFonts w:ascii="楷体_GB2312" w:hAnsi="楷体_GB2312" w:eastAsia="楷体_GB2312" w:cs="楷体_GB2312"/>
        </w:rPr>
      </w:pPr>
      <w:r>
        <w:rPr>
          <w:rFonts w:hint="eastAsia" w:ascii="Times New Roman" w:hAnsi="Times New Roman"/>
          <w:bCs/>
          <w:kern w:val="0"/>
        </w:rPr>
        <w:t>提升劳动用工保障。</w:t>
      </w:r>
      <w:r>
        <w:rPr>
          <w:rFonts w:ascii="华文仿宋" w:hAnsi="华文仿宋" w:eastAsia="华文仿宋" w:cs="Arial"/>
          <w:shd w:val="clear" w:color="auto" w:fill="FFFFFF"/>
        </w:rPr>
        <w:t>健全劳动关系协调机制，</w:t>
      </w:r>
      <w:r>
        <w:rPr>
          <w:rFonts w:hint="eastAsia" w:ascii="华文仿宋" w:hAnsi="华文仿宋" w:eastAsia="华文仿宋" w:cs="Arial"/>
          <w:shd w:val="clear" w:color="auto" w:fill="FFFFFF"/>
          <w:lang w:val="zh-CN"/>
        </w:rPr>
        <w:t>探索建立新业态从业人员劳动权益保障机制，</w:t>
      </w:r>
      <w:r>
        <w:rPr>
          <w:rFonts w:ascii="华文仿宋" w:hAnsi="华文仿宋" w:eastAsia="华文仿宋" w:cs="Arial"/>
          <w:shd w:val="clear" w:color="auto" w:fill="FFFFFF"/>
        </w:rPr>
        <w:t>深入开展和谐劳动关系创建活动，</w:t>
      </w:r>
      <w:r>
        <w:rPr>
          <w:rFonts w:hint="eastAsia" w:ascii="华文仿宋" w:hAnsi="华文仿宋" w:eastAsia="华文仿宋" w:cs="Arial"/>
          <w:shd w:val="clear" w:color="auto" w:fill="FFFFFF"/>
          <w:lang w:val="zh-CN"/>
        </w:rPr>
        <w:t>完善劳动关系风险化解体制机制，</w:t>
      </w:r>
      <w:r>
        <w:rPr>
          <w:rFonts w:hint="eastAsia" w:ascii="华文仿宋" w:hAnsi="华文仿宋" w:eastAsia="华文仿宋" w:cs="Arial"/>
          <w:shd w:val="clear" w:color="auto" w:fill="FFFFFF"/>
        </w:rPr>
        <w:t>发挥协调劳动关系三方机制作用</w:t>
      </w:r>
      <w:r>
        <w:rPr>
          <w:rFonts w:hint="eastAsia" w:ascii="Times New Roman" w:hAnsi="Times New Roman"/>
        </w:rPr>
        <w:t>。提升劳动人事争议处理效能，深化调解仲裁制度机制创新工作改革，完善基层多方联动调处机制，优化调解、仲裁、诉讼衔接机制，畅通劳动争议纠纷调解仲裁受理渠道。</w:t>
      </w:r>
    </w:p>
    <w:p>
      <w:pPr>
        <w:spacing w:line="560" w:lineRule="exact"/>
        <w:ind w:firstLine="640" w:firstLineChars="200"/>
        <w:contextualSpacing/>
        <w:rPr>
          <w:rFonts w:ascii="Times New Roman" w:hAnsi="Times New Roman"/>
        </w:rPr>
      </w:pPr>
      <w:r>
        <w:rPr>
          <w:rFonts w:hint="eastAsia" w:ascii="Times New Roman" w:hAnsi="Times New Roman"/>
          <w:bCs/>
          <w:kern w:val="0"/>
        </w:rPr>
        <w:t>完善数字就业服务。</w:t>
      </w:r>
      <w:r>
        <w:rPr>
          <w:rFonts w:hint="eastAsia" w:ascii="Times New Roman" w:hAnsi="Times New Roman"/>
        </w:rPr>
        <w:t>全面推动公共就业服务数字化转型，推动全市“互联网+就业创业”信息系统全覆盖，全面推行“网上办”“掌上办”等改革举措，打造便捷高效的公共就业服务。完善就业服务场景，简化事项办理流程，推动就业政策应享尽享。推进人才服务平台建设，加强服务事项和服务资源归集，建设统一的人才流量入口、服务枢纽和数据后台。</w:t>
      </w:r>
    </w:p>
    <w:p>
      <w:pPr>
        <w:spacing w:line="560" w:lineRule="exact"/>
        <w:ind w:firstLine="640" w:firstLineChars="200"/>
        <w:contextualSpacing/>
        <w:rPr>
          <w:rFonts w:ascii="Times New Roman" w:hAnsi="Times New Roman"/>
        </w:rPr>
      </w:pPr>
      <w:r>
        <w:rPr>
          <w:rFonts w:hint="eastAsia" w:ascii="Times New Roman" w:hAnsi="Times New Roman"/>
          <w:bCs/>
          <w:kern w:val="0"/>
        </w:rPr>
        <w:t>加强失业风险防范。</w:t>
      </w:r>
      <w:r>
        <w:rPr>
          <w:rFonts w:hint="eastAsia" w:ascii="Times New Roman" w:hAnsi="Times New Roman"/>
        </w:rPr>
        <w:t>加强就业失业统计监测体系建设，构建覆盖劳动力市场、企业用工主体和劳动者个体的就业失业统计调查体系。创新运用大数据监测平台，开展就业信息数据深度挖掘分析，及时发现风险隐患。加强就业失业形势预警分析，建立应对突发事件就业应急机制，着力防范化解规模性失业风险。加强各类登记失业人员再就业援助服务和职业技能培训，促进失业人员尽快实现再就业。</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839" w:type="dxa"/>
            <w:vAlign w:val="center"/>
          </w:tcPr>
          <w:p>
            <w:pPr>
              <w:adjustRightInd w:val="0"/>
              <w:snapToGrid w:val="0"/>
              <w:spacing w:line="400" w:lineRule="exact"/>
              <w:contextualSpacing/>
              <w:jc w:val="center"/>
              <w:rPr>
                <w:rFonts w:ascii="Times New Roman" w:hAnsi="Times New Roman" w:eastAsia="黑体"/>
                <w:sz w:val="24"/>
                <w:szCs w:val="24"/>
              </w:rPr>
            </w:pPr>
            <w:r>
              <w:rPr>
                <w:rFonts w:hint="eastAsia" w:ascii="Times New Roman" w:hAnsi="Times New Roman" w:eastAsia="黑体"/>
                <w:sz w:val="28"/>
                <w:szCs w:val="28"/>
              </w:rPr>
              <w:t>专栏2：公共就业创业服务工程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9" w:type="dxa"/>
          </w:tcPr>
          <w:p>
            <w:pPr>
              <w:spacing w:line="400" w:lineRule="exact"/>
              <w:ind w:firstLine="480" w:firstLineChars="200"/>
              <w:contextualSpacing/>
              <w:rPr>
                <w:rFonts w:ascii="Times New Roman" w:hAnsi="Times New Roman" w:eastAsia="仿宋" w:cs="仿宋"/>
                <w:sz w:val="24"/>
                <w:szCs w:val="24"/>
              </w:rPr>
            </w:pPr>
            <w:r>
              <w:rPr>
                <w:rFonts w:hint="eastAsia" w:ascii="Times New Roman" w:hAnsi="Times New Roman" w:eastAsia="楷体" w:cs="楷体"/>
                <w:bCs/>
                <w:sz w:val="24"/>
                <w:szCs w:val="24"/>
              </w:rPr>
              <w:t>1.高质量就业工程。</w:t>
            </w:r>
            <w:r>
              <w:rPr>
                <w:rFonts w:hint="eastAsia" w:ascii="仿宋_GB2312" w:hAnsi="仿宋_GB2312" w:cs="仿宋_GB2312"/>
                <w:sz w:val="24"/>
                <w:szCs w:val="24"/>
              </w:rPr>
              <w:t>以现有省级和市级创业孵化基地为依托，组建省、市级“双创”基地（联盟）。规划建设农民工返乡创业基地，面向返乡创业的农民工提供政策咨询、项目推介、创业培训、开业指导、专家评析、创业孵化等服务指导。南阳市公共就业实训基地和职业技能鉴定中心，面向城乡各类劳动者提供技能训练、技能竞赛、技能鉴定、创业孵化、师资培训、课程研发等服务。重点建设南阳市人力资源服务产业园项目，建立专业化、信息化、产业化、国际化的人力资源服务体系。</w:t>
            </w:r>
          </w:p>
          <w:p>
            <w:pPr>
              <w:spacing w:line="400" w:lineRule="exact"/>
              <w:ind w:firstLine="480" w:firstLineChars="200"/>
              <w:contextualSpacing/>
              <w:rPr>
                <w:rFonts w:ascii="仿宋_GB2312" w:hAnsi="仿宋_GB2312" w:cs="仿宋_GB2312"/>
                <w:sz w:val="24"/>
                <w:szCs w:val="24"/>
              </w:rPr>
            </w:pPr>
            <w:r>
              <w:rPr>
                <w:rFonts w:ascii="Times New Roman" w:hAnsi="Times New Roman" w:eastAsia="楷体" w:cs="楷体"/>
                <w:bCs/>
                <w:sz w:val="24"/>
                <w:szCs w:val="24"/>
              </w:rPr>
              <w:t>2.</w:t>
            </w:r>
            <w:r>
              <w:rPr>
                <w:rFonts w:hint="eastAsia" w:ascii="Times New Roman" w:hAnsi="Times New Roman" w:eastAsia="楷体" w:cs="楷体"/>
                <w:bCs/>
                <w:sz w:val="24"/>
                <w:szCs w:val="24"/>
              </w:rPr>
              <w:t>全民</w:t>
            </w:r>
            <w:r>
              <w:rPr>
                <w:rFonts w:ascii="Times New Roman" w:hAnsi="Times New Roman" w:eastAsia="楷体" w:cs="楷体"/>
                <w:bCs/>
                <w:sz w:val="24"/>
                <w:szCs w:val="24"/>
              </w:rPr>
              <w:t>技能</w:t>
            </w:r>
            <w:r>
              <w:rPr>
                <w:rFonts w:hint="eastAsia" w:ascii="Times New Roman" w:hAnsi="Times New Roman" w:eastAsia="楷体" w:cs="楷体"/>
                <w:bCs/>
                <w:sz w:val="24"/>
                <w:szCs w:val="24"/>
              </w:rPr>
              <w:t>振兴</w:t>
            </w:r>
            <w:r>
              <w:rPr>
                <w:rFonts w:ascii="Times New Roman" w:hAnsi="Times New Roman" w:eastAsia="楷体" w:cs="楷体"/>
                <w:bCs/>
                <w:sz w:val="24"/>
                <w:szCs w:val="24"/>
              </w:rPr>
              <w:t>工程。</w:t>
            </w:r>
            <w:r>
              <w:rPr>
                <w:rFonts w:ascii="仿宋_GB2312" w:hAnsi="仿宋_GB2312" w:cs="仿宋_GB2312"/>
                <w:sz w:val="24"/>
                <w:szCs w:val="24"/>
              </w:rPr>
              <w:t>实施职业技能提升行动，建设高技能人才培训培养基地、省级技能大师工作室、技工院校一体化师资培训基地等。</w:t>
            </w:r>
            <w:r>
              <w:rPr>
                <w:rFonts w:hint="eastAsia" w:ascii="仿宋_GB2312" w:hAnsi="仿宋_GB2312" w:cs="仿宋_GB2312"/>
                <w:sz w:val="24"/>
                <w:szCs w:val="24"/>
              </w:rPr>
              <w:t>实施</w:t>
            </w:r>
            <w:r>
              <w:rPr>
                <w:rFonts w:ascii="仿宋_GB2312" w:hAnsi="仿宋_GB2312" w:cs="仿宋_GB2312"/>
                <w:sz w:val="24"/>
                <w:szCs w:val="24"/>
              </w:rPr>
              <w:t>技工教育高质量发展工程</w:t>
            </w:r>
            <w:r>
              <w:rPr>
                <w:rFonts w:hint="eastAsia" w:ascii="仿宋_GB2312" w:hAnsi="仿宋_GB2312" w:cs="仿宋_GB2312"/>
                <w:sz w:val="24"/>
                <w:szCs w:val="24"/>
              </w:rPr>
              <w:t>，力争全市技工教育在校生及各类技能培训规模达到5万人。实施“互联网+”职业技能培训计划，开发线上培训课程，开放线上培训资源，组织开展线上培训。重点推进南阳市公共实训基地、创业孵化基地等项目建设。</w:t>
            </w:r>
          </w:p>
          <w:p>
            <w:pPr>
              <w:spacing w:line="400" w:lineRule="exact"/>
              <w:ind w:firstLine="480" w:firstLineChars="200"/>
              <w:contextualSpacing/>
              <w:rPr>
                <w:rFonts w:ascii="仿宋_GB2312" w:hAnsi="仿宋_GB2312" w:cs="仿宋_GB2312"/>
                <w:sz w:val="24"/>
                <w:szCs w:val="24"/>
              </w:rPr>
            </w:pPr>
            <w:r>
              <w:rPr>
                <w:rFonts w:ascii="Times New Roman" w:hAnsi="Times New Roman" w:eastAsia="楷体" w:cs="楷体"/>
                <w:bCs/>
                <w:sz w:val="24"/>
                <w:szCs w:val="24"/>
              </w:rPr>
              <w:t>3.</w:t>
            </w:r>
            <w:r>
              <w:rPr>
                <w:rFonts w:hint="eastAsia" w:ascii="Times New Roman" w:hAnsi="Times New Roman" w:eastAsia="楷体" w:cs="楷体"/>
                <w:bCs/>
                <w:sz w:val="24"/>
                <w:szCs w:val="24"/>
              </w:rPr>
              <w:t>基础能力提升</w:t>
            </w:r>
            <w:r>
              <w:rPr>
                <w:rFonts w:ascii="Times New Roman" w:hAnsi="Times New Roman" w:eastAsia="楷体" w:cs="楷体"/>
                <w:bCs/>
                <w:sz w:val="24"/>
                <w:szCs w:val="24"/>
              </w:rPr>
              <w:t>工程。</w:t>
            </w:r>
            <w:r>
              <w:rPr>
                <w:rFonts w:ascii="仿宋_GB2312" w:hAnsi="仿宋_GB2312" w:cs="仿宋_GB2312"/>
                <w:sz w:val="24"/>
                <w:szCs w:val="24"/>
              </w:rPr>
              <w:t>以南阳技师学院和南阳市职教园</w:t>
            </w:r>
            <w:r>
              <w:rPr>
                <w:rFonts w:hint="eastAsia" w:ascii="仿宋_GB2312" w:hAnsi="仿宋_GB2312" w:cs="仿宋_GB2312"/>
                <w:sz w:val="24"/>
                <w:szCs w:val="24"/>
              </w:rPr>
              <w:t>区</w:t>
            </w:r>
            <w:r>
              <w:rPr>
                <w:rFonts w:ascii="仿宋_GB2312" w:hAnsi="仿宋_GB2312" w:cs="仿宋_GB2312"/>
                <w:sz w:val="24"/>
                <w:szCs w:val="24"/>
              </w:rPr>
              <w:t>为依托，</w:t>
            </w:r>
            <w:r>
              <w:rPr>
                <w:rFonts w:hint="eastAsia" w:ascii="仿宋_GB2312" w:hAnsi="仿宋_GB2312" w:cs="仿宋_GB2312"/>
                <w:sz w:val="24"/>
                <w:szCs w:val="24"/>
              </w:rPr>
              <w:t>建设</w:t>
            </w:r>
            <w:r>
              <w:rPr>
                <w:rFonts w:ascii="仿宋_GB2312" w:hAnsi="仿宋_GB2312" w:cs="仿宋_GB2312"/>
                <w:sz w:val="24"/>
                <w:szCs w:val="24"/>
              </w:rPr>
              <w:t>豫西南产教融合创新示范园区项目。</w:t>
            </w:r>
            <w:r>
              <w:rPr>
                <w:rFonts w:hint="eastAsia" w:ascii="仿宋_GB2312" w:hAnsi="仿宋_GB2312" w:cs="仿宋_GB2312"/>
                <w:sz w:val="24"/>
                <w:szCs w:val="24"/>
              </w:rPr>
              <w:t>实施</w:t>
            </w:r>
            <w:r>
              <w:rPr>
                <w:rFonts w:ascii="仿宋_GB2312" w:hAnsi="仿宋_GB2312" w:cs="仿宋_GB2312"/>
                <w:sz w:val="24"/>
                <w:szCs w:val="24"/>
              </w:rPr>
              <w:t>南阳新兴产业高技能人才培养工程</w:t>
            </w:r>
            <w:r>
              <w:rPr>
                <w:rFonts w:hint="eastAsia" w:ascii="仿宋_GB2312" w:hAnsi="仿宋_GB2312" w:cs="仿宋_GB2312"/>
                <w:sz w:val="24"/>
                <w:szCs w:val="24"/>
              </w:rPr>
              <w:t>。实施</w:t>
            </w:r>
            <w:r>
              <w:rPr>
                <w:rFonts w:ascii="仿宋_GB2312" w:hAnsi="仿宋_GB2312" w:cs="仿宋_GB2312"/>
                <w:sz w:val="24"/>
                <w:szCs w:val="24"/>
              </w:rPr>
              <w:t>全国跨层级跨区域务工创业招商引智服务联络体系工程</w:t>
            </w:r>
            <w:r>
              <w:rPr>
                <w:rFonts w:hint="eastAsia" w:ascii="仿宋_GB2312" w:hAnsi="仿宋_GB2312" w:cs="仿宋_GB2312"/>
                <w:sz w:val="24"/>
                <w:szCs w:val="24"/>
              </w:rPr>
              <w:t>，促进人力资源的合理流动、优化配置和劳动力的有序转移。</w:t>
            </w:r>
            <w:r>
              <w:rPr>
                <w:rFonts w:ascii="仿宋_GB2312" w:hAnsi="仿宋_GB2312" w:cs="仿宋_GB2312"/>
                <w:sz w:val="24"/>
                <w:szCs w:val="24"/>
              </w:rPr>
              <w:t>建设人事考试基地</w:t>
            </w:r>
            <w:r>
              <w:rPr>
                <w:rFonts w:hint="eastAsia" w:ascii="仿宋_GB2312" w:hAnsi="仿宋_GB2312" w:cs="仿宋_GB2312"/>
                <w:sz w:val="24"/>
                <w:szCs w:val="24"/>
              </w:rPr>
              <w:t>，</w:t>
            </w:r>
            <w:r>
              <w:rPr>
                <w:rFonts w:ascii="仿宋_GB2312" w:hAnsi="仿宋_GB2312" w:cs="仿宋_GB2312"/>
                <w:sz w:val="24"/>
                <w:szCs w:val="24"/>
              </w:rPr>
              <w:t>向全市机关事业单位，提供人员招聘（录）和工人技术等级、专业技术资格等各类人事考试的笔试、面试、机考等服务。</w:t>
            </w:r>
          </w:p>
          <w:p>
            <w:pPr>
              <w:spacing w:line="400" w:lineRule="exact"/>
              <w:ind w:firstLine="480" w:firstLineChars="200"/>
              <w:contextualSpacing/>
              <w:rPr>
                <w:rFonts w:ascii="Times New Roman" w:hAnsi="Times New Roman"/>
                <w:sz w:val="24"/>
                <w:szCs w:val="24"/>
              </w:rPr>
            </w:pPr>
            <w:r>
              <w:rPr>
                <w:rFonts w:ascii="Times New Roman" w:hAnsi="Times New Roman" w:eastAsia="楷体" w:cs="楷体"/>
                <w:bCs/>
                <w:sz w:val="24"/>
                <w:szCs w:val="24"/>
              </w:rPr>
              <w:t>4.</w:t>
            </w:r>
            <w:r>
              <w:rPr>
                <w:rFonts w:hint="eastAsia" w:ascii="Times New Roman" w:hAnsi="Times New Roman" w:eastAsia="楷体" w:cs="楷体"/>
                <w:bCs/>
                <w:sz w:val="24"/>
                <w:szCs w:val="24"/>
              </w:rPr>
              <w:t>“智慧人社”建设</w:t>
            </w:r>
            <w:r>
              <w:rPr>
                <w:rFonts w:ascii="Times New Roman" w:hAnsi="Times New Roman" w:eastAsia="楷体" w:cs="楷体"/>
                <w:bCs/>
                <w:sz w:val="24"/>
                <w:szCs w:val="24"/>
              </w:rPr>
              <w:t>工程。</w:t>
            </w:r>
            <w:r>
              <w:rPr>
                <w:rFonts w:ascii="仿宋_GB2312" w:hAnsi="仿宋_GB2312" w:cs="仿宋_GB2312"/>
                <w:sz w:val="24"/>
                <w:szCs w:val="24"/>
              </w:rPr>
              <w:t>全面完成“金保工程”二期建设任务，重点开发建设人社系统网络安全综合管理平台。推广应用全省</w:t>
            </w:r>
            <w:r>
              <w:rPr>
                <w:rFonts w:hint="eastAsia" w:ascii="仿宋_GB2312" w:hAnsi="仿宋_GB2312" w:cs="仿宋_GB2312"/>
                <w:sz w:val="24"/>
                <w:szCs w:val="24"/>
              </w:rPr>
              <w:t>统一的</w:t>
            </w:r>
            <w:r>
              <w:rPr>
                <w:rFonts w:ascii="仿宋_GB2312" w:hAnsi="仿宋_GB2312" w:cs="仿宋_GB2312"/>
                <w:sz w:val="24"/>
                <w:szCs w:val="24"/>
              </w:rPr>
              <w:t>社保卡智慧应用平台</w:t>
            </w:r>
            <w:r>
              <w:rPr>
                <w:rFonts w:hint="eastAsia" w:ascii="仿宋_GB2312" w:hAnsi="仿宋_GB2312" w:cs="仿宋_GB2312"/>
                <w:sz w:val="24"/>
                <w:szCs w:val="24"/>
              </w:rPr>
              <w:t>、劳动保障监察网络化系统、</w:t>
            </w:r>
            <w:r>
              <w:rPr>
                <w:rFonts w:ascii="仿宋_GB2312" w:hAnsi="仿宋_GB2312" w:cs="仿宋_GB2312"/>
                <w:sz w:val="24"/>
                <w:szCs w:val="24"/>
              </w:rPr>
              <w:t>线上线下“青年助业”职业指导系统</w:t>
            </w:r>
            <w:r>
              <w:rPr>
                <w:rFonts w:hint="eastAsia" w:ascii="仿宋_GB2312" w:hAnsi="仿宋_GB2312" w:cs="仿宋_GB2312"/>
                <w:sz w:val="24"/>
                <w:szCs w:val="24"/>
              </w:rPr>
              <w:t>、</w:t>
            </w:r>
            <w:r>
              <w:rPr>
                <w:rFonts w:ascii="仿宋_GB2312" w:hAnsi="仿宋_GB2312" w:cs="仿宋_GB2312"/>
                <w:sz w:val="24"/>
                <w:szCs w:val="24"/>
              </w:rPr>
              <w:t>人力资源社会保障信用管理平台</w:t>
            </w:r>
            <w:r>
              <w:rPr>
                <w:rFonts w:hint="eastAsia" w:ascii="仿宋_GB2312" w:hAnsi="仿宋_GB2312" w:cs="仿宋_GB2312"/>
                <w:sz w:val="24"/>
                <w:szCs w:val="24"/>
              </w:rPr>
              <w:t>和</w:t>
            </w:r>
            <w:r>
              <w:rPr>
                <w:rFonts w:ascii="仿宋_GB2312" w:hAnsi="仿宋_GB2312" w:cs="仿宋_GB2312"/>
                <w:sz w:val="24"/>
                <w:szCs w:val="24"/>
              </w:rPr>
              <w:t>劳动</w:t>
            </w:r>
            <w:r>
              <w:rPr>
                <w:rFonts w:hint="eastAsia" w:ascii="仿宋_GB2312" w:hAnsi="仿宋_GB2312" w:cs="仿宋_GB2312"/>
                <w:sz w:val="24"/>
                <w:szCs w:val="24"/>
              </w:rPr>
              <w:t>关系工作信息化管理系统</w:t>
            </w:r>
            <w:r>
              <w:rPr>
                <w:rFonts w:ascii="仿宋_GB2312" w:hAnsi="仿宋_GB2312" w:cs="仿宋_GB2312"/>
                <w:sz w:val="24"/>
                <w:szCs w:val="24"/>
              </w:rPr>
              <w:t>。</w:t>
            </w:r>
          </w:p>
        </w:tc>
      </w:tr>
    </w:tbl>
    <w:p>
      <w:pPr>
        <w:pStyle w:val="6"/>
        <w:spacing w:line="560" w:lineRule="exact"/>
        <w:ind w:firstLine="640"/>
        <w:contextualSpacing/>
        <w:jc w:val="center"/>
        <w:rPr>
          <w:rFonts w:ascii="Times New Roman" w:hAnsi="Times New Roman"/>
          <w:bCs/>
        </w:rPr>
      </w:pPr>
      <w:bookmarkStart w:id="1466" w:name="_Toc2682"/>
      <w:r>
        <w:rPr>
          <w:rFonts w:hint="eastAsia" w:ascii="Times New Roman" w:hAnsi="Times New Roman"/>
        </w:rPr>
        <w:t>第五章  培育优质高效卫生健康服务</w:t>
      </w:r>
      <w:bookmarkEnd w:id="1466"/>
    </w:p>
    <w:p>
      <w:pPr>
        <w:spacing w:line="560" w:lineRule="exact"/>
        <w:ind w:firstLine="640" w:firstLineChars="200"/>
        <w:contextualSpacing/>
        <w:rPr>
          <w:rFonts w:ascii="仿宋_GB2312" w:hAnsi="仿宋"/>
        </w:rPr>
      </w:pPr>
      <w:r>
        <w:rPr>
          <w:rFonts w:hint="eastAsia" w:ascii="仿宋_GB2312" w:hAnsi="仿宋"/>
        </w:rPr>
        <w:t>加强公共卫生服务体系建设，提升医疗卫生服务能力，推动卫生健康服务模式以治病为中心向以人民健康为中心转变，为人民群众提供全方位全周期健康服务。</w:t>
      </w:r>
    </w:p>
    <w:p>
      <w:pPr>
        <w:pStyle w:val="7"/>
        <w:spacing w:line="560" w:lineRule="exact"/>
        <w:contextualSpacing/>
        <w:jc w:val="center"/>
        <w:rPr>
          <w:rFonts w:ascii="Times New Roman" w:hAnsi="Times New Roman" w:eastAsia="楷体_GB2312"/>
          <w:b w:val="0"/>
          <w:szCs w:val="32"/>
        </w:rPr>
      </w:pPr>
      <w:bookmarkStart w:id="1467" w:name="_Toc19261"/>
      <w:r>
        <w:rPr>
          <w:rFonts w:hint="eastAsia" w:ascii="Times New Roman" w:hAnsi="Times New Roman" w:eastAsia="楷体_GB2312"/>
          <w:b w:val="0"/>
          <w:bCs/>
          <w:szCs w:val="32"/>
        </w:rPr>
        <w:t>第一节  强化公共卫生服务</w:t>
      </w:r>
      <w:bookmarkEnd w:id="1467"/>
    </w:p>
    <w:p>
      <w:pPr>
        <w:spacing w:line="560" w:lineRule="exact"/>
        <w:ind w:firstLine="627" w:firstLineChars="196"/>
        <w:contextualSpacing/>
        <w:rPr>
          <w:rFonts w:ascii="仿宋_GB2312" w:hAnsi="仿宋"/>
        </w:rPr>
      </w:pPr>
      <w:r>
        <w:rPr>
          <w:rFonts w:hint="eastAsia" w:ascii="Times New Roman" w:hAnsi="Times New Roman"/>
          <w:bCs/>
          <w:kern w:val="0"/>
        </w:rPr>
        <w:t>提升公共卫生服务能力。</w:t>
      </w:r>
      <w:r>
        <w:rPr>
          <w:rFonts w:hint="eastAsia" w:ascii="仿宋_GB2312" w:hAnsi="仿宋"/>
        </w:rPr>
        <w:t>推进市、县两级疾控中心标准化建设，启动市疾控中心迁建，完成镇平、桐柏等县级疾控中心迁建或改扩建。按照三级专科医院标准建设市传染病医院、市精神病医院，推进二级以上公立医院规划建设独立的公共卫生医学中心（科），有条件的乡镇卫生院建设独立的感染性疾病科，形成纵向到底、横向到边的疾病防控体系。加强新型冠状病毒、人感染禽流感、艾滋病、结核病、霍乱、鼠疫等重点传染病监测预警</w:t>
      </w:r>
      <w:r>
        <w:rPr>
          <w:rFonts w:hint="eastAsia" w:ascii="仿宋" w:hAnsi="仿宋" w:eastAsia="仿宋" w:cs="仿宋"/>
        </w:rPr>
        <w:t>及防治</w:t>
      </w:r>
      <w:r>
        <w:rPr>
          <w:rFonts w:hint="eastAsia" w:ascii="仿宋_GB2312" w:hAnsi="仿宋"/>
        </w:rPr>
        <w:t>。提升国家免疫规划疫苗免疫接种率，提高流动人口预防接种管理质量。加强儿童预防接种门诊标准化和县级结核病标准化门诊建设。强化县、乡两级急救体系，形成区域协同的急诊急救服务网络。加强采供血、食品安全风险监测评估和检测能力建设。</w:t>
      </w:r>
    </w:p>
    <w:p>
      <w:pPr>
        <w:spacing w:line="560" w:lineRule="exact"/>
        <w:ind w:firstLine="627" w:firstLineChars="196"/>
        <w:contextualSpacing/>
        <w:rPr>
          <w:rFonts w:ascii="仿宋_GB2312" w:hAnsi="仿宋"/>
        </w:rPr>
      </w:pPr>
      <w:r>
        <w:rPr>
          <w:rFonts w:hint="eastAsia" w:ascii="Times New Roman" w:hAnsi="Times New Roman"/>
          <w:bCs/>
          <w:kern w:val="0"/>
        </w:rPr>
        <w:t>提升公共卫生应急管理水平。</w:t>
      </w:r>
      <w:r>
        <w:rPr>
          <w:rFonts w:hint="eastAsia" w:ascii="仿宋_GB2312" w:hAnsi="仿宋"/>
        </w:rPr>
        <w:t>健全和完善突发公共卫生事件应急指挥体系，建设市、县、乡三级疾病防控应急信息平台。加强生物安全风险防控，全面提高生物安全治理能力。加强重大传染病救治体系建设，构建分级分层分流的城市传染病救治网络，完成市传染病医院迁建和社旗、镇平、唐河等县医院传染病隔离病房、重症救治病房（后备）项目建设。健全统一的应急物资保障体系，建设市紧急医疗救援中心、应急物资储备中心和社旗、镇平、唐河等公共卫生应急救治中心、物资储备中心。</w:t>
      </w:r>
    </w:p>
    <w:p>
      <w:pPr>
        <w:spacing w:line="560" w:lineRule="exact"/>
        <w:ind w:firstLine="643"/>
        <w:contextualSpacing/>
        <w:rPr>
          <w:rFonts w:ascii="仿宋" w:hAnsi="仿宋" w:eastAsia="仿宋"/>
        </w:rPr>
      </w:pPr>
      <w:r>
        <w:rPr>
          <w:rFonts w:hint="eastAsia" w:ascii="Times New Roman" w:hAnsi="Times New Roman"/>
          <w:bCs/>
          <w:kern w:val="0"/>
        </w:rPr>
        <w:t>提升全民健康素养。</w:t>
      </w:r>
      <w:r>
        <w:rPr>
          <w:rFonts w:hint="eastAsia" w:ascii="仿宋_GB2312" w:hAnsi="仿宋"/>
        </w:rPr>
        <w:t>持续推进慢性病综合防控区建设，开展慢性病及相关因素流行病学调查，做好心脑血管疾病、癌症早期筛查干预，加强高血压、糖尿病等慢性病全程健康管理及伤害监测。加强精神卫生工作，推进社会心理服务体系建设试点，引导心理健康服务规范发展。持续开展饮用水水质监测，扎实做好农村环境卫生监测。加强儿童青少年近视综合防控和口腔疾病综合干预。深入开展爱国卫生运动，实施健康社区、健康单位、健康家庭等健康细胞工程。实施职业健康保护行动、尘肺病防治专项攻坚行动，各县（市、区）至少建立1所职业健康检查机构，提高职业病检测检查能力。</w:t>
      </w:r>
    </w:p>
    <w:p>
      <w:pPr>
        <w:pStyle w:val="7"/>
        <w:spacing w:line="560" w:lineRule="exact"/>
        <w:contextualSpacing/>
        <w:jc w:val="center"/>
        <w:rPr>
          <w:rFonts w:ascii="Times New Roman" w:hAnsi="Times New Roman" w:eastAsia="楷体_GB2312"/>
          <w:b w:val="0"/>
          <w:szCs w:val="32"/>
        </w:rPr>
      </w:pPr>
      <w:bookmarkStart w:id="1468" w:name="_Toc19517"/>
      <w:r>
        <w:rPr>
          <w:rFonts w:hint="eastAsia" w:ascii="Times New Roman" w:hAnsi="Times New Roman" w:eastAsia="楷体_GB2312"/>
          <w:b w:val="0"/>
          <w:bCs/>
          <w:szCs w:val="32"/>
        </w:rPr>
        <w:t>第二节  打造优质高效医疗服务体系</w:t>
      </w:r>
      <w:bookmarkEnd w:id="1468"/>
    </w:p>
    <w:p>
      <w:pPr>
        <w:spacing w:line="560" w:lineRule="exact"/>
        <w:ind w:firstLine="643"/>
        <w:contextualSpacing/>
        <w:rPr>
          <w:rFonts w:ascii="仿宋_GB2312" w:hAnsi="仿宋"/>
        </w:rPr>
      </w:pPr>
      <w:r>
        <w:rPr>
          <w:rFonts w:hint="eastAsia" w:ascii="Times New Roman" w:hAnsi="Times New Roman"/>
          <w:bCs/>
          <w:kern w:val="0"/>
        </w:rPr>
        <w:t>加快区域医疗中心建设。</w:t>
      </w:r>
      <w:r>
        <w:rPr>
          <w:rFonts w:hint="eastAsia" w:ascii="仿宋_GB2312" w:hAnsi="仿宋"/>
        </w:rPr>
        <w:t>实施区域医疗中心建设工程，重点建设市中医院国家区域医疗中心、市中心医院省级区域医疗中心，规划建设市眼科医院国家眼科区域医疗中心、市妇幼保健院国家妇产科区域医疗中心。建设县域医疗中心，推进唐河、社旗、镇平、方城、内乡、桐柏、南召等县人民医院（中心医院）提质升级，在镇平、唐河等地建设</w:t>
      </w:r>
      <w:r>
        <w:rPr>
          <w:rFonts w:ascii="仿宋_GB2312" w:hAnsi="仿宋"/>
        </w:rPr>
        <w:t>7</w:t>
      </w:r>
      <w:r>
        <w:rPr>
          <w:rFonts w:hint="eastAsia" w:ascii="仿宋_GB2312" w:hAnsi="仿宋"/>
        </w:rPr>
        <w:t>个创伤、胸痛、卒中及危重孕产妇救治与危重新生儿救治中心，鼓励支持具有标杆示范作用的县级综合医院、中医医院创建三级医院。</w:t>
      </w:r>
    </w:p>
    <w:p>
      <w:pPr>
        <w:spacing w:line="560" w:lineRule="exact"/>
        <w:ind w:firstLine="643"/>
        <w:contextualSpacing/>
        <w:rPr>
          <w:rFonts w:ascii="仿宋_GB2312" w:hAnsi="仿宋"/>
        </w:rPr>
      </w:pPr>
      <w:r>
        <w:rPr>
          <w:rFonts w:hint="eastAsia" w:ascii="Times New Roman" w:hAnsi="Times New Roman"/>
          <w:bCs/>
          <w:kern w:val="0"/>
        </w:rPr>
        <w:t>建设高水平公立医院。</w:t>
      </w:r>
      <w:r>
        <w:rPr>
          <w:rFonts w:hint="eastAsia" w:ascii="仿宋_GB2312" w:hAnsi="仿宋"/>
        </w:rPr>
        <w:t>办好市级公立综合医院、中医医院、妇幼保健院、儿童医院</w:t>
      </w:r>
      <w:r>
        <w:rPr>
          <w:rFonts w:ascii="仿宋_GB2312" w:hAnsi="仿宋"/>
        </w:rPr>
        <w:t>“</w:t>
      </w:r>
      <w:r>
        <w:rPr>
          <w:rFonts w:hint="eastAsia" w:ascii="仿宋_GB2312" w:hAnsi="仿宋"/>
        </w:rPr>
        <w:t>四所医院</w:t>
      </w:r>
      <w:r>
        <w:rPr>
          <w:rFonts w:ascii="仿宋_GB2312" w:hAnsi="仿宋"/>
        </w:rPr>
        <w:t>”</w:t>
      </w:r>
      <w:r>
        <w:rPr>
          <w:rFonts w:hint="eastAsia" w:ascii="仿宋_GB2312" w:hAnsi="仿宋"/>
        </w:rPr>
        <w:t>，全部达到三级水平。加强心血管、儿科、传染病、神经疾病、肿瘤、呼吸、创伤、妇产、口腔、康复等专科医疗中心建设。</w:t>
      </w:r>
      <w:r>
        <w:rPr>
          <w:rFonts w:hint="eastAsia" w:ascii="仿宋_GB2312" w:hAnsi="Times New Roman"/>
          <w:kern w:val="0"/>
        </w:rPr>
        <w:t>建成投用市中心医院新院区、市中医院新院区、市骨科医院新院区、市口腔医院新院区、市眼科医院新院区、市精神病院三期工程。办好公立县级综合医院、中医院和妇幼保健院“三所医院”，全部达到二级甲等水平，部分达到三级医院标准。</w:t>
      </w:r>
      <w:r>
        <w:rPr>
          <w:rFonts w:hint="eastAsia" w:ascii="仿宋_GB2312" w:hAnsi="仿宋"/>
        </w:rPr>
        <w:t>加快医疗卫生资源向农村社区下沉，加强乡镇卫生院、社区卫生服务中心和村卫生室标准化建设，推进公有产权村卫生室建设。积极稳妥地将部分公立医院转为康复、老年护理等接续性医疗机构、社区卫生服务机构。2025年，全市</w:t>
      </w:r>
      <w:r>
        <w:rPr>
          <w:rFonts w:ascii="仿宋_GB2312" w:hAnsi="仿宋"/>
        </w:rPr>
        <w:t>每千常住人口医疗卫生机构床位数</w:t>
      </w:r>
      <w:r>
        <w:rPr>
          <w:rFonts w:hint="eastAsia" w:ascii="仿宋_GB2312" w:hAnsi="仿宋"/>
        </w:rPr>
        <w:t>达到7.7</w:t>
      </w:r>
      <w:r>
        <w:rPr>
          <w:rFonts w:ascii="仿宋_GB2312" w:hAnsi="仿宋"/>
        </w:rPr>
        <w:t>张</w:t>
      </w:r>
      <w:r>
        <w:rPr>
          <w:rFonts w:hint="eastAsia" w:ascii="仿宋_GB2312" w:hAnsi="仿宋"/>
        </w:rPr>
        <w:t>。</w:t>
      </w:r>
    </w:p>
    <w:p>
      <w:pPr>
        <w:spacing w:line="560" w:lineRule="exact"/>
        <w:ind w:firstLine="643"/>
        <w:contextualSpacing/>
        <w:rPr>
          <w:rFonts w:ascii="仿宋_GB2312" w:hAnsi="仿宋"/>
        </w:rPr>
      </w:pPr>
      <w:r>
        <w:rPr>
          <w:rFonts w:hint="eastAsia" w:ascii="Times New Roman" w:hAnsi="Times New Roman"/>
          <w:bCs/>
          <w:kern w:val="0"/>
        </w:rPr>
        <w:t>推动中医药传承创新发展。</w:t>
      </w:r>
      <w:r>
        <w:rPr>
          <w:rFonts w:hint="eastAsia" w:ascii="仿宋_GB2312" w:hAnsi="仿宋"/>
        </w:rPr>
        <w:t>推动市级中医药医学中心、市级中医院达到“三甲”医院水平，县级公立中医院达到“二甲”水平，实现乡镇卫生院和城市社区卫生服务中心中医馆全覆盖。实施中医药传承创新工程，加强儿科、骨伤等中医临床优势学科和重点专科建设，培育一批中医专科诊疗中心。建立综合医院、专科医院中西医会诊制度，提升中医药服务特色优势。推广中医药防治慢性病、常见病、传染病等适宜技术和方法，加强重大疑难病症、慢性病等中医药防治技术和新药研发。持续扩大南阳特色中医药品牌效应，</w:t>
      </w:r>
      <w:r>
        <w:rPr>
          <w:rFonts w:ascii="仿宋_GB2312" w:hAnsi="仿宋"/>
        </w:rPr>
        <w:t>办好张仲景医药文化节、仲景论坛</w:t>
      </w:r>
      <w:r>
        <w:rPr>
          <w:rFonts w:hint="eastAsia" w:ascii="仿宋_GB2312" w:hAnsi="Times New Roman"/>
          <w:kern w:val="0"/>
        </w:rPr>
        <w:t>和中国艾产业发展大会</w:t>
      </w:r>
      <w:r>
        <w:rPr>
          <w:rFonts w:hint="eastAsia" w:ascii="仿宋_GB2312" w:hAnsi="仿宋"/>
        </w:rPr>
        <w:t>。</w:t>
      </w:r>
      <w:r>
        <w:rPr>
          <w:rFonts w:hint="eastAsia" w:ascii="仿宋_GB2312" w:hAnsi="Times New Roman"/>
          <w:kern w:val="0"/>
        </w:rPr>
        <w:t>依托复建的张仲景国医大学，筹建张仲景实验室，建设南阳中医药研究院和张仲景博物院。</w:t>
      </w:r>
      <w:r>
        <w:rPr>
          <w:rFonts w:hint="eastAsia" w:ascii="仿宋_GB2312" w:hAnsi="仿宋"/>
        </w:rPr>
        <w:t>支持社会力量举办规范的中医养生保健机构。</w:t>
      </w:r>
      <w:r>
        <w:rPr>
          <w:rFonts w:hint="eastAsia" w:ascii="仿宋_GB2312" w:hAnsi="Times New Roman"/>
          <w:kern w:val="0"/>
        </w:rPr>
        <w:t>实施“中医药</w:t>
      </w:r>
      <w:r>
        <w:rPr>
          <w:rFonts w:ascii="仿宋_GB2312" w:hAnsi="Times New Roman"/>
          <w:kern w:val="0"/>
        </w:rPr>
        <w:t>+</w:t>
      </w:r>
      <w:r>
        <w:rPr>
          <w:rFonts w:hint="eastAsia" w:ascii="仿宋_GB2312" w:hAnsi="Times New Roman"/>
          <w:kern w:val="0"/>
        </w:rPr>
        <w:t>”工程，提升“八大宛药”规模品质，</w:t>
      </w:r>
      <w:r>
        <w:rPr>
          <w:rFonts w:hint="eastAsia" w:ascii="仿宋_GB2312" w:hAnsi="仿宋"/>
        </w:rPr>
        <w:t>推进中药材标准化种植，加强中医药产品研发创新，</w:t>
      </w:r>
      <w:r>
        <w:rPr>
          <w:rFonts w:hint="eastAsia" w:ascii="仿宋_GB2312" w:hAnsi="Times New Roman"/>
          <w:kern w:val="0"/>
        </w:rPr>
        <w:t>促进中医药与文旅康养融合发展。</w:t>
      </w:r>
    </w:p>
    <w:p>
      <w:pPr>
        <w:spacing w:line="560" w:lineRule="exact"/>
        <w:ind w:firstLine="643"/>
        <w:contextualSpacing/>
        <w:rPr>
          <w:rFonts w:ascii="仿宋_GB2312" w:hAnsi="仿宋"/>
        </w:rPr>
      </w:pPr>
      <w:r>
        <w:rPr>
          <w:rFonts w:hint="eastAsia" w:ascii="Times New Roman" w:hAnsi="Times New Roman"/>
          <w:bCs/>
          <w:kern w:val="0"/>
        </w:rPr>
        <w:t>促进健康服务新业态发展。</w:t>
      </w:r>
      <w:r>
        <w:rPr>
          <w:rFonts w:hint="eastAsia" w:ascii="仿宋_GB2312" w:hAnsi="仿宋"/>
        </w:rPr>
        <w:t>鼓励医疗康复、健康管理、心理咨询、体育健身、母婴照料、养生美容等健康服务发展。鼓励社会办医疗机构发展专科医院和高端医疗，</w:t>
      </w:r>
      <w:r>
        <w:rPr>
          <w:rFonts w:ascii="仿宋_GB2312" w:hAnsi="仿宋"/>
        </w:rPr>
        <w:t>满足群众多样化健康需求。</w:t>
      </w:r>
      <w:r>
        <w:rPr>
          <w:rFonts w:hint="eastAsia" w:ascii="仿宋_GB2312" w:hAnsi="仿宋"/>
        </w:rPr>
        <w:t>支持前沿医疗服务和精准医疗服务。支持社会资本投资设立医学检验中心、影像中心和医学独立实验室，发展第三方医疗服务评价、健康管理服务评价及健康市场调查和咨询服务。立足南阳</w:t>
      </w:r>
      <w:r>
        <w:rPr>
          <w:rFonts w:ascii="仿宋_GB2312" w:hAnsi="仿宋"/>
        </w:rPr>
        <w:t>“</w:t>
      </w:r>
      <w:r>
        <w:rPr>
          <w:rFonts w:hint="eastAsia" w:ascii="仿宋_GB2312" w:hAnsi="仿宋"/>
        </w:rPr>
        <w:t>两山两水</w:t>
      </w:r>
      <w:r>
        <w:rPr>
          <w:rFonts w:ascii="仿宋_GB2312" w:hAnsi="仿宋"/>
        </w:rPr>
        <w:t>”</w:t>
      </w:r>
      <w:r>
        <w:rPr>
          <w:rFonts w:hint="eastAsia" w:ascii="仿宋_GB2312" w:hAnsi="仿宋"/>
        </w:rPr>
        <w:t>优势，以高端医疗、康复疗养、休闲养生为核心，打造包括中医药、体育、旅游、养老产业在内的健康休闲产业集聚区，形成一批具有特色医疗、健康养生、休闲疗养、体育健身等功能的知名健康旅游基地。</w:t>
      </w:r>
    </w:p>
    <w:p>
      <w:pPr>
        <w:spacing w:line="560" w:lineRule="exact"/>
        <w:ind w:firstLine="643"/>
        <w:contextualSpacing/>
        <w:rPr>
          <w:rFonts w:ascii="仿宋_GB2312" w:hAnsi="仿宋"/>
        </w:rPr>
      </w:pPr>
      <w:r>
        <w:rPr>
          <w:rFonts w:hint="eastAsia" w:ascii="Times New Roman" w:hAnsi="Times New Roman"/>
          <w:bCs/>
          <w:kern w:val="0"/>
        </w:rPr>
        <w:t>推动“互联网+医疗健康”发展。</w:t>
      </w:r>
      <w:r>
        <w:rPr>
          <w:rFonts w:hint="eastAsia" w:ascii="仿宋_GB2312" w:hAnsi="仿宋"/>
        </w:rPr>
        <w:t>加快市县两级全民健康信息平台建设</w:t>
      </w:r>
      <w:r>
        <w:rPr>
          <w:rFonts w:ascii="仿宋_GB2312" w:hAnsi="仿宋"/>
        </w:rPr>
        <w:t>，</w:t>
      </w:r>
      <w:r>
        <w:rPr>
          <w:rFonts w:hint="eastAsia" w:ascii="仿宋_GB2312" w:hAnsi="仿宋"/>
        </w:rPr>
        <w:t>完成全市基层医疗系统的迁云整合，实现区域信息平台、医疗卫生机构、垂直业务系统与市级平台互联互通、医共体内数据共享。推进</w:t>
      </w:r>
      <w:r>
        <w:rPr>
          <w:rFonts w:ascii="仿宋_GB2312" w:hAnsi="仿宋"/>
        </w:rPr>
        <w:t>“</w:t>
      </w:r>
      <w:r>
        <w:rPr>
          <w:rFonts w:hint="eastAsia" w:ascii="仿宋_GB2312" w:hAnsi="仿宋"/>
        </w:rPr>
        <w:t>互联网+医疗健康</w:t>
      </w:r>
      <w:r>
        <w:rPr>
          <w:rFonts w:ascii="仿宋_GB2312" w:hAnsi="仿宋"/>
        </w:rPr>
        <w:t>”</w:t>
      </w:r>
      <w:r>
        <w:rPr>
          <w:rFonts w:hint="eastAsia" w:ascii="仿宋_GB2312" w:hAnsi="仿宋"/>
        </w:rPr>
        <w:t>便民创新应用，开展远程诊疗和医疗机构电子病历等级评审，</w:t>
      </w:r>
      <w:r>
        <w:rPr>
          <w:rFonts w:ascii="仿宋_GB2312" w:hAnsi="仿宋"/>
        </w:rPr>
        <w:t>构建覆盖诊前、诊中、诊后的线上线下一体化医疗服务模式</w:t>
      </w:r>
      <w:r>
        <w:rPr>
          <w:rFonts w:hint="eastAsia" w:ascii="仿宋_GB2312" w:hAnsi="仿宋"/>
        </w:rPr>
        <w:t>。推进居民健康管理和医疗服务一卡通，实现线上线下多码融合、通卡结算。</w:t>
      </w:r>
      <w:r>
        <w:rPr>
          <w:rFonts w:ascii="仿宋_GB2312" w:hAnsi="仿宋"/>
        </w:rPr>
        <w:t>创新“互联网+”公共卫生服务，推动居民电子健康档案在线查询和规范使用</w:t>
      </w:r>
      <w:r>
        <w:rPr>
          <w:rFonts w:hint="eastAsia" w:ascii="仿宋_GB2312" w:hAnsi="仿宋"/>
        </w:rPr>
        <w:t>。探索推进</w:t>
      </w:r>
      <w:r>
        <w:rPr>
          <w:rFonts w:ascii="仿宋_GB2312" w:hAnsi="仿宋"/>
        </w:rPr>
        <w:t>“</w:t>
      </w:r>
      <w:r>
        <w:rPr>
          <w:rFonts w:hint="eastAsia" w:ascii="仿宋_GB2312" w:hAnsi="仿宋"/>
        </w:rPr>
        <w:t>互联网+药学服务</w:t>
      </w:r>
      <w:r>
        <w:rPr>
          <w:rFonts w:ascii="仿宋_GB2312" w:hAnsi="仿宋"/>
        </w:rPr>
        <w:t>”</w:t>
      </w:r>
      <w:r>
        <w:rPr>
          <w:rFonts w:hint="eastAsia" w:ascii="仿宋_GB2312" w:hAnsi="仿宋"/>
        </w:rPr>
        <w:t>，实现处方系统与医院药房配药系统无缝对接。</w:t>
      </w:r>
      <w:r>
        <w:rPr>
          <w:rFonts w:ascii="仿宋_GB2312" w:hAnsi="仿宋"/>
        </w:rPr>
        <w:t>优化“互联网+”家庭医生签约服务，</w:t>
      </w:r>
      <w:r>
        <w:rPr>
          <w:rFonts w:hint="eastAsia" w:ascii="仿宋_GB2312" w:hAnsi="仿宋"/>
        </w:rPr>
        <w:t>促</w:t>
      </w:r>
      <w:r>
        <w:rPr>
          <w:rFonts w:ascii="仿宋_GB2312" w:hAnsi="仿宋"/>
        </w:rPr>
        <w:t>进家庭医生服务模式转变。</w:t>
      </w:r>
    </w:p>
    <w:p>
      <w:pPr>
        <w:pStyle w:val="7"/>
        <w:spacing w:line="560" w:lineRule="exact"/>
        <w:contextualSpacing/>
        <w:jc w:val="center"/>
        <w:rPr>
          <w:rFonts w:ascii="Times New Roman" w:hAnsi="Times New Roman" w:eastAsia="楷体_GB2312"/>
          <w:b w:val="0"/>
          <w:szCs w:val="32"/>
        </w:rPr>
      </w:pPr>
      <w:bookmarkStart w:id="1469" w:name="_Toc28116"/>
      <w:r>
        <w:rPr>
          <w:rFonts w:hint="eastAsia" w:ascii="Times New Roman" w:hAnsi="Times New Roman" w:eastAsia="楷体_GB2312"/>
          <w:b w:val="0"/>
          <w:bCs/>
          <w:szCs w:val="32"/>
        </w:rPr>
        <w:t>第三节    服务保障</w:t>
      </w:r>
      <w:bookmarkEnd w:id="1469"/>
    </w:p>
    <w:p>
      <w:pPr>
        <w:spacing w:line="560" w:lineRule="exact"/>
        <w:ind w:firstLine="643"/>
        <w:contextualSpacing/>
        <w:rPr>
          <w:rFonts w:ascii="仿宋_GB2312" w:hAnsi="仿宋"/>
        </w:rPr>
      </w:pPr>
      <w:r>
        <w:rPr>
          <w:rFonts w:hint="eastAsia" w:ascii="仿宋_GB2312" w:hAnsi="仿宋"/>
          <w:bCs/>
        </w:rPr>
        <w:t>推进县域医疗服务一体化。</w:t>
      </w:r>
      <w:r>
        <w:rPr>
          <w:rFonts w:hint="eastAsia" w:ascii="仿宋_GB2312" w:hAnsi="仿宋"/>
        </w:rPr>
        <w:t>加强县域紧密型医共体建设，落实医共体经营管理自主权，实现医共体内部协同发展，促进形成县域有序就医格局。实行县乡村一体化管理，县区医保资金实行打包支付，建立</w:t>
      </w:r>
      <w:r>
        <w:rPr>
          <w:rFonts w:ascii="仿宋_GB2312" w:hAnsi="仿宋"/>
        </w:rPr>
        <w:t>“</w:t>
      </w:r>
      <w:r>
        <w:rPr>
          <w:rFonts w:hint="eastAsia" w:ascii="仿宋_GB2312" w:hAnsi="仿宋"/>
        </w:rPr>
        <w:t>总额预付、结余留用、超支合理分担</w:t>
      </w:r>
      <w:r>
        <w:rPr>
          <w:rFonts w:ascii="仿宋_GB2312" w:hAnsi="仿宋"/>
        </w:rPr>
        <w:t>”</w:t>
      </w:r>
      <w:r>
        <w:rPr>
          <w:rFonts w:hint="eastAsia" w:ascii="仿宋_GB2312" w:hAnsi="仿宋"/>
        </w:rPr>
        <w:t>的激励约束机制。支持有条件的县级医院牵头组建县域紧密型医共体，将疾病控制、卫生监督、妇幼保健等公共卫生服务融入医共体，实现医中有防、医防结合。</w:t>
      </w:r>
    </w:p>
    <w:p>
      <w:pPr>
        <w:spacing w:line="560" w:lineRule="exact"/>
        <w:ind w:firstLine="643"/>
        <w:contextualSpacing/>
        <w:rPr>
          <w:rFonts w:ascii="仿宋_GB2312" w:hAnsi="仿宋"/>
        </w:rPr>
      </w:pPr>
      <w:r>
        <w:rPr>
          <w:rFonts w:hint="eastAsia" w:ascii="仿宋_GB2312" w:hAnsi="仿宋"/>
          <w:bCs/>
        </w:rPr>
        <w:t>健全现代医院管理制度。</w:t>
      </w:r>
      <w:r>
        <w:rPr>
          <w:rFonts w:hint="eastAsia" w:ascii="仿宋_GB2312" w:hAnsi="仿宋"/>
        </w:rPr>
        <w:t>坚持公立医院公益性和主导地位，强化政府办医主体责任，推动公立医院“三转变、三提升”，全面实施二级以上公立医院以质量为核心、公益为导向的绩效考核。加快医联体建设和县域综合医改，推进优质医疗资源下沉。进一步完善分级诊疗制度，加快推进医联体网格化布局，引导医联体内形成顺畅的转诊机制，落实分级诊疗病种目录，规范双向转诊，建立可追踪、可调控、可监管的双向转诊平台。</w:t>
      </w:r>
    </w:p>
    <w:p>
      <w:pPr>
        <w:spacing w:line="560" w:lineRule="exact"/>
        <w:ind w:firstLine="627" w:firstLineChars="196"/>
        <w:contextualSpacing/>
        <w:rPr>
          <w:rFonts w:ascii="仿宋_GB2312" w:hAnsi="仿宋"/>
        </w:rPr>
      </w:pPr>
      <w:r>
        <w:rPr>
          <w:rFonts w:hint="eastAsia" w:ascii="仿宋_GB2312" w:hAnsi="仿宋"/>
          <w:bCs/>
        </w:rPr>
        <w:t>完善药品供应保障制度。</w:t>
      </w:r>
      <w:r>
        <w:rPr>
          <w:rFonts w:hint="eastAsia" w:ascii="仿宋_GB2312" w:hAnsi="仿宋"/>
        </w:rPr>
        <w:t>持续落实国家基本药物制度，加强药品临床使用管理，开展药品使用监测和临床综合评价。各级医疗机构全面配备、优先使用基本药物，推动各级医疗机构形成以基本药物为主的</w:t>
      </w:r>
      <w:r>
        <w:rPr>
          <w:rFonts w:ascii="仿宋_GB2312" w:hAnsi="仿宋"/>
        </w:rPr>
        <w:t>“</w:t>
      </w:r>
      <w:r>
        <w:rPr>
          <w:rFonts w:hint="eastAsia" w:ascii="仿宋_GB2312" w:hAnsi="仿宋"/>
        </w:rPr>
        <w:t>1+X</w:t>
      </w:r>
      <w:r>
        <w:rPr>
          <w:rFonts w:ascii="仿宋_GB2312" w:hAnsi="仿宋"/>
        </w:rPr>
        <w:t>”</w:t>
      </w:r>
      <w:r>
        <w:rPr>
          <w:rFonts w:hint="eastAsia" w:ascii="仿宋_GB2312" w:hAnsi="仿宋"/>
        </w:rPr>
        <w:t>用药模式（</w:t>
      </w:r>
      <w:r>
        <w:rPr>
          <w:rFonts w:ascii="仿宋_GB2312" w:hAnsi="仿宋"/>
        </w:rPr>
        <w:t>“</w:t>
      </w:r>
      <w:r>
        <w:rPr>
          <w:rFonts w:hint="eastAsia" w:ascii="仿宋_GB2312" w:hAnsi="仿宋"/>
        </w:rPr>
        <w:t>1</w:t>
      </w:r>
      <w:r>
        <w:rPr>
          <w:rFonts w:ascii="仿宋_GB2312" w:hAnsi="仿宋"/>
        </w:rPr>
        <w:t>”</w:t>
      </w:r>
      <w:r>
        <w:rPr>
          <w:rFonts w:hint="eastAsia" w:ascii="仿宋_GB2312" w:hAnsi="仿宋"/>
        </w:rPr>
        <w:t>为国家基本药物目录；</w:t>
      </w:r>
      <w:r>
        <w:rPr>
          <w:rFonts w:ascii="仿宋_GB2312" w:hAnsi="仿宋"/>
        </w:rPr>
        <w:t>“</w:t>
      </w:r>
      <w:r>
        <w:rPr>
          <w:rFonts w:hint="eastAsia" w:ascii="仿宋_GB2312" w:hAnsi="仿宋"/>
        </w:rPr>
        <w:t>X</w:t>
      </w:r>
      <w:r>
        <w:rPr>
          <w:rFonts w:ascii="仿宋_GB2312" w:hAnsi="仿宋"/>
        </w:rPr>
        <w:t>”</w:t>
      </w:r>
      <w:r>
        <w:rPr>
          <w:rFonts w:hint="eastAsia" w:ascii="仿宋_GB2312" w:hAnsi="仿宋"/>
        </w:rPr>
        <w:t>为非基本药物）。鼓励支持县域医共体探索建立药品联动管理机制，规范各级医疗机构用药目录，促进上下级医疗机构用药衔接。推进国家统一组织药品耗材集中采购和使用，减轻群众就医负担。</w:t>
      </w:r>
    </w:p>
    <w:p>
      <w:pPr>
        <w:spacing w:line="560" w:lineRule="exact"/>
        <w:ind w:firstLine="640" w:firstLineChars="200"/>
        <w:contextualSpacing/>
        <w:rPr>
          <w:rFonts w:ascii="仿宋_GB2312" w:hAnsi="仿宋"/>
        </w:rPr>
      </w:pPr>
      <w:r>
        <w:rPr>
          <w:rFonts w:hint="eastAsia" w:ascii="仿宋_GB2312" w:hAnsi="仿宋"/>
          <w:bCs/>
        </w:rPr>
        <w:t>强化医药卫生综合监管制度。</w:t>
      </w:r>
      <w:r>
        <w:rPr>
          <w:rFonts w:hint="eastAsia" w:ascii="仿宋_GB2312" w:hAnsi="仿宋"/>
        </w:rPr>
        <w:t>建立互联网医疗服务监管平台，推进医疗机构依法执业分级分类管理，建立医疗卫生服务和药品耗材采购供应信用管理机制，完善卫生医保联动机制，加强定点医疗机构和执业医师医疗服务行为监管，依法开展专项整治活动，打击医疗违法行为。</w:t>
      </w:r>
    </w:p>
    <w:p>
      <w:pPr>
        <w:spacing w:line="560" w:lineRule="exact"/>
        <w:ind w:firstLine="640" w:firstLineChars="200"/>
        <w:contextualSpacing/>
        <w:rPr>
          <w:rFonts w:ascii="仿宋_GB2312" w:hAnsi="仿宋"/>
        </w:rPr>
      </w:pPr>
      <w:r>
        <w:rPr>
          <w:rFonts w:hint="eastAsia" w:ascii="仿宋_GB2312" w:hAnsi="仿宋"/>
          <w:bCs/>
        </w:rPr>
        <w:t>加强医学人才队伍建设。</w:t>
      </w:r>
      <w:r>
        <w:rPr>
          <w:rFonts w:hint="eastAsia" w:ascii="仿宋_GB2312" w:hAnsi="仿宋"/>
        </w:rPr>
        <w:t>加强医教协同，完善毕业后医学教育制度。继续实施订单定向生培养，加大全科医生培养力度，重点</w:t>
      </w:r>
      <w:r>
        <w:rPr>
          <w:rFonts w:ascii="仿宋_GB2312" w:hAnsi="仿宋"/>
        </w:rPr>
        <w:t>培养儿科、精神科、老年医学、康复、心理健康等紧缺人才。坚持引进与培养并重，</w:t>
      </w:r>
      <w:r>
        <w:rPr>
          <w:rFonts w:hint="eastAsia" w:ascii="仿宋_GB2312" w:hAnsi="仿宋"/>
        </w:rPr>
        <w:t>加强住院医师规范化培训和师资队伍建设，</w:t>
      </w:r>
      <w:r>
        <w:rPr>
          <w:rFonts w:ascii="仿宋_GB2312" w:hAnsi="仿宋"/>
        </w:rPr>
        <w:t>完善医疗机构领导班子和专业人才配备</w:t>
      </w:r>
      <w:r>
        <w:rPr>
          <w:rFonts w:hint="eastAsia" w:ascii="仿宋_GB2312" w:hAnsi="仿宋"/>
        </w:rPr>
        <w:t>。实施</w:t>
      </w:r>
      <w:r>
        <w:rPr>
          <w:rFonts w:ascii="仿宋_GB2312" w:hAnsi="仿宋"/>
        </w:rPr>
        <w:t>“县招乡用”“乡聘村用”</w:t>
      </w:r>
      <w:r>
        <w:rPr>
          <w:rFonts w:hint="eastAsia" w:ascii="仿宋_GB2312" w:hAnsi="仿宋"/>
        </w:rPr>
        <w:t>等创新人才</w:t>
      </w:r>
      <w:r>
        <w:rPr>
          <w:rFonts w:ascii="仿宋_GB2312" w:hAnsi="仿宋"/>
        </w:rPr>
        <w:t>政策</w:t>
      </w:r>
      <w:r>
        <w:rPr>
          <w:rFonts w:hint="eastAsia" w:ascii="仿宋_GB2312" w:hAnsi="仿宋"/>
        </w:rPr>
        <w:t>，</w:t>
      </w:r>
      <w:r>
        <w:rPr>
          <w:rFonts w:ascii="仿宋_GB2312" w:hAnsi="仿宋"/>
        </w:rPr>
        <w:t>完善乡村医生保障机制，稳定优化乡村医生队伍。</w:t>
      </w:r>
      <w:r>
        <w:rPr>
          <w:rFonts w:hint="eastAsia" w:ascii="仿宋_GB2312" w:hAnsi="仿宋"/>
        </w:rPr>
        <w:t>2025年，全市</w:t>
      </w:r>
      <w:r>
        <w:rPr>
          <w:rFonts w:ascii="仿宋_GB2312" w:hAnsi="仿宋"/>
        </w:rPr>
        <w:t>每千常住人口执业（助理）医师</w:t>
      </w:r>
      <w:r>
        <w:rPr>
          <w:rFonts w:hint="eastAsia" w:ascii="仿宋_GB2312" w:hAnsi="仿宋"/>
        </w:rPr>
        <w:t>达到</w:t>
      </w:r>
      <w:r>
        <w:rPr>
          <w:rFonts w:ascii="仿宋_GB2312" w:hAnsi="仿宋"/>
        </w:rPr>
        <w:t>3</w:t>
      </w:r>
      <w:r>
        <w:rPr>
          <w:rFonts w:hint="eastAsia" w:ascii="仿宋_GB2312" w:hAnsi="仿宋"/>
        </w:rPr>
        <w:t>.6人，</w:t>
      </w:r>
      <w:r>
        <w:rPr>
          <w:rFonts w:ascii="仿宋_GB2312" w:hAnsi="仿宋"/>
        </w:rPr>
        <w:t>每千常住人口注册护士</w:t>
      </w:r>
      <w:r>
        <w:rPr>
          <w:rFonts w:hint="eastAsia" w:ascii="仿宋_GB2312" w:hAnsi="仿宋"/>
        </w:rPr>
        <w:t>大于4.3人。</w:t>
      </w:r>
    </w:p>
    <w:tbl>
      <w:tblPr>
        <w:tblStyle w:val="26"/>
        <w:tblW w:w="49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jc w:val="center"/>
        </w:trPr>
        <w:tc>
          <w:tcPr>
            <w:tcW w:w="5000" w:type="pct"/>
            <w:vAlign w:val="center"/>
          </w:tcPr>
          <w:p>
            <w:pPr>
              <w:pStyle w:val="85"/>
              <w:spacing w:line="400" w:lineRule="exact"/>
              <w:contextualSpacing/>
              <w:jc w:val="center"/>
              <w:rPr>
                <w:rFonts w:ascii="黑体" w:hAnsi="Times New Roman" w:eastAsia="黑体"/>
                <w:kern w:val="0"/>
                <w:sz w:val="28"/>
                <w:szCs w:val="28"/>
              </w:rPr>
            </w:pPr>
            <w:r>
              <w:rPr>
                <w:rFonts w:hint="eastAsia" w:ascii="Times New Roman" w:hAnsi="Times New Roman" w:eastAsia="黑体"/>
                <w:kern w:val="0"/>
                <w:sz w:val="28"/>
                <w:szCs w:val="28"/>
              </w:rPr>
              <w:t>专栏3：优质高效医疗服务工程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5" w:hRule="atLeast"/>
          <w:jc w:val="center"/>
        </w:trPr>
        <w:tc>
          <w:tcPr>
            <w:tcW w:w="5000" w:type="pct"/>
          </w:tcPr>
          <w:p>
            <w:pPr>
              <w:pStyle w:val="85"/>
              <w:spacing w:line="400" w:lineRule="exact"/>
              <w:ind w:firstLine="480" w:firstLineChars="200"/>
              <w:contextualSpacing/>
              <w:rPr>
                <w:rFonts w:ascii="仿宋_GB2312" w:hAnsi="仿宋_GB2312" w:eastAsia="仿宋_GB2312" w:cs="仿宋_GB2312"/>
                <w:kern w:val="0"/>
                <w:sz w:val="24"/>
                <w:szCs w:val="24"/>
              </w:rPr>
            </w:pPr>
            <w:r>
              <w:rPr>
                <w:rFonts w:hint="eastAsia" w:ascii="楷体" w:hAnsi="楷体" w:eastAsia="楷体" w:cs="楷体"/>
                <w:bCs/>
                <w:kern w:val="0"/>
                <w:sz w:val="24"/>
                <w:szCs w:val="32"/>
              </w:rPr>
              <w:t>1.区域医疗中心建设工程。</w:t>
            </w:r>
            <w:r>
              <w:rPr>
                <w:rFonts w:hint="eastAsia" w:ascii="仿宋_GB2312" w:hAnsi="仿宋_GB2312" w:eastAsia="仿宋_GB2312" w:cs="仿宋_GB2312"/>
                <w:kern w:val="0"/>
                <w:sz w:val="24"/>
                <w:szCs w:val="24"/>
              </w:rPr>
              <w:t>依托南阳市中医院建设国家中医区域医疗中心，依托南阳市中心医院建设省级区域医疗中心，依托市眼科医院规划建设国家眼科区域医疗中心、依托市妇幼保健院规划建设国家妇产科区域医疗中心。</w:t>
            </w:r>
          </w:p>
          <w:p>
            <w:pPr>
              <w:pStyle w:val="85"/>
              <w:spacing w:line="400" w:lineRule="exact"/>
              <w:ind w:firstLine="480" w:firstLineChars="200"/>
              <w:contextualSpacing/>
              <w:rPr>
                <w:rFonts w:ascii="仿宋_GB2312" w:hAnsi="仿宋_GB2312" w:eastAsia="仿宋_GB2312" w:cs="仿宋_GB2312"/>
                <w:kern w:val="0"/>
                <w:sz w:val="24"/>
                <w:szCs w:val="24"/>
              </w:rPr>
            </w:pPr>
            <w:r>
              <w:rPr>
                <w:rFonts w:hint="eastAsia" w:ascii="楷体" w:hAnsi="楷体" w:eastAsia="楷体" w:cs="楷体"/>
                <w:bCs/>
                <w:kern w:val="0"/>
                <w:sz w:val="24"/>
                <w:szCs w:val="32"/>
              </w:rPr>
              <w:t>2.专科医院能力提升工程。</w:t>
            </w:r>
            <w:r>
              <w:rPr>
                <w:rFonts w:hint="eastAsia" w:ascii="仿宋_GB2312" w:hAnsi="仿宋_GB2312" w:eastAsia="仿宋_GB2312" w:cs="仿宋_GB2312"/>
                <w:kern w:val="0"/>
                <w:sz w:val="24"/>
                <w:szCs w:val="24"/>
              </w:rPr>
              <w:t>推进市精神病医院三期、市骨科医院、市口腔医院、市眼科医院新院区等项目建成投用；开工建设市眼科医院迁建项目，谋划实施南阳市疾控中心迁建、南阳市康复医院新院区、市第八人民医院扩建等项目。</w:t>
            </w:r>
          </w:p>
          <w:p>
            <w:pPr>
              <w:pStyle w:val="85"/>
              <w:spacing w:line="400" w:lineRule="exact"/>
              <w:ind w:firstLine="480" w:firstLineChars="200"/>
              <w:contextualSpacing/>
              <w:rPr>
                <w:rFonts w:ascii="Times New Roman" w:hAnsi="Times New Roman" w:eastAsia="仿宋" w:cs="仿宋"/>
                <w:sz w:val="24"/>
                <w:szCs w:val="24"/>
              </w:rPr>
            </w:pPr>
            <w:r>
              <w:rPr>
                <w:rFonts w:hint="eastAsia" w:ascii="楷体" w:hAnsi="楷体" w:eastAsia="楷体" w:cs="楷体"/>
                <w:bCs/>
                <w:kern w:val="0"/>
                <w:sz w:val="24"/>
                <w:szCs w:val="32"/>
              </w:rPr>
              <w:t>3.城市“四所医院”和县域“三所医院”。</w:t>
            </w:r>
            <w:r>
              <w:rPr>
                <w:rFonts w:hint="eastAsia" w:ascii="仿宋_GB2312" w:hAnsi="仿宋_GB2312" w:eastAsia="仿宋_GB2312" w:cs="仿宋_GB2312"/>
                <w:kern w:val="0"/>
                <w:sz w:val="24"/>
                <w:szCs w:val="24"/>
              </w:rPr>
              <w:t>以推动南阳市中心医院建设，带动市妇幼保健院、市儿童医院依次建设，市中医院新院区建成投用，“四所医院”全部达到三级水平；每个县（市、区）重点办好1所综合医院、1所中医医院和1所妇幼保健院，全部达到二级甲等水平，推动县级人民医院全部晋升三级综合医院。</w:t>
            </w:r>
          </w:p>
          <w:p>
            <w:pPr>
              <w:pStyle w:val="85"/>
              <w:spacing w:line="400" w:lineRule="exact"/>
              <w:ind w:firstLine="480" w:firstLineChars="200"/>
              <w:contextualSpacing/>
              <w:rPr>
                <w:rFonts w:ascii="仿宋_GB2312" w:hAnsi="仿宋_GB2312" w:eastAsia="仿宋_GB2312" w:cs="仿宋_GB2312"/>
                <w:kern w:val="0"/>
                <w:sz w:val="24"/>
                <w:szCs w:val="24"/>
              </w:rPr>
            </w:pPr>
            <w:r>
              <w:rPr>
                <w:rFonts w:hint="eastAsia" w:ascii="楷体" w:hAnsi="楷体" w:eastAsia="楷体" w:cs="楷体"/>
                <w:bCs/>
                <w:kern w:val="0"/>
                <w:sz w:val="24"/>
                <w:szCs w:val="32"/>
              </w:rPr>
              <w:t>4.基层医疗卫生服务能力提升工程。</w:t>
            </w:r>
            <w:r>
              <w:rPr>
                <w:rFonts w:hint="eastAsia" w:ascii="仿宋_GB2312" w:hAnsi="仿宋_GB2312" w:eastAsia="仿宋_GB2312" w:cs="仿宋_GB2312"/>
                <w:kern w:val="0"/>
                <w:sz w:val="24"/>
                <w:szCs w:val="24"/>
              </w:rPr>
              <w:t>各县（市、区）所有乡镇卫生院和社区卫生服务中心都要达到国家基本标准。推进村卫生室产权公有化、建设标准化。推进南召、桐柏、淅川、社旗、内乡等乡镇卫生院提升达标，推进镇平县、方城县等乡镇卫生院及社区服务中心提升达标。</w:t>
            </w:r>
          </w:p>
          <w:p>
            <w:pPr>
              <w:pStyle w:val="85"/>
              <w:spacing w:line="400" w:lineRule="exact"/>
              <w:ind w:firstLine="480" w:firstLineChars="200"/>
              <w:contextualSpacing/>
              <w:rPr>
                <w:rFonts w:ascii="仿宋_GB2312" w:hAnsi="仿宋_GB2312" w:eastAsia="仿宋_GB2312" w:cs="仿宋_GB2312"/>
                <w:kern w:val="0"/>
                <w:sz w:val="24"/>
                <w:szCs w:val="24"/>
              </w:rPr>
            </w:pPr>
            <w:r>
              <w:rPr>
                <w:rFonts w:hint="eastAsia" w:ascii="楷体" w:hAnsi="楷体" w:eastAsia="楷体" w:cs="楷体"/>
                <w:bCs/>
                <w:kern w:val="0"/>
                <w:sz w:val="24"/>
                <w:szCs w:val="32"/>
              </w:rPr>
              <w:t>5.中医药传承创新工程。</w:t>
            </w:r>
            <w:r>
              <w:rPr>
                <w:rFonts w:hint="eastAsia" w:ascii="仿宋_GB2312" w:hAnsi="仿宋_GB2312" w:eastAsia="仿宋_GB2312" w:cs="仿宋_GB2312"/>
                <w:kern w:val="0"/>
                <w:sz w:val="24"/>
                <w:szCs w:val="24"/>
              </w:rPr>
              <w:t>推进张仲景国医大学复建工作，打造一所仲景学术特色鲜明、符合中医人才成长规律、教育模式先进、具有国际影响力的国内一流中医药科研教育高等学府，并设置2-3所中医附属教学医院。到2025年，南阳市中医院新院区投入使用，建成地级市一流的“三甲”中医院；南阳医专附属中医院和南阳张仲景医院创成“三甲”中医院；县级中医院全部达到“二甲”中医院标准，择优建设 2-3家县级三级中医院。</w:t>
            </w:r>
          </w:p>
          <w:p>
            <w:pPr>
              <w:pStyle w:val="85"/>
              <w:spacing w:line="400" w:lineRule="exact"/>
              <w:ind w:firstLine="480" w:firstLineChars="200"/>
              <w:contextualSpacing/>
              <w:rPr>
                <w:rFonts w:ascii="仿宋_GB2312" w:hAnsi="仿宋_GB2312" w:eastAsia="仿宋_GB2312" w:cs="仿宋_GB2312"/>
                <w:kern w:val="0"/>
                <w:sz w:val="24"/>
                <w:szCs w:val="24"/>
              </w:rPr>
            </w:pPr>
            <w:r>
              <w:rPr>
                <w:rFonts w:hint="eastAsia" w:ascii="楷体" w:hAnsi="楷体" w:eastAsia="楷体" w:cs="楷体"/>
                <w:bCs/>
                <w:kern w:val="0"/>
                <w:sz w:val="24"/>
                <w:szCs w:val="32"/>
              </w:rPr>
              <w:t>6.全民健康信息化建设工程。</w:t>
            </w:r>
            <w:r>
              <w:rPr>
                <w:rFonts w:hint="eastAsia" w:ascii="仿宋_GB2312" w:hAnsi="仿宋_GB2312" w:eastAsia="仿宋_GB2312" w:cs="仿宋_GB2312"/>
                <w:kern w:val="0"/>
                <w:sz w:val="24"/>
                <w:szCs w:val="24"/>
              </w:rPr>
              <w:t>加快市级全民健康信息平台和市一体化疫情防控管理平台建设，推进智慧化升级改造，深化医疗健康大数据的开发和应用。探索“5G+医疗健康”技术应用，建设市级影像、检验、心电等区域智能诊断中心。</w:t>
            </w:r>
          </w:p>
          <w:p>
            <w:pPr>
              <w:pStyle w:val="85"/>
              <w:spacing w:line="400" w:lineRule="exact"/>
              <w:ind w:firstLine="480" w:firstLineChars="200"/>
              <w:contextualSpacing/>
              <w:rPr>
                <w:rFonts w:ascii="仿宋_GB2312" w:hAnsi="Times New Roman"/>
                <w:kern w:val="0"/>
                <w:sz w:val="24"/>
                <w:szCs w:val="24"/>
              </w:rPr>
            </w:pPr>
            <w:r>
              <w:rPr>
                <w:rFonts w:hint="eastAsia" w:ascii="楷体" w:hAnsi="楷体" w:eastAsia="楷体" w:cs="楷体"/>
                <w:bCs/>
                <w:kern w:val="0"/>
                <w:sz w:val="24"/>
                <w:szCs w:val="32"/>
              </w:rPr>
              <w:t>7.医学人才科技保障工程。</w:t>
            </w:r>
            <w:r>
              <w:rPr>
                <w:rFonts w:hint="eastAsia" w:ascii="仿宋_GB2312" w:hAnsi="仿宋_GB2312" w:eastAsia="仿宋_GB2312" w:cs="仿宋_GB2312"/>
                <w:kern w:val="0"/>
                <w:sz w:val="24"/>
                <w:szCs w:val="24"/>
              </w:rPr>
              <w:t>持续推进新一轮基层卫生人才工程和“诸葛英才计划”实施，强化与高校合作，探索人才培养的新路径、新方法，实施全方位、多层次的人才引进与培养。加强科卫协同创新体系建设，依托高等院校、医疗卫生机构和优势企业，培育建设省级重点实验室。 </w:t>
            </w:r>
          </w:p>
        </w:tc>
      </w:tr>
    </w:tbl>
    <w:p>
      <w:pPr>
        <w:pStyle w:val="6"/>
        <w:spacing w:line="560" w:lineRule="exact"/>
        <w:ind w:firstLine="640"/>
        <w:contextualSpacing/>
        <w:jc w:val="center"/>
        <w:rPr>
          <w:rFonts w:ascii="Times New Roman" w:hAnsi="Times New Roman"/>
          <w:bCs/>
        </w:rPr>
      </w:pPr>
      <w:r>
        <w:rPr>
          <w:rFonts w:hint="eastAsia" w:ascii="Times New Roman" w:hAnsi="Times New Roman"/>
        </w:rPr>
        <w:t>第六章</w:t>
      </w: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完善幸福关爱的养老托育服务</w:t>
      </w:r>
    </w:p>
    <w:p>
      <w:pPr>
        <w:spacing w:line="560" w:lineRule="exact"/>
        <w:ind w:firstLine="640" w:firstLineChars="200"/>
        <w:contextualSpacing/>
        <w:rPr>
          <w:rFonts w:ascii="仿宋_GB2312" w:hAnsi="Times New Roman"/>
        </w:rPr>
      </w:pPr>
      <w:r>
        <w:rPr>
          <w:rFonts w:hint="eastAsia" w:ascii="仿宋_GB2312" w:hAnsi="仿宋" w:cs="仿宋"/>
        </w:rPr>
        <w:t>提升养老托育基本公共服务能力，</w:t>
      </w:r>
      <w:r>
        <w:rPr>
          <w:rFonts w:hint="eastAsia" w:ascii="仿宋_GB2312" w:hAnsi="Times New Roman"/>
        </w:rPr>
        <w:t>扩大普惠型养老托育服务供给，加快构建居家社区机构相协调、医养康养相结合的养老服务体系和</w:t>
      </w:r>
      <w:r>
        <w:rPr>
          <w:rFonts w:hint="eastAsia" w:ascii="仿宋_GB2312" w:hAnsi="仿宋" w:cs="仿宋"/>
        </w:rPr>
        <w:t>托育服务多元化供给</w:t>
      </w:r>
      <w:r>
        <w:rPr>
          <w:rFonts w:hint="eastAsia" w:ascii="仿宋_GB2312" w:hAnsi="Times New Roman"/>
        </w:rPr>
        <w:t>格局，力争建成全省养老托育服务示范城市。</w:t>
      </w:r>
    </w:p>
    <w:p>
      <w:pPr>
        <w:pStyle w:val="7"/>
        <w:spacing w:line="560" w:lineRule="exact"/>
        <w:contextualSpacing/>
        <w:jc w:val="center"/>
        <w:rPr>
          <w:rFonts w:ascii="Times New Roman" w:hAnsi="Times New Roman" w:eastAsia="楷体_GB2312"/>
          <w:b w:val="0"/>
          <w:szCs w:val="32"/>
        </w:rPr>
      </w:pPr>
      <w:bookmarkStart w:id="1470" w:name="_Toc30368"/>
      <w:r>
        <w:rPr>
          <w:rFonts w:hint="eastAsia" w:ascii="Times New Roman" w:hAnsi="Times New Roman" w:eastAsia="楷体_GB2312"/>
          <w:b w:val="0"/>
          <w:bCs/>
          <w:szCs w:val="32"/>
        </w:rPr>
        <w:t>第一节   提升养老托育基本公共服务能力</w:t>
      </w:r>
      <w:bookmarkEnd w:id="1470"/>
    </w:p>
    <w:p>
      <w:pPr>
        <w:spacing w:line="560" w:lineRule="exact"/>
        <w:ind w:firstLine="784" w:firstLineChars="245"/>
        <w:contextualSpacing/>
        <w:rPr>
          <w:rFonts w:ascii="仿宋_GB2312" w:hAnsi="Times New Roman"/>
        </w:rPr>
      </w:pPr>
      <w:r>
        <w:rPr>
          <w:rFonts w:hint="eastAsia" w:ascii="Times New Roman" w:hAnsi="Times New Roman"/>
          <w:bCs/>
          <w:kern w:val="0"/>
        </w:rPr>
        <w:t>提高基本养老服务水平。</w:t>
      </w:r>
      <w:r>
        <w:rPr>
          <w:rFonts w:hint="eastAsia" w:ascii="仿宋_GB2312" w:hAnsi="Times New Roman"/>
        </w:rPr>
        <w:t>加强乡镇（街道）范围内具备综合功能的养老服务机构建设。完善公办养老机构基础设施，提高护理型床位占比，提升失能老年人照护服务水平。实施特困人员供养服务设施和服务质量达标工程，提升特困人员供养服务机构托底保障能力。鼓励有条件的特困人员供养服务设施（敬老院）在满足特困人员集中供养需求的前提下，逐步为最低生活保障家庭、最低生活保障边缘家庭、重度残疾家庭、计划生育特殊家庭和原建档立卡贫困家庭中的老年人，提供低偿或无偿集中托养服务。到</w:t>
      </w:r>
      <w:r>
        <w:rPr>
          <w:rFonts w:ascii="仿宋_GB2312" w:hAnsi="Times New Roman"/>
        </w:rPr>
        <w:t>2025</w:t>
      </w:r>
      <w:r>
        <w:rPr>
          <w:rFonts w:hint="eastAsia" w:ascii="仿宋_GB2312" w:hAnsi="Times New Roman"/>
        </w:rPr>
        <w:t>年，每个县（市、区）至少建有</w:t>
      </w:r>
      <w:r>
        <w:rPr>
          <w:rFonts w:ascii="仿宋_GB2312" w:hAnsi="Times New Roman"/>
        </w:rPr>
        <w:t>1</w:t>
      </w:r>
      <w:r>
        <w:rPr>
          <w:rFonts w:hint="eastAsia" w:ascii="仿宋_GB2312" w:hAnsi="Times New Roman"/>
        </w:rPr>
        <w:t>所以失能、部分失能特困人员专业照护为主的县级供养服务设施（敬老院），有集中供养需求的特困失能人员集中供养率达到100%，养老服务设施覆盖70%的农村社区，养老机构护理型床位占比超过60%。</w:t>
      </w:r>
    </w:p>
    <w:p>
      <w:pPr>
        <w:pStyle w:val="85"/>
        <w:spacing w:line="560" w:lineRule="exact"/>
        <w:ind w:firstLine="640" w:firstLineChars="200"/>
        <w:contextualSpacing/>
        <w:rPr>
          <w:rFonts w:ascii="仿宋_GB2312" w:hAnsi="仿宋" w:eastAsia="仿宋_GB2312" w:cs="仿宋"/>
          <w:sz w:val="32"/>
          <w:szCs w:val="32"/>
        </w:rPr>
      </w:pPr>
      <w:r>
        <w:rPr>
          <w:rFonts w:hint="eastAsia" w:ascii="Times New Roman" w:hAnsi="Times New Roman" w:eastAsia="仿宋_GB2312"/>
          <w:bCs/>
          <w:kern w:val="0"/>
          <w:sz w:val="32"/>
          <w:szCs w:val="32"/>
        </w:rPr>
        <w:t>强化优孕优生和婴幼儿健康服务。</w:t>
      </w:r>
      <w:r>
        <w:rPr>
          <w:rFonts w:hint="eastAsia" w:ascii="仿宋_GB2312" w:hAnsi="仿宋" w:eastAsia="仿宋_GB2312" w:cs="仿宋"/>
          <w:sz w:val="32"/>
          <w:szCs w:val="32"/>
        </w:rPr>
        <w:t>建立覆盖城乡涵盖婚前、孕前、孕期、出生后各阶段的优生优育服务体系，为城乡符合条件的孕产妇免费提供孕早期健康检查、产后访视等服务，实施预防出生缺陷免费产前筛查及产前诊断、新生儿疾病筛查，为育龄夫妇免费提供基本避孕节育服务。完善生育保险制度，扩大生育保险覆盖范围。开展新生儿家庭访视和婴幼儿定期健康检查，提供婴幼儿早期发展指导服务。加强婴幼儿发育监测和筛查评估，规范、保障免疫规划疫苗供应，提升预防接种管理质量。到</w:t>
      </w:r>
      <w:r>
        <w:rPr>
          <w:rFonts w:ascii="仿宋_GB2312" w:hAnsi="仿宋" w:eastAsia="仿宋_GB2312" w:cs="仿宋"/>
          <w:sz w:val="32"/>
          <w:szCs w:val="32"/>
        </w:rPr>
        <w:t>2025</w:t>
      </w:r>
      <w:r>
        <w:rPr>
          <w:rFonts w:hint="eastAsia" w:ascii="仿宋_GB2312" w:hAnsi="仿宋" w:eastAsia="仿宋_GB2312" w:cs="仿宋"/>
          <w:sz w:val="32"/>
          <w:szCs w:val="32"/>
        </w:rPr>
        <w:t>年，</w:t>
      </w:r>
      <w:r>
        <w:rPr>
          <w:rFonts w:ascii="仿宋_GB2312" w:hAnsi="仿宋" w:eastAsia="仿宋_GB2312" w:cs="仿宋"/>
          <w:sz w:val="32"/>
          <w:szCs w:val="32"/>
        </w:rPr>
        <w:t>孕产妇系统管理率</w:t>
      </w:r>
      <w:r>
        <w:rPr>
          <w:rFonts w:hint="eastAsia" w:ascii="仿宋_GB2312" w:hAnsi="仿宋" w:eastAsia="仿宋_GB2312" w:cs="仿宋"/>
          <w:sz w:val="32"/>
          <w:szCs w:val="32"/>
        </w:rPr>
        <w:t>、3岁以下儿童系统管理率、适龄儿童免疫规划疫苗接种率保持在90%以上，</w:t>
      </w:r>
      <w:r>
        <w:rPr>
          <w:rFonts w:ascii="仿宋_GB2312" w:hAnsi="仿宋" w:eastAsia="仿宋_GB2312" w:cs="仿宋"/>
          <w:sz w:val="32"/>
          <w:szCs w:val="32"/>
        </w:rPr>
        <w:t>孕前优生健康检查目标人群覆盖率</w:t>
      </w:r>
      <w:r>
        <w:rPr>
          <w:rFonts w:hint="eastAsia" w:ascii="仿宋_GB2312" w:hAnsi="仿宋" w:eastAsia="仿宋_GB2312" w:cs="仿宋"/>
          <w:sz w:val="32"/>
          <w:szCs w:val="32"/>
        </w:rPr>
        <w:t>达到</w:t>
      </w:r>
      <w:r>
        <w:rPr>
          <w:rFonts w:ascii="仿宋_GB2312" w:hAnsi="仿宋" w:eastAsia="仿宋_GB2312" w:cs="仿宋"/>
          <w:sz w:val="32"/>
          <w:szCs w:val="32"/>
        </w:rPr>
        <w:t>80％</w:t>
      </w:r>
      <w:r>
        <w:rPr>
          <w:rFonts w:hint="eastAsia" w:ascii="仿宋_GB2312" w:hAnsi="仿宋" w:eastAsia="仿宋_GB2312" w:cs="仿宋"/>
          <w:sz w:val="32"/>
          <w:szCs w:val="32"/>
        </w:rPr>
        <w:t>以上。</w:t>
      </w:r>
    </w:p>
    <w:p>
      <w:pPr>
        <w:pStyle w:val="7"/>
        <w:keepNext w:val="0"/>
        <w:keepLines w:val="0"/>
        <w:numPr>
          <w:ilvl w:val="0"/>
          <w:numId w:val="13"/>
        </w:numPr>
        <w:autoSpaceDE w:val="0"/>
        <w:autoSpaceDN w:val="0"/>
        <w:spacing w:line="560" w:lineRule="exact"/>
        <w:contextualSpacing/>
        <w:jc w:val="center"/>
        <w:rPr>
          <w:b w:val="0"/>
        </w:rPr>
      </w:pPr>
      <w:bookmarkStart w:id="1471" w:name="_Toc30088"/>
      <w:r>
        <w:rPr>
          <w:rFonts w:hint="eastAsia" w:ascii="Times New Roman" w:hAnsi="Times New Roman" w:eastAsia="楷体_GB2312"/>
          <w:b w:val="0"/>
          <w:bCs/>
          <w:szCs w:val="32"/>
        </w:rPr>
        <w:t xml:space="preserve">   大力发展普惠养老托育服务</w:t>
      </w:r>
      <w:bookmarkEnd w:id="1471"/>
    </w:p>
    <w:p>
      <w:pPr>
        <w:pStyle w:val="85"/>
        <w:spacing w:line="560" w:lineRule="exact"/>
        <w:ind w:firstLine="640" w:firstLineChars="200"/>
        <w:contextualSpacing/>
        <w:rPr>
          <w:rFonts w:ascii="仿宋_GB2312" w:hAnsi="仿宋" w:eastAsia="仿宋_GB2312" w:cs="仿宋"/>
          <w:sz w:val="32"/>
          <w:szCs w:val="32"/>
        </w:rPr>
      </w:pPr>
      <w:r>
        <w:rPr>
          <w:rFonts w:hint="eastAsia" w:ascii="Times New Roman" w:hAnsi="Times New Roman" w:eastAsia="仿宋_GB2312"/>
          <w:bCs/>
          <w:kern w:val="0"/>
          <w:sz w:val="32"/>
          <w:szCs w:val="32"/>
        </w:rPr>
        <w:t>加快构建城乡养老服务体系。</w:t>
      </w:r>
      <w:r>
        <w:rPr>
          <w:rFonts w:hint="eastAsia" w:ascii="仿宋_GB2312" w:hAnsi="仿宋" w:eastAsia="仿宋_GB2312" w:cs="仿宋"/>
          <w:sz w:val="32"/>
          <w:szCs w:val="32"/>
        </w:rPr>
        <w:t>以专养、专照、专保、专管、专营、专产（“六专”）为主要内容，建立市县街道三级养老服务指导中心和市、县、街道（城关镇）、社区、机构（家庭）五级智慧化养老服务网络。在街道层面建设具备全托、日托、上门服务、对下指导等综合功能的社区养老服务机构，在社区层面建立嵌入式养老服务机构或日间照料中心，为老年人提供生活照料、助餐助行、紧急救援、精神慰藉等服务</w:t>
      </w:r>
      <w:bookmarkStart w:id="1472" w:name="OLE_LINK13"/>
      <w:bookmarkStart w:id="1473" w:name="OLE_LINK12"/>
      <w:r>
        <w:rPr>
          <w:rFonts w:hint="eastAsia" w:ascii="仿宋_GB2312" w:hAnsi="仿宋" w:eastAsia="仿宋_GB2312" w:cs="仿宋"/>
          <w:sz w:val="32"/>
          <w:szCs w:val="32"/>
        </w:rPr>
        <w:t>。</w:t>
      </w:r>
      <w:bookmarkEnd w:id="1472"/>
      <w:bookmarkEnd w:id="1473"/>
      <w:r>
        <w:rPr>
          <w:rFonts w:hint="eastAsia" w:ascii="仿宋_GB2312" w:hAnsi="仿宋" w:eastAsia="仿宋_GB2312" w:cs="仿宋"/>
          <w:sz w:val="32"/>
          <w:szCs w:val="32"/>
        </w:rPr>
        <w:t>所有县（市、区）建设连锁化运营、标准化管理的示范性社区居家养老服务网络，提供失能护理、日间照料和助餐助浴助洁助医助行等服务。以县（市、区）为单位，对城市特殊困难家庭（低保、高龄、独居、失能、计划生育特殊困难家庭等）和其他有社会化养老需求的老年人进行家庭适老化改造，配备必要的设施设备和电子信息服务系统。积极推动村级幸福院、日间照料中心等养老服务设施建设，加快建设集供养、托养、社区照料于一体的乡镇社会化养老服务中心。建设农村邻里互助养老服务点，鼓励志愿服务组织和志愿者为老年人提供咨询、陪伴、精神慰藉、文化娱乐、紧急援助等志愿服务。</w:t>
      </w:r>
    </w:p>
    <w:p>
      <w:pPr>
        <w:pStyle w:val="85"/>
        <w:spacing w:line="560" w:lineRule="exact"/>
        <w:ind w:firstLine="640" w:firstLineChars="200"/>
        <w:contextualSpacing/>
        <w:rPr>
          <w:rFonts w:ascii="仿宋_GB2312" w:hAnsi="仿宋" w:eastAsia="仿宋_GB2312" w:cs="仿宋"/>
          <w:sz w:val="32"/>
          <w:szCs w:val="32"/>
        </w:rPr>
      </w:pPr>
      <w:r>
        <w:rPr>
          <w:rFonts w:hint="eastAsia" w:ascii="Times New Roman" w:hAnsi="Times New Roman" w:eastAsia="仿宋_GB2312"/>
          <w:bCs/>
          <w:kern w:val="0"/>
          <w:sz w:val="32"/>
          <w:szCs w:val="32"/>
        </w:rPr>
        <w:t>加强普惠托育服务。</w:t>
      </w:r>
      <w:r>
        <w:rPr>
          <w:rFonts w:hint="eastAsia" w:ascii="仿宋_GB2312" w:hAnsi="仿宋" w:eastAsia="仿宋_GB2312" w:cs="仿宋"/>
          <w:sz w:val="32"/>
          <w:szCs w:val="32"/>
        </w:rPr>
        <w:t>积极引导社会力量举办托育服务机构，着力构建多元化、多样化、覆盖城乡的婴幼儿照护服务体系。支持专业托育机构进社区、进家庭、进企事业单位，开展辐射周边的育幼服务。支持有条件的幼儿园在满足区域内3-6岁儿童入园需求基础上开设托班或扩大托班规模。鼓励新开设的幼儿园设置适当比例的幼儿托班。支持托育服务机构开展婴幼儿健康管理和科学育儿知识普及等普惠性服务。城镇婴幼儿照护服务建设要充分考虑农村进城务工人员随迁婴幼儿的照护服务需求。加大对农村和脱贫地区婴幼儿照护服务的支持力度，鼓励乡镇政府、专家力量、社会组织、家长、监护人等共同参与农村照护服务。发挥农村“熟人社会”的优势，鼓励发展亲朋、邻居等非市场化的照料服务。将托育服务场所和设施建设纳入乡村振兴规划、农村公共服务和基础设施建设整体规划。鼓励利用乡村公共服务设施、闲置校舍等资源发展婴幼儿照护服务设施和非营利性托育机构。实施普惠性婴幼儿早期发育指导，推广婴幼儿早期发展项目，构建覆盖城乡的家庭教育指导服务体系，为家庭提供更高质量更加精准的家庭教育指导，更好满足家长科学育儿的迫切需求。到2025年，各县（市、区）各建成1-2所综合性托育机构，每千人口3岁以下婴幼儿托位数达到4.5个。</w:t>
      </w:r>
    </w:p>
    <w:p>
      <w:pPr>
        <w:pStyle w:val="7"/>
        <w:spacing w:line="560" w:lineRule="exact"/>
        <w:contextualSpacing/>
        <w:jc w:val="center"/>
        <w:rPr>
          <w:rFonts w:ascii="Times New Roman" w:hAnsi="Times New Roman" w:eastAsia="楷体_GB2312"/>
          <w:b w:val="0"/>
          <w:szCs w:val="32"/>
        </w:rPr>
      </w:pPr>
      <w:bookmarkStart w:id="1474" w:name="_Toc20950"/>
      <w:r>
        <w:rPr>
          <w:rFonts w:hint="eastAsia" w:ascii="Times New Roman" w:hAnsi="Times New Roman" w:eastAsia="楷体_GB2312"/>
          <w:b w:val="0"/>
          <w:bCs/>
          <w:szCs w:val="32"/>
        </w:rPr>
        <w:t>第三节  推动养老托育服务高质量发展</w:t>
      </w:r>
      <w:bookmarkEnd w:id="1474"/>
    </w:p>
    <w:p>
      <w:pPr>
        <w:spacing w:line="560" w:lineRule="exact"/>
        <w:ind w:firstLine="640" w:firstLineChars="200"/>
        <w:contextualSpacing/>
        <w:rPr>
          <w:rFonts w:ascii="仿宋_GB2312" w:hAnsi="仿宋" w:cs="仿宋"/>
        </w:rPr>
      </w:pPr>
      <w:r>
        <w:rPr>
          <w:rFonts w:hint="eastAsia" w:ascii="Times New Roman" w:hAnsi="Times New Roman"/>
          <w:bCs/>
          <w:kern w:val="0"/>
        </w:rPr>
        <w:t>打造高端健康养老休闲基地。</w:t>
      </w:r>
      <w:r>
        <w:rPr>
          <w:rFonts w:hint="eastAsia" w:ascii="仿宋_GB2312" w:hAnsi="仿宋" w:cs="仿宋"/>
        </w:rPr>
        <w:t>依托“医圣故里”品牌优势和张仲景健康城项目建设，大力发展以“医”为主体的医疗养老产业、以“养”为特色的养老养生产业、以“健”为支撑的康体养老产业和以“智”为引领的智慧养老产业，建设集养老、康复、保健、护理、医疗、科研、培训、休闲于一体的现代养生养老产业园。依托西峡、南召2个省级中医药健康旅游示范区和宛西医圣山、丹江大观苑、医圣祠、伏牛山天池4个省级中医药健康旅游示范基地，开发中药温泉、药膳餐饮、中医康复理疗等服务项目，发展疗养型旅居养老新业态新模式，打造集养老、颐养、医养、疗养于一体的健康养老服务示范区。持续推动鸭河工区文旅康养示范区、西峡仲景养老基地等项目建设，引进知名连锁养老机构，支持养老服务品牌化、连锁化发展，发展一批养老服务行业龙头企业。梳理全市党政机关和事业单位所属培训疗养机构，推动疗养资源转型发展旅居型养老服务。</w:t>
      </w:r>
    </w:p>
    <w:p>
      <w:pPr>
        <w:spacing w:line="560" w:lineRule="exact"/>
        <w:ind w:firstLine="640" w:firstLineChars="200"/>
        <w:contextualSpacing/>
        <w:rPr>
          <w:rFonts w:ascii="仿宋_GB2312" w:hAnsi="仿宋" w:cs="仿宋"/>
        </w:rPr>
      </w:pPr>
      <w:r>
        <w:rPr>
          <w:rFonts w:hint="eastAsia" w:ascii="Times New Roman" w:hAnsi="Times New Roman"/>
          <w:bCs/>
          <w:kern w:val="0"/>
        </w:rPr>
        <w:t>促进养老托育产品提质创新。</w:t>
      </w:r>
      <w:r>
        <w:rPr>
          <w:rFonts w:hint="eastAsia" w:ascii="仿宋_GB2312" w:hAnsi="仿宋" w:cs="仿宋"/>
        </w:rPr>
        <w:t>实施“科技+养老服务”行动，重点推动康复机器人、健康可穿戴设备、健康监测检测设备、老年智能家居及监护设备、5G康养辅具等细分领域的研发和生产制造。支持企业对产品进行适老化改造，利用“互联网+”、智能化呼叫、手机APP等多种手段，便于老年人获取信息和服务。引进睦米、暖房子、孩提之家等国内知名托育品牌，培育本土示范托育机构，推广婴幼儿早期综合发展项目，打造高端托育中心。顺应三孩生育政策，积极培育婴幼儿相关产业，引进一批国内外龙头企业，推进纸尿裤、婴幼儿玩具、婴幼儿服饰、婴幼儿辅食等相关产品的研发和生产。</w:t>
      </w:r>
    </w:p>
    <w:p>
      <w:pPr>
        <w:pStyle w:val="7"/>
        <w:spacing w:line="560" w:lineRule="exact"/>
        <w:contextualSpacing/>
        <w:jc w:val="center"/>
        <w:rPr>
          <w:rFonts w:ascii="Times New Roman" w:hAnsi="Times New Roman" w:eastAsia="楷体_GB2312"/>
          <w:b w:val="0"/>
          <w:szCs w:val="32"/>
        </w:rPr>
      </w:pPr>
      <w:bookmarkStart w:id="1475" w:name="_Toc7559"/>
      <w:r>
        <w:rPr>
          <w:rFonts w:hint="eastAsia" w:ascii="Times New Roman" w:hAnsi="Times New Roman" w:eastAsia="楷体_GB2312"/>
          <w:b w:val="0"/>
          <w:bCs/>
          <w:szCs w:val="32"/>
        </w:rPr>
        <w:t>第四节  服务保障</w:t>
      </w:r>
      <w:bookmarkEnd w:id="1475"/>
    </w:p>
    <w:p>
      <w:pPr>
        <w:spacing w:line="560" w:lineRule="exact"/>
        <w:ind w:firstLine="640" w:firstLineChars="200"/>
        <w:contextualSpacing/>
        <w:rPr>
          <w:rFonts w:ascii="仿宋_GB2312" w:hAnsi="仿宋" w:cs="仿宋"/>
        </w:rPr>
      </w:pPr>
      <w:r>
        <w:rPr>
          <w:rFonts w:hint="eastAsia" w:ascii="Times New Roman" w:hAnsi="Times New Roman"/>
          <w:bCs/>
          <w:kern w:val="0"/>
        </w:rPr>
        <w:t>多元化提供普惠养老服务。</w:t>
      </w:r>
      <w:r>
        <w:rPr>
          <w:rFonts w:hint="eastAsia" w:ascii="仿宋_GB2312" w:hAnsi="仿宋" w:cs="仿宋"/>
        </w:rPr>
        <w:t>支持社会力量提供价格合理、方便可及、质量可靠的普惠性养老服务。深入推进城企联动居家社区型普惠养老专项行动，重点向失能、半失能老人提供普惠性服务。鼓励民间资本利用企业厂房、商业设施等社会资源开展普惠养老服务。允许养老机构依法依规设立多个服务网点，实现规模化、连锁化、品牌化运营。全面落实外资举办养老服务机构国民待遇。推动养老服务领域市场化改革，优先支持以公建民营、普惠养老为导向的养老服务项目。探索具备条件的公办养老机构改制为国有养老服务企业。</w:t>
      </w:r>
    </w:p>
    <w:p>
      <w:pPr>
        <w:spacing w:line="560" w:lineRule="exact"/>
        <w:ind w:firstLine="640" w:firstLineChars="200"/>
        <w:contextualSpacing/>
        <w:rPr>
          <w:rFonts w:ascii="仿宋_GB2312" w:hAnsi="仿宋" w:cs="仿宋"/>
        </w:rPr>
      </w:pPr>
      <w:r>
        <w:rPr>
          <w:rFonts w:hint="eastAsia" w:ascii="Times New Roman" w:hAnsi="Times New Roman"/>
          <w:bCs/>
          <w:kern w:val="0"/>
        </w:rPr>
        <w:t>全面落实国家生育政策。</w:t>
      </w:r>
      <w:r>
        <w:rPr>
          <w:rFonts w:hint="eastAsia" w:ascii="仿宋_GB2312" w:hAnsi="仿宋" w:cs="仿宋"/>
        </w:rPr>
        <w:t>落实三孩生育政策，完善生育支持措施，降低家庭生育、养育、教育成本，释放生育潜能，稳定适度生育水平。提升家庭育儿能力，完善育儿休假制度，全面落实产假、配偶陪产假等政策。消除就业性别歧视，依法保障生育人群合法权益。对全面两孩政策调整前的独生子女家庭和农村计划生育双女家庭，继续实行现行各项奖励扶助制度和优惠政策。健全计划生育特殊家庭全方位帮扶保障制度，完善政府主导、社会组织参与的扶助关怀机制，维护好计划生育家庭合法权益。</w:t>
      </w:r>
    </w:p>
    <w:p>
      <w:pPr>
        <w:spacing w:line="560" w:lineRule="exact"/>
        <w:ind w:firstLine="640" w:firstLineChars="200"/>
        <w:contextualSpacing/>
        <w:rPr>
          <w:rFonts w:ascii="仿宋_GB2312" w:hAnsi="仿宋" w:cs="仿宋"/>
        </w:rPr>
      </w:pPr>
      <w:r>
        <w:rPr>
          <w:rFonts w:hint="eastAsia" w:ascii="Times New Roman" w:hAnsi="Times New Roman"/>
          <w:bCs/>
          <w:kern w:val="0"/>
        </w:rPr>
        <w:t>加强人才队伍建设。</w:t>
      </w:r>
      <w:r>
        <w:rPr>
          <w:rFonts w:hint="eastAsia" w:ascii="仿宋_GB2312" w:hAnsi="仿宋" w:cs="仿宋"/>
        </w:rPr>
        <w:t>支持南阳师范学院、南阳理工学院、南阳医学高等专科学校和各类职业院校扩大养老托育专业招生规模，培养老年服务与管理、护理（老年护理）、康复治疗和婴幼儿照护服务等专业人才。加强养老托育服务机构负责人、管理人员的岗前培训和定期培训，培养一批领军型养老托育服务机构负责人。积极开展“学历证书+若干职业技能等级证书”制度试点工作，培养初、中、高级梯次分明的技能人才队伍。到2025年，全市设置养老服务与管理专业的院校超过1所，培养200以上名养老院院长、2000人次养老护理员、1000人次专兼职老年社会工作者，养老服务从业人员岗前及定期培训率达到80%，专业护理员队伍达到8000名以上，婴幼儿照护服务专业人才达到600人，每个县（市、区）建设1个以上养老服务实训基地和托育服务实训基地。</w:t>
      </w:r>
    </w:p>
    <w:p>
      <w:pPr>
        <w:spacing w:line="560" w:lineRule="exact"/>
        <w:ind w:right="149" w:firstLine="640" w:firstLineChars="200"/>
        <w:contextualSpacing/>
      </w:pPr>
      <w:r>
        <w:rPr>
          <w:rFonts w:hint="eastAsia" w:ascii="Times New Roman" w:hAnsi="Times New Roman"/>
          <w:bCs/>
          <w:kern w:val="0"/>
        </w:rPr>
        <w:t>加强综合管理。</w:t>
      </w:r>
      <w:r>
        <w:rPr>
          <w:rFonts w:hint="eastAsia" w:ascii="仿宋_GB2312" w:hAnsi="仿宋" w:cs="仿宋"/>
        </w:rPr>
        <w:t xml:space="preserve">建立健全养老托育服务机构登记备案制度、信息公示制度和质量评估制度。推动实施养老托育服务行业守信联合激励和失信联合惩戒，建立养老托育服务机构及从业人员的信用管理体系。建立健全养老托育服务机构准入和退出机制。依法逐步实行婴幼儿照护工作人员职业资格准入制度。建立完善突发事件预防与应急准备、监测与预警、应急处置与救援、事后恢复与重建等工作机制，提高突发事件应对能力。常态化开展防范非法集资教育。大力推行“互联网+监管”，不断提升养老托育服务监管水平。 </w:t>
      </w:r>
    </w:p>
    <w:tbl>
      <w:tblPr>
        <w:tblStyle w:val="26"/>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911" w:type="dxa"/>
            <w:vAlign w:val="center"/>
          </w:tcPr>
          <w:p>
            <w:pPr>
              <w:spacing w:line="400" w:lineRule="exact"/>
              <w:contextualSpacing/>
              <w:jc w:val="center"/>
              <w:rPr>
                <w:rFonts w:ascii="Times New Roman" w:hAnsi="Times New Roman" w:eastAsia="黑体"/>
                <w:bCs/>
                <w:sz w:val="28"/>
                <w:szCs w:val="28"/>
              </w:rPr>
            </w:pPr>
            <w:r>
              <w:rPr>
                <w:rFonts w:hint="eastAsia" w:ascii="Times New Roman" w:hAnsi="Times New Roman" w:eastAsia="黑体"/>
                <w:bCs/>
                <w:sz w:val="28"/>
                <w:szCs w:val="28"/>
              </w:rPr>
              <w:t>专栏4：养老托育服务建设提升工程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5" w:hRule="atLeast"/>
          <w:jc w:val="center"/>
        </w:trPr>
        <w:tc>
          <w:tcPr>
            <w:tcW w:w="8911" w:type="dxa"/>
            <w:vAlign w:val="center"/>
          </w:tcPr>
          <w:p>
            <w:pPr>
              <w:spacing w:line="400" w:lineRule="exact"/>
              <w:ind w:firstLine="480" w:firstLineChars="200"/>
              <w:contextualSpacing/>
              <w:rPr>
                <w:rStyle w:val="64"/>
                <w:rFonts w:ascii="仿宋_GB2312" w:hAnsi="仿宋_GB2312"/>
                <w:sz w:val="24"/>
              </w:rPr>
            </w:pPr>
            <w:bookmarkStart w:id="1476" w:name="OLE_LINK22"/>
            <w:bookmarkStart w:id="1477" w:name="OLE_LINK23"/>
            <w:r>
              <w:rPr>
                <w:rFonts w:hint="eastAsia" w:ascii="楷体" w:hAnsi="楷体" w:eastAsia="楷体" w:cs="楷体"/>
                <w:bCs/>
                <w:kern w:val="0"/>
                <w:sz w:val="24"/>
              </w:rPr>
              <w:t>1.基本养老服务设施建设工程。</w:t>
            </w:r>
            <w:r>
              <w:rPr>
                <w:rStyle w:val="64"/>
                <w:rFonts w:hint="eastAsia" w:ascii="仿宋_GB2312" w:hAnsi="仿宋_GB2312"/>
                <w:sz w:val="24"/>
              </w:rPr>
              <w:t>推进县级公办养老服务设施建设，南召县、淅川县、镇平县、西峡县、高新区、城乡化一体示范区、官庄工区、鸭河工区8个基本养老服务项目建成投用。推进县级特困供养服务设施（敬老院）建设，新建宛城区、卧龙区、新野县、西峡县、方城县、桐柏县、社旗县、内乡县、南召县、淅川县、镇平县、西峡县、高新区、城乡化一体示范区、官庄工区、鸭河工区等16个县级特困供养服务设施（敬老院）。继续实施农村幸福院（互助家园）工程。新建1000个左右农村幸福院（互助家园），每个幸福院建筑面积不低于300平方米，床位不少于10张。</w:t>
            </w:r>
          </w:p>
          <w:p>
            <w:pPr>
              <w:spacing w:line="400" w:lineRule="exact"/>
              <w:ind w:firstLine="480" w:firstLineChars="200"/>
              <w:contextualSpacing/>
              <w:rPr>
                <w:rStyle w:val="64"/>
                <w:rFonts w:ascii="仿宋_GB2312" w:hAnsi="仿宋_GB2312"/>
                <w:sz w:val="24"/>
              </w:rPr>
            </w:pPr>
            <w:r>
              <w:rPr>
                <w:rFonts w:hint="eastAsia" w:ascii="楷体" w:hAnsi="楷体" w:eastAsia="楷体" w:cs="楷体"/>
                <w:bCs/>
                <w:kern w:val="0"/>
                <w:sz w:val="24"/>
              </w:rPr>
              <w:t>2.优生优育服务工程。</w:t>
            </w:r>
            <w:r>
              <w:rPr>
                <w:rStyle w:val="64"/>
                <w:rFonts w:hint="eastAsia" w:ascii="仿宋_GB2312" w:hAnsi="仿宋_GB2312"/>
                <w:sz w:val="24"/>
              </w:rPr>
              <w:t>产前筛查工程。广泛开展免费产前筛查及产前诊断，普及产前筛查适宜技术，规范应用高通量基因测序等技术，逐步实现怀孕妇女孕</w:t>
            </w:r>
            <w:r>
              <w:rPr>
                <w:rStyle w:val="64"/>
                <w:rFonts w:ascii="仿宋_GB2312" w:hAnsi="仿宋_GB2312"/>
                <w:sz w:val="24"/>
              </w:rPr>
              <w:t>28</w:t>
            </w:r>
            <w:r>
              <w:rPr>
                <w:rStyle w:val="64"/>
                <w:rFonts w:hint="eastAsia" w:ascii="仿宋_GB2312" w:hAnsi="仿宋_GB2312"/>
                <w:sz w:val="24"/>
              </w:rPr>
              <w:t>周前在自愿情况下至少接受１次产前筛查。新生儿疾病筛查工程。建立健全市、县新生儿疾病筛查服务网络，实施先天性结构畸形和遗传代谢病救助项目，新生儿遗传代谢性疾病筛查率达到</w:t>
            </w:r>
            <w:r>
              <w:rPr>
                <w:rStyle w:val="64"/>
                <w:rFonts w:ascii="仿宋_GB2312" w:hAnsi="仿宋_GB2312"/>
                <w:sz w:val="24"/>
              </w:rPr>
              <w:t>98%</w:t>
            </w:r>
            <w:r>
              <w:rPr>
                <w:rStyle w:val="64"/>
                <w:rFonts w:hint="eastAsia" w:ascii="仿宋_GB2312" w:hAnsi="仿宋_GB2312"/>
                <w:sz w:val="24"/>
              </w:rPr>
              <w:t>以上，新生儿听力筛查率达到</w:t>
            </w:r>
            <w:r>
              <w:rPr>
                <w:rStyle w:val="64"/>
                <w:rFonts w:ascii="仿宋_GB2312" w:hAnsi="仿宋_GB2312"/>
                <w:sz w:val="24"/>
              </w:rPr>
              <w:t>90%</w:t>
            </w:r>
            <w:r>
              <w:rPr>
                <w:rStyle w:val="64"/>
                <w:rFonts w:hint="eastAsia" w:ascii="仿宋_GB2312" w:hAnsi="仿宋_GB2312"/>
                <w:sz w:val="24"/>
              </w:rPr>
              <w:t>以上，先天性心脏病、唐氏综合征、耳聋、神经管缺陷等严重出生缺陷得到有效控制。</w:t>
            </w:r>
          </w:p>
          <w:p>
            <w:pPr>
              <w:spacing w:line="400" w:lineRule="exact"/>
              <w:ind w:firstLine="480" w:firstLineChars="200"/>
              <w:contextualSpacing/>
              <w:rPr>
                <w:rStyle w:val="64"/>
                <w:rFonts w:ascii="仿宋_GB2312" w:hAnsi="仿宋_GB2312"/>
                <w:sz w:val="24"/>
              </w:rPr>
            </w:pPr>
            <w:r>
              <w:rPr>
                <w:rFonts w:hint="eastAsia" w:ascii="楷体" w:hAnsi="楷体" w:eastAsia="楷体" w:cs="楷体"/>
                <w:bCs/>
                <w:kern w:val="0"/>
                <w:sz w:val="24"/>
              </w:rPr>
              <w:t>3.城镇综合性养老服务中心</w:t>
            </w:r>
            <w:bookmarkEnd w:id="1476"/>
            <w:bookmarkEnd w:id="1477"/>
            <w:r>
              <w:rPr>
                <w:rFonts w:hint="eastAsia" w:ascii="楷体" w:hAnsi="楷体" w:eastAsia="楷体" w:cs="楷体"/>
                <w:bCs/>
                <w:kern w:val="0"/>
                <w:sz w:val="24"/>
              </w:rPr>
              <w:t>。</w:t>
            </w:r>
            <w:r>
              <w:rPr>
                <w:rStyle w:val="64"/>
                <w:rFonts w:hint="eastAsia" w:ascii="仿宋_GB2312" w:hAnsi="仿宋_GB2312"/>
                <w:sz w:val="24"/>
              </w:rPr>
              <w:t>新建城镇街道综合性养老服务中心，每个中心建筑面积不低于2000平方米，床位不少于50张。</w:t>
            </w:r>
          </w:p>
          <w:p>
            <w:pPr>
              <w:spacing w:line="400" w:lineRule="exact"/>
              <w:ind w:firstLine="480" w:firstLineChars="200"/>
              <w:contextualSpacing/>
              <w:rPr>
                <w:rStyle w:val="64"/>
                <w:rFonts w:ascii="仿宋_GB2312" w:hAnsi="仿宋_GB2312"/>
                <w:sz w:val="24"/>
              </w:rPr>
            </w:pPr>
            <w:bookmarkStart w:id="1478" w:name="OLE_LINK24"/>
            <w:bookmarkStart w:id="1479" w:name="OLE_LINK25"/>
            <w:r>
              <w:rPr>
                <w:rFonts w:hint="eastAsia" w:ascii="楷体" w:hAnsi="楷体" w:eastAsia="楷体" w:cs="楷体"/>
                <w:bCs/>
                <w:kern w:val="0"/>
                <w:sz w:val="24"/>
              </w:rPr>
              <w:t>4.城市社区老年人日间照料中心</w:t>
            </w:r>
            <w:bookmarkEnd w:id="1478"/>
            <w:bookmarkEnd w:id="1479"/>
            <w:r>
              <w:rPr>
                <w:rFonts w:hint="eastAsia" w:ascii="楷体" w:hAnsi="楷体" w:eastAsia="楷体" w:cs="楷体"/>
                <w:bCs/>
                <w:kern w:val="0"/>
                <w:sz w:val="24"/>
              </w:rPr>
              <w:t>。</w:t>
            </w:r>
            <w:r>
              <w:rPr>
                <w:rStyle w:val="64"/>
                <w:rFonts w:hint="eastAsia" w:ascii="仿宋_GB2312" w:hAnsi="仿宋_GB2312"/>
                <w:sz w:val="24"/>
              </w:rPr>
              <w:t>全市每个社区至少建一所建筑面积不低于300平方米，床位不少于10张的城市社区老年人日间照料中心。</w:t>
            </w:r>
          </w:p>
          <w:p>
            <w:pPr>
              <w:spacing w:line="400" w:lineRule="exact"/>
              <w:ind w:firstLine="480" w:firstLineChars="200"/>
              <w:contextualSpacing/>
              <w:rPr>
                <w:rStyle w:val="64"/>
                <w:rFonts w:ascii="仿宋_GB2312" w:hAnsi="仿宋_GB2312"/>
                <w:sz w:val="24"/>
              </w:rPr>
            </w:pPr>
            <w:r>
              <w:rPr>
                <w:rFonts w:hint="eastAsia" w:ascii="楷体" w:hAnsi="楷体" w:eastAsia="楷体" w:cs="楷体"/>
                <w:bCs/>
                <w:kern w:val="0"/>
                <w:sz w:val="24"/>
              </w:rPr>
              <w:t>5.普惠托育服务设施。</w:t>
            </w:r>
            <w:r>
              <w:rPr>
                <w:rStyle w:val="64"/>
                <w:rFonts w:hint="eastAsia" w:ascii="仿宋_GB2312" w:hAnsi="仿宋_GB2312"/>
                <w:sz w:val="24"/>
              </w:rPr>
              <w:t>扩大普惠性托育服务供给，每个综合托育服务机构提供约</w:t>
            </w:r>
            <w:r>
              <w:rPr>
                <w:rStyle w:val="64"/>
                <w:rFonts w:ascii="仿宋_GB2312" w:hAnsi="仿宋_GB2312"/>
                <w:sz w:val="24"/>
              </w:rPr>
              <w:t>150</w:t>
            </w:r>
            <w:r>
              <w:rPr>
                <w:rStyle w:val="64"/>
                <w:rFonts w:hint="eastAsia" w:ascii="仿宋_GB2312" w:hAnsi="仿宋_GB2312"/>
                <w:sz w:val="24"/>
              </w:rPr>
              <w:t>个普惠性托位，重点推进城市利用社会力量发展综合托育服务机构。支持建设社区托育服务设施，平均每个社区托育服务设施提供</w:t>
            </w:r>
            <w:r>
              <w:rPr>
                <w:rStyle w:val="64"/>
                <w:rFonts w:ascii="仿宋_GB2312" w:hAnsi="仿宋_GB2312"/>
                <w:sz w:val="24"/>
              </w:rPr>
              <w:t>50</w:t>
            </w:r>
            <w:r>
              <w:rPr>
                <w:rStyle w:val="64"/>
                <w:rFonts w:hint="eastAsia" w:ascii="仿宋_GB2312" w:hAnsi="仿宋_GB2312"/>
                <w:sz w:val="24"/>
              </w:rPr>
              <w:t>个普惠性托位。</w:t>
            </w:r>
          </w:p>
        </w:tc>
      </w:tr>
    </w:tbl>
    <w:p>
      <w:pPr>
        <w:pStyle w:val="6"/>
        <w:spacing w:line="560" w:lineRule="exact"/>
        <w:ind w:firstLine="640"/>
        <w:contextualSpacing/>
        <w:jc w:val="center"/>
        <w:rPr>
          <w:rFonts w:ascii="Times New Roman" w:hAnsi="Times New Roman"/>
          <w:bCs/>
        </w:rPr>
      </w:pPr>
      <w:bookmarkStart w:id="1480" w:name="_Toc11667"/>
      <w:bookmarkStart w:id="1481" w:name="_Toc14160"/>
      <w:bookmarkStart w:id="1482" w:name="_Toc5526"/>
      <w:r>
        <w:rPr>
          <w:rFonts w:hint="eastAsia" w:ascii="Times New Roman" w:hAnsi="Times New Roman"/>
        </w:rPr>
        <w:t>第七章</w:t>
      </w:r>
      <w:bookmarkEnd w:id="1480"/>
      <w:r>
        <w:rPr>
          <w:rFonts w:hint="eastAsia" w:ascii="Times New Roman" w:hAnsi="Times New Roman"/>
        </w:rPr>
        <w:t xml:space="preserve">   健全多层次社会保障体系</w:t>
      </w:r>
      <w:bookmarkEnd w:id="1481"/>
      <w:bookmarkEnd w:id="1482"/>
    </w:p>
    <w:p>
      <w:pPr>
        <w:spacing w:line="560" w:lineRule="exact"/>
        <w:ind w:firstLine="640" w:firstLineChars="200"/>
        <w:contextualSpacing/>
        <w:rPr>
          <w:rFonts w:ascii="Times New Roman" w:hAnsi="Times New Roman"/>
        </w:rPr>
      </w:pPr>
      <w:r>
        <w:rPr>
          <w:rFonts w:hint="eastAsia" w:ascii="Times New Roman" w:hAnsi="Times New Roman"/>
        </w:rPr>
        <w:t>坚持守住底线、突出重点、完善制度、引导预期，加快健全覆盖全民、统筹城乡、公平统一、可持续的多层次社会保障体系。</w:t>
      </w:r>
    </w:p>
    <w:p>
      <w:pPr>
        <w:pStyle w:val="7"/>
        <w:spacing w:line="560" w:lineRule="exact"/>
        <w:contextualSpacing/>
        <w:jc w:val="center"/>
        <w:rPr>
          <w:rFonts w:ascii="Times New Roman" w:hAnsi="Times New Roman" w:eastAsia="楷体_GB2312"/>
          <w:b w:val="0"/>
          <w:szCs w:val="32"/>
        </w:rPr>
      </w:pPr>
      <w:bookmarkStart w:id="1483" w:name="_Toc17612"/>
      <w:bookmarkStart w:id="1484" w:name="_Toc25910"/>
      <w:r>
        <w:rPr>
          <w:rFonts w:hint="eastAsia" w:ascii="Times New Roman" w:hAnsi="Times New Roman" w:eastAsia="楷体_GB2312"/>
          <w:b w:val="0"/>
          <w:bCs/>
          <w:szCs w:val="32"/>
        </w:rPr>
        <w:t>第一节  完善社会保险制度体系</w:t>
      </w:r>
      <w:bookmarkEnd w:id="1483"/>
      <w:bookmarkEnd w:id="1484"/>
    </w:p>
    <w:p>
      <w:pPr>
        <w:spacing w:line="560" w:lineRule="exact"/>
        <w:ind w:firstLine="640" w:firstLineChars="200"/>
        <w:contextualSpacing/>
        <w:rPr>
          <w:rFonts w:ascii="Times New Roman" w:hAnsi="Times New Roman"/>
        </w:rPr>
      </w:pPr>
      <w:r>
        <w:rPr>
          <w:rFonts w:hint="eastAsia" w:ascii="Times New Roman" w:hAnsi="Times New Roman"/>
          <w:bCs/>
          <w:kern w:val="0"/>
        </w:rPr>
        <w:t>完善多层次多支柱养老保险体系。</w:t>
      </w:r>
      <w:r>
        <w:rPr>
          <w:rFonts w:hint="eastAsia" w:ascii="Times New Roman" w:hAnsi="Times New Roman"/>
        </w:rPr>
        <w:t>规范完善企业职工基本养老保险全国统筹制度。建立退休人员基本养老金合理调整机制，合理确定调整水平，调整完善养老金计发基数。完善职工养老保险和遗属待遇政策。完善养老保险转移接续机制，实现城乡、地区、企事业单位之间的养老保险顺畅转移。深化机关事业单位养老保险制度改革。完善城乡居民养老保险制度，落实养老金正常调整机制，建立城乡居民养老保险参保人员丧葬补助和高龄补贴制度。落实为缴费困难群体代缴城乡居民养老保险费政策，完善与低保等其他社会保障制度衔接，提高城乡居民养老保险的防贫减贫作用。大力发展企业年金、职业年金、个人储蓄性养老保险和商业养老保险，积极建立多层次养老保险体系。</w:t>
      </w:r>
    </w:p>
    <w:p>
      <w:pPr>
        <w:spacing w:line="560" w:lineRule="exact"/>
        <w:ind w:firstLine="640" w:firstLineChars="200"/>
        <w:contextualSpacing/>
        <w:rPr>
          <w:rFonts w:ascii="Times New Roman" w:hAnsi="Times New Roman"/>
        </w:rPr>
      </w:pPr>
      <w:r>
        <w:rPr>
          <w:rFonts w:hint="eastAsia" w:ascii="Times New Roman" w:hAnsi="Times New Roman"/>
          <w:bCs/>
          <w:kern w:val="0"/>
        </w:rPr>
        <w:t>完善基本医疗保险制度。</w:t>
      </w:r>
      <w:r>
        <w:rPr>
          <w:rFonts w:hint="eastAsia" w:ascii="Times New Roman" w:hAnsi="Times New Roman"/>
        </w:rPr>
        <w:t>规范完善覆盖全民、依法参加的基本医疗保险制度和政策体系。加强重点人群参保缴费服务，取消参保限制，精准锁定未参保人群，实现基本医疗保险应保尽保。坚持基本医疗保险制度的公平普惠性，职工和城乡居民分类保障，待遇与缴费水平挂钩，各项社会保险基金分别建账、分账核算，根据全市经济社会发展水平和基金可持续能力，科学合理提升保障水平。规范和完善职工大额医疗费用补助、城乡居民大病保险等补充医疗保险。改革职工基本医疗保险个人账户，建立健全门诊共济保障机制。不断提高基本医疗保险市级统筹质量，为逐步推进省级统筹奠定基础。</w:t>
      </w:r>
    </w:p>
    <w:p>
      <w:pPr>
        <w:spacing w:line="560" w:lineRule="exact"/>
        <w:ind w:firstLine="640" w:firstLineChars="200"/>
        <w:contextualSpacing/>
        <w:rPr>
          <w:rFonts w:ascii="Times New Roman" w:hAnsi="Times New Roman"/>
          <w:lang w:bidi="zh-CN"/>
        </w:rPr>
      </w:pPr>
      <w:r>
        <w:rPr>
          <w:rFonts w:hint="eastAsia" w:ascii="Times New Roman" w:hAnsi="Times New Roman"/>
          <w:bCs/>
          <w:kern w:val="0"/>
        </w:rPr>
        <w:t>深化失业保险制度改革。</w:t>
      </w:r>
      <w:r>
        <w:rPr>
          <w:rFonts w:hint="eastAsia" w:ascii="Times New Roman" w:hAnsi="Times New Roman"/>
          <w:lang w:bidi="zh-CN"/>
        </w:rPr>
        <w:t>建立健全失业保险预防失业、促进就业长效机制，进一步提高统筹层次、规范管理和服务，保障基金安全，为加快推进失业保险实现省级统筹做好准备。完善失业保险</w:t>
      </w:r>
      <w:r>
        <w:rPr>
          <w:rFonts w:ascii="Times New Roman" w:hAnsi="Times New Roman"/>
          <w:lang w:bidi="zh-CN"/>
        </w:rPr>
        <w:t>支持参保企业稳岗、参保职工提升技能</w:t>
      </w:r>
      <w:r>
        <w:rPr>
          <w:rFonts w:hint="eastAsia" w:ascii="Times New Roman" w:hAnsi="Times New Roman"/>
          <w:lang w:bidi="zh-CN"/>
        </w:rPr>
        <w:t>等惠企惠民补贴政策。鼓励引导农村转移劳动力参加失业保险，充分发挥失业保险</w:t>
      </w:r>
      <w:r>
        <w:rPr>
          <w:rFonts w:hint="eastAsia" w:ascii="Times New Roman" w:hAnsi="Times New Roman"/>
          <w:lang w:val="zh-CN" w:bidi="zh-CN"/>
        </w:rPr>
        <w:t>“保</w:t>
      </w:r>
      <w:r>
        <w:rPr>
          <w:rFonts w:hint="eastAsia" w:ascii="Times New Roman" w:hAnsi="Times New Roman"/>
          <w:lang w:bidi="zh-CN"/>
        </w:rPr>
        <w:t>生活、防失业、促就业”功能作用，保障相对贫困人员参保权益。加强失业保险参保扩面，将覆盖范围逐步扩大到所有用人单位，积极探索建立灵活就业人员参保机制。</w:t>
      </w:r>
    </w:p>
    <w:p>
      <w:pPr>
        <w:spacing w:line="560" w:lineRule="exact"/>
        <w:ind w:firstLine="640" w:firstLineChars="200"/>
        <w:contextualSpacing/>
        <w:rPr>
          <w:rFonts w:ascii="Times New Roman" w:hAnsi="Times New Roman"/>
          <w:lang w:bidi="zh-CN"/>
        </w:rPr>
      </w:pPr>
      <w:r>
        <w:rPr>
          <w:rFonts w:hint="eastAsia" w:ascii="Times New Roman" w:hAnsi="Times New Roman"/>
          <w:bCs/>
          <w:kern w:val="0"/>
        </w:rPr>
        <w:t>深化工伤保险制度改革。</w:t>
      </w:r>
      <w:r>
        <w:rPr>
          <w:rFonts w:hint="eastAsia" w:ascii="Times New Roman" w:hAnsi="Times New Roman"/>
          <w:lang w:bidi="zh-CN"/>
        </w:rPr>
        <w:t>深化工伤保险省级统筹，建立规范高效的工伤保险基金省级统筹管理体系。探索建立以工伤保险为主体、商业保险为补充的多层次工伤保障制度体系。研究出台新业态人员职业伤害保障办法。建立完善预防、补偿、康复</w:t>
      </w:r>
      <w:r>
        <w:rPr>
          <w:rFonts w:hint="eastAsia" w:ascii="Times New Roman" w:hAnsi="Times New Roman"/>
          <w:lang w:val="zh-CN" w:bidi="zh-CN"/>
        </w:rPr>
        <w:t>“三位</w:t>
      </w:r>
      <w:r>
        <w:rPr>
          <w:rFonts w:hint="eastAsia" w:ascii="Times New Roman" w:hAnsi="Times New Roman"/>
          <w:lang w:bidi="zh-CN"/>
        </w:rPr>
        <w:t>一体”工伤保险制度体系</w:t>
      </w:r>
      <w:r>
        <w:rPr>
          <w:rFonts w:ascii="Times New Roman" w:hAnsi="Times New Roman"/>
          <w:lang w:bidi="zh-CN"/>
        </w:rPr>
        <w:t>，健全</w:t>
      </w:r>
      <w:r>
        <w:rPr>
          <w:rFonts w:hint="eastAsia" w:ascii="Times New Roman" w:hAnsi="Times New Roman"/>
          <w:lang w:bidi="zh-CN"/>
        </w:rPr>
        <w:t>“</w:t>
      </w:r>
      <w:r>
        <w:rPr>
          <w:rFonts w:ascii="Times New Roman" w:hAnsi="Times New Roman"/>
          <w:lang w:bidi="zh-CN"/>
        </w:rPr>
        <w:t>大预防</w:t>
      </w:r>
      <w:r>
        <w:rPr>
          <w:rFonts w:hint="eastAsia" w:ascii="Times New Roman" w:hAnsi="Times New Roman"/>
          <w:lang w:bidi="zh-CN"/>
        </w:rPr>
        <w:t>”</w:t>
      </w:r>
      <w:r>
        <w:rPr>
          <w:rFonts w:ascii="Times New Roman" w:hAnsi="Times New Roman"/>
          <w:lang w:bidi="zh-CN"/>
        </w:rPr>
        <w:t>工作机制。</w:t>
      </w:r>
      <w:r>
        <w:rPr>
          <w:rFonts w:hint="eastAsia" w:ascii="Times New Roman" w:hAnsi="Times New Roman"/>
          <w:lang w:bidi="zh-CN"/>
        </w:rPr>
        <w:t>研究制定预防费管理使用办法，促进伤后补偿向伤前预防倾斜。积极探索全市康复平台建设，试点推进康复早期介入和</w:t>
      </w:r>
      <w:r>
        <w:rPr>
          <w:rFonts w:hint="eastAsia" w:ascii="Times New Roman" w:hAnsi="Times New Roman"/>
          <w:lang w:val="zh-CN" w:bidi="zh-CN"/>
        </w:rPr>
        <w:t>“先</w:t>
      </w:r>
      <w:r>
        <w:rPr>
          <w:rFonts w:hint="eastAsia" w:ascii="Times New Roman" w:hAnsi="Times New Roman"/>
          <w:lang w:bidi="zh-CN"/>
        </w:rPr>
        <w:t>康复后鉴定”的工作机制，合理构建全市康复网络。积极推进灵活就业人员、小微企业和有雇工的个体工商户参加工伤保险（职业伤害保障）。</w:t>
      </w:r>
    </w:p>
    <w:p>
      <w:pPr>
        <w:pStyle w:val="7"/>
        <w:spacing w:line="560" w:lineRule="exact"/>
        <w:contextualSpacing/>
        <w:jc w:val="center"/>
        <w:rPr>
          <w:rFonts w:ascii="Times New Roman" w:hAnsi="Times New Roman" w:eastAsia="楷体_GB2312"/>
          <w:b w:val="0"/>
          <w:szCs w:val="32"/>
        </w:rPr>
      </w:pPr>
      <w:bookmarkStart w:id="1485" w:name="_Toc30123"/>
      <w:bookmarkStart w:id="1486" w:name="_Toc13148"/>
      <w:r>
        <w:rPr>
          <w:rFonts w:hint="eastAsia" w:ascii="Times New Roman" w:hAnsi="Times New Roman" w:eastAsia="楷体_GB2312"/>
          <w:b w:val="0"/>
          <w:bCs/>
          <w:szCs w:val="32"/>
        </w:rPr>
        <w:t>第二节  完善弱有所扶兜底保障</w:t>
      </w:r>
      <w:bookmarkEnd w:id="1485"/>
      <w:bookmarkEnd w:id="1486"/>
    </w:p>
    <w:p>
      <w:pPr>
        <w:spacing w:line="560" w:lineRule="exact"/>
        <w:ind w:firstLine="640" w:firstLineChars="200"/>
        <w:contextualSpacing/>
        <w:rPr>
          <w:rFonts w:ascii="Times New Roman" w:hAnsi="Times New Roman"/>
        </w:rPr>
      </w:pPr>
      <w:r>
        <w:rPr>
          <w:rFonts w:hint="eastAsia" w:ascii="Times New Roman" w:hAnsi="Times New Roman"/>
          <w:bCs/>
          <w:kern w:val="0"/>
        </w:rPr>
        <w:t>强化社会救助服务。</w:t>
      </w:r>
      <w:r>
        <w:rPr>
          <w:rFonts w:hint="eastAsia" w:ascii="Times New Roman" w:hAnsi="Times New Roman"/>
        </w:rPr>
        <w:t>有机衔接各项救助制度，合力保障困难群众基本生活。完善低保、特困、低收入家庭认定办法。合理界定医疗救助对象，健全疾病应急救助制度，加大医疗救助资金投入，对乡村振兴重点帮扶县给予</w:t>
      </w:r>
      <w:r>
        <w:rPr>
          <w:rFonts w:hint="eastAsia" w:ascii="仿宋_GB2312"/>
        </w:rPr>
        <w:t>资金倾斜</w:t>
      </w:r>
      <w:r>
        <w:rPr>
          <w:rFonts w:hint="eastAsia" w:ascii="Times New Roman" w:hAnsi="Times New Roman"/>
        </w:rPr>
        <w:t>。优化审核审批程序，加强和改进临时救助，及时救助基本生活受自然灾害严重影响人员。推进社会救助制度城乡统筹，有序推进在居住地申办社会救助。健全救助保障标准动态调整机制，完善社会救助和保障标准与物价上涨挂钩的联动机制，特困人员基本生活标准不低于当地低保标准的1.3倍。加强对经济困难群体和特殊群体的法律援助，推动援助范围向低收入群体拓展。完善提升“政福保”“政康保”，探索建立“防贫保”。</w:t>
      </w:r>
    </w:p>
    <w:p>
      <w:pPr>
        <w:spacing w:line="560" w:lineRule="exact"/>
        <w:ind w:firstLine="640" w:firstLineChars="200"/>
        <w:contextualSpacing/>
        <w:rPr>
          <w:rFonts w:ascii="Times New Roman" w:hAnsi="Times New Roman"/>
        </w:rPr>
      </w:pPr>
      <w:r>
        <w:rPr>
          <w:rFonts w:hint="eastAsia" w:ascii="Times New Roman" w:hAnsi="Times New Roman"/>
          <w:bCs/>
          <w:kern w:val="0"/>
        </w:rPr>
        <w:t>保障残疾人平等权益。</w:t>
      </w:r>
      <w:r>
        <w:rPr>
          <w:rFonts w:hint="eastAsia" w:ascii="Times New Roman" w:hAnsi="Times New Roman"/>
        </w:rPr>
        <w:t>按照省级文件要求，结合当地财政状况，动态调整困难残疾人生活补贴和重度残疾人护理补贴标准，将低保边缘家庭中符合条件的重度残疾人、重病患者，根据本人申请，参照“单人户”纳入最低生活保障范围。为符合条件、有长期照护需求的农村重度残疾人提供集中照护服务。推进适龄残疾儿童和青少年教育全覆盖。加强残疾人劳动权益保障和职业技能培训，扶持残疾人自主创业。推进残疾人服务设施和综合服务体系建设，优化基层公共服务设施的助残功能，促进残疾人融合发展。实施无障碍环境市县建设三年行动，支持困难重度残疾人家庭无障碍设施改造。促进残疾人康复服务发展，提高康复辅助器具适配率。推进精神障碍社区康复服务，到2025年，80%以上的县（市、区）开展精神障碍社区康复，开展精神障碍康复工作的社区60%以上的居家患者接受社区康复服务，推进精神卫生福利机构建设。</w:t>
      </w:r>
    </w:p>
    <w:p>
      <w:pPr>
        <w:spacing w:line="560" w:lineRule="exact"/>
        <w:ind w:firstLine="640" w:firstLineChars="200"/>
        <w:contextualSpacing/>
        <w:rPr>
          <w:rFonts w:ascii="Times New Roman" w:hAnsi="Times New Roman"/>
        </w:rPr>
      </w:pPr>
      <w:r>
        <w:rPr>
          <w:rFonts w:hint="eastAsia" w:ascii="Times New Roman" w:hAnsi="Times New Roman"/>
          <w:bCs/>
          <w:kern w:val="0"/>
        </w:rPr>
        <w:t>加强儿童关爱服务。</w:t>
      </w:r>
      <w:r>
        <w:rPr>
          <w:rFonts w:hint="eastAsia" w:ascii="Times New Roman" w:hAnsi="Times New Roman"/>
        </w:rPr>
        <w:t>强化孤儿、艾滋病病毒感染儿童和事实无人抚养儿童基本生活保障。健全困境儿童基本生活保障、基本医疗、教育保障制度，落实抚养监护责任。加强农村留守儿童关爱保护，提供家庭监护指导、心理关爱、行为矫治等服务。完善儿童福利机构功能，全面完成儿童福利机构优化提质和转型发展，到2025年，各县（市、区）至少有1所服务本区域农村留守儿童、社会散居孤儿和困境儿童的未成年人救助保护机构。探索乡镇（街道）未成年人保护工作站和乡镇（街道）社会工作服务站“两站合一”，全市未成年人保护工作站覆盖率达到100%。持续推进基层“儿童之家”建设，每所面积不低于30平米。</w:t>
      </w:r>
    </w:p>
    <w:p>
      <w:pPr>
        <w:spacing w:line="560" w:lineRule="exact"/>
        <w:ind w:firstLine="640" w:firstLineChars="200"/>
        <w:contextualSpacing/>
        <w:rPr>
          <w:rFonts w:ascii="Times New Roman" w:hAnsi="Times New Roman"/>
        </w:rPr>
      </w:pPr>
      <w:r>
        <w:rPr>
          <w:rFonts w:hint="eastAsia" w:ascii="Times New Roman" w:hAnsi="Times New Roman"/>
          <w:bCs/>
          <w:kern w:val="0"/>
        </w:rPr>
        <w:t>提升社会事务管理水平。</w:t>
      </w:r>
      <w:r>
        <w:rPr>
          <w:rFonts w:hint="eastAsia" w:ascii="Times New Roman" w:hAnsi="Times New Roman"/>
        </w:rPr>
        <w:t>坚持基本殡葬服务的公益性，持续做好惠民殡葬政策落实。强化殡葬服务设施建设，实现市、县、乡、村公益性公墓全覆盖。倡导文明殡葬、节地生态安葬。“十四五”末，全市公益性公墓入驻率、节地安葬率力争达到100%；经营性公墓建立节地生态安葬区，建设面积不低于墓区总面积的30%。加强婚姻登记规范化、信息化建设，做好婚姻登记“跨省通办”试点工作，推动婚姻工作向家庭服务领域延伸，推进婚俗改革。加强生活无着的流浪乞讨人员救助服务，优化救助管理机构设施建设。强化源头治理，完善流浪乞讨返乡人员信息台账和易流浪走失人员信息库。积极引入专业护理机构、社工组织、心理辅导机构等参与救助服务。</w:t>
      </w:r>
    </w:p>
    <w:p>
      <w:pPr>
        <w:pStyle w:val="7"/>
        <w:spacing w:line="560" w:lineRule="exact"/>
        <w:contextualSpacing/>
        <w:jc w:val="center"/>
        <w:rPr>
          <w:rFonts w:ascii="Times New Roman" w:hAnsi="Times New Roman" w:eastAsia="楷体_GB2312"/>
          <w:b w:val="0"/>
          <w:szCs w:val="32"/>
        </w:rPr>
      </w:pPr>
      <w:bookmarkStart w:id="1487" w:name="_Toc20531"/>
      <w:bookmarkStart w:id="1488" w:name="_Toc9356"/>
      <w:bookmarkStart w:id="1489" w:name="_Toc11332"/>
      <w:r>
        <w:rPr>
          <w:rFonts w:hint="eastAsia" w:ascii="Times New Roman" w:hAnsi="Times New Roman" w:eastAsia="楷体_GB2312"/>
          <w:b w:val="0"/>
          <w:bCs/>
          <w:szCs w:val="32"/>
        </w:rPr>
        <w:t>第三节  服务保障</w:t>
      </w:r>
      <w:bookmarkEnd w:id="1487"/>
      <w:bookmarkEnd w:id="1488"/>
      <w:bookmarkEnd w:id="1489"/>
    </w:p>
    <w:p>
      <w:pPr>
        <w:spacing w:line="560" w:lineRule="exact"/>
        <w:ind w:firstLine="640" w:firstLineChars="200"/>
        <w:contextualSpacing/>
        <w:rPr>
          <w:rFonts w:ascii="Times New Roman" w:hAnsi="Times New Roman"/>
        </w:rPr>
      </w:pPr>
      <w:r>
        <w:rPr>
          <w:rFonts w:hint="eastAsia" w:ascii="Times New Roman" w:hAnsi="Times New Roman"/>
          <w:bCs/>
          <w:kern w:val="0"/>
        </w:rPr>
        <w:t>加强社会保险服务。</w:t>
      </w:r>
      <w:r>
        <w:rPr>
          <w:rFonts w:hint="eastAsia" w:ascii="Times New Roman" w:hAnsi="Times New Roman"/>
        </w:rPr>
        <w:t>健全“多险合一、一网通办”的社会保险服务模式，整合服务资源，构建全市统一的社会保险公共服务平台，与全国社会保险公共服务平台无缝对接和互联互通。推动社会保险服务数字化转型，建立多渠道、多层次的社会保险智能经办服务体系，全面提升社会保险数据质量，实现部门间数据共享。持续推进社保卡建设应用，大力推行电子社保卡，提升社会保险服务的便利化、信息化和智能化。推进社会保险关系转移平台建设，加快社会保险领域信用体系建设。</w:t>
      </w:r>
    </w:p>
    <w:p>
      <w:pPr>
        <w:spacing w:line="560" w:lineRule="exact"/>
        <w:ind w:firstLine="640" w:firstLineChars="200"/>
        <w:contextualSpacing/>
        <w:rPr>
          <w:rFonts w:ascii="Times New Roman" w:hAnsi="Times New Roman"/>
        </w:rPr>
      </w:pPr>
      <w:r>
        <w:rPr>
          <w:rFonts w:hint="eastAsia" w:ascii="Times New Roman" w:hAnsi="Times New Roman"/>
          <w:bCs/>
          <w:kern w:val="0"/>
        </w:rPr>
        <w:t>加强社会工作服务。</w:t>
      </w:r>
      <w:r>
        <w:rPr>
          <w:rFonts w:hint="eastAsia" w:ascii="Times New Roman" w:hAnsi="Times New Roman"/>
        </w:rPr>
        <w:t>建立村（社区）—街镇（乡镇）—区（县）三级社会工作服务体系，推进乡镇（街道）社会工作站建设全覆盖，提升服务困难群众、老年人、困境儿童等群体的能力。强化基层社会救助经办服务，村级设立社会救助协理员。推动乡镇（街道）建立社会救助申请的综合性平台，形成“一门受理、协同办理”的部门合作机制。壮大社会工作专业人才队伍，支持志愿者积极参加社会工作服务活动，分级分类培养培训社会工作者，提高社会工作专业化水平。</w:t>
      </w:r>
    </w:p>
    <w:p>
      <w:pPr>
        <w:spacing w:line="560" w:lineRule="exact"/>
        <w:ind w:firstLine="640" w:firstLineChars="200"/>
        <w:contextualSpacing/>
        <w:rPr>
          <w:rFonts w:ascii="Times New Roman" w:hAnsi="Times New Roman"/>
        </w:rPr>
      </w:pPr>
      <w:r>
        <w:rPr>
          <w:rFonts w:hint="eastAsia" w:ascii="Times New Roman" w:hAnsi="Times New Roman"/>
          <w:bCs/>
          <w:kern w:val="0"/>
        </w:rPr>
        <w:t>推动社会救助便捷化。</w:t>
      </w:r>
      <w:r>
        <w:rPr>
          <w:rFonts w:hint="eastAsia" w:ascii="Times New Roman" w:hAnsi="Times New Roman"/>
        </w:rPr>
        <w:t>以低保对象、特困人员、低保边缘对象、支出型困难群众等特殊群体为重点，建设低收入人口动态监测信息平台，为相关部门和社会力量开展救助帮扶提供支持。健全跨部门、多层次、信息共享的社会救助家庭经济状况核对机制，实现社会救助信息系统互联互通、数据共享共用，推动社会救助服务向移动端延伸。</w:t>
      </w:r>
    </w:p>
    <w:p>
      <w:pPr>
        <w:spacing w:line="560" w:lineRule="exact"/>
        <w:ind w:firstLine="640" w:firstLineChars="200"/>
        <w:contextualSpacing/>
        <w:rPr>
          <w:rFonts w:ascii="Times New Roman" w:hAnsi="Times New Roman"/>
        </w:rPr>
      </w:pPr>
      <w:r>
        <w:rPr>
          <w:rFonts w:hint="eastAsia" w:ascii="Times New Roman" w:hAnsi="Times New Roman"/>
          <w:bCs/>
          <w:kern w:val="0"/>
        </w:rPr>
        <w:t>强化应急管理和应急物资保障。</w:t>
      </w:r>
      <w:r>
        <w:rPr>
          <w:rFonts w:hint="eastAsia" w:ascii="Times New Roman" w:hAnsi="Times New Roman"/>
        </w:rPr>
        <w:t>完善运力储备调运机制和应急物流体系，健全重要民生商品储备和应急投放机制。提升自然灾害防御工程建设水平，加强各类灾害风险普查和气象灾害防范，实施公共基础设施和城市重要基础设施安全加固防护工程。完善全过程自然灾害救助制度，发展巨灾保险。加强突发事件应急处置，健全分级响应和跨区域跨部门协同联动机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839" w:type="dxa"/>
            <w:vAlign w:val="center"/>
          </w:tcPr>
          <w:p>
            <w:pPr>
              <w:adjustRightInd w:val="0"/>
              <w:snapToGrid w:val="0"/>
              <w:spacing w:line="400" w:lineRule="exact"/>
              <w:contextualSpacing/>
              <w:jc w:val="center"/>
              <w:rPr>
                <w:rFonts w:ascii="Times New Roman" w:hAnsi="Times New Roman" w:eastAsia="黑体"/>
                <w:sz w:val="24"/>
                <w:szCs w:val="24"/>
              </w:rPr>
            </w:pPr>
            <w:r>
              <w:rPr>
                <w:rFonts w:hint="eastAsia" w:ascii="Times New Roman" w:hAnsi="Times New Roman" w:eastAsia="黑体"/>
                <w:sz w:val="28"/>
                <w:szCs w:val="28"/>
              </w:rPr>
              <w:t>专栏5：社会服务保障工程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9" w:type="dxa"/>
          </w:tcPr>
          <w:p>
            <w:pPr>
              <w:spacing w:line="400" w:lineRule="exact"/>
              <w:ind w:firstLine="480" w:firstLineChars="200"/>
              <w:contextualSpacing/>
              <w:rPr>
                <w:rStyle w:val="64"/>
                <w:rFonts w:ascii="仿宋_GB2312" w:hAnsi="仿宋_GB2312"/>
                <w:sz w:val="24"/>
              </w:rPr>
            </w:pPr>
            <w:r>
              <w:rPr>
                <w:rFonts w:hint="eastAsia" w:ascii="楷体" w:hAnsi="楷体" w:eastAsia="楷体" w:cs="楷体"/>
                <w:bCs/>
                <w:sz w:val="24"/>
                <w:szCs w:val="24"/>
              </w:rPr>
              <w:t>1.社会福利服务工程。</w:t>
            </w:r>
            <w:r>
              <w:rPr>
                <w:rStyle w:val="64"/>
                <w:rFonts w:hint="eastAsia" w:ascii="仿宋_GB2312" w:hAnsi="仿宋_GB2312"/>
                <w:sz w:val="24"/>
              </w:rPr>
              <w:t>规划建设符合市、县（区）经济社会发展水平的社会福利服务设施，改善社会服务基础设施条件，增强兜底保障能力，提升社会服务水平。加快推进市儿童福利院项目建设；</w:t>
            </w:r>
            <w:r>
              <w:rPr>
                <w:rFonts w:hint="eastAsia" w:ascii="仿宋_GB2312"/>
                <w:kern w:val="0"/>
                <w:sz w:val="24"/>
              </w:rPr>
              <w:t>推动县级儿童福利机构转型为未成年人救助保护机构。</w:t>
            </w:r>
            <w:r>
              <w:rPr>
                <w:rStyle w:val="64"/>
                <w:rFonts w:hint="eastAsia" w:ascii="仿宋_GB2312" w:hAnsi="仿宋_GB2312"/>
                <w:sz w:val="24"/>
              </w:rPr>
              <w:t>推进市精神卫生福利中心项目建设，建成后可收治全市享受福利待遇的精神病患者，兼具疗养、治疗、救治，康复等功能。升级完善全市11家救助管理机构基础设施。百万人口以上未设立精神卫生福利机构的县（市、区），力争到2025年前完成建设。</w:t>
            </w:r>
          </w:p>
          <w:p>
            <w:pPr>
              <w:spacing w:line="400" w:lineRule="exact"/>
              <w:ind w:firstLine="480" w:firstLineChars="200"/>
              <w:contextualSpacing/>
              <w:rPr>
                <w:rStyle w:val="64"/>
                <w:rFonts w:ascii="仿宋_GB2312" w:hAnsi="仿宋_GB2312"/>
                <w:sz w:val="24"/>
              </w:rPr>
            </w:pPr>
            <w:r>
              <w:rPr>
                <w:rFonts w:hint="eastAsia" w:ascii="楷体" w:hAnsi="楷体" w:eastAsia="楷体" w:cs="楷体"/>
                <w:bCs/>
                <w:sz w:val="24"/>
                <w:szCs w:val="24"/>
              </w:rPr>
              <w:t>2.殡葬设施建设工程。</w:t>
            </w:r>
            <w:r>
              <w:rPr>
                <w:rStyle w:val="64"/>
                <w:rFonts w:hint="eastAsia" w:ascii="仿宋_GB2312" w:hAnsi="仿宋_GB2312"/>
                <w:sz w:val="24"/>
              </w:rPr>
              <w:t>全面推进公益性公墓（骨灰堂）建设，实现每个县（市、区）至少建成1个城市公益性公墓，每个乡镇至少建成1个示范性农村公益性公墓，实现市、县、乡公益性安葬设施全覆盖。以殡仪馆、公墓等殡葬服务机构为主阵地，通过拓展改造、新批新建，全面推进殡仪服务中心（站）建设，满足群众“逝有所安”需求。</w:t>
            </w:r>
          </w:p>
          <w:p>
            <w:pPr>
              <w:spacing w:line="400" w:lineRule="exact"/>
              <w:ind w:firstLine="480" w:firstLineChars="200"/>
              <w:contextualSpacing/>
              <w:rPr>
                <w:rStyle w:val="64"/>
                <w:rFonts w:ascii="仿宋_GB2312" w:hAnsi="仿宋_GB2312"/>
                <w:sz w:val="24"/>
              </w:rPr>
            </w:pPr>
            <w:r>
              <w:rPr>
                <w:rFonts w:hint="eastAsia" w:ascii="楷体" w:hAnsi="楷体" w:eastAsia="楷体" w:cs="楷体"/>
                <w:bCs/>
                <w:sz w:val="24"/>
                <w:szCs w:val="24"/>
              </w:rPr>
              <w:t>3.残疾人服务设施工程。</w:t>
            </w:r>
            <w:r>
              <w:rPr>
                <w:rStyle w:val="64"/>
                <w:rFonts w:hint="eastAsia" w:ascii="仿宋_GB2312" w:hAnsi="仿宋_GB2312"/>
                <w:sz w:val="24"/>
              </w:rPr>
              <w:t>推进残疾人康复、托养等服务设施建设，配置专业设备和器材。推进南阳市残疾人综合服务中心投用，为南阳残疾人事业高质量发展提供重要支撑。残疾人口20万以上（含20万）的县（市、区）办好1所达标的特殊教育学校，实现市、县级特殊教育资源中心全覆盖。力争到2025年基本实现农村重度残疾人集中照护基本公共服务全覆盖。</w:t>
            </w:r>
          </w:p>
          <w:p>
            <w:pPr>
              <w:spacing w:line="400" w:lineRule="exact"/>
              <w:ind w:firstLine="480" w:firstLineChars="200"/>
              <w:contextualSpacing/>
            </w:pPr>
            <w:r>
              <w:rPr>
                <w:rFonts w:hint="eastAsia" w:ascii="楷体" w:hAnsi="楷体" w:eastAsia="楷体" w:cs="楷体"/>
                <w:bCs/>
                <w:sz w:val="24"/>
                <w:szCs w:val="24"/>
              </w:rPr>
              <w:t>4.残疾人服务信息化平台建设工程。</w:t>
            </w:r>
            <w:r>
              <w:rPr>
                <w:rStyle w:val="64"/>
                <w:rFonts w:hint="eastAsia" w:ascii="仿宋_GB2312" w:hAnsi="仿宋_GB2312"/>
                <w:sz w:val="24"/>
              </w:rPr>
              <w:t>完善全市残疾人职业技能培训管理系统、就业服务管理系统、按比例就业年审系统和盲人医疗按摩人员管理系统，保障有效运行。建设残疾人口基础信息和服务需求、服务资源信息数据库，实现与政府有关部门的数据联通共享，推动精准化服务和精细化管理。 </w:t>
            </w:r>
          </w:p>
        </w:tc>
      </w:tr>
    </w:tbl>
    <w:p>
      <w:pPr>
        <w:pStyle w:val="6"/>
        <w:spacing w:line="560" w:lineRule="exact"/>
        <w:ind w:firstLine="640"/>
        <w:contextualSpacing/>
        <w:jc w:val="center"/>
        <w:rPr>
          <w:rFonts w:ascii="Times New Roman" w:hAnsi="Times New Roman"/>
          <w:bCs/>
        </w:rPr>
      </w:pPr>
      <w:bookmarkStart w:id="1490" w:name="_Toc17927"/>
      <w:r>
        <w:rPr>
          <w:rFonts w:hint="eastAsia" w:ascii="Times New Roman" w:hAnsi="Times New Roman"/>
        </w:rPr>
        <w:t>第八章</w:t>
      </w:r>
      <w:r>
        <w:rPr>
          <w:rFonts w:ascii="Times New Roman" w:hAnsi="Times New Roman"/>
        </w:rPr>
        <w:t xml:space="preserve">  </w:t>
      </w:r>
      <w:r>
        <w:rPr>
          <w:rFonts w:hint="eastAsia" w:ascii="Times New Roman" w:hAnsi="Times New Roman"/>
        </w:rPr>
        <w:t>优化城乡住房保障服务</w:t>
      </w:r>
      <w:bookmarkEnd w:id="1490"/>
    </w:p>
    <w:p>
      <w:pPr>
        <w:tabs>
          <w:tab w:val="right" w:leader="middleDot" w:pos="8712"/>
        </w:tabs>
        <w:spacing w:line="560" w:lineRule="exact"/>
        <w:ind w:firstLine="640" w:firstLineChars="200"/>
        <w:contextualSpacing/>
        <w:rPr>
          <w:rFonts w:ascii="仿宋_GB2312" w:hAnsi="仿宋" w:cs="仿宋"/>
        </w:rPr>
      </w:pPr>
      <w:bookmarkStart w:id="1491" w:name="_Toc27184"/>
      <w:r>
        <w:rPr>
          <w:rFonts w:hint="eastAsia" w:ascii="仿宋_GB2312" w:hAnsi="仿宋" w:cs="仿宋"/>
        </w:rPr>
        <w:t>坚持“房住不炒”的定位，促进房地产市场健康平稳发展，加快建立多主体供给、多渠道保障、租购并举的住房制度，保障人民住有所居、住有宜居。</w:t>
      </w:r>
    </w:p>
    <w:p>
      <w:pPr>
        <w:pStyle w:val="7"/>
        <w:spacing w:line="560" w:lineRule="exact"/>
        <w:contextualSpacing/>
        <w:jc w:val="center"/>
        <w:rPr>
          <w:rFonts w:ascii="Times New Roman" w:hAnsi="Times New Roman" w:eastAsia="楷体_GB2312"/>
          <w:b w:val="0"/>
          <w:szCs w:val="32"/>
        </w:rPr>
      </w:pPr>
      <w:bookmarkStart w:id="1492" w:name="_Toc10913"/>
      <w:bookmarkStart w:id="1493" w:name="_Toc31356"/>
      <w:bookmarkStart w:id="1494" w:name="_Toc503174161"/>
      <w:bookmarkStart w:id="1495" w:name="_Toc17442"/>
      <w:r>
        <w:rPr>
          <w:rFonts w:hint="eastAsia" w:ascii="Times New Roman" w:hAnsi="Times New Roman" w:eastAsia="楷体_GB2312"/>
          <w:b w:val="0"/>
          <w:bCs/>
          <w:szCs w:val="32"/>
        </w:rPr>
        <w:t>第一节  有效增加保障性住房供给</w:t>
      </w:r>
      <w:bookmarkEnd w:id="1492"/>
      <w:bookmarkEnd w:id="1493"/>
      <w:bookmarkEnd w:id="1494"/>
      <w:bookmarkEnd w:id="1495"/>
    </w:p>
    <w:p>
      <w:pPr>
        <w:spacing w:line="560" w:lineRule="exact"/>
        <w:ind w:firstLine="640" w:firstLineChars="200"/>
        <w:contextualSpacing/>
        <w:rPr>
          <w:rFonts w:ascii="Times New Roman" w:hAnsi="Times New Roman" w:eastAsia="仿宋" w:cs="仿宋"/>
        </w:rPr>
      </w:pPr>
      <w:r>
        <w:rPr>
          <w:rFonts w:hint="eastAsia" w:ascii="Times New Roman" w:hAnsi="Times New Roman"/>
          <w:bCs/>
          <w:kern w:val="0"/>
        </w:rPr>
        <w:t>保障基本住房需求。</w:t>
      </w:r>
      <w:r>
        <w:rPr>
          <w:rFonts w:hint="eastAsia" w:ascii="仿宋_GB2312" w:hAnsi="仿宋" w:cs="仿宋"/>
        </w:rPr>
        <w:t>做好城镇住房和收入困难家庭公租房保障，实行实物保障和货币补贴并举，合理确定实物公租房保有量，对城镇户籍低保、低收入住房困难家庭依申请应保尽保。稳步推进棚户区（城中村）改造。坚持因地制宜、量力而行，重点改造老城区内脏乱差棚户区，加快棚户区和城中村改造，创新棚改项目资金平衡模式，支持符合条件的融资平台公司、国有企业、民间资本依法合规参与棚户区改造。提升棚户区改造安置住房建设品质，优化安置地块周边交通和公共服务设施，强化服务功能。结合农村危房改造，对符合条件的农村低收入群体等重点对象住房安全做到应保尽保。</w:t>
      </w:r>
    </w:p>
    <w:p>
      <w:pPr>
        <w:spacing w:line="560" w:lineRule="exact"/>
        <w:ind w:firstLine="640" w:firstLineChars="200"/>
        <w:contextualSpacing/>
        <w:rPr>
          <w:rFonts w:ascii="仿宋_GB2312" w:hAnsi="仿宋" w:cs="仿宋"/>
        </w:rPr>
      </w:pPr>
      <w:r>
        <w:rPr>
          <w:rFonts w:hint="eastAsia" w:ascii="Times New Roman" w:hAnsi="Times New Roman"/>
          <w:bCs/>
          <w:kern w:val="0"/>
        </w:rPr>
        <w:t>积极推动改善住房条件。</w:t>
      </w:r>
      <w:r>
        <w:rPr>
          <w:rFonts w:hint="eastAsia" w:ascii="仿宋_GB2312" w:hAnsi="仿宋" w:cs="仿宋"/>
        </w:rPr>
        <w:t>适应副中心城市发展需要积极发展保障性租赁住房，以建筑面积不超过70平方米的小户型为主建设保障性租赁住房，租金低于同地段同品质市场租赁入户租金，重点解决符合条件的新市民、青年人等群体的住房困难问题。鼓励利用集体经营性建设用地、企事业单位自有闲置土地、产业园区配套用地和存量闲置房屋建设保障性租赁住房。</w:t>
      </w:r>
    </w:p>
    <w:p>
      <w:pPr>
        <w:tabs>
          <w:tab w:val="right" w:leader="middleDot" w:pos="8712"/>
        </w:tabs>
        <w:spacing w:line="560" w:lineRule="exact"/>
        <w:ind w:firstLine="640" w:firstLineChars="200"/>
        <w:contextualSpacing/>
        <w:rPr>
          <w:rFonts w:ascii="Times New Roman" w:hAnsi="Times New Roman" w:eastAsia="仿宋" w:cs="仿宋"/>
        </w:rPr>
      </w:pPr>
      <w:r>
        <w:rPr>
          <w:rFonts w:hint="eastAsia" w:ascii="Times New Roman" w:hAnsi="Times New Roman"/>
          <w:bCs/>
          <w:kern w:val="0"/>
        </w:rPr>
        <w:t>规范租赁住房市场。</w:t>
      </w:r>
      <w:r>
        <w:rPr>
          <w:rFonts w:hint="eastAsia" w:ascii="仿宋_GB2312" w:hAnsi="仿宋_GB2312" w:cs="仿宋_GB2312"/>
        </w:rPr>
        <w:t>完善供应主体多元、经营服务规范、租赁关系稳定的住房租赁市场体系，有效盘活存量住房资源。建设政府主导的住房租赁监管和服务信息化平台，建立租金、押金监管制度，为租赁当事人提供高效便捷安全的住房租赁服务。鼓励符合条件的非住宅用房等按规定改建为租赁住房，推动租、购住房在享受基本公共服务上具有同等权利。整顿规范住房租赁市场秩序，加强住房租赁市场监管。</w:t>
      </w:r>
    </w:p>
    <w:p>
      <w:pPr>
        <w:spacing w:line="560" w:lineRule="exact"/>
        <w:ind w:firstLine="640" w:firstLineChars="200"/>
        <w:contextualSpacing/>
        <w:rPr>
          <w:rFonts w:ascii="Times New Roman" w:hAnsi="Times New Roman" w:eastAsia="仿宋" w:cs="仿宋"/>
          <w:spacing w:val="-20"/>
        </w:rPr>
      </w:pPr>
      <w:r>
        <w:rPr>
          <w:rFonts w:hint="eastAsia" w:ascii="Times New Roman" w:hAnsi="Times New Roman"/>
          <w:bCs/>
          <w:kern w:val="0"/>
        </w:rPr>
        <w:t>营造社区宜居环境。</w:t>
      </w:r>
      <w:r>
        <w:rPr>
          <w:rFonts w:hint="eastAsia" w:ascii="仿宋_GB2312" w:hAnsi="仿宋" w:cs="仿宋"/>
        </w:rPr>
        <w:t>全面推进城镇老旧小区改造，重点改造完善小区配套和市政基础设施，支持加装电梯、加建停车场、充电桩等设施，配套养老、托育、卫生、家政保洁等多样化社区服务设施，增加市民公共活动场地。健全居住社区垃圾分类和收集站点网络，加强环境卫生整治。实施社区公共设施数字化、网络化、智能化改造和管理，推进智慧社区建设，推动建设安全健康、设施完善、管理有序的居住社区。统筹推进绿色社区创建行动，</w:t>
      </w:r>
      <w:r>
        <w:rPr>
          <w:rFonts w:hint="eastAsia" w:ascii="仿宋_GB2312" w:hAnsi="仿宋" w:cs="仿宋"/>
          <w:spacing w:val="-20"/>
        </w:rPr>
        <w:t>到“十四五”末，</w:t>
      </w:r>
      <w:r>
        <w:rPr>
          <w:rFonts w:ascii="仿宋_GB2312" w:hAnsi="仿宋" w:cs="仿宋"/>
          <w:spacing w:val="-20"/>
        </w:rPr>
        <w:t>60%</w:t>
      </w:r>
      <w:r>
        <w:rPr>
          <w:rFonts w:hint="eastAsia" w:ascii="仿宋_GB2312" w:hAnsi="仿宋" w:cs="仿宋"/>
          <w:spacing w:val="-20"/>
        </w:rPr>
        <w:t>以上的城市社区达到绿色社区创建要求。</w:t>
      </w:r>
    </w:p>
    <w:p>
      <w:pPr>
        <w:pStyle w:val="7"/>
        <w:spacing w:line="560" w:lineRule="exact"/>
        <w:contextualSpacing/>
        <w:jc w:val="center"/>
        <w:rPr>
          <w:rFonts w:ascii="Times New Roman" w:hAnsi="Times New Roman" w:eastAsia="楷体_GB2312"/>
          <w:b w:val="0"/>
          <w:szCs w:val="32"/>
        </w:rPr>
      </w:pPr>
      <w:bookmarkStart w:id="1496" w:name="_Toc863754195"/>
      <w:bookmarkStart w:id="1497" w:name="_Toc9745"/>
      <w:bookmarkStart w:id="1498" w:name="_Toc32345"/>
      <w:bookmarkStart w:id="1499" w:name="_Toc26915"/>
      <w:r>
        <w:rPr>
          <w:rFonts w:hint="eastAsia" w:ascii="Times New Roman" w:hAnsi="Times New Roman" w:eastAsia="楷体_GB2312"/>
          <w:b w:val="0"/>
          <w:bCs/>
          <w:szCs w:val="32"/>
        </w:rPr>
        <w:t>第二节  服务保障</w:t>
      </w:r>
      <w:bookmarkEnd w:id="1496"/>
      <w:bookmarkEnd w:id="1497"/>
      <w:bookmarkEnd w:id="1498"/>
      <w:bookmarkEnd w:id="1499"/>
    </w:p>
    <w:p>
      <w:pPr>
        <w:spacing w:line="560" w:lineRule="exact"/>
        <w:ind w:firstLine="640" w:firstLineChars="200"/>
        <w:contextualSpacing/>
        <w:rPr>
          <w:rFonts w:ascii="Times New Roman" w:hAnsi="Times New Roman" w:eastAsia="仿宋" w:cs="仿宋"/>
        </w:rPr>
      </w:pPr>
      <w:r>
        <w:rPr>
          <w:rFonts w:hint="eastAsia" w:ascii="Times New Roman" w:hAnsi="Times New Roman"/>
          <w:bCs/>
          <w:kern w:val="0"/>
        </w:rPr>
        <w:t>完善制度保障。</w:t>
      </w:r>
      <w:r>
        <w:rPr>
          <w:rFonts w:hint="eastAsia" w:ascii="仿宋_GB2312" w:hAnsi="Times New Roman" w:cs="楷体"/>
        </w:rPr>
        <w:t>扩大公积金制度覆盖范围，鼓励灵活就业人员参加住房公积金制度。优化住房公积金使用政策，租购并举保障缴存人基本住房需求。</w:t>
      </w:r>
      <w:r>
        <w:rPr>
          <w:rFonts w:hint="eastAsia" w:ascii="仿宋_GB2312" w:hAnsi="Times New Roman" w:cs="仿宋"/>
        </w:rPr>
        <w:t>提高保障性住房建设改造效率，落实税费减免政策，合理优化审批流程，缩短审批时限。完善住房保障方式，健全保障对象、准入门槛、退出管理等政策。健全守信激励和失信惩戒机制，引导住房建设企业主动发布综合信用承诺或产品和服务质量等专项承诺。</w:t>
      </w:r>
    </w:p>
    <w:p>
      <w:pPr>
        <w:spacing w:line="560" w:lineRule="exact"/>
        <w:ind w:firstLine="640" w:firstLineChars="200"/>
        <w:contextualSpacing/>
        <w:rPr>
          <w:rFonts w:ascii="Times New Roman" w:hAnsi="Times New Roman" w:eastAsia="仿宋" w:cs="仿宋"/>
        </w:rPr>
      </w:pPr>
      <w:r>
        <w:rPr>
          <w:rFonts w:hint="eastAsia" w:ascii="Times New Roman" w:hAnsi="Times New Roman"/>
          <w:bCs/>
          <w:kern w:val="0"/>
        </w:rPr>
        <w:t>加大土地供应。</w:t>
      </w:r>
      <w:r>
        <w:rPr>
          <w:rFonts w:hint="eastAsia" w:ascii="仿宋_GB2312" w:hAnsi="Times New Roman" w:cs="仿宋"/>
        </w:rPr>
        <w:t>储备土地和收回使用权的国有土地，优先安排保障性住房建设。土地供应向租赁住房建设倾斜，单列租赁住</w:t>
      </w:r>
      <w:r>
        <w:rPr>
          <w:rFonts w:hint="eastAsia" w:ascii="仿宋_GB2312" w:hAnsi="Times New Roman" w:cs="仿宋"/>
          <w:spacing w:val="6"/>
        </w:rPr>
        <w:t>房用地计划。加大对工矿企业废弃用地的整治和复垦，盘活存量用地，通过城乡用地增减挂钩确保棚户区改造用地需求。明确老旧小区改造土地支持政策，允许利用闲置用房等存量房屋建设各类公共服务设施，在一定年限内不变更用地主体和土地使用性质。</w:t>
      </w:r>
    </w:p>
    <w:p>
      <w:pPr>
        <w:spacing w:line="560" w:lineRule="exact"/>
        <w:ind w:firstLine="640" w:firstLineChars="200"/>
        <w:contextualSpacing/>
        <w:rPr>
          <w:rFonts w:ascii="Times New Roman" w:hAnsi="Times New Roman" w:eastAsia="仿宋" w:cs="仿宋"/>
        </w:rPr>
      </w:pPr>
      <w:r>
        <w:rPr>
          <w:rFonts w:hint="eastAsia" w:ascii="Times New Roman" w:hAnsi="Times New Roman"/>
          <w:bCs/>
          <w:kern w:val="0"/>
        </w:rPr>
        <w:t>加强资金统筹。</w:t>
      </w:r>
      <w:r>
        <w:rPr>
          <w:rFonts w:hint="eastAsia" w:ascii="仿宋_GB2312" w:hAnsi="Times New Roman" w:cs="仿宋"/>
        </w:rPr>
        <w:t>统筹各项资金用于公租房房源筹集、租赁补贴发放。引导金融机构参与保障性住房建设，支持银行业向实行市场化运作并符合信贷条件的保障性住房项目直接发放贷款，并给予利率优惠。积极推进通过财政补助、专项债发行、社会资本投资、居民分担等多渠道出资建设保障性住房。</w:t>
      </w:r>
    </w:p>
    <w:p>
      <w:pPr>
        <w:spacing w:line="560" w:lineRule="exact"/>
        <w:ind w:firstLine="640" w:firstLineChars="200"/>
        <w:contextualSpacing/>
        <w:rPr>
          <w:rFonts w:ascii="仿宋_GB2312" w:hAnsi="Times New Roman" w:cs="仿宋"/>
        </w:rPr>
      </w:pPr>
      <w:r>
        <w:rPr>
          <w:rFonts w:hint="eastAsia" w:ascii="Times New Roman" w:hAnsi="Times New Roman"/>
          <w:bCs/>
          <w:kern w:val="0"/>
        </w:rPr>
        <w:t>探索创新住房保障形式。</w:t>
      </w:r>
      <w:r>
        <w:rPr>
          <w:rFonts w:hint="eastAsia" w:ascii="仿宋_GB2312" w:hAnsi="Times New Roman" w:cs="仿宋"/>
        </w:rPr>
        <w:t>探索符合实际的共有产权住房发展模式，建设</w:t>
      </w:r>
      <w:r>
        <w:rPr>
          <w:rFonts w:hint="eastAsia" w:ascii="仿宋_GB2312" w:hAnsi="仿宋_GB2312" w:cs="仿宋_GB2312"/>
        </w:rPr>
        <w:t>人才公寓</w:t>
      </w:r>
      <w:r>
        <w:rPr>
          <w:rFonts w:hint="eastAsia" w:ascii="仿宋_GB2312" w:hAnsi="Times New Roman" w:cs="仿宋"/>
        </w:rPr>
        <w:t>。完善产权式保障政策措施，满足具有一定购买力的保障对象购买产权住房需求。探索保障性住房规范标准和运行机制，及时向社会公布年度保障性安居工程建设、分配和退出信息。</w:t>
      </w:r>
    </w:p>
    <w:bookmarkEnd w:id="1491"/>
    <w:p>
      <w:pPr>
        <w:spacing w:line="560" w:lineRule="exact"/>
        <w:contextualSpacing/>
        <w:jc w:val="center"/>
        <w:outlineLvl w:val="0"/>
        <w:rPr>
          <w:rFonts w:ascii="Times New Roman" w:hAnsi="Times New Roman" w:eastAsia="黑体"/>
        </w:rPr>
      </w:pPr>
      <w:bookmarkStart w:id="1500" w:name="_Toc15228"/>
      <w:bookmarkStart w:id="1501" w:name="_Toc1414576875"/>
      <w:bookmarkStart w:id="1502" w:name="_Toc7669"/>
      <w:bookmarkStart w:id="1503" w:name="_Toc21089"/>
      <w:r>
        <w:rPr>
          <w:rFonts w:hint="eastAsia" w:ascii="Times New Roman" w:hAnsi="Times New Roman" w:eastAsia="黑体"/>
        </w:rPr>
        <w:t>第九章  强化退役军人保障服务</w:t>
      </w:r>
      <w:bookmarkEnd w:id="1500"/>
      <w:bookmarkEnd w:id="1501"/>
      <w:bookmarkEnd w:id="1502"/>
      <w:bookmarkEnd w:id="1503"/>
    </w:p>
    <w:p>
      <w:pPr>
        <w:spacing w:line="560" w:lineRule="exact"/>
        <w:ind w:firstLine="640" w:firstLineChars="200"/>
        <w:contextualSpacing/>
        <w:rPr>
          <w:rFonts w:ascii="仿宋_GB2312" w:hAnsi="Times New Roman" w:cs="仿宋"/>
        </w:rPr>
      </w:pPr>
      <w:r>
        <w:rPr>
          <w:rFonts w:hint="eastAsia" w:ascii="仿宋_GB2312" w:hAnsi="Times New Roman" w:cs="仿宋"/>
        </w:rPr>
        <w:t>加强双拥共建，全面提升优军优抚服务能力，维护军人军属合法权益，切实把退役军人安置好、服务好、保障好，激发退役军人建功新时代的积极性、主动性和创造性。</w:t>
      </w:r>
    </w:p>
    <w:p>
      <w:pPr>
        <w:pStyle w:val="7"/>
        <w:spacing w:line="560" w:lineRule="exact"/>
        <w:contextualSpacing/>
        <w:jc w:val="center"/>
        <w:rPr>
          <w:rFonts w:ascii="Times New Roman" w:hAnsi="Times New Roman" w:eastAsia="楷体_GB2312"/>
          <w:b w:val="0"/>
          <w:szCs w:val="32"/>
        </w:rPr>
      </w:pPr>
      <w:bookmarkStart w:id="1504" w:name="_Toc10706"/>
      <w:bookmarkStart w:id="1505" w:name="_Toc19433"/>
      <w:bookmarkStart w:id="1506" w:name="_Toc2041127534"/>
      <w:bookmarkStart w:id="1507" w:name="_Toc11083"/>
      <w:r>
        <w:rPr>
          <w:rFonts w:hint="eastAsia" w:ascii="Times New Roman" w:hAnsi="Times New Roman" w:eastAsia="楷体_GB2312"/>
          <w:b w:val="0"/>
          <w:bCs/>
          <w:szCs w:val="32"/>
        </w:rPr>
        <w:t>第一节  全面落实退役军人保障政策</w:t>
      </w:r>
      <w:bookmarkEnd w:id="1504"/>
      <w:bookmarkEnd w:id="1505"/>
      <w:bookmarkEnd w:id="1506"/>
      <w:bookmarkEnd w:id="1507"/>
    </w:p>
    <w:p>
      <w:pPr>
        <w:spacing w:line="560" w:lineRule="exact"/>
        <w:ind w:firstLine="640" w:firstLineChars="200"/>
        <w:contextualSpacing/>
        <w:rPr>
          <w:rFonts w:ascii="仿宋_GB2312" w:hAnsi="Times New Roman" w:cs="仿宋"/>
        </w:rPr>
      </w:pPr>
      <w:r>
        <w:rPr>
          <w:rFonts w:hint="eastAsia" w:ascii="Times New Roman" w:hAnsi="Times New Roman"/>
          <w:bCs/>
          <w:kern w:val="0"/>
        </w:rPr>
        <w:t>落实退役军人安置政策。</w:t>
      </w:r>
      <w:r>
        <w:rPr>
          <w:rFonts w:hint="eastAsia" w:ascii="仿宋_GB2312" w:hAnsi="Times New Roman" w:cs="仿宋"/>
        </w:rPr>
        <w:t>健全退役军人安置制度，规范接收程序和流程，分类做好军官、军士、义务兵的移交安置工作。探索制定机关、事业单位和国有企业分类接收比例，推进建立专项岗位归集制度，完善“阳光安置”工作机制，实施转业军官“直通车”式安置服务。</w:t>
      </w:r>
    </w:p>
    <w:p>
      <w:pPr>
        <w:spacing w:line="560" w:lineRule="exact"/>
        <w:ind w:firstLine="640" w:firstLineChars="200"/>
        <w:contextualSpacing/>
        <w:rPr>
          <w:rFonts w:ascii="仿宋_GB2312" w:hAnsi="Times New Roman" w:cs="仿宋"/>
        </w:rPr>
      </w:pPr>
      <w:r>
        <w:rPr>
          <w:rFonts w:hint="eastAsia" w:ascii="Times New Roman" w:hAnsi="Times New Roman"/>
          <w:bCs/>
          <w:kern w:val="0"/>
        </w:rPr>
        <w:t>强化退役军人优抚保障。</w:t>
      </w:r>
      <w:r>
        <w:rPr>
          <w:rFonts w:hint="eastAsia" w:ascii="仿宋_GB2312" w:hAnsi="Times New Roman" w:cs="仿宋"/>
        </w:rPr>
        <w:t>支持新建或改扩建优抚医院、具备医养结合功能的光荣院，积极推动医疗康养、优抚保障基地建设。加强对享受国家定期抚恤补助优抚对象的保障，确保优抚资金及时发放。强化重度残疾退役军人集中供养能力，提高照护质量。创新服务模式，为优抚对象提供高效便捷的医疗养老服务。加大重残退役军人及其家庭关爱帮扶力度。落实军队离退休干部、病退士官待遇。</w:t>
      </w:r>
    </w:p>
    <w:p>
      <w:pPr>
        <w:spacing w:line="560" w:lineRule="exact"/>
        <w:ind w:firstLine="640" w:firstLineChars="200"/>
        <w:contextualSpacing/>
        <w:rPr>
          <w:rFonts w:ascii="仿宋_GB2312" w:hAnsi="Times New Roman" w:cs="仿宋"/>
        </w:rPr>
      </w:pPr>
      <w:r>
        <w:rPr>
          <w:rFonts w:hint="eastAsia" w:ascii="Times New Roman" w:hAnsi="Times New Roman"/>
          <w:bCs/>
          <w:kern w:val="0"/>
        </w:rPr>
        <w:t>支持退役军人就业创业。</w:t>
      </w:r>
      <w:r>
        <w:rPr>
          <w:rFonts w:hint="eastAsia" w:ascii="仿宋_GB2312" w:hAnsi="Times New Roman" w:cs="仿宋"/>
        </w:rPr>
        <w:t>建设退役军人就业创业工作平台，向退役军人提供线上就业创业服务。分类推行退役军人全员适应性培训，增强退役军人职业技能。优化就业创业服务方式，扩大就业供给。强化创业支持，搭建创业孵化平台，积极提供创业指导和政策扶持。“十四五”末，退役军人适应性培训参训率达到100％，有职业技能培训意愿的参训率达到100%，退役军人就业率不低于全市平均水平。</w:t>
      </w:r>
    </w:p>
    <w:p>
      <w:pPr>
        <w:spacing w:line="560" w:lineRule="exact"/>
        <w:ind w:firstLine="640" w:firstLineChars="200"/>
        <w:contextualSpacing/>
        <w:rPr>
          <w:rFonts w:ascii="仿宋_GB2312" w:hAnsi="Times New Roman" w:cs="仿宋"/>
        </w:rPr>
      </w:pPr>
      <w:r>
        <w:rPr>
          <w:rFonts w:hint="eastAsia" w:ascii="Times New Roman" w:hAnsi="Times New Roman"/>
          <w:bCs/>
          <w:kern w:val="0"/>
        </w:rPr>
        <w:t>全面加强褒扬引领。</w:t>
      </w:r>
      <w:r>
        <w:rPr>
          <w:rFonts w:hint="eastAsia" w:ascii="仿宋_GB2312" w:hAnsi="Times New Roman" w:cs="仿宋"/>
        </w:rPr>
        <w:t>统筹烈士纪念设施规划、建设与管理，支持有条件的县（市、区）建设军人公墓。加大英雄烈士褒扬纪念力度，加强讲解员队伍建设，在重要节日和纪念日开展烈士纪念活动。常态化开展学习宣传退役军人先进典型活动，激励退役军人建功新时代。整理编辑出版烈士事迹，加大对歪曲、丑化、诋毁和否定英雄烈士行为的打击力度。建立优秀退役军人人才库，支持和引导退役军人依法有序开展志愿服务活动。鼓励支持“兵支书”扎根基层。</w:t>
      </w:r>
    </w:p>
    <w:p>
      <w:pPr>
        <w:spacing w:line="560" w:lineRule="exact"/>
        <w:ind w:firstLine="640" w:firstLineChars="200"/>
        <w:contextualSpacing/>
        <w:rPr>
          <w:rFonts w:ascii="仿宋_GB2312" w:hAnsi="Times New Roman" w:cs="仿宋"/>
        </w:rPr>
      </w:pPr>
      <w:r>
        <w:rPr>
          <w:rFonts w:hint="eastAsia" w:ascii="Times New Roman" w:hAnsi="Times New Roman"/>
          <w:bCs/>
          <w:kern w:val="0"/>
        </w:rPr>
        <w:t>持续弘扬双拥共建优良传统。</w:t>
      </w:r>
      <w:r>
        <w:rPr>
          <w:rFonts w:hint="eastAsia" w:ascii="仿宋_GB2312" w:hAnsi="Times New Roman" w:cs="仿宋"/>
        </w:rPr>
        <w:t>加强爱国主义教育和国防教育，增强全民国防观念。加快推进南阳市国防教育基地项目建设。积极开展立功送喜报、悬挂光荣牌、慰问现役官兵家庭、社会拥军等活动。落实随军家属就业、子女教育等优待政策。常态化开展双拥共建活动，建立军地互提需求、互办实事“双清单”制度，加强双拥模范城（县）创建工作。</w:t>
      </w:r>
    </w:p>
    <w:p>
      <w:pPr>
        <w:pStyle w:val="7"/>
        <w:spacing w:line="560" w:lineRule="exact"/>
        <w:contextualSpacing/>
        <w:jc w:val="center"/>
        <w:rPr>
          <w:rFonts w:ascii="Times New Roman" w:hAnsi="Times New Roman" w:eastAsia="楷体_GB2312"/>
          <w:b w:val="0"/>
          <w:szCs w:val="32"/>
        </w:rPr>
      </w:pPr>
      <w:bookmarkStart w:id="1508" w:name="_Toc16717"/>
      <w:bookmarkStart w:id="1509" w:name="_Toc6608"/>
      <w:bookmarkStart w:id="1510" w:name="_Toc24981"/>
      <w:bookmarkStart w:id="1511" w:name="_Toc504747154"/>
      <w:r>
        <w:rPr>
          <w:rFonts w:hint="eastAsia" w:ascii="Times New Roman" w:hAnsi="Times New Roman" w:eastAsia="楷体_GB2312"/>
          <w:b w:val="0"/>
          <w:bCs/>
          <w:szCs w:val="32"/>
        </w:rPr>
        <w:t>第二节  服务保障</w:t>
      </w:r>
      <w:bookmarkEnd w:id="1508"/>
      <w:bookmarkEnd w:id="1509"/>
      <w:bookmarkEnd w:id="1510"/>
      <w:bookmarkEnd w:id="1511"/>
    </w:p>
    <w:p>
      <w:pPr>
        <w:spacing w:line="560" w:lineRule="exact"/>
        <w:ind w:firstLine="640" w:firstLineChars="200"/>
        <w:contextualSpacing/>
        <w:rPr>
          <w:rFonts w:ascii="Times New Roman" w:hAnsi="Times New Roman" w:eastAsia="仿宋" w:cs="仿宋"/>
        </w:rPr>
      </w:pPr>
      <w:r>
        <w:rPr>
          <w:rFonts w:hint="eastAsia" w:ascii="Times New Roman" w:hAnsi="Times New Roman"/>
          <w:bCs/>
          <w:kern w:val="0"/>
        </w:rPr>
        <w:t>健全优抚保障机制。</w:t>
      </w:r>
      <w:r>
        <w:rPr>
          <w:rFonts w:hint="eastAsia" w:ascii="仿宋_GB2312" w:hAnsi="Times New Roman" w:cs="仿宋"/>
        </w:rPr>
        <w:t>加强市、县、乡、村退役军人服务中心（站）建设，做到有机构、有编制、有经费、有人员、有保障。持续推进退役军人服务保障体系建设，持续打造“新时代枫桥式退役军人服务站”。强化各级退役军人服务中心（站）职能，建立层次清晰、相互衔接、规范有序的服务清单，打造功能齐全、要素齐备、特色鲜明的“退役军人之家”。建立退役军人服务事项目录、退役军人和其他优抚对象优待目录，落实困难退役军人帮扶援助机制。</w:t>
      </w:r>
    </w:p>
    <w:p>
      <w:pPr>
        <w:spacing w:line="560" w:lineRule="exact"/>
        <w:ind w:firstLine="640" w:firstLineChars="200"/>
        <w:contextualSpacing/>
      </w:pPr>
      <w:r>
        <w:rPr>
          <w:rFonts w:hint="eastAsia" w:ascii="Times New Roman" w:hAnsi="Times New Roman"/>
          <w:bCs/>
          <w:kern w:val="0"/>
        </w:rPr>
        <w:t>完善权益维护机制。</w:t>
      </w:r>
      <w:r>
        <w:rPr>
          <w:rFonts w:hint="eastAsia" w:ascii="仿宋_GB2312" w:hAnsi="Times New Roman" w:cs="仿宋"/>
        </w:rPr>
        <w:t>依法依规做好退役军人保障服务，加强走访慰问，畅通诉求表达渠道，引导退役军人依法维护自身权益。加强矛盾化解，建立矛盾源头预防和前瞻治理、前期处理工作机制。建立人民调解、行政调解制度，健全退役军人法律援助机制和司法救助工作机制。</w:t>
      </w:r>
    </w:p>
    <w:tbl>
      <w:tblPr>
        <w:tblStyle w:val="26"/>
        <w:tblW w:w="50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5000" w:type="pct"/>
            <w:vAlign w:val="center"/>
          </w:tcPr>
          <w:p>
            <w:pPr>
              <w:adjustRightInd w:val="0"/>
              <w:snapToGrid w:val="0"/>
              <w:spacing w:line="400" w:lineRule="exact"/>
              <w:contextualSpacing/>
              <w:jc w:val="center"/>
              <w:rPr>
                <w:rFonts w:ascii="Times New Roman" w:hAnsi="Times New Roman" w:eastAsia="黑体"/>
                <w:bCs/>
                <w:sz w:val="24"/>
                <w:lang w:bidi="zh-CN"/>
              </w:rPr>
            </w:pPr>
            <w:r>
              <w:rPr>
                <w:rFonts w:ascii="Times New Roman" w:hAnsi="Times New Roman" w:eastAsia="黑体"/>
                <w:bCs/>
                <w:kern w:val="0"/>
                <w:sz w:val="28"/>
                <w:szCs w:val="28"/>
                <w:lang w:val="zh-CN" w:bidi="zh-CN"/>
              </w:rPr>
              <w:t>专栏</w:t>
            </w:r>
            <w:r>
              <w:rPr>
                <w:rFonts w:hint="eastAsia" w:ascii="Times New Roman" w:hAnsi="Times New Roman" w:eastAsia="黑体"/>
                <w:bCs/>
                <w:kern w:val="0"/>
                <w:sz w:val="28"/>
                <w:szCs w:val="28"/>
                <w:lang w:bidi="zh-CN"/>
              </w:rPr>
              <w:t>6：退役军人</w:t>
            </w:r>
            <w:r>
              <w:rPr>
                <w:rFonts w:ascii="Times New Roman" w:hAnsi="Times New Roman" w:eastAsia="黑体"/>
                <w:bCs/>
                <w:kern w:val="0"/>
                <w:sz w:val="28"/>
                <w:szCs w:val="28"/>
                <w:lang w:val="zh-CN" w:bidi="zh-CN"/>
              </w:rPr>
              <w:t>保障</w:t>
            </w:r>
            <w:r>
              <w:rPr>
                <w:rFonts w:ascii="Times New Roman" w:hAnsi="Times New Roman" w:eastAsia="黑体"/>
                <w:bCs/>
                <w:kern w:val="0"/>
                <w:sz w:val="28"/>
                <w:szCs w:val="28"/>
                <w:lang w:bidi="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3" w:hRule="atLeast"/>
        </w:trPr>
        <w:tc>
          <w:tcPr>
            <w:tcW w:w="5000" w:type="pct"/>
            <w:vAlign w:val="center"/>
          </w:tcPr>
          <w:p>
            <w:pPr>
              <w:spacing w:line="400" w:lineRule="exact"/>
              <w:ind w:firstLine="480" w:firstLineChars="200"/>
              <w:contextualSpacing/>
              <w:rPr>
                <w:rFonts w:ascii="Times New Roman" w:hAnsi="Times New Roman"/>
                <w:bCs/>
                <w:sz w:val="24"/>
                <w:szCs w:val="24"/>
                <w:lang w:bidi="zh-CN"/>
              </w:rPr>
            </w:pPr>
            <w:bookmarkStart w:id="1512" w:name="_Toc4637"/>
            <w:bookmarkStart w:id="1513" w:name="_Toc25797"/>
            <w:bookmarkStart w:id="1514" w:name="_Toc28913"/>
            <w:bookmarkStart w:id="1515" w:name="_Toc27963"/>
            <w:bookmarkStart w:id="1516" w:name="_Toc22133"/>
            <w:bookmarkStart w:id="1517" w:name="_Toc2038"/>
            <w:bookmarkStart w:id="1518" w:name="_Toc29542"/>
            <w:bookmarkStart w:id="1519" w:name="_Toc7852"/>
            <w:bookmarkStart w:id="1520" w:name="_Toc9813"/>
            <w:bookmarkStart w:id="1521" w:name="_Toc61354083"/>
            <w:bookmarkStart w:id="1522" w:name="_Toc3374"/>
            <w:bookmarkStart w:id="1523" w:name="_Toc20339"/>
            <w:bookmarkStart w:id="1524" w:name="_Toc63240473"/>
            <w:bookmarkStart w:id="1525" w:name="_Toc8028"/>
            <w:bookmarkStart w:id="1526" w:name="_Toc18666"/>
            <w:r>
              <w:rPr>
                <w:rFonts w:ascii="楷体" w:hAnsi="楷体" w:eastAsia="楷体" w:cs="楷体"/>
                <w:bCs/>
                <w:kern w:val="0"/>
                <w:sz w:val="24"/>
                <w:lang w:val="zh-CN"/>
              </w:rPr>
              <w:t>1.烈士纪念设施</w:t>
            </w:r>
            <w:r>
              <w:rPr>
                <w:rFonts w:ascii="楷体" w:hAnsi="楷体" w:eastAsia="楷体" w:cs="楷体"/>
                <w:bCs/>
                <w:kern w:val="0"/>
                <w:sz w:val="24"/>
              </w:rPr>
              <w:t>建设</w:t>
            </w:r>
            <w:r>
              <w:rPr>
                <w:rFonts w:hint="eastAsia" w:ascii="楷体" w:hAnsi="楷体" w:eastAsia="楷体" w:cs="楷体"/>
                <w:bCs/>
                <w:kern w:val="0"/>
                <w:sz w:val="24"/>
              </w:rPr>
              <w:t>项目</w:t>
            </w:r>
            <w:r>
              <w:rPr>
                <w:rFonts w:ascii="楷体" w:hAnsi="楷体" w:eastAsia="楷体" w:cs="楷体"/>
                <w:bCs/>
                <w:kern w:val="0"/>
                <w:sz w:val="24"/>
                <w:lang w:val="zh-CN"/>
              </w:rPr>
              <w:t>。</w:t>
            </w:r>
            <w:bookmarkEnd w:id="1512"/>
            <w:bookmarkEnd w:id="1513"/>
            <w:bookmarkEnd w:id="1514"/>
            <w:r>
              <w:rPr>
                <w:rFonts w:hint="eastAsia" w:ascii="Times New Roman" w:hAnsi="Times New Roman"/>
                <w:bCs/>
                <w:kern w:val="0"/>
                <w:sz w:val="24"/>
                <w:szCs w:val="24"/>
                <w:lang w:val="zh-CN" w:bidi="zh-CN"/>
              </w:rPr>
              <w:t>完成</w:t>
            </w:r>
            <w:r>
              <w:rPr>
                <w:rFonts w:hint="eastAsia" w:ascii="Times New Roman" w:hAnsi="Times New Roman"/>
                <w:bCs/>
                <w:kern w:val="0"/>
                <w:sz w:val="24"/>
                <w:szCs w:val="24"/>
                <w:lang w:bidi="zh-CN"/>
              </w:rPr>
              <w:t>南阳市烈士陵园迁建和内乡县烈士陵园改扩建项目建设。谋划实施邓州市烈士纪念设施、南阳市（卧龙区）烈士纪念设施、淅川县烈士纪念设施等项目，改造提升西峡县烈士陵园，改扩建南召县、唐河县、方城县烈士陵园等项目</w:t>
            </w:r>
            <w:r>
              <w:rPr>
                <w:rFonts w:ascii="Times New Roman" w:hAnsi="Times New Roman"/>
                <w:bCs/>
                <w:kern w:val="0"/>
                <w:sz w:val="24"/>
                <w:szCs w:val="24"/>
                <w:lang w:val="zh-CN" w:bidi="zh-CN"/>
              </w:rPr>
              <w:t>。</w:t>
            </w:r>
            <w:bookmarkEnd w:id="1515"/>
            <w:bookmarkEnd w:id="1516"/>
            <w:bookmarkEnd w:id="1517"/>
            <w:bookmarkEnd w:id="1518"/>
            <w:bookmarkEnd w:id="1519"/>
            <w:bookmarkEnd w:id="1520"/>
            <w:bookmarkEnd w:id="1521"/>
            <w:bookmarkEnd w:id="1522"/>
            <w:bookmarkEnd w:id="1523"/>
            <w:bookmarkEnd w:id="1524"/>
            <w:bookmarkEnd w:id="1525"/>
            <w:bookmarkEnd w:id="1526"/>
          </w:p>
          <w:p>
            <w:pPr>
              <w:spacing w:line="400" w:lineRule="exact"/>
              <w:ind w:firstLine="480" w:firstLineChars="200"/>
              <w:contextualSpacing/>
              <w:rPr>
                <w:rFonts w:ascii="Times New Roman" w:hAnsi="Times New Roman"/>
                <w:bCs/>
                <w:sz w:val="24"/>
                <w:szCs w:val="24"/>
                <w:lang w:bidi="zh-CN"/>
              </w:rPr>
            </w:pPr>
            <w:bookmarkStart w:id="1527" w:name="_Toc23417"/>
            <w:bookmarkStart w:id="1528" w:name="_Toc31189"/>
            <w:bookmarkStart w:id="1529" w:name="_Toc11902"/>
            <w:bookmarkStart w:id="1530" w:name="_Toc25393"/>
            <w:bookmarkStart w:id="1531" w:name="_Toc13459"/>
            <w:bookmarkStart w:id="1532" w:name="_Toc17712"/>
            <w:bookmarkStart w:id="1533" w:name="_Toc916"/>
            <w:bookmarkStart w:id="1534" w:name="_Toc63240474"/>
            <w:bookmarkStart w:id="1535" w:name="_Toc61354084"/>
            <w:bookmarkStart w:id="1536" w:name="_Toc19802"/>
            <w:bookmarkStart w:id="1537" w:name="_Toc2047"/>
            <w:bookmarkStart w:id="1538" w:name="_Toc15404"/>
            <w:bookmarkStart w:id="1539" w:name="_Toc6573"/>
            <w:bookmarkStart w:id="1540" w:name="_Toc28782"/>
            <w:bookmarkStart w:id="1541" w:name="_Toc28277"/>
            <w:r>
              <w:rPr>
                <w:rFonts w:ascii="楷体" w:hAnsi="楷体" w:eastAsia="楷体" w:cs="楷体"/>
                <w:bCs/>
                <w:kern w:val="0"/>
                <w:sz w:val="24"/>
                <w:lang w:val="zh-CN"/>
              </w:rPr>
              <w:t>2.光荣院</w:t>
            </w:r>
            <w:r>
              <w:rPr>
                <w:rFonts w:hint="eastAsia" w:ascii="楷体" w:hAnsi="楷体" w:eastAsia="楷体" w:cs="楷体"/>
                <w:bCs/>
                <w:kern w:val="0"/>
                <w:sz w:val="24"/>
                <w:lang w:val="zh-CN"/>
              </w:rPr>
              <w:t>建设</w:t>
            </w:r>
            <w:r>
              <w:rPr>
                <w:rFonts w:ascii="楷体" w:hAnsi="楷体" w:eastAsia="楷体" w:cs="楷体"/>
                <w:bCs/>
                <w:kern w:val="0"/>
                <w:sz w:val="24"/>
              </w:rPr>
              <w:t>项目</w:t>
            </w:r>
            <w:r>
              <w:rPr>
                <w:rFonts w:ascii="楷体" w:hAnsi="楷体" w:eastAsia="楷体" w:cs="楷体"/>
                <w:bCs/>
                <w:kern w:val="0"/>
                <w:sz w:val="24"/>
                <w:lang w:val="zh-CN"/>
              </w:rPr>
              <w:t>。</w:t>
            </w:r>
            <w:r>
              <w:rPr>
                <w:rFonts w:hint="eastAsia" w:ascii="Times New Roman" w:hAnsi="Times New Roman"/>
                <w:bCs/>
                <w:kern w:val="0"/>
                <w:sz w:val="24"/>
                <w:szCs w:val="24"/>
                <w:lang w:val="zh-CN" w:bidi="zh-CN"/>
              </w:rPr>
              <w:t>谋划实施</w:t>
            </w:r>
            <w:r>
              <w:rPr>
                <w:rFonts w:hint="eastAsia" w:ascii="Times New Roman" w:hAnsi="Times New Roman"/>
                <w:bCs/>
                <w:kern w:val="0"/>
                <w:sz w:val="24"/>
                <w:szCs w:val="24"/>
                <w:lang w:bidi="zh-CN"/>
              </w:rPr>
              <w:t>南阳市光荣院项目；谋划实施方城、镇平等县级光荣院等项目，改扩建南召县光荣院等项目。</w:t>
            </w:r>
          </w:p>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p>
            <w:pPr>
              <w:spacing w:line="400" w:lineRule="exact"/>
              <w:ind w:firstLine="480" w:firstLineChars="200"/>
              <w:contextualSpacing/>
              <w:rPr>
                <w:rFonts w:ascii="Times New Roman" w:hAnsi="Times New Roman"/>
                <w:bCs/>
                <w:sz w:val="24"/>
                <w:szCs w:val="24"/>
                <w:lang w:bidi="zh-CN"/>
              </w:rPr>
            </w:pPr>
            <w:bookmarkStart w:id="1542" w:name="_Toc63240475"/>
            <w:bookmarkStart w:id="1543" w:name="_Toc9126"/>
            <w:bookmarkStart w:id="1544" w:name="_Toc24737"/>
            <w:bookmarkStart w:id="1545" w:name="_Toc32574"/>
            <w:bookmarkStart w:id="1546" w:name="_Toc22061"/>
            <w:bookmarkStart w:id="1547" w:name="_Toc4322"/>
            <w:bookmarkStart w:id="1548" w:name="_Toc15947"/>
            <w:bookmarkStart w:id="1549" w:name="_Toc11601"/>
            <w:bookmarkStart w:id="1550" w:name="_Toc21231"/>
            <w:bookmarkStart w:id="1551" w:name="_Toc27987"/>
            <w:bookmarkStart w:id="1552" w:name="_Toc61354085"/>
            <w:bookmarkStart w:id="1553" w:name="_Toc23070"/>
            <w:bookmarkStart w:id="1554" w:name="_Toc7122"/>
            <w:bookmarkStart w:id="1555" w:name="_Toc8402"/>
            <w:bookmarkStart w:id="1556" w:name="_Toc8866"/>
            <w:r>
              <w:rPr>
                <w:rFonts w:ascii="楷体" w:hAnsi="楷体" w:eastAsia="楷体" w:cs="楷体"/>
                <w:bCs/>
                <w:kern w:val="0"/>
                <w:sz w:val="24"/>
                <w:lang w:val="zh-CN"/>
              </w:rPr>
              <w:t>3.优抚医院</w:t>
            </w:r>
            <w:r>
              <w:rPr>
                <w:rFonts w:ascii="楷体" w:hAnsi="楷体" w:eastAsia="楷体" w:cs="楷体"/>
                <w:bCs/>
                <w:kern w:val="0"/>
                <w:sz w:val="24"/>
              </w:rPr>
              <w:t>建设</w:t>
            </w:r>
            <w:r>
              <w:rPr>
                <w:rFonts w:hint="eastAsia" w:ascii="楷体" w:hAnsi="楷体" w:eastAsia="楷体" w:cs="楷体"/>
                <w:bCs/>
                <w:kern w:val="0"/>
                <w:sz w:val="24"/>
              </w:rPr>
              <w:t>项目</w:t>
            </w:r>
            <w:r>
              <w:rPr>
                <w:rFonts w:ascii="楷体" w:hAnsi="楷体" w:eastAsia="楷体" w:cs="楷体"/>
                <w:bCs/>
                <w:kern w:val="0"/>
                <w:sz w:val="24"/>
                <w:lang w:val="zh-CN"/>
              </w:rPr>
              <w:t>。</w:t>
            </w:r>
            <w:r>
              <w:rPr>
                <w:rFonts w:hint="eastAsia" w:ascii="Times New Roman" w:hAnsi="Times New Roman"/>
                <w:bCs/>
                <w:kern w:val="0"/>
                <w:sz w:val="24"/>
                <w:szCs w:val="24"/>
                <w:lang w:val="zh-CN" w:bidi="zh-CN"/>
              </w:rPr>
              <w:t>谋划实施</w:t>
            </w:r>
            <w:r>
              <w:rPr>
                <w:rFonts w:hint="eastAsia" w:ascii="Times New Roman" w:hAnsi="Times New Roman"/>
                <w:bCs/>
                <w:kern w:val="0"/>
                <w:sz w:val="24"/>
                <w:szCs w:val="24"/>
                <w:lang w:bidi="zh-CN"/>
              </w:rPr>
              <w:t>南阳市</w:t>
            </w:r>
            <w:r>
              <w:rPr>
                <w:rFonts w:ascii="Times New Roman" w:hAnsi="Times New Roman"/>
                <w:bCs/>
                <w:kern w:val="0"/>
                <w:sz w:val="24"/>
                <w:szCs w:val="24"/>
                <w:lang w:bidi="zh-CN"/>
              </w:rPr>
              <w:t>优抚医院</w:t>
            </w:r>
            <w:r>
              <w:rPr>
                <w:rFonts w:hint="eastAsia" w:ascii="Times New Roman" w:hAnsi="Times New Roman"/>
                <w:bCs/>
                <w:kern w:val="0"/>
                <w:sz w:val="24"/>
                <w:szCs w:val="24"/>
                <w:lang w:bidi="zh-CN"/>
              </w:rPr>
              <w:t>项目；谋划实施方城、南召等县级优抚医院等项目。</w:t>
            </w:r>
          </w:p>
          <w:p>
            <w:pPr>
              <w:spacing w:line="400" w:lineRule="exact"/>
              <w:ind w:firstLine="480" w:firstLineChars="200"/>
              <w:contextualSpacing/>
              <w:rPr>
                <w:rFonts w:ascii="Times New Roman" w:hAnsi="Times New Roman"/>
                <w:bCs/>
                <w:sz w:val="22"/>
                <w:lang w:bidi="zh-CN"/>
              </w:rPr>
            </w:pPr>
            <w:r>
              <w:rPr>
                <w:rFonts w:hint="eastAsia" w:ascii="楷体" w:hAnsi="楷体" w:eastAsia="楷体" w:cs="楷体"/>
                <w:bCs/>
                <w:kern w:val="0"/>
                <w:sz w:val="24"/>
              </w:rPr>
              <w:t>4.军人公墓建设项目。</w:t>
            </w:r>
            <w:r>
              <w:rPr>
                <w:rFonts w:hint="eastAsia" w:ascii="Times New Roman" w:hAnsi="Times New Roman"/>
                <w:bCs/>
                <w:kern w:val="0"/>
                <w:sz w:val="24"/>
                <w:szCs w:val="24"/>
                <w:lang w:val="zh-CN" w:bidi="zh-CN"/>
              </w:rPr>
              <w:t>规划</w:t>
            </w:r>
            <w:r>
              <w:rPr>
                <w:rFonts w:hint="eastAsia" w:ascii="Times New Roman" w:hAnsi="Times New Roman"/>
                <w:bCs/>
                <w:kern w:val="0"/>
                <w:sz w:val="24"/>
                <w:szCs w:val="24"/>
                <w:lang w:bidi="zh-CN"/>
              </w:rPr>
              <w:t>建设南阳市军人公墓</w:t>
            </w:r>
            <w:r>
              <w:rPr>
                <w:rFonts w:ascii="Times New Roman" w:hAnsi="Times New Roman"/>
                <w:bCs/>
                <w:kern w:val="0"/>
                <w:sz w:val="24"/>
                <w:szCs w:val="24"/>
                <w:lang w:bidi="zh-CN"/>
              </w:rPr>
              <w:t>。</w:t>
            </w:r>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p>
        </w:tc>
      </w:tr>
    </w:tbl>
    <w:p>
      <w:pPr>
        <w:pStyle w:val="6"/>
        <w:spacing w:line="560" w:lineRule="exact"/>
        <w:ind w:firstLine="640"/>
        <w:contextualSpacing/>
        <w:jc w:val="center"/>
        <w:rPr>
          <w:rFonts w:ascii="Times New Roman" w:hAnsi="Times New Roman"/>
          <w:bCs/>
        </w:rPr>
      </w:pPr>
      <w:bookmarkStart w:id="1557" w:name="_Toc31974"/>
      <w:r>
        <w:rPr>
          <w:rFonts w:hint="eastAsia" w:ascii="Times New Roman" w:hAnsi="Times New Roman"/>
        </w:rPr>
        <w:t>第十章</w:t>
      </w:r>
      <w:r>
        <w:rPr>
          <w:rFonts w:ascii="Times New Roman" w:hAnsi="Times New Roman"/>
        </w:rPr>
        <w:t xml:space="preserve">  </w:t>
      </w:r>
      <w:r>
        <w:rPr>
          <w:rFonts w:hint="eastAsia" w:ascii="Times New Roman" w:hAnsi="Times New Roman"/>
        </w:rPr>
        <w:t>丰富公共文化体育供给服务</w:t>
      </w:r>
      <w:bookmarkEnd w:id="1557"/>
    </w:p>
    <w:p>
      <w:pPr>
        <w:spacing w:line="560" w:lineRule="exact"/>
        <w:ind w:firstLine="640" w:firstLineChars="200"/>
        <w:contextualSpacing/>
      </w:pPr>
      <w:r>
        <w:rPr>
          <w:rFonts w:hint="eastAsia" w:ascii="Times New Roman" w:hAnsi="Times New Roman"/>
        </w:rPr>
        <w:t>坚持社会主义文化建设发展方向，坚定文化自信，推动</w:t>
      </w:r>
      <w:r>
        <w:rPr>
          <w:rFonts w:hint="eastAsia" w:cs="宋体"/>
        </w:rPr>
        <w:t>满足人民文化需求和增强人民精神力量相统一，推进历史文化</w:t>
      </w:r>
      <w:r>
        <w:rPr>
          <w:rFonts w:hint="eastAsia" w:ascii="Times New Roman" w:hAnsi="Times New Roman"/>
        </w:rPr>
        <w:t>创造性转化、创新性发展。实施文旅文创战略，</w:t>
      </w:r>
      <w:r>
        <w:rPr>
          <w:rFonts w:hint="eastAsia" w:cs="宋体"/>
        </w:rPr>
        <w:t>为人民群众提供开放多元、充满活力的文化旅游体育服务产品。</w:t>
      </w:r>
    </w:p>
    <w:p>
      <w:pPr>
        <w:pStyle w:val="7"/>
        <w:keepNext w:val="0"/>
        <w:keepLines w:val="0"/>
        <w:autoSpaceDE w:val="0"/>
        <w:autoSpaceDN w:val="0"/>
        <w:spacing w:line="560" w:lineRule="exact"/>
        <w:contextualSpacing/>
        <w:jc w:val="center"/>
        <w:rPr>
          <w:rFonts w:ascii="Times New Roman" w:hAnsi="Times New Roman" w:eastAsia="仿宋_GB2312"/>
          <w:b w:val="0"/>
          <w:szCs w:val="32"/>
        </w:rPr>
      </w:pPr>
      <w:bookmarkStart w:id="1558" w:name="_Toc14437"/>
      <w:r>
        <w:rPr>
          <w:rFonts w:hint="eastAsia" w:ascii="Times New Roman" w:hAnsi="Times New Roman" w:eastAsia="楷体_GB2312"/>
          <w:b w:val="0"/>
          <w:bCs/>
          <w:szCs w:val="32"/>
        </w:rPr>
        <w:t>第一节  提升公共文化体育服务水平</w:t>
      </w:r>
      <w:bookmarkEnd w:id="1558"/>
    </w:p>
    <w:p>
      <w:pPr>
        <w:pStyle w:val="83"/>
        <w:spacing w:after="0"/>
        <w:ind w:firstLine="640" w:firstLineChars="200"/>
        <w:rPr>
          <w:rFonts w:ascii="仿宋_GB2312" w:eastAsia="仿宋_GB2312"/>
        </w:rPr>
      </w:pPr>
      <w:r>
        <w:rPr>
          <w:rFonts w:hint="eastAsia" w:ascii="仿宋_GB2312" w:eastAsia="仿宋_GB2312"/>
          <w:bCs/>
        </w:rPr>
        <w:t>提升公共文化体育服务建设水平。</w:t>
      </w:r>
      <w:r>
        <w:rPr>
          <w:rFonts w:hint="eastAsia" w:ascii="仿宋_GB2312" w:eastAsia="仿宋_GB2312"/>
        </w:rPr>
        <w:t>调整完善全市公共文化体育服务标准，高水平运营管理“三馆一院”，打造成为南阳文化地标。南阳</w:t>
      </w:r>
      <w:r>
        <w:rPr>
          <w:rFonts w:hint="eastAsia" w:ascii="仿宋_GB2312" w:hAnsi="仿宋_GB2312" w:eastAsia="仿宋_GB2312" w:cs="仿宋_GB2312"/>
        </w:rPr>
        <w:t>市图书馆、文化馆达到国家一级以上标准，县级达到国家三级以上标准，</w:t>
      </w:r>
      <w:r>
        <w:rPr>
          <w:rFonts w:hint="eastAsia" w:ascii="仿宋_GB2312" w:eastAsia="仿宋_GB2312" w:cs="仿宋_GB2312"/>
        </w:rPr>
        <w:t>乡镇（街道）、村（社区）等文化服务中心按照“七个一”标准实现全达标。</w:t>
      </w:r>
      <w:r>
        <w:rPr>
          <w:rFonts w:hint="eastAsia" w:ascii="仿宋_GB2312" w:eastAsia="仿宋_GB2312"/>
        </w:rPr>
        <w:t>优化公共文化服务布局，建设一批重大公共文化服务场馆，拓展基层公共文化设施服务功能，推动公共图书馆、文化馆、博物馆等公共文化机构融合联动。鼓励公共文化机构拓展基层分支机构和服务网点，大力发展城乡流动文化服务。推进市、县公共文化数字资源平台实现互联互通。</w:t>
      </w:r>
    </w:p>
    <w:p>
      <w:pPr>
        <w:spacing w:line="560" w:lineRule="exact"/>
        <w:ind w:firstLine="640" w:firstLineChars="200"/>
        <w:contextualSpacing/>
        <w:rPr>
          <w:rFonts w:ascii="Times New Roman" w:hAnsi="Times New Roman"/>
          <w:lang w:bidi="zh-CN"/>
        </w:rPr>
      </w:pPr>
      <w:r>
        <w:rPr>
          <w:rFonts w:hint="eastAsia" w:ascii="Times New Roman" w:hAnsi="Times New Roman"/>
          <w:bCs/>
          <w:kern w:val="0"/>
        </w:rPr>
        <w:t>拓展公共文化服务空间。</w:t>
      </w:r>
      <w:r>
        <w:rPr>
          <w:rFonts w:hint="eastAsia" w:ascii="仿宋_GB2312" w:hAnsi="仿宋_GB2312" w:cs="仿宋_GB2312"/>
          <w:shd w:val="clear" w:color="auto" w:fill="FFFFFF"/>
        </w:rPr>
        <w:t>发挥南阳汉文化、中医药文化、“四圣”文化、官德文化、商埠文化品牌优势，建设历史文化街区、旅游景区、遗址公园、文化公园，为人民群众提供集历</w:t>
      </w:r>
      <w:r>
        <w:rPr>
          <w:rFonts w:hint="eastAsia" w:ascii="仿宋_GB2312" w:hAnsi="仿宋_GB2312" w:cs="仿宋_GB2312"/>
        </w:rPr>
        <w:t>史体验、爱国教育、休闲观光、健身娱乐于一体的开放性、公园式文化空间。实施文化惠民工程，完善提升“三馆一院”等文化场馆服务功能，</w:t>
      </w:r>
      <w:r>
        <w:rPr>
          <w:rFonts w:hint="eastAsia" w:ascii="Times New Roman" w:hAnsi="Times New Roman" w:cs="宋体"/>
          <w:kern w:val="0"/>
          <w:lang w:bidi="zh-CN"/>
        </w:rPr>
        <w:t>创意性改造公共图书馆、文化馆功能布局，开展经典诵读、阅读分享、大师课、公益音乐会等互动式、体验式公共阅读和艺术普及活动，打造有特色、有品位的公共文化空间。鼓励城市商圈、文化园区创新打造一批融合图书阅读、艺术展览、文化沙龙、手工艺作坊、轻食餐饮等服务的“城市书房”“文化驿站”，开展创意集市、音乐角、嘉年华活动，营造小而美的公共阅读和艺术空间。因地制宜建设文化礼堂、乡村戏台、文化广场、非遗传习场所等主题功能空间。积极推动社区文化“嵌入式”服务，将创意融入社区生活场景。鼓励社区养老、文化等公共服务设施共建共享。</w:t>
      </w:r>
    </w:p>
    <w:p>
      <w:pPr>
        <w:pStyle w:val="92"/>
        <w:overflowPunct w:val="0"/>
        <w:spacing w:line="560" w:lineRule="exact"/>
        <w:ind w:firstLine="640" w:firstLineChars="200"/>
        <w:contextualSpacing/>
        <w:rPr>
          <w:rFonts w:ascii="Times New Roman" w:hAnsi="Times New Roman" w:eastAsia="仿宋_GB2312" w:cs="仿宋_GB2312"/>
          <w:sz w:val="32"/>
          <w:szCs w:val="32"/>
          <w:lang w:val="en-US"/>
        </w:rPr>
      </w:pPr>
      <w:r>
        <w:rPr>
          <w:rFonts w:hint="eastAsia" w:ascii="Times New Roman" w:hAnsi="Times New Roman" w:eastAsia="仿宋_GB2312" w:cs="Times New Roman"/>
          <w:bCs/>
          <w:kern w:val="0"/>
          <w:sz w:val="32"/>
          <w:szCs w:val="32"/>
          <w:lang w:val="en-US"/>
        </w:rPr>
        <w:t>创新实施文化惠民工程。</w:t>
      </w:r>
      <w:r>
        <w:rPr>
          <w:rFonts w:hint="eastAsia" w:ascii="Times New Roman" w:hAnsi="Times New Roman" w:eastAsia="仿宋_GB2312" w:cs="仿宋_GB2312"/>
          <w:sz w:val="32"/>
          <w:szCs w:val="32"/>
          <w:lang w:val="en-US"/>
        </w:rPr>
        <w:t>积极</w:t>
      </w:r>
      <w:r>
        <w:rPr>
          <w:rFonts w:ascii="Times New Roman" w:hAnsi="Times New Roman" w:eastAsia="仿宋_GB2312" w:cs="仿宋_GB2312"/>
          <w:sz w:val="32"/>
          <w:szCs w:val="32"/>
        </w:rPr>
        <w:t>开展群众性文化活动。利用重大节日广泛开展群众性节庆文化活动和广场文化活动。实施基层特色文化品牌建设。持续打造</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唱响白河</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宛图讲堂</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南召灯谜</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晨读晚诵</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等品牌群众文化活动。创新文化活动载体</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以乡村振兴、文明城市建设为抓手，推出少儿艺术展演、农村摄影展、广场舞展演等群众文化活动。充分发挥</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百姓文化云</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文化豫约</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、抖音等媒体平台的作用，</w:t>
      </w:r>
      <w:r>
        <w:rPr>
          <w:rFonts w:hint="eastAsia" w:ascii="Times New Roman" w:hAnsi="Times New Roman" w:eastAsia="仿宋_GB2312" w:cs="仿宋_GB2312"/>
          <w:sz w:val="32"/>
          <w:szCs w:val="32"/>
          <w:lang w:val="en-US"/>
        </w:rPr>
        <w:t>加快数字艺术、沉浸式体验等新兴文化业态在公共文化场馆的应用，</w:t>
      </w:r>
      <w:r>
        <w:rPr>
          <w:rFonts w:ascii="Times New Roman" w:hAnsi="Times New Roman" w:eastAsia="仿宋_GB2312" w:cs="仿宋_GB2312"/>
          <w:sz w:val="32"/>
          <w:szCs w:val="32"/>
        </w:rPr>
        <w:t>实现点单式、一站式文化服务。</w:t>
      </w:r>
      <w:r>
        <w:rPr>
          <w:rFonts w:hint="eastAsia" w:ascii="Times New Roman" w:hAnsi="Times New Roman" w:eastAsia="仿宋_GB2312" w:cs="仿宋_GB2312"/>
          <w:sz w:val="32"/>
          <w:szCs w:val="32"/>
          <w:lang w:val="en-US"/>
        </w:rPr>
        <w:t>推动各类红色文化教育基地、博物馆、美术馆、图书馆等文化设施向社会免费开放，让人民群众共享文化发展成果。</w:t>
      </w:r>
    </w:p>
    <w:p>
      <w:pPr>
        <w:tabs>
          <w:tab w:val="left" w:pos="5996"/>
        </w:tabs>
        <w:spacing w:line="560" w:lineRule="exact"/>
        <w:ind w:firstLine="640" w:firstLineChars="200"/>
        <w:contextualSpacing/>
        <w:rPr>
          <w:rFonts w:ascii="仿宋_GB2312" w:hAnsi="仿宋_GB2312" w:cs="仿宋_GB2312"/>
          <w:szCs w:val="40"/>
        </w:rPr>
      </w:pPr>
      <w:r>
        <w:rPr>
          <w:rFonts w:hint="eastAsia" w:ascii="Times New Roman" w:hAnsi="Times New Roman"/>
          <w:bCs/>
          <w:kern w:val="0"/>
        </w:rPr>
        <w:t>构建全民健身公共服务网络。</w:t>
      </w:r>
      <w:r>
        <w:rPr>
          <w:rFonts w:hint="eastAsia" w:ascii="仿宋_GB2312" w:hAnsi="仿宋_GB2312" w:cs="仿宋_GB2312"/>
        </w:rPr>
        <w:t>加强群众体育“六个身边”工程建设，大力发展各级各类单项体育协会、行业体育协会、青少年体育俱乐部、社区体育俱乐部等体育社会组织建设，实现“市、县（市、区）、乡镇（街道）、行政村（社区）”四级群众体育组织网络全覆盖。规划建设市县区体育公园，建成城市社区10分钟健身圈，县、区体育场、室外体育活动广场，体育馆、游泳馆(池)和全民健身综合馆实现基本全覆盖，建设一批健身步道、自行车道、体育公园、社区健身中心、智能健身房、中小型体育场馆、体育俱乐部、共享健身平台、运动健身综合体等多元化公益性体育场地设施。支持各类公共体育场馆免费或低收费开放，推进社会和学校体育场地设施开放共享。</w:t>
      </w:r>
    </w:p>
    <w:p>
      <w:pPr>
        <w:pStyle w:val="7"/>
        <w:spacing w:line="560" w:lineRule="exact"/>
        <w:contextualSpacing/>
        <w:jc w:val="center"/>
        <w:rPr>
          <w:rFonts w:ascii="Times New Roman" w:hAnsi="Times New Roman" w:eastAsia="楷体_GB2312"/>
          <w:b w:val="0"/>
          <w:szCs w:val="32"/>
        </w:rPr>
      </w:pPr>
      <w:bookmarkStart w:id="1559" w:name="_Toc17807"/>
      <w:r>
        <w:rPr>
          <w:rFonts w:hint="eastAsia" w:ascii="Times New Roman" w:hAnsi="Times New Roman" w:eastAsia="楷体_GB2312"/>
          <w:b w:val="0"/>
          <w:bCs/>
          <w:szCs w:val="32"/>
        </w:rPr>
        <w:t>第二节  发展高品质文化旅游体育服务</w:t>
      </w:r>
      <w:bookmarkEnd w:id="1559"/>
    </w:p>
    <w:p>
      <w:pPr>
        <w:spacing w:line="560" w:lineRule="exact"/>
        <w:ind w:firstLine="640" w:firstLineChars="200"/>
        <w:contextualSpacing/>
        <w:rPr>
          <w:rFonts w:ascii="Times New Roman" w:hAnsi="Times New Roman" w:cs="仿宋_GB2312"/>
        </w:rPr>
      </w:pPr>
      <w:r>
        <w:rPr>
          <w:rFonts w:hint="eastAsia" w:ascii="Times New Roman" w:hAnsi="Times New Roman"/>
          <w:bCs/>
          <w:kern w:val="0"/>
        </w:rPr>
        <w:t>建设全国知名文化旅游目的地。</w:t>
      </w:r>
      <w:r>
        <w:rPr>
          <w:rFonts w:hint="eastAsia" w:ascii="Times New Roman" w:hAnsi="Times New Roman"/>
        </w:rPr>
        <w:t>树立全域旅游理念，实施“旅游+”战略，加快旅游与文化、医疗、康养、体育等产业融合发展，</w:t>
      </w:r>
      <w:r>
        <w:rPr>
          <w:rStyle w:val="64"/>
          <w:rFonts w:hint="eastAsia" w:ascii="Times New Roman" w:hAnsi="Times New Roman"/>
        </w:rPr>
        <w:t>争创国家级全域旅游示范市。围绕建成国内知名的生态文化旅游目的地、文旅康养胜地、河南省文化旅游产业融合发展示范区、中华文明探源核心区目标</w:t>
      </w:r>
      <w:r>
        <w:rPr>
          <w:rFonts w:hint="eastAsia" w:ascii="Times New Roman" w:hAnsi="Times New Roman"/>
        </w:rPr>
        <w:t>定位，“十四五”末，建成4</w:t>
      </w:r>
      <w:r>
        <w:rPr>
          <w:rFonts w:hint="eastAsia" w:ascii="仿宋_GB2312" w:hAnsi="仿宋_GB2312" w:cs="仿宋_GB2312"/>
        </w:rPr>
        <w:t>～</w:t>
      </w:r>
      <w:r>
        <w:rPr>
          <w:rFonts w:hint="eastAsia" w:ascii="Times New Roman" w:hAnsi="Times New Roman"/>
        </w:rPr>
        <w:t>5个国家级全域旅游示范县、1</w:t>
      </w:r>
      <w:r>
        <w:rPr>
          <w:rFonts w:hint="eastAsia" w:ascii="仿宋_GB2312" w:hAnsi="仿宋_GB2312" w:cs="仿宋_GB2312"/>
        </w:rPr>
        <w:t>～</w:t>
      </w:r>
      <w:r>
        <w:rPr>
          <w:rFonts w:hint="eastAsia" w:ascii="Times New Roman" w:hAnsi="Times New Roman"/>
        </w:rPr>
        <w:t>2个国家级</w:t>
      </w:r>
      <w:r>
        <w:rPr>
          <w:rFonts w:hint="eastAsia" w:ascii="仿宋_GB2312" w:hAnsi="Times New Roman" w:cs="仿宋"/>
        </w:rPr>
        <w:t>旅游</w:t>
      </w:r>
      <w:r>
        <w:rPr>
          <w:rFonts w:hint="eastAsia" w:ascii="Times New Roman" w:hAnsi="Times New Roman"/>
        </w:rPr>
        <w:t>度假区，新增1</w:t>
      </w:r>
      <w:r>
        <w:rPr>
          <w:rFonts w:hint="eastAsia" w:ascii="仿宋_GB2312" w:hAnsi="仿宋_GB2312" w:cs="仿宋_GB2312"/>
        </w:rPr>
        <w:t>～</w:t>
      </w:r>
      <w:r>
        <w:rPr>
          <w:rFonts w:hint="eastAsia" w:ascii="Times New Roman" w:hAnsi="Times New Roman"/>
        </w:rPr>
        <w:t>2个国家5A级景区，培育1</w:t>
      </w:r>
      <w:r>
        <w:rPr>
          <w:rFonts w:hint="eastAsia" w:ascii="仿宋_GB2312" w:hAnsi="仿宋_GB2312" w:cs="仿宋_GB2312"/>
        </w:rPr>
        <w:t>～</w:t>
      </w:r>
      <w:r>
        <w:rPr>
          <w:rFonts w:hint="eastAsia" w:ascii="Times New Roman" w:hAnsi="Times New Roman"/>
        </w:rPr>
        <w:t>2家上市文旅企业集团。围绕淮河源头</w:t>
      </w:r>
      <w:r>
        <w:rPr>
          <w:rFonts w:hint="eastAsia" w:ascii="Times New Roman" w:hAnsi="Times New Roman" w:cs="仿宋_GB2312"/>
        </w:rPr>
        <w:t>、南水北调中线工程源头、万里茶道、丝绸之路、红色旅游，打造走向全国、面向世界的五条精品旅游长线。围绕打造“中医圣地、养生之都” ，建设以仲景文化为引领、中医药健康产业为支撑、产城融合发展的“张仲景健康城”，建成中医药元素突出、宜居宜养宜游的中原地区康养旅游首选目的地。聚焦“伏牛山世界地质公园”“中华文明探源核心区”“千里淮河发源地”等世界级优质文化旅游资源，着力打造“伏牛探宝”“文明探秘”和“淮河探源”等系列品牌。</w:t>
      </w:r>
    </w:p>
    <w:p>
      <w:pPr>
        <w:pStyle w:val="5"/>
        <w:spacing w:line="560" w:lineRule="exact"/>
        <w:ind w:firstLine="640" w:firstLineChars="200"/>
        <w:contextualSpacing/>
        <w:rPr>
          <w:rFonts w:ascii="Times New Roman" w:hAnsi="Times New Roman"/>
          <w:szCs w:val="40"/>
        </w:rPr>
      </w:pPr>
      <w:bookmarkStart w:id="1560" w:name="_Toc29537"/>
      <w:r>
        <w:rPr>
          <w:rFonts w:hint="eastAsia" w:ascii="Times New Roman" w:hAnsi="Times New Roman"/>
          <w:bCs/>
          <w:kern w:val="0"/>
        </w:rPr>
        <w:t>开发有温度有情怀的文旅文创产品。</w:t>
      </w:r>
      <w:r>
        <w:rPr>
          <w:rFonts w:hint="eastAsia" w:ascii="Times New Roman" w:hAnsi="Times New Roman"/>
        </w:rPr>
        <w:t>做好“文史、山水、源起、圣贤”四篇文章，</w:t>
      </w:r>
      <w:r>
        <w:rPr>
          <w:rFonts w:hint="eastAsia" w:ascii="Times New Roman" w:hAnsi="Times New Roman" w:cstheme="minorBidi"/>
          <w:szCs w:val="24"/>
        </w:rPr>
        <w:t>深度挖掘以“诸葛庐”品牌为核心的三国文化和楚汉文化，“淮源”品牌为核心的山水生态文化，“赊店”品牌为核心的古镇文化和酒文化，“渠首”品牌为核心的南水北调移民文化和水源地生态文化，“仲景”品牌为核心的中医药文化，“桐柏英雄”品牌为核心的红色文化</w:t>
      </w:r>
      <w:r>
        <w:rPr>
          <w:rFonts w:hint="eastAsia" w:ascii="Times New Roman" w:hAnsi="Times New Roman" w:cstheme="minorBidi"/>
          <w:szCs w:val="24"/>
          <w:lang w:val="zh-CN"/>
        </w:rPr>
        <w:t>，</w:t>
      </w:r>
      <w:r>
        <w:rPr>
          <w:rFonts w:hint="eastAsia" w:ascii="仿宋_GB2312" w:hAnsi="仿宋_GB2312" w:cs="仿宋_GB2312"/>
          <w:szCs w:val="21"/>
        </w:rPr>
        <w:t>以创意与科技手段推动优秀传统文化创造性转化、创新性发展</w:t>
      </w:r>
      <w:r>
        <w:rPr>
          <w:rFonts w:hint="eastAsia" w:ascii="Times New Roman" w:hAnsi="Times New Roman"/>
          <w:szCs w:val="40"/>
        </w:rPr>
        <w:t>。聚焦汉文化考古、演艺娱乐、数字文旅等重点领域文旅文创产品开发，推动传统文化旅游向沉浸式体验服务、智慧服务和共享服务升级。实施</w:t>
      </w:r>
      <w:r>
        <w:rPr>
          <w:rFonts w:hint="eastAsia" w:ascii="仿宋_GB2312" w:hAnsi="仿宋_GB2312" w:cs="仿宋_GB2312"/>
          <w:shd w:val="clear" w:color="auto" w:fill="FFFFFF"/>
        </w:rPr>
        <w:t>中医药文化、“四圣”文化</w:t>
      </w:r>
      <w:r>
        <w:rPr>
          <w:rFonts w:hint="eastAsia" w:ascii="Times New Roman" w:hAnsi="Times New Roman"/>
          <w:szCs w:val="40"/>
        </w:rPr>
        <w:t>、民间故事等动漫创作扶持工程，培育动漫创作、生产、传播、衍生品开发等全产业链。</w:t>
      </w:r>
    </w:p>
    <w:bookmarkEnd w:id="1560"/>
    <w:p>
      <w:pPr>
        <w:pStyle w:val="2"/>
        <w:spacing w:line="560" w:lineRule="exact"/>
        <w:ind w:firstLine="640"/>
        <w:contextualSpacing/>
        <w:rPr>
          <w:rFonts w:ascii="仿宋_GB2312" w:hAnsi="仿宋_GB2312" w:cs="仿宋_GB2312"/>
        </w:rPr>
      </w:pPr>
      <w:r>
        <w:rPr>
          <w:rFonts w:hint="eastAsia" w:ascii="Times New Roman" w:hAnsi="Times New Roman"/>
          <w:bCs/>
          <w:kern w:val="0"/>
        </w:rPr>
        <w:t>推动体育服务加快发展</w:t>
      </w:r>
      <w:bookmarkStart w:id="1561" w:name="bookmark22"/>
      <w:bookmarkEnd w:id="1561"/>
      <w:r>
        <w:rPr>
          <w:rFonts w:hint="eastAsia" w:ascii="Times New Roman" w:hAnsi="Times New Roman"/>
          <w:bCs/>
          <w:kern w:val="0"/>
        </w:rPr>
        <w:t>。</w:t>
      </w:r>
      <w:r>
        <w:rPr>
          <w:rFonts w:hint="eastAsia" w:ascii="Times New Roman" w:hAnsi="Times New Roman"/>
          <w:szCs w:val="40"/>
        </w:rPr>
        <w:t>发挥全市已有的省级体育产业示范基地、示范单位、示范项目的示范带动作用，建设好西峡县太平镇省级运动休闲特色小镇示范单位，支持各类体育健身休闲场所运营和体育健身休闲产品开发，鼓励社会力量兴办体育健身休闲产业，创建国家或省级体育产业(示范)基地、示范单位、示范项目，为全民健身提供全方位多元化体育服务供给。</w:t>
      </w:r>
      <w:r>
        <w:rPr>
          <w:rFonts w:hint="eastAsia" w:ascii="仿宋_GB2312" w:hAnsi="仿宋_GB2312" w:cs="仿宋_GB2312"/>
        </w:rPr>
        <w:t>加快推动互联网、大数据、人工智能与体育实体经济深度融合，加快培育定制、体验、场景等体育消费新热点和数字体育、在线健身等体育消费新业态。</w:t>
      </w:r>
    </w:p>
    <w:p>
      <w:pPr>
        <w:pStyle w:val="7"/>
        <w:spacing w:line="560" w:lineRule="exact"/>
        <w:contextualSpacing/>
        <w:jc w:val="center"/>
        <w:rPr>
          <w:rFonts w:ascii="Times New Roman" w:hAnsi="Times New Roman" w:eastAsia="楷体_GB2312"/>
          <w:b w:val="0"/>
          <w:szCs w:val="32"/>
        </w:rPr>
      </w:pPr>
      <w:r>
        <w:rPr>
          <w:rFonts w:hint="eastAsia" w:ascii="Times New Roman" w:hAnsi="Times New Roman" w:eastAsia="楷体_GB2312"/>
          <w:b w:val="0"/>
          <w:bCs/>
          <w:szCs w:val="32"/>
        </w:rPr>
        <w:t>第三节  服务保障</w:t>
      </w:r>
    </w:p>
    <w:p>
      <w:pPr>
        <w:spacing w:line="560" w:lineRule="exact"/>
        <w:ind w:firstLine="640" w:firstLineChars="200"/>
        <w:contextualSpacing/>
        <w:rPr>
          <w:rFonts w:ascii="仿宋_GB2312" w:hAnsi="仿宋_GB2312" w:cs="仿宋_GB2312"/>
        </w:rPr>
      </w:pPr>
      <w:r>
        <w:rPr>
          <w:rFonts w:hint="eastAsia" w:ascii="Times New Roman" w:hAnsi="Times New Roman"/>
          <w:bCs/>
          <w:kern w:val="0"/>
        </w:rPr>
        <w:t>健全公共文化服务多元参与机制。</w:t>
      </w:r>
      <w:r>
        <w:rPr>
          <w:rFonts w:hint="eastAsia" w:ascii="仿宋_GB2312" w:hAnsi="仿宋_GB2312" w:cs="仿宋_GB2312"/>
        </w:rPr>
        <w:t>加大政府购买公共文化服务力度，建设线上线下相结合的交易平台，促进供需对接。推动社会力量参与公共文化设施运营、活动项目打造、服务资源配置等。稳步推进全市公共</w:t>
      </w:r>
      <w:r>
        <w:rPr>
          <w:rFonts w:hint="eastAsia" w:ascii="仿宋_GB2312" w:hAnsi="Times New Roman" w:cs="仿宋"/>
        </w:rPr>
        <w:t>图书馆</w:t>
      </w:r>
      <w:r>
        <w:rPr>
          <w:rFonts w:hint="eastAsia" w:ascii="仿宋_GB2312" w:hAnsi="仿宋_GB2312" w:cs="仿宋_GB2312"/>
        </w:rPr>
        <w:t>、文化馆、博物馆、美术馆开展法人治理结构改革，通过政府委托运营整体场馆或部分项目形式，引入符合条件的企业和社会组织，提高运营效率和服务水平。规范推广政府与社会资本合作模式，引导社会资本积极参与建设文化项目，兼顾文化服务和文化产业发展，稳定投资回报。完善公共文化志愿服务激励机制，逐步建立星级文化志愿者认证制度，并根据贡献成绩给予适当奖励。</w:t>
      </w:r>
    </w:p>
    <w:p>
      <w:pPr>
        <w:pStyle w:val="2"/>
        <w:spacing w:line="560" w:lineRule="exact"/>
        <w:ind w:firstLine="640"/>
        <w:contextualSpacing/>
        <w:rPr>
          <w:rFonts w:ascii="仿宋_GB2312" w:hAnsi="仿宋_GB2312" w:cs="仿宋_GB2312"/>
        </w:rPr>
      </w:pPr>
      <w:r>
        <w:rPr>
          <w:rFonts w:hint="eastAsia" w:ascii="Times New Roman" w:hAnsi="Times New Roman"/>
          <w:bCs/>
          <w:kern w:val="0"/>
        </w:rPr>
        <w:t>激发文艺院团活力。</w:t>
      </w:r>
      <w:r>
        <w:rPr>
          <w:rFonts w:hint="eastAsia" w:ascii="仿宋_GB2312" w:hAnsi="仿宋_GB2312" w:cs="仿宋_GB2312"/>
        </w:rPr>
        <w:t>落实中央《关于深化国有文艺院团改革的意见》，推动实施全市文艺院团“一团一策”，激发文艺院团内生动力。建立健全扶持优秀剧本创作的长效机制，加强对剧本、编导、作曲等原创性基础性环节和优秀人才的资助。完善促进剧目生产表演的有效机制，健全鼓励演职员多演出的激励机制。加强院团基础设施建设，优化剧场供应机制，促进文艺院团与剧场深度合作。推进美术馆专业建设和行业管理，加强分级分类管理和指导，创新服务方式和内容，提升公共文化服务能力。</w:t>
      </w:r>
    </w:p>
    <w:p>
      <w:pPr>
        <w:spacing w:line="560" w:lineRule="exact"/>
        <w:ind w:firstLine="640" w:firstLineChars="200"/>
        <w:contextualSpacing/>
      </w:pPr>
      <w:r>
        <w:rPr>
          <w:rFonts w:hint="eastAsia" w:ascii="Times New Roman" w:hAnsi="Times New Roman"/>
          <w:bCs/>
          <w:kern w:val="0"/>
        </w:rPr>
        <w:t>优化文化旅游体育服务环境。</w:t>
      </w:r>
      <w:r>
        <w:rPr>
          <w:rFonts w:hint="eastAsia" w:ascii="仿宋_GB2312" w:hAnsi="仿宋_GB2312" w:cs="仿宋_GB2312"/>
        </w:rPr>
        <w:t>完善基础设施，实施旅游交通畅达工程，建立功能完善的文化旅游综合公共服务设施体系。创新要素保障机制，加大信贷、土地等政策支持，严格市场监管，强化金融支持，促进资源要素高效配置。加强信息化建设，开展文旅场所智能化改造，打造智慧文旅。加强综合治理，健全隐患排查整改、风险防范预警、突发事故处置等防控体系，为游客提供安全安心的消费环境。加强区域协作，构建市场共建、品牌共育、利益共享的文化旅游体育一体化发展机制。</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000" w:type="pct"/>
            <w:vAlign w:val="center"/>
          </w:tcPr>
          <w:p>
            <w:pPr>
              <w:adjustRightInd w:val="0"/>
              <w:snapToGrid w:val="0"/>
              <w:spacing w:line="400" w:lineRule="exact"/>
              <w:contextualSpacing/>
              <w:jc w:val="center"/>
            </w:pPr>
            <w:r>
              <w:rPr>
                <w:rFonts w:hint="eastAsia" w:ascii="黑体" w:hAnsi="黑体" w:eastAsia="黑体" w:cs="黑体"/>
                <w:sz w:val="28"/>
                <w:szCs w:val="28"/>
              </w:rPr>
              <w:t>专栏7：文体服务保障项目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000" w:type="pct"/>
            <w:vAlign w:val="center"/>
          </w:tcPr>
          <w:p>
            <w:pPr>
              <w:pStyle w:val="14"/>
              <w:overflowPunct w:val="0"/>
              <w:adjustRightInd w:val="0"/>
              <w:snapToGrid w:val="0"/>
              <w:spacing w:line="400" w:lineRule="exact"/>
              <w:ind w:firstLine="480" w:firstLineChars="200"/>
              <w:contextualSpacing/>
              <w:jc w:val="both"/>
              <w:rPr>
                <w:rFonts w:ascii="仿宋_GB2312" w:hAnsi="仿宋_GB2312" w:eastAsia="仿宋_GB2312" w:cs="仿宋_GB2312"/>
                <w:sz w:val="24"/>
              </w:rPr>
            </w:pPr>
            <w:r>
              <w:rPr>
                <w:rFonts w:hint="eastAsia" w:ascii="楷体" w:hAnsi="楷体" w:eastAsia="楷体" w:cs="楷体"/>
                <w:bCs/>
                <w:sz w:val="24"/>
              </w:rPr>
              <w:t>1.文化旅游标志工程。</w:t>
            </w:r>
            <w:r>
              <w:rPr>
                <w:rFonts w:hint="eastAsia" w:ascii="仿宋_GB2312" w:hAnsi="仿宋_GB2312" w:eastAsia="仿宋_GB2312" w:cs="仿宋_GB2312"/>
                <w:sz w:val="24"/>
              </w:rPr>
              <w:t>加快老界岭国家级旅游度假区、卧龙岗文化园、南阳古城等重点项目建设，新建一批4A级以上旅游景区，推动文旅产业提档升级。加快推进南阳古城、医圣祠文化园、月季大观园等文旅项目建设。推进黄山遗址、汉冶铁遗址、十里庙遗址等文化遗存保护开发，加快长城、长征国家公园等项目建设，提升汉画馆、博物馆陈展水平，加强非遗资源活化利用，引导南阳文化元素时尚化、实用化开发，叫响“两汉文化看南阳”品牌。</w:t>
            </w:r>
          </w:p>
          <w:p>
            <w:pPr>
              <w:pStyle w:val="14"/>
              <w:overflowPunct w:val="0"/>
              <w:adjustRightInd w:val="0"/>
              <w:snapToGrid w:val="0"/>
              <w:spacing w:line="400" w:lineRule="exact"/>
              <w:ind w:firstLine="480" w:firstLineChars="200"/>
              <w:contextualSpacing/>
              <w:jc w:val="both"/>
              <w:rPr>
                <w:rFonts w:ascii="仿宋_GB2312" w:hAnsi="仿宋_GB2312" w:eastAsia="仿宋_GB2312" w:cs="仿宋_GB2312"/>
                <w:sz w:val="24"/>
              </w:rPr>
            </w:pPr>
            <w:r>
              <w:rPr>
                <w:rFonts w:hint="eastAsia" w:ascii="楷体" w:hAnsi="楷体" w:eastAsia="楷体" w:cs="楷体"/>
                <w:bCs/>
                <w:sz w:val="24"/>
              </w:rPr>
              <w:t>2.文化旅游综合交通体系建设工程。</w:t>
            </w:r>
            <w:r>
              <w:rPr>
                <w:rFonts w:hint="eastAsia" w:ascii="仿宋_GB2312" w:hAnsi="仿宋_GB2312" w:eastAsia="仿宋_GB2312" w:cs="仿宋_GB2312"/>
                <w:sz w:val="24"/>
              </w:rPr>
              <w:t>规划建设鸭河重点通用机场，推动镇平通用机场建设纳入省专项规划。完善提升伏牛山和丹江湖区域道路，加快推动郑西、渑淅、焦唐、南邓高速建成通车，推进桐邓、嵩内、方西等高速公路项目规划建设，加快推进南阳至鸭河、南阳至社旗快速通道建设。支持有条件的地方规划建设一批集观光、休憩于一体的旅游公路及乡村绿道。</w:t>
            </w:r>
          </w:p>
          <w:p>
            <w:pPr>
              <w:pStyle w:val="14"/>
              <w:overflowPunct w:val="0"/>
              <w:adjustRightInd w:val="0"/>
              <w:snapToGrid w:val="0"/>
              <w:spacing w:line="400" w:lineRule="exact"/>
              <w:ind w:firstLine="480" w:firstLineChars="200"/>
              <w:contextualSpacing/>
              <w:jc w:val="both"/>
              <w:rPr>
                <w:rFonts w:ascii="仿宋_GB2312" w:hAnsi="仿宋_GB2312" w:eastAsia="仿宋_GB2312" w:cs="仿宋_GB2312"/>
                <w:sz w:val="24"/>
              </w:rPr>
            </w:pPr>
            <w:r>
              <w:rPr>
                <w:rFonts w:hint="eastAsia" w:ascii="楷体" w:hAnsi="楷体" w:eastAsia="楷体" w:cs="楷体"/>
                <w:bCs/>
                <w:sz w:val="24"/>
              </w:rPr>
              <w:t>3.精品文化旅游线路培育。</w:t>
            </w:r>
            <w:r>
              <w:rPr>
                <w:rFonts w:hint="eastAsia" w:ascii="仿宋_GB2312" w:hAnsi="仿宋_GB2312" w:eastAsia="仿宋_GB2312" w:cs="仿宋_GB2312"/>
                <w:sz w:val="24"/>
              </w:rPr>
              <w:t>挖掘整合全市历史文化、民俗风情、自然风光等资源，打造“两山两源”、万里茶道、丝绸之路、红色游、文化游、乡村游、研学游、康养游等精品线路。高标准建设一批康养基地、研学旅游基地、乡村旅游基地和文化创意创业基地。</w:t>
            </w:r>
          </w:p>
          <w:p>
            <w:pPr>
              <w:pStyle w:val="14"/>
              <w:overflowPunct w:val="0"/>
              <w:adjustRightInd w:val="0"/>
              <w:snapToGrid w:val="0"/>
              <w:spacing w:line="400" w:lineRule="exact"/>
              <w:ind w:firstLine="480" w:firstLineChars="200"/>
              <w:contextualSpacing/>
              <w:jc w:val="both"/>
              <w:rPr>
                <w:rFonts w:ascii="仿宋" w:hAnsi="仿宋" w:eastAsia="仿宋" w:cs="仿宋"/>
                <w:sz w:val="24"/>
              </w:rPr>
            </w:pPr>
            <w:r>
              <w:rPr>
                <w:rFonts w:hint="eastAsia" w:ascii="楷体" w:hAnsi="楷体" w:eastAsia="楷体" w:cs="楷体"/>
                <w:bCs/>
                <w:sz w:val="24"/>
              </w:rPr>
              <w:t>4.实施南阳“诸葛书屋”建设工程。</w:t>
            </w:r>
            <w:r>
              <w:rPr>
                <w:rFonts w:hint="eastAsia" w:ascii="仿宋_GB2312" w:hAnsi="仿宋_GB2312" w:eastAsia="仿宋_GB2312" w:cs="仿宋_GB2312"/>
                <w:sz w:val="24"/>
              </w:rPr>
              <w:t>加快建设一批具有南阳特色的“诸葛书屋”，打造“15分钟阅读圈”。每年中心城区书屋建设任务不少于10个，其他各县（市、区）可依照辖区常住人口、城区面积等实际情况合理安排，每年建设任务不少于2个。</w:t>
            </w:r>
          </w:p>
          <w:p>
            <w:pPr>
              <w:pStyle w:val="14"/>
              <w:overflowPunct w:val="0"/>
              <w:adjustRightInd w:val="0"/>
              <w:snapToGrid w:val="0"/>
              <w:spacing w:line="400" w:lineRule="exact"/>
              <w:ind w:firstLine="480" w:firstLineChars="200"/>
              <w:contextualSpacing/>
              <w:jc w:val="both"/>
            </w:pPr>
            <w:r>
              <w:rPr>
                <w:rFonts w:hint="eastAsia" w:ascii="楷体" w:hAnsi="楷体" w:eastAsia="楷体" w:cs="楷体"/>
                <w:bCs/>
                <w:sz w:val="24"/>
              </w:rPr>
              <w:t>5.实施全民健身设施建设补短板工程。</w:t>
            </w:r>
            <w:r>
              <w:rPr>
                <w:rFonts w:hint="eastAsia" w:ascii="仿宋_GB2312" w:hAnsi="仿宋_GB2312" w:eastAsia="仿宋_GB2312" w:cs="仿宋_GB2312"/>
                <w:sz w:val="24"/>
              </w:rPr>
              <w:t>统筹建设体育公园、全民健身中心、公共体育场馆、“三大球”场地设施、室外体育活动广场或大中型户外全民健身设施、多功能运动场等，加快推进南阳市体育中心全民健身馆、邓州市体育中心、新野县体育中心、镇平县体育馆、淅川县综合体育馆、桐柏县全民健身综合馆等项目建设。“十四五”末，全市所有的乡镇（街道）、行政村（社区）都建有公共体育健身场地设施，并逐步向较大自然村和居住区延伸。</w:t>
            </w:r>
          </w:p>
        </w:tc>
      </w:tr>
    </w:tbl>
    <w:p>
      <w:pPr>
        <w:pStyle w:val="6"/>
        <w:spacing w:line="560" w:lineRule="exact"/>
        <w:ind w:firstLine="640"/>
        <w:contextualSpacing/>
        <w:rPr>
          <w:rFonts w:ascii="Times New Roman" w:hAnsi="Times New Roman"/>
          <w:bCs/>
        </w:rPr>
      </w:pPr>
      <w:bookmarkStart w:id="1562" w:name="_Toc24031"/>
      <w:r>
        <w:rPr>
          <w:rFonts w:hint="eastAsia" w:ascii="Times New Roman" w:hAnsi="Times New Roman"/>
        </w:rPr>
        <w:t xml:space="preserve">第十一章  </w:t>
      </w:r>
      <w:r>
        <w:rPr>
          <w:rFonts w:ascii="Times New Roman" w:hAnsi="Times New Roman"/>
        </w:rPr>
        <w:t xml:space="preserve"> </w:t>
      </w:r>
      <w:r>
        <w:rPr>
          <w:rFonts w:hint="eastAsia" w:ascii="Times New Roman" w:hAnsi="Times New Roman"/>
        </w:rPr>
        <w:t>统筹推进公共服务和社会保障事业改革创新</w:t>
      </w:r>
      <w:bookmarkEnd w:id="1562"/>
    </w:p>
    <w:p>
      <w:pPr>
        <w:pStyle w:val="2"/>
        <w:spacing w:line="560" w:lineRule="exact"/>
        <w:ind w:firstLine="640"/>
        <w:contextualSpacing/>
        <w:rPr>
          <w:rFonts w:ascii="Times New Roman" w:hAnsi="Times New Roman"/>
        </w:rPr>
      </w:pPr>
      <w:r>
        <w:rPr>
          <w:rFonts w:hint="eastAsia" w:ascii="Times New Roman" w:hAnsi="Times New Roman"/>
        </w:rPr>
        <w:t>创新理念方式，加快体制机制改革，推动公共服务数字化转型，搭建信息共通共享平台，构建公共服务智慧型生态，强化公共服务要素保障，推进公共服务和社会保障能力现代化。</w:t>
      </w:r>
    </w:p>
    <w:p>
      <w:pPr>
        <w:pStyle w:val="7"/>
        <w:spacing w:line="560" w:lineRule="exact"/>
        <w:contextualSpacing/>
        <w:jc w:val="center"/>
        <w:rPr>
          <w:rFonts w:ascii="Times New Roman" w:hAnsi="Times New Roman" w:eastAsia="楷体_GB2312"/>
          <w:b w:val="0"/>
          <w:szCs w:val="32"/>
        </w:rPr>
      </w:pPr>
      <w:bookmarkStart w:id="1563" w:name="_Toc17534"/>
      <w:r>
        <w:rPr>
          <w:rFonts w:hint="eastAsia" w:ascii="Times New Roman" w:hAnsi="Times New Roman" w:eastAsia="楷体_GB2312"/>
          <w:b w:val="0"/>
          <w:bCs/>
          <w:szCs w:val="32"/>
        </w:rPr>
        <w:t>第一节</w:t>
      </w:r>
      <w:r>
        <w:rPr>
          <w:rFonts w:ascii="Times New Roman" w:hAnsi="Times New Roman" w:eastAsia="楷体_GB2312"/>
          <w:b w:val="0"/>
          <w:bCs/>
          <w:szCs w:val="32"/>
        </w:rPr>
        <w:t xml:space="preserve">  </w:t>
      </w:r>
      <w:r>
        <w:rPr>
          <w:rFonts w:hint="eastAsia" w:ascii="Times New Roman" w:hAnsi="Times New Roman" w:eastAsia="楷体_GB2312"/>
          <w:b w:val="0"/>
          <w:bCs/>
          <w:szCs w:val="32"/>
        </w:rPr>
        <w:t>健全基本公共服务制度</w:t>
      </w:r>
      <w:bookmarkEnd w:id="1563"/>
    </w:p>
    <w:p>
      <w:pPr>
        <w:pStyle w:val="2"/>
        <w:spacing w:line="560" w:lineRule="exact"/>
        <w:ind w:firstLine="640"/>
        <w:contextualSpacing/>
        <w:rPr>
          <w:rFonts w:ascii="Times New Roman" w:hAnsi="Times New Roman"/>
        </w:rPr>
      </w:pPr>
      <w:r>
        <w:rPr>
          <w:rFonts w:hint="eastAsia" w:ascii="Times New Roman" w:hAnsi="Times New Roman"/>
          <w:bCs/>
          <w:kern w:val="0"/>
        </w:rPr>
        <w:t>完善标准规范。</w:t>
      </w:r>
      <w:r>
        <w:rPr>
          <w:rFonts w:hint="eastAsia" w:ascii="Times New Roman" w:hAnsi="Times New Roman"/>
        </w:rPr>
        <w:t>以标准化推进基本公共服务均等化，完善基本公共服务标准，支持全市开展基本公共服务标准化试点示范，制定适应南阳经济社会发展水平的具体实施标准。完善托育、教育、医疗、养老等重点领域标准规范，做好行业间标准规范统筹衔接。</w:t>
      </w:r>
    </w:p>
    <w:p>
      <w:pPr>
        <w:spacing w:line="560" w:lineRule="exact"/>
        <w:ind w:firstLine="640" w:firstLineChars="200"/>
        <w:contextualSpacing/>
      </w:pPr>
      <w:r>
        <w:rPr>
          <w:rFonts w:hint="eastAsia" w:ascii="Times New Roman" w:hAnsi="Times New Roman"/>
          <w:bCs/>
          <w:kern w:val="0"/>
        </w:rPr>
        <w:t>强化财力保障。</w:t>
      </w:r>
      <w:r>
        <w:rPr>
          <w:rFonts w:hint="eastAsia" w:ascii="Times New Roman" w:hAnsi="Times New Roman"/>
        </w:rPr>
        <w:t>建立完善与经济发展和政府财力水平相适应的基本公共服务支出保障机制，优先保障基本公共服务补短板。明确市、县在公共服务领域事权和支出责任，争取中央、省级财政对基层政府提供的基本公共服务财力支持，确保基本公共服务和社会保障项目及标准落实到位。</w:t>
      </w:r>
    </w:p>
    <w:p>
      <w:pPr>
        <w:spacing w:line="560" w:lineRule="exact"/>
        <w:ind w:firstLine="640" w:firstLineChars="200"/>
        <w:contextualSpacing/>
        <w:rPr>
          <w:rFonts w:ascii="Times New Roman" w:hAnsi="Times New Roman"/>
        </w:rPr>
      </w:pPr>
      <w:r>
        <w:rPr>
          <w:rFonts w:hint="eastAsia" w:ascii="Times New Roman" w:hAnsi="Times New Roman"/>
          <w:bCs/>
          <w:kern w:val="0"/>
        </w:rPr>
        <w:t>优化资源配置。</w:t>
      </w:r>
      <w:r>
        <w:rPr>
          <w:rFonts w:hint="eastAsia" w:ascii="Times New Roman" w:hAnsi="Times New Roman"/>
        </w:rPr>
        <w:t>按照高效、公平原则和人口流动情况调整基本公共服务设施布局，建立完善公共服务资源与常住人口规模、服务半径挂钩制度。促进基本公共服务资源向全市基层延伸、向农村覆盖、向边远山区和生活困难群众倾斜，推动城乡、区域间基本公共服务制度统一、质量均衡。建立健全基本公共服务需求表达和反馈机制，动态调整清单，不断完善基本公共服务资源配置。</w:t>
      </w:r>
    </w:p>
    <w:p>
      <w:pPr>
        <w:spacing w:line="560" w:lineRule="exact"/>
        <w:ind w:firstLine="640" w:firstLineChars="200"/>
        <w:contextualSpacing/>
        <w:rPr>
          <w:rFonts w:ascii="Times New Roman" w:hAnsi="Times New Roman"/>
        </w:rPr>
      </w:pPr>
      <w:r>
        <w:rPr>
          <w:rFonts w:hint="eastAsia" w:ascii="Times New Roman" w:hAnsi="Times New Roman"/>
          <w:bCs/>
          <w:kern w:val="0"/>
        </w:rPr>
        <w:t>创新购买制度。</w:t>
      </w:r>
      <w:r>
        <w:rPr>
          <w:rFonts w:hint="eastAsia" w:ascii="Times New Roman" w:hAnsi="Times New Roman"/>
        </w:rPr>
        <w:t>动态调整政府购买基本公共服务指导性目录。率先在养老、文化、残疾人养护等领域探索建立基本公共服务合格供应商制度，鼓励符合条件的企事业单位、社会组织申请合格供应商资格，允许群众自主选择合格供应商并由政府结算。</w:t>
      </w:r>
    </w:p>
    <w:p>
      <w:pPr>
        <w:pStyle w:val="7"/>
        <w:spacing w:line="560" w:lineRule="exact"/>
        <w:contextualSpacing/>
        <w:jc w:val="center"/>
        <w:rPr>
          <w:rFonts w:ascii="Times New Roman" w:hAnsi="Times New Roman" w:eastAsia="楷体_GB2312"/>
          <w:b w:val="0"/>
          <w:szCs w:val="32"/>
        </w:rPr>
      </w:pPr>
      <w:bookmarkStart w:id="1564" w:name="_Toc22651"/>
      <w:r>
        <w:rPr>
          <w:rFonts w:hint="eastAsia" w:ascii="Times New Roman" w:hAnsi="Times New Roman" w:eastAsia="楷体_GB2312"/>
          <w:b w:val="0"/>
          <w:bCs/>
          <w:szCs w:val="32"/>
        </w:rPr>
        <w:t>第二节</w:t>
      </w:r>
      <w:r>
        <w:rPr>
          <w:rFonts w:ascii="Times New Roman" w:hAnsi="Times New Roman" w:eastAsia="楷体_GB2312"/>
          <w:b w:val="0"/>
          <w:bCs/>
          <w:szCs w:val="32"/>
        </w:rPr>
        <w:t xml:space="preserve">  </w:t>
      </w:r>
      <w:r>
        <w:rPr>
          <w:rFonts w:hint="eastAsia" w:ascii="Times New Roman" w:hAnsi="Times New Roman" w:eastAsia="楷体_GB2312"/>
          <w:b w:val="0"/>
          <w:bCs/>
          <w:szCs w:val="32"/>
        </w:rPr>
        <w:t>创新公共服务保障政策</w:t>
      </w:r>
      <w:bookmarkEnd w:id="1564"/>
    </w:p>
    <w:p>
      <w:pPr>
        <w:spacing w:line="560" w:lineRule="exact"/>
        <w:ind w:firstLine="640" w:firstLineChars="200"/>
        <w:contextualSpacing/>
        <w:rPr>
          <w:rFonts w:ascii="Times New Roman" w:hAnsi="Times New Roman"/>
        </w:rPr>
      </w:pPr>
      <w:r>
        <w:rPr>
          <w:rFonts w:hint="eastAsia" w:ascii="Times New Roman" w:hAnsi="Times New Roman"/>
          <w:bCs/>
          <w:kern w:val="0"/>
        </w:rPr>
        <w:t>优化市场供给机制。</w:t>
      </w:r>
      <w:r>
        <w:rPr>
          <w:rFonts w:hint="eastAsia" w:ascii="Times New Roman" w:hAnsi="Times New Roman"/>
        </w:rPr>
        <w:t>统筹用好规划、土地、税收、金融等支持政策，有序放开市场准入，及时清理和废除妨碍公平竞争的各种规定，引导社会力量参与公共服务供给。推进城乡统筹，促进城乡公共服务设施配置、人员配备以及服务质量水平有效衔接。落实负面清单制度，有序推进重点领域对外开放，提升医疗、教育培训、休闲旅游、体育健身等高品质服务能力。综合运用债券、保险、信贷、产业投资基金等方式，为社会领域公共服务项目融资提供支持。</w:t>
      </w:r>
    </w:p>
    <w:p>
      <w:pPr>
        <w:spacing w:line="560" w:lineRule="exact"/>
        <w:ind w:firstLine="640" w:firstLineChars="200"/>
        <w:contextualSpacing/>
        <w:rPr>
          <w:rFonts w:ascii="Times New Roman" w:hAnsi="Times New Roman" w:eastAsia="楷体_GB2312"/>
        </w:rPr>
      </w:pPr>
      <w:r>
        <w:rPr>
          <w:rFonts w:hint="eastAsia" w:ascii="Times New Roman" w:hAnsi="Times New Roman"/>
          <w:bCs/>
          <w:kern w:val="0"/>
        </w:rPr>
        <w:t>健全政策衔接机制。</w:t>
      </w:r>
      <w:r>
        <w:rPr>
          <w:rFonts w:hint="eastAsia" w:ascii="Times New Roman" w:hAnsi="Times New Roman"/>
        </w:rPr>
        <w:t>推动各县（市、区）、各行业公共服务政策机制相互衔接、互相配套，增强制度之间的系统性、整体性和协同性。增强公共服务信息共享、异地享有等方面的便利性和公平性。推进常住人口公共服务全覆盖。完善公共服务政策保障体系，在资格准入、职称评定、土地供给、财政支持、政府采购、监督管理等方面公平对待民办与公办机构。</w:t>
      </w:r>
    </w:p>
    <w:p>
      <w:pPr>
        <w:pStyle w:val="7"/>
        <w:spacing w:line="560" w:lineRule="exact"/>
        <w:contextualSpacing/>
        <w:jc w:val="center"/>
        <w:rPr>
          <w:rFonts w:ascii="Times New Roman" w:hAnsi="Times New Roman" w:eastAsia="楷体_GB2312"/>
          <w:b w:val="0"/>
          <w:szCs w:val="32"/>
        </w:rPr>
      </w:pPr>
      <w:bookmarkStart w:id="1565" w:name="_Toc10796"/>
      <w:bookmarkStart w:id="1566" w:name="_Toc28765"/>
      <w:bookmarkStart w:id="1567" w:name="_Toc30562"/>
      <w:bookmarkStart w:id="1568" w:name="_Toc13486"/>
      <w:bookmarkStart w:id="1569" w:name="_Toc30986"/>
      <w:bookmarkStart w:id="1570" w:name="_Toc63240484"/>
      <w:bookmarkStart w:id="1571" w:name="_Toc31190"/>
      <w:r>
        <w:rPr>
          <w:rFonts w:hint="eastAsia" w:ascii="Times New Roman" w:hAnsi="Times New Roman" w:eastAsia="楷体_GB2312"/>
          <w:b w:val="0"/>
          <w:bCs/>
          <w:szCs w:val="32"/>
        </w:rPr>
        <w:t>第三节</w:t>
      </w:r>
      <w:r>
        <w:rPr>
          <w:rFonts w:ascii="Times New Roman" w:hAnsi="Times New Roman" w:eastAsia="楷体_GB2312"/>
          <w:b w:val="0"/>
          <w:bCs/>
          <w:szCs w:val="32"/>
        </w:rPr>
        <w:t xml:space="preserve">  </w:t>
      </w:r>
      <w:r>
        <w:rPr>
          <w:rFonts w:hint="eastAsia" w:ascii="Times New Roman" w:hAnsi="Times New Roman" w:eastAsia="楷体_GB2312"/>
          <w:b w:val="0"/>
          <w:bCs/>
          <w:szCs w:val="32"/>
        </w:rPr>
        <w:t>构建公共服务和社会保障信息技术载体</w:t>
      </w:r>
      <w:bookmarkEnd w:id="1565"/>
    </w:p>
    <w:p>
      <w:pPr>
        <w:pStyle w:val="2"/>
        <w:spacing w:line="560" w:lineRule="exact"/>
        <w:ind w:firstLine="640"/>
        <w:contextualSpacing/>
        <w:rPr>
          <w:rFonts w:ascii="Times New Roman" w:hAnsi="Times New Roman"/>
        </w:rPr>
      </w:pPr>
      <w:r>
        <w:rPr>
          <w:rFonts w:hint="eastAsia" w:ascii="Times New Roman" w:hAnsi="Times New Roman"/>
          <w:bCs/>
          <w:kern w:val="0"/>
        </w:rPr>
        <w:t>完善政务信息平台。</w:t>
      </w:r>
      <w:r>
        <w:rPr>
          <w:rFonts w:hint="eastAsia" w:ascii="Times New Roman" w:hAnsi="Times New Roman"/>
        </w:rPr>
        <w:t>整合集中全市政务数据资源，持续完善实体政务大厅、网上办事大厅、移动客户端、自主终端等多种形式相结合、相统一的公共服务和社会保障平台。全面推行“一网通办”“一网统管”，持续将具备条件的服务事项纳入平台，促进公共服务和社会保障事项办理便利化。</w:t>
      </w:r>
    </w:p>
    <w:p>
      <w:pPr>
        <w:spacing w:line="560" w:lineRule="exact"/>
        <w:ind w:firstLine="640" w:firstLineChars="200"/>
        <w:contextualSpacing/>
        <w:rPr>
          <w:rFonts w:ascii="Times New Roman" w:hAnsi="Times New Roman"/>
        </w:rPr>
      </w:pPr>
      <w:r>
        <w:rPr>
          <w:rFonts w:hint="eastAsia" w:ascii="Times New Roman" w:hAnsi="Times New Roman"/>
          <w:bCs/>
          <w:kern w:val="0"/>
        </w:rPr>
        <w:t>推进服务数据共享。</w:t>
      </w:r>
      <w:r>
        <w:rPr>
          <w:rFonts w:hint="eastAsia" w:ascii="Times New Roman" w:hAnsi="Times New Roman"/>
        </w:rPr>
        <w:t>整合公共服务数据资源，推动教育、医疗健康、养老、家政、旅游、体育等领域线上线下供给融合互动。支持各地统筹公共服务资源、居民分布和服务半径，织密综合性服务网点，推出“线上</w:t>
      </w:r>
      <w:r>
        <w:rPr>
          <w:rFonts w:ascii="Times New Roman" w:hAnsi="Times New Roman"/>
        </w:rPr>
        <w:t>+</w:t>
      </w:r>
      <w:r>
        <w:rPr>
          <w:rFonts w:hint="eastAsia" w:ascii="Times New Roman" w:hAnsi="Times New Roman"/>
        </w:rPr>
        <w:t>线下”服务设施地图，提升公共服务信息获取便利性。</w:t>
      </w:r>
    </w:p>
    <w:p>
      <w:pPr>
        <w:spacing w:line="560" w:lineRule="exact"/>
        <w:ind w:firstLine="640" w:firstLineChars="200"/>
        <w:contextualSpacing/>
        <w:rPr>
          <w:rFonts w:ascii="Times New Roman" w:hAnsi="Times New Roman"/>
        </w:rPr>
      </w:pPr>
      <w:bookmarkStart w:id="1572" w:name="_Toc8766"/>
      <w:bookmarkStart w:id="1573" w:name="_Toc20343"/>
      <w:bookmarkStart w:id="1574" w:name="_Toc25840"/>
      <w:r>
        <w:rPr>
          <w:rFonts w:hint="eastAsia" w:ascii="Times New Roman" w:hAnsi="Times New Roman"/>
          <w:bCs/>
          <w:kern w:val="0"/>
        </w:rPr>
        <w:t>强化科技服务支撑。</w:t>
      </w:r>
      <w:bookmarkEnd w:id="1572"/>
      <w:bookmarkEnd w:id="1573"/>
      <w:bookmarkEnd w:id="1574"/>
      <w:r>
        <w:rPr>
          <w:rFonts w:hint="eastAsia" w:ascii="Times New Roman" w:hAnsi="Times New Roman"/>
        </w:rPr>
        <w:t>构建公共服务智慧型生态，开展智慧养老、智慧教育、智慧医疗、政企联合技术应用等公共服务领域数据应用和安全高效流通。加强公共服务领域数字化改革，重点修订与数字化改革不匹配不衔接的政策。</w:t>
      </w:r>
    </w:p>
    <w:bookmarkEnd w:id="1566"/>
    <w:bookmarkEnd w:id="1567"/>
    <w:bookmarkEnd w:id="1568"/>
    <w:bookmarkEnd w:id="1569"/>
    <w:bookmarkEnd w:id="1570"/>
    <w:bookmarkEnd w:id="1571"/>
    <w:p>
      <w:pPr>
        <w:pStyle w:val="6"/>
        <w:keepNext w:val="0"/>
        <w:keepLines w:val="0"/>
        <w:autoSpaceDE w:val="0"/>
        <w:autoSpaceDN w:val="0"/>
        <w:spacing w:line="560" w:lineRule="exact"/>
        <w:ind w:firstLine="0" w:firstLineChars="0"/>
        <w:contextualSpacing/>
        <w:jc w:val="center"/>
        <w:rPr>
          <w:rFonts w:ascii="Times New Roman" w:hAnsi="Times New Roman"/>
          <w:bCs/>
        </w:rPr>
      </w:pPr>
      <w:bookmarkStart w:id="1575" w:name="_Toc7308"/>
      <w:bookmarkStart w:id="1576" w:name="_Toc656790243"/>
      <w:bookmarkStart w:id="1577" w:name="_Toc643935965"/>
      <w:bookmarkStart w:id="1578" w:name="_Toc376678912"/>
      <w:bookmarkStart w:id="1579" w:name="_Toc30718"/>
      <w:bookmarkStart w:id="1580" w:name="_Toc737376423"/>
      <w:bookmarkStart w:id="1581" w:name="_Toc1820747261"/>
      <w:bookmarkStart w:id="1582" w:name="_Toc833665172"/>
      <w:bookmarkStart w:id="1583" w:name="_Toc1457387788"/>
      <w:r>
        <w:rPr>
          <w:rFonts w:hint="eastAsia" w:ascii="Times New Roman" w:hAnsi="Times New Roman"/>
        </w:rPr>
        <w:t>第十二章   规划组织实施</w:t>
      </w:r>
      <w:bookmarkEnd w:id="1575"/>
    </w:p>
    <w:p>
      <w:pPr>
        <w:pStyle w:val="7"/>
        <w:spacing w:line="560" w:lineRule="exact"/>
        <w:contextualSpacing/>
        <w:jc w:val="center"/>
        <w:rPr>
          <w:rFonts w:ascii="Times New Roman" w:hAnsi="Times New Roman" w:eastAsia="楷体_GB2312"/>
          <w:b w:val="0"/>
          <w:szCs w:val="32"/>
        </w:rPr>
      </w:pPr>
      <w:bookmarkStart w:id="1584" w:name="_Toc7618"/>
      <w:r>
        <w:rPr>
          <w:rFonts w:hint="eastAsia" w:ascii="Times New Roman" w:hAnsi="Times New Roman" w:eastAsia="楷体_GB2312"/>
          <w:b w:val="0"/>
          <w:bCs/>
          <w:szCs w:val="32"/>
        </w:rPr>
        <w:t>第一节  加强党的领导</w:t>
      </w:r>
      <w:bookmarkEnd w:id="1584"/>
    </w:p>
    <w:p>
      <w:pPr>
        <w:spacing w:line="560" w:lineRule="exact"/>
        <w:ind w:firstLine="684" w:firstLineChars="200"/>
        <w:contextualSpacing/>
        <w:rPr>
          <w:rFonts w:ascii="Times New Roman" w:hAnsi="Times New Roman"/>
          <w:spacing w:val="11"/>
        </w:rPr>
      </w:pPr>
      <w:bookmarkStart w:id="1585" w:name="_Toc11051"/>
      <w:r>
        <w:rPr>
          <w:rFonts w:hint="eastAsia" w:ascii="Times New Roman" w:hAnsi="Times New Roman"/>
          <w:spacing w:val="11"/>
        </w:rPr>
        <w:t>坚持党的集中统一领导，把党的领导贯穿于推进公共服务和社会保障各个阶段、各个领域、各个环节，把党的政治优势、组织优势转化为推进公共服务和社会保障、促进实现共同富裕的强大动力，增强“四个意识”、坚定“四个自信”，坚决拥护“两个确立”、坚决做到“两个维护”，各级要认真贯彻党中央、国务院和省委、省政府关于公共服务和社会保障的各项决策部署，为实现规划目标任务提供坚强保障。</w:t>
      </w:r>
    </w:p>
    <w:bookmarkEnd w:id="1585"/>
    <w:p>
      <w:pPr>
        <w:pStyle w:val="7"/>
        <w:spacing w:line="560" w:lineRule="exact"/>
        <w:contextualSpacing/>
        <w:jc w:val="center"/>
        <w:rPr>
          <w:rFonts w:ascii="Times New Roman" w:hAnsi="Times New Roman" w:eastAsia="楷体_GB2312"/>
          <w:b w:val="0"/>
          <w:szCs w:val="32"/>
        </w:rPr>
      </w:pPr>
      <w:bookmarkStart w:id="1586" w:name="_Toc9490"/>
      <w:r>
        <w:rPr>
          <w:rFonts w:hint="eastAsia" w:ascii="Times New Roman" w:hAnsi="Times New Roman" w:eastAsia="楷体_GB2312"/>
          <w:b w:val="0"/>
          <w:bCs/>
          <w:szCs w:val="32"/>
        </w:rPr>
        <w:t>第二节</w:t>
      </w:r>
      <w:r>
        <w:rPr>
          <w:rFonts w:ascii="Times New Roman" w:hAnsi="Times New Roman" w:eastAsia="楷体_GB2312"/>
          <w:b w:val="0"/>
          <w:bCs/>
          <w:szCs w:val="32"/>
        </w:rPr>
        <w:t xml:space="preserve">  </w:t>
      </w:r>
      <w:r>
        <w:rPr>
          <w:rFonts w:hint="eastAsia" w:ascii="Times New Roman" w:hAnsi="Times New Roman" w:eastAsia="楷体_GB2312"/>
          <w:b w:val="0"/>
          <w:bCs/>
          <w:szCs w:val="32"/>
        </w:rPr>
        <w:t>强化统筹协调</w:t>
      </w:r>
      <w:bookmarkEnd w:id="1586"/>
    </w:p>
    <w:p>
      <w:pPr>
        <w:spacing w:line="560" w:lineRule="exact"/>
        <w:ind w:firstLine="640" w:firstLineChars="200"/>
        <w:contextualSpacing/>
        <w:rPr>
          <w:rFonts w:ascii="Times New Roman" w:hAnsi="Times New Roman"/>
        </w:rPr>
      </w:pPr>
      <w:bookmarkStart w:id="1587" w:name="_Toc27496"/>
      <w:r>
        <w:rPr>
          <w:rFonts w:hint="eastAsia" w:ascii="Times New Roman" w:hAnsi="Times New Roman"/>
        </w:rPr>
        <w:t>加强跨部门、跨行业政策创新等重大问题的协调解决，市级相关部门按照职责分工做好专项规划与本规划的衔接，各县（市、区）结合实际，制定本级公共服务</w:t>
      </w:r>
      <w:r>
        <w:rPr>
          <w:rFonts w:hint="eastAsia" w:ascii="Times New Roman" w:hAnsi="Times New Roman"/>
          <w:spacing w:val="11"/>
        </w:rPr>
        <w:t>和社会保障</w:t>
      </w:r>
      <w:r>
        <w:rPr>
          <w:rFonts w:hint="eastAsia" w:ascii="Times New Roman" w:hAnsi="Times New Roman"/>
        </w:rPr>
        <w:t>规划、实施方案或具体工作措施，确保规划落地见效。市政府和各县（市、区）政府统筹协调公共服务和社会保障重点工作，建立健全推动落实的协调机制，不断提高工作的系统性、整体性和协同性。</w:t>
      </w:r>
      <w:bookmarkEnd w:id="1587"/>
    </w:p>
    <w:p>
      <w:pPr>
        <w:pStyle w:val="7"/>
        <w:spacing w:line="560" w:lineRule="exact"/>
        <w:contextualSpacing/>
        <w:jc w:val="center"/>
        <w:rPr>
          <w:rFonts w:ascii="Times New Roman" w:hAnsi="Times New Roman" w:eastAsia="楷体_GB2312"/>
          <w:b w:val="0"/>
          <w:szCs w:val="32"/>
        </w:rPr>
      </w:pPr>
      <w:bookmarkStart w:id="1588" w:name="_Toc29306"/>
      <w:r>
        <w:rPr>
          <w:rFonts w:hint="eastAsia" w:ascii="Times New Roman" w:hAnsi="Times New Roman" w:eastAsia="楷体_GB2312"/>
          <w:b w:val="0"/>
          <w:bCs/>
          <w:szCs w:val="32"/>
        </w:rPr>
        <w:t>第三节  加强项目实施</w:t>
      </w:r>
      <w:bookmarkEnd w:id="1588"/>
      <w:bookmarkStart w:id="1589" w:name="_Toc20908"/>
    </w:p>
    <w:p>
      <w:pPr>
        <w:pStyle w:val="7"/>
        <w:spacing w:line="560" w:lineRule="exact"/>
        <w:ind w:firstLine="596" w:firstLineChars="200"/>
        <w:contextualSpacing/>
        <w:rPr>
          <w:rFonts w:ascii="Times New Roman" w:hAnsi="Times New Roman" w:eastAsia="仿宋_GB2312"/>
          <w:b w:val="0"/>
          <w:spacing w:val="-11"/>
          <w:kern w:val="21"/>
          <w:szCs w:val="32"/>
        </w:rPr>
      </w:pPr>
      <w:r>
        <w:rPr>
          <w:rFonts w:hint="eastAsia" w:ascii="Times New Roman" w:hAnsi="Times New Roman" w:eastAsia="仿宋_GB2312"/>
          <w:b w:val="0"/>
          <w:spacing w:val="-11"/>
          <w:kern w:val="21"/>
          <w:szCs w:val="32"/>
        </w:rPr>
        <w:t>聚焦规划确定的目标、领域、任务，谋划实施一批关系全市公共服务</w:t>
      </w:r>
      <w:r>
        <w:rPr>
          <w:rFonts w:hint="eastAsia" w:ascii="Times New Roman" w:hAnsi="Times New Roman" w:eastAsia="仿宋_GB2312"/>
          <w:b w:val="0"/>
          <w:spacing w:val="11"/>
          <w:szCs w:val="32"/>
        </w:rPr>
        <w:t>和社会保障</w:t>
      </w:r>
      <w:r>
        <w:rPr>
          <w:rFonts w:hint="eastAsia" w:ascii="Times New Roman" w:hAnsi="Times New Roman" w:eastAsia="仿宋_GB2312"/>
          <w:b w:val="0"/>
          <w:spacing w:val="-11"/>
          <w:kern w:val="21"/>
          <w:szCs w:val="32"/>
        </w:rPr>
        <w:t>的全局性、战略性重大工程项目，财政性资金和资源要素优先投向本规划确定的重大任务和重大工程项目。建立公共服务和社会保障事业重大项目引领制度，滚动调整、动态更新相关储备库。建立健全“项目跟着规划走、要素跟着项目走”机制。</w:t>
      </w:r>
      <w:bookmarkEnd w:id="1589"/>
    </w:p>
    <w:p>
      <w:pPr>
        <w:pStyle w:val="7"/>
        <w:spacing w:line="560" w:lineRule="exact"/>
        <w:contextualSpacing/>
        <w:jc w:val="center"/>
        <w:rPr>
          <w:rFonts w:ascii="Times New Roman" w:hAnsi="Times New Roman" w:eastAsia="楷体_GB2312"/>
          <w:b w:val="0"/>
          <w:szCs w:val="32"/>
        </w:rPr>
      </w:pPr>
      <w:bookmarkStart w:id="1590" w:name="_Toc5039"/>
      <w:r>
        <w:rPr>
          <w:rFonts w:hint="eastAsia" w:ascii="Times New Roman" w:hAnsi="Times New Roman" w:eastAsia="楷体_GB2312"/>
          <w:b w:val="0"/>
          <w:bCs/>
          <w:szCs w:val="32"/>
        </w:rPr>
        <w:t>第四节  优化人才队伍</w:t>
      </w:r>
      <w:bookmarkEnd w:id="1590"/>
    </w:p>
    <w:p>
      <w:pPr>
        <w:spacing w:line="560" w:lineRule="exact"/>
        <w:ind w:firstLine="640" w:firstLineChars="200"/>
        <w:contextualSpacing/>
        <w:rPr>
          <w:rFonts w:ascii="Times New Roman" w:hAnsi="Times New Roman"/>
        </w:rPr>
      </w:pPr>
      <w:bookmarkStart w:id="1591" w:name="_Toc26089"/>
      <w:r>
        <w:rPr>
          <w:rFonts w:hint="eastAsia" w:ascii="Times New Roman" w:hAnsi="Times New Roman"/>
        </w:rPr>
        <w:t>健全公共服务和社会保障事业从业人员教育培训制度，定期组织职业培训和业务轮训，支持非公办公共服务机构的人才培养、培训和进修。发展公益性社会服务组织，壮大志愿者人员来源渠道，鼓励社会人士积极参与社会志愿服务，共同营造社会力量参与公共服务</w:t>
      </w:r>
      <w:r>
        <w:rPr>
          <w:rFonts w:hint="eastAsia" w:ascii="Times New Roman" w:hAnsi="Times New Roman"/>
          <w:spacing w:val="11"/>
        </w:rPr>
        <w:t>和社会保障</w:t>
      </w:r>
      <w:r>
        <w:rPr>
          <w:rFonts w:hint="eastAsia" w:ascii="Times New Roman" w:hAnsi="Times New Roman"/>
        </w:rPr>
        <w:t>的良好环境。</w:t>
      </w:r>
      <w:bookmarkEnd w:id="1591"/>
    </w:p>
    <w:bookmarkEnd w:id="1576"/>
    <w:bookmarkEnd w:id="1577"/>
    <w:bookmarkEnd w:id="1578"/>
    <w:bookmarkEnd w:id="1579"/>
    <w:bookmarkEnd w:id="1580"/>
    <w:bookmarkEnd w:id="1581"/>
    <w:bookmarkEnd w:id="1582"/>
    <w:bookmarkEnd w:id="1583"/>
    <w:p>
      <w:pPr>
        <w:pStyle w:val="7"/>
        <w:spacing w:line="560" w:lineRule="exact"/>
        <w:contextualSpacing/>
        <w:jc w:val="center"/>
        <w:rPr>
          <w:rFonts w:ascii="Times New Roman" w:hAnsi="Times New Roman" w:eastAsia="楷体_GB2312"/>
          <w:b w:val="0"/>
          <w:szCs w:val="32"/>
        </w:rPr>
      </w:pPr>
      <w:bookmarkStart w:id="1592" w:name="_Toc1535971710"/>
      <w:bookmarkStart w:id="1593" w:name="_Toc1441901729"/>
      <w:bookmarkStart w:id="1594" w:name="_Toc202785668"/>
      <w:bookmarkStart w:id="1595" w:name="_Toc14711"/>
      <w:bookmarkStart w:id="1596" w:name="_Toc18814"/>
      <w:bookmarkStart w:id="1597" w:name="_Toc1051605691"/>
      <w:r>
        <w:rPr>
          <w:rFonts w:hint="eastAsia" w:ascii="Times New Roman" w:hAnsi="Times New Roman" w:eastAsia="楷体_GB2312"/>
          <w:b w:val="0"/>
          <w:bCs/>
          <w:szCs w:val="32"/>
        </w:rPr>
        <w:t>第五节  动态监测评估</w:t>
      </w:r>
      <w:bookmarkEnd w:id="1592"/>
      <w:bookmarkEnd w:id="1593"/>
      <w:bookmarkEnd w:id="1594"/>
      <w:bookmarkEnd w:id="1595"/>
      <w:bookmarkEnd w:id="1596"/>
      <w:bookmarkEnd w:id="1597"/>
    </w:p>
    <w:p>
      <w:pPr>
        <w:spacing w:line="560" w:lineRule="exact"/>
        <w:ind w:firstLine="640" w:firstLineChars="200"/>
        <w:contextualSpacing/>
        <w:rPr>
          <w:rFonts w:ascii="Times New Roman" w:hAnsi="Times New Roman"/>
        </w:rPr>
      </w:pPr>
      <w:bookmarkStart w:id="1598" w:name="_Toc24855"/>
      <w:r>
        <w:rPr>
          <w:rFonts w:hint="eastAsia" w:ascii="Times New Roman" w:hAnsi="Times New Roman"/>
        </w:rPr>
        <w:t>定期开展公共服务</w:t>
      </w:r>
      <w:r>
        <w:rPr>
          <w:rFonts w:hint="eastAsia" w:ascii="Times New Roman" w:hAnsi="Times New Roman"/>
          <w:spacing w:val="11"/>
        </w:rPr>
        <w:t>和社会保障</w:t>
      </w:r>
      <w:r>
        <w:rPr>
          <w:rFonts w:hint="eastAsia" w:ascii="Times New Roman" w:hAnsi="Times New Roman"/>
        </w:rPr>
        <w:t>监测评估，跟踪督促各地的规划实施工作，重大事项及时向市委市政府报告。各县（市、区）要持续完善公共服务</w:t>
      </w:r>
      <w:r>
        <w:rPr>
          <w:rFonts w:hint="eastAsia" w:ascii="Times New Roman" w:hAnsi="Times New Roman"/>
          <w:spacing w:val="11"/>
        </w:rPr>
        <w:t>和社会保障</w:t>
      </w:r>
      <w:r>
        <w:rPr>
          <w:rFonts w:hint="eastAsia" w:ascii="Times New Roman" w:hAnsi="Times New Roman"/>
        </w:rPr>
        <w:t>监测评估体系，做好规划实施情况动态监测和中期评估工作，定期开展工作进展情况日常监测和实时考核，并向社会发布本地公共服务</w:t>
      </w:r>
      <w:r>
        <w:rPr>
          <w:rFonts w:hint="eastAsia" w:ascii="Times New Roman" w:hAnsi="Times New Roman"/>
          <w:spacing w:val="11"/>
        </w:rPr>
        <w:t>和社会保障</w:t>
      </w:r>
      <w:r>
        <w:rPr>
          <w:rFonts w:hint="eastAsia" w:ascii="Times New Roman" w:hAnsi="Times New Roman"/>
        </w:rPr>
        <w:t>年度报告和考评情况。</w:t>
      </w:r>
      <w:bookmarkEnd w:id="1598"/>
      <w:r>
        <w:rPr>
          <w:rFonts w:ascii="Times New Roman" w:hAnsi="Times New Roman"/>
        </w:rPr>
        <w:tab/>
      </w:r>
    </w:p>
    <w:bookmarkEnd w:id="1433"/>
    <w:bookmarkEnd w:id="1434"/>
    <w:bookmarkEnd w:id="1435"/>
    <w:p>
      <w:pPr>
        <w:widowControl/>
        <w:jc w:val="left"/>
        <w:rPr>
          <w:rFonts w:ascii="Times New Roman" w:hAnsi="Times New Roman"/>
        </w:rPr>
      </w:pPr>
      <w:r>
        <w:rPr>
          <w:rFonts w:ascii="Times New Roman" w:hAnsi="Times New Roman"/>
        </w:rPr>
        <w:br w:type="page"/>
      </w:r>
    </w:p>
    <w:p>
      <w:pPr>
        <w:autoSpaceDE w:val="0"/>
        <w:autoSpaceDN w:val="0"/>
        <w:spacing w:line="560" w:lineRule="exact"/>
        <w:jc w:val="center"/>
        <w:rPr>
          <w:rFonts w:ascii="方正小标宋简体" w:hAnsi="方正小标宋简体" w:eastAsia="方正小标宋简体" w:cs="方正小标宋简体"/>
          <w:spacing w:val="-10"/>
          <w:kern w:val="0"/>
          <w:sz w:val="44"/>
          <w:szCs w:val="44"/>
          <w:lang w:val="zh-CN" w:bidi="zh-CN"/>
        </w:rPr>
      </w:pPr>
      <w:r>
        <w:rPr>
          <w:rFonts w:hint="eastAsia" w:ascii="方正小标宋简体" w:hAnsi="方正小标宋简体" w:eastAsia="方正小标宋简体" w:cs="方正小标宋简体"/>
          <w:spacing w:val="-10"/>
          <w:kern w:val="0"/>
          <w:sz w:val="44"/>
          <w:szCs w:val="44"/>
          <w:lang w:val="zh-CN" w:bidi="zh-CN"/>
        </w:rPr>
        <w:t>南阳市“十四五”开放型</w:t>
      </w:r>
    </w:p>
    <w:p>
      <w:pPr>
        <w:autoSpaceDE w:val="0"/>
        <w:autoSpaceDN w:val="0"/>
        <w:spacing w:line="560" w:lineRule="exact"/>
        <w:jc w:val="center"/>
        <w:rPr>
          <w:rFonts w:ascii="方正小标宋简体" w:hAnsi="方正小标宋简体" w:eastAsia="方正小标宋简体" w:cs="方正小标宋简体"/>
          <w:spacing w:val="-10"/>
          <w:kern w:val="0"/>
          <w:sz w:val="54"/>
          <w:szCs w:val="22"/>
          <w:lang w:val="zh-CN" w:bidi="zh-CN"/>
        </w:rPr>
      </w:pPr>
      <w:r>
        <w:rPr>
          <w:rFonts w:hint="eastAsia" w:ascii="方正小标宋简体" w:hAnsi="方正小标宋简体" w:eastAsia="方正小标宋简体" w:cs="方正小标宋简体"/>
          <w:spacing w:val="-10"/>
          <w:kern w:val="0"/>
          <w:sz w:val="44"/>
          <w:szCs w:val="44"/>
          <w:lang w:val="zh-CN" w:bidi="zh-CN"/>
        </w:rPr>
        <w:t>经济新体制和开放强市建设规划</w:t>
      </w:r>
      <w:bookmarkStart w:id="1599" w:name="_Toc1010222751"/>
      <w:bookmarkStart w:id="1600" w:name="_Toc26455"/>
    </w:p>
    <w:bookmarkEnd w:id="1599"/>
    <w:bookmarkEnd w:id="1600"/>
    <w:p>
      <w:pPr>
        <w:spacing w:line="560" w:lineRule="exact"/>
        <w:rPr>
          <w:rFonts w:ascii="仿宋" w:hAnsi="仿宋" w:eastAsia="仿宋" w:cs="仿宋"/>
        </w:rPr>
      </w:pPr>
    </w:p>
    <w:p>
      <w:pPr>
        <w:widowControl/>
        <w:spacing w:line="560" w:lineRule="exact"/>
        <w:ind w:firstLine="640" w:firstLineChars="200"/>
        <w:jc w:val="left"/>
        <w:rPr>
          <w:rFonts w:ascii="仿宋" w:hAnsi="仿宋" w:eastAsia="仿宋" w:cs="仿宋"/>
        </w:rPr>
      </w:pPr>
      <w:r>
        <w:rPr>
          <w:rFonts w:hint="eastAsia" w:ascii="仿宋" w:hAnsi="仿宋" w:eastAsia="仿宋" w:cs="仿宋"/>
        </w:rPr>
        <w:t>为深入贯彻党的十九大和十九届历次全会精神，全面落实习近平总书记考察调研南阳重要讲话重要指示精神，贯彻落实省第十一次党代会、市第七次党代会精神，根据《河南省“十四五”开放型经济新体制和开放强省建设规划》《南阳市国民经济和社会发展第十四个五年规划和二〇三五年远景目标纲要》等要求，结合市委、市政府对开放型经济新体制和开放强市建设工作部署，制定本规划，主要阐明“十四五”时期南阳市开放发展的指导思想、战略定位、发展目标、主要任务及保障措施。本规划是南阳市构建开放型经济新体制、建设开放强市的重要指引。</w:t>
      </w:r>
    </w:p>
    <w:p>
      <w:pPr>
        <w:pStyle w:val="5"/>
        <w:autoSpaceDE w:val="0"/>
        <w:autoSpaceDN w:val="0"/>
        <w:spacing w:line="560" w:lineRule="exact"/>
        <w:ind w:left="418" w:right="601"/>
        <w:jc w:val="center"/>
        <w:outlineLvl w:val="0"/>
      </w:pPr>
      <w:bookmarkStart w:id="1601" w:name="_Toc3606"/>
      <w:bookmarkStart w:id="1602" w:name="_Toc1281194944"/>
      <w:bookmarkStart w:id="1603" w:name="_Toc19861"/>
      <w:r>
        <w:rPr>
          <w:rFonts w:hint="eastAsia" w:ascii="黑体" w:hAnsi="仿宋" w:eastAsia="黑体" w:cs="仿宋"/>
          <w:spacing w:val="-10"/>
          <w:kern w:val="0"/>
          <w:lang w:bidi="zh-CN"/>
        </w:rPr>
        <w:t>第一章 发展</w:t>
      </w:r>
      <w:bookmarkEnd w:id="1601"/>
      <w:r>
        <w:rPr>
          <w:rFonts w:hint="eastAsia" w:ascii="黑体" w:hAnsi="仿宋" w:eastAsia="黑体" w:cs="仿宋"/>
          <w:spacing w:val="-10"/>
          <w:kern w:val="0"/>
          <w:lang w:bidi="zh-CN"/>
        </w:rPr>
        <w:t>环境</w:t>
      </w:r>
      <w:bookmarkEnd w:id="1602"/>
      <w:bookmarkEnd w:id="1603"/>
    </w:p>
    <w:p>
      <w:pPr>
        <w:widowControl/>
        <w:spacing w:line="560" w:lineRule="exact"/>
        <w:ind w:firstLine="640" w:firstLineChars="200"/>
        <w:jc w:val="left"/>
        <w:rPr>
          <w:rFonts w:ascii="仿宋" w:hAnsi="仿宋" w:eastAsia="仿宋" w:cs="仿宋"/>
        </w:rPr>
      </w:pPr>
      <w:bookmarkStart w:id="1604" w:name="_Toc19460"/>
      <w:bookmarkStart w:id="1605" w:name="_Toc24249"/>
      <w:bookmarkStart w:id="1606" w:name="_Toc12894"/>
      <w:r>
        <w:rPr>
          <w:rFonts w:hint="eastAsia" w:ascii="仿宋" w:hAnsi="仿宋" w:eastAsia="仿宋" w:cs="仿宋"/>
        </w:rPr>
        <w:t>“</w:t>
      </w:r>
      <w:r>
        <w:rPr>
          <w:rFonts w:hint="eastAsia" w:ascii="仿宋" w:hAnsi="仿宋" w:eastAsia="仿宋" w:cs="仿宋"/>
          <w:bCs/>
        </w:rPr>
        <w:t>十四五</w:t>
      </w:r>
      <w:r>
        <w:rPr>
          <w:rFonts w:hint="eastAsia" w:ascii="仿宋" w:hAnsi="仿宋" w:eastAsia="仿宋" w:cs="仿宋"/>
        </w:rPr>
        <w:t>”时期，是开启全面建设社会主义现代化南阳新征程的第一个五年，是高质量建设河南省副中心城市、打造制度型开放高地的关键五年，也是牢牢把握国际国内双循环新发展格局，推动南阳开放型经济高质量融入全球产业链、供应链和价值链的行动窗口期。要立足新发展阶段、贯彻新发展理念、融入新发展格局，实施制度型开放战略，加快构建更高水平的开放型经济新体制和建设开放强市，为全面建设社会主义现代化南阳开好局、起好步多做贡献。</w:t>
      </w:r>
    </w:p>
    <w:p>
      <w:pPr>
        <w:pStyle w:val="7"/>
        <w:spacing w:line="560" w:lineRule="exact"/>
        <w:jc w:val="center"/>
        <w:rPr>
          <w:b w:val="0"/>
        </w:rPr>
      </w:pPr>
      <w:bookmarkStart w:id="1607" w:name="_Toc1787496089"/>
      <w:r>
        <w:rPr>
          <w:rFonts w:hint="eastAsia" w:ascii="楷体" w:hAnsi="仿宋" w:eastAsia="楷体" w:cs="仿宋"/>
          <w:b w:val="0"/>
          <w:szCs w:val="32"/>
          <w:lang w:bidi="zh-CN"/>
        </w:rPr>
        <w:t xml:space="preserve">第一节 </w:t>
      </w:r>
      <w:bookmarkEnd w:id="1604"/>
      <w:bookmarkEnd w:id="1605"/>
      <w:r>
        <w:rPr>
          <w:rFonts w:hint="eastAsia" w:ascii="楷体" w:hAnsi="仿宋" w:eastAsia="楷体" w:cs="仿宋"/>
          <w:b w:val="0"/>
          <w:szCs w:val="32"/>
          <w:lang w:bidi="zh-CN"/>
        </w:rPr>
        <w:t>发展现状</w:t>
      </w:r>
      <w:bookmarkEnd w:id="1606"/>
      <w:bookmarkEnd w:id="1607"/>
    </w:p>
    <w:p>
      <w:pPr>
        <w:widowControl/>
        <w:spacing w:line="560" w:lineRule="exact"/>
        <w:ind w:firstLine="640" w:firstLineChars="200"/>
        <w:jc w:val="left"/>
        <w:rPr>
          <w:rFonts w:ascii="仿宋" w:hAnsi="仿宋" w:eastAsia="仿宋" w:cs="仿宋"/>
        </w:rPr>
      </w:pPr>
      <w:bookmarkStart w:id="1608" w:name="_Toc17262"/>
      <w:bookmarkStart w:id="1609" w:name="_Toc23098"/>
      <w:bookmarkStart w:id="1610" w:name="_Toc21956"/>
      <w:bookmarkStart w:id="1611" w:name="_Toc31231"/>
      <w:r>
        <w:rPr>
          <w:rFonts w:hint="eastAsia" w:ascii="仿宋" w:hAnsi="仿宋" w:eastAsia="仿宋" w:cs="仿宋"/>
        </w:rPr>
        <w:t>“十三五”时期是我市经济社会发展取得重大成就的关键时期，也是我市开放型经济迈上高质量发展阶段的起步时期。</w:t>
      </w:r>
      <w:r>
        <w:rPr>
          <w:rFonts w:hint="eastAsia" w:ascii="仿宋" w:hAnsi="仿宋" w:eastAsia="仿宋" w:cs="仿宋"/>
          <w:bCs/>
        </w:rPr>
        <w:t>五年来，</w:t>
      </w:r>
      <w:r>
        <w:rPr>
          <w:rFonts w:hint="eastAsia" w:ascii="仿宋" w:hAnsi="仿宋" w:eastAsia="仿宋" w:cs="仿宋"/>
        </w:rPr>
        <w:t>在市委、市政府的正确领导下，全市上下深入贯彻新发展理念，坚持互利共赢开放战略，深化投资便利化和外贸领域供给侧结构性改革，全面构建开放型经济发展新格局，攻坚克难砥砺前行，乘风破浪开拓创新，各项工作成绩斐然，为“十四五”开放强市建设奠定了坚实基础</w:t>
      </w:r>
      <w:r>
        <w:rPr>
          <w:rFonts w:hint="eastAsia" w:ascii="仿宋" w:hAnsi="仿宋" w:eastAsia="仿宋" w:cs="仿宋"/>
          <w:lang w:val="zh-TW"/>
        </w:rPr>
        <w:t>。</w:t>
      </w:r>
    </w:p>
    <w:bookmarkEnd w:id="1608"/>
    <w:bookmarkEnd w:id="1609"/>
    <w:bookmarkEnd w:id="1610"/>
    <w:bookmarkEnd w:id="1611"/>
    <w:p>
      <w:pPr>
        <w:widowControl/>
        <w:spacing w:line="560" w:lineRule="exact"/>
        <w:ind w:firstLine="612" w:firstLineChars="200"/>
        <w:jc w:val="left"/>
        <w:rPr>
          <w:rFonts w:ascii="仿宋" w:hAnsi="仿宋" w:eastAsia="仿宋" w:cs="仿宋"/>
        </w:rPr>
      </w:pPr>
      <w:r>
        <w:rPr>
          <w:rFonts w:hint="eastAsia" w:ascii="仿宋_GB2312" w:hAnsi="仿宋_GB2312" w:cs="仿宋_GB2312"/>
          <w:spacing w:val="-7"/>
          <w:kern w:val="0"/>
          <w:lang w:bidi="zh-CN"/>
        </w:rPr>
        <w:t>对外贸易量质齐升。</w:t>
      </w:r>
      <w:r>
        <w:rPr>
          <w:rFonts w:hint="eastAsia" w:ascii="仿宋_GB2312" w:hAnsi="仿宋_GB2312" w:cs="仿宋_GB2312"/>
          <w:bCs/>
          <w:spacing w:val="-7"/>
          <w:kern w:val="0"/>
          <w:lang w:bidi="zh-CN"/>
        </w:rPr>
        <w:t>“</w:t>
      </w:r>
      <w:r>
        <w:rPr>
          <w:rFonts w:hint="eastAsia" w:ascii="仿宋" w:hAnsi="仿宋" w:eastAsia="仿宋" w:cs="仿宋"/>
          <w:bCs/>
        </w:rPr>
        <w:t>十三五”</w:t>
      </w:r>
      <w:r>
        <w:rPr>
          <w:rFonts w:hint="eastAsia" w:ascii="仿宋" w:hAnsi="仿宋" w:eastAsia="仿宋" w:cs="仿宋"/>
        </w:rPr>
        <w:t>期间，受土地资源短缺、劳动力成本上升、城市承载能力有限、国际贸易摩擦等因素的影响，对外经济发展面临严峻挑战。我市坚持做优增量、调整存量，全力稳定外贸外资规模。“十三五”期间，全市进出口总额累计突破700亿元，2020年出口总额为128.6亿元，居全省前列。2016年至2019年，全市进出口年均增长率达12.6%。2020年受新冠肺炎疫情影响，进出口有所下滑，但外贸结构持续优化，机电产品全年进出口总值28.9亿元，同比增长16.2%。“十三五”末，全市进出口总量居河南第二，出口总量稳居河南第四；西峡香菇制品出口占全国的52%。</w:t>
      </w:r>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2536"/>
        <w:gridCol w:w="2674"/>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5000" w:type="pct"/>
            <w:gridSpan w:val="4"/>
            <w:tcBorders>
              <w:tl2br w:val="nil"/>
              <w:tr2bl w:val="nil"/>
            </w:tcBorders>
            <w:vAlign w:val="center"/>
          </w:tcPr>
          <w:p>
            <w:pPr>
              <w:pStyle w:val="66"/>
              <w:spacing w:line="360" w:lineRule="exact"/>
              <w:ind w:firstLine="0" w:firstLineChars="0"/>
              <w:rPr>
                <w:rFonts w:ascii="黑体" w:eastAsia="黑体"/>
                <w:sz w:val="24"/>
                <w:lang w:val="en-US"/>
              </w:rPr>
            </w:pPr>
            <w:r>
              <w:rPr>
                <w:rFonts w:hint="eastAsia" w:ascii="黑体" w:hAnsi="黑体" w:eastAsia="黑体"/>
                <w:sz w:val="28"/>
              </w:rPr>
              <w:t>表 1-1：2016-2020年进出口情况表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772" w:type="pct"/>
            <w:tcBorders>
              <w:tl2br w:val="nil"/>
              <w:tr2bl w:val="nil"/>
            </w:tcBorders>
            <w:vAlign w:val="center"/>
          </w:tcPr>
          <w:p>
            <w:pPr>
              <w:pStyle w:val="66"/>
              <w:spacing w:line="360" w:lineRule="exact"/>
              <w:ind w:firstLine="0" w:firstLineChars="0"/>
              <w:rPr>
                <w:rFonts w:ascii="黑体" w:eastAsia="黑体"/>
                <w:sz w:val="24"/>
                <w:lang w:val="en-US"/>
              </w:rPr>
            </w:pPr>
            <w:r>
              <w:rPr>
                <w:rFonts w:hint="eastAsia" w:ascii="黑体" w:eastAsia="黑体"/>
                <w:sz w:val="24"/>
                <w:lang w:val="en-US"/>
              </w:rPr>
              <w:t>年份</w:t>
            </w:r>
          </w:p>
        </w:tc>
        <w:tc>
          <w:tcPr>
            <w:tcW w:w="1418" w:type="pct"/>
            <w:tcBorders>
              <w:tl2br w:val="nil"/>
              <w:tr2bl w:val="nil"/>
            </w:tcBorders>
            <w:vAlign w:val="center"/>
          </w:tcPr>
          <w:p>
            <w:pPr>
              <w:pStyle w:val="66"/>
              <w:spacing w:line="360" w:lineRule="exact"/>
              <w:ind w:firstLine="0" w:firstLineChars="0"/>
              <w:rPr>
                <w:rFonts w:ascii="黑体" w:eastAsia="黑体"/>
                <w:sz w:val="24"/>
                <w:lang w:val="en-US"/>
              </w:rPr>
            </w:pPr>
            <w:r>
              <w:rPr>
                <w:rFonts w:hint="eastAsia" w:ascii="黑体" w:eastAsia="黑体"/>
                <w:sz w:val="24"/>
                <w:lang w:val="en-US"/>
              </w:rPr>
              <w:t>进出口总额（亿元）</w:t>
            </w:r>
          </w:p>
        </w:tc>
        <w:tc>
          <w:tcPr>
            <w:tcW w:w="1495" w:type="pct"/>
            <w:tcBorders>
              <w:tl2br w:val="nil"/>
              <w:tr2bl w:val="nil"/>
            </w:tcBorders>
            <w:vAlign w:val="center"/>
          </w:tcPr>
          <w:p>
            <w:pPr>
              <w:pStyle w:val="66"/>
              <w:spacing w:line="360" w:lineRule="exact"/>
              <w:ind w:firstLine="0" w:firstLineChars="0"/>
              <w:rPr>
                <w:rFonts w:ascii="黑体" w:eastAsia="黑体"/>
                <w:sz w:val="24"/>
                <w:lang w:val="en-US"/>
              </w:rPr>
            </w:pPr>
            <w:r>
              <w:rPr>
                <w:rFonts w:hint="eastAsia" w:ascii="黑体" w:eastAsia="黑体"/>
                <w:sz w:val="24"/>
                <w:lang w:val="en-US"/>
              </w:rPr>
              <w:t>进口总额（亿元）</w:t>
            </w:r>
          </w:p>
        </w:tc>
        <w:tc>
          <w:tcPr>
            <w:tcW w:w="1313" w:type="pct"/>
            <w:tcBorders>
              <w:tl2br w:val="nil"/>
              <w:tr2bl w:val="nil"/>
            </w:tcBorders>
            <w:vAlign w:val="center"/>
          </w:tcPr>
          <w:p>
            <w:pPr>
              <w:pStyle w:val="66"/>
              <w:spacing w:line="360" w:lineRule="exact"/>
              <w:ind w:firstLine="0" w:firstLineChars="0"/>
              <w:rPr>
                <w:rFonts w:ascii="黑体" w:eastAsia="黑体"/>
                <w:sz w:val="24"/>
                <w:lang w:val="en-US"/>
              </w:rPr>
            </w:pPr>
            <w:r>
              <w:rPr>
                <w:rFonts w:hint="eastAsia" w:ascii="黑体" w:eastAsia="黑体"/>
                <w:sz w:val="24"/>
                <w:lang w:val="en-US"/>
              </w:rPr>
              <w:t>出口总额（亿元）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tcBorders>
              <w:tl2br w:val="nil"/>
              <w:tr2bl w:val="nil"/>
            </w:tcBorders>
            <w:vAlign w:val="center"/>
          </w:tcPr>
          <w:p>
            <w:pPr>
              <w:spacing w:line="360" w:lineRule="exact"/>
              <w:jc w:val="center"/>
              <w:rPr>
                <w:rFonts w:ascii="仿宋" w:hAnsi="仿宋" w:eastAsia="仿宋" w:cs="仿宋"/>
                <w:sz w:val="24"/>
              </w:rPr>
            </w:pPr>
            <w:r>
              <w:rPr>
                <w:rFonts w:hint="eastAsia" w:ascii="仿宋" w:hAnsi="仿宋" w:eastAsia="仿宋" w:cs="仿宋"/>
                <w:sz w:val="24"/>
                <w:szCs w:val="24"/>
              </w:rPr>
              <w:t>2016</w:t>
            </w:r>
          </w:p>
        </w:tc>
        <w:tc>
          <w:tcPr>
            <w:tcW w:w="1418" w:type="pct"/>
            <w:tcBorders>
              <w:tl2br w:val="nil"/>
              <w:tr2bl w:val="nil"/>
            </w:tcBorders>
            <w:vAlign w:val="center"/>
          </w:tcPr>
          <w:p>
            <w:pPr>
              <w:spacing w:line="360" w:lineRule="exact"/>
              <w:jc w:val="center"/>
              <w:rPr>
                <w:rFonts w:ascii="仿宋" w:hAnsi="仿宋" w:eastAsia="仿宋" w:cs="仿宋"/>
                <w:sz w:val="24"/>
              </w:rPr>
            </w:pPr>
            <w:r>
              <w:rPr>
                <w:rFonts w:hint="eastAsia" w:ascii="仿宋" w:hAnsi="仿宋" w:eastAsia="仿宋" w:cs="仿宋"/>
                <w:sz w:val="24"/>
                <w:szCs w:val="24"/>
              </w:rPr>
              <w:t>107.63</w:t>
            </w:r>
          </w:p>
        </w:tc>
        <w:tc>
          <w:tcPr>
            <w:tcW w:w="1495" w:type="pct"/>
            <w:tcBorders>
              <w:tl2br w:val="nil"/>
              <w:tr2bl w:val="nil"/>
            </w:tcBorders>
            <w:vAlign w:val="center"/>
          </w:tcPr>
          <w:p>
            <w:pPr>
              <w:spacing w:line="360" w:lineRule="exact"/>
              <w:jc w:val="center"/>
              <w:rPr>
                <w:rFonts w:ascii="仿宋" w:hAnsi="仿宋" w:eastAsia="仿宋" w:cs="仿宋"/>
                <w:sz w:val="24"/>
              </w:rPr>
            </w:pPr>
            <w:r>
              <w:rPr>
                <w:rFonts w:hint="eastAsia" w:ascii="仿宋" w:hAnsi="仿宋" w:eastAsia="仿宋" w:cs="仿宋"/>
                <w:sz w:val="24"/>
                <w:szCs w:val="24"/>
              </w:rPr>
              <w:t>16.82</w:t>
            </w:r>
          </w:p>
        </w:tc>
        <w:tc>
          <w:tcPr>
            <w:tcW w:w="1313" w:type="pct"/>
            <w:tcBorders>
              <w:tl2br w:val="nil"/>
              <w:tr2bl w:val="nil"/>
            </w:tcBorders>
            <w:vAlign w:val="center"/>
          </w:tcPr>
          <w:p>
            <w:pPr>
              <w:spacing w:line="360" w:lineRule="exact"/>
              <w:jc w:val="center"/>
              <w:rPr>
                <w:rFonts w:ascii="仿宋" w:hAnsi="仿宋" w:eastAsia="仿宋" w:cs="仿宋"/>
                <w:sz w:val="24"/>
              </w:rPr>
            </w:pPr>
            <w:r>
              <w:rPr>
                <w:rFonts w:hint="eastAsia" w:ascii="仿宋" w:hAnsi="仿宋" w:eastAsia="仿宋" w:cs="仿宋"/>
                <w:sz w:val="24"/>
                <w:szCs w:val="24"/>
              </w:rPr>
              <w:t>90.81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tcBorders>
              <w:tl2br w:val="nil"/>
              <w:tr2bl w:val="nil"/>
            </w:tcBorders>
            <w:vAlign w:val="center"/>
          </w:tcPr>
          <w:p>
            <w:pPr>
              <w:spacing w:line="360" w:lineRule="exact"/>
              <w:jc w:val="center"/>
              <w:rPr>
                <w:rFonts w:ascii="仿宋" w:hAnsi="仿宋" w:eastAsia="仿宋" w:cs="仿宋"/>
                <w:sz w:val="24"/>
              </w:rPr>
            </w:pPr>
            <w:r>
              <w:rPr>
                <w:rFonts w:hint="eastAsia" w:ascii="仿宋" w:hAnsi="仿宋" w:eastAsia="仿宋" w:cs="仿宋"/>
                <w:sz w:val="24"/>
                <w:szCs w:val="24"/>
              </w:rPr>
              <w:t>2017</w:t>
            </w:r>
          </w:p>
        </w:tc>
        <w:tc>
          <w:tcPr>
            <w:tcW w:w="1418" w:type="pct"/>
            <w:tcBorders>
              <w:tl2br w:val="nil"/>
              <w:tr2bl w:val="nil"/>
            </w:tcBorders>
            <w:vAlign w:val="center"/>
          </w:tcPr>
          <w:p>
            <w:pPr>
              <w:spacing w:line="360" w:lineRule="exact"/>
              <w:jc w:val="center"/>
              <w:rPr>
                <w:rFonts w:ascii="仿宋" w:hAnsi="仿宋" w:eastAsia="仿宋" w:cs="仿宋"/>
                <w:sz w:val="24"/>
              </w:rPr>
            </w:pPr>
            <w:r>
              <w:rPr>
                <w:rFonts w:hint="eastAsia" w:ascii="仿宋" w:hAnsi="仿宋" w:eastAsia="仿宋" w:cs="仿宋"/>
                <w:sz w:val="24"/>
                <w:szCs w:val="24"/>
              </w:rPr>
              <w:t>131.69</w:t>
            </w:r>
          </w:p>
        </w:tc>
        <w:tc>
          <w:tcPr>
            <w:tcW w:w="1495" w:type="pct"/>
            <w:tcBorders>
              <w:tl2br w:val="nil"/>
              <w:tr2bl w:val="nil"/>
            </w:tcBorders>
            <w:vAlign w:val="center"/>
          </w:tcPr>
          <w:p>
            <w:pPr>
              <w:spacing w:line="360" w:lineRule="exact"/>
              <w:jc w:val="center"/>
              <w:rPr>
                <w:rFonts w:ascii="仿宋" w:hAnsi="仿宋" w:eastAsia="仿宋" w:cs="仿宋"/>
                <w:sz w:val="24"/>
              </w:rPr>
            </w:pPr>
            <w:r>
              <w:rPr>
                <w:rFonts w:hint="eastAsia" w:ascii="仿宋" w:hAnsi="仿宋" w:eastAsia="仿宋" w:cs="仿宋"/>
                <w:sz w:val="24"/>
                <w:szCs w:val="24"/>
              </w:rPr>
              <w:t>22.9</w:t>
            </w:r>
          </w:p>
        </w:tc>
        <w:tc>
          <w:tcPr>
            <w:tcW w:w="1313" w:type="pct"/>
            <w:tcBorders>
              <w:tl2br w:val="nil"/>
              <w:tr2bl w:val="nil"/>
            </w:tcBorders>
            <w:vAlign w:val="center"/>
          </w:tcPr>
          <w:p>
            <w:pPr>
              <w:spacing w:line="360" w:lineRule="exact"/>
              <w:jc w:val="center"/>
              <w:rPr>
                <w:rFonts w:ascii="仿宋" w:hAnsi="仿宋" w:eastAsia="仿宋" w:cs="仿宋"/>
                <w:sz w:val="24"/>
              </w:rPr>
            </w:pPr>
            <w:r>
              <w:rPr>
                <w:rFonts w:hint="eastAsia" w:ascii="仿宋" w:hAnsi="仿宋" w:eastAsia="仿宋" w:cs="仿宋"/>
                <w:sz w:val="24"/>
                <w:szCs w:val="24"/>
              </w:rPr>
              <w:t>108.79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tcBorders>
              <w:tl2br w:val="nil"/>
              <w:tr2bl w:val="nil"/>
            </w:tcBorders>
            <w:vAlign w:val="center"/>
          </w:tcPr>
          <w:p>
            <w:pPr>
              <w:spacing w:line="360" w:lineRule="exact"/>
              <w:jc w:val="center"/>
              <w:rPr>
                <w:rFonts w:ascii="仿宋" w:hAnsi="仿宋" w:eastAsia="仿宋" w:cs="仿宋"/>
                <w:sz w:val="24"/>
              </w:rPr>
            </w:pPr>
            <w:r>
              <w:rPr>
                <w:rFonts w:hint="eastAsia" w:ascii="仿宋" w:hAnsi="仿宋" w:eastAsia="仿宋" w:cs="仿宋"/>
                <w:sz w:val="24"/>
                <w:szCs w:val="24"/>
              </w:rPr>
              <w:t>2018</w:t>
            </w:r>
          </w:p>
        </w:tc>
        <w:tc>
          <w:tcPr>
            <w:tcW w:w="1418" w:type="pct"/>
            <w:tcBorders>
              <w:tl2br w:val="nil"/>
              <w:tr2bl w:val="nil"/>
            </w:tcBorders>
            <w:vAlign w:val="center"/>
          </w:tcPr>
          <w:p>
            <w:pPr>
              <w:spacing w:line="360" w:lineRule="exact"/>
              <w:jc w:val="center"/>
              <w:rPr>
                <w:rFonts w:ascii="仿宋" w:hAnsi="仿宋" w:eastAsia="仿宋" w:cs="仿宋"/>
                <w:sz w:val="24"/>
              </w:rPr>
            </w:pPr>
            <w:r>
              <w:rPr>
                <w:rFonts w:hint="eastAsia" w:ascii="仿宋" w:hAnsi="仿宋" w:eastAsia="仿宋" w:cs="仿宋"/>
                <w:sz w:val="24"/>
                <w:szCs w:val="24"/>
              </w:rPr>
              <w:t>169.62</w:t>
            </w:r>
          </w:p>
        </w:tc>
        <w:tc>
          <w:tcPr>
            <w:tcW w:w="1495" w:type="pct"/>
            <w:tcBorders>
              <w:tl2br w:val="nil"/>
              <w:tr2bl w:val="nil"/>
            </w:tcBorders>
            <w:vAlign w:val="center"/>
          </w:tcPr>
          <w:p>
            <w:pPr>
              <w:spacing w:line="360" w:lineRule="exact"/>
              <w:jc w:val="center"/>
              <w:rPr>
                <w:rFonts w:ascii="仿宋" w:hAnsi="仿宋" w:eastAsia="仿宋" w:cs="仿宋"/>
                <w:sz w:val="24"/>
              </w:rPr>
            </w:pPr>
            <w:r>
              <w:rPr>
                <w:rFonts w:hint="eastAsia" w:ascii="仿宋" w:hAnsi="仿宋" w:eastAsia="仿宋" w:cs="仿宋"/>
                <w:sz w:val="24"/>
                <w:szCs w:val="24"/>
              </w:rPr>
              <w:t>27.46</w:t>
            </w:r>
          </w:p>
        </w:tc>
        <w:tc>
          <w:tcPr>
            <w:tcW w:w="1313" w:type="pct"/>
            <w:tcBorders>
              <w:tl2br w:val="nil"/>
              <w:tr2bl w:val="nil"/>
            </w:tcBorders>
            <w:vAlign w:val="center"/>
          </w:tcPr>
          <w:p>
            <w:pPr>
              <w:spacing w:line="360" w:lineRule="exact"/>
              <w:jc w:val="center"/>
              <w:rPr>
                <w:rFonts w:ascii="仿宋" w:hAnsi="仿宋" w:eastAsia="仿宋" w:cs="仿宋"/>
                <w:sz w:val="24"/>
              </w:rPr>
            </w:pPr>
            <w:r>
              <w:rPr>
                <w:rFonts w:hint="eastAsia" w:ascii="仿宋" w:hAnsi="仿宋" w:eastAsia="仿宋" w:cs="仿宋"/>
                <w:sz w:val="24"/>
                <w:szCs w:val="24"/>
              </w:rPr>
              <w:t>142.16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tcBorders>
              <w:tl2br w:val="nil"/>
              <w:tr2bl w:val="nil"/>
            </w:tcBorders>
            <w:vAlign w:val="center"/>
          </w:tcPr>
          <w:p>
            <w:pPr>
              <w:spacing w:line="360" w:lineRule="exact"/>
              <w:jc w:val="center"/>
              <w:rPr>
                <w:rFonts w:ascii="仿宋" w:hAnsi="仿宋" w:eastAsia="仿宋" w:cs="仿宋"/>
                <w:sz w:val="24"/>
              </w:rPr>
            </w:pPr>
            <w:r>
              <w:rPr>
                <w:rFonts w:hint="eastAsia" w:ascii="仿宋" w:hAnsi="仿宋" w:eastAsia="仿宋" w:cs="仿宋"/>
                <w:sz w:val="24"/>
                <w:szCs w:val="24"/>
              </w:rPr>
              <w:t>2019</w:t>
            </w:r>
          </w:p>
        </w:tc>
        <w:tc>
          <w:tcPr>
            <w:tcW w:w="1418" w:type="pct"/>
            <w:tcBorders>
              <w:tl2br w:val="nil"/>
              <w:tr2bl w:val="nil"/>
            </w:tcBorders>
            <w:vAlign w:val="center"/>
          </w:tcPr>
          <w:p>
            <w:pPr>
              <w:spacing w:line="360" w:lineRule="exact"/>
              <w:jc w:val="center"/>
              <w:rPr>
                <w:rFonts w:ascii="仿宋" w:hAnsi="仿宋" w:eastAsia="仿宋" w:cs="仿宋"/>
                <w:sz w:val="24"/>
              </w:rPr>
            </w:pPr>
            <w:r>
              <w:rPr>
                <w:rFonts w:hint="eastAsia" w:ascii="仿宋" w:hAnsi="仿宋" w:eastAsia="仿宋" w:cs="仿宋"/>
                <w:sz w:val="24"/>
                <w:szCs w:val="24"/>
              </w:rPr>
              <w:t>175.28</w:t>
            </w:r>
          </w:p>
        </w:tc>
        <w:tc>
          <w:tcPr>
            <w:tcW w:w="1495" w:type="pct"/>
            <w:tcBorders>
              <w:tl2br w:val="nil"/>
              <w:tr2bl w:val="nil"/>
            </w:tcBorders>
            <w:vAlign w:val="center"/>
          </w:tcPr>
          <w:p>
            <w:pPr>
              <w:spacing w:line="360" w:lineRule="exact"/>
              <w:jc w:val="center"/>
              <w:rPr>
                <w:rFonts w:ascii="仿宋" w:hAnsi="仿宋" w:eastAsia="仿宋" w:cs="仿宋"/>
                <w:sz w:val="24"/>
              </w:rPr>
            </w:pPr>
            <w:r>
              <w:rPr>
                <w:rFonts w:hint="eastAsia" w:ascii="仿宋" w:hAnsi="仿宋" w:eastAsia="仿宋" w:cs="仿宋"/>
                <w:sz w:val="24"/>
                <w:szCs w:val="24"/>
              </w:rPr>
              <w:t>21.80</w:t>
            </w:r>
          </w:p>
        </w:tc>
        <w:tc>
          <w:tcPr>
            <w:tcW w:w="1313" w:type="pct"/>
            <w:tcBorders>
              <w:tl2br w:val="nil"/>
              <w:tr2bl w:val="nil"/>
            </w:tcBorders>
            <w:vAlign w:val="center"/>
          </w:tcPr>
          <w:p>
            <w:pPr>
              <w:spacing w:line="360" w:lineRule="exact"/>
              <w:jc w:val="center"/>
              <w:rPr>
                <w:rFonts w:ascii="仿宋" w:hAnsi="仿宋" w:eastAsia="仿宋" w:cs="仿宋"/>
                <w:sz w:val="24"/>
              </w:rPr>
            </w:pPr>
            <w:r>
              <w:rPr>
                <w:rFonts w:hint="eastAsia" w:ascii="仿宋" w:hAnsi="仿宋" w:eastAsia="仿宋" w:cs="仿宋"/>
                <w:sz w:val="24"/>
                <w:szCs w:val="24"/>
              </w:rPr>
              <w:t>153.47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pct"/>
            <w:tcBorders>
              <w:tl2br w:val="nil"/>
              <w:tr2bl w:val="nil"/>
            </w:tcBorders>
            <w:vAlign w:val="center"/>
          </w:tcPr>
          <w:p>
            <w:pPr>
              <w:spacing w:line="360" w:lineRule="exact"/>
              <w:jc w:val="center"/>
              <w:rPr>
                <w:rFonts w:ascii="仿宋" w:hAnsi="仿宋" w:eastAsia="仿宋" w:cs="仿宋"/>
                <w:sz w:val="24"/>
              </w:rPr>
            </w:pPr>
            <w:r>
              <w:rPr>
                <w:rFonts w:hint="eastAsia" w:ascii="仿宋" w:hAnsi="仿宋" w:eastAsia="仿宋" w:cs="仿宋"/>
                <w:sz w:val="24"/>
                <w:szCs w:val="24"/>
              </w:rPr>
              <w:t>2020</w:t>
            </w:r>
          </w:p>
        </w:tc>
        <w:tc>
          <w:tcPr>
            <w:tcW w:w="1418" w:type="pct"/>
            <w:tcBorders>
              <w:tl2br w:val="nil"/>
              <w:tr2bl w:val="nil"/>
            </w:tcBorders>
            <w:vAlign w:val="center"/>
          </w:tcPr>
          <w:p>
            <w:pPr>
              <w:spacing w:line="360" w:lineRule="exact"/>
              <w:jc w:val="center"/>
              <w:rPr>
                <w:rFonts w:ascii="仿宋" w:hAnsi="仿宋" w:eastAsia="仿宋" w:cs="仿宋"/>
                <w:sz w:val="24"/>
              </w:rPr>
            </w:pPr>
            <w:r>
              <w:rPr>
                <w:rFonts w:hint="eastAsia" w:ascii="仿宋" w:hAnsi="仿宋" w:eastAsia="仿宋" w:cs="仿宋"/>
                <w:sz w:val="24"/>
                <w:szCs w:val="24"/>
              </w:rPr>
              <w:t>128.60</w:t>
            </w:r>
          </w:p>
        </w:tc>
        <w:tc>
          <w:tcPr>
            <w:tcW w:w="1495" w:type="pct"/>
            <w:tcBorders>
              <w:tl2br w:val="nil"/>
              <w:tr2bl w:val="nil"/>
            </w:tcBorders>
            <w:vAlign w:val="center"/>
          </w:tcPr>
          <w:p>
            <w:pPr>
              <w:spacing w:line="360" w:lineRule="exact"/>
              <w:jc w:val="center"/>
              <w:rPr>
                <w:rFonts w:ascii="仿宋" w:hAnsi="仿宋" w:eastAsia="仿宋" w:cs="仿宋"/>
                <w:sz w:val="24"/>
              </w:rPr>
            </w:pPr>
            <w:r>
              <w:rPr>
                <w:rFonts w:hint="eastAsia" w:ascii="仿宋" w:hAnsi="仿宋" w:eastAsia="仿宋" w:cs="仿宋"/>
                <w:sz w:val="24"/>
                <w:szCs w:val="24"/>
              </w:rPr>
              <w:t>26.7</w:t>
            </w:r>
          </w:p>
        </w:tc>
        <w:tc>
          <w:tcPr>
            <w:tcW w:w="1313" w:type="pct"/>
            <w:tcBorders>
              <w:tl2br w:val="nil"/>
              <w:tr2bl w:val="nil"/>
            </w:tcBorders>
            <w:vAlign w:val="center"/>
          </w:tcPr>
          <w:p>
            <w:pPr>
              <w:spacing w:line="360" w:lineRule="exact"/>
              <w:jc w:val="center"/>
              <w:rPr>
                <w:rFonts w:ascii="仿宋" w:hAnsi="仿宋" w:eastAsia="仿宋" w:cs="仿宋"/>
                <w:sz w:val="24"/>
              </w:rPr>
            </w:pPr>
            <w:r>
              <w:rPr>
                <w:rFonts w:hint="eastAsia" w:ascii="仿宋" w:hAnsi="仿宋" w:eastAsia="仿宋" w:cs="仿宋"/>
                <w:sz w:val="24"/>
                <w:szCs w:val="24"/>
              </w:rPr>
              <w:t>101.9</w:t>
            </w:r>
          </w:p>
        </w:tc>
      </w:tr>
    </w:tbl>
    <w:p>
      <w:pPr>
        <w:widowControl/>
        <w:spacing w:line="560" w:lineRule="exact"/>
        <w:ind w:firstLine="612" w:firstLineChars="200"/>
        <w:jc w:val="left"/>
        <w:rPr>
          <w:rFonts w:ascii="仿宋" w:hAnsi="仿宋" w:eastAsia="仿宋" w:cs="仿宋"/>
        </w:rPr>
      </w:pPr>
      <w:r>
        <w:rPr>
          <w:rFonts w:hint="eastAsia" w:ascii="仿宋_GB2312" w:hAnsi="仿宋_GB2312" w:cs="仿宋_GB2312"/>
          <w:spacing w:val="-7"/>
          <w:kern w:val="0"/>
          <w:lang w:bidi="zh-CN"/>
        </w:rPr>
        <w:t>招商引资迈上新台阶。</w:t>
      </w:r>
      <w:r>
        <w:rPr>
          <w:rFonts w:hint="eastAsia" w:ascii="仿宋" w:hAnsi="仿宋" w:eastAsia="仿宋" w:cs="仿宋"/>
        </w:rPr>
        <w:t>实际利用外资规模不断扩大。“十三五”期间累计实际利用外资31.41亿美元，是“十二五”期间的1.24倍；2020年实际利用外资6.88亿美元，是2015年的1.14倍。利用结构逐步优化，利用水平得到整体提升。新材料、电子信息、新能源等新兴产业成为外来投资热点，贸易结构优化和产业结构升级协同发展。</w:t>
      </w:r>
    </w:p>
    <w:tbl>
      <w:tblPr>
        <w:tblStyle w:val="27"/>
        <w:tblW w:w="49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4598"/>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000" w:type="pct"/>
            <w:gridSpan w:val="3"/>
            <w:tcBorders>
              <w:tl2br w:val="nil"/>
              <w:tr2bl w:val="nil"/>
            </w:tcBorders>
          </w:tcPr>
          <w:p>
            <w:pPr>
              <w:pStyle w:val="66"/>
              <w:spacing w:line="400" w:lineRule="exact"/>
              <w:ind w:firstLine="0" w:firstLineChars="0"/>
              <w:rPr>
                <w:rFonts w:ascii="黑体" w:eastAsia="黑体"/>
                <w:sz w:val="24"/>
                <w:lang w:val="en-US"/>
              </w:rPr>
            </w:pPr>
            <w:r>
              <w:rPr>
                <w:rFonts w:hint="eastAsia" w:ascii="黑体" w:hAnsi="黑体" w:eastAsia="黑体"/>
                <w:sz w:val="28"/>
              </w:rPr>
              <w:t>表 1-2：2016-2020年外商和港澳台商在宛直接投资额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9" w:type="pct"/>
            <w:tcBorders>
              <w:tl2br w:val="nil"/>
              <w:tr2bl w:val="nil"/>
            </w:tcBorders>
          </w:tcPr>
          <w:p>
            <w:pPr>
              <w:pStyle w:val="66"/>
              <w:spacing w:line="400" w:lineRule="exact"/>
              <w:ind w:firstLine="0" w:firstLineChars="0"/>
              <w:rPr>
                <w:rFonts w:ascii="黑体" w:eastAsia="黑体"/>
                <w:sz w:val="24"/>
                <w:lang w:val="en-US"/>
              </w:rPr>
            </w:pPr>
            <w:r>
              <w:rPr>
                <w:rFonts w:hint="eastAsia" w:ascii="黑体" w:eastAsia="黑体"/>
                <w:sz w:val="24"/>
                <w:lang w:val="en-US"/>
              </w:rPr>
              <w:t>年份</w:t>
            </w:r>
          </w:p>
        </w:tc>
        <w:tc>
          <w:tcPr>
            <w:tcW w:w="2613" w:type="pct"/>
            <w:tcBorders>
              <w:tl2br w:val="nil"/>
              <w:tr2bl w:val="nil"/>
            </w:tcBorders>
          </w:tcPr>
          <w:p>
            <w:pPr>
              <w:pStyle w:val="66"/>
              <w:spacing w:line="400" w:lineRule="exact"/>
              <w:ind w:firstLine="0" w:firstLineChars="0"/>
              <w:rPr>
                <w:rFonts w:ascii="黑体" w:eastAsia="黑体"/>
                <w:sz w:val="24"/>
                <w:lang w:val="en-US"/>
              </w:rPr>
            </w:pPr>
            <w:r>
              <w:rPr>
                <w:rFonts w:hint="eastAsia" w:ascii="黑体" w:eastAsia="黑体"/>
                <w:sz w:val="24"/>
                <w:lang w:val="en-US"/>
              </w:rPr>
              <w:t>实际利用外资（亿美元）</w:t>
            </w:r>
          </w:p>
        </w:tc>
        <w:tc>
          <w:tcPr>
            <w:tcW w:w="1437" w:type="pct"/>
            <w:tcBorders>
              <w:tl2br w:val="nil"/>
              <w:tr2bl w:val="nil"/>
            </w:tcBorders>
          </w:tcPr>
          <w:p>
            <w:pPr>
              <w:pStyle w:val="66"/>
              <w:spacing w:line="400" w:lineRule="exact"/>
              <w:ind w:firstLine="0" w:firstLineChars="0"/>
              <w:rPr>
                <w:rFonts w:ascii="黑体" w:eastAsia="黑体"/>
                <w:sz w:val="24"/>
                <w:lang w:val="en-US"/>
              </w:rPr>
            </w:pPr>
            <w:r>
              <w:rPr>
                <w:rFonts w:hint="eastAsia" w:ascii="黑体" w:eastAsia="黑体"/>
                <w:sz w:val="24"/>
                <w:lang w:val="en-US"/>
              </w:rPr>
              <w:t>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49" w:type="pct"/>
            <w:tcBorders>
              <w:tl2br w:val="nil"/>
              <w:tr2bl w:val="nil"/>
            </w:tcBorders>
          </w:tcPr>
          <w:p>
            <w:pPr>
              <w:spacing w:line="400" w:lineRule="exact"/>
              <w:jc w:val="center"/>
              <w:rPr>
                <w:rFonts w:ascii="仿宋" w:hAnsi="仿宋" w:eastAsia="仿宋" w:cs="仿宋"/>
                <w:sz w:val="24"/>
              </w:rPr>
            </w:pPr>
            <w:r>
              <w:rPr>
                <w:rFonts w:hint="eastAsia" w:ascii="仿宋" w:hAnsi="仿宋" w:eastAsia="仿宋" w:cs="仿宋"/>
                <w:sz w:val="24"/>
                <w:szCs w:val="24"/>
              </w:rPr>
              <w:t>2016</w:t>
            </w:r>
          </w:p>
        </w:tc>
        <w:tc>
          <w:tcPr>
            <w:tcW w:w="2613" w:type="pct"/>
            <w:tcBorders>
              <w:tl2br w:val="nil"/>
              <w:tr2bl w:val="nil"/>
            </w:tcBorders>
          </w:tcPr>
          <w:p>
            <w:pPr>
              <w:spacing w:line="400" w:lineRule="exact"/>
              <w:jc w:val="center"/>
              <w:rPr>
                <w:rFonts w:ascii="仿宋" w:hAnsi="仿宋" w:eastAsia="仿宋" w:cs="仿宋"/>
                <w:sz w:val="24"/>
              </w:rPr>
            </w:pPr>
            <w:r>
              <w:rPr>
                <w:rFonts w:hint="eastAsia" w:ascii="仿宋" w:hAnsi="仿宋" w:eastAsia="仿宋" w:cs="仿宋"/>
                <w:sz w:val="24"/>
                <w:szCs w:val="24"/>
              </w:rPr>
              <w:t>5.87</w:t>
            </w:r>
          </w:p>
        </w:tc>
        <w:tc>
          <w:tcPr>
            <w:tcW w:w="1437" w:type="pct"/>
            <w:tcBorders>
              <w:tl2br w:val="nil"/>
              <w:tr2bl w:val="nil"/>
            </w:tcBorders>
          </w:tcPr>
          <w:p>
            <w:pPr>
              <w:spacing w:line="400" w:lineRule="exact"/>
              <w:jc w:val="center"/>
              <w:rPr>
                <w:rFonts w:ascii="仿宋" w:hAnsi="仿宋" w:eastAsia="仿宋" w:cs="仿宋"/>
                <w:sz w:val="24"/>
              </w:rPr>
            </w:pPr>
            <w:r>
              <w:rPr>
                <w:rFonts w:hint="eastAsia" w:ascii="仿宋" w:hAnsi="仿宋" w:eastAsia="仿宋" w:cs="仿宋"/>
                <w:sz w:val="24"/>
                <w:szCs w:val="24"/>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9" w:type="pct"/>
            <w:tcBorders>
              <w:tl2br w:val="nil"/>
              <w:tr2bl w:val="nil"/>
            </w:tcBorders>
          </w:tcPr>
          <w:p>
            <w:pPr>
              <w:spacing w:line="400" w:lineRule="exact"/>
              <w:jc w:val="center"/>
              <w:rPr>
                <w:rFonts w:ascii="仿宋" w:hAnsi="仿宋" w:eastAsia="仿宋" w:cs="仿宋"/>
                <w:sz w:val="24"/>
              </w:rPr>
            </w:pPr>
            <w:r>
              <w:rPr>
                <w:rFonts w:hint="eastAsia" w:ascii="仿宋" w:hAnsi="仿宋" w:eastAsia="仿宋" w:cs="仿宋"/>
                <w:sz w:val="24"/>
                <w:szCs w:val="24"/>
              </w:rPr>
              <w:t>2017</w:t>
            </w:r>
          </w:p>
        </w:tc>
        <w:tc>
          <w:tcPr>
            <w:tcW w:w="2613" w:type="pct"/>
            <w:tcBorders>
              <w:tl2br w:val="nil"/>
              <w:tr2bl w:val="nil"/>
            </w:tcBorders>
          </w:tcPr>
          <w:p>
            <w:pPr>
              <w:spacing w:line="400" w:lineRule="exact"/>
              <w:jc w:val="center"/>
              <w:rPr>
                <w:rFonts w:ascii="仿宋" w:hAnsi="仿宋" w:eastAsia="仿宋" w:cs="仿宋"/>
                <w:sz w:val="24"/>
              </w:rPr>
            </w:pPr>
            <w:r>
              <w:rPr>
                <w:rFonts w:hint="eastAsia" w:ascii="仿宋" w:hAnsi="仿宋" w:eastAsia="仿宋" w:cs="仿宋"/>
                <w:sz w:val="24"/>
                <w:szCs w:val="24"/>
              </w:rPr>
              <w:t>5.87</w:t>
            </w:r>
          </w:p>
        </w:tc>
        <w:tc>
          <w:tcPr>
            <w:tcW w:w="1437" w:type="pct"/>
            <w:tcBorders>
              <w:tl2br w:val="nil"/>
              <w:tr2bl w:val="nil"/>
            </w:tcBorders>
          </w:tcPr>
          <w:p>
            <w:pPr>
              <w:spacing w:line="400" w:lineRule="exact"/>
              <w:jc w:val="center"/>
              <w:rPr>
                <w:rFonts w:ascii="仿宋" w:hAnsi="仿宋" w:eastAsia="仿宋" w:cs="仿宋"/>
                <w:sz w:val="24"/>
              </w:rPr>
            </w:pPr>
            <w:r>
              <w:rPr>
                <w:rFonts w:hint="eastAsia" w:ascii="仿宋" w:hAnsi="仿宋" w:eastAsia="仿宋" w:cs="仿宋"/>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9" w:type="pct"/>
            <w:tcBorders>
              <w:tl2br w:val="nil"/>
              <w:tr2bl w:val="nil"/>
            </w:tcBorders>
          </w:tcPr>
          <w:p>
            <w:pPr>
              <w:spacing w:line="400" w:lineRule="exact"/>
              <w:jc w:val="center"/>
              <w:rPr>
                <w:rFonts w:ascii="仿宋" w:hAnsi="仿宋" w:eastAsia="仿宋" w:cs="仿宋"/>
                <w:sz w:val="24"/>
              </w:rPr>
            </w:pPr>
            <w:r>
              <w:rPr>
                <w:rFonts w:hint="eastAsia" w:ascii="仿宋" w:hAnsi="仿宋" w:eastAsia="仿宋" w:cs="仿宋"/>
                <w:sz w:val="24"/>
                <w:szCs w:val="24"/>
              </w:rPr>
              <w:t>2018</w:t>
            </w:r>
          </w:p>
        </w:tc>
        <w:tc>
          <w:tcPr>
            <w:tcW w:w="2613" w:type="pct"/>
            <w:tcBorders>
              <w:tl2br w:val="nil"/>
              <w:tr2bl w:val="nil"/>
            </w:tcBorders>
          </w:tcPr>
          <w:p>
            <w:pPr>
              <w:spacing w:line="400" w:lineRule="exact"/>
              <w:jc w:val="center"/>
              <w:rPr>
                <w:rFonts w:ascii="仿宋" w:hAnsi="仿宋" w:eastAsia="仿宋" w:cs="仿宋"/>
                <w:sz w:val="24"/>
              </w:rPr>
            </w:pPr>
            <w:r>
              <w:rPr>
                <w:rFonts w:hint="eastAsia" w:ascii="仿宋" w:hAnsi="仿宋" w:eastAsia="仿宋" w:cs="仿宋"/>
                <w:sz w:val="24"/>
                <w:szCs w:val="24"/>
              </w:rPr>
              <w:t>6.26</w:t>
            </w:r>
          </w:p>
        </w:tc>
        <w:tc>
          <w:tcPr>
            <w:tcW w:w="1437" w:type="pct"/>
            <w:tcBorders>
              <w:tl2br w:val="nil"/>
              <w:tr2bl w:val="nil"/>
            </w:tcBorders>
          </w:tcPr>
          <w:p>
            <w:pPr>
              <w:spacing w:line="400" w:lineRule="exact"/>
              <w:jc w:val="center"/>
              <w:rPr>
                <w:rFonts w:ascii="仿宋" w:hAnsi="仿宋" w:eastAsia="仿宋" w:cs="仿宋"/>
                <w:sz w:val="24"/>
              </w:rPr>
            </w:pPr>
            <w:r>
              <w:rPr>
                <w:rFonts w:hint="eastAsia" w:ascii="仿宋" w:hAnsi="仿宋" w:eastAsia="仿宋" w:cs="仿宋"/>
                <w:sz w:val="24"/>
                <w:szCs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49" w:type="pct"/>
            <w:tcBorders>
              <w:tl2br w:val="nil"/>
              <w:tr2bl w:val="nil"/>
            </w:tcBorders>
          </w:tcPr>
          <w:p>
            <w:pPr>
              <w:spacing w:line="400" w:lineRule="exact"/>
              <w:jc w:val="center"/>
              <w:rPr>
                <w:rFonts w:ascii="仿宋" w:hAnsi="仿宋" w:eastAsia="仿宋" w:cs="仿宋"/>
                <w:sz w:val="24"/>
              </w:rPr>
            </w:pPr>
            <w:r>
              <w:rPr>
                <w:rFonts w:hint="eastAsia" w:ascii="仿宋" w:hAnsi="仿宋" w:eastAsia="仿宋" w:cs="仿宋"/>
                <w:sz w:val="24"/>
                <w:szCs w:val="24"/>
              </w:rPr>
              <w:t>2019</w:t>
            </w:r>
          </w:p>
        </w:tc>
        <w:tc>
          <w:tcPr>
            <w:tcW w:w="2613" w:type="pct"/>
            <w:tcBorders>
              <w:tl2br w:val="nil"/>
              <w:tr2bl w:val="nil"/>
            </w:tcBorders>
          </w:tcPr>
          <w:p>
            <w:pPr>
              <w:spacing w:line="400" w:lineRule="exact"/>
              <w:jc w:val="center"/>
              <w:rPr>
                <w:rFonts w:ascii="仿宋" w:hAnsi="仿宋" w:eastAsia="仿宋" w:cs="仿宋"/>
                <w:sz w:val="24"/>
              </w:rPr>
            </w:pPr>
            <w:r>
              <w:rPr>
                <w:rFonts w:hint="eastAsia" w:ascii="仿宋" w:hAnsi="仿宋" w:eastAsia="仿宋" w:cs="仿宋"/>
                <w:sz w:val="24"/>
                <w:szCs w:val="24"/>
              </w:rPr>
              <w:t>6.53</w:t>
            </w:r>
          </w:p>
        </w:tc>
        <w:tc>
          <w:tcPr>
            <w:tcW w:w="1437" w:type="pct"/>
            <w:tcBorders>
              <w:tl2br w:val="nil"/>
              <w:tr2bl w:val="nil"/>
            </w:tcBorders>
          </w:tcPr>
          <w:p>
            <w:pPr>
              <w:spacing w:line="400" w:lineRule="exact"/>
              <w:jc w:val="center"/>
              <w:rPr>
                <w:rFonts w:ascii="仿宋" w:hAnsi="仿宋" w:eastAsia="仿宋" w:cs="仿宋"/>
                <w:sz w:val="24"/>
              </w:rPr>
            </w:pPr>
            <w:r>
              <w:rPr>
                <w:rFonts w:hint="eastAsia" w:ascii="仿宋" w:hAnsi="仿宋" w:eastAsia="仿宋" w:cs="仿宋"/>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49" w:type="pct"/>
            <w:tcBorders>
              <w:tl2br w:val="nil"/>
              <w:tr2bl w:val="nil"/>
            </w:tcBorders>
          </w:tcPr>
          <w:p>
            <w:pPr>
              <w:spacing w:line="400" w:lineRule="exact"/>
              <w:jc w:val="center"/>
              <w:rPr>
                <w:rFonts w:ascii="仿宋" w:hAnsi="仿宋" w:eastAsia="仿宋" w:cs="仿宋"/>
                <w:sz w:val="24"/>
              </w:rPr>
            </w:pPr>
            <w:r>
              <w:rPr>
                <w:rFonts w:hint="eastAsia" w:ascii="仿宋" w:hAnsi="仿宋" w:eastAsia="仿宋" w:cs="仿宋"/>
                <w:sz w:val="24"/>
                <w:szCs w:val="24"/>
              </w:rPr>
              <w:t>2020</w:t>
            </w:r>
          </w:p>
        </w:tc>
        <w:tc>
          <w:tcPr>
            <w:tcW w:w="2613" w:type="pct"/>
            <w:tcBorders>
              <w:tl2br w:val="nil"/>
              <w:tr2bl w:val="nil"/>
            </w:tcBorders>
          </w:tcPr>
          <w:p>
            <w:pPr>
              <w:spacing w:line="400" w:lineRule="exact"/>
              <w:jc w:val="center"/>
              <w:rPr>
                <w:rFonts w:ascii="仿宋" w:hAnsi="仿宋" w:eastAsia="仿宋" w:cs="仿宋"/>
                <w:sz w:val="24"/>
              </w:rPr>
            </w:pPr>
            <w:r>
              <w:rPr>
                <w:rFonts w:hint="eastAsia" w:ascii="仿宋" w:hAnsi="仿宋" w:eastAsia="仿宋" w:cs="仿宋"/>
                <w:sz w:val="24"/>
                <w:szCs w:val="24"/>
              </w:rPr>
              <w:t>6.88</w:t>
            </w:r>
          </w:p>
        </w:tc>
        <w:tc>
          <w:tcPr>
            <w:tcW w:w="1437" w:type="pct"/>
            <w:tcBorders>
              <w:tl2br w:val="nil"/>
              <w:tr2bl w:val="nil"/>
            </w:tcBorders>
          </w:tcPr>
          <w:p>
            <w:pPr>
              <w:spacing w:line="400" w:lineRule="exact"/>
              <w:jc w:val="center"/>
              <w:rPr>
                <w:rFonts w:ascii="仿宋" w:hAnsi="仿宋" w:eastAsia="仿宋" w:cs="仿宋"/>
                <w:sz w:val="24"/>
              </w:rPr>
            </w:pPr>
            <w:r>
              <w:rPr>
                <w:rFonts w:hint="eastAsia" w:ascii="仿宋" w:hAnsi="仿宋" w:eastAsia="仿宋" w:cs="仿宋"/>
                <w:sz w:val="24"/>
                <w:szCs w:val="24"/>
              </w:rPr>
              <w:t>5.4</w:t>
            </w:r>
          </w:p>
        </w:tc>
      </w:tr>
    </w:tbl>
    <w:p>
      <w:pPr>
        <w:widowControl/>
        <w:spacing w:line="560" w:lineRule="exact"/>
        <w:ind w:firstLine="612" w:firstLineChars="200"/>
        <w:jc w:val="left"/>
      </w:pPr>
      <w:r>
        <w:rPr>
          <w:rFonts w:hint="eastAsia" w:ascii="仿宋_GB2312" w:hAnsi="仿宋_GB2312" w:cs="仿宋_GB2312"/>
          <w:spacing w:val="-7"/>
          <w:kern w:val="0"/>
          <w:lang w:bidi="zh-CN"/>
        </w:rPr>
        <w:t>对外投资合作有序发展。</w:t>
      </w:r>
      <w:r>
        <w:rPr>
          <w:rFonts w:hint="eastAsia" w:ascii="仿宋" w:hAnsi="仿宋" w:eastAsia="仿宋" w:cs="仿宋"/>
        </w:rPr>
        <w:t>南阳木兰花实业有限公司乌兹别克斯坦安集延纺织园区、南阳淅减汽车减振器有限公司意大利淅减中意工业园区被商务部纳入境外经贸合作区统计范围。南阳纺织、建材、装备制造、汽车零部件、机电等产业境外投资合作持续深化。市场主体对外直接投资更趋成熟，企业国际经营能力显著提升。“十三五”期间我市对外直接投资中方协议投资额达到1.73亿美元。我市实际开展对外投资业务的企业13家，主要集中在香港、乌兹别克斯坦、澳大利亚等17个国家和地区，对外劳务合作企业1家。</w:t>
      </w:r>
    </w:p>
    <w:p>
      <w:pPr>
        <w:widowControl/>
        <w:spacing w:line="560" w:lineRule="exact"/>
        <w:ind w:firstLine="612" w:firstLineChars="200"/>
        <w:jc w:val="left"/>
        <w:rPr>
          <w:rFonts w:ascii="仿宋" w:hAnsi="仿宋" w:eastAsia="仿宋" w:cs="仿宋"/>
        </w:rPr>
      </w:pPr>
      <w:r>
        <w:rPr>
          <w:rFonts w:hint="eastAsia" w:ascii="仿宋_GB2312" w:hAnsi="仿宋_GB2312" w:cs="仿宋_GB2312"/>
          <w:spacing w:val="-7"/>
          <w:kern w:val="0"/>
          <w:lang w:bidi="zh-CN"/>
        </w:rPr>
        <w:t>开放制度环境显著优化。</w:t>
      </w:r>
      <w:r>
        <w:rPr>
          <w:rFonts w:hint="eastAsia" w:ascii="仿宋" w:hAnsi="仿宋" w:eastAsia="仿宋" w:cs="仿宋"/>
        </w:rPr>
        <w:t>积极突破内陆城市思维定势，深入推进开放型经济体制改革，不断完善开放型经济发展政策措施。创新外商投资管理体制，构建外商投资全流程服务体系，建立健全外商投资企业服务官机制、投诉协调机制、交流合作机制等。大力优化营商环境，出台实施《南阳市优化营商环境激发民间有效投资活力实施方案》《贯彻落实&lt;河南省优化营商环境条例&gt;实施方案》。2020年南阳在全省营商环境评价中位居第10名，进步幅度全省最大；淅川县、新野县、方城县、唐河县4个县排名全省104个县（市）前30名。加速推进出口通关改革，实施“一次申报、一次查验、一次放行”一站式检验检疫监管，整体出口平均通关时长大幅压缩。积极探索跨境电商新模式，“9610”“9810”等业务出口模式顺利通关放行。</w:t>
      </w:r>
    </w:p>
    <w:p>
      <w:pPr>
        <w:widowControl/>
        <w:spacing w:line="560" w:lineRule="exact"/>
        <w:ind w:firstLine="612" w:firstLineChars="200"/>
        <w:jc w:val="left"/>
        <w:rPr>
          <w:rFonts w:ascii="仿宋" w:hAnsi="仿宋" w:eastAsia="仿宋" w:cs="仿宋"/>
        </w:rPr>
      </w:pPr>
      <w:bookmarkStart w:id="1612" w:name="_Toc21591"/>
      <w:bookmarkStart w:id="1613" w:name="_Toc27704"/>
      <w:bookmarkStart w:id="1614" w:name="_Toc20247"/>
      <w:bookmarkStart w:id="1615" w:name="_Toc6714"/>
      <w:bookmarkStart w:id="1616" w:name="_Toc5007"/>
      <w:r>
        <w:rPr>
          <w:rFonts w:hint="eastAsia" w:ascii="仿宋_GB2312" w:hAnsi="仿宋_GB2312" w:cs="仿宋_GB2312"/>
          <w:spacing w:val="-7"/>
          <w:kern w:val="0"/>
          <w:lang w:bidi="zh-CN"/>
        </w:rPr>
        <w:t>创新步伐不断加快</w:t>
      </w:r>
      <w:bookmarkEnd w:id="1612"/>
      <w:bookmarkEnd w:id="1613"/>
      <w:bookmarkEnd w:id="1614"/>
      <w:bookmarkEnd w:id="1615"/>
      <w:bookmarkEnd w:id="1616"/>
      <w:r>
        <w:rPr>
          <w:rFonts w:hint="eastAsia" w:ascii="仿宋_GB2312" w:hAnsi="仿宋_GB2312" w:cs="仿宋_GB2312"/>
          <w:spacing w:val="-7"/>
          <w:kern w:val="0"/>
          <w:lang w:bidi="zh-CN"/>
        </w:rPr>
        <w:t>。</w:t>
      </w:r>
      <w:r>
        <w:rPr>
          <w:rFonts w:hint="eastAsia" w:ascii="仿宋" w:hAnsi="仿宋" w:eastAsia="仿宋" w:cs="仿宋"/>
        </w:rPr>
        <w:t>企业创新意识不断增强，一批科技含量高、市场前景好、经济效益优的项目“平地起谷堆”，一批百亿级产业集群正在发展壮大，装备制造、绿色食品产业向千亿级规模迈进。一批民营企业通过创新驱动迅速崛起，牧原集团、龙成集团跻身中国民营企业500强，12家企业进入河南民营企业100强，4家企业成功上市，上市企业总计达10家。五年累计发放科技贷款贴息、兑现科技创新券6.7亿元。省级以上科技创新平台达到200家、基本实现大中型企业全覆盖，高新技术企业达264家、总量是五年前的近5倍，科技型中小企业达1130家，实施省级以上科技项目469项，高新技术产业增加值占规上工业比重从31.4%提高到50%以上，成功创建国家创新型城市、国家知识产权示范城市。</w:t>
      </w:r>
    </w:p>
    <w:p>
      <w:pPr>
        <w:widowControl/>
        <w:spacing w:line="560" w:lineRule="exact"/>
        <w:ind w:firstLine="612" w:firstLineChars="200"/>
        <w:jc w:val="left"/>
        <w:rPr>
          <w:rFonts w:ascii="仿宋" w:hAnsi="仿宋" w:eastAsia="仿宋" w:cs="仿宋"/>
        </w:rPr>
      </w:pPr>
      <w:bookmarkStart w:id="1617" w:name="_Toc30621"/>
      <w:bookmarkStart w:id="1618" w:name="_Toc14104"/>
      <w:bookmarkStart w:id="1619" w:name="_Toc16730"/>
      <w:bookmarkStart w:id="1620" w:name="_Toc11321"/>
      <w:bookmarkStart w:id="1621" w:name="_Toc1719"/>
      <w:r>
        <w:rPr>
          <w:rFonts w:hint="eastAsia" w:ascii="仿宋_GB2312" w:hAnsi="仿宋_GB2312" w:cs="仿宋_GB2312"/>
          <w:spacing w:val="-7"/>
          <w:kern w:val="0"/>
          <w:lang w:bidi="zh-CN"/>
        </w:rPr>
        <w:t>平台</w:t>
      </w:r>
      <w:bookmarkEnd w:id="1617"/>
      <w:bookmarkEnd w:id="1618"/>
      <w:bookmarkEnd w:id="1619"/>
      <w:bookmarkEnd w:id="1620"/>
      <w:bookmarkEnd w:id="1621"/>
      <w:r>
        <w:rPr>
          <w:rFonts w:hint="eastAsia" w:ascii="仿宋_GB2312" w:hAnsi="仿宋_GB2312" w:cs="仿宋_GB2312"/>
          <w:spacing w:val="-7"/>
          <w:kern w:val="0"/>
          <w:lang w:bidi="zh-CN"/>
        </w:rPr>
        <w:t>载体提档升级。</w:t>
      </w:r>
      <w:r>
        <w:rPr>
          <w:rFonts w:hint="eastAsia" w:ascii="仿宋" w:hAnsi="仿宋" w:eastAsia="仿宋" w:cs="仿宋"/>
        </w:rPr>
        <w:t>2016年12月南阳卧龙综合保税区正式封关运行，是河南省设立的第二个综合保税区，2020年在受新冠肺炎疫情影响的情况下，完成一线进出口总值183684万元，是封关运行前三年总和的1.5倍，发展绩效实现C类向B类的跨越。2020年南阳跨境电商零售进口试点城市和跨境电子商务综合试验区相继获批，是河南省设立的第三个国家级跨境电商试验区，朝着“买全球 卖全球”不断迈进。</w:t>
      </w:r>
      <w:r>
        <w:rPr>
          <w:rFonts w:hint="eastAsia" w:ascii="仿宋" w:hAnsi="仿宋" w:eastAsia="仿宋" w:cs="仿宋"/>
          <w:lang w:val="zh-CN"/>
        </w:rPr>
        <w:t>南</w:t>
      </w:r>
      <w:r>
        <w:rPr>
          <w:rFonts w:hint="eastAsia" w:ascii="仿宋" w:hAnsi="仿宋" w:eastAsia="仿宋" w:cs="仿宋"/>
        </w:rPr>
        <w:t>阳高新技术产业开发区建有国家高新技术创业服务中心、国家火炬南阳防爆装备制造特色产业基地、南阳国家光电高新技术产业化基地、南阳国家防爆装备制造创新型产业集群（试点），被河南省人民政府授予</w:t>
      </w:r>
      <w:r>
        <w:rPr>
          <w:rFonts w:hint="eastAsia" w:ascii="仿宋" w:hAnsi="仿宋" w:eastAsia="仿宋" w:cs="仿宋"/>
          <w:lang w:val="zh-CN"/>
        </w:rPr>
        <w:t>“河</w:t>
      </w:r>
      <w:r>
        <w:rPr>
          <w:rFonts w:hint="eastAsia" w:ascii="仿宋" w:hAnsi="仿宋" w:eastAsia="仿宋" w:cs="仿宋"/>
        </w:rPr>
        <w:t>南省创新型产业集聚区试点”和</w:t>
      </w:r>
      <w:r>
        <w:rPr>
          <w:rFonts w:hint="eastAsia" w:ascii="仿宋" w:hAnsi="仿宋" w:eastAsia="仿宋" w:cs="仿宋"/>
          <w:lang w:val="zh-CN"/>
        </w:rPr>
        <w:t>“河</w:t>
      </w:r>
      <w:r>
        <w:rPr>
          <w:rFonts w:hint="eastAsia" w:ascii="仿宋" w:hAnsi="仿宋" w:eastAsia="仿宋" w:cs="仿宋"/>
        </w:rPr>
        <w:t>南省知识产权优势产业集聚区”，综合竞争实力逐年增强，已成为南阳经济发展的重要引擎。</w:t>
      </w:r>
    </w:p>
    <w:p>
      <w:pPr>
        <w:widowControl/>
        <w:spacing w:line="560" w:lineRule="exact"/>
        <w:ind w:firstLine="612" w:firstLineChars="200"/>
        <w:jc w:val="left"/>
        <w:rPr>
          <w:rFonts w:ascii="仿宋" w:hAnsi="仿宋" w:eastAsia="仿宋" w:cs="仿宋"/>
        </w:rPr>
      </w:pPr>
      <w:r>
        <w:rPr>
          <w:rFonts w:hint="eastAsia" w:ascii="仿宋_GB2312" w:hAnsi="仿宋_GB2312" w:cs="仿宋_GB2312"/>
          <w:spacing w:val="-7"/>
          <w:kern w:val="0"/>
          <w:lang w:bidi="zh-CN"/>
        </w:rPr>
        <w:t>开放通道建设取得突破。</w:t>
      </w:r>
      <w:r>
        <w:rPr>
          <w:rFonts w:hint="eastAsia" w:ascii="仿宋" w:hAnsi="仿宋" w:eastAsia="仿宋" w:cs="仿宋"/>
        </w:rPr>
        <w:t>国际航空物流通道、南阳-青岛港、南阳-宁波舟山港铁海联运线路陆续打通。成功获批省内首家集装箱A型无轨车站。开通至俄罗斯、老挝、越南货运班列。郑渝高铁郑襄段开通运营，南阳进入“高铁时代”，浩吉铁路建成通车、铁路货运能力显著增强。南阳机场航线通航城市达到26个、年旅客吞吐量突破118万人次。周南高速建成通车，高速路网不断加密，通车里程全省第一。唐河航运工程开工建设。累计建成5G基站3184个，县级以上城区实现5G全覆盖。机场迁建、南信合高铁等重大项目前期工作取得积极进展，开放通道进一步拓展。</w:t>
      </w:r>
    </w:p>
    <w:p>
      <w:pPr>
        <w:widowControl/>
        <w:spacing w:line="560" w:lineRule="exact"/>
        <w:ind w:firstLine="612" w:firstLineChars="200"/>
        <w:jc w:val="left"/>
        <w:rPr>
          <w:rFonts w:ascii="仿宋" w:hAnsi="仿宋" w:eastAsia="仿宋" w:cs="仿宋"/>
        </w:rPr>
      </w:pPr>
      <w:r>
        <w:rPr>
          <w:rFonts w:hint="eastAsia" w:ascii="仿宋_GB2312" w:hAnsi="仿宋_GB2312" w:cs="仿宋_GB2312"/>
          <w:spacing w:val="-7"/>
          <w:kern w:val="0"/>
          <w:lang w:bidi="zh-CN"/>
        </w:rPr>
        <w:t>国内外合作空间持续拓展。</w:t>
      </w:r>
      <w:r>
        <w:rPr>
          <w:rFonts w:hint="eastAsia" w:ascii="仿宋" w:hAnsi="仿宋" w:eastAsia="仿宋" w:cs="仿宋"/>
        </w:rPr>
        <w:t>深入实施淮河生态经济带、汉江生态经济带、大别山革命老区振兴、黄河流域生态保护和高质量发展、促进中部地区高质量发展等国家战略；主动对接京津冀、长三角、粤港澳大湾区，开展务实合作。成功举办2019世界月季洲际大会，荣获“世界月季名城”称号。成功举办张仲景医药文化节、玉雕文化节等节会。京宛对口协作持续深化，长效机制不断完善，“十三五”期间累计实施对口协作项目235个，落实协作资金9.6亿元。加强科教文卫、农业等多领域对外合作，已建成5家省级以上国际联合实验室。</w:t>
      </w:r>
    </w:p>
    <w:p>
      <w:pPr>
        <w:widowControl/>
        <w:spacing w:line="560" w:lineRule="exact"/>
        <w:ind w:firstLine="612" w:firstLineChars="200"/>
        <w:jc w:val="left"/>
        <w:rPr>
          <w:rFonts w:ascii="仿宋" w:hAnsi="仿宋" w:eastAsia="仿宋" w:cs="仿宋"/>
        </w:rPr>
      </w:pPr>
      <w:bookmarkStart w:id="1622" w:name="_Toc12080"/>
      <w:bookmarkStart w:id="1623" w:name="_Toc3712"/>
      <w:bookmarkStart w:id="1624" w:name="_Toc4960"/>
      <w:bookmarkStart w:id="1625" w:name="_Toc19786"/>
      <w:bookmarkStart w:id="1626" w:name="_Toc22888"/>
      <w:r>
        <w:rPr>
          <w:rFonts w:hint="eastAsia" w:ascii="仿宋_GB2312" w:hAnsi="仿宋_GB2312" w:cs="仿宋_GB2312"/>
          <w:spacing w:val="-7"/>
          <w:kern w:val="0"/>
          <w:lang w:bidi="zh-CN"/>
        </w:rPr>
        <w:t>商贸业态不断丰富</w:t>
      </w:r>
      <w:bookmarkEnd w:id="1622"/>
      <w:bookmarkEnd w:id="1623"/>
      <w:bookmarkEnd w:id="1624"/>
      <w:bookmarkEnd w:id="1625"/>
      <w:bookmarkEnd w:id="1626"/>
      <w:r>
        <w:rPr>
          <w:rFonts w:hint="eastAsia" w:ascii="仿宋_GB2312" w:hAnsi="仿宋_GB2312" w:cs="仿宋_GB2312"/>
          <w:spacing w:val="-7"/>
          <w:kern w:val="0"/>
          <w:lang w:bidi="zh-CN"/>
        </w:rPr>
        <w:t>。</w:t>
      </w:r>
      <w:r>
        <w:rPr>
          <w:rFonts w:hint="eastAsia" w:ascii="仿宋" w:hAnsi="仿宋" w:eastAsia="仿宋" w:cs="仿宋"/>
        </w:rPr>
        <w:t>“十三五”期间，通过培育消费新热点、发展消费新模式、拓展消费新领域、激活消费新业态，消费市场规模逐步扩大，2020年全市实现社会消费品零售总额1998.73亿元，是2015年的1.42倍，年均增长8.5%。大宗商品交易、连锁经营、物流配送、电子商务等现代流通方式发展迅速，规模化、专业化新业态不断涌现。2018年成功入选商贸服务型国家物流枢纽城市，2020年全市电商销售额达2336.9亿元，跨境电商销售额达85.4亿元，电商销售总量排名居全省第三。</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4604"/>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000" w:type="pct"/>
            <w:gridSpan w:val="3"/>
            <w:tcBorders>
              <w:tl2br w:val="nil"/>
              <w:tr2bl w:val="nil"/>
            </w:tcBorders>
          </w:tcPr>
          <w:p>
            <w:pPr>
              <w:pStyle w:val="25"/>
              <w:spacing w:before="0" w:after="0" w:line="560" w:lineRule="exact"/>
              <w:ind w:firstLine="560"/>
              <w:rPr>
                <w:rFonts w:ascii="黑体" w:hAnsi="仿宋" w:eastAsia="黑体" w:cs="仿宋"/>
                <w:kern w:val="0"/>
                <w:sz w:val="24"/>
                <w:szCs w:val="22"/>
                <w:lang w:bidi="zh-CN"/>
              </w:rPr>
            </w:pPr>
            <w:r>
              <w:rPr>
                <w:rFonts w:hint="eastAsia" w:ascii="黑体" w:hAnsi="黑体" w:eastAsia="黑体" w:cs="仿宋"/>
                <w:b w:val="0"/>
                <w:kern w:val="0"/>
                <w:sz w:val="28"/>
                <w:szCs w:val="22"/>
                <w:lang w:bidi="zh-CN"/>
              </w:rPr>
              <w:t>表 1-3：2016-2020年南阳市社会消费品零售总额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47" w:type="pct"/>
            <w:tcBorders>
              <w:tl2br w:val="nil"/>
              <w:tr2bl w:val="nil"/>
            </w:tcBorders>
          </w:tcPr>
          <w:p>
            <w:pPr>
              <w:pStyle w:val="25"/>
              <w:spacing w:before="0" w:after="0" w:line="400" w:lineRule="exact"/>
              <w:outlineLvl w:val="9"/>
              <w:rPr>
                <w:rFonts w:ascii="黑体" w:hAnsi="仿宋" w:cs="仿宋"/>
                <w:b w:val="0"/>
                <w:kern w:val="0"/>
                <w:sz w:val="24"/>
                <w:szCs w:val="22"/>
                <w:lang w:bidi="zh-CN"/>
              </w:rPr>
            </w:pPr>
            <w:r>
              <w:rPr>
                <w:rFonts w:hint="eastAsia" w:ascii="黑体" w:hAnsi="仿宋" w:eastAsia="黑体" w:cs="仿宋"/>
                <w:b w:val="0"/>
                <w:kern w:val="0"/>
                <w:sz w:val="24"/>
                <w:szCs w:val="22"/>
                <w:lang w:bidi="zh-CN"/>
              </w:rPr>
              <w:t>年份</w:t>
            </w:r>
          </w:p>
        </w:tc>
        <w:tc>
          <w:tcPr>
            <w:tcW w:w="2574" w:type="pct"/>
            <w:tcBorders>
              <w:tl2br w:val="nil"/>
              <w:tr2bl w:val="nil"/>
            </w:tcBorders>
          </w:tcPr>
          <w:p>
            <w:pPr>
              <w:spacing w:line="400" w:lineRule="exact"/>
              <w:jc w:val="center"/>
              <w:rPr>
                <w:rFonts w:ascii="黑体" w:hAnsi="仿宋" w:eastAsia="黑体" w:cs="仿宋"/>
                <w:kern w:val="0"/>
                <w:sz w:val="24"/>
                <w:szCs w:val="22"/>
                <w:lang w:bidi="zh-CN"/>
              </w:rPr>
            </w:pPr>
            <w:r>
              <w:rPr>
                <w:rFonts w:hint="eastAsia" w:ascii="黑体" w:hAnsi="仿宋" w:eastAsia="黑体" w:cs="仿宋"/>
                <w:kern w:val="0"/>
                <w:sz w:val="24"/>
                <w:szCs w:val="22"/>
                <w:lang w:bidi="zh-CN"/>
              </w:rPr>
              <w:t>社会消费品零售总额（亿元）</w:t>
            </w:r>
          </w:p>
        </w:tc>
        <w:tc>
          <w:tcPr>
            <w:tcW w:w="1477" w:type="pct"/>
            <w:tcBorders>
              <w:tl2br w:val="nil"/>
              <w:tr2bl w:val="nil"/>
            </w:tcBorders>
            <w:vAlign w:val="center"/>
          </w:tcPr>
          <w:p>
            <w:pPr>
              <w:spacing w:line="400" w:lineRule="exact"/>
              <w:jc w:val="center"/>
              <w:rPr>
                <w:rFonts w:ascii="黑体" w:hAnsi="仿宋" w:eastAsia="黑体" w:cs="仿宋"/>
                <w:kern w:val="0"/>
                <w:sz w:val="24"/>
                <w:szCs w:val="22"/>
                <w:lang w:bidi="zh-CN"/>
              </w:rPr>
            </w:pPr>
            <w:r>
              <w:rPr>
                <w:rFonts w:hint="eastAsia" w:ascii="黑体" w:hAnsi="仿宋" w:eastAsia="黑体" w:cs="仿宋"/>
                <w:kern w:val="0"/>
                <w:sz w:val="24"/>
                <w:szCs w:val="22"/>
                <w:lang w:bidi="zh-CN"/>
              </w:rPr>
              <w:t>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tcBorders>
              <w:tl2br w:val="nil"/>
              <w:tr2bl w:val="nil"/>
            </w:tcBorders>
          </w:tcPr>
          <w:p>
            <w:pPr>
              <w:spacing w:line="400" w:lineRule="exact"/>
              <w:jc w:val="center"/>
              <w:rPr>
                <w:rFonts w:ascii="仿宋" w:hAnsi="仿宋" w:eastAsia="仿宋" w:cs="仿宋"/>
                <w:sz w:val="24"/>
              </w:rPr>
            </w:pPr>
            <w:r>
              <w:rPr>
                <w:rFonts w:hint="eastAsia" w:ascii="仿宋" w:hAnsi="仿宋" w:eastAsia="仿宋" w:cs="仿宋"/>
                <w:sz w:val="24"/>
                <w:szCs w:val="24"/>
              </w:rPr>
              <w:t>2016</w:t>
            </w:r>
          </w:p>
        </w:tc>
        <w:tc>
          <w:tcPr>
            <w:tcW w:w="2574" w:type="pct"/>
            <w:tcBorders>
              <w:tl2br w:val="nil"/>
              <w:tr2bl w:val="nil"/>
            </w:tcBorders>
          </w:tcPr>
          <w:p>
            <w:pPr>
              <w:spacing w:line="400" w:lineRule="exact"/>
              <w:jc w:val="center"/>
              <w:rPr>
                <w:rFonts w:ascii="仿宋" w:hAnsi="仿宋" w:eastAsia="仿宋" w:cs="仿宋"/>
                <w:sz w:val="24"/>
              </w:rPr>
            </w:pPr>
            <w:r>
              <w:rPr>
                <w:rFonts w:hint="eastAsia" w:ascii="仿宋" w:hAnsi="仿宋" w:eastAsia="仿宋" w:cs="仿宋"/>
                <w:sz w:val="24"/>
                <w:szCs w:val="24"/>
              </w:rPr>
              <w:t>1562.18</w:t>
            </w:r>
          </w:p>
        </w:tc>
        <w:tc>
          <w:tcPr>
            <w:tcW w:w="1477" w:type="pct"/>
            <w:tcBorders>
              <w:tl2br w:val="nil"/>
              <w:tr2bl w:val="nil"/>
            </w:tcBorders>
          </w:tcPr>
          <w:p>
            <w:pPr>
              <w:spacing w:line="400" w:lineRule="exact"/>
              <w:jc w:val="center"/>
              <w:rPr>
                <w:rFonts w:ascii="仿宋" w:hAnsi="仿宋" w:eastAsia="仿宋" w:cs="仿宋"/>
                <w:sz w:val="24"/>
              </w:rPr>
            </w:pPr>
            <w:r>
              <w:rPr>
                <w:rFonts w:hint="eastAsia" w:ascii="仿宋" w:hAnsi="仿宋" w:eastAsia="仿宋" w:cs="仿宋"/>
                <w:sz w:val="24"/>
                <w:szCs w:val="24"/>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tcBorders>
              <w:tl2br w:val="nil"/>
              <w:tr2bl w:val="nil"/>
            </w:tcBorders>
          </w:tcPr>
          <w:p>
            <w:pPr>
              <w:spacing w:line="400" w:lineRule="exact"/>
              <w:jc w:val="center"/>
              <w:rPr>
                <w:rFonts w:ascii="仿宋" w:hAnsi="仿宋" w:eastAsia="仿宋" w:cs="仿宋"/>
                <w:sz w:val="24"/>
              </w:rPr>
            </w:pPr>
            <w:r>
              <w:rPr>
                <w:rFonts w:hint="eastAsia" w:ascii="仿宋" w:hAnsi="仿宋" w:eastAsia="仿宋" w:cs="仿宋"/>
                <w:sz w:val="24"/>
                <w:szCs w:val="24"/>
              </w:rPr>
              <w:t>2017</w:t>
            </w:r>
          </w:p>
        </w:tc>
        <w:tc>
          <w:tcPr>
            <w:tcW w:w="2574" w:type="pct"/>
            <w:tcBorders>
              <w:tl2br w:val="nil"/>
              <w:tr2bl w:val="nil"/>
            </w:tcBorders>
          </w:tcPr>
          <w:p>
            <w:pPr>
              <w:spacing w:line="400" w:lineRule="exact"/>
              <w:jc w:val="center"/>
              <w:rPr>
                <w:rFonts w:ascii="仿宋" w:hAnsi="仿宋" w:eastAsia="仿宋" w:cs="仿宋"/>
                <w:sz w:val="24"/>
              </w:rPr>
            </w:pPr>
            <w:r>
              <w:rPr>
                <w:rFonts w:hint="eastAsia" w:ascii="仿宋" w:hAnsi="仿宋" w:eastAsia="仿宋" w:cs="仿宋"/>
                <w:sz w:val="24"/>
                <w:szCs w:val="24"/>
              </w:rPr>
              <w:t>1726.71</w:t>
            </w:r>
          </w:p>
        </w:tc>
        <w:tc>
          <w:tcPr>
            <w:tcW w:w="1477" w:type="pct"/>
            <w:tcBorders>
              <w:tl2br w:val="nil"/>
              <w:tr2bl w:val="nil"/>
            </w:tcBorders>
          </w:tcPr>
          <w:p>
            <w:pPr>
              <w:spacing w:line="400" w:lineRule="exact"/>
              <w:jc w:val="center"/>
              <w:rPr>
                <w:rFonts w:ascii="仿宋" w:hAnsi="仿宋" w:eastAsia="仿宋" w:cs="仿宋"/>
                <w:sz w:val="24"/>
              </w:rPr>
            </w:pPr>
            <w:r>
              <w:rPr>
                <w:rFonts w:hint="eastAsia" w:ascii="仿宋" w:hAnsi="仿宋" w:eastAsia="仿宋" w:cs="仿宋"/>
                <w:sz w:val="24"/>
                <w:szCs w:val="24"/>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tcBorders>
              <w:tl2br w:val="nil"/>
              <w:tr2bl w:val="nil"/>
            </w:tcBorders>
          </w:tcPr>
          <w:p>
            <w:pPr>
              <w:spacing w:line="400" w:lineRule="exact"/>
              <w:jc w:val="center"/>
              <w:rPr>
                <w:rFonts w:ascii="仿宋" w:hAnsi="仿宋" w:eastAsia="仿宋" w:cs="仿宋"/>
                <w:sz w:val="24"/>
              </w:rPr>
            </w:pPr>
            <w:r>
              <w:rPr>
                <w:rFonts w:hint="eastAsia" w:ascii="仿宋" w:hAnsi="仿宋" w:eastAsia="仿宋" w:cs="仿宋"/>
                <w:sz w:val="24"/>
                <w:szCs w:val="24"/>
              </w:rPr>
              <w:t>2018</w:t>
            </w:r>
          </w:p>
        </w:tc>
        <w:tc>
          <w:tcPr>
            <w:tcW w:w="2574" w:type="pct"/>
            <w:tcBorders>
              <w:tl2br w:val="nil"/>
              <w:tr2bl w:val="nil"/>
            </w:tcBorders>
          </w:tcPr>
          <w:p>
            <w:pPr>
              <w:spacing w:line="400" w:lineRule="exact"/>
              <w:jc w:val="center"/>
              <w:rPr>
                <w:rFonts w:ascii="仿宋" w:hAnsi="仿宋" w:eastAsia="仿宋" w:cs="仿宋"/>
                <w:sz w:val="24"/>
              </w:rPr>
            </w:pPr>
            <w:r>
              <w:rPr>
                <w:rFonts w:hint="eastAsia" w:ascii="仿宋" w:hAnsi="仿宋" w:eastAsia="仿宋" w:cs="仿宋"/>
                <w:sz w:val="24"/>
                <w:szCs w:val="24"/>
              </w:rPr>
              <w:t>1884.93</w:t>
            </w:r>
          </w:p>
        </w:tc>
        <w:tc>
          <w:tcPr>
            <w:tcW w:w="1477" w:type="pct"/>
            <w:tcBorders>
              <w:tl2br w:val="nil"/>
              <w:tr2bl w:val="nil"/>
            </w:tcBorders>
          </w:tcPr>
          <w:p>
            <w:pPr>
              <w:spacing w:line="400" w:lineRule="exact"/>
              <w:jc w:val="center"/>
              <w:rPr>
                <w:rFonts w:ascii="仿宋" w:hAnsi="仿宋" w:eastAsia="仿宋" w:cs="仿宋"/>
                <w:sz w:val="24"/>
              </w:rPr>
            </w:pPr>
            <w:r>
              <w:rPr>
                <w:rFonts w:hint="eastAsia" w:ascii="仿宋" w:hAnsi="仿宋" w:eastAsia="仿宋" w:cs="仿宋"/>
                <w:sz w:val="24"/>
                <w:szCs w:val="24"/>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tcBorders>
              <w:tl2br w:val="nil"/>
              <w:tr2bl w:val="nil"/>
            </w:tcBorders>
          </w:tcPr>
          <w:p>
            <w:pPr>
              <w:spacing w:line="400" w:lineRule="exact"/>
              <w:jc w:val="center"/>
              <w:rPr>
                <w:rFonts w:ascii="仿宋" w:hAnsi="仿宋" w:eastAsia="仿宋" w:cs="仿宋"/>
                <w:sz w:val="24"/>
              </w:rPr>
            </w:pPr>
            <w:r>
              <w:rPr>
                <w:rFonts w:hint="eastAsia" w:ascii="仿宋" w:hAnsi="仿宋" w:eastAsia="仿宋" w:cs="仿宋"/>
                <w:sz w:val="24"/>
                <w:szCs w:val="24"/>
              </w:rPr>
              <w:t>2019</w:t>
            </w:r>
          </w:p>
        </w:tc>
        <w:tc>
          <w:tcPr>
            <w:tcW w:w="2574" w:type="pct"/>
            <w:tcBorders>
              <w:tl2br w:val="nil"/>
              <w:tr2bl w:val="nil"/>
            </w:tcBorders>
          </w:tcPr>
          <w:p>
            <w:pPr>
              <w:spacing w:line="400" w:lineRule="exact"/>
              <w:jc w:val="center"/>
              <w:rPr>
                <w:rFonts w:ascii="仿宋" w:hAnsi="仿宋" w:eastAsia="仿宋" w:cs="仿宋"/>
                <w:sz w:val="24"/>
              </w:rPr>
            </w:pPr>
            <w:r>
              <w:rPr>
                <w:rFonts w:hint="eastAsia" w:ascii="仿宋" w:hAnsi="仿宋" w:eastAsia="仿宋" w:cs="仿宋"/>
                <w:sz w:val="24"/>
                <w:szCs w:val="24"/>
              </w:rPr>
              <w:t>2077.16</w:t>
            </w:r>
          </w:p>
        </w:tc>
        <w:tc>
          <w:tcPr>
            <w:tcW w:w="1477" w:type="pct"/>
            <w:tcBorders>
              <w:tl2br w:val="nil"/>
              <w:tr2bl w:val="nil"/>
            </w:tcBorders>
          </w:tcPr>
          <w:p>
            <w:pPr>
              <w:spacing w:line="400" w:lineRule="exact"/>
              <w:jc w:val="center"/>
              <w:rPr>
                <w:rFonts w:ascii="仿宋" w:hAnsi="仿宋" w:eastAsia="仿宋" w:cs="仿宋"/>
                <w:sz w:val="24"/>
              </w:rPr>
            </w:pPr>
            <w:r>
              <w:rPr>
                <w:rFonts w:hint="eastAsia" w:ascii="仿宋" w:hAnsi="仿宋" w:eastAsia="仿宋" w:cs="仿宋"/>
                <w:sz w:val="24"/>
                <w:szCs w:val="24"/>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 w:type="pct"/>
            <w:tcBorders>
              <w:tl2br w:val="nil"/>
              <w:tr2bl w:val="nil"/>
            </w:tcBorders>
          </w:tcPr>
          <w:p>
            <w:pPr>
              <w:spacing w:line="400" w:lineRule="exact"/>
              <w:jc w:val="center"/>
              <w:rPr>
                <w:rFonts w:ascii="仿宋" w:hAnsi="仿宋" w:eastAsia="仿宋" w:cs="仿宋"/>
                <w:sz w:val="24"/>
              </w:rPr>
            </w:pPr>
            <w:r>
              <w:rPr>
                <w:rFonts w:hint="eastAsia" w:ascii="仿宋" w:hAnsi="仿宋" w:eastAsia="仿宋" w:cs="仿宋"/>
                <w:sz w:val="24"/>
                <w:szCs w:val="24"/>
              </w:rPr>
              <w:t>2020</w:t>
            </w:r>
          </w:p>
        </w:tc>
        <w:tc>
          <w:tcPr>
            <w:tcW w:w="2574" w:type="pct"/>
            <w:tcBorders>
              <w:tl2br w:val="nil"/>
              <w:tr2bl w:val="nil"/>
            </w:tcBorders>
          </w:tcPr>
          <w:p>
            <w:pPr>
              <w:spacing w:line="400" w:lineRule="exact"/>
              <w:jc w:val="center"/>
              <w:rPr>
                <w:rFonts w:ascii="仿宋" w:hAnsi="仿宋" w:eastAsia="仿宋" w:cs="仿宋"/>
                <w:sz w:val="24"/>
              </w:rPr>
            </w:pPr>
            <w:r>
              <w:rPr>
                <w:rFonts w:hint="eastAsia" w:ascii="仿宋" w:hAnsi="仿宋" w:eastAsia="仿宋" w:cs="仿宋"/>
                <w:sz w:val="24"/>
                <w:szCs w:val="24"/>
              </w:rPr>
              <w:t>1998.73</w:t>
            </w:r>
          </w:p>
        </w:tc>
        <w:tc>
          <w:tcPr>
            <w:tcW w:w="1477" w:type="pct"/>
            <w:tcBorders>
              <w:tl2br w:val="nil"/>
              <w:tr2bl w:val="nil"/>
            </w:tcBorders>
          </w:tcPr>
          <w:p>
            <w:pPr>
              <w:spacing w:line="400" w:lineRule="exact"/>
              <w:jc w:val="center"/>
              <w:rPr>
                <w:rFonts w:ascii="仿宋" w:hAnsi="仿宋" w:eastAsia="仿宋" w:cs="仿宋"/>
                <w:sz w:val="24"/>
              </w:rPr>
            </w:pPr>
            <w:r>
              <w:rPr>
                <w:rFonts w:hint="eastAsia" w:ascii="仿宋" w:hAnsi="仿宋" w:eastAsia="仿宋" w:cs="仿宋"/>
                <w:sz w:val="24"/>
                <w:szCs w:val="24"/>
              </w:rPr>
              <w:t>-3.8</w:t>
            </w:r>
          </w:p>
        </w:tc>
      </w:tr>
    </w:tbl>
    <w:p>
      <w:pPr>
        <w:pStyle w:val="7"/>
        <w:spacing w:line="560" w:lineRule="exact"/>
        <w:jc w:val="center"/>
        <w:rPr>
          <w:b w:val="0"/>
        </w:rPr>
      </w:pPr>
      <w:bookmarkStart w:id="1627" w:name="_Toc3111"/>
      <w:bookmarkStart w:id="1628" w:name="_Toc6983"/>
      <w:bookmarkStart w:id="1629" w:name="_Toc976020492"/>
      <w:r>
        <w:rPr>
          <w:rFonts w:hint="eastAsia" w:ascii="楷体" w:hAnsi="仿宋" w:eastAsia="楷体" w:cs="仿宋"/>
          <w:b w:val="0"/>
          <w:szCs w:val="32"/>
          <w:lang w:bidi="zh-CN"/>
        </w:rPr>
        <w:t>第二节 存在问题</w:t>
      </w:r>
      <w:bookmarkEnd w:id="1627"/>
      <w:bookmarkEnd w:id="1628"/>
      <w:bookmarkEnd w:id="1629"/>
    </w:p>
    <w:p>
      <w:pPr>
        <w:spacing w:line="560" w:lineRule="exact"/>
        <w:ind w:firstLine="640" w:firstLineChars="200"/>
      </w:pPr>
      <w:r>
        <w:rPr>
          <w:rFonts w:hint="eastAsia" w:ascii="仿宋" w:hAnsi="仿宋" w:eastAsia="仿宋" w:cs="仿宋"/>
        </w:rPr>
        <w:t>“十三五”时期，南阳开放型经济高质量高水平发展成效显著，但在国内区域竞争日益激烈的背景下，仍有一些短板弱项亟待解决：</w:t>
      </w:r>
      <w:bookmarkStart w:id="1630" w:name="_Toc18850"/>
      <w:r>
        <w:rPr>
          <w:rFonts w:hint="eastAsia" w:ascii="仿宋" w:hAnsi="仿宋" w:eastAsia="仿宋" w:cs="仿宋"/>
        </w:rPr>
        <w:t>思想有待进一步解放，开放能力不够、水平不高、意识不强的问题还很突出；开放布局有待优化，中心城区产业支撑力不足、县域产业多而不强，区域间缺乏高效互动;开放型产业竞争力偏弱，产业结构升级、新旧动能转换任务艰巨；对外开放政策体系尚不完善，体制机制改革需要进一步深化，营商环境需要进一步优化提升；开放经济质量水平不高，对外贸易产品附加值偏低，对外贸易结构有待进一步优化；高能级载体供给不足，平台建设滞后, 集聚要素资源能力偏弱；开放通道建设仍存短板，尚无开放口岸，国际物流通道面临周边一类口岸的虹吸效应明显，国际班列运营能力不足；开放型创新生态亟待完善，创新开放合作网络亟待扩大深化；承接高端产业转移能力有待增强，招商引资面临“传统产业往外转、高端产业引进难”困境。</w:t>
      </w:r>
      <w:bookmarkEnd w:id="1630"/>
      <w:bookmarkStart w:id="1631" w:name="_Toc14926"/>
      <w:bookmarkStart w:id="1632" w:name="_Toc18172"/>
    </w:p>
    <w:p>
      <w:pPr>
        <w:pStyle w:val="7"/>
        <w:spacing w:line="560" w:lineRule="exact"/>
        <w:jc w:val="center"/>
        <w:rPr>
          <w:b w:val="0"/>
        </w:rPr>
      </w:pPr>
      <w:bookmarkStart w:id="1633" w:name="_Toc1269104558"/>
      <w:r>
        <w:rPr>
          <w:rFonts w:hint="eastAsia" w:ascii="楷体" w:hAnsi="仿宋" w:eastAsia="楷体" w:cs="仿宋"/>
          <w:b w:val="0"/>
          <w:szCs w:val="32"/>
          <w:lang w:bidi="zh-CN"/>
        </w:rPr>
        <w:t>第三节 发展形势</w:t>
      </w:r>
      <w:bookmarkEnd w:id="1631"/>
      <w:bookmarkEnd w:id="1632"/>
      <w:bookmarkEnd w:id="1633"/>
    </w:p>
    <w:p>
      <w:pPr>
        <w:spacing w:line="560" w:lineRule="exact"/>
        <w:ind w:firstLine="640" w:firstLineChars="200"/>
        <w:rPr>
          <w:rFonts w:ascii="仿宋" w:hAnsi="仿宋" w:eastAsia="仿宋" w:cs="仿宋"/>
        </w:rPr>
      </w:pPr>
      <w:r>
        <w:rPr>
          <w:rFonts w:hint="eastAsia" w:ascii="仿宋" w:hAnsi="仿宋" w:eastAsia="仿宋" w:cs="仿宋"/>
        </w:rPr>
        <w:t>当前和今后一个时期，南阳开放发展面临的外部环境和内部条件将发生深刻复杂变化，机遇和挑战呈现出新的时代特征，总体上机遇大于挑战。</w:t>
      </w:r>
    </w:p>
    <w:p>
      <w:pPr>
        <w:spacing w:line="560" w:lineRule="exact"/>
        <w:ind w:firstLine="640" w:firstLineChars="200"/>
        <w:rPr>
          <w:rFonts w:ascii="仿宋" w:hAnsi="仿宋" w:eastAsia="仿宋" w:cs="仿宋"/>
        </w:rPr>
      </w:pPr>
      <w:r>
        <w:rPr>
          <w:rFonts w:hint="eastAsia" w:ascii="仿宋" w:hAnsi="仿宋" w:eastAsia="仿宋" w:cs="仿宋"/>
        </w:rPr>
        <w:t>从国</w:t>
      </w:r>
      <w:r>
        <w:rPr>
          <w:rFonts w:hint="eastAsia" w:ascii="仿宋" w:hAnsi="仿宋" w:eastAsia="仿宋" w:cs="仿宋"/>
          <w:kern w:val="0"/>
          <w:lang w:bidi="ar"/>
        </w:rPr>
        <w:t>际看，</w:t>
      </w:r>
      <w:r>
        <w:rPr>
          <w:rFonts w:hint="eastAsia" w:ascii="仿宋" w:hAnsi="仿宋" w:eastAsia="仿宋" w:cs="仿宋"/>
        </w:rPr>
        <w:t>世界正经历百年未有之大变局，新冠肺炎疫情全球大流行使这个大变局加速演进，经济全球化遭遇逆流，保护主义、单边主义上升，全球市场需求疲软，国际贸易和投资规模大幅萎缩、规则面临重塑，贸易摩擦持续升级，不稳定性不确定性明显增加。受到世界经济低迷影响，发达国家可能通过建立排他性和保护性强的区域和双边贸易规则替代现有多边贸易体制，叠加来自发达国家发展高端产业的挤压和新兴发展中国家发展低端产业的挤出效应，对外贸易投资、制造业产业链受到严重冲击的风险加大。与此同时，新一轮科技革命和产业变革深入发展，国际格局和力量对比加速演变、深刻调整。以互联网、大数据、人工智能为代表的新一代信息技术日新月异，产业数字化进程加速推进，人类生产生活方式和思维模式正在发生深刻变革，全球创新版图、全球经济格局正在加速重构。这既对我市深入推进国际经贸合作和科技交流带来了严峻挑战，也为倒逼我市产业优化升级、塑造开放新优势、实现更高水平对外开放提供了重要机遇。</w:t>
      </w:r>
    </w:p>
    <w:p>
      <w:pPr>
        <w:spacing w:line="560" w:lineRule="exact"/>
        <w:ind w:firstLine="640" w:firstLineChars="200"/>
        <w:rPr>
          <w:rFonts w:ascii="仿宋" w:hAnsi="仿宋" w:eastAsia="仿宋" w:cs="仿宋"/>
        </w:rPr>
      </w:pPr>
      <w:r>
        <w:rPr>
          <w:rFonts w:hint="eastAsia" w:ascii="仿宋" w:hAnsi="仿宋" w:eastAsia="仿宋" w:cs="仿宋"/>
        </w:rPr>
        <w:t>从国内看，我国经贸处于“内循环”潜力深挖期。长期赖以发展的要素禀赋结构出现重大变化，解决“卡脖子”问题刻不容缓，倒逼发展进入深度调整期。与此同时，我国与欧洲、亚洲国家的经贸合作进一步深化，为今后一段时间我国对外开放奠定了重要的发展基础。当前，我国已进入高质量发展新阶段，发展韧性强劲，治理效能提升，继续发展具有多方面优势和条件，但是发展不平衡不充分、创新能力不适应高质量发展要求等问题依旧突出。“十四五”期间，国家将着力发挥国内超大规模市场优势，畅通经济大循环，大力提升自主创新能力，打好关键核心技术攻坚战，加快构建以国内大循环为主体、国内国际双循环相互促进的新发展格局，全面推动贸易高质量发展，重塑我国国际合作和竞争新优势。此外，我国进一步完善对外开放布局，扎实推进“一带一路”建设，高标准高水平建设自由贸易试验区，成功签订《区域全面经济伙伴关系协定》等高标准经贸规则，加快推进商品和要素等由流动型开放向规则等制度型开放转变，有利于我市通过制度创新实现跳跃式、直联式开放，培育对外开放新优势。</w:t>
      </w:r>
    </w:p>
    <w:p>
      <w:pPr>
        <w:spacing w:line="560" w:lineRule="exact"/>
        <w:ind w:firstLine="640"/>
        <w:rPr>
          <w:rFonts w:ascii="仿宋" w:hAnsi="仿宋" w:eastAsia="仿宋" w:cs="仿宋"/>
        </w:rPr>
      </w:pPr>
      <w:r>
        <w:rPr>
          <w:rFonts w:hint="eastAsia" w:ascii="仿宋" w:hAnsi="仿宋" w:eastAsia="仿宋" w:cs="仿宋"/>
        </w:rPr>
        <w:t>从省内看，习近平总书记对河南提出“奋勇争先、更加出彩”要求，为河南开放发展锚定新坐标、擘画新蓝图、赋予新使命。河南作为中部大省，“一带一路”区位优势明显、科教资源丰富、产业基础坚实、人力资源丰厚，新时代推动中部地区高质量发展、黄河流域生态保护和高质量发展等国家战略带来区域发展新机遇，中国（河南）自由贸易试验区、郑州航空港经济综合实验区、郑洛新国家自主创新示范区等建设引领开放新格局，强大内需市场成为高质量发展新支撑。</w:t>
      </w:r>
    </w:p>
    <w:p>
      <w:pPr>
        <w:spacing w:line="560" w:lineRule="exact"/>
        <w:ind w:firstLine="640"/>
        <w:rPr>
          <w:rFonts w:ascii="仿宋" w:hAnsi="仿宋" w:eastAsia="仿宋" w:cs="仿宋"/>
        </w:rPr>
      </w:pPr>
      <w:r>
        <w:rPr>
          <w:rFonts w:hint="eastAsia" w:ascii="仿宋" w:hAnsi="仿宋" w:eastAsia="仿宋" w:cs="仿宋"/>
        </w:rPr>
        <w:t>从自身看，省第十一次党代会明确提出“支持南阳建设副中心城市”，这是建设现代化河南新征程赋予南阳的新定位、新使命、新责任，是南阳千载难逢的重大发展机遇。南阳地处豫鄂陕三省交界，跨长江、淮河、黄河三大流域，既有全省共临共享的重大机遇，又有汉江生态经济带、淮河生态经济带、大别山革命老区振兴发展等国家战略叠加，向北能够通过京宛对口协作积极承接北京产业转移和科技成果转化，向南能够以汉江生态经济带为“桥梁”深度融入长江经济带，向东能够以淮河生态经济带为“纽带”，依托南信合高铁通道，积极融入长三角地区产业链供应链，为提升城市能级拓展出更加广阔的战略空间。南阳作为千万人口大市、经济大市、生态大市、农业大市，市场空间广阔、人力资源丰富、产业门类齐全、农产品供给能力突出、城镇化潜力巨大，“两山两源”生态优势不断厚植，全国性综合交通枢纽、商贸服务型国家物流枢纽功能凸显，能够塑造人力资源、内需资本、流通经济、有效供给等新优势。抓住机遇、发挥优势，可以直接融入豫鄂陕省际区域经济循环，进而成为服务国内大循环、国内国际双循环的重要链接，打造新兴区域经济中心，形成引领区域经济高质量发展的重要增长极。</w:t>
      </w:r>
    </w:p>
    <w:p>
      <w:pPr>
        <w:widowControl/>
        <w:spacing w:line="560" w:lineRule="exact"/>
        <w:ind w:firstLine="640" w:firstLineChars="200"/>
        <w:jc w:val="left"/>
        <w:rPr>
          <w:rFonts w:ascii="仿宋" w:hAnsi="仿宋" w:eastAsia="仿宋" w:cs="仿宋"/>
        </w:rPr>
      </w:pPr>
      <w:r>
        <w:rPr>
          <w:rFonts w:hint="eastAsia" w:ascii="仿宋" w:hAnsi="仿宋" w:eastAsia="仿宋" w:cs="仿宋"/>
        </w:rPr>
        <w:t>与此同时，南阳开放型经济发展也面临不少挑战，高质量发展路上仍有不少难题需要破解。主要表现在：生产要素成本不断攀升，传统发展模式遭遇增长瓶颈。开发区（产业园区）基础设施建设滞后，用地指标和环保容量紧缺，无法承接大型优质项目。政府产业引导基金不强，产业配套能力弱，招商引资难度加大，难以吸引航母级的巨型产业龙头项目，产业集聚效应无法进一步扩大。</w:t>
      </w:r>
      <w:r>
        <w:rPr>
          <w:rFonts w:hint="eastAsia" w:ascii="仿宋" w:hAnsi="仿宋" w:eastAsia="仿宋" w:cs="仿宋"/>
          <w:kern w:val="0"/>
          <w:lang w:bidi="ar"/>
        </w:rPr>
        <w:t>吸收外资后劲不足，外企增资扩产意愿不高，项目“落地难”问题依然存在。</w:t>
      </w:r>
      <w:r>
        <w:rPr>
          <w:rFonts w:hint="eastAsia" w:ascii="仿宋" w:hAnsi="仿宋" w:eastAsia="仿宋" w:cs="仿宋"/>
        </w:rPr>
        <w:t>区域协同发展加快背景下，城市群面临重构，区域、城市间竞合越发精彩，城市竞争呈现你追我赶态势，人才、优质产业资源、创新资源抢夺更加激烈，由日渐弱化的传统区位竞争优势向现代的营商环境、城市品质、产业配套、技术及人才支撑等竞争优势转变，是未来一段时期对南阳转型突破的重要考验。</w:t>
      </w:r>
    </w:p>
    <w:p>
      <w:pPr>
        <w:spacing w:line="560" w:lineRule="exact"/>
        <w:ind w:firstLine="640"/>
        <w:jc w:val="left"/>
        <w:rPr>
          <w:rFonts w:ascii="仿宋" w:hAnsi="仿宋" w:eastAsia="仿宋" w:cs="仿宋"/>
        </w:rPr>
      </w:pPr>
      <w:r>
        <w:rPr>
          <w:rFonts w:hint="eastAsia" w:ascii="仿宋" w:hAnsi="仿宋" w:eastAsia="仿宋" w:cs="仿宋"/>
        </w:rPr>
        <w:t>综合研判，“十四五”时期南阳开放型经济发展面临诸多挑战，但发展的基础仍然坚实牢靠，机遇多于挑战，优势胜过短板，红利高过风险。要科学认识世界开放发展的一般规律，准确把握国际经贸发展的时代趋势，主动适应经济发展的新环境、新阶段和新形势，增强做好开放型经济工作的紧迫感，坚定做好开放型经济工作的自信心，奋力谱写开放型经济高质量发展的新篇章，迎接开放型经济跨越式发展的新胜利。</w:t>
      </w:r>
    </w:p>
    <w:p>
      <w:pPr>
        <w:pStyle w:val="5"/>
        <w:autoSpaceDE w:val="0"/>
        <w:autoSpaceDN w:val="0"/>
        <w:spacing w:line="560" w:lineRule="exact"/>
        <w:ind w:left="418" w:right="601"/>
        <w:jc w:val="center"/>
        <w:outlineLvl w:val="0"/>
      </w:pPr>
      <w:bookmarkStart w:id="1634" w:name="_Toc2975"/>
      <w:bookmarkStart w:id="1635" w:name="_Toc16768"/>
      <w:bookmarkStart w:id="1636" w:name="_Toc1088541103"/>
      <w:r>
        <w:rPr>
          <w:rFonts w:hint="eastAsia" w:ascii="黑体" w:hAnsi="仿宋" w:eastAsia="黑体" w:cs="仿宋"/>
          <w:spacing w:val="-10"/>
          <w:kern w:val="0"/>
          <w:lang w:bidi="zh-CN"/>
        </w:rPr>
        <w:t>第二章 总体要求</w:t>
      </w:r>
      <w:bookmarkEnd w:id="1634"/>
      <w:bookmarkEnd w:id="1635"/>
      <w:bookmarkEnd w:id="1636"/>
      <w:bookmarkStart w:id="1637" w:name="_Toc21468"/>
      <w:bookmarkStart w:id="1638" w:name="_Toc27239"/>
    </w:p>
    <w:p>
      <w:pPr>
        <w:pStyle w:val="7"/>
        <w:spacing w:line="560" w:lineRule="exact"/>
        <w:jc w:val="center"/>
        <w:rPr>
          <w:b w:val="0"/>
        </w:rPr>
      </w:pPr>
      <w:bookmarkStart w:id="1639" w:name="_Toc2143791097"/>
      <w:r>
        <w:rPr>
          <w:rFonts w:hint="eastAsia" w:ascii="楷体" w:hAnsi="仿宋" w:eastAsia="楷体" w:cs="仿宋"/>
          <w:b w:val="0"/>
          <w:szCs w:val="32"/>
          <w:lang w:bidi="zh-CN"/>
        </w:rPr>
        <w:t>第一节 指导思想</w:t>
      </w:r>
      <w:bookmarkEnd w:id="1637"/>
      <w:bookmarkEnd w:id="1638"/>
      <w:bookmarkEnd w:id="1639"/>
    </w:p>
    <w:p>
      <w:pPr>
        <w:spacing w:line="560" w:lineRule="exact"/>
        <w:ind w:firstLine="640"/>
        <w:rPr>
          <w:rFonts w:ascii="仿宋" w:hAnsi="仿宋" w:eastAsia="仿宋" w:cs="仿宋"/>
        </w:rPr>
      </w:pPr>
      <w:r>
        <w:rPr>
          <w:rFonts w:hint="eastAsia" w:ascii="仿宋" w:hAnsi="仿宋" w:eastAsia="仿宋" w:cs="仿宋"/>
        </w:rPr>
        <w:t>以习近平新时代中国特色社会主义思想为指导，深入贯彻党的十九大和十九届历次全会精神，全面落实习近平总书记视察南阳重要讲话重要指示精神，贯彻落实省第十一次党代会、市第七次党代会精神，主动适应经济全球化新趋势、国际产业分工格局新变革、国际经贸投资规则新变化和国内经济发展新阶段，以推动高质量发展为主题，以深化供给侧结构性改革为主线，以改革开放创新为根本动力，以满足人民日益增长的美好生活需要为根本目的，紧紧围绕河南省副中心城市建设，深入实施开放突破、项目带动、主体壮大和平台支撑战略，构建更高水平的开放型先进制造业、现代服务业和现代农业体系，做大做强开放型市场主体，加快对外贸易创新发展，持续完善对外开放通道体系，推动开放平台能级提升，加强创新能力开放合作，加快打造要素高度集聚、平台高度集成、通道高度便捷、体制高效灵活的区域开放高地，把南阳建成</w:t>
      </w:r>
      <w:r>
        <w:rPr>
          <w:rFonts w:hint="eastAsia" w:ascii="仿宋" w:hAnsi="仿宋" w:eastAsia="仿宋" w:cs="仿宋"/>
          <w:kern w:val="0"/>
          <w:lang w:bidi="ar"/>
        </w:rPr>
        <w:t>内陆对外开放重要门户</w:t>
      </w:r>
      <w:r>
        <w:rPr>
          <w:rFonts w:hint="eastAsia" w:ascii="仿宋" w:hAnsi="仿宋" w:eastAsia="仿宋" w:cs="仿宋"/>
        </w:rPr>
        <w:t>、中部开放型产业基地、国内国际双循环重要枢纽。</w:t>
      </w:r>
    </w:p>
    <w:p>
      <w:pPr>
        <w:pStyle w:val="7"/>
        <w:spacing w:line="560" w:lineRule="exact"/>
        <w:jc w:val="center"/>
        <w:rPr>
          <w:b w:val="0"/>
        </w:rPr>
      </w:pPr>
      <w:bookmarkStart w:id="1640" w:name="_Toc1113353548"/>
      <w:bookmarkStart w:id="1641" w:name="_Toc6634"/>
      <w:bookmarkStart w:id="1642" w:name="_Toc32035"/>
      <w:r>
        <w:rPr>
          <w:rFonts w:hint="eastAsia" w:ascii="楷体" w:hAnsi="仿宋" w:eastAsia="楷体" w:cs="仿宋"/>
          <w:b w:val="0"/>
          <w:szCs w:val="32"/>
          <w:lang w:bidi="zh-CN"/>
        </w:rPr>
        <w:t>第二节 基本原则</w:t>
      </w:r>
      <w:bookmarkEnd w:id="1640"/>
      <w:bookmarkEnd w:id="1641"/>
      <w:bookmarkEnd w:id="1642"/>
    </w:p>
    <w:p>
      <w:pPr>
        <w:widowControl/>
        <w:spacing w:line="560" w:lineRule="exact"/>
        <w:ind w:firstLine="612" w:firstLineChars="200"/>
        <w:jc w:val="left"/>
        <w:rPr>
          <w:rFonts w:ascii="仿宋" w:hAnsi="仿宋" w:eastAsia="仿宋" w:cs="仿宋"/>
        </w:rPr>
      </w:pPr>
      <w:r>
        <w:rPr>
          <w:rFonts w:hint="eastAsia" w:ascii="仿宋_GB2312" w:hAnsi="仿宋_GB2312" w:cs="仿宋_GB2312"/>
          <w:spacing w:val="-7"/>
          <w:kern w:val="0"/>
          <w:lang w:bidi="zh-CN"/>
        </w:rPr>
        <w:t>——坚持战略引领。</w:t>
      </w:r>
      <w:r>
        <w:rPr>
          <w:rFonts w:hint="eastAsia" w:ascii="仿宋" w:hAnsi="仿宋" w:eastAsia="仿宋" w:cs="仿宋"/>
        </w:rPr>
        <w:t>积极主动服务中部地区高质量发展、汉江生态经济带、淮河生态经济带、大别山革命老区振兴发展等国家战略，瞄准河南省副中心城市定位，更加注重从全局谋划一域、以一域服务全局，在开放中扩大共同利益，在合作中实现机遇共享，实现服务全局与自身发展有机统一。</w:t>
      </w:r>
    </w:p>
    <w:p>
      <w:pPr>
        <w:widowControl/>
        <w:spacing w:line="560" w:lineRule="exact"/>
        <w:ind w:firstLine="612" w:firstLineChars="200"/>
        <w:jc w:val="left"/>
        <w:rPr>
          <w:rFonts w:ascii="仿宋" w:hAnsi="仿宋" w:eastAsia="仿宋" w:cs="仿宋"/>
        </w:rPr>
      </w:pPr>
      <w:r>
        <w:rPr>
          <w:rFonts w:hint="eastAsia" w:ascii="仿宋_GB2312" w:hAnsi="仿宋_GB2312" w:cs="仿宋_GB2312"/>
          <w:spacing w:val="-7"/>
          <w:kern w:val="0"/>
          <w:lang w:bidi="zh-CN"/>
        </w:rPr>
        <w:t>——坚持系统发展。</w:t>
      </w:r>
      <w:r>
        <w:rPr>
          <w:rFonts w:hint="eastAsia" w:ascii="仿宋" w:hAnsi="仿宋" w:eastAsia="仿宋" w:cs="仿宋"/>
        </w:rPr>
        <w:t>牢固树立系统观念，准确把握好改革与开放、国内与国际、政府与市场、发展与安全关系，统筹推动畅通开放通道、提质开放平台、拓展开放空间、丰富开放内容、营造开放文化，加强前瞻性思考、全局性谋划、战略性布局、整体性推进，形成整体大于部分之和的系统效应。</w:t>
      </w:r>
    </w:p>
    <w:p>
      <w:pPr>
        <w:widowControl/>
        <w:spacing w:line="560" w:lineRule="exact"/>
        <w:ind w:firstLine="640"/>
        <w:jc w:val="left"/>
        <w:rPr>
          <w:rFonts w:ascii="仿宋" w:hAnsi="仿宋" w:eastAsia="仿宋" w:cs="仿宋"/>
        </w:rPr>
      </w:pPr>
      <w:r>
        <w:rPr>
          <w:rFonts w:hint="eastAsia" w:ascii="仿宋_GB2312" w:hAnsi="仿宋_GB2312" w:cs="仿宋_GB2312"/>
          <w:spacing w:val="-7"/>
          <w:kern w:val="0"/>
          <w:lang w:bidi="zh-CN"/>
        </w:rPr>
        <w:t>——坚持改革推动。</w:t>
      </w:r>
      <w:r>
        <w:rPr>
          <w:rFonts w:hint="eastAsia" w:ascii="仿宋" w:hAnsi="仿宋" w:eastAsia="仿宋" w:cs="仿宋"/>
        </w:rPr>
        <w:t>推动各项改革向更加完善的制度靠拢，构建开放型经济新体制，以开放倒逼改革，以改革促进开放。创建河南自贸试验区南阳开放创新联动区，复制推广自贸区改革创新经验，参与更广泛区域改革创新合作与协同布局，夯实南阳开放型经济制度基底，构建公平、公开、可预期的开放型经济发展环境。</w:t>
      </w:r>
    </w:p>
    <w:p>
      <w:pPr>
        <w:widowControl/>
        <w:spacing w:line="560" w:lineRule="exact"/>
        <w:ind w:firstLine="640"/>
        <w:jc w:val="left"/>
        <w:rPr>
          <w:rFonts w:ascii="仿宋" w:hAnsi="仿宋" w:eastAsia="仿宋" w:cs="仿宋"/>
        </w:rPr>
      </w:pPr>
      <w:r>
        <w:rPr>
          <w:rFonts w:hint="eastAsia" w:ascii="仿宋_GB2312" w:hAnsi="仿宋_GB2312" w:cs="仿宋_GB2312"/>
          <w:spacing w:val="-7"/>
          <w:kern w:val="0"/>
          <w:lang w:bidi="zh-CN"/>
        </w:rPr>
        <w:t>——坚持创新驱动。</w:t>
      </w:r>
      <w:r>
        <w:rPr>
          <w:rFonts w:hint="eastAsia" w:ascii="仿宋" w:hAnsi="仿宋" w:eastAsia="仿宋" w:cs="仿宋"/>
        </w:rPr>
        <w:t>以创新驱动开放，通过不断加强理念创新、政策创新、体制创新、平台创新、服务创新，抢占对外开放制高点，推动开放型经济发展由要素驱动向创新驱动转变，从数量规模型增长向质量效益型增长转变，从低成本传统优势向综合竞争力优势转变，形成开放型经济发展新优势、新局面。</w:t>
      </w:r>
    </w:p>
    <w:p>
      <w:pPr>
        <w:widowControl/>
        <w:spacing w:line="560" w:lineRule="exact"/>
        <w:ind w:firstLine="612" w:firstLineChars="200"/>
        <w:jc w:val="left"/>
        <w:rPr>
          <w:rFonts w:ascii="仿宋" w:hAnsi="仿宋" w:eastAsia="仿宋" w:cs="仿宋"/>
          <w:kern w:val="0"/>
          <w:lang w:bidi="ar"/>
        </w:rPr>
      </w:pPr>
      <w:r>
        <w:rPr>
          <w:rFonts w:hint="eastAsia" w:ascii="仿宋_GB2312" w:hAnsi="仿宋_GB2312" w:cs="仿宋_GB2312"/>
          <w:spacing w:val="-7"/>
          <w:kern w:val="0"/>
          <w:lang w:bidi="zh-CN"/>
        </w:rPr>
        <w:t>——坚持稳中求进。</w:t>
      </w:r>
      <w:r>
        <w:rPr>
          <w:rFonts w:hint="eastAsia" w:ascii="仿宋" w:hAnsi="仿宋" w:eastAsia="仿宋" w:cs="仿宋"/>
          <w:kern w:val="0"/>
          <w:lang w:bidi="ar"/>
        </w:rPr>
        <w:t>加大对稳外贸、稳外资、促消费工作的支持力度。帮助企业保客户、保市场、保订单、保产业链供应链稳定，稳住外贸外资基本盘，促进消费稳定增长。坚持引进新变量、创造新组合、培育新优势，激发市场新活力，增强发展新动能，拓展开放新路径，探索贸易新业态，打造消费“新引擎”，构建开放型经济高质量发展的新格局。</w:t>
      </w:r>
    </w:p>
    <w:p>
      <w:pPr>
        <w:widowControl/>
        <w:spacing w:line="560" w:lineRule="exact"/>
        <w:ind w:firstLine="612" w:firstLineChars="200"/>
        <w:jc w:val="left"/>
        <w:rPr>
          <w:rFonts w:ascii="仿宋" w:hAnsi="仿宋" w:eastAsia="仿宋" w:cs="仿宋"/>
          <w:kern w:val="0"/>
          <w:lang w:bidi="ar"/>
        </w:rPr>
      </w:pPr>
      <w:r>
        <w:rPr>
          <w:rFonts w:hint="eastAsia" w:ascii="仿宋_GB2312" w:hAnsi="仿宋_GB2312" w:cs="仿宋_GB2312"/>
          <w:spacing w:val="-7"/>
          <w:kern w:val="0"/>
          <w:lang w:bidi="zh-CN"/>
        </w:rPr>
        <w:t>——坚持重点突破。</w:t>
      </w:r>
      <w:r>
        <w:rPr>
          <w:rFonts w:hint="eastAsia" w:ascii="仿宋" w:hAnsi="仿宋" w:eastAsia="仿宋" w:cs="仿宋"/>
          <w:kern w:val="0"/>
          <w:lang w:bidi="ar"/>
        </w:rPr>
        <w:t>抓大放小，坚持有所为有所不为，依靠比较优势，放大竞争优势，凝聚综合优势，笃定心志，重点突破。做大做强各类开发区和重点产业园区，抓好抓实重大引资项目，树立“项目为王”鲜明导向，筑牢筑稳重大开放平台，提高跨境贸易便利化水平，强力推动外贸转型升级，创新外贸发展方式，深度拓展消费市场。</w:t>
      </w:r>
    </w:p>
    <w:p>
      <w:pPr>
        <w:widowControl/>
        <w:spacing w:line="560" w:lineRule="exact"/>
        <w:ind w:firstLine="612" w:firstLineChars="200"/>
        <w:jc w:val="left"/>
        <w:rPr>
          <w:rFonts w:ascii="仿宋" w:hAnsi="仿宋" w:eastAsia="仿宋" w:cs="仿宋"/>
          <w:kern w:val="0"/>
          <w:lang w:bidi="ar"/>
        </w:rPr>
      </w:pPr>
      <w:r>
        <w:rPr>
          <w:rFonts w:hint="eastAsia" w:ascii="仿宋_GB2312" w:hAnsi="仿宋_GB2312" w:cs="仿宋_GB2312"/>
          <w:spacing w:val="-7"/>
          <w:kern w:val="0"/>
          <w:lang w:bidi="zh-CN"/>
        </w:rPr>
        <w:t>——坚持绿色安全。</w:t>
      </w:r>
      <w:r>
        <w:rPr>
          <w:rFonts w:hint="eastAsia" w:ascii="仿宋" w:hAnsi="仿宋" w:eastAsia="仿宋" w:cs="仿宋"/>
          <w:kern w:val="0"/>
          <w:lang w:bidi="ar"/>
        </w:rPr>
        <w:t>坚定不移推进开放型经济领域走生态优先、绿色低碳的发展道路。持续实施园区绿色化循环化改造工程。统筹发展与安全，增强机遇意识和风险意识，树牢底线思维，持续实施市场多元化战略，提升应急响应处置能力，推动产业链、供应链安全布局。</w:t>
      </w:r>
    </w:p>
    <w:p>
      <w:pPr>
        <w:widowControl/>
        <w:spacing w:line="560" w:lineRule="exact"/>
        <w:ind w:firstLine="612" w:firstLineChars="200"/>
        <w:jc w:val="left"/>
        <w:rPr>
          <w:rFonts w:ascii="仿宋" w:hAnsi="仿宋" w:eastAsia="仿宋" w:cs="仿宋"/>
          <w:kern w:val="0"/>
          <w:lang w:bidi="ar"/>
        </w:rPr>
      </w:pPr>
      <w:r>
        <w:rPr>
          <w:rFonts w:hint="eastAsia" w:ascii="仿宋_GB2312" w:hAnsi="仿宋_GB2312" w:cs="仿宋_GB2312"/>
          <w:spacing w:val="-7"/>
          <w:kern w:val="0"/>
          <w:lang w:bidi="zh-CN"/>
        </w:rPr>
        <w:t>——坚持联动协同。</w:t>
      </w:r>
      <w:r>
        <w:rPr>
          <w:rFonts w:hint="eastAsia" w:ascii="仿宋" w:hAnsi="仿宋" w:eastAsia="仿宋" w:cs="仿宋"/>
          <w:kern w:val="0"/>
          <w:lang w:bidi="ar"/>
        </w:rPr>
        <w:t>重视开放型经济与本土经济间的联动效应，坚持需求侧管理与供给侧改革协同并进，促进内外开放融合，努力推动实现“内循环为主、外循环赋能、双循环畅通”。发挥南阳全国性综合交通枢纽的区位优势，进一步联通主要经济中心和辐射腹地，构建现代商贸流通体系，打造价值链“供给—需求”双中心，服务构建“双循环”新发展格局。</w:t>
      </w:r>
    </w:p>
    <w:p>
      <w:pPr>
        <w:pStyle w:val="7"/>
        <w:spacing w:line="560" w:lineRule="exact"/>
        <w:jc w:val="center"/>
        <w:rPr>
          <w:b w:val="0"/>
        </w:rPr>
      </w:pPr>
      <w:bookmarkStart w:id="1643" w:name="_Toc90148098"/>
      <w:bookmarkStart w:id="1644" w:name="_Toc1480118387"/>
      <w:bookmarkStart w:id="1645" w:name="_Toc7085"/>
      <w:bookmarkStart w:id="1646" w:name="_Toc28167"/>
      <w:r>
        <w:rPr>
          <w:rFonts w:hint="eastAsia" w:ascii="楷体" w:hAnsi="仿宋" w:eastAsia="楷体" w:cs="仿宋"/>
          <w:b w:val="0"/>
          <w:szCs w:val="32"/>
          <w:lang w:bidi="zh-CN"/>
        </w:rPr>
        <w:t>第三节 发展定位</w:t>
      </w:r>
      <w:bookmarkEnd w:id="1643"/>
      <w:bookmarkEnd w:id="1644"/>
      <w:bookmarkEnd w:id="1645"/>
    </w:p>
    <w:p>
      <w:pPr>
        <w:spacing w:line="560" w:lineRule="exact"/>
        <w:ind w:firstLine="640" w:firstLineChars="200"/>
        <w:rPr>
          <w:rFonts w:ascii="仿宋" w:hAnsi="仿宋" w:eastAsia="仿宋" w:cs="仿宋"/>
          <w:kern w:val="0"/>
          <w:lang w:bidi="ar"/>
        </w:rPr>
      </w:pPr>
      <w:r>
        <w:rPr>
          <w:rFonts w:hint="eastAsia" w:ascii="仿宋" w:hAnsi="仿宋" w:eastAsia="仿宋" w:cs="仿宋"/>
          <w:kern w:val="0"/>
          <w:lang w:bidi="ar"/>
        </w:rPr>
        <w:t>以河南省副中心城市建设为引领，以建设高水平开放特征鲜明、国内国际循环高效衔接、创新驱动优势突出的开放型强市为目标，积极对接国家对外开放战略，深度融入双循环新发展格局，紧紧围绕稳增长、调结构、增效益、促改革、拓开放、谋发展，把南阳建设成为内陆对外开放重要门户、中部开放型产业基地、国内国际双循环重要枢纽。</w:t>
      </w:r>
    </w:p>
    <w:p>
      <w:pPr>
        <w:spacing w:line="560" w:lineRule="exact"/>
        <w:ind w:firstLine="612" w:firstLineChars="200"/>
        <w:rPr>
          <w:rFonts w:ascii="仿宋" w:hAnsi="仿宋" w:eastAsia="仿宋" w:cs="仿宋"/>
          <w:kern w:val="0"/>
          <w:lang w:bidi="ar"/>
        </w:rPr>
      </w:pPr>
      <w:r>
        <w:rPr>
          <w:rFonts w:hint="eastAsia" w:ascii="仿宋_GB2312" w:hAnsi="仿宋_GB2312" w:cs="仿宋_GB2312"/>
          <w:spacing w:val="-7"/>
          <w:kern w:val="0"/>
          <w:lang w:bidi="zh-CN"/>
        </w:rPr>
        <w:t>——内陆对外开放重要门户。</w:t>
      </w:r>
      <w:r>
        <w:rPr>
          <w:rFonts w:hint="eastAsia" w:ascii="仿宋" w:hAnsi="仿宋" w:eastAsia="仿宋" w:cs="仿宋"/>
          <w:kern w:val="0"/>
          <w:lang w:bidi="ar"/>
        </w:rPr>
        <w:t>加快全国性综合交通枢纽建设，构建统一开放的市场体系，推动营商环境进入全国先进行列，全面深化区域合作，提升</w:t>
      </w:r>
      <w:r>
        <w:rPr>
          <w:rFonts w:hint="eastAsia" w:ascii="仿宋" w:hAnsi="仿宋" w:eastAsia="仿宋" w:cs="仿宋"/>
        </w:rPr>
        <w:t>卧龙综合保税区</w:t>
      </w:r>
      <w:r>
        <w:rPr>
          <w:rFonts w:hint="eastAsia" w:ascii="仿宋" w:hAnsi="仿宋" w:eastAsia="仿宋" w:cs="仿宋"/>
          <w:kern w:val="0"/>
          <w:lang w:bidi="ar"/>
        </w:rPr>
        <w:t>、跨境电商综试区引领带动能力，建成内外联动、安全高效的开放体系，成为内陆对外开放重要门户。</w:t>
      </w:r>
    </w:p>
    <w:p>
      <w:pPr>
        <w:pStyle w:val="25"/>
        <w:spacing w:before="0" w:after="0" w:line="560" w:lineRule="exact"/>
        <w:ind w:firstLine="612" w:firstLineChars="200"/>
        <w:jc w:val="both"/>
        <w:rPr>
          <w:rFonts w:ascii="仿宋" w:hAnsi="仿宋" w:eastAsia="仿宋" w:cs="仿宋"/>
          <w:b w:val="0"/>
          <w:kern w:val="0"/>
          <w:lang w:bidi="ar"/>
        </w:rPr>
      </w:pPr>
      <w:r>
        <w:rPr>
          <w:rFonts w:hint="eastAsia" w:ascii="仿宋_GB2312" w:hAnsi="仿宋_GB2312" w:eastAsia="仿宋_GB2312" w:cs="仿宋_GB2312"/>
          <w:b w:val="0"/>
          <w:bCs w:val="0"/>
          <w:spacing w:val="-7"/>
          <w:kern w:val="0"/>
          <w:lang w:bidi="zh-CN"/>
        </w:rPr>
        <w:t>——中部开放型产业基地。</w:t>
      </w:r>
      <w:r>
        <w:rPr>
          <w:rFonts w:hint="eastAsia" w:ascii="仿宋" w:hAnsi="仿宋" w:eastAsia="仿宋" w:cs="仿宋"/>
          <w:b w:val="0"/>
          <w:kern w:val="0"/>
          <w:lang w:bidi="ar"/>
        </w:rPr>
        <w:t>强化创新驱动，吸引高端要素集聚，大力发展跨境电子商务，培育壮大与开放型经济关联的先进制造业、现代服务业和现代农业，促进产业集群发展，打造生产和消费供应链重要节点，成为中部地区重要的货物和服务进出口基地。</w:t>
      </w:r>
    </w:p>
    <w:p>
      <w:pPr>
        <w:spacing w:line="560" w:lineRule="exact"/>
        <w:ind w:firstLine="612" w:firstLineChars="200"/>
      </w:pPr>
      <w:r>
        <w:rPr>
          <w:rFonts w:hint="eastAsia" w:ascii="仿宋_GB2312" w:hAnsi="仿宋_GB2312" w:cs="仿宋_GB2312"/>
          <w:spacing w:val="-7"/>
          <w:kern w:val="0"/>
          <w:lang w:bidi="zh-CN"/>
        </w:rPr>
        <w:t>——国内国际双循环重要枢纽。</w:t>
      </w:r>
      <w:r>
        <w:rPr>
          <w:rFonts w:hint="eastAsia" w:ascii="仿宋" w:hAnsi="仿宋" w:eastAsia="仿宋" w:cs="仿宋"/>
          <w:kern w:val="0"/>
          <w:lang w:bidi="ar"/>
        </w:rPr>
        <w:t>加快建设现代流通体系，全面建成商贸服务型国家物流枢纽承载城市。积极利用国际国内两个市场、两种资源，深化与欧盟、东盟、日韩等重点市场区域的合作，拓展“一带一路”沿线国家（地区）贸易网络，推动开放型经济量稳质升，成为国内大循环的重要节点城市和国内国际双循环战略链接重要枢纽城市。</w:t>
      </w:r>
      <w:bookmarkEnd w:id="1646"/>
      <w:bookmarkStart w:id="1647" w:name="_Toc30898"/>
    </w:p>
    <w:p>
      <w:pPr>
        <w:pStyle w:val="7"/>
        <w:spacing w:line="560" w:lineRule="exact"/>
        <w:jc w:val="center"/>
        <w:rPr>
          <w:b w:val="0"/>
        </w:rPr>
      </w:pPr>
      <w:bookmarkStart w:id="1648" w:name="_Toc1200328501"/>
      <w:r>
        <w:rPr>
          <w:rFonts w:hint="eastAsia" w:ascii="楷体" w:hAnsi="仿宋" w:eastAsia="楷体" w:cs="仿宋"/>
          <w:b w:val="0"/>
          <w:szCs w:val="32"/>
          <w:lang w:bidi="zh-CN"/>
        </w:rPr>
        <w:t>第四节 发展战略</w:t>
      </w:r>
      <w:bookmarkEnd w:id="1647"/>
      <w:bookmarkEnd w:id="1648"/>
    </w:p>
    <w:p>
      <w:pPr>
        <w:widowControl/>
        <w:spacing w:line="560" w:lineRule="exact"/>
        <w:ind w:firstLine="640" w:firstLineChars="200"/>
        <w:jc w:val="left"/>
        <w:rPr>
          <w:rFonts w:ascii="仿宋" w:hAnsi="仿宋" w:eastAsia="仿宋" w:cs="仿宋"/>
          <w:kern w:val="0"/>
          <w:lang w:bidi="ar"/>
        </w:rPr>
      </w:pPr>
      <w:r>
        <w:rPr>
          <w:rFonts w:hint="eastAsia" w:ascii="仿宋" w:hAnsi="仿宋" w:eastAsia="仿宋" w:cs="仿宋"/>
          <w:kern w:val="0"/>
          <w:lang w:bidi="ar"/>
        </w:rPr>
        <w:t>围绕战略定位，以“开放突破”“项目带动”“主体壮大”“平台支撑”“营商环境优化”五个重点路径，实现“五个显著提升”。</w:t>
      </w:r>
    </w:p>
    <w:p>
      <w:pPr>
        <w:widowControl/>
        <w:spacing w:line="560" w:lineRule="exact"/>
        <w:ind w:firstLine="612" w:firstLineChars="200"/>
        <w:jc w:val="left"/>
        <w:rPr>
          <w:rFonts w:ascii="仿宋" w:hAnsi="仿宋" w:eastAsia="仿宋" w:cs="仿宋"/>
          <w:kern w:val="0"/>
          <w:lang w:bidi="ar"/>
        </w:rPr>
      </w:pPr>
      <w:r>
        <w:rPr>
          <w:rFonts w:hint="eastAsia" w:ascii="仿宋_GB2312" w:hAnsi="仿宋_GB2312" w:cs="仿宋_GB2312"/>
          <w:spacing w:val="-7"/>
          <w:kern w:val="0"/>
          <w:lang w:bidi="zh-CN"/>
        </w:rPr>
        <w:t>——实施开放突破战略。</w:t>
      </w:r>
      <w:r>
        <w:rPr>
          <w:rFonts w:hint="eastAsia" w:ascii="仿宋" w:hAnsi="仿宋" w:eastAsia="仿宋" w:cs="仿宋"/>
          <w:kern w:val="0"/>
          <w:lang w:bidi="ar"/>
        </w:rPr>
        <w:t>着眼国家战略布局，积极参与国际、国内和区域分工合作，融入全球新型产业链、价值链、供应链体系，实现南阳在全国开放发展格局中地位显著提升。</w:t>
      </w:r>
    </w:p>
    <w:p>
      <w:pPr>
        <w:widowControl/>
        <w:spacing w:line="560" w:lineRule="exact"/>
        <w:ind w:firstLine="612" w:firstLineChars="200"/>
        <w:jc w:val="left"/>
        <w:rPr>
          <w:rFonts w:ascii="仿宋" w:hAnsi="仿宋" w:eastAsia="仿宋" w:cs="仿宋"/>
          <w:kern w:val="0"/>
          <w:lang w:bidi="ar"/>
        </w:rPr>
      </w:pPr>
      <w:r>
        <w:rPr>
          <w:rFonts w:hint="eastAsia" w:ascii="仿宋_GB2312" w:hAnsi="仿宋_GB2312" w:cs="仿宋_GB2312"/>
          <w:spacing w:val="-7"/>
          <w:kern w:val="0"/>
          <w:lang w:bidi="zh-CN"/>
        </w:rPr>
        <w:t>——实施项目带动战略。</w:t>
      </w:r>
      <w:r>
        <w:rPr>
          <w:rFonts w:hint="eastAsia" w:ascii="仿宋" w:hAnsi="仿宋" w:eastAsia="仿宋" w:cs="仿宋"/>
          <w:kern w:val="0"/>
          <w:lang w:bidi="ar"/>
        </w:rPr>
        <w:t>树立“项目为王”鲜明导向，从项目切入、以项目推动、用项目支撑，全力引项目育企业，实现开放型经济总量规模显著提升。</w:t>
      </w:r>
    </w:p>
    <w:p>
      <w:pPr>
        <w:widowControl/>
        <w:spacing w:line="560" w:lineRule="exact"/>
        <w:ind w:firstLine="612" w:firstLineChars="200"/>
        <w:jc w:val="left"/>
        <w:rPr>
          <w:rFonts w:ascii="仿宋" w:hAnsi="仿宋" w:eastAsia="仿宋" w:cs="仿宋"/>
          <w:kern w:val="0"/>
          <w:lang w:bidi="ar"/>
        </w:rPr>
      </w:pPr>
      <w:r>
        <w:rPr>
          <w:rFonts w:hint="eastAsia" w:ascii="仿宋_GB2312" w:hAnsi="仿宋_GB2312" w:cs="仿宋_GB2312"/>
          <w:spacing w:val="-7"/>
          <w:kern w:val="0"/>
          <w:lang w:bidi="zh-CN"/>
        </w:rPr>
        <w:t>——实施主体壮大战略。</w:t>
      </w:r>
      <w:r>
        <w:rPr>
          <w:rFonts w:hint="eastAsia" w:ascii="仿宋" w:hAnsi="仿宋" w:eastAsia="仿宋" w:cs="仿宋"/>
          <w:kern w:val="0"/>
          <w:lang w:bidi="ar"/>
        </w:rPr>
        <w:t>推动重点产业开放发展，引育更多具有国际竞争力和国际视野的开放型经济市场主体，推动升级优化，实现开放型经济市场主体数量和质量显著提升。</w:t>
      </w:r>
    </w:p>
    <w:p>
      <w:pPr>
        <w:widowControl/>
        <w:spacing w:line="560" w:lineRule="exact"/>
        <w:ind w:firstLine="612" w:firstLineChars="200"/>
        <w:jc w:val="left"/>
        <w:rPr>
          <w:rFonts w:ascii="仿宋" w:hAnsi="仿宋" w:eastAsia="仿宋" w:cs="仿宋"/>
          <w:kern w:val="0"/>
          <w:lang w:bidi="ar"/>
        </w:rPr>
      </w:pPr>
      <w:r>
        <w:rPr>
          <w:rFonts w:hint="eastAsia" w:ascii="仿宋_GB2312" w:hAnsi="仿宋_GB2312" w:cs="仿宋_GB2312"/>
          <w:spacing w:val="-7"/>
          <w:kern w:val="0"/>
          <w:lang w:bidi="zh-CN"/>
        </w:rPr>
        <w:t>——实施平台支撑战略。</w:t>
      </w:r>
      <w:r>
        <w:rPr>
          <w:rFonts w:hint="eastAsia" w:ascii="仿宋" w:hAnsi="仿宋" w:eastAsia="仿宋" w:cs="仿宋"/>
          <w:kern w:val="0"/>
          <w:lang w:bidi="ar"/>
        </w:rPr>
        <w:t>突出提档升级导向，推动开发区、</w:t>
      </w:r>
      <w:r>
        <w:rPr>
          <w:rFonts w:hint="eastAsia" w:ascii="仿宋" w:hAnsi="仿宋" w:eastAsia="仿宋" w:cs="仿宋"/>
          <w:kern w:val="0"/>
          <w:lang w:eastAsia="zh-Hans" w:bidi="ar"/>
        </w:rPr>
        <w:t>开放</w:t>
      </w:r>
      <w:r>
        <w:rPr>
          <w:rFonts w:hint="eastAsia" w:ascii="仿宋" w:hAnsi="仿宋" w:eastAsia="仿宋" w:cs="仿宋"/>
          <w:kern w:val="0"/>
          <w:lang w:bidi="ar"/>
        </w:rPr>
        <w:t>平台创新转型、功能拓展，实现平台功能对开放的支撑力和贡献度显著提升。</w:t>
      </w:r>
    </w:p>
    <w:p>
      <w:pPr>
        <w:pStyle w:val="25"/>
        <w:spacing w:before="0" w:after="0" w:line="560" w:lineRule="exact"/>
        <w:ind w:firstLine="640"/>
        <w:jc w:val="left"/>
        <w:rPr>
          <w:b w:val="0"/>
        </w:rPr>
      </w:pPr>
      <w:r>
        <w:rPr>
          <w:rFonts w:hint="eastAsia" w:ascii="仿宋_GB2312" w:hAnsi="仿宋_GB2312" w:eastAsia="仿宋_GB2312" w:cs="仿宋_GB2312"/>
          <w:b w:val="0"/>
          <w:spacing w:val="-7"/>
          <w:kern w:val="0"/>
          <w:lang w:bidi="zh-CN"/>
        </w:rPr>
        <w:t>——实施营商环境优化战略</w:t>
      </w:r>
      <w:r>
        <w:rPr>
          <w:rFonts w:hint="eastAsia" w:ascii="仿宋" w:hAnsi="仿宋" w:eastAsia="仿宋" w:cs="仿宋"/>
          <w:b w:val="0"/>
          <w:bCs w:val="0"/>
          <w:kern w:val="0"/>
          <w:lang w:bidi="ar"/>
        </w:rPr>
        <w:t>。</w:t>
      </w:r>
      <w:r>
        <w:rPr>
          <w:rFonts w:hint="eastAsia" w:ascii="仿宋" w:hAnsi="仿宋" w:eastAsia="仿宋" w:cs="仿宋"/>
          <w:b w:val="0"/>
          <w:kern w:val="0"/>
          <w:lang w:bidi="ar"/>
        </w:rPr>
        <w:t>以市场主体需求为导向，切实转变政府职能，形成政府有为、服务有效、市场有序、企业有利的新局面，实现市场主体对营商环境的满意度显著提升。</w:t>
      </w:r>
      <w:bookmarkStart w:id="1649" w:name="_Toc16678"/>
    </w:p>
    <w:p>
      <w:pPr>
        <w:pStyle w:val="7"/>
        <w:spacing w:line="560" w:lineRule="exact"/>
        <w:jc w:val="center"/>
        <w:rPr>
          <w:b w:val="0"/>
        </w:rPr>
      </w:pPr>
      <w:bookmarkStart w:id="1650" w:name="_Toc957858953"/>
      <w:r>
        <w:rPr>
          <w:rFonts w:hint="eastAsia" w:ascii="楷体" w:hAnsi="仿宋" w:eastAsia="楷体" w:cs="仿宋"/>
          <w:b w:val="0"/>
          <w:szCs w:val="32"/>
          <w:lang w:bidi="zh-CN"/>
        </w:rPr>
        <w:t>第五节 发展目标</w:t>
      </w:r>
      <w:bookmarkEnd w:id="1649"/>
      <w:bookmarkEnd w:id="1650"/>
    </w:p>
    <w:p>
      <w:pPr>
        <w:widowControl/>
        <w:spacing w:line="560" w:lineRule="exact"/>
        <w:ind w:firstLine="640" w:firstLineChars="200"/>
        <w:jc w:val="left"/>
        <w:rPr>
          <w:rFonts w:ascii="仿宋" w:hAnsi="仿宋" w:eastAsia="仿宋" w:cs="仿宋"/>
        </w:rPr>
      </w:pPr>
      <w:r>
        <w:rPr>
          <w:rFonts w:hint="eastAsia" w:ascii="仿宋" w:hAnsi="仿宋" w:eastAsia="仿宋" w:cs="仿宋"/>
        </w:rPr>
        <w:t>围绕河南省副中心城市建设，对标到2035年基本建成现代化南阳的远景目标和“十四五”时期南阳市经济社会发展目标，全市开放发展主要目标如下。</w:t>
      </w:r>
    </w:p>
    <w:p>
      <w:pPr>
        <w:widowControl/>
        <w:spacing w:line="560" w:lineRule="exact"/>
        <w:ind w:firstLine="640" w:firstLineChars="200"/>
        <w:jc w:val="left"/>
        <w:rPr>
          <w:rFonts w:ascii="仿宋" w:hAnsi="仿宋" w:eastAsia="仿宋" w:cs="仿宋"/>
        </w:rPr>
      </w:pPr>
      <w:r>
        <w:rPr>
          <w:rFonts w:hint="eastAsia" w:ascii="仿宋" w:hAnsi="仿宋" w:eastAsia="仿宋" w:cs="仿宋"/>
        </w:rPr>
        <w:t>到2035年，更高水平开放型经济新体制基本形成，区域性对外开放高地全面建成，以开放型经济为引领的现代产业体系更加完善，融入共建“一带一路”水平大幅提升，营商环境进入全国先进行列，国内大循环重要支点城市和国内国际双循环战略链接重要枢纽城市地位基本确立，基本成为开放强市。</w:t>
      </w:r>
    </w:p>
    <w:p>
      <w:pPr>
        <w:widowControl/>
        <w:spacing w:line="560" w:lineRule="exact"/>
        <w:ind w:firstLine="640" w:firstLineChars="200"/>
        <w:jc w:val="left"/>
        <w:rPr>
          <w:rFonts w:ascii="仿宋" w:hAnsi="仿宋" w:eastAsia="仿宋" w:cs="仿宋"/>
        </w:rPr>
      </w:pPr>
      <w:r>
        <w:rPr>
          <w:rFonts w:hint="eastAsia" w:ascii="仿宋" w:hAnsi="仿宋" w:eastAsia="仿宋" w:cs="仿宋"/>
        </w:rPr>
        <w:t>“十四五”时期，要努力实现以下目标：</w:t>
      </w:r>
    </w:p>
    <w:p>
      <w:pPr>
        <w:widowControl/>
        <w:spacing w:line="560" w:lineRule="exact"/>
        <w:ind w:firstLine="612" w:firstLineChars="200"/>
        <w:jc w:val="left"/>
        <w:rPr>
          <w:rFonts w:ascii="仿宋" w:hAnsi="仿宋" w:eastAsia="仿宋" w:cs="仿宋"/>
        </w:rPr>
      </w:pPr>
      <w:r>
        <w:rPr>
          <w:rFonts w:hint="eastAsia" w:ascii="仿宋_GB2312" w:hAnsi="仿宋_GB2312" w:cs="仿宋_GB2312"/>
          <w:spacing w:val="-7"/>
          <w:kern w:val="0"/>
          <w:lang w:bidi="zh-CN"/>
        </w:rPr>
        <w:t>——开放型经济综合实力再上新台阶。</w:t>
      </w:r>
      <w:r>
        <w:rPr>
          <w:rFonts w:hint="eastAsia" w:ascii="仿宋" w:hAnsi="仿宋" w:eastAsia="仿宋" w:cs="仿宋"/>
        </w:rPr>
        <w:t>“十四五”全市进出口总额累计突破900亿。2025年全市外贸进出口总额达到300亿元。外贸新业态蓬勃发展，跨境电商进出口额年均增长20%以上，建成跨境电商中部区域集聚中心。</w:t>
      </w:r>
    </w:p>
    <w:p>
      <w:pPr>
        <w:widowControl/>
        <w:spacing w:line="560" w:lineRule="exact"/>
        <w:ind w:firstLine="612" w:firstLineChars="200"/>
        <w:jc w:val="left"/>
        <w:rPr>
          <w:rFonts w:ascii="仿宋" w:hAnsi="仿宋" w:eastAsia="仿宋" w:cs="仿宋"/>
        </w:rPr>
      </w:pPr>
      <w:r>
        <w:rPr>
          <w:rFonts w:hint="eastAsia" w:ascii="仿宋_GB2312" w:hAnsi="仿宋_GB2312" w:cs="仿宋_GB2312"/>
          <w:spacing w:val="-7"/>
          <w:kern w:val="0"/>
          <w:lang w:bidi="zh-CN"/>
        </w:rPr>
        <w:t>——双向开放呈现新突破。</w:t>
      </w:r>
      <w:r>
        <w:rPr>
          <w:rFonts w:hint="eastAsia" w:ascii="仿宋" w:hAnsi="仿宋" w:eastAsia="仿宋" w:cs="仿宋"/>
        </w:rPr>
        <w:t>加强国际产能合作，实现投资领域更趋多元，对外承包工程水平日益提升，对外劳务合作稳步推进。实际利用外商直接投资达到15亿美元，利用省外资金达到1000亿元；累计引进“三类500强”投资项目50个。</w:t>
      </w:r>
    </w:p>
    <w:p>
      <w:pPr>
        <w:widowControl/>
        <w:spacing w:line="560" w:lineRule="exact"/>
        <w:ind w:firstLine="612" w:firstLineChars="200"/>
        <w:jc w:val="left"/>
        <w:rPr>
          <w:rFonts w:ascii="仿宋" w:hAnsi="仿宋" w:eastAsia="仿宋" w:cs="仿宋"/>
        </w:rPr>
      </w:pPr>
      <w:r>
        <w:rPr>
          <w:rFonts w:hint="eastAsia" w:ascii="仿宋_GB2312" w:hAnsi="仿宋_GB2312" w:cs="仿宋_GB2312"/>
          <w:spacing w:val="-7"/>
          <w:kern w:val="0"/>
          <w:lang w:bidi="zh-CN"/>
        </w:rPr>
        <w:t>——开放平台效能实现新提升。</w:t>
      </w:r>
      <w:r>
        <w:rPr>
          <w:rFonts w:hint="eastAsia" w:ascii="仿宋" w:hAnsi="仿宋" w:eastAsia="仿宋" w:cs="仿宋"/>
        </w:rPr>
        <w:t>南阳跨境电商综试区、卧龙综合保税区开放引领作用更加凸显，全面完成河南自贸试验区南阳开放创新联动区创建与改革任务，形成一批有较强竞争力的制度创新成果。开发区主阵地主战场主引擎作用大幅提升，管理体制和运营机制更加精简高效。</w:t>
      </w:r>
    </w:p>
    <w:p>
      <w:pPr>
        <w:widowControl/>
        <w:spacing w:line="560" w:lineRule="exact"/>
        <w:ind w:firstLine="572" w:firstLineChars="200"/>
        <w:jc w:val="left"/>
        <w:rPr>
          <w:rFonts w:ascii="仿宋" w:hAnsi="仿宋" w:eastAsia="仿宋" w:cs="仿宋"/>
        </w:rPr>
      </w:pPr>
      <w:r>
        <w:rPr>
          <w:rFonts w:hint="eastAsia" w:ascii="仿宋_GB2312" w:hAnsi="仿宋_GB2312" w:cs="仿宋_GB2312"/>
          <w:spacing w:val="-7"/>
          <w:kern w:val="0"/>
          <w:sz w:val="30"/>
          <w:szCs w:val="30"/>
          <w:lang w:bidi="zh-CN"/>
        </w:rPr>
        <w:t>——开放通道得到新拓展。</w:t>
      </w:r>
      <w:r>
        <w:rPr>
          <w:rFonts w:hint="eastAsia" w:ascii="仿宋" w:hAnsi="仿宋" w:eastAsia="仿宋" w:cs="仿宋"/>
        </w:rPr>
        <w:t>紧扣国家开放战略，拓展海外通道，构建空中、陆上、网上、海上“四路协同”立体开放通道体系，提升连通境内外、辐射全国的物流通道枢纽优势。将南阳机场打造为区域性航空货运枢纽，年货邮吞吐量力争达到20000吨。中欧班列（南阳）开行量达到300列。</w:t>
      </w:r>
    </w:p>
    <w:p>
      <w:pPr>
        <w:widowControl/>
        <w:spacing w:line="560" w:lineRule="exact"/>
        <w:ind w:firstLine="572" w:firstLineChars="200"/>
        <w:jc w:val="left"/>
        <w:rPr>
          <w:rFonts w:ascii="仿宋" w:hAnsi="仿宋" w:eastAsia="仿宋" w:cs="仿宋"/>
        </w:rPr>
      </w:pPr>
      <w:r>
        <w:rPr>
          <w:rFonts w:hint="eastAsia" w:ascii="仿宋_GB2312" w:hAnsi="仿宋_GB2312" w:cs="仿宋_GB2312"/>
          <w:spacing w:val="-7"/>
          <w:kern w:val="0"/>
          <w:sz w:val="30"/>
          <w:szCs w:val="30"/>
          <w:lang w:bidi="zh-CN"/>
        </w:rPr>
        <w:t>——开放机制建设取得新成效。</w:t>
      </w:r>
      <w:r>
        <w:rPr>
          <w:rFonts w:hint="eastAsia" w:ascii="仿宋" w:hAnsi="仿宋" w:eastAsia="仿宋" w:cs="仿宋"/>
        </w:rPr>
        <w:t>对外开放各项体制机制日趋健全，投资便利化、贸易自由化水平大幅提升，政务环境、市场环境、法治环境、社会环境得到明显改善，逐步实现与国际惯例接轨。</w:t>
      </w:r>
      <w:bookmarkStart w:id="1651" w:name="_Toc15647"/>
    </w:p>
    <w:tbl>
      <w:tblPr>
        <w:tblStyle w:val="27"/>
        <w:tblW w:w="50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813"/>
        <w:gridCol w:w="4243"/>
        <w:gridCol w:w="1139"/>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000" w:type="pct"/>
            <w:gridSpan w:val="5"/>
            <w:tcBorders>
              <w:tl2br w:val="nil"/>
              <w:tr2bl w:val="nil"/>
            </w:tcBorders>
            <w:vAlign w:val="center"/>
          </w:tcPr>
          <w:p>
            <w:pPr>
              <w:widowControl/>
              <w:spacing w:line="560" w:lineRule="exact"/>
              <w:jc w:val="center"/>
              <w:rPr>
                <w:rFonts w:ascii="黑体" w:hAnsi="黑体" w:eastAsia="黑体" w:cs="黑体"/>
                <w:sz w:val="24"/>
                <w:szCs w:val="24"/>
              </w:rPr>
            </w:pPr>
            <w:r>
              <w:rPr>
                <w:rFonts w:hint="eastAsia" w:ascii="黑体" w:hAnsi="黑体" w:eastAsia="黑体" w:cs="仿宋"/>
                <w:kern w:val="0"/>
                <w:sz w:val="28"/>
                <w:szCs w:val="22"/>
                <w:lang w:bidi="zh-CN"/>
              </w:rPr>
              <w:t>表 2：“十四五”南阳开放发展主要任务指标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15" w:type="pct"/>
            <w:tcBorders>
              <w:tl2br w:val="nil"/>
              <w:tr2bl w:val="nil"/>
            </w:tcBorders>
            <w:vAlign w:val="center"/>
          </w:tcPr>
          <w:p>
            <w:pPr>
              <w:spacing w:line="220" w:lineRule="exact"/>
              <w:jc w:val="center"/>
              <w:rPr>
                <w:rFonts w:ascii="黑体" w:hAnsi="黑体" w:eastAsia="黑体" w:cs="黑体"/>
                <w:sz w:val="24"/>
                <w:szCs w:val="24"/>
              </w:rPr>
            </w:pPr>
            <w:r>
              <w:rPr>
                <w:rFonts w:hint="eastAsia" w:ascii="黑体" w:hAnsi="黑体" w:eastAsia="黑体" w:cs="黑体"/>
                <w:sz w:val="24"/>
                <w:szCs w:val="24"/>
              </w:rPr>
              <w:t>类别</w:t>
            </w:r>
          </w:p>
        </w:tc>
        <w:tc>
          <w:tcPr>
            <w:tcW w:w="448" w:type="pct"/>
            <w:tcBorders>
              <w:tl2br w:val="nil"/>
              <w:tr2bl w:val="nil"/>
            </w:tcBorders>
            <w:vAlign w:val="center"/>
          </w:tcPr>
          <w:p>
            <w:pPr>
              <w:spacing w:line="220" w:lineRule="exact"/>
              <w:jc w:val="center"/>
              <w:rPr>
                <w:rFonts w:ascii="黑体" w:hAnsi="黑体" w:eastAsia="黑体" w:cs="黑体"/>
                <w:sz w:val="24"/>
                <w:szCs w:val="24"/>
              </w:rPr>
            </w:pPr>
            <w:r>
              <w:rPr>
                <w:rFonts w:hint="eastAsia" w:ascii="黑体" w:hAnsi="黑体" w:eastAsia="黑体" w:cs="黑体"/>
                <w:sz w:val="24"/>
                <w:szCs w:val="24"/>
              </w:rPr>
              <w:t>序号</w:t>
            </w:r>
          </w:p>
        </w:tc>
        <w:tc>
          <w:tcPr>
            <w:tcW w:w="2339" w:type="pct"/>
            <w:tcBorders>
              <w:tl2br w:val="nil"/>
              <w:tr2bl w:val="nil"/>
            </w:tcBorders>
            <w:vAlign w:val="center"/>
          </w:tcPr>
          <w:p>
            <w:pPr>
              <w:spacing w:line="220" w:lineRule="exact"/>
              <w:jc w:val="center"/>
              <w:rPr>
                <w:rFonts w:ascii="黑体" w:hAnsi="黑体" w:eastAsia="黑体" w:cs="黑体"/>
                <w:sz w:val="24"/>
                <w:szCs w:val="24"/>
              </w:rPr>
            </w:pPr>
            <w:r>
              <w:rPr>
                <w:rFonts w:hint="eastAsia" w:ascii="黑体" w:hAnsi="黑体" w:eastAsia="黑体" w:cs="黑体"/>
                <w:sz w:val="24"/>
                <w:szCs w:val="24"/>
              </w:rPr>
              <w:t>主要指标</w:t>
            </w:r>
          </w:p>
        </w:tc>
        <w:tc>
          <w:tcPr>
            <w:tcW w:w="628" w:type="pct"/>
            <w:tcBorders>
              <w:tl2br w:val="nil"/>
              <w:tr2bl w:val="nil"/>
            </w:tcBorders>
            <w:vAlign w:val="center"/>
          </w:tcPr>
          <w:p>
            <w:pPr>
              <w:spacing w:line="220" w:lineRule="exact"/>
              <w:jc w:val="center"/>
              <w:rPr>
                <w:rFonts w:ascii="黑体" w:hAnsi="黑体" w:eastAsia="黑体" w:cs="黑体"/>
                <w:sz w:val="24"/>
                <w:szCs w:val="24"/>
              </w:rPr>
            </w:pPr>
            <w:r>
              <w:rPr>
                <w:rFonts w:hint="eastAsia" w:ascii="黑体" w:hAnsi="黑体" w:eastAsia="黑体" w:cs="黑体"/>
                <w:sz w:val="24"/>
                <w:szCs w:val="24"/>
              </w:rPr>
              <w:t>2020年</w:t>
            </w:r>
          </w:p>
        </w:tc>
        <w:tc>
          <w:tcPr>
            <w:tcW w:w="968" w:type="pct"/>
            <w:tcBorders>
              <w:tl2br w:val="nil"/>
              <w:tr2bl w:val="nil"/>
            </w:tcBorders>
            <w:vAlign w:val="center"/>
          </w:tcPr>
          <w:p>
            <w:pPr>
              <w:spacing w:line="220" w:lineRule="exact"/>
              <w:jc w:val="center"/>
              <w:rPr>
                <w:rFonts w:ascii="黑体" w:hAnsi="黑体" w:eastAsia="黑体" w:cs="黑体"/>
                <w:sz w:val="24"/>
                <w:szCs w:val="24"/>
              </w:rPr>
            </w:pPr>
            <w:r>
              <w:rPr>
                <w:rFonts w:hint="eastAsia" w:ascii="黑体" w:hAnsi="黑体" w:eastAsia="黑体" w:cs="黑体"/>
                <w:sz w:val="24"/>
                <w:szCs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5" w:type="pct"/>
            <w:vMerge w:val="restart"/>
            <w:tcBorders>
              <w:tl2br w:val="nil"/>
              <w:tr2bl w:val="nil"/>
            </w:tcBorders>
            <w:vAlign w:val="center"/>
          </w:tcPr>
          <w:p>
            <w:pPr>
              <w:spacing w:line="220" w:lineRule="exact"/>
              <w:rPr>
                <w:sz w:val="21"/>
                <w:szCs w:val="21"/>
              </w:rPr>
            </w:pPr>
            <w:r>
              <w:rPr>
                <w:rFonts w:hint="eastAsia"/>
                <w:sz w:val="21"/>
                <w:szCs w:val="21"/>
              </w:rPr>
              <w:t>对外贸易</w:t>
            </w:r>
          </w:p>
        </w:tc>
        <w:tc>
          <w:tcPr>
            <w:tcW w:w="448" w:type="pct"/>
            <w:tcBorders>
              <w:tl2br w:val="nil"/>
              <w:tr2bl w:val="nil"/>
            </w:tcBorders>
            <w:vAlign w:val="center"/>
          </w:tcPr>
          <w:p>
            <w:pPr>
              <w:spacing w:line="220" w:lineRule="exact"/>
              <w:jc w:val="center"/>
              <w:rPr>
                <w:sz w:val="21"/>
                <w:szCs w:val="21"/>
              </w:rPr>
            </w:pPr>
            <w:r>
              <w:rPr>
                <w:rFonts w:hint="eastAsia"/>
                <w:sz w:val="21"/>
                <w:szCs w:val="21"/>
              </w:rPr>
              <w:t>1</w:t>
            </w:r>
          </w:p>
        </w:tc>
        <w:tc>
          <w:tcPr>
            <w:tcW w:w="2339" w:type="pct"/>
            <w:tcBorders>
              <w:tl2br w:val="nil"/>
              <w:tr2bl w:val="nil"/>
            </w:tcBorders>
            <w:vAlign w:val="center"/>
          </w:tcPr>
          <w:p>
            <w:pPr>
              <w:spacing w:line="220" w:lineRule="exact"/>
              <w:rPr>
                <w:sz w:val="21"/>
                <w:szCs w:val="21"/>
              </w:rPr>
            </w:pPr>
            <w:r>
              <w:rPr>
                <w:rFonts w:hint="eastAsia"/>
                <w:sz w:val="21"/>
                <w:szCs w:val="21"/>
              </w:rPr>
              <w:t>货物贸易进出口总额（亿元）</w:t>
            </w:r>
          </w:p>
        </w:tc>
        <w:tc>
          <w:tcPr>
            <w:tcW w:w="628" w:type="pct"/>
            <w:tcBorders>
              <w:tl2br w:val="nil"/>
              <w:tr2bl w:val="nil"/>
            </w:tcBorders>
            <w:vAlign w:val="center"/>
          </w:tcPr>
          <w:p>
            <w:pPr>
              <w:spacing w:line="220" w:lineRule="exact"/>
              <w:rPr>
                <w:sz w:val="21"/>
                <w:szCs w:val="21"/>
              </w:rPr>
            </w:pPr>
            <w:r>
              <w:rPr>
                <w:rFonts w:hint="eastAsia"/>
                <w:sz w:val="21"/>
                <w:szCs w:val="21"/>
              </w:rPr>
              <w:t>128.6</w:t>
            </w:r>
          </w:p>
        </w:tc>
        <w:tc>
          <w:tcPr>
            <w:tcW w:w="968" w:type="pct"/>
            <w:tcBorders>
              <w:tl2br w:val="nil"/>
              <w:tr2bl w:val="nil"/>
            </w:tcBorders>
            <w:vAlign w:val="center"/>
          </w:tcPr>
          <w:p>
            <w:pPr>
              <w:spacing w:line="220" w:lineRule="exact"/>
              <w:rPr>
                <w:sz w:val="21"/>
                <w:szCs w:val="21"/>
              </w:rPr>
            </w:pPr>
            <w:r>
              <w:rPr>
                <w:rFonts w:hint="eastAsia"/>
                <w:sz w:val="21"/>
                <w:szCs w:val="21"/>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5" w:type="pct"/>
            <w:vMerge w:val="continue"/>
            <w:tcBorders>
              <w:tl2br w:val="nil"/>
              <w:tr2bl w:val="nil"/>
            </w:tcBorders>
            <w:vAlign w:val="center"/>
          </w:tcPr>
          <w:p>
            <w:pPr>
              <w:spacing w:line="220" w:lineRule="exact"/>
              <w:rPr>
                <w:sz w:val="21"/>
                <w:szCs w:val="21"/>
              </w:rPr>
            </w:pPr>
          </w:p>
        </w:tc>
        <w:tc>
          <w:tcPr>
            <w:tcW w:w="448" w:type="pct"/>
            <w:tcBorders>
              <w:tl2br w:val="nil"/>
              <w:tr2bl w:val="nil"/>
            </w:tcBorders>
            <w:vAlign w:val="center"/>
          </w:tcPr>
          <w:p>
            <w:pPr>
              <w:spacing w:line="220" w:lineRule="exact"/>
              <w:jc w:val="center"/>
              <w:rPr>
                <w:sz w:val="21"/>
                <w:szCs w:val="21"/>
              </w:rPr>
            </w:pPr>
            <w:r>
              <w:rPr>
                <w:rFonts w:hint="eastAsia"/>
                <w:sz w:val="21"/>
                <w:szCs w:val="21"/>
              </w:rPr>
              <w:t>2</w:t>
            </w:r>
          </w:p>
        </w:tc>
        <w:tc>
          <w:tcPr>
            <w:tcW w:w="2339" w:type="pct"/>
            <w:tcBorders>
              <w:tl2br w:val="nil"/>
              <w:tr2bl w:val="nil"/>
            </w:tcBorders>
            <w:vAlign w:val="center"/>
          </w:tcPr>
          <w:p>
            <w:pPr>
              <w:spacing w:line="220" w:lineRule="exact"/>
              <w:rPr>
                <w:sz w:val="21"/>
                <w:szCs w:val="21"/>
              </w:rPr>
            </w:pPr>
            <w:r>
              <w:rPr>
                <w:rFonts w:hint="eastAsia"/>
                <w:sz w:val="21"/>
                <w:szCs w:val="21"/>
              </w:rPr>
              <w:t>服务贸易进出口总额（亿元）</w:t>
            </w:r>
          </w:p>
        </w:tc>
        <w:tc>
          <w:tcPr>
            <w:tcW w:w="628" w:type="pct"/>
            <w:tcBorders>
              <w:tl2br w:val="nil"/>
              <w:tr2bl w:val="nil"/>
            </w:tcBorders>
            <w:vAlign w:val="center"/>
          </w:tcPr>
          <w:p>
            <w:pPr>
              <w:spacing w:line="220" w:lineRule="exact"/>
              <w:rPr>
                <w:sz w:val="21"/>
                <w:szCs w:val="21"/>
              </w:rPr>
            </w:pPr>
            <w:r>
              <w:rPr>
                <w:rFonts w:hint="eastAsia"/>
                <w:sz w:val="21"/>
                <w:szCs w:val="21"/>
              </w:rPr>
              <w:t>-</w:t>
            </w:r>
          </w:p>
        </w:tc>
        <w:tc>
          <w:tcPr>
            <w:tcW w:w="968" w:type="pct"/>
            <w:tcBorders>
              <w:tl2br w:val="nil"/>
              <w:tr2bl w:val="nil"/>
            </w:tcBorders>
            <w:vAlign w:val="center"/>
          </w:tcPr>
          <w:p>
            <w:pPr>
              <w:spacing w:line="220" w:lineRule="exact"/>
              <w:rPr>
                <w:sz w:val="21"/>
                <w:szCs w:val="21"/>
              </w:rPr>
            </w:pPr>
            <w:r>
              <w:rPr>
                <w:rFonts w:hint="eastAsia"/>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5" w:type="pct"/>
            <w:vMerge w:val="continue"/>
            <w:tcBorders>
              <w:tl2br w:val="nil"/>
              <w:tr2bl w:val="nil"/>
            </w:tcBorders>
            <w:vAlign w:val="center"/>
          </w:tcPr>
          <w:p>
            <w:pPr>
              <w:spacing w:line="220" w:lineRule="exact"/>
              <w:rPr>
                <w:sz w:val="21"/>
                <w:szCs w:val="21"/>
              </w:rPr>
            </w:pPr>
          </w:p>
        </w:tc>
        <w:tc>
          <w:tcPr>
            <w:tcW w:w="448" w:type="pct"/>
            <w:tcBorders>
              <w:tl2br w:val="nil"/>
              <w:tr2bl w:val="nil"/>
            </w:tcBorders>
            <w:vAlign w:val="center"/>
          </w:tcPr>
          <w:p>
            <w:pPr>
              <w:spacing w:line="220" w:lineRule="exact"/>
              <w:jc w:val="center"/>
              <w:rPr>
                <w:sz w:val="21"/>
                <w:szCs w:val="21"/>
              </w:rPr>
            </w:pPr>
            <w:r>
              <w:rPr>
                <w:rFonts w:hint="eastAsia"/>
                <w:sz w:val="21"/>
                <w:szCs w:val="21"/>
              </w:rPr>
              <w:t>3</w:t>
            </w:r>
          </w:p>
        </w:tc>
        <w:tc>
          <w:tcPr>
            <w:tcW w:w="2339" w:type="pct"/>
            <w:tcBorders>
              <w:tl2br w:val="nil"/>
              <w:tr2bl w:val="nil"/>
            </w:tcBorders>
            <w:vAlign w:val="center"/>
          </w:tcPr>
          <w:p>
            <w:pPr>
              <w:spacing w:line="220" w:lineRule="exact"/>
              <w:rPr>
                <w:sz w:val="21"/>
                <w:szCs w:val="21"/>
              </w:rPr>
            </w:pPr>
            <w:r>
              <w:rPr>
                <w:rFonts w:hint="eastAsia"/>
                <w:sz w:val="21"/>
                <w:szCs w:val="21"/>
              </w:rPr>
              <w:t>外贸新业态进出口占比（%）</w:t>
            </w:r>
          </w:p>
        </w:tc>
        <w:tc>
          <w:tcPr>
            <w:tcW w:w="628" w:type="pct"/>
            <w:tcBorders>
              <w:tl2br w:val="nil"/>
              <w:tr2bl w:val="nil"/>
            </w:tcBorders>
            <w:vAlign w:val="center"/>
          </w:tcPr>
          <w:p>
            <w:pPr>
              <w:spacing w:line="220" w:lineRule="exact"/>
              <w:rPr>
                <w:sz w:val="21"/>
                <w:szCs w:val="21"/>
              </w:rPr>
            </w:pPr>
            <w:r>
              <w:rPr>
                <w:rFonts w:hint="eastAsia"/>
                <w:sz w:val="21"/>
                <w:szCs w:val="21"/>
              </w:rPr>
              <w:t>-</w:t>
            </w:r>
          </w:p>
        </w:tc>
        <w:tc>
          <w:tcPr>
            <w:tcW w:w="968" w:type="pct"/>
            <w:tcBorders>
              <w:tl2br w:val="nil"/>
              <w:tr2bl w:val="nil"/>
            </w:tcBorders>
            <w:vAlign w:val="center"/>
          </w:tcPr>
          <w:p>
            <w:pPr>
              <w:spacing w:line="220" w:lineRule="exact"/>
              <w:rPr>
                <w:sz w:val="21"/>
                <w:szCs w:val="21"/>
              </w:rPr>
            </w:pPr>
            <w:r>
              <w:rPr>
                <w:rFonts w:hint="eastAsia"/>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5" w:type="pct"/>
            <w:vMerge w:val="continue"/>
            <w:tcBorders>
              <w:tl2br w:val="nil"/>
              <w:tr2bl w:val="nil"/>
            </w:tcBorders>
            <w:vAlign w:val="center"/>
          </w:tcPr>
          <w:p>
            <w:pPr>
              <w:spacing w:line="220" w:lineRule="exact"/>
              <w:rPr>
                <w:sz w:val="21"/>
                <w:szCs w:val="21"/>
              </w:rPr>
            </w:pPr>
          </w:p>
        </w:tc>
        <w:tc>
          <w:tcPr>
            <w:tcW w:w="448" w:type="pct"/>
            <w:tcBorders>
              <w:tl2br w:val="nil"/>
              <w:tr2bl w:val="nil"/>
            </w:tcBorders>
            <w:vAlign w:val="center"/>
          </w:tcPr>
          <w:p>
            <w:pPr>
              <w:spacing w:line="220" w:lineRule="exact"/>
              <w:jc w:val="center"/>
              <w:rPr>
                <w:sz w:val="21"/>
                <w:szCs w:val="21"/>
              </w:rPr>
            </w:pPr>
            <w:r>
              <w:rPr>
                <w:rFonts w:hint="eastAsia"/>
                <w:sz w:val="21"/>
                <w:szCs w:val="21"/>
              </w:rPr>
              <w:t>4</w:t>
            </w:r>
          </w:p>
        </w:tc>
        <w:tc>
          <w:tcPr>
            <w:tcW w:w="2339" w:type="pct"/>
            <w:tcBorders>
              <w:tl2br w:val="nil"/>
              <w:tr2bl w:val="nil"/>
            </w:tcBorders>
            <w:vAlign w:val="center"/>
          </w:tcPr>
          <w:p>
            <w:pPr>
              <w:spacing w:line="220" w:lineRule="exact"/>
              <w:rPr>
                <w:sz w:val="21"/>
                <w:szCs w:val="21"/>
              </w:rPr>
            </w:pPr>
            <w:r>
              <w:rPr>
                <w:rFonts w:hint="eastAsia"/>
                <w:sz w:val="21"/>
                <w:szCs w:val="21"/>
              </w:rPr>
              <w:t>跨境电商销售额（亿元）</w:t>
            </w:r>
          </w:p>
        </w:tc>
        <w:tc>
          <w:tcPr>
            <w:tcW w:w="628" w:type="pct"/>
            <w:tcBorders>
              <w:tl2br w:val="nil"/>
              <w:tr2bl w:val="nil"/>
            </w:tcBorders>
            <w:vAlign w:val="center"/>
          </w:tcPr>
          <w:p>
            <w:pPr>
              <w:spacing w:line="220" w:lineRule="exact"/>
              <w:rPr>
                <w:sz w:val="21"/>
                <w:szCs w:val="21"/>
              </w:rPr>
            </w:pPr>
            <w:r>
              <w:rPr>
                <w:rFonts w:hint="eastAsia"/>
                <w:sz w:val="21"/>
                <w:szCs w:val="21"/>
              </w:rPr>
              <w:t>85.4</w:t>
            </w:r>
          </w:p>
        </w:tc>
        <w:tc>
          <w:tcPr>
            <w:tcW w:w="968" w:type="pct"/>
            <w:tcBorders>
              <w:tl2br w:val="nil"/>
              <w:tr2bl w:val="nil"/>
            </w:tcBorders>
            <w:vAlign w:val="center"/>
          </w:tcPr>
          <w:p>
            <w:pPr>
              <w:spacing w:line="220" w:lineRule="exact"/>
              <w:rPr>
                <w:sz w:val="21"/>
                <w:szCs w:val="21"/>
              </w:rPr>
            </w:pPr>
            <w:r>
              <w:rPr>
                <w:rFonts w:hint="eastAsia"/>
                <w:sz w:val="21"/>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5" w:type="pct"/>
            <w:vMerge w:val="continue"/>
            <w:tcBorders>
              <w:tl2br w:val="nil"/>
              <w:tr2bl w:val="nil"/>
            </w:tcBorders>
            <w:vAlign w:val="center"/>
          </w:tcPr>
          <w:p>
            <w:pPr>
              <w:spacing w:line="220" w:lineRule="exact"/>
              <w:rPr>
                <w:sz w:val="21"/>
                <w:szCs w:val="21"/>
              </w:rPr>
            </w:pPr>
          </w:p>
        </w:tc>
        <w:tc>
          <w:tcPr>
            <w:tcW w:w="448" w:type="pct"/>
            <w:tcBorders>
              <w:tl2br w:val="nil"/>
              <w:tr2bl w:val="nil"/>
            </w:tcBorders>
            <w:vAlign w:val="center"/>
          </w:tcPr>
          <w:p>
            <w:pPr>
              <w:spacing w:line="220" w:lineRule="exact"/>
              <w:jc w:val="center"/>
              <w:rPr>
                <w:sz w:val="21"/>
                <w:szCs w:val="21"/>
              </w:rPr>
            </w:pPr>
            <w:r>
              <w:rPr>
                <w:rFonts w:hint="eastAsia"/>
                <w:sz w:val="21"/>
                <w:szCs w:val="21"/>
              </w:rPr>
              <w:t>5</w:t>
            </w:r>
          </w:p>
        </w:tc>
        <w:tc>
          <w:tcPr>
            <w:tcW w:w="2339" w:type="pct"/>
            <w:tcBorders>
              <w:tl2br w:val="nil"/>
              <w:tr2bl w:val="nil"/>
            </w:tcBorders>
            <w:vAlign w:val="center"/>
          </w:tcPr>
          <w:p>
            <w:pPr>
              <w:spacing w:line="220" w:lineRule="exact"/>
              <w:rPr>
                <w:sz w:val="21"/>
                <w:szCs w:val="21"/>
              </w:rPr>
            </w:pPr>
            <w:r>
              <w:rPr>
                <w:rFonts w:hint="eastAsia"/>
                <w:sz w:val="21"/>
                <w:szCs w:val="21"/>
              </w:rPr>
              <w:t>进出口过亿美元企业数（家）</w:t>
            </w:r>
          </w:p>
        </w:tc>
        <w:tc>
          <w:tcPr>
            <w:tcW w:w="628" w:type="pct"/>
            <w:tcBorders>
              <w:tl2br w:val="nil"/>
              <w:tr2bl w:val="nil"/>
            </w:tcBorders>
            <w:vAlign w:val="center"/>
          </w:tcPr>
          <w:p>
            <w:pPr>
              <w:spacing w:line="220" w:lineRule="exact"/>
              <w:rPr>
                <w:sz w:val="21"/>
                <w:szCs w:val="21"/>
              </w:rPr>
            </w:pPr>
            <w:r>
              <w:rPr>
                <w:rFonts w:hint="eastAsia"/>
                <w:sz w:val="21"/>
                <w:szCs w:val="21"/>
              </w:rPr>
              <w:t>-</w:t>
            </w:r>
          </w:p>
        </w:tc>
        <w:tc>
          <w:tcPr>
            <w:tcW w:w="968" w:type="pct"/>
            <w:tcBorders>
              <w:tl2br w:val="nil"/>
              <w:tr2bl w:val="nil"/>
            </w:tcBorders>
            <w:vAlign w:val="center"/>
          </w:tcPr>
          <w:p>
            <w:pPr>
              <w:spacing w:line="220" w:lineRule="exact"/>
              <w:rPr>
                <w:sz w:val="21"/>
                <w:szCs w:val="21"/>
              </w:rPr>
            </w:pPr>
            <w:r>
              <w:rPr>
                <w:rFonts w:hint="eastAsia"/>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615" w:type="pct"/>
            <w:vMerge w:val="continue"/>
            <w:tcBorders>
              <w:tl2br w:val="nil"/>
              <w:tr2bl w:val="nil"/>
            </w:tcBorders>
            <w:vAlign w:val="center"/>
          </w:tcPr>
          <w:p>
            <w:pPr>
              <w:spacing w:line="220" w:lineRule="exact"/>
              <w:rPr>
                <w:sz w:val="21"/>
                <w:szCs w:val="21"/>
              </w:rPr>
            </w:pPr>
          </w:p>
        </w:tc>
        <w:tc>
          <w:tcPr>
            <w:tcW w:w="448" w:type="pct"/>
            <w:tcBorders>
              <w:tl2br w:val="nil"/>
              <w:tr2bl w:val="nil"/>
            </w:tcBorders>
            <w:vAlign w:val="center"/>
          </w:tcPr>
          <w:p>
            <w:pPr>
              <w:spacing w:line="220" w:lineRule="exact"/>
              <w:jc w:val="center"/>
              <w:rPr>
                <w:sz w:val="21"/>
                <w:szCs w:val="21"/>
              </w:rPr>
            </w:pPr>
            <w:r>
              <w:rPr>
                <w:rFonts w:hint="eastAsia"/>
                <w:sz w:val="21"/>
                <w:szCs w:val="21"/>
              </w:rPr>
              <w:t>6</w:t>
            </w:r>
          </w:p>
        </w:tc>
        <w:tc>
          <w:tcPr>
            <w:tcW w:w="2339" w:type="pct"/>
            <w:tcBorders>
              <w:tl2br w:val="nil"/>
              <w:tr2bl w:val="nil"/>
            </w:tcBorders>
            <w:vAlign w:val="center"/>
          </w:tcPr>
          <w:p>
            <w:pPr>
              <w:spacing w:line="220" w:lineRule="exact"/>
              <w:rPr>
                <w:sz w:val="21"/>
                <w:szCs w:val="21"/>
              </w:rPr>
            </w:pPr>
            <w:r>
              <w:rPr>
                <w:rFonts w:hint="eastAsia"/>
                <w:sz w:val="21"/>
                <w:szCs w:val="21"/>
              </w:rPr>
              <w:t>有外贸进出口实绩企业数（家）</w:t>
            </w:r>
          </w:p>
        </w:tc>
        <w:tc>
          <w:tcPr>
            <w:tcW w:w="628" w:type="pct"/>
            <w:tcBorders>
              <w:tl2br w:val="nil"/>
              <w:tr2bl w:val="nil"/>
            </w:tcBorders>
            <w:vAlign w:val="center"/>
          </w:tcPr>
          <w:p>
            <w:pPr>
              <w:spacing w:line="220" w:lineRule="exact"/>
              <w:rPr>
                <w:sz w:val="21"/>
                <w:szCs w:val="21"/>
              </w:rPr>
            </w:pPr>
            <w:r>
              <w:rPr>
                <w:rFonts w:hint="eastAsia"/>
                <w:sz w:val="21"/>
                <w:szCs w:val="21"/>
              </w:rPr>
              <w:t>376</w:t>
            </w:r>
          </w:p>
        </w:tc>
        <w:tc>
          <w:tcPr>
            <w:tcW w:w="968" w:type="pct"/>
            <w:tcBorders>
              <w:tl2br w:val="nil"/>
              <w:tr2bl w:val="nil"/>
            </w:tcBorders>
            <w:vAlign w:val="center"/>
          </w:tcPr>
          <w:p>
            <w:pPr>
              <w:spacing w:line="220" w:lineRule="exact"/>
              <w:rPr>
                <w:sz w:val="21"/>
                <w:szCs w:val="21"/>
              </w:rPr>
            </w:pPr>
            <w:r>
              <w:rPr>
                <w:rFonts w:hint="eastAsia"/>
                <w:sz w:val="21"/>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5" w:type="pct"/>
            <w:vMerge w:val="restart"/>
            <w:tcBorders>
              <w:tl2br w:val="nil"/>
              <w:tr2bl w:val="nil"/>
            </w:tcBorders>
            <w:vAlign w:val="center"/>
          </w:tcPr>
          <w:p>
            <w:pPr>
              <w:spacing w:line="220" w:lineRule="exact"/>
              <w:rPr>
                <w:sz w:val="21"/>
                <w:szCs w:val="21"/>
              </w:rPr>
            </w:pPr>
            <w:r>
              <w:rPr>
                <w:rFonts w:hint="eastAsia"/>
                <w:sz w:val="21"/>
                <w:szCs w:val="21"/>
              </w:rPr>
              <w:t>利用外资</w:t>
            </w:r>
          </w:p>
        </w:tc>
        <w:tc>
          <w:tcPr>
            <w:tcW w:w="448" w:type="pct"/>
            <w:tcBorders>
              <w:tl2br w:val="nil"/>
              <w:tr2bl w:val="nil"/>
            </w:tcBorders>
            <w:vAlign w:val="center"/>
          </w:tcPr>
          <w:p>
            <w:pPr>
              <w:spacing w:line="220" w:lineRule="exact"/>
              <w:jc w:val="center"/>
              <w:rPr>
                <w:sz w:val="21"/>
                <w:szCs w:val="21"/>
              </w:rPr>
            </w:pPr>
            <w:r>
              <w:rPr>
                <w:rFonts w:hint="eastAsia"/>
                <w:sz w:val="21"/>
                <w:szCs w:val="21"/>
              </w:rPr>
              <w:t>7</w:t>
            </w:r>
          </w:p>
        </w:tc>
        <w:tc>
          <w:tcPr>
            <w:tcW w:w="2339" w:type="pct"/>
            <w:tcBorders>
              <w:tl2br w:val="nil"/>
              <w:tr2bl w:val="nil"/>
            </w:tcBorders>
            <w:vAlign w:val="center"/>
          </w:tcPr>
          <w:p>
            <w:pPr>
              <w:spacing w:line="220" w:lineRule="exact"/>
              <w:rPr>
                <w:sz w:val="21"/>
                <w:szCs w:val="21"/>
              </w:rPr>
            </w:pPr>
            <w:r>
              <w:rPr>
                <w:rFonts w:hint="eastAsia"/>
                <w:sz w:val="21"/>
                <w:szCs w:val="21"/>
              </w:rPr>
              <w:t>实际利用外资总额（亿美元）</w:t>
            </w:r>
          </w:p>
        </w:tc>
        <w:tc>
          <w:tcPr>
            <w:tcW w:w="628" w:type="pct"/>
            <w:tcBorders>
              <w:tl2br w:val="nil"/>
              <w:tr2bl w:val="nil"/>
            </w:tcBorders>
            <w:vAlign w:val="center"/>
          </w:tcPr>
          <w:p>
            <w:pPr>
              <w:spacing w:line="220" w:lineRule="exact"/>
              <w:rPr>
                <w:sz w:val="21"/>
                <w:szCs w:val="21"/>
              </w:rPr>
            </w:pPr>
            <w:r>
              <w:rPr>
                <w:rFonts w:hint="eastAsia"/>
                <w:sz w:val="21"/>
                <w:szCs w:val="21"/>
              </w:rPr>
              <w:t>6.88</w:t>
            </w:r>
          </w:p>
        </w:tc>
        <w:tc>
          <w:tcPr>
            <w:tcW w:w="968" w:type="pct"/>
            <w:tcBorders>
              <w:tl2br w:val="nil"/>
              <w:tr2bl w:val="nil"/>
            </w:tcBorders>
            <w:vAlign w:val="center"/>
          </w:tcPr>
          <w:p>
            <w:pPr>
              <w:spacing w:line="220" w:lineRule="exact"/>
              <w:rPr>
                <w:sz w:val="21"/>
                <w:szCs w:val="21"/>
              </w:rPr>
            </w:pPr>
            <w:r>
              <w:rPr>
                <w:rFonts w:hint="eastAsia"/>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5" w:type="pct"/>
            <w:vMerge w:val="continue"/>
            <w:tcBorders>
              <w:tl2br w:val="nil"/>
              <w:tr2bl w:val="nil"/>
            </w:tcBorders>
            <w:vAlign w:val="center"/>
          </w:tcPr>
          <w:p>
            <w:pPr>
              <w:spacing w:line="220" w:lineRule="exact"/>
              <w:rPr>
                <w:sz w:val="21"/>
                <w:szCs w:val="21"/>
              </w:rPr>
            </w:pPr>
          </w:p>
        </w:tc>
        <w:tc>
          <w:tcPr>
            <w:tcW w:w="448" w:type="pct"/>
            <w:tcBorders>
              <w:tl2br w:val="nil"/>
              <w:tr2bl w:val="nil"/>
            </w:tcBorders>
            <w:vAlign w:val="center"/>
          </w:tcPr>
          <w:p>
            <w:pPr>
              <w:spacing w:line="220" w:lineRule="exact"/>
              <w:jc w:val="center"/>
              <w:rPr>
                <w:sz w:val="21"/>
                <w:szCs w:val="21"/>
              </w:rPr>
            </w:pPr>
            <w:r>
              <w:rPr>
                <w:rFonts w:hint="eastAsia"/>
                <w:sz w:val="21"/>
                <w:szCs w:val="21"/>
              </w:rPr>
              <w:t>8</w:t>
            </w:r>
          </w:p>
        </w:tc>
        <w:tc>
          <w:tcPr>
            <w:tcW w:w="2339" w:type="pct"/>
            <w:tcBorders>
              <w:tl2br w:val="nil"/>
              <w:tr2bl w:val="nil"/>
            </w:tcBorders>
            <w:vAlign w:val="center"/>
          </w:tcPr>
          <w:p>
            <w:pPr>
              <w:spacing w:line="220" w:lineRule="exact"/>
              <w:rPr>
                <w:sz w:val="21"/>
                <w:szCs w:val="21"/>
              </w:rPr>
            </w:pPr>
            <w:r>
              <w:rPr>
                <w:rFonts w:hint="eastAsia"/>
                <w:sz w:val="21"/>
                <w:szCs w:val="21"/>
              </w:rPr>
              <w:t>实际利用省外资金额（亿元）</w:t>
            </w:r>
          </w:p>
        </w:tc>
        <w:tc>
          <w:tcPr>
            <w:tcW w:w="628" w:type="pct"/>
            <w:tcBorders>
              <w:tl2br w:val="nil"/>
              <w:tr2bl w:val="nil"/>
            </w:tcBorders>
            <w:vAlign w:val="center"/>
          </w:tcPr>
          <w:p>
            <w:pPr>
              <w:spacing w:line="220" w:lineRule="exact"/>
              <w:rPr>
                <w:sz w:val="21"/>
                <w:szCs w:val="21"/>
              </w:rPr>
            </w:pPr>
            <w:r>
              <w:rPr>
                <w:rFonts w:hint="eastAsia"/>
                <w:sz w:val="21"/>
                <w:szCs w:val="21"/>
              </w:rPr>
              <w:t>629.4</w:t>
            </w:r>
          </w:p>
        </w:tc>
        <w:tc>
          <w:tcPr>
            <w:tcW w:w="968" w:type="pct"/>
            <w:tcBorders>
              <w:tl2br w:val="nil"/>
              <w:tr2bl w:val="nil"/>
            </w:tcBorders>
            <w:vAlign w:val="center"/>
          </w:tcPr>
          <w:p>
            <w:pPr>
              <w:spacing w:line="220" w:lineRule="exact"/>
              <w:rPr>
                <w:sz w:val="21"/>
                <w:szCs w:val="21"/>
              </w:rPr>
            </w:pPr>
            <w:r>
              <w:rPr>
                <w:rFonts w:hint="eastAsia"/>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615" w:type="pct"/>
            <w:vMerge w:val="continue"/>
            <w:tcBorders>
              <w:tl2br w:val="nil"/>
              <w:tr2bl w:val="nil"/>
            </w:tcBorders>
            <w:vAlign w:val="center"/>
          </w:tcPr>
          <w:p>
            <w:pPr>
              <w:spacing w:line="220" w:lineRule="exact"/>
              <w:rPr>
                <w:sz w:val="21"/>
                <w:szCs w:val="21"/>
              </w:rPr>
            </w:pPr>
          </w:p>
        </w:tc>
        <w:tc>
          <w:tcPr>
            <w:tcW w:w="448" w:type="pct"/>
            <w:tcBorders>
              <w:tl2br w:val="nil"/>
              <w:tr2bl w:val="nil"/>
            </w:tcBorders>
            <w:vAlign w:val="center"/>
          </w:tcPr>
          <w:p>
            <w:pPr>
              <w:spacing w:line="220" w:lineRule="exact"/>
              <w:jc w:val="center"/>
              <w:rPr>
                <w:sz w:val="21"/>
                <w:szCs w:val="21"/>
              </w:rPr>
            </w:pPr>
            <w:r>
              <w:rPr>
                <w:rFonts w:hint="eastAsia"/>
                <w:sz w:val="21"/>
                <w:szCs w:val="21"/>
              </w:rPr>
              <w:t>9</w:t>
            </w:r>
          </w:p>
        </w:tc>
        <w:tc>
          <w:tcPr>
            <w:tcW w:w="2339" w:type="pct"/>
            <w:tcBorders>
              <w:tl2br w:val="nil"/>
              <w:tr2bl w:val="nil"/>
            </w:tcBorders>
            <w:vAlign w:val="center"/>
          </w:tcPr>
          <w:p>
            <w:pPr>
              <w:spacing w:line="220" w:lineRule="exact"/>
              <w:rPr>
                <w:sz w:val="21"/>
                <w:szCs w:val="21"/>
              </w:rPr>
            </w:pPr>
            <w:r>
              <w:rPr>
                <w:rFonts w:hint="eastAsia"/>
                <w:sz w:val="21"/>
                <w:szCs w:val="21"/>
              </w:rPr>
              <w:t>高技术产业吸收外资占比（%）</w:t>
            </w:r>
          </w:p>
        </w:tc>
        <w:tc>
          <w:tcPr>
            <w:tcW w:w="628" w:type="pct"/>
            <w:tcBorders>
              <w:tl2br w:val="nil"/>
              <w:tr2bl w:val="nil"/>
            </w:tcBorders>
            <w:vAlign w:val="center"/>
          </w:tcPr>
          <w:p>
            <w:pPr>
              <w:spacing w:line="220" w:lineRule="exact"/>
              <w:rPr>
                <w:sz w:val="21"/>
                <w:szCs w:val="21"/>
              </w:rPr>
            </w:pPr>
            <w:r>
              <w:rPr>
                <w:rFonts w:hint="eastAsia"/>
                <w:sz w:val="21"/>
                <w:szCs w:val="21"/>
              </w:rPr>
              <w:t>-</w:t>
            </w:r>
          </w:p>
        </w:tc>
        <w:tc>
          <w:tcPr>
            <w:tcW w:w="968" w:type="pct"/>
            <w:tcBorders>
              <w:tl2br w:val="nil"/>
              <w:tr2bl w:val="nil"/>
            </w:tcBorders>
            <w:vAlign w:val="center"/>
          </w:tcPr>
          <w:p>
            <w:pPr>
              <w:spacing w:line="220" w:lineRule="exact"/>
              <w:rPr>
                <w:sz w:val="21"/>
                <w:szCs w:val="21"/>
              </w:rPr>
            </w:pPr>
            <w:r>
              <w:rPr>
                <w:rFonts w:hint="eastAsia"/>
                <w:sz w:val="21"/>
                <w:szCs w:val="21"/>
              </w:rPr>
              <w:t>20左右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5" w:type="pct"/>
            <w:vMerge w:val="restart"/>
            <w:tcBorders>
              <w:tl2br w:val="nil"/>
              <w:tr2bl w:val="nil"/>
            </w:tcBorders>
            <w:vAlign w:val="center"/>
          </w:tcPr>
          <w:p>
            <w:pPr>
              <w:spacing w:line="220" w:lineRule="exact"/>
              <w:rPr>
                <w:sz w:val="21"/>
                <w:szCs w:val="21"/>
              </w:rPr>
            </w:pPr>
            <w:r>
              <w:rPr>
                <w:rFonts w:hint="eastAsia"/>
                <w:sz w:val="21"/>
                <w:szCs w:val="21"/>
              </w:rPr>
              <w:t>外经投资</w:t>
            </w:r>
          </w:p>
        </w:tc>
        <w:tc>
          <w:tcPr>
            <w:tcW w:w="448" w:type="pct"/>
            <w:tcBorders>
              <w:tl2br w:val="nil"/>
              <w:tr2bl w:val="nil"/>
            </w:tcBorders>
            <w:vAlign w:val="center"/>
          </w:tcPr>
          <w:p>
            <w:pPr>
              <w:spacing w:line="220" w:lineRule="exact"/>
              <w:jc w:val="center"/>
              <w:rPr>
                <w:sz w:val="21"/>
                <w:szCs w:val="21"/>
              </w:rPr>
            </w:pPr>
            <w:r>
              <w:rPr>
                <w:rFonts w:hint="eastAsia"/>
                <w:sz w:val="21"/>
                <w:szCs w:val="21"/>
              </w:rPr>
              <w:t>10</w:t>
            </w:r>
          </w:p>
        </w:tc>
        <w:tc>
          <w:tcPr>
            <w:tcW w:w="2339" w:type="pct"/>
            <w:tcBorders>
              <w:tl2br w:val="nil"/>
              <w:tr2bl w:val="nil"/>
            </w:tcBorders>
            <w:vAlign w:val="center"/>
          </w:tcPr>
          <w:p>
            <w:pPr>
              <w:spacing w:line="220" w:lineRule="exact"/>
              <w:rPr>
                <w:sz w:val="21"/>
                <w:szCs w:val="21"/>
              </w:rPr>
            </w:pPr>
            <w:r>
              <w:rPr>
                <w:rFonts w:hint="eastAsia"/>
                <w:sz w:val="21"/>
                <w:szCs w:val="21"/>
              </w:rPr>
              <w:t>对外实际投资额（亿美元）</w:t>
            </w:r>
          </w:p>
        </w:tc>
        <w:tc>
          <w:tcPr>
            <w:tcW w:w="628" w:type="pct"/>
            <w:tcBorders>
              <w:tl2br w:val="nil"/>
              <w:tr2bl w:val="nil"/>
            </w:tcBorders>
            <w:vAlign w:val="center"/>
          </w:tcPr>
          <w:p>
            <w:pPr>
              <w:spacing w:line="220" w:lineRule="exact"/>
              <w:rPr>
                <w:sz w:val="21"/>
                <w:szCs w:val="21"/>
              </w:rPr>
            </w:pPr>
            <w:r>
              <w:rPr>
                <w:rFonts w:hint="eastAsia"/>
                <w:sz w:val="21"/>
                <w:szCs w:val="21"/>
              </w:rPr>
              <w:t>0.99</w:t>
            </w:r>
          </w:p>
        </w:tc>
        <w:tc>
          <w:tcPr>
            <w:tcW w:w="968" w:type="pct"/>
            <w:tcBorders>
              <w:tl2br w:val="nil"/>
              <w:tr2bl w:val="nil"/>
            </w:tcBorders>
            <w:vAlign w:val="center"/>
          </w:tcPr>
          <w:p>
            <w:pPr>
              <w:spacing w:line="220" w:lineRule="exact"/>
              <w:rPr>
                <w:sz w:val="21"/>
                <w:szCs w:val="21"/>
              </w:rPr>
            </w:pPr>
            <w:r>
              <w:rPr>
                <w:rFonts w:hint="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5" w:type="pct"/>
            <w:vMerge w:val="continue"/>
            <w:tcBorders>
              <w:tl2br w:val="nil"/>
              <w:tr2bl w:val="nil"/>
            </w:tcBorders>
            <w:vAlign w:val="center"/>
          </w:tcPr>
          <w:p>
            <w:pPr>
              <w:spacing w:line="220" w:lineRule="exact"/>
              <w:rPr>
                <w:sz w:val="21"/>
                <w:szCs w:val="21"/>
              </w:rPr>
            </w:pPr>
          </w:p>
        </w:tc>
        <w:tc>
          <w:tcPr>
            <w:tcW w:w="448" w:type="pct"/>
            <w:tcBorders>
              <w:tl2br w:val="nil"/>
              <w:tr2bl w:val="nil"/>
            </w:tcBorders>
            <w:vAlign w:val="center"/>
          </w:tcPr>
          <w:p>
            <w:pPr>
              <w:spacing w:line="220" w:lineRule="exact"/>
              <w:jc w:val="center"/>
              <w:rPr>
                <w:sz w:val="21"/>
                <w:szCs w:val="21"/>
              </w:rPr>
            </w:pPr>
            <w:r>
              <w:rPr>
                <w:rFonts w:hint="eastAsia"/>
                <w:sz w:val="21"/>
                <w:szCs w:val="21"/>
              </w:rPr>
              <w:t>11</w:t>
            </w:r>
          </w:p>
        </w:tc>
        <w:tc>
          <w:tcPr>
            <w:tcW w:w="2339" w:type="pct"/>
            <w:tcBorders>
              <w:tl2br w:val="nil"/>
              <w:tr2bl w:val="nil"/>
            </w:tcBorders>
            <w:vAlign w:val="center"/>
          </w:tcPr>
          <w:p>
            <w:pPr>
              <w:spacing w:line="220" w:lineRule="exact"/>
              <w:rPr>
                <w:sz w:val="21"/>
                <w:szCs w:val="21"/>
              </w:rPr>
            </w:pPr>
            <w:r>
              <w:rPr>
                <w:rFonts w:hint="eastAsia"/>
                <w:sz w:val="21"/>
                <w:szCs w:val="21"/>
              </w:rPr>
              <w:t>对外承包工程完成营业额（亿美元）</w:t>
            </w:r>
          </w:p>
        </w:tc>
        <w:tc>
          <w:tcPr>
            <w:tcW w:w="628" w:type="pct"/>
            <w:tcBorders>
              <w:tl2br w:val="nil"/>
              <w:tr2bl w:val="nil"/>
            </w:tcBorders>
            <w:vAlign w:val="center"/>
          </w:tcPr>
          <w:p>
            <w:pPr>
              <w:spacing w:line="220" w:lineRule="exact"/>
              <w:rPr>
                <w:sz w:val="21"/>
                <w:szCs w:val="21"/>
              </w:rPr>
            </w:pPr>
            <w:r>
              <w:rPr>
                <w:rFonts w:hint="eastAsia"/>
                <w:sz w:val="21"/>
                <w:szCs w:val="21"/>
              </w:rPr>
              <w:t>-</w:t>
            </w:r>
          </w:p>
        </w:tc>
        <w:tc>
          <w:tcPr>
            <w:tcW w:w="968" w:type="pct"/>
            <w:tcBorders>
              <w:tl2br w:val="nil"/>
              <w:tr2bl w:val="nil"/>
            </w:tcBorders>
            <w:vAlign w:val="center"/>
          </w:tcPr>
          <w:p>
            <w:pPr>
              <w:spacing w:line="220" w:lineRule="exact"/>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615" w:type="pct"/>
            <w:vMerge w:val="restart"/>
            <w:tcBorders>
              <w:tl2br w:val="nil"/>
              <w:tr2bl w:val="nil"/>
            </w:tcBorders>
            <w:vAlign w:val="center"/>
          </w:tcPr>
          <w:p>
            <w:pPr>
              <w:spacing w:line="220" w:lineRule="exact"/>
              <w:rPr>
                <w:sz w:val="21"/>
                <w:szCs w:val="21"/>
              </w:rPr>
            </w:pPr>
            <w:r>
              <w:rPr>
                <w:rFonts w:hint="eastAsia"/>
                <w:sz w:val="21"/>
                <w:szCs w:val="21"/>
              </w:rPr>
              <w:t>平台通道</w:t>
            </w:r>
          </w:p>
        </w:tc>
        <w:tc>
          <w:tcPr>
            <w:tcW w:w="448" w:type="pct"/>
            <w:tcBorders>
              <w:tl2br w:val="nil"/>
              <w:tr2bl w:val="nil"/>
            </w:tcBorders>
            <w:vAlign w:val="center"/>
          </w:tcPr>
          <w:p>
            <w:pPr>
              <w:spacing w:line="220" w:lineRule="exact"/>
              <w:jc w:val="center"/>
              <w:rPr>
                <w:sz w:val="21"/>
                <w:szCs w:val="21"/>
              </w:rPr>
            </w:pPr>
            <w:r>
              <w:rPr>
                <w:rFonts w:hint="eastAsia"/>
                <w:sz w:val="21"/>
                <w:szCs w:val="21"/>
              </w:rPr>
              <w:t>12</w:t>
            </w:r>
          </w:p>
        </w:tc>
        <w:tc>
          <w:tcPr>
            <w:tcW w:w="2339" w:type="pct"/>
            <w:tcBorders>
              <w:tl2br w:val="nil"/>
              <w:tr2bl w:val="nil"/>
            </w:tcBorders>
            <w:vAlign w:val="center"/>
          </w:tcPr>
          <w:p>
            <w:pPr>
              <w:spacing w:line="220" w:lineRule="exact"/>
              <w:rPr>
                <w:sz w:val="21"/>
                <w:szCs w:val="21"/>
              </w:rPr>
            </w:pPr>
            <w:r>
              <w:rPr>
                <w:rFonts w:hint="eastAsia"/>
                <w:sz w:val="21"/>
                <w:szCs w:val="21"/>
              </w:rPr>
              <w:t>开发区实际利用省（境）外资金额（亿元）</w:t>
            </w:r>
          </w:p>
        </w:tc>
        <w:tc>
          <w:tcPr>
            <w:tcW w:w="628" w:type="pct"/>
            <w:tcBorders>
              <w:tl2br w:val="nil"/>
              <w:tr2bl w:val="nil"/>
            </w:tcBorders>
            <w:vAlign w:val="center"/>
          </w:tcPr>
          <w:p>
            <w:pPr>
              <w:spacing w:line="220" w:lineRule="exact"/>
              <w:rPr>
                <w:sz w:val="21"/>
                <w:szCs w:val="21"/>
              </w:rPr>
            </w:pPr>
            <w:r>
              <w:rPr>
                <w:rFonts w:hint="eastAsia"/>
                <w:sz w:val="21"/>
                <w:szCs w:val="21"/>
              </w:rPr>
              <w:t>-</w:t>
            </w:r>
          </w:p>
        </w:tc>
        <w:tc>
          <w:tcPr>
            <w:tcW w:w="968" w:type="pct"/>
            <w:tcBorders>
              <w:tl2br w:val="nil"/>
              <w:tr2bl w:val="nil"/>
            </w:tcBorders>
            <w:vAlign w:val="center"/>
          </w:tcPr>
          <w:p>
            <w:pPr>
              <w:spacing w:line="220" w:lineRule="exact"/>
              <w:rPr>
                <w:sz w:val="21"/>
                <w:szCs w:val="21"/>
              </w:rPr>
            </w:pPr>
            <w:r>
              <w:rPr>
                <w:rFonts w:hint="eastAsia"/>
                <w:sz w:val="21"/>
                <w:szCs w:val="21"/>
              </w:rPr>
              <w:t>增速高于全省3个百分点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5" w:type="pct"/>
            <w:vMerge w:val="continue"/>
            <w:tcBorders>
              <w:tl2br w:val="nil"/>
              <w:tr2bl w:val="nil"/>
            </w:tcBorders>
            <w:vAlign w:val="center"/>
          </w:tcPr>
          <w:p>
            <w:pPr>
              <w:spacing w:line="220" w:lineRule="exact"/>
              <w:rPr>
                <w:sz w:val="21"/>
                <w:szCs w:val="21"/>
              </w:rPr>
            </w:pPr>
          </w:p>
        </w:tc>
        <w:tc>
          <w:tcPr>
            <w:tcW w:w="448" w:type="pct"/>
            <w:tcBorders>
              <w:tl2br w:val="nil"/>
              <w:tr2bl w:val="nil"/>
            </w:tcBorders>
            <w:vAlign w:val="center"/>
          </w:tcPr>
          <w:p>
            <w:pPr>
              <w:spacing w:line="220" w:lineRule="exact"/>
              <w:jc w:val="center"/>
              <w:rPr>
                <w:sz w:val="21"/>
                <w:szCs w:val="21"/>
              </w:rPr>
            </w:pPr>
            <w:r>
              <w:rPr>
                <w:rFonts w:hint="eastAsia"/>
                <w:sz w:val="21"/>
                <w:szCs w:val="21"/>
              </w:rPr>
              <w:t>13</w:t>
            </w:r>
          </w:p>
        </w:tc>
        <w:tc>
          <w:tcPr>
            <w:tcW w:w="2339" w:type="pct"/>
            <w:tcBorders>
              <w:tl2br w:val="nil"/>
              <w:tr2bl w:val="nil"/>
            </w:tcBorders>
            <w:vAlign w:val="center"/>
          </w:tcPr>
          <w:p>
            <w:pPr>
              <w:spacing w:line="220" w:lineRule="exact"/>
              <w:rPr>
                <w:sz w:val="21"/>
                <w:szCs w:val="21"/>
              </w:rPr>
            </w:pPr>
            <w:r>
              <w:rPr>
                <w:rFonts w:hint="eastAsia"/>
                <w:sz w:val="21"/>
                <w:szCs w:val="21"/>
              </w:rPr>
              <w:t>航空货邮吞吐量（吨）</w:t>
            </w:r>
          </w:p>
        </w:tc>
        <w:tc>
          <w:tcPr>
            <w:tcW w:w="628" w:type="pct"/>
            <w:tcBorders>
              <w:tl2br w:val="nil"/>
              <w:tr2bl w:val="nil"/>
            </w:tcBorders>
            <w:vAlign w:val="center"/>
          </w:tcPr>
          <w:p>
            <w:pPr>
              <w:spacing w:line="220" w:lineRule="exact"/>
              <w:rPr>
                <w:sz w:val="21"/>
                <w:szCs w:val="21"/>
              </w:rPr>
            </w:pPr>
            <w:r>
              <w:rPr>
                <w:rFonts w:hint="eastAsia"/>
                <w:sz w:val="21"/>
                <w:szCs w:val="21"/>
              </w:rPr>
              <w:t>849.5</w:t>
            </w:r>
          </w:p>
        </w:tc>
        <w:tc>
          <w:tcPr>
            <w:tcW w:w="968" w:type="pct"/>
            <w:tcBorders>
              <w:tl2br w:val="nil"/>
              <w:tr2bl w:val="nil"/>
            </w:tcBorders>
            <w:vAlign w:val="center"/>
          </w:tcPr>
          <w:p>
            <w:pPr>
              <w:spacing w:line="220" w:lineRule="exact"/>
              <w:rPr>
                <w:sz w:val="21"/>
                <w:szCs w:val="21"/>
              </w:rPr>
            </w:pPr>
            <w:r>
              <w:rPr>
                <w:rFonts w:hint="eastAsia"/>
                <w:sz w:val="21"/>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5" w:type="pct"/>
            <w:vMerge w:val="continue"/>
            <w:tcBorders>
              <w:tl2br w:val="nil"/>
              <w:tr2bl w:val="nil"/>
            </w:tcBorders>
            <w:vAlign w:val="center"/>
          </w:tcPr>
          <w:p>
            <w:pPr>
              <w:spacing w:line="220" w:lineRule="exact"/>
              <w:rPr>
                <w:sz w:val="21"/>
                <w:szCs w:val="21"/>
              </w:rPr>
            </w:pPr>
          </w:p>
        </w:tc>
        <w:tc>
          <w:tcPr>
            <w:tcW w:w="448" w:type="pct"/>
            <w:tcBorders>
              <w:tl2br w:val="nil"/>
              <w:tr2bl w:val="nil"/>
            </w:tcBorders>
            <w:vAlign w:val="center"/>
          </w:tcPr>
          <w:p>
            <w:pPr>
              <w:spacing w:line="220" w:lineRule="exact"/>
              <w:jc w:val="center"/>
              <w:rPr>
                <w:sz w:val="21"/>
                <w:szCs w:val="21"/>
              </w:rPr>
            </w:pPr>
            <w:r>
              <w:rPr>
                <w:rFonts w:hint="eastAsia"/>
                <w:sz w:val="21"/>
                <w:szCs w:val="21"/>
              </w:rPr>
              <w:t>14</w:t>
            </w:r>
          </w:p>
        </w:tc>
        <w:tc>
          <w:tcPr>
            <w:tcW w:w="2339" w:type="pct"/>
            <w:tcBorders>
              <w:tl2br w:val="nil"/>
              <w:tr2bl w:val="nil"/>
            </w:tcBorders>
            <w:vAlign w:val="center"/>
          </w:tcPr>
          <w:p>
            <w:pPr>
              <w:spacing w:line="220" w:lineRule="exact"/>
              <w:rPr>
                <w:sz w:val="21"/>
                <w:szCs w:val="21"/>
              </w:rPr>
            </w:pPr>
            <w:r>
              <w:rPr>
                <w:rFonts w:hint="eastAsia"/>
                <w:sz w:val="21"/>
                <w:szCs w:val="21"/>
              </w:rPr>
              <w:t>中欧班列开行列数（列）</w:t>
            </w:r>
          </w:p>
        </w:tc>
        <w:tc>
          <w:tcPr>
            <w:tcW w:w="628" w:type="pct"/>
            <w:tcBorders>
              <w:tl2br w:val="nil"/>
              <w:tr2bl w:val="nil"/>
            </w:tcBorders>
            <w:vAlign w:val="center"/>
          </w:tcPr>
          <w:p>
            <w:pPr>
              <w:spacing w:line="220" w:lineRule="exact"/>
              <w:rPr>
                <w:sz w:val="21"/>
                <w:szCs w:val="21"/>
              </w:rPr>
            </w:pPr>
            <w:r>
              <w:rPr>
                <w:rFonts w:hint="eastAsia"/>
                <w:sz w:val="21"/>
                <w:szCs w:val="21"/>
              </w:rPr>
              <w:t>-</w:t>
            </w:r>
          </w:p>
        </w:tc>
        <w:tc>
          <w:tcPr>
            <w:tcW w:w="968" w:type="pct"/>
            <w:tcBorders>
              <w:tl2br w:val="nil"/>
              <w:tr2bl w:val="nil"/>
            </w:tcBorders>
            <w:vAlign w:val="center"/>
          </w:tcPr>
          <w:p>
            <w:pPr>
              <w:spacing w:line="220" w:lineRule="exact"/>
              <w:rPr>
                <w:sz w:val="21"/>
                <w:szCs w:val="21"/>
              </w:rPr>
            </w:pPr>
            <w:r>
              <w:rPr>
                <w:rFonts w:hint="eastAsia"/>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5" w:type="pct"/>
            <w:vMerge w:val="continue"/>
            <w:tcBorders>
              <w:tl2br w:val="nil"/>
              <w:tr2bl w:val="nil"/>
            </w:tcBorders>
            <w:vAlign w:val="center"/>
          </w:tcPr>
          <w:p>
            <w:pPr>
              <w:spacing w:line="220" w:lineRule="exact"/>
              <w:rPr>
                <w:sz w:val="21"/>
                <w:szCs w:val="21"/>
              </w:rPr>
            </w:pPr>
          </w:p>
        </w:tc>
        <w:tc>
          <w:tcPr>
            <w:tcW w:w="448" w:type="pct"/>
            <w:tcBorders>
              <w:tl2br w:val="nil"/>
              <w:tr2bl w:val="nil"/>
            </w:tcBorders>
            <w:vAlign w:val="center"/>
          </w:tcPr>
          <w:p>
            <w:pPr>
              <w:spacing w:line="220" w:lineRule="exact"/>
              <w:jc w:val="center"/>
              <w:rPr>
                <w:sz w:val="21"/>
                <w:szCs w:val="21"/>
              </w:rPr>
            </w:pPr>
            <w:r>
              <w:rPr>
                <w:rFonts w:hint="eastAsia"/>
                <w:sz w:val="21"/>
                <w:szCs w:val="21"/>
              </w:rPr>
              <w:t>15</w:t>
            </w:r>
          </w:p>
        </w:tc>
        <w:tc>
          <w:tcPr>
            <w:tcW w:w="2339" w:type="pct"/>
            <w:tcBorders>
              <w:tl2br w:val="nil"/>
              <w:tr2bl w:val="nil"/>
            </w:tcBorders>
            <w:vAlign w:val="center"/>
          </w:tcPr>
          <w:p>
            <w:pPr>
              <w:spacing w:line="220" w:lineRule="exact"/>
              <w:rPr>
                <w:sz w:val="21"/>
                <w:szCs w:val="21"/>
              </w:rPr>
            </w:pPr>
            <w:r>
              <w:rPr>
                <w:rFonts w:hint="eastAsia"/>
                <w:sz w:val="21"/>
                <w:szCs w:val="21"/>
              </w:rPr>
              <w:t>综保区一线进出口总额（亿元）</w:t>
            </w:r>
          </w:p>
        </w:tc>
        <w:tc>
          <w:tcPr>
            <w:tcW w:w="628" w:type="pct"/>
            <w:tcBorders>
              <w:tl2br w:val="nil"/>
              <w:tr2bl w:val="nil"/>
            </w:tcBorders>
            <w:vAlign w:val="center"/>
          </w:tcPr>
          <w:p>
            <w:pPr>
              <w:spacing w:line="220" w:lineRule="exact"/>
              <w:rPr>
                <w:sz w:val="21"/>
                <w:szCs w:val="21"/>
              </w:rPr>
            </w:pPr>
            <w:r>
              <w:rPr>
                <w:rFonts w:hint="eastAsia"/>
                <w:sz w:val="21"/>
                <w:szCs w:val="21"/>
              </w:rPr>
              <w:t>18</w:t>
            </w:r>
          </w:p>
        </w:tc>
        <w:tc>
          <w:tcPr>
            <w:tcW w:w="968" w:type="pct"/>
            <w:tcBorders>
              <w:tl2br w:val="nil"/>
              <w:tr2bl w:val="nil"/>
            </w:tcBorders>
            <w:vAlign w:val="center"/>
          </w:tcPr>
          <w:p>
            <w:pPr>
              <w:spacing w:line="220" w:lineRule="exact"/>
              <w:rPr>
                <w:sz w:val="21"/>
                <w:szCs w:val="21"/>
              </w:rPr>
            </w:pPr>
            <w:r>
              <w:rPr>
                <w:rFonts w:hint="eastAsia"/>
                <w:sz w:val="21"/>
                <w:szCs w:val="21"/>
              </w:rPr>
              <w:t>300</w:t>
            </w:r>
          </w:p>
        </w:tc>
      </w:tr>
      <w:bookmarkEnd w:id="1651"/>
    </w:tbl>
    <w:p>
      <w:pPr>
        <w:pStyle w:val="6"/>
        <w:spacing w:line="560" w:lineRule="exact"/>
        <w:ind w:firstLine="640"/>
        <w:rPr>
          <w:rFonts w:ascii="仿宋" w:hAnsi="仿宋" w:eastAsia="仿宋" w:cs="仿宋"/>
          <w:szCs w:val="32"/>
        </w:rPr>
        <w:sectPr>
          <w:footerReference r:id="rId3" w:type="default"/>
          <w:footerReference r:id="rId4" w:type="even"/>
          <w:pgSz w:w="11906" w:h="16838"/>
          <w:pgMar w:top="2041" w:right="1587" w:bottom="1757" w:left="1587" w:header="851" w:footer="992" w:gutter="0"/>
          <w:cols w:space="425" w:num="1"/>
          <w:docGrid w:type="lines" w:linePitch="312" w:charSpace="0"/>
        </w:sectPr>
      </w:pPr>
      <w:bookmarkStart w:id="1652" w:name="_Toc30193"/>
      <w:bookmarkStart w:id="1653" w:name="_Toc27168"/>
    </w:p>
    <w:p>
      <w:pPr>
        <w:pStyle w:val="5"/>
        <w:autoSpaceDE w:val="0"/>
        <w:autoSpaceDN w:val="0"/>
        <w:spacing w:line="560" w:lineRule="exact"/>
        <w:ind w:left="418" w:right="601"/>
        <w:jc w:val="center"/>
        <w:outlineLvl w:val="0"/>
      </w:pPr>
      <w:bookmarkStart w:id="1654" w:name="_Toc303152899"/>
      <w:r>
        <w:rPr>
          <w:rFonts w:hint="eastAsia" w:ascii="黑体" w:hAnsi="仿宋" w:eastAsia="黑体" w:cs="仿宋"/>
          <w:spacing w:val="-10"/>
          <w:kern w:val="0"/>
          <w:lang w:bidi="zh-CN"/>
        </w:rPr>
        <w:t>第三章 发展布局</w:t>
      </w:r>
      <w:bookmarkEnd w:id="1652"/>
      <w:bookmarkEnd w:id="1654"/>
    </w:p>
    <w:p>
      <w:pPr>
        <w:widowControl/>
        <w:spacing w:line="560" w:lineRule="exact"/>
        <w:ind w:firstLine="640" w:firstLineChars="200"/>
        <w:jc w:val="left"/>
        <w:rPr>
          <w:rFonts w:ascii="仿宋" w:hAnsi="仿宋" w:eastAsia="仿宋" w:cs="仿宋"/>
        </w:rPr>
      </w:pPr>
      <w:r>
        <w:rPr>
          <w:rFonts w:hint="eastAsia" w:ascii="仿宋" w:hAnsi="仿宋" w:eastAsia="仿宋" w:cs="仿宋"/>
        </w:rPr>
        <w:t>把实施双循环战略与深化供给侧结构性改革有机结合起来，全面融入国家重大发展战略，进一步拓展和优化开放发展空间布局，促进对内对外合作交流，实施更大范围、更宽领域、更深层次对外开放，全面提高对外开放水平，推动开放型经济高质量发展。</w:t>
      </w:r>
      <w:bookmarkStart w:id="1655" w:name="_Toc26382"/>
      <w:bookmarkStart w:id="1656" w:name="_Toc1178190966"/>
    </w:p>
    <w:p>
      <w:pPr>
        <w:widowControl/>
        <w:spacing w:line="560" w:lineRule="exact"/>
        <w:ind w:firstLine="640" w:firstLineChars="200"/>
        <w:jc w:val="center"/>
      </w:pPr>
      <w:r>
        <w:rPr>
          <w:rFonts w:hint="eastAsia" w:ascii="楷体" w:hAnsi="仿宋" w:eastAsia="楷体" w:cs="仿宋"/>
          <w:lang w:bidi="zh-CN"/>
        </w:rPr>
        <w:t>第一节 全面融入国家发展战略</w:t>
      </w:r>
      <w:bookmarkEnd w:id="1655"/>
      <w:bookmarkEnd w:id="1656"/>
    </w:p>
    <w:p>
      <w:pPr>
        <w:widowControl/>
        <w:spacing w:line="560" w:lineRule="exact"/>
        <w:ind w:firstLine="640" w:firstLineChars="200"/>
        <w:jc w:val="left"/>
      </w:pPr>
      <w:r>
        <w:rPr>
          <w:rFonts w:hint="eastAsia" w:ascii="仿宋" w:hAnsi="仿宋" w:eastAsia="仿宋" w:cs="仿宋"/>
        </w:rPr>
        <w:t>积极参与“一带一路”、黄河流域生态保护和高质量发展、大别山革命老区振兴、淮河生态经济带、汉江生态经济带、长江经济带建设，抢抓河南省副中心城市建设机遇，开展对外贸易创新、招商引资提质、装备产能输出、科技创新合作等，在先进制造业、数字经济、基础设施和绿色发展等方面加强务实合作，扩大双向贸易和投资，构筑互利共赢的产业链供应链合作体系。立足区位优势，在融入大别山革命老区振兴、淮河生态经济带、汉江生态经济带建设、中部地区高质量发展等国家战略中培育新优势。对接郑州和武汉国家中心城市建设，加强战略、规划、机制对接，在标准、市场、政策体系、资质互认等方面加强衔接。着眼培育壮大先进制造业集群，增强优势产业吸引力和承载力，大力承接粤港澳大湾区、长三角、京津冀地区装备制造、新材料、新一代信息技术、</w:t>
      </w:r>
      <w:r>
        <w:rPr>
          <w:rFonts w:hint="eastAsia" w:ascii="仿宋" w:hAnsi="仿宋" w:eastAsia="仿宋" w:cs="仿宋"/>
          <w:kern w:val="0"/>
          <w:lang w:bidi="ar"/>
        </w:rPr>
        <w:t>新型建材</w:t>
      </w:r>
      <w:r>
        <w:rPr>
          <w:rFonts w:hint="eastAsia" w:ascii="仿宋" w:hAnsi="仿宋" w:eastAsia="仿宋" w:cs="仿宋"/>
        </w:rPr>
        <w:t>等产业转移。加强与郑州、武汉、西安、合肥等周边重要城市合作，走出一条内陆地区开放发展的新路子。</w:t>
      </w:r>
      <w:bookmarkStart w:id="1657" w:name="_Toc30571"/>
    </w:p>
    <w:p>
      <w:pPr>
        <w:pStyle w:val="7"/>
        <w:spacing w:line="560" w:lineRule="exact"/>
        <w:jc w:val="center"/>
        <w:rPr>
          <w:b w:val="0"/>
        </w:rPr>
      </w:pPr>
      <w:bookmarkStart w:id="1658" w:name="_Toc1176228743"/>
      <w:r>
        <w:rPr>
          <w:rFonts w:hint="eastAsia" w:ascii="楷体" w:hAnsi="仿宋" w:eastAsia="楷体" w:cs="仿宋"/>
          <w:b w:val="0"/>
          <w:szCs w:val="32"/>
          <w:lang w:bidi="zh-CN"/>
        </w:rPr>
        <w:t>第二节 优化开放布局</w:t>
      </w:r>
      <w:bookmarkEnd w:id="1657"/>
      <w:bookmarkEnd w:id="1658"/>
    </w:p>
    <w:p>
      <w:pPr>
        <w:pStyle w:val="25"/>
        <w:spacing w:before="0" w:after="0" w:line="560" w:lineRule="exact"/>
        <w:ind w:firstLine="640" w:firstLineChars="200"/>
        <w:jc w:val="left"/>
        <w:rPr>
          <w:rFonts w:ascii="仿宋" w:hAnsi="仿宋" w:eastAsia="仿宋" w:cs="仿宋"/>
          <w:b w:val="0"/>
        </w:rPr>
      </w:pPr>
      <w:r>
        <w:rPr>
          <w:rFonts w:hint="eastAsia" w:ascii="仿宋" w:hAnsi="仿宋" w:eastAsia="仿宋" w:cs="仿宋"/>
          <w:b w:val="0"/>
        </w:rPr>
        <w:t>立足河南省副中心城市建设，坚持龙头带动和整体联动相结合，加快推进全域开放，优化全市开放发展空间格局。坚持国际化、现代化方向，提升南阳集聚高端资源功能，积极承接国家重大生产力和创新体系布局，打造“一带一路”重要节点城市，建设具有较强竞争力、影响力的区域消费中心城市和投资潜力城市。高效联动信阳、驻马店，建设豫南枢纽经济协同发展区、豫南高效生态经济示范区。做强核心增长极，以推进南阳中心城区开放为核心，统筹推动产业发展和对外贸易转型升级，吸引外向型产业集群和企业集聚，建设开放发展与绿色发展紧密结合先行区，将中心城区打造成为全市开放型经济高质量发展的主阵地。引导各县（市、区）明确开放型经济发展重点，聚焦优势特色，因地制宜，加快县域高水平开放发展。强化多点联动，坚持以创建河南自贸试验区南阳开放创新联动区为引领，推进国家级省级开发区、海关特殊监管区域、跨境电商综合试验区等开放平台的战略协同，加强与河南自贸试验区、郑洛新</w:t>
      </w:r>
      <w:r>
        <w:fldChar w:fldCharType="begin"/>
      </w:r>
      <w:r>
        <w:instrText xml:space="preserve"> HYPERLINK "https://www.baidu.com/link?url=0WMWJ8EraP-I-JAW0KMnQPPfzGWFtqVylDzIInHiVfeYi2iN1Uk_EkHL_YAkQ3z33MDR9hmoXNZ5ZoowKOJV14OnJFckLlu5bDGEOg7hrZq&amp;wd=&amp;eqid=8f4b6fac00020982000000036266751f" \t "/home/inspur/文档x/_blank" </w:instrText>
      </w:r>
      <w:r>
        <w:fldChar w:fldCharType="separate"/>
      </w:r>
      <w:r>
        <w:rPr>
          <w:rFonts w:hint="eastAsia" w:ascii="仿宋" w:hAnsi="仿宋" w:eastAsia="仿宋" w:cs="仿宋"/>
          <w:b w:val="0"/>
        </w:rPr>
        <w:t>国家自主创新示范区</w:t>
      </w:r>
      <w:r>
        <w:rPr>
          <w:rFonts w:hint="eastAsia" w:ascii="仿宋" w:hAnsi="仿宋" w:eastAsia="仿宋" w:cs="仿宋"/>
          <w:b w:val="0"/>
        </w:rPr>
        <w:fldChar w:fldCharType="end"/>
      </w:r>
      <w:r>
        <w:rPr>
          <w:rFonts w:hint="eastAsia" w:ascii="仿宋" w:hAnsi="仿宋" w:eastAsia="仿宋" w:cs="仿宋"/>
          <w:b w:val="0"/>
        </w:rPr>
        <w:t>之间的联动发展，形成全方位开放新格局。</w:t>
      </w:r>
    </w:p>
    <w:p>
      <w:pPr>
        <w:pStyle w:val="6"/>
        <w:spacing w:line="560" w:lineRule="exact"/>
        <w:ind w:firstLine="600"/>
        <w:jc w:val="center"/>
        <w:rPr>
          <w:rFonts w:ascii="仿宋" w:hAnsi="仿宋" w:eastAsia="仿宋" w:cs="仿宋"/>
          <w:kern w:val="0"/>
          <w:lang w:bidi="ar"/>
        </w:rPr>
      </w:pPr>
      <w:bookmarkStart w:id="1659" w:name="_Toc9384"/>
      <w:bookmarkStart w:id="1660" w:name="_Toc1056381321"/>
      <w:r>
        <w:rPr>
          <w:rFonts w:hint="eastAsia" w:ascii="黑体" w:hAnsi="仿宋" w:cs="仿宋"/>
          <w:spacing w:val="-10"/>
          <w:kern w:val="0"/>
          <w:szCs w:val="32"/>
          <w:lang w:bidi="zh-CN"/>
        </w:rPr>
        <w:t>第四章 打造有竞争力的开放型现代产业基地</w:t>
      </w:r>
      <w:bookmarkEnd w:id="1653"/>
      <w:bookmarkEnd w:id="1659"/>
      <w:bookmarkEnd w:id="1660"/>
      <w:bookmarkStart w:id="1661" w:name="_Toc452298417"/>
      <w:bookmarkStart w:id="1662" w:name="_Toc439969463"/>
      <w:bookmarkStart w:id="1663" w:name="_Hlk59030225"/>
      <w:bookmarkStart w:id="1664" w:name="_Toc450810618"/>
    </w:p>
    <w:p>
      <w:pPr>
        <w:pStyle w:val="25"/>
        <w:spacing w:before="0" w:after="0" w:line="560" w:lineRule="exact"/>
        <w:ind w:firstLine="640" w:firstLineChars="200"/>
        <w:jc w:val="left"/>
        <w:rPr>
          <w:rFonts w:ascii="仿宋" w:hAnsi="仿宋" w:eastAsia="仿宋" w:cs="仿宋"/>
          <w:b w:val="0"/>
          <w:kern w:val="0"/>
          <w:lang w:bidi="ar"/>
        </w:rPr>
      </w:pPr>
      <w:r>
        <w:rPr>
          <w:rFonts w:hint="eastAsia" w:ascii="仿宋" w:hAnsi="仿宋" w:eastAsia="仿宋" w:cs="仿宋"/>
          <w:b w:val="0"/>
          <w:kern w:val="0"/>
          <w:lang w:bidi="ar"/>
        </w:rPr>
        <w:t>抢抓新一轮科技革命和产业变革机遇，实施产业强市行动，完善先进制造业体系、推动服务业提质增效、提升现代农业国际化水平，创造现代产业链集群发展新优势。善于优中培新、有中育新、无中生有，加快质量变革、效率变革、动力变革，努力打造全省、全国乃至全球具有竞争力的开放型现代产业基地。</w:t>
      </w:r>
    </w:p>
    <w:p>
      <w:pPr>
        <w:pStyle w:val="7"/>
        <w:spacing w:line="560" w:lineRule="exact"/>
        <w:jc w:val="center"/>
        <w:rPr>
          <w:b w:val="0"/>
        </w:rPr>
      </w:pPr>
      <w:bookmarkStart w:id="1665" w:name="_Toc9633"/>
      <w:bookmarkStart w:id="1666" w:name="_Toc1677909229"/>
      <w:r>
        <w:rPr>
          <w:rFonts w:hint="eastAsia" w:ascii="楷体" w:hAnsi="仿宋" w:eastAsia="楷体" w:cs="仿宋"/>
          <w:b w:val="0"/>
          <w:szCs w:val="32"/>
          <w:lang w:bidi="zh-CN"/>
        </w:rPr>
        <w:t>第一节 完善先进制造业体系</w:t>
      </w:r>
      <w:bookmarkEnd w:id="1665"/>
      <w:bookmarkEnd w:id="1666"/>
    </w:p>
    <w:p>
      <w:pPr>
        <w:widowControl/>
        <w:spacing w:line="560" w:lineRule="exact"/>
        <w:ind w:firstLine="640" w:firstLineChars="200"/>
        <w:jc w:val="left"/>
        <w:rPr>
          <w:rFonts w:ascii="仿宋" w:hAnsi="仿宋" w:eastAsia="仿宋" w:cs="仿宋"/>
          <w:kern w:val="0"/>
          <w:lang w:bidi="ar"/>
        </w:rPr>
      </w:pPr>
      <w:r>
        <w:rPr>
          <w:rFonts w:hint="eastAsia" w:ascii="仿宋" w:hAnsi="仿宋" w:eastAsia="仿宋" w:cs="仿宋"/>
          <w:kern w:val="0"/>
          <w:lang w:bidi="ar"/>
        </w:rPr>
        <w:t>大力实施“工业立市、兴工强市”战略，坚持把制造业高质量发展作为主攻方向，推进产业基础高级化、产业链现代化，加快推进传统产业高端嫁接、新兴产业培育壮大、未来产业谋篇布局，力争“十四五”末，打造1</w:t>
      </w:r>
      <w:r>
        <w:rPr>
          <w:rFonts w:hint="eastAsia" w:ascii="仿宋_GB2312" w:hAnsi="仿宋_GB2312" w:cs="仿宋_GB2312"/>
          <w:kern w:val="0"/>
          <w:lang w:bidi="ar"/>
        </w:rPr>
        <w:t>～</w:t>
      </w:r>
      <w:r>
        <w:rPr>
          <w:rFonts w:hint="eastAsia" w:ascii="仿宋" w:hAnsi="仿宋" w:eastAsia="仿宋" w:cs="仿宋"/>
          <w:kern w:val="0"/>
          <w:lang w:bidi="ar"/>
        </w:rPr>
        <w:t>2个国家级先进制造业集群，培育5个千亿级以上产业集群和一批百亿级产业集群，全市制造业主营业务收入突破8000亿元，成为特色先进制造业中心。</w:t>
      </w:r>
    </w:p>
    <w:p>
      <w:pPr>
        <w:spacing w:line="560" w:lineRule="exact"/>
        <w:ind w:firstLine="646"/>
        <w:rPr>
          <w:rFonts w:ascii="仿宋" w:hAnsi="仿宋" w:eastAsia="仿宋" w:cs="仿宋"/>
          <w:kern w:val="0"/>
          <w:lang w:bidi="ar"/>
        </w:rPr>
      </w:pPr>
      <w:r>
        <w:rPr>
          <w:rFonts w:hint="eastAsia" w:ascii="仿宋_GB2312" w:hAnsi="仿宋_GB2312" w:cs="仿宋_GB2312"/>
          <w:spacing w:val="-7"/>
          <w:kern w:val="0"/>
          <w:lang w:bidi="zh-CN"/>
        </w:rPr>
        <w:t>壮大千亿级产业集群。</w:t>
      </w:r>
      <w:r>
        <w:rPr>
          <w:rFonts w:hint="eastAsia" w:ascii="仿宋" w:hAnsi="仿宋" w:eastAsia="仿宋" w:cs="仿宋"/>
          <w:kern w:val="0"/>
          <w:lang w:bidi="ar"/>
        </w:rPr>
        <w:t>全力推动产业链集群式发展，大力推行产业链链长、产业联盟会长、行业秘书长“三长制”，实施造链、补链、强链、延链工程，做大做强做优“链主型”企业，推动产业链内部企业深度分工协作。依托防爆电机、汽车及零部件、输变电装备、农牧装备、轴承等20个重点产业链，支持中意、中德产业园等装备制造业专业园区发展，打造千亿级装备制造业产业集群。依托肉食品加工、面制品加工、食用油脂、食用菌等重点产业链，打造千亿级绿色食品产业集群，重点支持牧原集团发展生猪全产业链，推动肉食品关联产业率先达到千亿级规模，努力建设国际化、智能化、绿色化、现代化的全球肉食产业中心，把南阳打造成为全国最大的生猪生产中心、肉食品加工中心、农牧装备制造中心、肉食品冷链物流中心和全球畜牧业技术创新交流中心。依托光学元组件、智能传感器、电子元器件等重点产业，打造千亿级电子信息产业集群。依托现代中医药、化学制药、高端医疗器械等重点产业，打造千亿级生物产业集群。调整建材行业结构，大力推动智能卫浴、功能涂料、节能窗、节能幕墙等新型建材产业集群发展，重点依托南召碳酸钙资源优势，以立邦、三棵树、东方雨虹等骨干企业为龙头，打造千亿级新型建材产业集群。</w:t>
      </w:r>
    </w:p>
    <w:p>
      <w:pPr>
        <w:spacing w:line="560" w:lineRule="exact"/>
        <w:ind w:firstLine="646"/>
        <w:rPr>
          <w:rFonts w:ascii="仿宋" w:hAnsi="仿宋" w:eastAsia="仿宋" w:cs="仿宋"/>
          <w:kern w:val="0"/>
          <w:lang w:bidi="ar"/>
        </w:rPr>
      </w:pPr>
      <w:r>
        <w:rPr>
          <w:rFonts w:hint="eastAsia" w:ascii="仿宋_GB2312" w:hAnsi="仿宋_GB2312" w:cs="仿宋_GB2312"/>
          <w:spacing w:val="-7"/>
          <w:kern w:val="0"/>
          <w:lang w:bidi="zh-CN"/>
        </w:rPr>
        <w:t>培育百亿级产业集群。</w:t>
      </w:r>
      <w:r>
        <w:rPr>
          <w:rFonts w:hint="eastAsia" w:ascii="仿宋" w:hAnsi="仿宋" w:eastAsia="仿宋" w:cs="仿宋"/>
          <w:kern w:val="0"/>
          <w:lang w:bidi="ar"/>
        </w:rPr>
        <w:t>加快推动现代化工、纺织服装、玉产品等产业集群突破500亿元、推动新能源、新材料产业突破300亿元，推动5G应用、节能环保、人工智能等一批新兴产业达到百亿级。着力在北斗应用、区块链、生命健康等前沿领域前瞻布局，推动未来产业加快突破。大力推进智能、绿色、技术“三大改造”，以“机器换人、设备换芯、生产换线、企业上云”为重点，全要素、全流程、全产业链改造提升制造业，到“十四五”末，规上企业“三大改造”实施率达到70%以上。深入推进“军转民”“民参军”，依托豫西集团、中光学集团、乐凯华光等重点企业，持续深化技术、产业、设施、人才融合，打造500亿级军民融合产业。立足县域产业基础和比较优势，强化统筹引导、错位发展，聚焦新野智能玩具、方城生物动保、唐河粮油加工、南召先进铸造、西峡特色农产品加工等体现本地独有要素禀赋的特色产业，建设分工明晰、各具特色的产业基地，形成10个以上具有显著特色和较强竞争力的百亿级县域产业集群。</w:t>
      </w:r>
    </w:p>
    <w:p>
      <w:pPr>
        <w:spacing w:line="560" w:lineRule="exact"/>
        <w:ind w:firstLine="646"/>
        <w:rPr>
          <w:rFonts w:ascii="仿宋" w:hAnsi="仿宋" w:eastAsia="仿宋" w:cs="仿宋"/>
          <w:kern w:val="0"/>
          <w:lang w:bidi="ar"/>
        </w:rPr>
      </w:pPr>
      <w:r>
        <w:rPr>
          <w:rFonts w:hint="eastAsia" w:ascii="仿宋_GB2312" w:hAnsi="仿宋_GB2312" w:cs="仿宋_GB2312"/>
          <w:spacing w:val="-7"/>
          <w:kern w:val="0"/>
          <w:lang w:bidi="zh-CN"/>
        </w:rPr>
        <w:t>实施产业链延链补链强链行动</w:t>
      </w:r>
      <w:r>
        <w:rPr>
          <w:rFonts w:hint="eastAsia" w:ascii="仿宋_GB2312" w:hAnsi="仿宋_GB2312" w:cs="仿宋_GB2312"/>
          <w:spacing w:val="-7"/>
          <w:kern w:val="0"/>
          <w:lang w:eastAsia="zh-Hans" w:bidi="zh-CN"/>
        </w:rPr>
        <w:t>。</w:t>
      </w:r>
      <w:r>
        <w:rPr>
          <w:rFonts w:hint="eastAsia" w:ascii="仿宋" w:hAnsi="仿宋" w:eastAsia="仿宋" w:cs="仿宋"/>
          <w:kern w:val="0"/>
          <w:lang w:bidi="ar"/>
        </w:rPr>
        <w:t>推动上下游企业协同创新和攻关，聚焦重点领域</w:t>
      </w:r>
      <w:r>
        <w:rPr>
          <w:rFonts w:hint="eastAsia" w:ascii="仿宋" w:hAnsi="仿宋" w:eastAsia="仿宋" w:cs="仿宋"/>
          <w:kern w:val="0"/>
          <w:lang w:eastAsia="zh-Hans" w:bidi="ar"/>
        </w:rPr>
        <w:t>，</w:t>
      </w:r>
      <w:r>
        <w:rPr>
          <w:rFonts w:hint="eastAsia" w:ascii="仿宋" w:hAnsi="仿宋" w:eastAsia="仿宋" w:cs="仿宋"/>
          <w:kern w:val="0"/>
          <w:lang w:bidi="ar"/>
        </w:rPr>
        <w:t>加大备品备件储备</w:t>
      </w:r>
      <w:r>
        <w:rPr>
          <w:rFonts w:hint="eastAsia" w:ascii="仿宋" w:hAnsi="仿宋" w:eastAsia="仿宋" w:cs="仿宋"/>
          <w:kern w:val="0"/>
          <w:lang w:eastAsia="zh-Hans" w:bidi="ar"/>
        </w:rPr>
        <w:t>，</w:t>
      </w:r>
      <w:r>
        <w:rPr>
          <w:rFonts w:hint="eastAsia" w:ascii="仿宋" w:hAnsi="仿宋" w:eastAsia="仿宋" w:cs="仿宋"/>
          <w:kern w:val="0"/>
          <w:lang w:bidi="ar"/>
        </w:rPr>
        <w:t>对海外关键零部件、不可替代原材料等</w:t>
      </w:r>
      <w:r>
        <w:rPr>
          <w:rFonts w:hint="eastAsia" w:ascii="仿宋" w:hAnsi="仿宋" w:eastAsia="仿宋" w:cs="仿宋"/>
          <w:kern w:val="0"/>
          <w:lang w:eastAsia="zh-Hans" w:bidi="ar"/>
        </w:rPr>
        <w:t>，</w:t>
      </w:r>
      <w:r>
        <w:rPr>
          <w:rFonts w:hint="eastAsia" w:ascii="仿宋" w:hAnsi="仿宋" w:eastAsia="仿宋" w:cs="仿宋"/>
          <w:kern w:val="0"/>
          <w:lang w:bidi="ar"/>
        </w:rPr>
        <w:t>建立与配套企业的对接机制</w:t>
      </w:r>
      <w:r>
        <w:rPr>
          <w:rFonts w:hint="eastAsia" w:ascii="仿宋" w:hAnsi="仿宋" w:eastAsia="仿宋" w:cs="仿宋"/>
          <w:kern w:val="0"/>
          <w:lang w:eastAsia="zh-Hans" w:bidi="ar"/>
        </w:rPr>
        <w:t>，</w:t>
      </w:r>
      <w:r>
        <w:rPr>
          <w:rFonts w:hint="eastAsia" w:ascii="仿宋" w:hAnsi="仿宋" w:eastAsia="仿宋" w:cs="仿宋"/>
          <w:kern w:val="0"/>
          <w:lang w:bidi="ar"/>
        </w:rPr>
        <w:t>支持产业急需、影响重大的进口原材料、零部件、机器设备等快速通关</w:t>
      </w:r>
      <w:r>
        <w:rPr>
          <w:rFonts w:hint="eastAsia" w:ascii="仿宋" w:hAnsi="仿宋" w:eastAsia="仿宋" w:cs="仿宋"/>
          <w:kern w:val="0"/>
          <w:lang w:eastAsia="zh-Hans" w:bidi="ar"/>
        </w:rPr>
        <w:t>；</w:t>
      </w:r>
      <w:r>
        <w:rPr>
          <w:rFonts w:hint="eastAsia" w:ascii="仿宋" w:hAnsi="仿宋" w:eastAsia="仿宋" w:cs="仿宋"/>
          <w:kern w:val="0"/>
          <w:lang w:bidi="ar"/>
        </w:rPr>
        <w:t>畅通南阳产业链供需对接</w:t>
      </w:r>
      <w:r>
        <w:rPr>
          <w:rFonts w:hint="eastAsia" w:ascii="仿宋" w:hAnsi="仿宋" w:eastAsia="仿宋" w:cs="仿宋"/>
          <w:kern w:val="0"/>
          <w:lang w:eastAsia="zh-Hans" w:bidi="ar"/>
        </w:rPr>
        <w:t>，</w:t>
      </w:r>
      <w:r>
        <w:rPr>
          <w:rFonts w:hint="eastAsia" w:ascii="仿宋" w:hAnsi="仿宋" w:eastAsia="仿宋" w:cs="仿宋"/>
          <w:kern w:val="0"/>
          <w:lang w:bidi="ar"/>
        </w:rPr>
        <w:t>扶持一批供应链平台企业</w:t>
      </w:r>
      <w:r>
        <w:rPr>
          <w:rFonts w:hint="eastAsia" w:ascii="仿宋" w:hAnsi="仿宋" w:eastAsia="仿宋" w:cs="仿宋"/>
          <w:kern w:val="0"/>
          <w:lang w:eastAsia="zh-Hans" w:bidi="ar"/>
        </w:rPr>
        <w:t>，</w:t>
      </w:r>
      <w:r>
        <w:rPr>
          <w:rFonts w:hint="eastAsia" w:ascii="仿宋" w:hAnsi="仿宋" w:eastAsia="仿宋" w:cs="仿宋"/>
          <w:kern w:val="0"/>
          <w:lang w:bidi="ar"/>
        </w:rPr>
        <w:t>挖掘潜在供应商</w:t>
      </w:r>
      <w:r>
        <w:rPr>
          <w:rFonts w:hint="eastAsia" w:ascii="仿宋" w:hAnsi="仿宋" w:eastAsia="仿宋" w:cs="仿宋"/>
          <w:kern w:val="0"/>
          <w:lang w:eastAsia="zh-Hans" w:bidi="ar"/>
        </w:rPr>
        <w:t>；</w:t>
      </w:r>
      <w:r>
        <w:rPr>
          <w:rFonts w:hint="eastAsia" w:ascii="仿宋" w:hAnsi="仿宋" w:eastAsia="仿宋" w:cs="仿宋"/>
          <w:kern w:val="0"/>
          <w:lang w:bidi="ar"/>
        </w:rPr>
        <w:t>引导支持行业协会和龙头企业提供设计能力、技术研发、零部件、原材料等供需清单</w:t>
      </w:r>
      <w:r>
        <w:rPr>
          <w:rFonts w:hint="eastAsia" w:ascii="仿宋" w:hAnsi="仿宋" w:eastAsia="仿宋" w:cs="仿宋"/>
          <w:kern w:val="0"/>
          <w:lang w:eastAsia="zh-Hans" w:bidi="ar"/>
        </w:rPr>
        <w:t>，</w:t>
      </w:r>
      <w:r>
        <w:rPr>
          <w:rFonts w:hint="eastAsia" w:ascii="仿宋" w:hAnsi="仿宋" w:eastAsia="仿宋" w:cs="仿宋"/>
          <w:kern w:val="0"/>
          <w:lang w:bidi="ar"/>
        </w:rPr>
        <w:t>结合线上线下模式</w:t>
      </w:r>
      <w:r>
        <w:rPr>
          <w:rFonts w:hint="eastAsia" w:ascii="仿宋" w:hAnsi="仿宋" w:eastAsia="仿宋" w:cs="仿宋"/>
          <w:kern w:val="0"/>
          <w:lang w:eastAsia="zh-Hans" w:bidi="ar"/>
        </w:rPr>
        <w:t>，</w:t>
      </w:r>
      <w:r>
        <w:rPr>
          <w:rFonts w:hint="eastAsia" w:ascii="仿宋" w:hAnsi="仿宋" w:eastAsia="仿宋" w:cs="仿宋"/>
          <w:kern w:val="0"/>
          <w:lang w:bidi="ar"/>
        </w:rPr>
        <w:t>开展产品、技术和生产性服务对接</w:t>
      </w:r>
      <w:r>
        <w:rPr>
          <w:rFonts w:hint="eastAsia" w:ascii="仿宋" w:hAnsi="仿宋" w:eastAsia="仿宋" w:cs="仿宋"/>
          <w:kern w:val="0"/>
          <w:lang w:eastAsia="zh-Hans" w:bidi="ar"/>
        </w:rPr>
        <w:t>。</w:t>
      </w:r>
      <w:bookmarkStart w:id="1667" w:name="_Toc23956"/>
      <w:bookmarkStart w:id="1668" w:name="_Toc304759348"/>
    </w:p>
    <w:p>
      <w:pPr>
        <w:spacing w:line="560" w:lineRule="exact"/>
        <w:ind w:firstLine="646"/>
        <w:jc w:val="center"/>
      </w:pPr>
      <w:r>
        <w:rPr>
          <w:rFonts w:hint="eastAsia" w:ascii="楷体" w:hAnsi="仿宋" w:eastAsia="楷体" w:cs="仿宋"/>
          <w:lang w:bidi="zh-CN"/>
        </w:rPr>
        <w:t>第二节 推动服务业提质增效</w:t>
      </w:r>
      <w:bookmarkEnd w:id="1667"/>
      <w:bookmarkEnd w:id="1668"/>
    </w:p>
    <w:p>
      <w:pPr>
        <w:widowControl/>
        <w:spacing w:line="560" w:lineRule="exact"/>
        <w:ind w:firstLine="640" w:firstLineChars="200"/>
        <w:jc w:val="left"/>
        <w:rPr>
          <w:rFonts w:ascii="仿宋" w:hAnsi="仿宋" w:eastAsia="仿宋" w:cs="仿宋"/>
          <w:kern w:val="0"/>
          <w:lang w:bidi="ar"/>
        </w:rPr>
      </w:pPr>
      <w:r>
        <w:rPr>
          <w:rFonts w:hint="eastAsia" w:ascii="仿宋" w:hAnsi="仿宋" w:eastAsia="仿宋" w:cs="仿宋"/>
          <w:kern w:val="0"/>
          <w:lang w:bidi="ar"/>
        </w:rPr>
        <w:t>抓住国家扩大新一轮服务贸易创新发展试点的政策机遇，放宽服务业外资市场准入限制，大力拓展现代服务业开放领域，推动服务贸易创新发展。促进现代服务业与先进制造业融合发展，推动生产性服务业向专业化和价值链高端延伸，推动生活性服务业向精细化、个性化、高品质转变。发展壮大研发设计、检测认证、数据信息、商务服务、科技咨询等生产性服务业，集聚形成一批具有影响力的生产性服务业园区。</w:t>
      </w:r>
    </w:p>
    <w:p>
      <w:pPr>
        <w:widowControl/>
        <w:spacing w:line="560" w:lineRule="exact"/>
        <w:ind w:firstLine="612" w:firstLineChars="200"/>
        <w:jc w:val="left"/>
        <w:rPr>
          <w:rFonts w:ascii="仿宋" w:hAnsi="仿宋" w:eastAsia="仿宋" w:cs="仿宋"/>
          <w:kern w:val="0"/>
          <w:lang w:bidi="ar"/>
        </w:rPr>
      </w:pPr>
      <w:r>
        <w:rPr>
          <w:rFonts w:hint="eastAsia" w:ascii="仿宋_GB2312" w:hAnsi="仿宋_GB2312" w:cs="仿宋_GB2312"/>
          <w:spacing w:val="-7"/>
          <w:kern w:val="0"/>
          <w:lang w:bidi="zh-CN"/>
        </w:rPr>
        <w:t>提升现代物流业发展水平。</w:t>
      </w:r>
      <w:r>
        <w:rPr>
          <w:rFonts w:hint="eastAsia" w:ascii="仿宋" w:hAnsi="仿宋" w:eastAsia="仿宋" w:cs="仿宋"/>
          <w:kern w:val="0"/>
          <w:lang w:bidi="ar"/>
        </w:rPr>
        <w:t>加快推进商贸服务型国家物流枢纽承载城市建设，提升物流业与制造业、商贸业联动发展水平。优化物流空间布局，提速物流园区和信息平台建设。大力发展冷链、快递和电商物流，培育引进一批大型物流企业集团，推动南阳万邦冷链物流园等一批市县物流园建设。支持卧龙现代物流园建设国家商贸服务型物流枢纽。支持邓州、唐河建设省级区域交通物流枢纽。加快南阳城区快递分拣配送中心和农村物流网络建设，推动物流基础设施互联互通，促进区域物流协调发展，打造全国重要的现代物流中心。依托正在形成的综合交通体系，加快建设以综合物流基地为引领，以卧龙现代物流片区、南阳现代冷链物流片区、宛城区高铁商贸物流片区为重点，以其他物流园区、物流企业为节点的“1+3+N”三级物流体系，大力发展多式联运，力争新增A级以上物流企业20家以上，打造中部水陆集散中心、全国重要物流枢纽。</w:t>
      </w:r>
    </w:p>
    <w:p>
      <w:pPr>
        <w:pStyle w:val="25"/>
        <w:spacing w:before="0" w:after="0" w:line="560" w:lineRule="exact"/>
        <w:ind w:firstLine="612" w:firstLineChars="200"/>
        <w:jc w:val="left"/>
        <w:rPr>
          <w:rFonts w:ascii="仿宋" w:hAnsi="仿宋" w:eastAsia="仿宋" w:cs="仿宋"/>
          <w:b w:val="0"/>
          <w:kern w:val="0"/>
          <w:lang w:bidi="ar"/>
        </w:rPr>
      </w:pPr>
      <w:r>
        <w:rPr>
          <w:rFonts w:hint="eastAsia" w:ascii="仿宋_GB2312" w:hAnsi="仿宋_GB2312" w:eastAsia="仿宋_GB2312" w:cs="仿宋_GB2312"/>
          <w:b w:val="0"/>
          <w:spacing w:val="-7"/>
          <w:kern w:val="0"/>
          <w:lang w:bidi="zh-CN"/>
        </w:rPr>
        <w:t>提升现代金融业。</w:t>
      </w:r>
      <w:r>
        <w:rPr>
          <w:rFonts w:hint="eastAsia" w:ascii="仿宋" w:hAnsi="仿宋" w:eastAsia="仿宋" w:cs="仿宋"/>
          <w:b w:val="0"/>
          <w:kern w:val="0"/>
          <w:lang w:bidi="ar"/>
        </w:rPr>
        <w:t>持续实施“招金入宛”工程，鼓励银行、保险、信托、基金、证券等各类金融机构在宛设立分支机构，建设基金小镇。深化农信社等地方金融机构改革，支持设立财务公司、融资租赁公司、商业保理公司等金融组织，积极发展数字金融、绿色金融、科技金融等新业态，通过金融体系优化和融资方式创新，缩小存贷差，增强对市内外资金的吸纳集聚能力，力争到2025年，把南阳打造成区域现代金融中心。</w:t>
      </w:r>
    </w:p>
    <w:p>
      <w:pPr>
        <w:widowControl/>
        <w:spacing w:line="560" w:lineRule="exact"/>
        <w:ind w:firstLine="612" w:firstLineChars="200"/>
        <w:jc w:val="left"/>
        <w:rPr>
          <w:rFonts w:ascii="仿宋" w:hAnsi="仿宋" w:eastAsia="仿宋" w:cs="仿宋"/>
          <w:kern w:val="0"/>
          <w:lang w:bidi="ar"/>
        </w:rPr>
      </w:pPr>
      <w:r>
        <w:rPr>
          <w:rFonts w:hint="eastAsia" w:ascii="仿宋_GB2312" w:hAnsi="仿宋_GB2312" w:cs="仿宋_GB2312"/>
          <w:spacing w:val="-7"/>
          <w:kern w:val="0"/>
          <w:lang w:bidi="zh-CN"/>
        </w:rPr>
        <w:t>加快电子商务发展。</w:t>
      </w:r>
      <w:r>
        <w:rPr>
          <w:rFonts w:hint="eastAsia" w:ascii="仿宋" w:hAnsi="仿宋" w:eastAsia="仿宋" w:cs="仿宋"/>
          <w:kern w:val="0"/>
          <w:lang w:bidi="ar"/>
        </w:rPr>
        <w:t>以龙头企业培育和引进为重点，加快电子商务基地、基础设施和服务平台建设，着力营造电子商务发展环境。创新技术、商业模式，鼓励新业态、新模式发展，高质量发展电子商务经济，增强核心竞争力。扶持一批产业链带动作用明显的电子商务平台。加快推进中国（南阳）跨境电子商务综合试验区和零售进口试点城市建设，建设提升线上综合服务平台和线下综合园区平台，实施跨境电商产业提升、市场主体培育、品牌塑造、人才培养四大行动，完善信息共享、物流支撑、金融服务、信用监管、统计监测和风险防控六大体系，培育一批跨境电商特色产业集群，建成在全国有一定影响力的新兴区域跨境电子商务中心。</w:t>
      </w:r>
    </w:p>
    <w:p>
      <w:pPr>
        <w:widowControl/>
        <w:spacing w:line="560" w:lineRule="exact"/>
        <w:ind w:firstLine="612" w:firstLineChars="200"/>
        <w:jc w:val="left"/>
      </w:pPr>
      <w:r>
        <w:rPr>
          <w:rFonts w:hint="eastAsia" w:ascii="仿宋_GB2312" w:hAnsi="仿宋_GB2312" w:cs="仿宋_GB2312"/>
          <w:spacing w:val="-7"/>
          <w:kern w:val="0"/>
          <w:lang w:bidi="zh-CN"/>
        </w:rPr>
        <w:t>突出发展商务服务。</w:t>
      </w:r>
      <w:r>
        <w:rPr>
          <w:rFonts w:hint="eastAsia" w:ascii="仿宋" w:hAnsi="仿宋" w:eastAsia="仿宋" w:cs="仿宋"/>
          <w:kern w:val="0"/>
          <w:lang w:bidi="ar"/>
        </w:rPr>
        <w:t>坚持商务服务“专精特优”发展方向，依托南阳现代服务业开发区，大力发展总部经济和楼宇经济，积极引进行业龙头企业建立地区性总部或功能性中心。支持县域发展商务中心，引导县域龙头企业、旅游企业总部、金融保险分支机构等入驻，建设中小企业总部基地。积极发展会计、审计、法律、咨询、第三方检测等中介服务业。研究推进宛城区南阳国际汽车智慧城项目建设。加快会展中心建设，吸引国家级、区域性品牌展会落户，培育一批知名会展品牌，组织举办道地中药材、超硬材料、花卉苗木等全国性会展活动，建设具有较强影响力的区域性会展中心。</w:t>
      </w:r>
      <w:bookmarkStart w:id="1669" w:name="_Toc18000"/>
    </w:p>
    <w:p>
      <w:pPr>
        <w:pStyle w:val="7"/>
        <w:spacing w:line="560" w:lineRule="exact"/>
        <w:jc w:val="center"/>
        <w:rPr>
          <w:b w:val="0"/>
        </w:rPr>
      </w:pPr>
      <w:bookmarkStart w:id="1670" w:name="_Toc26715132"/>
      <w:r>
        <w:rPr>
          <w:rFonts w:hint="eastAsia" w:ascii="楷体" w:hAnsi="仿宋" w:eastAsia="楷体" w:cs="仿宋"/>
          <w:b w:val="0"/>
          <w:szCs w:val="32"/>
          <w:lang w:bidi="zh-CN"/>
        </w:rPr>
        <w:t>第三节 提升现代农业国际化水平</w:t>
      </w:r>
      <w:bookmarkEnd w:id="1669"/>
      <w:bookmarkEnd w:id="1670"/>
    </w:p>
    <w:p>
      <w:pPr>
        <w:spacing w:line="560" w:lineRule="exact"/>
        <w:ind w:firstLine="612" w:firstLineChars="200"/>
        <w:rPr>
          <w:rFonts w:ascii="仿宋" w:hAnsi="仿宋" w:eastAsia="仿宋" w:cs="仿宋"/>
        </w:rPr>
      </w:pPr>
      <w:r>
        <w:rPr>
          <w:rFonts w:hint="eastAsia" w:ascii="仿宋_GB2312" w:hAnsi="仿宋_GB2312" w:cs="仿宋_GB2312"/>
          <w:spacing w:val="-7"/>
          <w:kern w:val="0"/>
          <w:lang w:bidi="zh-CN"/>
        </w:rPr>
        <w:t>构建特色鲜明的开放型现代农业体系。</w:t>
      </w:r>
      <w:r>
        <w:rPr>
          <w:rFonts w:hint="eastAsia" w:ascii="仿宋" w:hAnsi="仿宋" w:eastAsia="仿宋" w:cs="仿宋"/>
        </w:rPr>
        <w:t>把开放型现代农业发展摆在重要位置，重点围绕主体培育，打造一批高外向型的农业龙头企业；围绕优势产业，建设一批高标准农业出口示范基地；围绕农业“走出去”，建设一批高层次的农业对外投资项目、境外农业科技示范园区以及农产品原料生产加工基地；围绕农业“引进来”，引进一批高水平的发展要素，特别是资金投入、技术创新、高端人才等方面；围绕营销推介，做强一批高效率的营销载体，打造境外营销窗口和跨境电子商务平台；围绕交流合作，实施一批高融合度的区域合作平台。</w:t>
      </w:r>
    </w:p>
    <w:p>
      <w:pPr>
        <w:pStyle w:val="98"/>
        <w:spacing w:after="0" w:line="560" w:lineRule="exact"/>
        <w:ind w:firstLine="612" w:firstLineChars="200"/>
        <w:rPr>
          <w:rFonts w:ascii="仿宋" w:hAnsi="仿宋" w:eastAsia="仿宋" w:cs="仿宋"/>
          <w:sz w:val="32"/>
          <w:szCs w:val="32"/>
        </w:rPr>
      </w:pPr>
      <w:r>
        <w:rPr>
          <w:rFonts w:hint="eastAsia" w:ascii="仿宋_GB2312" w:hAnsi="仿宋_GB2312" w:eastAsia="仿宋_GB2312" w:cs="仿宋_GB2312"/>
          <w:spacing w:val="-7"/>
          <w:kern w:val="0"/>
          <w:sz w:val="32"/>
          <w:szCs w:val="32"/>
          <w:lang w:bidi="zh-CN"/>
        </w:rPr>
        <w:t>构建优势农业特色产业集群。</w:t>
      </w:r>
      <w:r>
        <w:rPr>
          <w:rFonts w:hint="eastAsia" w:ascii="仿宋" w:hAnsi="仿宋" w:eastAsia="仿宋" w:cs="仿宋"/>
          <w:sz w:val="32"/>
          <w:szCs w:val="32"/>
        </w:rPr>
        <w:t>抓好以牧原生猪为龙头，正大食品、黄志牧业、东嘉农牧、科尔沁肉牛、丰园禽业、众益食业等为骨干的肉食产业化集群；以想念面业为龙头，曹氏百川、久友面粉、三源粮油、吉祥结粮油等为支撑的粮食产业化集群；以仲景香菇酱为龙头，家家宝食品、百菌园生态农业、九顺达实业、康润源食品等为支撑的食用菌产业化集群；以宛西制药为龙头，福森药业、国医仲景艾草、芝元堂药业等为支撑的中药材产业化集群；以南阳月季基地为龙头，新艺木业、锦天园林、东方茧丝绸、丹峰山茶叶、昌宇农林等为支撑的林产品产业集群；以恒利康为龙头，果然风情、满义农业、三乐元、仁和康源等为支撑的果蔬产业化集群；以三色鸽为龙头，盛全农牧、新太阳乳业、健羊牧业等为支撑的乳制品产业化集群；以赊店老酒为龙头，养生殿酒业、邓州光照酒业、新野龙潭黄酒、唐河叁酱坊酒业为支撑的酒业产业集群。</w:t>
      </w:r>
    </w:p>
    <w:p>
      <w:pPr>
        <w:pStyle w:val="98"/>
        <w:spacing w:after="0" w:line="560" w:lineRule="exact"/>
        <w:ind w:firstLine="612" w:firstLineChars="200"/>
        <w:rPr>
          <w:rFonts w:ascii="仿宋" w:hAnsi="仿宋" w:eastAsia="仿宋" w:cs="仿宋"/>
          <w:sz w:val="32"/>
          <w:szCs w:val="32"/>
        </w:rPr>
      </w:pPr>
      <w:bookmarkStart w:id="1671" w:name="_Toc9799"/>
      <w:r>
        <w:rPr>
          <w:rFonts w:hint="eastAsia" w:ascii="仿宋_GB2312" w:hAnsi="仿宋_GB2312" w:eastAsia="仿宋_GB2312" w:cs="仿宋_GB2312"/>
          <w:spacing w:val="-7"/>
          <w:kern w:val="0"/>
          <w:sz w:val="32"/>
          <w:szCs w:val="32"/>
          <w:lang w:bidi="zh-CN"/>
        </w:rPr>
        <w:t>打造现代农业基地</w:t>
      </w:r>
      <w:bookmarkEnd w:id="1671"/>
      <w:r>
        <w:rPr>
          <w:rFonts w:hint="eastAsia" w:ascii="仿宋_GB2312" w:hAnsi="仿宋_GB2312" w:eastAsia="仿宋_GB2312" w:cs="仿宋_GB2312"/>
          <w:spacing w:val="-7"/>
          <w:kern w:val="0"/>
          <w:sz w:val="32"/>
          <w:szCs w:val="32"/>
          <w:lang w:bidi="zh-CN"/>
        </w:rPr>
        <w:t>。</w:t>
      </w:r>
      <w:r>
        <w:rPr>
          <w:rFonts w:hint="eastAsia" w:ascii="仿宋" w:hAnsi="仿宋" w:eastAsia="仿宋" w:cs="仿宋"/>
          <w:sz w:val="32"/>
          <w:szCs w:val="32"/>
        </w:rPr>
        <w:t>大力培育休闲旅游、文化体验、康养农业、创意农业、农村电商五大新型业态，推动农业与旅游、文化、教育、医疗、养老等产业深度融合。提升粮食等农产品综合生产能力，巩固粮食主产区核心区地位。建设都市农业基地，鼓励现代农业产业园、科技园、创业园、观光园“四园同建”，以特色园区引领发展。支持南阳独山田园综合体项目、南阳国家农业科技园区、内乡现代农业示范园建设，规划建设10家现代农业产业园、20家农业综合体、100家田园综合体观光园。</w:t>
      </w:r>
    </w:p>
    <w:p>
      <w:pPr>
        <w:pStyle w:val="98"/>
        <w:spacing w:after="0" w:line="560" w:lineRule="exact"/>
        <w:ind w:firstLine="612" w:firstLineChars="200"/>
        <w:rPr>
          <w:rFonts w:ascii="仿宋" w:hAnsi="仿宋" w:eastAsia="仿宋" w:cs="仿宋"/>
          <w:sz w:val="32"/>
          <w:szCs w:val="32"/>
        </w:rPr>
      </w:pPr>
      <w:r>
        <w:rPr>
          <w:rFonts w:hint="eastAsia" w:ascii="仿宋_GB2312" w:hAnsi="仿宋_GB2312" w:eastAsia="仿宋_GB2312" w:cs="仿宋_GB2312"/>
          <w:spacing w:val="-7"/>
          <w:kern w:val="0"/>
          <w:sz w:val="32"/>
          <w:szCs w:val="32"/>
          <w:lang w:bidi="zh-CN"/>
        </w:rPr>
        <w:t>打造中原种业基地。</w:t>
      </w:r>
      <w:r>
        <w:rPr>
          <w:rFonts w:hint="eastAsia" w:ascii="仿宋" w:hAnsi="仿宋" w:eastAsia="仿宋" w:cs="仿宋"/>
          <w:sz w:val="32"/>
          <w:szCs w:val="32"/>
        </w:rPr>
        <w:t>实施种质资源保护利用、育种创新攻关、良种繁育提升和龙头种企培育“四大工程”。开展种业基础性、公益性科研推广平台建设，支持有条件的育繁推一体化种业企业建设育种研发实验室，加快国家农作物新品种区域试验站建设。支持市农科院、南阳农业职业学院等农业科研院所开展“四优”（优质小麦、优质花生、优质草畜、优质林果）和主要特色农产品新品种研发选育。拓展与西北农林科技大学合作成果，深化草腐菌、玉兰、月季科研合作。实施种业提升工程，开展农作物、畜禽、水产等资源保护和育种创新，推进南阳月季种质资源保护项目建设，加快邓州全国杂交小麦育种创新基地、唐河良种繁育基地、南召辛夷种质基因库、卧龙良种基因资源保护组培库、皮南牛新品种培育推广开发利用项目等建设，积极培育现代种业龙头企业，提升现代种业发展水平。</w:t>
      </w:r>
    </w:p>
    <w:p>
      <w:pPr>
        <w:pStyle w:val="98"/>
        <w:spacing w:after="0" w:line="560" w:lineRule="exact"/>
        <w:ind w:firstLine="612" w:firstLineChars="200"/>
        <w:rPr>
          <w:rFonts w:ascii="仿宋" w:hAnsi="仿宋" w:eastAsia="仿宋" w:cs="仿宋"/>
          <w:sz w:val="32"/>
          <w:szCs w:val="32"/>
        </w:rPr>
      </w:pPr>
      <w:r>
        <w:rPr>
          <w:rFonts w:hint="eastAsia" w:ascii="仿宋_GB2312" w:hAnsi="仿宋_GB2312" w:eastAsia="仿宋_GB2312" w:cs="仿宋_GB2312"/>
          <w:spacing w:val="-7"/>
          <w:kern w:val="0"/>
          <w:sz w:val="32"/>
          <w:szCs w:val="32"/>
          <w:lang w:bidi="zh-CN"/>
        </w:rPr>
        <w:t>打造农产品出口基地。</w:t>
      </w:r>
      <w:r>
        <w:rPr>
          <w:rFonts w:hint="eastAsia" w:ascii="仿宋" w:hAnsi="仿宋" w:eastAsia="仿宋" w:cs="仿宋"/>
          <w:sz w:val="32"/>
          <w:szCs w:val="32"/>
        </w:rPr>
        <w:t>加强食用菌类、罐头等传统优势农产品以及艾草、月季等特色农产品出口，加大农产品出口基地建设力度，积极组织农产品出口企业参加境外促销，努力培育出口农产品国际品牌。加强国际农业新品种、新技术、新装备的引进，积极探索现代农业高端人才境外培训，鼓励引导有条件的农业龙头企业到境外开发农业资源。充分利用农业科技人才与技术优势，积极发展农业服务贸易。</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spacing w:line="400" w:lineRule="exact"/>
              <w:jc w:val="center"/>
              <w:rPr>
                <w:rFonts w:ascii="仿宋" w:hAnsi="仿宋" w:eastAsia="仿宋" w:cs="仿宋"/>
              </w:rPr>
            </w:pPr>
            <w:r>
              <w:rPr>
                <w:rFonts w:hint="eastAsia" w:ascii="黑体" w:hAnsi="仿宋" w:eastAsia="黑体" w:cs="仿宋"/>
                <w:kern w:val="0"/>
                <w:sz w:val="28"/>
                <w:szCs w:val="28"/>
                <w:lang w:bidi="zh-CN"/>
              </w:rPr>
              <w:t>专栏1：南阳市外向型农业发展工程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400" w:lineRule="exact"/>
              <w:ind w:firstLine="480" w:firstLineChars="200"/>
              <w:rPr>
                <w:rFonts w:ascii="仿宋" w:hAnsi="仿宋" w:eastAsia="仿宋" w:cs="仿宋"/>
                <w:sz w:val="24"/>
              </w:rPr>
            </w:pPr>
            <w:r>
              <w:rPr>
                <w:rFonts w:hint="eastAsia" w:ascii="楷体" w:hAnsi="楷体" w:eastAsia="楷体" w:cs="楷体"/>
                <w:bCs/>
                <w:sz w:val="24"/>
                <w:szCs w:val="24"/>
              </w:rPr>
              <w:t>1.争取农业对外开放合作建设试点。</w:t>
            </w:r>
            <w:r>
              <w:rPr>
                <w:rFonts w:hint="eastAsia" w:ascii="仿宋" w:hAnsi="仿宋" w:eastAsia="仿宋" w:cs="仿宋"/>
                <w:sz w:val="24"/>
                <w:szCs w:val="24"/>
              </w:rPr>
              <w:t>发展高端现代服务业和生物育种特色产业，打造一流现代种业科创新城。建立国际化质量安全公共管理体系，开展高标准出口示范基地建设，打造农业对外合作服务平台，建立南阳进出口农产品销售中心。</w:t>
            </w:r>
          </w:p>
          <w:p>
            <w:pPr>
              <w:spacing w:line="400" w:lineRule="exact"/>
              <w:ind w:firstLine="480" w:firstLineChars="200"/>
              <w:rPr>
                <w:rFonts w:ascii="仿宋" w:hAnsi="仿宋" w:eastAsia="仿宋" w:cs="仿宋"/>
                <w:sz w:val="24"/>
              </w:rPr>
            </w:pPr>
            <w:r>
              <w:rPr>
                <w:rFonts w:hint="eastAsia" w:ascii="楷体" w:hAnsi="楷体" w:eastAsia="楷体" w:cs="楷体"/>
                <w:bCs/>
                <w:sz w:val="24"/>
                <w:szCs w:val="24"/>
              </w:rPr>
              <w:t>2.推进境外农业合作。</w:t>
            </w:r>
            <w:r>
              <w:rPr>
                <w:rFonts w:hint="eastAsia" w:ascii="仿宋" w:hAnsi="仿宋" w:eastAsia="仿宋" w:cs="仿宋"/>
                <w:sz w:val="24"/>
                <w:szCs w:val="24"/>
              </w:rPr>
              <w:t>发挥南阳农业资源丰富优势，支持有实力的农业龙头企业到“一带一路”国家发展从种植、养殖到加工的全产业链经营，建立海外农产品生产、收购、仓储、加工、运输体系。</w:t>
            </w:r>
          </w:p>
          <w:p>
            <w:pPr>
              <w:spacing w:line="400" w:lineRule="exact"/>
              <w:ind w:firstLine="480" w:firstLineChars="200"/>
              <w:rPr>
                <w:rFonts w:ascii="仿宋" w:hAnsi="仿宋" w:eastAsia="仿宋" w:cs="仿宋"/>
              </w:rPr>
            </w:pPr>
            <w:r>
              <w:rPr>
                <w:rFonts w:hint="eastAsia" w:ascii="楷体" w:hAnsi="楷体" w:eastAsia="楷体" w:cs="楷体"/>
                <w:bCs/>
                <w:sz w:val="24"/>
                <w:szCs w:val="24"/>
              </w:rPr>
              <w:t>3.打造“世界月季名城”和“世界艾乡”。</w:t>
            </w:r>
            <w:r>
              <w:rPr>
                <w:rFonts w:hint="eastAsia" w:ascii="仿宋" w:hAnsi="仿宋" w:eastAsia="仿宋" w:cs="仿宋"/>
                <w:sz w:val="24"/>
                <w:szCs w:val="24"/>
              </w:rPr>
              <w:t>做大做强月季和艾草等知名品牌，加大月季与艾草出口，力争到2025年，南阳艾草产业占据国内市场和出口份额90%以上；南阳月季年出口占据全国出口份额85%以上，年出口量达到500万株。</w:t>
            </w:r>
          </w:p>
        </w:tc>
      </w:tr>
    </w:tbl>
    <w:p>
      <w:pPr>
        <w:pStyle w:val="6"/>
        <w:spacing w:line="560" w:lineRule="exact"/>
        <w:ind w:firstLine="600"/>
        <w:jc w:val="center"/>
        <w:rPr>
          <w:rFonts w:ascii="仿宋" w:hAnsi="仿宋" w:eastAsia="仿宋" w:cs="仿宋"/>
        </w:rPr>
      </w:pPr>
      <w:bookmarkStart w:id="1672" w:name="_Toc281290152"/>
      <w:bookmarkStart w:id="1673" w:name="_Toc22225"/>
      <w:r>
        <w:rPr>
          <w:rFonts w:hint="eastAsia" w:ascii="黑体" w:hAnsi="仿宋" w:cs="仿宋"/>
          <w:spacing w:val="-10"/>
          <w:kern w:val="0"/>
          <w:szCs w:val="32"/>
          <w:lang w:bidi="zh-CN"/>
        </w:rPr>
        <w:t>第五章 打造有活力的制度型开放高地</w:t>
      </w:r>
      <w:bookmarkEnd w:id="1672"/>
      <w:bookmarkEnd w:id="1673"/>
    </w:p>
    <w:p>
      <w:pPr>
        <w:spacing w:line="560" w:lineRule="exact"/>
        <w:ind w:firstLine="640" w:firstLineChars="200"/>
      </w:pPr>
      <w:r>
        <w:rPr>
          <w:rFonts w:hint="eastAsia" w:ascii="仿宋" w:hAnsi="仿宋" w:eastAsia="仿宋" w:cs="仿宋"/>
        </w:rPr>
        <w:t>构建开放型</w:t>
      </w:r>
      <w:r>
        <w:fldChar w:fldCharType="begin"/>
      </w:r>
      <w:r>
        <w:instrText xml:space="preserve"> HYPERLINK "http://finance.people.com.cn/" </w:instrText>
      </w:r>
      <w:r>
        <w:fldChar w:fldCharType="separate"/>
      </w:r>
      <w:r>
        <w:rPr>
          <w:rFonts w:hint="eastAsia" w:ascii="仿宋" w:hAnsi="仿宋" w:eastAsia="仿宋" w:cs="仿宋"/>
        </w:rPr>
        <w:t>经济</w:t>
      </w:r>
      <w:r>
        <w:rPr>
          <w:rFonts w:hint="eastAsia" w:ascii="仿宋" w:hAnsi="仿宋" w:eastAsia="仿宋" w:cs="仿宋"/>
        </w:rPr>
        <w:fldChar w:fldCharType="end"/>
      </w:r>
      <w:r>
        <w:rPr>
          <w:rFonts w:hint="eastAsia" w:ascii="仿宋" w:hAnsi="仿宋" w:eastAsia="仿宋" w:cs="仿宋"/>
        </w:rPr>
        <w:t>新体制要求建立与国际投资和贸易规则相适应的管理方式，形成参与国际宏观经济政策协调的机制，推动国际经济治理结构不断完善。要围绕构建高水准、接轨国际和区域领先的开放环境，加大对外开放相关体制机制改革力度，促进贸易投资便利化，完善涉外监管与综合服务体系，持续优化营商环境，深化开发区体制机制改革，培育体制机制新优势，推动规则、规制、管理、标准等制度型开放迈出更大步伐，以高水平开放促进深层次市场化改革，打造参与国际合作和竞争新优势。</w:t>
      </w:r>
      <w:bookmarkStart w:id="1674" w:name="_Toc4069"/>
    </w:p>
    <w:p>
      <w:pPr>
        <w:pStyle w:val="7"/>
        <w:spacing w:line="560" w:lineRule="exact"/>
        <w:jc w:val="center"/>
        <w:rPr>
          <w:b w:val="0"/>
        </w:rPr>
      </w:pPr>
      <w:bookmarkStart w:id="1675" w:name="_Toc213054545"/>
      <w:r>
        <w:rPr>
          <w:rFonts w:hint="eastAsia" w:ascii="楷体" w:hAnsi="仿宋" w:eastAsia="楷体" w:cs="仿宋"/>
          <w:b w:val="0"/>
          <w:szCs w:val="32"/>
          <w:lang w:bidi="zh-CN"/>
        </w:rPr>
        <w:t>第一节 促进贸易投资便利化</w:t>
      </w:r>
      <w:bookmarkEnd w:id="1674"/>
      <w:bookmarkEnd w:id="1675"/>
    </w:p>
    <w:p>
      <w:pPr>
        <w:spacing w:line="560" w:lineRule="exact"/>
        <w:ind w:firstLine="640" w:firstLineChars="200"/>
        <w:rPr>
          <w:rFonts w:ascii="仿宋" w:hAnsi="仿宋" w:eastAsia="仿宋" w:cs="仿宋"/>
        </w:rPr>
      </w:pPr>
      <w:r>
        <w:rPr>
          <w:rFonts w:hint="eastAsia" w:ascii="仿宋" w:hAnsi="仿宋" w:eastAsia="仿宋" w:cs="仿宋"/>
        </w:rPr>
        <w:t xml:space="preserve">依托卧龙综合保税区申建河南自贸试验区南阳开放创新联动区，对标中国（河南）自由贸易试验区，复制推广全球高标准自由贸易区和其他自由贸易试验区贸易投资规则，构建更加自由化、便利化、国际化的贸易投资规则和制度。探索推行市场准入承诺即入制，实行“非禁即入”，在“管得住”的前提下，对具有强制性标准的领域，原则上取消许可和审批，建立健全备案制度，为企业进入市场提供便利。搭建中小企业双向投资促进公共服务平台，通过政府引导、企业主导的方式整合现有中小企业投资促进资源，进行电子化平台开发。建立外商投资一站式服务联络点，完善投资便利化机制。完善招商引资重点项目跟踪服务机制，畅通重大招商项目服务“绿色通道”，推动招商项目早日落地建设、投产达效。 </w:t>
      </w:r>
    </w:p>
    <w:p>
      <w:pPr>
        <w:spacing w:line="560" w:lineRule="exact"/>
        <w:ind w:firstLine="640" w:firstLineChars="200"/>
      </w:pPr>
      <w:r>
        <w:rPr>
          <w:rFonts w:hint="eastAsia" w:ascii="仿宋" w:hAnsi="仿宋" w:eastAsia="仿宋" w:cs="仿宋"/>
        </w:rPr>
        <w:t>优化外商投资领域政策体系，支持外商扩大投资，吸引跨国公司投资南阳。完善外商投资促进公共服务体系，健全外商投资企业权益保护服务机制，提升外商投资企业权益保护服务，优化“南阳市外商投资全流程服务体系”。加强市区联动，复制推广外商投资公共服务经验，形成标准统一、信息互通、服务高效的全市外商投资公共服务“一盘棋”。</w:t>
      </w:r>
      <w:bookmarkStart w:id="1676" w:name="_Toc1234"/>
    </w:p>
    <w:p>
      <w:pPr>
        <w:pStyle w:val="7"/>
        <w:spacing w:line="560" w:lineRule="exact"/>
        <w:jc w:val="center"/>
        <w:rPr>
          <w:b w:val="0"/>
        </w:rPr>
      </w:pPr>
      <w:bookmarkStart w:id="1677" w:name="_Toc461217996"/>
      <w:r>
        <w:rPr>
          <w:rFonts w:hint="eastAsia" w:ascii="楷体" w:hAnsi="仿宋" w:eastAsia="楷体" w:cs="仿宋"/>
          <w:b w:val="0"/>
          <w:szCs w:val="32"/>
          <w:lang w:bidi="zh-CN"/>
        </w:rPr>
        <w:t>第二节 完善对外服务制度</w:t>
      </w:r>
      <w:bookmarkEnd w:id="1676"/>
      <w:bookmarkEnd w:id="1677"/>
    </w:p>
    <w:p>
      <w:pPr>
        <w:spacing w:line="560" w:lineRule="exact"/>
        <w:ind w:firstLine="612" w:firstLineChars="200"/>
        <w:rPr>
          <w:rFonts w:ascii="仿宋" w:hAnsi="仿宋" w:eastAsia="仿宋" w:cs="仿宋"/>
        </w:rPr>
      </w:pPr>
      <w:r>
        <w:rPr>
          <w:rFonts w:hint="eastAsia" w:ascii="仿宋_GB2312" w:hAnsi="仿宋_GB2312" w:cs="仿宋_GB2312"/>
          <w:spacing w:val="-7"/>
          <w:kern w:val="0"/>
          <w:lang w:bidi="zh-CN"/>
        </w:rPr>
        <w:t>提升监管服务水平。</w:t>
      </w:r>
      <w:r>
        <w:rPr>
          <w:rFonts w:hint="eastAsia" w:ascii="仿宋" w:hAnsi="仿宋" w:eastAsia="仿宋" w:cs="仿宋"/>
        </w:rPr>
        <w:t>贯彻落实外国投资法律及相关法规、政策，健全外资准入及准入后投资者经营行为、投资行为变化的事中事后监管服务机制，依法依规履行国家安全审查、企业信息报告、投资促进和保护、投诉协调处理、监督检查中的地方职能。完善对外投资和经济合作统计监测，督促企业按时报送统计和年检资料，建立对外投资合作信用体系，健全对外投资事中事后监管服务制度。</w:t>
      </w:r>
    </w:p>
    <w:p>
      <w:pPr>
        <w:spacing w:line="560" w:lineRule="exact"/>
        <w:ind w:firstLine="612" w:firstLineChars="200"/>
        <w:rPr>
          <w:rFonts w:ascii="仿宋" w:hAnsi="仿宋" w:eastAsia="仿宋" w:cs="仿宋"/>
        </w:rPr>
      </w:pPr>
      <w:r>
        <w:rPr>
          <w:rFonts w:hint="eastAsia" w:ascii="仿宋_GB2312" w:hAnsi="仿宋_GB2312" w:cs="仿宋_GB2312"/>
          <w:spacing w:val="-7"/>
          <w:kern w:val="0"/>
          <w:lang w:bidi="zh-CN"/>
        </w:rPr>
        <w:t>优化外经贸综合服务体系。</w:t>
      </w:r>
      <w:r>
        <w:rPr>
          <w:rFonts w:hint="eastAsia" w:ascii="仿宋" w:hAnsi="仿宋" w:eastAsia="仿宋" w:cs="仿宋"/>
          <w:kern w:val="0"/>
          <w:lang w:bidi="ar"/>
        </w:rPr>
        <w:t xml:space="preserve">以提升开放竞争力为核心，加强服务开放的平台和机制建设，加快完善开放型经济综合服务体系。完善投资贸易促进体系，加强对重点地区、重点国别综合性分析研究，针对性组织开展各类投资对接和贸易促进活动。构建政府主导的公共服务型外经贸综合服务平台，为企业提供政府管理、政策咨询、市场开拓、品牌推广、投资信息、资信管理、风险预警、贸易救济、国际商事仲裁等公益性服务。支持各类中介机构发展，引导各类贸促机构、行业中介组织利用自身优势，为企业提供财务、法律、知识产权、商事调解及管理咨询等服务。 </w:t>
      </w:r>
    </w:p>
    <w:p>
      <w:pPr>
        <w:widowControl/>
        <w:spacing w:line="560" w:lineRule="exact"/>
        <w:ind w:firstLine="612" w:firstLineChars="200"/>
        <w:jc w:val="left"/>
        <w:rPr>
          <w:rFonts w:ascii="仿宋" w:hAnsi="仿宋" w:eastAsia="仿宋" w:cs="仿宋"/>
        </w:rPr>
      </w:pPr>
      <w:r>
        <w:rPr>
          <w:rFonts w:hint="eastAsia" w:ascii="仿宋_GB2312" w:hAnsi="仿宋_GB2312" w:cs="仿宋_GB2312"/>
          <w:spacing w:val="-7"/>
          <w:kern w:val="0"/>
          <w:lang w:bidi="zh-CN"/>
        </w:rPr>
        <w:t>打造公平合理贸易环境。</w:t>
      </w:r>
      <w:r>
        <w:rPr>
          <w:rFonts w:hint="eastAsia" w:ascii="仿宋" w:hAnsi="仿宋" w:eastAsia="仿宋" w:cs="仿宋"/>
          <w:kern w:val="0"/>
          <w:lang w:bidi="ar"/>
        </w:rPr>
        <w:t xml:space="preserve">建立健全商务部门、行业主管部门、商协会、企业“四位一体”的贸易摩擦应对联动机制，加强专项政策资金支持，指导和帮助企业积极主动应对贸易摩擦重大案件。帮助企业合理利用各种区域性贸易制度安排，有效规避贸易风险。鼓励企业加快技术改造、产业升级和结构调整，提升应对环保贸易壁垒的能力。主动做好贸易救济调查，强化贸易救济措施与应对贸易摩擦的协调配合，切实提高贸易救济措施的制衡作用，有效维护企业合法权益。 </w:t>
      </w:r>
    </w:p>
    <w:p>
      <w:pPr>
        <w:pStyle w:val="7"/>
        <w:spacing w:line="560" w:lineRule="exact"/>
        <w:jc w:val="center"/>
        <w:rPr>
          <w:b w:val="0"/>
        </w:rPr>
      </w:pPr>
      <w:bookmarkStart w:id="1678" w:name="_Toc26045"/>
      <w:bookmarkStart w:id="1679" w:name="_Toc270784349"/>
      <w:r>
        <w:rPr>
          <w:rFonts w:hint="eastAsia" w:ascii="楷体" w:hAnsi="仿宋" w:eastAsia="楷体" w:cs="仿宋"/>
          <w:b w:val="0"/>
          <w:szCs w:val="32"/>
          <w:lang w:bidi="zh-CN"/>
        </w:rPr>
        <w:t>第三节 持续优化营商环境</w:t>
      </w:r>
      <w:bookmarkEnd w:id="1678"/>
      <w:bookmarkEnd w:id="1679"/>
    </w:p>
    <w:p>
      <w:pPr>
        <w:spacing w:line="560" w:lineRule="exact"/>
        <w:ind w:firstLine="640" w:firstLineChars="200"/>
        <w:jc w:val="left"/>
        <w:rPr>
          <w:rFonts w:ascii="仿宋" w:hAnsi="仿宋" w:eastAsia="仿宋" w:cs="仿宋"/>
        </w:rPr>
      </w:pPr>
      <w:r>
        <w:rPr>
          <w:rFonts w:hint="eastAsia" w:ascii="仿宋" w:hAnsi="仿宋" w:eastAsia="仿宋" w:cs="仿宋"/>
          <w:lang w:bidi="ar"/>
        </w:rPr>
        <w:t>全力建设全国一流营商环境标杆城市。围绕建设河南省副中心城市目标，持续打造优化营商环境升级版，努力培育服务企业“南阳品牌”，推动营商环境工作迈上新台阶，用全市上下的“辛苦指数”，换来项目的“落地指数”、企业的“发展指数”和百姓的“幸福指数”。</w:t>
      </w:r>
    </w:p>
    <w:p>
      <w:pPr>
        <w:spacing w:line="560" w:lineRule="exact"/>
        <w:ind w:firstLine="612" w:firstLineChars="200"/>
        <w:rPr>
          <w:rFonts w:ascii="仿宋" w:hAnsi="仿宋" w:eastAsia="仿宋" w:cs="仿宋"/>
        </w:rPr>
      </w:pPr>
      <w:r>
        <w:rPr>
          <w:rFonts w:hint="eastAsia" w:ascii="仿宋_GB2312" w:hAnsi="仿宋_GB2312" w:cs="仿宋_GB2312"/>
          <w:spacing w:val="-7"/>
          <w:kern w:val="0"/>
          <w:lang w:bidi="zh-CN"/>
        </w:rPr>
        <w:t>推进法治化营商环境建设。推动</w:t>
      </w:r>
      <w:r>
        <w:rPr>
          <w:rFonts w:hint="eastAsia" w:ascii="仿宋" w:hAnsi="仿宋" w:eastAsia="仿宋" w:cs="仿宋"/>
        </w:rPr>
        <w:t>出台《南阳市优化营商环境条例》，强化营商环境监督管理，充分发挥法治对营商环境的保障促进作用。加大简政放权力度，降低企业成本。畅通营商环境的投诉、举报渠道，建立健全外商投资企业投诉受理机构，完善处理规则，规范处理程序，提高处理效率。建立健全营商环境绩效考核，进一步大力推广一体化通关模式，建立通关时效评估机制，规范和降低通关环节成本。进一步做好招商引商、安商稳商工作，确保内外资企业公平竞争。有效维护外商合法权益，加强涉外企业知识产权保护等工作，加大对侵权行为的查处力度。</w:t>
      </w:r>
      <w:r>
        <w:rPr>
          <w:rFonts w:hint="eastAsia" w:ascii="Times New Roman" w:hAnsi="Times New Roman" w:eastAsia="仿宋"/>
        </w:rPr>
        <w:t>到2025年，营商环境建设进入全省领先、全国先进水平</w:t>
      </w:r>
      <w:r>
        <w:rPr>
          <w:rFonts w:hint="eastAsia" w:ascii="仿宋" w:hAnsi="仿宋" w:eastAsia="仿宋" w:cs="仿宋"/>
        </w:rPr>
        <w:t>。</w:t>
      </w:r>
    </w:p>
    <w:p>
      <w:pPr>
        <w:spacing w:line="560" w:lineRule="exact"/>
        <w:ind w:firstLine="612" w:firstLineChars="200"/>
        <w:rPr>
          <w:rFonts w:ascii="仿宋" w:hAnsi="仿宋" w:eastAsia="仿宋" w:cs="仿宋"/>
        </w:rPr>
      </w:pPr>
      <w:r>
        <w:rPr>
          <w:rFonts w:hint="eastAsia" w:ascii="仿宋_GB2312" w:hAnsi="仿宋_GB2312" w:cs="仿宋_GB2312"/>
          <w:spacing w:val="-7"/>
          <w:kern w:val="0"/>
          <w:lang w:bidi="zh-CN"/>
        </w:rPr>
        <w:t>促进投资环境透明化。</w:t>
      </w:r>
      <w:r>
        <w:rPr>
          <w:rFonts w:hint="eastAsia" w:ascii="仿宋_GB2312" w:hAnsi="仿宋_GB2312" w:cs="仿宋_GB2312"/>
          <w:bCs/>
          <w:spacing w:val="-7"/>
          <w:kern w:val="0"/>
          <w:lang w:bidi="zh-CN"/>
        </w:rPr>
        <w:t>贯</w:t>
      </w:r>
      <w:r>
        <w:rPr>
          <w:rFonts w:hint="eastAsia" w:ascii="仿宋" w:hAnsi="仿宋" w:eastAsia="仿宋" w:cs="仿宋"/>
        </w:rPr>
        <w:t xml:space="preserve">彻执行外商投资准入前国民待遇加负面清单管理制度。优化外商投资信息报告制度，实行外资企业“多报合一”。深化监管部门之间的信息协调与数据共享，深入推进贸易便利化服务改革。建立健全大集中的数据共享安全体制，推进特色功能服务与国家标准版同步建设。 </w:t>
      </w:r>
    </w:p>
    <w:p>
      <w:pPr>
        <w:spacing w:line="560" w:lineRule="exact"/>
        <w:ind w:firstLine="612" w:firstLineChars="200"/>
        <w:rPr>
          <w:rFonts w:ascii="仿宋" w:hAnsi="仿宋" w:eastAsia="仿宋" w:cs="仿宋"/>
        </w:rPr>
      </w:pPr>
      <w:r>
        <w:rPr>
          <w:rFonts w:hint="eastAsia" w:ascii="仿宋_GB2312" w:hAnsi="仿宋_GB2312" w:cs="仿宋_GB2312"/>
          <w:spacing w:val="-7"/>
          <w:kern w:val="0"/>
          <w:lang w:bidi="zh-CN"/>
        </w:rPr>
        <w:t>提升通关效率。</w:t>
      </w:r>
      <w:r>
        <w:rPr>
          <w:rFonts w:hint="eastAsia" w:ascii="仿宋" w:hAnsi="仿宋" w:eastAsia="仿宋" w:cs="仿宋"/>
        </w:rPr>
        <w:t>全面深化通关业务改革，优化报关放行、查验检测等通关模式，提高通关效率并降低企业成本。简化跨关区和关区内监管手续，打破关际界限，实现无障碍通关。推进“智慧海关”建设，提升监管效能和服务能力。深化提升跨境贸易便利化水平，高标准建设国际贸易“单一窗口”。提高物流服务效能，增强通关时效的可预期性。推广应用“提前申报”和“两步申报”，全面推行通关全流程电子化。</w:t>
      </w:r>
    </w:p>
    <w:p>
      <w:pPr>
        <w:spacing w:line="560" w:lineRule="exact"/>
        <w:ind w:firstLine="612" w:firstLineChars="200"/>
      </w:pPr>
      <w:r>
        <w:rPr>
          <w:rFonts w:hint="eastAsia" w:ascii="仿宋_GB2312" w:hAnsi="仿宋_GB2312" w:cs="仿宋_GB2312"/>
          <w:spacing w:val="-7"/>
          <w:kern w:val="0"/>
          <w:lang w:bidi="zh-CN"/>
        </w:rPr>
        <w:t>加快融入国际知识产权保护体系。</w:t>
      </w:r>
      <w:r>
        <w:rPr>
          <w:rFonts w:hint="eastAsia" w:ascii="仿宋" w:hAnsi="仿宋" w:eastAsia="仿宋" w:cs="仿宋"/>
        </w:rPr>
        <w:t>充分发挥市场配置创新资源的决定性作用，更好发挥政府作用，强化原始创新、集成创新和引进吸收再创新，以知识产权质量升级倒逼知识产权保护升级。鼓励外资投向高技术领域，支持企业开展专利合作协定（PCT）国际专利申请、商标国际注册、参与国际标准和规则制定等。加强涉外知识产权运营机构引育，支持涉外知识产权运营机构向战略咨询、分析评议、维权服务等高端价值链环节拓展。优化知识产权社会环境，加强知识产权执法、仲裁、调解工作，严格保护外资企业知识产权，维护知识产权国际规则。健全知识产权涉外应对和维权援助服务机制，加大涉外知识产权保护力度，推动建立知识产权快速协同保护。</w:t>
      </w:r>
      <w:bookmarkStart w:id="1680" w:name="_Toc25432"/>
    </w:p>
    <w:p>
      <w:pPr>
        <w:pStyle w:val="7"/>
        <w:spacing w:line="560" w:lineRule="exact"/>
        <w:jc w:val="center"/>
        <w:rPr>
          <w:rFonts w:ascii="仿宋_GB2312" w:hAnsi="仿宋_GB2312" w:cs="仿宋_GB2312"/>
          <w:b w:val="0"/>
        </w:rPr>
      </w:pPr>
      <w:bookmarkStart w:id="1681" w:name="_Toc1822298279"/>
      <w:r>
        <w:rPr>
          <w:rFonts w:hint="eastAsia" w:ascii="楷体" w:hAnsi="仿宋" w:eastAsia="楷体" w:cs="仿宋"/>
          <w:b w:val="0"/>
          <w:szCs w:val="32"/>
          <w:lang w:bidi="zh-CN"/>
        </w:rPr>
        <w:t>第四节 完善开放型经济风险防范机制</w:t>
      </w:r>
      <w:bookmarkEnd w:id="1680"/>
      <w:bookmarkEnd w:id="1681"/>
    </w:p>
    <w:p>
      <w:pPr>
        <w:pStyle w:val="25"/>
        <w:spacing w:before="0" w:after="0" w:line="560" w:lineRule="exact"/>
        <w:ind w:firstLine="612" w:firstLineChars="200"/>
        <w:jc w:val="both"/>
        <w:rPr>
          <w:rFonts w:ascii="仿宋" w:hAnsi="仿宋" w:eastAsia="仿宋" w:cs="仿宋"/>
          <w:b w:val="0"/>
          <w:kern w:val="0"/>
          <w:lang w:bidi="ar"/>
        </w:rPr>
      </w:pPr>
      <w:r>
        <w:rPr>
          <w:rFonts w:hint="eastAsia" w:ascii="仿宋_GB2312" w:hAnsi="仿宋_GB2312" w:eastAsia="仿宋_GB2312" w:cs="仿宋_GB2312"/>
          <w:b w:val="0"/>
          <w:spacing w:val="-7"/>
          <w:kern w:val="0"/>
          <w:lang w:bidi="zh-CN"/>
        </w:rPr>
        <w:t>构筑与更高水平开放相匹配的监管和风险防控体系。</w:t>
      </w:r>
      <w:r>
        <w:rPr>
          <w:rFonts w:hint="eastAsia" w:ascii="仿宋" w:hAnsi="仿宋" w:eastAsia="仿宋" w:cs="仿宋"/>
          <w:b w:val="0"/>
          <w:kern w:val="0"/>
          <w:lang w:bidi="ar"/>
        </w:rPr>
        <w:t>完善“走出去”事中事后监管制度，加强企业走出去风险预警和利益保护。引导企业加强合规管理，防范化解境外政治、经济、安全等各类风险。引导企业规范有序开展对外投资合作，定期开展对外投资合作风险评估。明确企业主要负责人为境外安全生产经营第一责任人，引导企业建立境外安全生产制度。引导企业加强与我驻外使领馆、经商处的联系，加强中资机构和人员安全管理，提高舆情监测和危机处理能力，提升应对境外突发事件的能力和水平。</w:t>
      </w:r>
    </w:p>
    <w:p>
      <w:pPr>
        <w:pStyle w:val="25"/>
        <w:spacing w:before="0" w:after="0" w:line="560" w:lineRule="exact"/>
        <w:ind w:firstLine="612" w:firstLineChars="200"/>
        <w:jc w:val="both"/>
        <w:rPr>
          <w:rFonts w:ascii="仿宋" w:hAnsi="仿宋" w:eastAsia="仿宋" w:cs="仿宋"/>
          <w:b w:val="0"/>
          <w:kern w:val="0"/>
          <w:lang w:bidi="ar"/>
        </w:rPr>
      </w:pPr>
      <w:r>
        <w:rPr>
          <w:rFonts w:hint="eastAsia" w:ascii="仿宋_GB2312" w:hAnsi="仿宋_GB2312" w:eastAsia="仿宋_GB2312" w:cs="仿宋_GB2312"/>
          <w:b w:val="0"/>
          <w:bCs w:val="0"/>
          <w:spacing w:val="-7"/>
          <w:kern w:val="0"/>
          <w:lang w:bidi="zh-CN"/>
        </w:rPr>
        <w:t>完善对外投资和经贸服务。</w:t>
      </w:r>
      <w:r>
        <w:rPr>
          <w:rFonts w:hint="eastAsia" w:ascii="仿宋" w:hAnsi="仿宋" w:eastAsia="仿宋" w:cs="仿宋"/>
          <w:b w:val="0"/>
          <w:kern w:val="0"/>
          <w:lang w:bidi="ar"/>
        </w:rPr>
        <w:t>建立海外投资项目动态信息库，与优质专业机构合作建立辅导机制，构建企业对外投资的良好生态。建立健全金融支持体系，支持企业在境内外证券市场上市融资，推动金融资本和产业资本联合走出去。提升对外投资公共服务水平，及时为企业提供境外相关政策、市场环境、风险预警防范等信息，建立海外前沿技术信息、市场资源共享渠道和国际经贸交流合作平台，服务企业走出去。支持走出去企业加强与国家驻外机构联络、与法律服务专业机构合作，切实维护自身权益。</w:t>
      </w:r>
    </w:p>
    <w:p>
      <w:pPr>
        <w:spacing w:line="560" w:lineRule="exact"/>
        <w:jc w:val="center"/>
        <w:rPr>
          <w:rFonts w:ascii="黑体" w:hAnsi="黑体" w:eastAsia="黑体" w:cs="黑体"/>
        </w:rPr>
      </w:pPr>
      <w:bookmarkStart w:id="1682" w:name="_Toc1470069044"/>
      <w:bookmarkStart w:id="1683" w:name="_Toc11041"/>
      <w:r>
        <w:rPr>
          <w:rFonts w:hint="eastAsia" w:ascii="黑体" w:hAnsi="黑体" w:eastAsia="黑体" w:cs="黑体"/>
          <w:spacing w:val="-10"/>
          <w:kern w:val="0"/>
          <w:lang w:bidi="zh-CN"/>
        </w:rPr>
        <w:t>第六章 打造国际化开放型企业集群</w:t>
      </w:r>
      <w:bookmarkEnd w:id="1682"/>
      <w:bookmarkEnd w:id="1683"/>
    </w:p>
    <w:p>
      <w:pPr>
        <w:pStyle w:val="25"/>
        <w:spacing w:before="0" w:after="0" w:line="560" w:lineRule="exact"/>
        <w:ind w:firstLine="640" w:firstLineChars="200"/>
        <w:jc w:val="both"/>
        <w:rPr>
          <w:rFonts w:ascii="仿宋" w:hAnsi="仿宋" w:eastAsia="仿宋" w:cs="仿宋"/>
          <w:b w:val="0"/>
        </w:rPr>
      </w:pPr>
      <w:r>
        <w:rPr>
          <w:rFonts w:hint="eastAsia" w:ascii="仿宋" w:hAnsi="仿宋" w:eastAsia="仿宋" w:cs="仿宋"/>
          <w:b w:val="0"/>
          <w:bCs w:val="0"/>
        </w:rPr>
        <w:t>坚持“引进来”与“走出去”并重，引进与培育并重，增量与提质并重，更大力度吸引和利用外资，更加高效利用全球资源要素和市场空间。实施外贸主体壮大计划，壮大优强外贸类企业。积极推动企业走出去，形成一批特色突出、外向度高、具有国际竞争力的优强企业。引育更多有国际竞争力和国际视野的开放型经济市场主体，打造高质量外资集聚地和高层次对外投资策源地。</w:t>
      </w:r>
      <w:bookmarkStart w:id="1684" w:name="_Toc27880"/>
    </w:p>
    <w:p>
      <w:pPr>
        <w:pStyle w:val="7"/>
        <w:spacing w:line="560" w:lineRule="exact"/>
        <w:jc w:val="center"/>
        <w:rPr>
          <w:b w:val="0"/>
        </w:rPr>
      </w:pPr>
      <w:bookmarkStart w:id="1685" w:name="_Toc2032456395"/>
      <w:r>
        <w:rPr>
          <w:rFonts w:hint="eastAsia" w:ascii="楷体" w:hAnsi="仿宋" w:eastAsia="楷体" w:cs="仿宋"/>
          <w:b w:val="0"/>
          <w:szCs w:val="32"/>
          <w:lang w:bidi="zh-CN"/>
        </w:rPr>
        <w:t>第一节 实施外贸主体壮大计划</w:t>
      </w:r>
      <w:bookmarkEnd w:id="1684"/>
      <w:bookmarkEnd w:id="1685"/>
    </w:p>
    <w:p>
      <w:pPr>
        <w:pStyle w:val="25"/>
        <w:spacing w:before="0" w:after="0" w:line="560" w:lineRule="exact"/>
        <w:ind w:firstLine="640" w:firstLineChars="200"/>
        <w:jc w:val="both"/>
        <w:rPr>
          <w:rFonts w:ascii="仿宋" w:hAnsi="仿宋" w:eastAsia="仿宋" w:cs="仿宋"/>
          <w:b w:val="0"/>
        </w:rPr>
      </w:pPr>
      <w:r>
        <w:rPr>
          <w:rFonts w:hint="eastAsia" w:ascii="仿宋" w:hAnsi="仿宋" w:eastAsia="仿宋" w:cs="仿宋"/>
          <w:b w:val="0"/>
          <w:bCs w:val="0"/>
        </w:rPr>
        <w:t>实施外贸主体“破零倍增”行动，扩大外贸主体规模，推动全市有国际贸易潜力的制造企业、批发零售企业、电商企业等加快实现进出口落地转化。</w:t>
      </w:r>
    </w:p>
    <w:p>
      <w:pPr>
        <w:pStyle w:val="25"/>
        <w:spacing w:before="0" w:after="0" w:line="560" w:lineRule="exact"/>
        <w:ind w:firstLine="612" w:firstLineChars="200"/>
        <w:jc w:val="both"/>
        <w:rPr>
          <w:rFonts w:ascii="仿宋" w:hAnsi="仿宋" w:eastAsia="仿宋" w:cs="仿宋"/>
          <w:b w:val="0"/>
        </w:rPr>
      </w:pPr>
      <w:r>
        <w:rPr>
          <w:rFonts w:hint="eastAsia" w:ascii="仿宋_GB2312" w:hAnsi="仿宋_GB2312" w:eastAsia="仿宋_GB2312" w:cs="仿宋_GB2312"/>
          <w:b w:val="0"/>
          <w:spacing w:val="-7"/>
          <w:kern w:val="0"/>
          <w:lang w:bidi="zh-CN"/>
        </w:rPr>
        <w:t>壮大培强贸易企业。</w:t>
      </w:r>
      <w:r>
        <w:rPr>
          <w:rFonts w:hint="eastAsia" w:ascii="仿宋" w:hAnsi="仿宋" w:eastAsia="仿宋" w:cs="仿宋"/>
          <w:b w:val="0"/>
          <w:bCs w:val="0"/>
        </w:rPr>
        <w:t>着力培育具有国内外市场开拓能力的大型企业，形成一批供应链整合能力强、有效引导生产的国内国际双循环示范企业。支持中小微企业积极拓展国际市场，壮大开放型中小微企业群体，增强开放发展活力。培育一批平台型企业，为中小微外贸企业提供报关、报检、物流、融资、退税、信保、法律等综合服务。鼓励有条件的制造业企业、批发零售企业、电商企业等进行对外贸易经营者备案登记，开展进出口业务。鼓励企业按照国际标准组织生产和质量检验，建立国际认可的产品检测和认证体系，形成一批在国内外有较大影响力和较强竞争力的品牌。充分发挥各类开发区发展开放型经济的主体作用，引进一批外向度高、带动性强的生产加工、贸易流通型主体，鼓励各开发区引进外贸供应链企业。</w:t>
      </w:r>
    </w:p>
    <w:p>
      <w:pPr>
        <w:pStyle w:val="25"/>
        <w:spacing w:before="0" w:after="0" w:line="560" w:lineRule="exact"/>
        <w:ind w:firstLine="640" w:firstLineChars="200"/>
        <w:jc w:val="both"/>
        <w:rPr>
          <w:rFonts w:ascii="仿宋" w:hAnsi="仿宋" w:eastAsia="仿宋" w:cs="仿宋"/>
          <w:b w:val="0"/>
        </w:rPr>
      </w:pPr>
      <w:r>
        <w:fldChar w:fldCharType="begin"/>
      </w:r>
      <w:r>
        <w:instrText xml:space="preserve"> HYPERLINK "http://www.baidu.com/link?url=JY0Sa2Ju2KOLeQO7H4p7Uu-pg7R_EIRwL30p7PJSZ_Ijo0TonP4mr2tZoDC8shoR-OusgQK9M7TK7_XLb6uzzOt5Gf8rnkQFe81QzQoatha" \t "https://www.baidu.com/_blank" </w:instrText>
      </w:r>
      <w:r>
        <w:fldChar w:fldCharType="separate"/>
      </w:r>
      <w:r>
        <w:rPr>
          <w:rFonts w:hint="eastAsia" w:ascii="仿宋" w:hAnsi="仿宋" w:eastAsia="仿宋" w:cs="仿宋"/>
          <w:b w:val="0"/>
        </w:rPr>
        <w:t>精准施策助力外贸企业焕发新活力</w:t>
      </w:r>
      <w:r>
        <w:rPr>
          <w:rFonts w:hint="eastAsia" w:ascii="仿宋" w:hAnsi="仿宋" w:eastAsia="仿宋" w:cs="仿宋"/>
          <w:b w:val="0"/>
        </w:rPr>
        <w:fldChar w:fldCharType="end"/>
      </w:r>
      <w:r>
        <w:rPr>
          <w:rFonts w:hint="eastAsia" w:ascii="仿宋" w:hAnsi="仿宋" w:eastAsia="仿宋" w:cs="仿宋"/>
          <w:b w:val="0"/>
        </w:rPr>
        <w:t>。</w:t>
      </w:r>
      <w:r>
        <w:rPr>
          <w:rFonts w:hint="eastAsia" w:ascii="仿宋" w:hAnsi="仿宋" w:eastAsia="仿宋" w:cs="仿宋"/>
          <w:b w:val="0"/>
          <w:bCs w:val="0"/>
        </w:rPr>
        <w:t>对年进出口 500 万美元以上重点外贸企业进行实时监测和挂钩服务，及时掌握企业在手订单和经营动态，“一企一策”帮助解决实际困难。对中小微企业、劳动密集型企业，加大政策支持力度，切实帮助降本纾困。实施外贸市场主体培育计划，着力招引外向型项目，支持内销企业开展出口业务，鼓励新投产项目进口设备和原材料。狠抓外贸业务回流，推动供货转自营，积极向总部争取订单。鼓励已落户外贸企业向研发、生产、销售一体化发展，力争到 2025 年，年进出口超 5000 万美元企业达到 15 户以上，超千万美元企业达到50户以上。</w:t>
      </w:r>
    </w:p>
    <w:p>
      <w:pPr>
        <w:widowControl/>
        <w:spacing w:line="560" w:lineRule="exact"/>
        <w:ind w:firstLine="612" w:firstLineChars="200"/>
        <w:jc w:val="left"/>
        <w:rPr>
          <w:rFonts w:ascii="仿宋" w:hAnsi="仿宋" w:eastAsia="仿宋" w:cs="仿宋"/>
        </w:rPr>
      </w:pPr>
      <w:r>
        <w:rPr>
          <w:rFonts w:hint="eastAsia" w:ascii="仿宋_GB2312" w:hAnsi="仿宋_GB2312" w:cs="仿宋_GB2312"/>
          <w:spacing w:val="-7"/>
          <w:kern w:val="0"/>
          <w:lang w:bidi="zh-CN"/>
        </w:rPr>
        <w:t>大力推动会展业发展。</w:t>
      </w:r>
      <w:r>
        <w:rPr>
          <w:rFonts w:hint="eastAsia" w:ascii="仿宋" w:hAnsi="仿宋" w:eastAsia="仿宋" w:cs="仿宋"/>
        </w:rPr>
        <w:t>以市场化、国际化、特色化发展为导向，优化落实会展业发展鼓励扶持政策，加快推进会展载体建设和主体培育。打造一批高水平会展业载体，高标准完成南阳国际会展中心建设，吸引国家级、区域性品牌展会落户，培育一批知名会展品牌，组织举办道地中药材、轴承系列、超硬材料、花卉苗木等全国性会展活动，建设具有较强影响力的区域性会展中心。创建一批品牌展会，深入打造张仲景中医药文化节、世界月季博览会、中国玉雕节暨国际玉文化博览等品牌展会，强化市场化运营模式，不断提高业界知名度、影响力，成为产品展览展示、促进行业发展的优良平台和媒介。积极申办国际性特色节会，创新开展“云参展”“云对接”活动，提高南阳在国内外的知名度和影响力。</w:t>
      </w:r>
    </w:p>
    <w:p>
      <w:pPr>
        <w:pStyle w:val="7"/>
        <w:spacing w:line="560" w:lineRule="exact"/>
        <w:jc w:val="center"/>
        <w:rPr>
          <w:rFonts w:ascii="仿宋_GB2312" w:hAnsi="仿宋_GB2312" w:cs="仿宋_GB2312"/>
          <w:b w:val="0"/>
          <w:spacing w:val="-7"/>
          <w:lang w:bidi="zh-CN"/>
        </w:rPr>
      </w:pPr>
      <w:bookmarkStart w:id="1686" w:name="_Toc448599020"/>
      <w:bookmarkStart w:id="1687" w:name="_Toc2908"/>
      <w:r>
        <w:rPr>
          <w:rFonts w:hint="eastAsia" w:ascii="楷体" w:hAnsi="仿宋" w:eastAsia="楷体" w:cs="仿宋"/>
          <w:b w:val="0"/>
          <w:szCs w:val="32"/>
          <w:lang w:bidi="zh-CN"/>
        </w:rPr>
        <w:t>第二节 大力拓展境外市场</w:t>
      </w:r>
      <w:bookmarkEnd w:id="1686"/>
      <w:bookmarkEnd w:id="1687"/>
    </w:p>
    <w:p>
      <w:pPr>
        <w:widowControl/>
        <w:spacing w:line="560" w:lineRule="exact"/>
        <w:ind w:firstLine="612" w:firstLineChars="200"/>
        <w:jc w:val="left"/>
        <w:rPr>
          <w:rFonts w:ascii="仿宋" w:hAnsi="仿宋" w:eastAsia="仿宋" w:cs="仿宋"/>
        </w:rPr>
      </w:pPr>
      <w:r>
        <w:rPr>
          <w:rFonts w:hint="eastAsia" w:ascii="仿宋_GB2312" w:hAnsi="仿宋_GB2312" w:cs="仿宋_GB2312"/>
          <w:spacing w:val="-7"/>
          <w:kern w:val="0"/>
          <w:lang w:bidi="zh-CN"/>
        </w:rPr>
        <w:t>稳步推进境外经贸合作。</w:t>
      </w:r>
      <w:r>
        <w:rPr>
          <w:rFonts w:hint="eastAsia" w:ascii="仿宋" w:hAnsi="仿宋" w:eastAsia="仿宋" w:cs="仿宋"/>
        </w:rPr>
        <w:t>大力支持机电、高新技术外向型企业开展技改研发，促进产品转型升级，提高市场竞争力。积极培育国际知名品牌，支持企业在境外开展商标注册、体系认证和专利申请，到境外收购和租用国际品牌、兼并国际品牌企业。构建国际营销网络，支持企业在境外建立研发、采购、生产、营销网络，进一步细分市场，增强产业创新能力和国际竞争力。积极探索出口企业建立海外仓、体验店模式，拓展营销渠道。推动“互联网+外贸”，助力中小企业走出去，继续推动中小外贸企业“破零倍增”，到 2025 年，力争实现进出口实绩企业数超过800家。</w:t>
      </w:r>
    </w:p>
    <w:p>
      <w:pPr>
        <w:spacing w:line="560" w:lineRule="exact"/>
        <w:rPr>
          <w:rFonts w:ascii="仿宋" w:hAnsi="仿宋" w:eastAsia="仿宋" w:cs="仿宋"/>
        </w:rPr>
      </w:pPr>
      <w:r>
        <w:rPr>
          <w:rFonts w:hint="eastAsia" w:ascii="仿宋" w:hAnsi="仿宋" w:eastAsia="仿宋" w:cs="仿宋"/>
        </w:rPr>
        <w:t xml:space="preserve">    </w:t>
      </w:r>
      <w:r>
        <w:rPr>
          <w:rFonts w:hint="eastAsia" w:ascii="仿宋_GB2312" w:hAnsi="仿宋_GB2312" w:cs="仿宋_GB2312"/>
          <w:spacing w:val="-7"/>
          <w:kern w:val="0"/>
          <w:lang w:bidi="zh-CN"/>
        </w:rPr>
        <w:t>积极开拓国际市场。</w:t>
      </w:r>
      <w:r>
        <w:rPr>
          <w:rFonts w:hint="eastAsia" w:ascii="仿宋" w:hAnsi="仿宋" w:eastAsia="仿宋" w:cs="仿宋"/>
        </w:rPr>
        <w:t>探索通过举办境外展会、建设营销网点、跨境电商等多种方式提升南阳外贸商品的国际市场竞争力与占有率，推动进出口市场结构从传统市场为主向多元化市场全面发展转变。深耕香港、欧美、日韩等传统市场，加大“一带一路”沿线国家，特别是非洲等新兴市场开拓力度。加大信保支持和评估支持力度，帮助企业有效防范贸易风险。促进内外贸一体化，优化市场流通环境，降低出口产品内销成本。鼓励出口企业与国内大型商贸流通企业对接，多渠道搭建内销平台。依托“互联网+外贸”平台，引导企业充分运用第五代移动通信（5G）、虚拟现实（VR）、增强现实（AR）、大数据等现代信息技术，开展线上推介、在线洽谈和线上签约等，进一步开拓国际市场。</w:t>
      </w:r>
    </w:p>
    <w:p>
      <w:pPr>
        <w:pStyle w:val="7"/>
        <w:spacing w:line="560" w:lineRule="exact"/>
        <w:jc w:val="center"/>
        <w:rPr>
          <w:b w:val="0"/>
        </w:rPr>
      </w:pPr>
      <w:bookmarkStart w:id="1688" w:name="_Toc14099"/>
      <w:bookmarkStart w:id="1689" w:name="_Toc1647831049"/>
      <w:r>
        <w:rPr>
          <w:rFonts w:hint="eastAsia" w:ascii="楷体" w:hAnsi="仿宋" w:eastAsia="楷体" w:cs="仿宋"/>
          <w:b w:val="0"/>
          <w:szCs w:val="32"/>
          <w:lang w:bidi="zh-CN"/>
        </w:rPr>
        <w:t>第三节 打造特色优势供应链和产业链</w:t>
      </w:r>
      <w:bookmarkEnd w:id="1688"/>
      <w:bookmarkEnd w:id="1689"/>
    </w:p>
    <w:p>
      <w:pPr>
        <w:pStyle w:val="25"/>
        <w:spacing w:before="0" w:after="0" w:line="560" w:lineRule="exact"/>
        <w:ind w:firstLine="640" w:firstLineChars="200"/>
        <w:jc w:val="both"/>
        <w:rPr>
          <w:rFonts w:ascii="仿宋" w:hAnsi="仿宋" w:eastAsia="仿宋" w:cs="仿宋"/>
          <w:b w:val="0"/>
        </w:rPr>
      </w:pPr>
      <w:r>
        <w:rPr>
          <w:rFonts w:hint="eastAsia" w:ascii="仿宋" w:hAnsi="仿宋" w:eastAsia="仿宋" w:cs="仿宋"/>
          <w:b w:val="0"/>
          <w:bCs w:val="0"/>
        </w:rPr>
        <w:t>大力引进国际知名研发设计、总集成总承包、检验检测认证、供应链管理、电子商务等供应链关键环节企业，打造全链条供应链体系。提升生产制造、批发零售、物流配送、生活服务、农业产业化等本土龙头企业产业生态主导力和供应链整合能力，带动更多周边区域上下游企业入链。建设一批服务型制造公共服务平台，发展基于供应链的生产性服务业，引导商贸企业、物流企业、商品市场等向供应链综合服务商转型。鼓励流通企业与生产企业合作建设供应链协同平台，推动供应链上下游企业实现协同采购、协同制造、协同物流。引育若干拥有自主品牌、主业突出、竞争力强的大型流通企业集团。积极发展供应链金融服务。搭建供需合作平台，常态化举办行业交流洽谈活动，引导市汽车、轻工、纺织等领域企业融入“链主”企业供应链体系。到2025年，至少培育1家全球供应链领先企业、2家全国供应链领先企业，力争成为现代供应链体系全国领先城市。</w:t>
      </w:r>
    </w:p>
    <w:p>
      <w:pPr>
        <w:pStyle w:val="5"/>
        <w:autoSpaceDE w:val="0"/>
        <w:autoSpaceDN w:val="0"/>
        <w:spacing w:line="560" w:lineRule="exact"/>
        <w:ind w:left="418" w:right="601"/>
        <w:jc w:val="center"/>
        <w:outlineLvl w:val="0"/>
      </w:pPr>
      <w:bookmarkStart w:id="1690" w:name="_Toc18280"/>
      <w:bookmarkStart w:id="1691" w:name="_Toc521575428"/>
      <w:r>
        <w:rPr>
          <w:rFonts w:hint="eastAsia" w:ascii="黑体" w:hAnsi="仿宋" w:eastAsia="黑体" w:cs="仿宋"/>
          <w:spacing w:val="-10"/>
          <w:kern w:val="0"/>
          <w:lang w:bidi="zh-CN"/>
        </w:rPr>
        <w:t>第七章 打造外贸高质量发展增长极</w:t>
      </w:r>
      <w:bookmarkEnd w:id="1690"/>
      <w:bookmarkEnd w:id="1691"/>
    </w:p>
    <w:p>
      <w:pPr>
        <w:widowControl/>
        <w:spacing w:line="560" w:lineRule="exact"/>
        <w:ind w:firstLine="640" w:firstLineChars="200"/>
        <w:jc w:val="left"/>
      </w:pPr>
      <w:r>
        <w:rPr>
          <w:rFonts w:hint="eastAsia" w:ascii="仿宋" w:hAnsi="仿宋" w:eastAsia="仿宋" w:cs="仿宋"/>
          <w:kern w:val="0"/>
          <w:lang w:bidi="ar"/>
        </w:rPr>
        <w:t>把握新阶段南阳外贸发展稳量提质的根本要求，大力实施外贸优进优出战略，加快推动外贸新旧动能、新旧业态、新旧路径转换，实现对外贸易内涵式增长、创新式发展，推动南阳从外贸大市向外贸强市转变。</w:t>
      </w:r>
      <w:bookmarkStart w:id="1692" w:name="_Toc8687"/>
    </w:p>
    <w:p>
      <w:pPr>
        <w:pStyle w:val="7"/>
        <w:spacing w:line="560" w:lineRule="exact"/>
        <w:jc w:val="center"/>
        <w:rPr>
          <w:rFonts w:ascii="楷体" w:hAnsi="仿宋" w:eastAsia="楷体" w:cs="仿宋"/>
          <w:b w:val="0"/>
          <w:bCs/>
          <w:lang w:bidi="zh-CN"/>
        </w:rPr>
      </w:pPr>
      <w:bookmarkStart w:id="1693" w:name="_Toc1938506057"/>
      <w:r>
        <w:rPr>
          <w:rFonts w:hint="eastAsia" w:ascii="楷体" w:hAnsi="仿宋" w:eastAsia="楷体" w:cs="仿宋"/>
          <w:b w:val="0"/>
          <w:szCs w:val="32"/>
          <w:lang w:bidi="zh-CN"/>
        </w:rPr>
        <w:t>第一节 推动外贸稳步增长</w:t>
      </w:r>
      <w:bookmarkEnd w:id="1692"/>
      <w:bookmarkEnd w:id="1693"/>
    </w:p>
    <w:p>
      <w:pPr>
        <w:spacing w:line="560" w:lineRule="exact"/>
        <w:ind w:firstLine="612" w:firstLineChars="200"/>
        <w:rPr>
          <w:rFonts w:ascii="仿宋" w:hAnsi="仿宋" w:eastAsia="仿宋" w:cs="仿宋"/>
          <w:kern w:val="0"/>
          <w:lang w:bidi="ar"/>
        </w:rPr>
      </w:pPr>
      <w:r>
        <w:rPr>
          <w:rFonts w:hint="eastAsia" w:ascii="仿宋_GB2312" w:hAnsi="仿宋_GB2312" w:cs="仿宋_GB2312"/>
          <w:spacing w:val="-7"/>
          <w:kern w:val="0"/>
          <w:lang w:bidi="zh-CN"/>
        </w:rPr>
        <w:t>鼓励拓展对外贸易新空间。</w:t>
      </w:r>
      <w:r>
        <w:rPr>
          <w:rFonts w:hint="eastAsia" w:ascii="仿宋" w:hAnsi="仿宋" w:eastAsia="仿宋" w:cs="仿宋"/>
          <w:kern w:val="0"/>
          <w:lang w:bidi="ar"/>
        </w:rPr>
        <w:t>深入实施市场多元化战略，坚持传统市场、新兴市场同步开拓，线上线下互动发展，重点抓好与河南自贸区战略对接、“一带一路”建设融入和线上空间拓展，加快构建面向全球、点面结合、多维联动的对外贸易网络。以推进南阳跨境电子商务综合试验区建设为主要抓手，积极培育新兴产业贸易服务链，打造全市外贸转型升级新动力。鼓励优质外贸企业培育跨境电子商务品牌，以B2B2C拓展国际化营销。建设全国性跨境电子商务的产业聚集中心、大数据信息中心、创新创业中心、配套服务中心等，建立上下游供应链深度融合的B2B跨境电子商务全产业链，打造跨境电子商务可持续发展、良性循环的产业生态圈。</w:t>
      </w:r>
    </w:p>
    <w:p>
      <w:pPr>
        <w:widowControl/>
        <w:spacing w:line="560" w:lineRule="exact"/>
        <w:ind w:firstLine="612" w:firstLineChars="200"/>
        <w:jc w:val="left"/>
        <w:rPr>
          <w:rFonts w:ascii="仿宋" w:hAnsi="仿宋" w:eastAsia="仿宋" w:cs="仿宋"/>
          <w:kern w:val="0"/>
          <w:lang w:bidi="ar"/>
        </w:rPr>
      </w:pPr>
      <w:r>
        <w:rPr>
          <w:rFonts w:hint="eastAsia" w:ascii="仿宋_GB2312" w:hAnsi="仿宋_GB2312" w:cs="仿宋_GB2312"/>
          <w:spacing w:val="-7"/>
          <w:kern w:val="0"/>
          <w:lang w:bidi="zh-CN"/>
        </w:rPr>
        <w:t>全面加强外贸服务工作。</w:t>
      </w:r>
      <w:r>
        <w:rPr>
          <w:rFonts w:hint="eastAsia" w:ascii="仿宋" w:hAnsi="仿宋" w:eastAsia="仿宋" w:cs="仿宋"/>
          <w:kern w:val="0"/>
          <w:lang w:bidi="ar"/>
        </w:rPr>
        <w:t>完善“三外”企业协调服务机制，保障重点企业和产品进出口畅通，稳定重点外贸企业运行。支持更多本土企业为龙头企业配套，加大补链强链固链力度，构建产业链上下游企业集聚共生的生态体系。深入落实减税降费、金融信贷等各项帮扶政策，支持中小外贸企业加强研发、品牌培育、营销渠道建设，提高规模和效益。依托卧龙综合保税区等平台，引进加工贸易产业链高端领域的龙头企业，建设一批特色鲜明、优势突出的加工贸易产业园区。拓展加工贸易品类，打造加工贸易产业集群。支持加工贸易企业进入关键零部件和系统集成制造领域，鼓励龙头企业向营销物流、检测维修等产业链上下游延伸。</w:t>
      </w:r>
    </w:p>
    <w:p>
      <w:pPr>
        <w:widowControl/>
        <w:spacing w:line="560" w:lineRule="exact"/>
        <w:ind w:firstLine="640" w:firstLineChars="200"/>
        <w:jc w:val="left"/>
      </w:pPr>
      <w:r>
        <w:rPr>
          <w:rFonts w:hint="eastAsia" w:ascii="仿宋" w:hAnsi="仿宋" w:eastAsia="仿宋" w:cs="仿宋"/>
          <w:bCs/>
          <w:kern w:val="0"/>
          <w:lang w:bidi="ar"/>
        </w:rPr>
        <w:t>全力打造外贸产业集群</w:t>
      </w:r>
      <w:r>
        <w:rPr>
          <w:rFonts w:hint="eastAsia" w:ascii="仿宋" w:hAnsi="仿宋" w:eastAsia="仿宋" w:cs="仿宋"/>
          <w:kern w:val="0"/>
          <w:lang w:bidi="ar"/>
        </w:rPr>
        <w:t>。优化外贸转型升级基地公共服务配套体系，鼓励因地制宜出台落实扶持政策措施，支持有条件的省级外贸转型升级基地创建国家级基地。力争到2025年，培育5个以上省级外贸转型升级基地、4个以上国家外贸转型升级基地，基地出口额占比达到全市的80%以上，出口超1亿美元外贸产业集群达到6个以上。</w:t>
      </w:r>
      <w:bookmarkStart w:id="1694" w:name="_Toc24055"/>
    </w:p>
    <w:p>
      <w:pPr>
        <w:pStyle w:val="7"/>
        <w:spacing w:line="560" w:lineRule="exact"/>
        <w:jc w:val="center"/>
        <w:rPr>
          <w:b w:val="0"/>
        </w:rPr>
      </w:pPr>
      <w:bookmarkStart w:id="1695" w:name="_Toc1644427740"/>
      <w:r>
        <w:rPr>
          <w:rFonts w:hint="eastAsia" w:ascii="楷体" w:hAnsi="仿宋" w:eastAsia="楷体" w:cs="仿宋"/>
          <w:b w:val="0"/>
          <w:szCs w:val="32"/>
          <w:lang w:bidi="zh-CN"/>
        </w:rPr>
        <w:t>第二节 优化外贸发展结构</w:t>
      </w:r>
      <w:bookmarkEnd w:id="1694"/>
      <w:bookmarkEnd w:id="1695"/>
    </w:p>
    <w:p>
      <w:pPr>
        <w:widowControl/>
        <w:spacing w:line="560" w:lineRule="exact"/>
        <w:ind w:firstLine="612" w:firstLineChars="200"/>
        <w:jc w:val="left"/>
        <w:rPr>
          <w:rFonts w:ascii="仿宋" w:hAnsi="仿宋" w:eastAsia="仿宋" w:cs="仿宋"/>
        </w:rPr>
      </w:pPr>
      <w:r>
        <w:rPr>
          <w:rFonts w:hint="eastAsia" w:ascii="仿宋_GB2312" w:hAnsi="仿宋_GB2312" w:cs="仿宋_GB2312"/>
          <w:spacing w:val="-7"/>
          <w:kern w:val="0"/>
          <w:lang w:bidi="zh-CN"/>
        </w:rPr>
        <w:t>坚持创新驱动引领。</w:t>
      </w:r>
      <w:r>
        <w:rPr>
          <w:rFonts w:hint="eastAsia" w:ascii="仿宋" w:hAnsi="仿宋" w:eastAsia="仿宋" w:cs="仿宋"/>
          <w:kern w:val="0"/>
          <w:lang w:bidi="ar"/>
        </w:rPr>
        <w:t>始终把科技进步和自主创新作为提升外贸发展质量的原动力。尽快引进一批、培育一批、提升一批高技术附加值的外贸龙头企业，切实加强技术、研发、设计等产业硬实力建设，努力提高产业的科技含量与技术附加值，实现由要素驱动向创新驱动转变，为外贸转型升级与质量优化提供内生引擎和动力源泉。</w:t>
      </w:r>
    </w:p>
    <w:p>
      <w:pPr>
        <w:widowControl/>
        <w:spacing w:line="560" w:lineRule="exact"/>
        <w:ind w:firstLine="612" w:firstLineChars="200"/>
        <w:jc w:val="left"/>
        <w:rPr>
          <w:rFonts w:ascii="仿宋" w:hAnsi="仿宋" w:eastAsia="仿宋" w:cs="仿宋"/>
          <w:kern w:val="0"/>
          <w:lang w:bidi="ar"/>
        </w:rPr>
      </w:pPr>
      <w:r>
        <w:rPr>
          <w:rFonts w:hint="eastAsia" w:ascii="仿宋_GB2312" w:hAnsi="仿宋_GB2312" w:cs="仿宋_GB2312"/>
          <w:spacing w:val="-7"/>
          <w:kern w:val="0"/>
          <w:lang w:bidi="zh-CN"/>
        </w:rPr>
        <w:t>加快外贸转型升级。</w:t>
      </w:r>
      <w:r>
        <w:rPr>
          <w:rFonts w:hint="eastAsia" w:ascii="仿宋" w:hAnsi="仿宋" w:eastAsia="仿宋" w:cs="仿宋"/>
          <w:kern w:val="0"/>
          <w:lang w:bidi="ar"/>
        </w:rPr>
        <w:t>积极引导外贸企业从传统制造环节向研发设计、品牌管理、市场运营、高端服务等方向转型，鼓励企业从“生产制造商”向“生产服务贸易集成商”升级，推动外贸企业参与全球产业链分工和价值链重构。通过产业链转型升级推动产业分工地位不断优化，通过供应链拓链补链推动资源配置能力不断强化，通过价值链重构重塑推动利益分享能力不断跃升。以推动质量、品牌、专利、标准和服务等贸易软实力建设为突破口，瞄准国际市场需求，对接国际先进质量标准，建立国际认可的产品检测和认证体系。推动外贸发展由低成本价格优势向高质量品牌优势转变，由低利润的代工生产向高附加值的自主品牌出口转变，由简单的“大进大出”向精准的“优进优出”转变。积极引进“高大上”外资项目，发展“专精尖”外贸产业、培育“名优特”外贸产品、打响“著驰知”外贸品牌，推动南阳外贸由数量向质量转变、由制造向创造转变、由产品向品牌转变。</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spacing w:line="400" w:lineRule="exact"/>
              <w:ind w:firstLine="560" w:firstLineChars="200"/>
              <w:jc w:val="center"/>
              <w:rPr>
                <w:rFonts w:ascii="仿宋" w:hAnsi="仿宋" w:eastAsia="仿宋" w:cs="仿宋"/>
              </w:rPr>
            </w:pPr>
            <w:r>
              <w:rPr>
                <w:rFonts w:hint="eastAsia" w:ascii="黑体" w:hAnsi="黑体" w:eastAsia="黑体" w:cs="黑体"/>
                <w:kern w:val="0"/>
                <w:sz w:val="28"/>
                <w:szCs w:val="28"/>
                <w:lang w:bidi="zh-CN"/>
              </w:rPr>
              <w:t>专栏2：南阳市外贸转型升级工程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spacing w:line="400" w:lineRule="exact"/>
              <w:ind w:firstLine="448" w:firstLineChars="200"/>
              <w:jc w:val="left"/>
              <w:rPr>
                <w:rFonts w:ascii="仿宋" w:hAnsi="仿宋" w:eastAsia="仿宋" w:cs="仿宋"/>
                <w:kern w:val="0"/>
                <w:sz w:val="24"/>
                <w:lang w:bidi="ar"/>
              </w:rPr>
            </w:pPr>
            <w:r>
              <w:rPr>
                <w:rFonts w:hint="eastAsia" w:ascii="楷体" w:hAnsi="楷体" w:eastAsia="楷体" w:cs="仿宋"/>
                <w:spacing w:val="-8"/>
                <w:kern w:val="0"/>
                <w:sz w:val="24"/>
                <w:szCs w:val="22"/>
                <w:lang w:bidi="zh-CN"/>
              </w:rPr>
              <w:t>1.引导外贸企业实施全面质量管理(TQM)。</w:t>
            </w:r>
            <w:r>
              <w:rPr>
                <w:rFonts w:hint="eastAsia" w:ascii="仿宋" w:hAnsi="仿宋" w:eastAsia="仿宋" w:cs="仿宋"/>
                <w:kern w:val="0"/>
                <w:sz w:val="24"/>
                <w:szCs w:val="24"/>
                <w:lang w:bidi="ar"/>
              </w:rPr>
              <w:t>积极推动外贸企业ISO9000系列质量管理体系、IS014000系列环境管理体系、OHSAS18000系列职业健康安全管理体系、SA8000社会责任标准等国际通行的质量管理体系认证，推动质量评价由追求“合格率”向“满意度”跃升。鼓励企业采用国际先进质量标准、出口标准和质量管理方法，建立国际认可的产品检验检测、认证体系和国际标准质量管理体系，开展对标达标，切实提升出口产品质量、档次和技术含量。</w:t>
            </w:r>
          </w:p>
          <w:p>
            <w:pPr>
              <w:widowControl/>
              <w:spacing w:line="400" w:lineRule="exact"/>
              <w:ind w:firstLine="448" w:firstLineChars="200"/>
              <w:jc w:val="left"/>
              <w:rPr>
                <w:rFonts w:ascii="仿宋" w:hAnsi="仿宋" w:eastAsia="仿宋" w:cs="仿宋"/>
                <w:kern w:val="0"/>
                <w:sz w:val="24"/>
                <w:lang w:bidi="ar"/>
              </w:rPr>
            </w:pPr>
            <w:r>
              <w:rPr>
                <w:rFonts w:hint="eastAsia" w:ascii="楷体" w:hAnsi="楷体" w:eastAsia="楷体" w:cs="仿宋"/>
                <w:spacing w:val="-8"/>
                <w:kern w:val="0"/>
                <w:sz w:val="24"/>
                <w:szCs w:val="22"/>
                <w:lang w:bidi="zh-CN"/>
              </w:rPr>
              <w:t>2.加强外贸产品的质量监管。</w:t>
            </w:r>
            <w:r>
              <w:rPr>
                <w:rFonts w:hint="eastAsia" w:ascii="仿宋" w:hAnsi="仿宋" w:eastAsia="仿宋" w:cs="仿宋"/>
                <w:kern w:val="0"/>
                <w:sz w:val="24"/>
                <w:szCs w:val="24"/>
                <w:lang w:bidi="ar"/>
              </w:rPr>
              <w:t>深化质量信用体系建设，将外贸企业的产品质量信用纳入企业信用评价体系，并作为给予企业金融信贷支持的重要参考因素。探索建立企业质量信用承诺制度和产品质量第三方担保制度，完善产品质量溯源体系建设，维护外贸产品质量的国际信誉。</w:t>
            </w:r>
          </w:p>
          <w:p>
            <w:pPr>
              <w:widowControl/>
              <w:spacing w:line="400" w:lineRule="exact"/>
              <w:ind w:firstLine="448" w:firstLineChars="200"/>
              <w:jc w:val="left"/>
              <w:rPr>
                <w:rFonts w:ascii="仿宋" w:hAnsi="仿宋" w:eastAsia="仿宋" w:cs="仿宋"/>
                <w:kern w:val="0"/>
                <w:sz w:val="24"/>
                <w:lang w:bidi="ar"/>
              </w:rPr>
            </w:pPr>
            <w:r>
              <w:rPr>
                <w:rFonts w:hint="eastAsia" w:ascii="楷体" w:hAnsi="楷体" w:eastAsia="楷体" w:cs="仿宋"/>
                <w:spacing w:val="-8"/>
                <w:kern w:val="0"/>
                <w:sz w:val="24"/>
                <w:szCs w:val="22"/>
                <w:lang w:bidi="zh-CN"/>
              </w:rPr>
              <w:t>3.编制《南阳市名牌培育规划和路线图》。</w:t>
            </w:r>
            <w:r>
              <w:rPr>
                <w:rFonts w:hint="eastAsia" w:ascii="仿宋" w:hAnsi="仿宋" w:eastAsia="仿宋" w:cs="仿宋"/>
                <w:kern w:val="0"/>
                <w:sz w:val="24"/>
                <w:szCs w:val="24"/>
                <w:lang w:bidi="ar"/>
              </w:rPr>
              <w:t>深入开展“质量兴市”,广泛培育南阳品牌,打造“品牌南阳”，加强对企业商标奖励政策和认定驰名商标奖励政策的宣传，组织外贸企业积极参与申报出口名牌企业、名牌产品和著名商标认定。加大对获得政府质量奖、国家地理标志保护产品、河南省名牌产品、老字号、驰（著）名商标等荣誉的奖励力度。引导外贸企业由OEM（贴牌生产）向ODM（委托设计生产）和OBM（自主品牌生产）转型，鼓励外贸企业坚定不移地走品牌发展道路，努力实现从贴牌向自主品牌出口转变。</w:t>
            </w:r>
          </w:p>
          <w:p>
            <w:pPr>
              <w:widowControl/>
              <w:spacing w:line="400" w:lineRule="exact"/>
              <w:ind w:firstLine="448" w:firstLineChars="200"/>
              <w:jc w:val="left"/>
              <w:rPr>
                <w:rFonts w:ascii="仿宋" w:hAnsi="仿宋" w:eastAsia="仿宋" w:cs="仿宋"/>
                <w:kern w:val="0"/>
                <w:lang w:bidi="ar"/>
              </w:rPr>
            </w:pPr>
            <w:r>
              <w:rPr>
                <w:rFonts w:hint="eastAsia" w:ascii="楷体" w:hAnsi="楷体" w:eastAsia="楷体" w:cs="仿宋"/>
                <w:spacing w:val="-8"/>
                <w:kern w:val="0"/>
                <w:sz w:val="24"/>
                <w:szCs w:val="22"/>
                <w:lang w:bidi="zh-CN"/>
              </w:rPr>
              <w:t>4.积极引导外贸企业申请AEO认证。</w:t>
            </w:r>
            <w:r>
              <w:rPr>
                <w:rFonts w:hint="eastAsia" w:ascii="仿宋" w:hAnsi="仿宋" w:eastAsia="仿宋" w:cs="仿宋"/>
                <w:kern w:val="0"/>
                <w:sz w:val="24"/>
                <w:szCs w:val="24"/>
                <w:lang w:bidi="ar"/>
              </w:rPr>
              <w:t>联合海关积极推广AEO海关高级认证，利用报刊、网络、新媒体等平台开展海关AEO政策宣传，不定期举办座谈会或培训班，普及海关信用管理政策与认证标准、认证条件，鼓励和支持信用良好的企业申请AEO认证，享受政策红利。通过对辖区内企业精准“画像”，筛选一批信用良好、风险可控的企业作为重点培育对象，开展一对一帮扶指导，使更多的外贸企业获得海关一般认证和高级认证资质，使其享受AEO互认国家和地区海关提供的减少查验、优先处置、快速通关等多项便利，有效降低通关时间和成本，赢得竞争新优势。</w:t>
            </w:r>
          </w:p>
        </w:tc>
      </w:tr>
    </w:tbl>
    <w:p>
      <w:pPr>
        <w:pStyle w:val="7"/>
        <w:spacing w:line="560" w:lineRule="exact"/>
        <w:jc w:val="center"/>
        <w:rPr>
          <w:b w:val="0"/>
        </w:rPr>
      </w:pPr>
      <w:bookmarkStart w:id="1696" w:name="_Toc15477"/>
      <w:bookmarkStart w:id="1697" w:name="_Toc363495435"/>
      <w:r>
        <w:rPr>
          <w:rFonts w:hint="eastAsia" w:ascii="楷体" w:hAnsi="仿宋" w:eastAsia="楷体" w:cs="仿宋"/>
          <w:b w:val="0"/>
          <w:szCs w:val="32"/>
          <w:lang w:bidi="zh-CN"/>
        </w:rPr>
        <w:t>第三节 加快发展新业态新模式</w:t>
      </w:r>
      <w:bookmarkEnd w:id="1696"/>
      <w:bookmarkEnd w:id="1697"/>
    </w:p>
    <w:p>
      <w:pPr>
        <w:widowControl/>
        <w:spacing w:line="560" w:lineRule="exact"/>
        <w:ind w:firstLine="640" w:firstLineChars="200"/>
        <w:jc w:val="left"/>
        <w:rPr>
          <w:rFonts w:ascii="仿宋" w:hAnsi="仿宋" w:eastAsia="仿宋" w:cs="仿宋"/>
          <w:kern w:val="0"/>
          <w:lang w:bidi="ar"/>
        </w:rPr>
      </w:pPr>
      <w:r>
        <w:rPr>
          <w:rFonts w:hint="eastAsia" w:ascii="仿宋" w:hAnsi="仿宋" w:eastAsia="仿宋" w:cs="仿宋"/>
          <w:kern w:val="0"/>
          <w:lang w:bidi="ar"/>
        </w:rPr>
        <w:t>主动适应国际产业发展的新潮流、新趋势、新特点，准确把握世界技术变革的新动态、新要求、新方向，大力推动传统外贸与新兴产业跨界、混搭、对接，努力推动传统外贸与新兴技术链接、融合、共生，积极培育外贸新业态与外贸新模式，不断催生新的外贸增长点。以新技术、新产业、新经济、新制造、新服务、新消费、新基建为抓手，不断集聚新动能、构筑新平台、增添新动力，加快推动外贸发展新旧业态转换。</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widowControl/>
              <w:spacing w:line="360" w:lineRule="exact"/>
              <w:ind w:firstLine="560" w:firstLineChars="200"/>
              <w:jc w:val="center"/>
              <w:rPr>
                <w:rFonts w:ascii="仿宋" w:hAnsi="仿宋" w:eastAsia="仿宋" w:cs="仿宋"/>
              </w:rPr>
            </w:pPr>
            <w:r>
              <w:rPr>
                <w:rFonts w:hint="eastAsia" w:ascii="黑体" w:hAnsi="仿宋" w:eastAsia="黑体" w:cs="仿宋"/>
                <w:kern w:val="0"/>
                <w:sz w:val="28"/>
                <w:szCs w:val="28"/>
                <w:lang w:bidi="zh-CN"/>
              </w:rPr>
              <w:t>专栏3：南阳市外贸新业态培育工程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spacing w:line="360" w:lineRule="exact"/>
              <w:ind w:firstLine="448" w:firstLineChars="200"/>
              <w:jc w:val="left"/>
              <w:rPr>
                <w:rFonts w:ascii="仿宋" w:hAnsi="仿宋" w:eastAsia="仿宋" w:cs="仿宋"/>
                <w:kern w:val="0"/>
                <w:sz w:val="24"/>
                <w:lang w:bidi="ar"/>
              </w:rPr>
            </w:pPr>
            <w:r>
              <w:rPr>
                <w:rFonts w:hint="eastAsia" w:ascii="楷体" w:hAnsi="楷体" w:eastAsia="楷体" w:cs="仿宋"/>
                <w:spacing w:val="-8"/>
                <w:kern w:val="0"/>
                <w:sz w:val="24"/>
                <w:szCs w:val="22"/>
                <w:lang w:bidi="zh-CN"/>
              </w:rPr>
              <w:t>1.深化“互联网+”。</w:t>
            </w:r>
            <w:r>
              <w:rPr>
                <w:rFonts w:hint="eastAsia" w:ascii="仿宋" w:hAnsi="仿宋" w:eastAsia="仿宋" w:cs="仿宋"/>
                <w:kern w:val="0"/>
                <w:sz w:val="24"/>
                <w:szCs w:val="24"/>
                <w:lang w:bidi="ar"/>
              </w:rPr>
              <w:t>把握5G商用契机，加快探索“互联网+生产”“互联网+服务”“互联网+创业创新”等网络电商新型业态。推动电子商务平台与产业链建立数字化连接，顺应多元化、个性化消费需求，营造直播电商、社群电商、“小程序”电商、生鲜电商等线上线下高度互动的电子商务新生态。</w:t>
            </w:r>
          </w:p>
          <w:p>
            <w:pPr>
              <w:widowControl/>
              <w:spacing w:line="360" w:lineRule="exact"/>
              <w:ind w:firstLine="448" w:firstLineChars="200"/>
              <w:jc w:val="left"/>
              <w:rPr>
                <w:rFonts w:ascii="仿宋" w:hAnsi="仿宋" w:eastAsia="仿宋" w:cs="仿宋"/>
                <w:kern w:val="0"/>
                <w:sz w:val="24"/>
                <w:lang w:bidi="ar"/>
              </w:rPr>
            </w:pPr>
            <w:r>
              <w:rPr>
                <w:rFonts w:hint="eastAsia" w:ascii="楷体" w:hAnsi="楷体" w:eastAsia="楷体" w:cs="仿宋"/>
                <w:spacing w:val="-8"/>
                <w:kern w:val="0"/>
                <w:sz w:val="24"/>
                <w:szCs w:val="22"/>
                <w:lang w:bidi="zh-CN"/>
              </w:rPr>
              <w:t>2.推动“人工智能+”。</w:t>
            </w:r>
            <w:r>
              <w:rPr>
                <w:rFonts w:hint="eastAsia" w:ascii="仿宋" w:hAnsi="仿宋" w:eastAsia="仿宋" w:cs="仿宋"/>
                <w:kern w:val="0"/>
                <w:sz w:val="24"/>
                <w:szCs w:val="24"/>
                <w:lang w:bidi="ar"/>
              </w:rPr>
              <w:t>依托大数据、物联网、区块链、云计算、虚拟现实、移动支付、数字货币等前沿技术在商贸服务领域的应用与模式创新，培育一批商贸新业态。推进数字贸易创新发展，加快服务外包转型升级。利用数字技术和现代信息技术手段改造商务流程，培育以数据驱动为核心、以产业融合为主线的智能化、网络化数字商务企业，发展工业互联网+数字产业创新中心+智能工厂+智能车间等数字经济新模式。推动智慧商业、智慧商圈发展，加快零售数字化转型，支持智慧零售、无人零售、跨界复合店、“无接触式购物+无接触式配送”等新业态发展。鼓励直播带货、云促销、云逛街、云购物等“宅经济”模式与“粉丝经济”模式。</w:t>
            </w:r>
          </w:p>
          <w:p>
            <w:pPr>
              <w:widowControl/>
              <w:spacing w:line="360" w:lineRule="exact"/>
              <w:ind w:firstLine="448" w:firstLineChars="200"/>
              <w:jc w:val="left"/>
              <w:rPr>
                <w:rFonts w:ascii="仿宋" w:hAnsi="仿宋" w:eastAsia="仿宋" w:cs="仿宋"/>
                <w:kern w:val="0"/>
                <w:sz w:val="24"/>
                <w:lang w:bidi="ar"/>
              </w:rPr>
            </w:pPr>
            <w:r>
              <w:rPr>
                <w:rFonts w:hint="eastAsia" w:ascii="楷体" w:hAnsi="楷体" w:eastAsia="楷体" w:cs="仿宋"/>
                <w:spacing w:val="-8"/>
                <w:kern w:val="0"/>
                <w:sz w:val="24"/>
                <w:szCs w:val="22"/>
                <w:lang w:bidi="zh-CN"/>
              </w:rPr>
              <w:t>3.促进“开放平台+”。</w:t>
            </w:r>
            <w:r>
              <w:rPr>
                <w:rFonts w:hint="eastAsia" w:ascii="仿宋" w:hAnsi="仿宋" w:eastAsia="仿宋" w:cs="仿宋"/>
                <w:kern w:val="0"/>
                <w:sz w:val="24"/>
                <w:szCs w:val="24"/>
                <w:lang w:bidi="ar"/>
              </w:rPr>
              <w:t>依托南阳卧龙综合保税区等海关监管场所，探索转口贸易等新业态。利用跨境电商综合试验区平台，大力发展跨境电商零售进口、保税备货、保税展示销售、进口商品直销、进口商品分装、“保税+实体新零售”等新业态发展。</w:t>
            </w:r>
          </w:p>
          <w:p>
            <w:pPr>
              <w:widowControl/>
              <w:spacing w:line="360" w:lineRule="exact"/>
              <w:ind w:firstLine="448" w:firstLineChars="200"/>
              <w:jc w:val="left"/>
              <w:rPr>
                <w:rFonts w:ascii="仿宋" w:hAnsi="仿宋" w:eastAsia="仿宋" w:cs="仿宋"/>
                <w:kern w:val="0"/>
                <w:lang w:bidi="ar"/>
              </w:rPr>
            </w:pPr>
            <w:r>
              <w:rPr>
                <w:rFonts w:hint="eastAsia" w:ascii="楷体" w:hAnsi="楷体" w:eastAsia="楷体" w:cs="仿宋"/>
                <w:spacing w:val="-8"/>
                <w:kern w:val="0"/>
                <w:sz w:val="24"/>
                <w:szCs w:val="22"/>
                <w:lang w:bidi="zh-CN"/>
              </w:rPr>
              <w:t>4.发展“综合服务+”。</w:t>
            </w:r>
            <w:r>
              <w:rPr>
                <w:rFonts w:hint="eastAsia" w:ascii="仿宋" w:hAnsi="仿宋" w:eastAsia="仿宋" w:cs="仿宋"/>
                <w:kern w:val="0"/>
                <w:sz w:val="24"/>
                <w:szCs w:val="24"/>
                <w:lang w:bidi="ar"/>
              </w:rPr>
              <w:t>做大做强外贸综合服务企业，加强对外贸综合服务企业政策支持，引导外贸综合服务企业拓展服务内容、延伸服务链条、增强服务黏性，提升服务能级。推进外贸综合服务企业与跨境电商、外贸转型升级基地、国际营销网络融合发展。支持外贸综合服务企业积极探索“供应链金融+代理报关+贸易结算+出口退税”“会展服务+市场采购贸易”“跨境电商+国际物流+海外仓贸易”等跨界融合服务新模式。</w:t>
            </w:r>
          </w:p>
        </w:tc>
      </w:tr>
    </w:tbl>
    <w:p>
      <w:pPr>
        <w:pStyle w:val="7"/>
        <w:spacing w:line="560" w:lineRule="exact"/>
        <w:jc w:val="center"/>
        <w:rPr>
          <w:b w:val="0"/>
        </w:rPr>
      </w:pPr>
      <w:bookmarkStart w:id="1698" w:name="_Toc801245161"/>
      <w:bookmarkStart w:id="1699" w:name="_Toc18670"/>
      <w:r>
        <w:rPr>
          <w:rFonts w:hint="eastAsia" w:ascii="楷体" w:hAnsi="仿宋" w:eastAsia="楷体" w:cs="仿宋"/>
          <w:b w:val="0"/>
          <w:szCs w:val="32"/>
          <w:lang w:bidi="zh-CN"/>
        </w:rPr>
        <w:t>第四节 创新发展服务贸易</w:t>
      </w:r>
      <w:bookmarkEnd w:id="1698"/>
      <w:bookmarkEnd w:id="1699"/>
    </w:p>
    <w:p>
      <w:pPr>
        <w:widowControl/>
        <w:spacing w:line="560" w:lineRule="exact"/>
        <w:ind w:firstLine="640" w:firstLineChars="200"/>
        <w:jc w:val="left"/>
        <w:rPr>
          <w:rFonts w:ascii="仿宋" w:hAnsi="仿宋" w:eastAsia="仿宋" w:cs="仿宋"/>
          <w:kern w:val="0"/>
          <w:lang w:bidi="ar"/>
        </w:rPr>
      </w:pPr>
      <w:r>
        <w:rPr>
          <w:rFonts w:hint="eastAsia" w:ascii="仿宋" w:hAnsi="仿宋" w:eastAsia="仿宋" w:cs="仿宋"/>
          <w:kern w:val="0"/>
          <w:lang w:bidi="ar"/>
        </w:rPr>
        <w:t>全面推动服务贸易创新发展，提升服务贸易数字化应用水平，扩大数字服务贸易规模。大力发展研发、设计、检验检测、影视动漫、知识产权等新兴服务贸易。加快服务外包转型升级，支持企业开展以云计算、区块链、人工智能、工业互联网为代表的新一代信息技术研发，积极发展生物医药研发等高附加值服务外包，重点发展并推广众包、云外包、平台分包等服务外包新业态新模式，巩固南阳服务外包在全省的领先优势。加强服务贸易促进平台建设，积极推进特色服务出口基地建设，积极培育具有行业影响力、占据价值链高端地位的服务贸易重点企业。</w:t>
      </w:r>
    </w:p>
    <w:p>
      <w:pPr>
        <w:pStyle w:val="6"/>
        <w:spacing w:line="560" w:lineRule="exact"/>
        <w:ind w:firstLine="600"/>
        <w:jc w:val="center"/>
      </w:pPr>
      <w:bookmarkStart w:id="1700" w:name="_Toc778139036"/>
      <w:bookmarkStart w:id="1701" w:name="_Toc19608"/>
      <w:r>
        <w:rPr>
          <w:rFonts w:hint="eastAsia" w:ascii="黑体" w:hAnsi="仿宋" w:cs="仿宋"/>
          <w:spacing w:val="-10"/>
          <w:kern w:val="0"/>
          <w:szCs w:val="32"/>
          <w:lang w:bidi="zh-CN"/>
        </w:rPr>
        <w:t>第八章 打造高能级开放载体</w:t>
      </w:r>
      <w:bookmarkEnd w:id="1700"/>
      <w:bookmarkEnd w:id="1701"/>
    </w:p>
    <w:p>
      <w:pPr>
        <w:widowControl/>
        <w:spacing w:line="560" w:lineRule="exact"/>
        <w:ind w:firstLine="640" w:firstLineChars="200"/>
        <w:jc w:val="left"/>
        <w:rPr>
          <w:rFonts w:ascii="仿宋" w:hAnsi="仿宋" w:eastAsia="仿宋" w:cs="仿宋"/>
        </w:rPr>
      </w:pPr>
      <w:r>
        <w:rPr>
          <w:rFonts w:hint="eastAsia" w:ascii="仿宋" w:hAnsi="仿宋" w:eastAsia="仿宋" w:cs="仿宋"/>
        </w:rPr>
        <w:t>巩固开放型经济载体发展优势，提升开放服务平台能级，放大开放效应，推动特色发展。全面建设跨境电子商务综合试验区，推动卧龙综合保税区提质增效，高标准建设南阳空港陆港经济区，激发各类开放平台联动集成效应，推进全方位、多层次、多元化开放合作，把各类开放平台打造成全市经济发展主引擎、开放合作引领区、科技创新策源地和营商环境新标杆。</w:t>
      </w:r>
    </w:p>
    <w:p>
      <w:pPr>
        <w:pStyle w:val="7"/>
        <w:spacing w:line="560" w:lineRule="exact"/>
        <w:jc w:val="center"/>
        <w:rPr>
          <w:b w:val="0"/>
        </w:rPr>
      </w:pPr>
      <w:bookmarkStart w:id="1702" w:name="_Toc3507876"/>
      <w:bookmarkStart w:id="1703" w:name="_Toc9098"/>
      <w:r>
        <w:rPr>
          <w:rFonts w:hint="eastAsia" w:ascii="楷体" w:hAnsi="仿宋" w:eastAsia="楷体" w:cs="仿宋"/>
          <w:b w:val="0"/>
          <w:szCs w:val="32"/>
          <w:lang w:bidi="zh-CN"/>
        </w:rPr>
        <w:t>第一节 创建自贸区和自创区</w:t>
      </w:r>
      <w:bookmarkEnd w:id="1702"/>
      <w:bookmarkEnd w:id="1703"/>
    </w:p>
    <w:p>
      <w:pPr>
        <w:pStyle w:val="25"/>
        <w:spacing w:before="0" w:after="0" w:line="560" w:lineRule="exact"/>
        <w:ind w:firstLine="640"/>
        <w:jc w:val="left"/>
        <w:rPr>
          <w:rFonts w:ascii="仿宋" w:hAnsi="仿宋" w:eastAsia="仿宋" w:cs="仿宋"/>
          <w:b w:val="0"/>
        </w:rPr>
      </w:pPr>
      <w:r>
        <w:rPr>
          <w:rFonts w:hint="eastAsia" w:ascii="仿宋_GB2312" w:hAnsi="仿宋_GB2312" w:eastAsia="仿宋_GB2312" w:cs="仿宋_GB2312"/>
          <w:b w:val="0"/>
          <w:spacing w:val="-7"/>
          <w:kern w:val="0"/>
          <w:lang w:bidi="zh-CN"/>
        </w:rPr>
        <w:t>创建中国（河南）自贸区南阳开放创新联动区。</w:t>
      </w:r>
      <w:r>
        <w:rPr>
          <w:rFonts w:hint="eastAsia" w:ascii="仿宋" w:hAnsi="仿宋" w:eastAsia="仿宋" w:cs="仿宋"/>
          <w:b w:val="0"/>
          <w:bCs w:val="0"/>
        </w:rPr>
        <w:t>以建设具有显著竞争力的先进制造业基地、探索内陆开放型经济转型升级新路径为主要特色和任务，推动卧龙综合保税区申建中国（河南）自贸区南阳开放创新联动区，打造全市开放型经济新引擎。以“两港(南阳航空港和国际陆港)、两区(南阳卧龙综合保税区和南阳跨境电子商务综合试验区)”为依托，推进现代立体交通体系、现代物流体系建设和服务于“一带一路”建设的现代综合交通枢纽建设，实施与国际通行做法相衔接的投资、贸易、金融和人才流动制度。按照中国（河南）自由贸易试验区的相关标准，对标国际先进规则,推进卧龙综合保税区在开放创新综合试验中全面复制推广自由贸易试验区政策，推动贸易和投资自由化便利化</w:t>
      </w:r>
      <w:r>
        <w:rPr>
          <w:rFonts w:hint="eastAsia" w:ascii="仿宋" w:hAnsi="仿宋" w:eastAsia="仿宋" w:cs="仿宋"/>
          <w:b w:val="0"/>
          <w:bCs w:val="0"/>
          <w:lang w:eastAsia="zh-Hans"/>
        </w:rPr>
        <w:t>，</w:t>
      </w:r>
      <w:r>
        <w:rPr>
          <w:rFonts w:hint="eastAsia" w:ascii="仿宋" w:hAnsi="仿宋" w:eastAsia="仿宋" w:cs="仿宋"/>
          <w:b w:val="0"/>
          <w:bCs w:val="0"/>
        </w:rPr>
        <w:t>深入开展政务、监管、金融、法律、多式联运等服务体系建设</w:t>
      </w:r>
      <w:r>
        <w:rPr>
          <w:rFonts w:hint="eastAsia" w:ascii="仿宋" w:hAnsi="仿宋" w:eastAsia="仿宋" w:cs="仿宋"/>
          <w:b w:val="0"/>
          <w:bCs w:val="0"/>
          <w:lang w:eastAsia="zh-Hans"/>
        </w:rPr>
        <w:t>，</w:t>
      </w:r>
      <w:r>
        <w:rPr>
          <w:rFonts w:hint="eastAsia" w:ascii="仿宋" w:hAnsi="仿宋" w:eastAsia="仿宋" w:cs="仿宋"/>
          <w:b w:val="0"/>
          <w:bCs w:val="0"/>
        </w:rPr>
        <w:t>推进更广领域、更深层次系统集成改革</w:t>
      </w:r>
      <w:r>
        <w:rPr>
          <w:rFonts w:hint="eastAsia" w:ascii="仿宋" w:hAnsi="仿宋" w:eastAsia="仿宋" w:cs="仿宋"/>
          <w:b w:val="0"/>
          <w:bCs w:val="0"/>
          <w:lang w:eastAsia="zh-Hans"/>
        </w:rPr>
        <w:t>，</w:t>
      </w:r>
      <w:r>
        <w:rPr>
          <w:rFonts w:hint="eastAsia" w:ascii="仿宋" w:hAnsi="仿宋" w:eastAsia="仿宋" w:cs="仿宋"/>
          <w:b w:val="0"/>
          <w:bCs w:val="0"/>
        </w:rPr>
        <w:t>打造一流营商环境。深化空中、陆上、网上、海上“四条丝路”建设,提升服务于“一带一路”的现代综合交通枢纽优势。到2025年，南阳联动区在内外贸一体化、服务业扩大开放、金融改革创新、投资自由化等方面全面实现等同于中国（河南）自由贸易试验区的政策功能。</w:t>
      </w:r>
    </w:p>
    <w:p>
      <w:pPr>
        <w:spacing w:line="560" w:lineRule="exact"/>
        <w:ind w:firstLine="612" w:firstLineChars="200"/>
        <w:rPr>
          <w:rFonts w:ascii="楷体" w:hAnsi="仿宋" w:eastAsia="楷体" w:cs="仿宋"/>
          <w:bCs/>
          <w:lang w:bidi="zh-CN"/>
        </w:rPr>
      </w:pPr>
      <w:r>
        <w:rPr>
          <w:rFonts w:hint="eastAsia" w:ascii="仿宋_GB2312" w:hAnsi="仿宋_GB2312" w:cs="仿宋_GB2312"/>
          <w:spacing w:val="-7"/>
          <w:kern w:val="0"/>
          <w:lang w:bidi="zh-CN"/>
        </w:rPr>
        <w:t>创建郑洛新国家自主创新示范区南阳联动区。</w:t>
      </w:r>
      <w:r>
        <w:rPr>
          <w:rFonts w:hint="eastAsia" w:ascii="仿宋" w:hAnsi="仿宋" w:eastAsia="仿宋" w:cs="仿宋"/>
        </w:rPr>
        <w:t>全面复制推广郑洛新国家自主创新示范区的先行先试政策，推动南阳高新区申建郑洛新国家自主创新示范区南阳联动区，打造创新发展格局。围绕国家、省关于实施创新驱动和高质量发展的工作部署，不断拓展对外开放合作新途径，聚焦快速提升与复制推广两个关键环节，突出抓好产业共性关键技术创新与转化平台建设，争取在产业发展中有新作为，在体制机制改革上有新突破，在创新政策先行先试上有新探索，在先进经验复制推广上有新进展，加速高端创新要素资源向高新区集聚，促进高新区创新实力明显提升，引领带动全市创新驱动高质量发展，力争把郑洛新国家自主创新示范区南阳联动区打造成为豫南高质量发展的先行示范区。</w:t>
      </w:r>
      <w:bookmarkStart w:id="1704" w:name="_Toc8533"/>
    </w:p>
    <w:p>
      <w:pPr>
        <w:pStyle w:val="7"/>
        <w:spacing w:line="560" w:lineRule="exact"/>
        <w:jc w:val="center"/>
        <w:rPr>
          <w:b w:val="0"/>
        </w:rPr>
      </w:pPr>
      <w:bookmarkStart w:id="1705" w:name="_Toc1777265653"/>
      <w:r>
        <w:rPr>
          <w:rFonts w:hint="eastAsia" w:ascii="楷体" w:hAnsi="仿宋" w:eastAsia="楷体" w:cs="仿宋"/>
          <w:b w:val="0"/>
          <w:szCs w:val="32"/>
          <w:lang w:bidi="zh-CN"/>
        </w:rPr>
        <w:t>第二节 加快建设</w:t>
      </w:r>
      <w:bookmarkEnd w:id="1704"/>
      <w:r>
        <w:rPr>
          <w:rFonts w:hint="eastAsia" w:ascii="楷体" w:hAnsi="仿宋" w:eastAsia="楷体" w:cs="仿宋"/>
          <w:b w:val="0"/>
          <w:szCs w:val="32"/>
          <w:lang w:bidi="zh-CN"/>
        </w:rPr>
        <w:t>跨境电子商务综合试验区</w:t>
      </w:r>
      <w:bookmarkEnd w:id="1705"/>
    </w:p>
    <w:p>
      <w:pPr>
        <w:spacing w:line="560" w:lineRule="exact"/>
        <w:ind w:firstLine="627" w:firstLineChars="196"/>
      </w:pPr>
      <w:r>
        <w:rPr>
          <w:rFonts w:hint="eastAsia" w:ascii="仿宋" w:hAnsi="仿宋" w:eastAsia="仿宋" w:cs="仿宋"/>
        </w:rPr>
        <w:t xml:space="preserve">认真落实国家关于支持跨境电商发展的工作部署，在全面复制推广先行跨境电商综试区成熟经验做法的基础上，以促进产业发展为重点，发挥南阳跨境电商综合试验区与南阳卧龙综合保税区、南阳国家高新技术产业开发区等开放平台政策叠加优势，健全跨境电商发展体制机制，着力在跨境电商技术标准、业务流程、监管模式和信息化建设等方面探索创新，培育发展跨境电商新业态、新模式。引进一批优质电商企业。力争到2025年，建成体制机制健全、产业特色鲜明、配套服务和监管制度完善的跨境电商综试区，引进3至5家跨境电商龙头企业，培育5个以上跨境电商特色产业集群，建成6至8个跨境电商产业园区，重点支持100家以上跨境电商企业发展，跨境电商产业链和生态圈日益完善，跨境电商交易额达到160亿元以上，建成区域进出口商品分拨集散和消费中心、跨境电商产业集聚区、对外贸易发展新高地。 </w:t>
      </w:r>
    </w:p>
    <w:p>
      <w:pPr>
        <w:pStyle w:val="7"/>
        <w:spacing w:line="560" w:lineRule="exact"/>
        <w:jc w:val="center"/>
        <w:rPr>
          <w:b w:val="0"/>
        </w:rPr>
      </w:pPr>
      <w:bookmarkStart w:id="1706" w:name="_Toc2047243595"/>
      <w:bookmarkStart w:id="1707" w:name="_Toc26304"/>
      <w:bookmarkStart w:id="1708" w:name="_Hlk59030243"/>
      <w:r>
        <w:rPr>
          <w:rFonts w:hint="eastAsia" w:ascii="楷体" w:hAnsi="仿宋" w:eastAsia="楷体" w:cs="仿宋"/>
          <w:b w:val="0"/>
          <w:szCs w:val="32"/>
          <w:lang w:bidi="zh-CN"/>
        </w:rPr>
        <w:t>第三节 高质量建设卧龙综合保税区</w:t>
      </w:r>
      <w:bookmarkEnd w:id="1706"/>
      <w:bookmarkEnd w:id="1707"/>
    </w:p>
    <w:p>
      <w:pPr>
        <w:spacing w:line="560" w:lineRule="exact"/>
        <w:ind w:firstLine="599" w:firstLineChars="196"/>
        <w:rPr>
          <w:rFonts w:ascii="仿宋" w:hAnsi="仿宋" w:eastAsia="仿宋" w:cs="仿宋"/>
        </w:rPr>
      </w:pPr>
      <w:r>
        <w:rPr>
          <w:rFonts w:hint="eastAsia" w:ascii="仿宋_GB2312" w:hAnsi="仿宋_GB2312" w:cs="仿宋_GB2312"/>
          <w:spacing w:val="-7"/>
          <w:kern w:val="0"/>
          <w:lang w:bidi="zh-CN"/>
        </w:rPr>
        <w:t>推进</w:t>
      </w:r>
      <w:r>
        <w:rPr>
          <w:rFonts w:hint="eastAsia" w:ascii="仿宋" w:hAnsi="仿宋" w:eastAsia="仿宋" w:cs="仿宋"/>
        </w:rPr>
        <w:t>卧龙综合保税区</w:t>
      </w:r>
      <w:r>
        <w:rPr>
          <w:rFonts w:hint="eastAsia" w:ascii="仿宋_GB2312" w:hAnsi="仿宋_GB2312" w:cs="仿宋_GB2312"/>
          <w:spacing w:val="-7"/>
          <w:kern w:val="0"/>
          <w:lang w:bidi="zh-CN"/>
        </w:rPr>
        <w:t>体制机制改革。</w:t>
      </w:r>
      <w:r>
        <w:rPr>
          <w:rFonts w:hint="eastAsia" w:ascii="仿宋" w:hAnsi="仿宋" w:eastAsia="仿宋" w:cs="仿宋"/>
        </w:rPr>
        <w:t>探索推行“管委会+公司”发展模式，破除发展障碍。抓好口岸、保税、通关、多式联运、物流、金融六大体系联动发展、创新发展，大力推进监管体制改革、数字化应用、制度创新，推动卧龙综合保税区功能拓展，规划建设产业配套区，创新发展服务贸易、转口贸易、技术贸易，开拓多元化国际市场。打通卧龙综合保税区货物经北京、上海等机场转运出口的航空物流通道。</w:t>
      </w:r>
    </w:p>
    <w:p>
      <w:pPr>
        <w:spacing w:line="560" w:lineRule="exact"/>
        <w:ind w:firstLine="599" w:firstLineChars="196"/>
      </w:pPr>
      <w:r>
        <w:rPr>
          <w:rFonts w:hint="eastAsia" w:ascii="仿宋_GB2312" w:hAnsi="仿宋_GB2312" w:cs="仿宋_GB2312"/>
          <w:spacing w:val="-7"/>
          <w:kern w:val="0"/>
          <w:lang w:bidi="zh-CN"/>
        </w:rPr>
        <w:t>放大综合保税区功能。</w:t>
      </w:r>
      <w:r>
        <w:rPr>
          <w:rFonts w:hint="eastAsia" w:ascii="仿宋" w:hAnsi="仿宋" w:eastAsia="仿宋" w:cs="仿宋"/>
        </w:rPr>
        <w:t>强化卧龙综合保税区产业功能和外资外贸服务功能，进一步完善保税仓储设施和平台建设，提升货物流进出、流转便利度，提升综合服务效能，打造成为具有区域竞争力的开放型经济发展平台。落实国家支持综保区发展“21条”政策，争取开展进口保税网购模式业务政策，鼓励发展研发设计、保税检测、进口维修等业态。力争到2025年，卧龙综合保税区进出口额年均增长30%以上，排名稳居河南第二，力争进入全国前50强。</w:t>
      </w:r>
    </w:p>
    <w:p>
      <w:pPr>
        <w:pStyle w:val="7"/>
        <w:spacing w:line="560" w:lineRule="exact"/>
        <w:jc w:val="center"/>
        <w:rPr>
          <w:b w:val="0"/>
        </w:rPr>
      </w:pPr>
      <w:bookmarkStart w:id="1709" w:name="_Toc1092048980"/>
      <w:bookmarkStart w:id="1710" w:name="_Toc17935"/>
      <w:r>
        <w:rPr>
          <w:rFonts w:hint="eastAsia" w:ascii="楷体" w:hAnsi="仿宋" w:eastAsia="楷体" w:cs="仿宋"/>
          <w:b w:val="0"/>
          <w:szCs w:val="32"/>
          <w:lang w:bidi="zh-CN"/>
        </w:rPr>
        <w:t>第四节 高标准建设南阳空港和国际陆港</w:t>
      </w:r>
      <w:bookmarkEnd w:id="1709"/>
      <w:bookmarkEnd w:id="1710"/>
    </w:p>
    <w:p>
      <w:pPr>
        <w:widowControl/>
        <w:spacing w:line="560" w:lineRule="exact"/>
        <w:ind w:firstLine="612" w:firstLineChars="200"/>
        <w:jc w:val="left"/>
        <w:rPr>
          <w:rFonts w:ascii="仿宋_GB2312" w:hAnsi="仿宋_GB2312" w:cs="仿宋_GB2312"/>
          <w:spacing w:val="-7"/>
          <w:kern w:val="0"/>
          <w:lang w:bidi="zh-CN"/>
        </w:rPr>
      </w:pPr>
      <w:r>
        <w:rPr>
          <w:rFonts w:hint="eastAsia" w:ascii="仿宋_GB2312" w:hAnsi="仿宋_GB2312" w:cs="仿宋_GB2312"/>
          <w:spacing w:val="-7"/>
          <w:kern w:val="0"/>
          <w:lang w:bidi="zh-CN"/>
        </w:rPr>
        <w:t>规划建设南阳临空经济区。</w:t>
      </w:r>
      <w:r>
        <w:rPr>
          <w:rFonts w:hint="eastAsia" w:ascii="仿宋" w:hAnsi="仿宋" w:eastAsia="仿宋" w:cs="仿宋"/>
        </w:rPr>
        <w:t>推进南阳机场迁建，积极申建南阳新机场航空口岸，配套规划建设临空经济区，打造“豫鄂陕区域航空服务枢纽”，建设集人流、物流于一体的国际航空港，吸引航空运输业、高端制造业和现代服务业集聚发展，成为引领南阳开放发展、联动主要经济体的内陆对外开放重要门户。</w:t>
      </w:r>
    </w:p>
    <w:p>
      <w:pPr>
        <w:widowControl/>
        <w:spacing w:line="560" w:lineRule="exact"/>
        <w:ind w:firstLine="612" w:firstLineChars="200"/>
        <w:jc w:val="left"/>
      </w:pPr>
      <w:r>
        <w:rPr>
          <w:rFonts w:hint="eastAsia" w:ascii="仿宋_GB2312" w:hAnsi="仿宋_GB2312" w:cs="仿宋_GB2312"/>
          <w:spacing w:val="-7"/>
          <w:kern w:val="0"/>
          <w:lang w:bidi="zh-CN"/>
        </w:rPr>
        <w:t>规划建设南阳国际陆港。</w:t>
      </w:r>
      <w:r>
        <w:rPr>
          <w:rFonts w:hint="eastAsia" w:ascii="仿宋" w:hAnsi="仿宋" w:eastAsia="仿宋" w:cs="仿宋"/>
        </w:rPr>
        <w:t>发挥国家级、省级外贸转型升级基地带动作用，引导优势外贸产业转型升级，依托卧龙综合保税区，高标准规划建设南阳国际陆港。做强南阳高新区服务外包园区，培育一批服务外包企业。围绕跨境电商、食品加工、建筑新材料、数字经济等产业，加快规划一批产业园区，争取引进中科遥感和北斗应用、新能源汽车及总成制造、新型真空玻璃制造等项目，形成具有较强竞争力的产业集群。</w:t>
      </w:r>
      <w:bookmarkStart w:id="1711" w:name="_Toc5533"/>
    </w:p>
    <w:p>
      <w:pPr>
        <w:pStyle w:val="7"/>
        <w:spacing w:line="560" w:lineRule="exact"/>
        <w:jc w:val="center"/>
        <w:rPr>
          <w:b w:val="0"/>
        </w:rPr>
      </w:pPr>
      <w:bookmarkStart w:id="1712" w:name="_Toc1773573102"/>
      <w:r>
        <w:rPr>
          <w:rFonts w:hint="eastAsia" w:ascii="楷体" w:hAnsi="仿宋" w:eastAsia="楷体" w:cs="仿宋"/>
          <w:b w:val="0"/>
          <w:szCs w:val="32"/>
          <w:lang w:bidi="zh-CN"/>
        </w:rPr>
        <w:t>第五节 深化开发区改革创新发展</w:t>
      </w:r>
      <w:bookmarkEnd w:id="1711"/>
      <w:bookmarkEnd w:id="1712"/>
    </w:p>
    <w:p>
      <w:pPr>
        <w:spacing w:line="560" w:lineRule="exact"/>
        <w:ind w:firstLine="640" w:firstLineChars="200"/>
        <w:rPr>
          <w:rFonts w:ascii="仿宋" w:hAnsi="仿宋" w:eastAsia="仿宋" w:cs="仿宋"/>
        </w:rPr>
      </w:pPr>
      <w:r>
        <w:rPr>
          <w:rFonts w:hint="eastAsia" w:ascii="仿宋" w:hAnsi="仿宋" w:eastAsia="仿宋" w:cs="仿宋"/>
          <w:kern w:val="0"/>
          <w:lang w:bidi="ar"/>
        </w:rPr>
        <w:t>各类开发区是开放发展的主阵地、主战场、主引擎。创新开发区管理建设运营模式，深化“管委会+公司”管理体制改革。理顺开发区与属地政府关系，聚焦开发区经济建设和项目服务主业，逐步剥离开发区社会管理职能。深化开发区人事薪酬机制改革，实行市场化招商、全员竞聘上岗、绩效考核等市场化管理机制。鼓励有条件的开发区探索成立招商集团，设立科技创新发展基金、创业投资基金、产业投资基金，组建投资、建设、人才服务等运营公司或引进专业机构进行协议托管。实施开发区全链赋权改革，聚焦项目审批、园区建设，综合运用多种赋权方式，确保权力“放得下，接得住，管得好”。加快河南自贸试验区南阳开放创新联动区创建，推动自贸区各项改革措施在南阳开放创新联动区复制推广，打造开放创新载体新优势。力争到2025年，新增2个国家级开发区。深入开展“百园增效”行动，强化“亩均论英雄”导向，完善闲置低效用地处置盘活机制，促进园区集约节约发展。</w:t>
      </w:r>
      <w:bookmarkEnd w:id="1708"/>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25"/>
              <w:spacing w:before="0" w:after="0" w:line="400" w:lineRule="exact"/>
              <w:ind w:firstLine="600"/>
              <w:rPr>
                <w:rFonts w:ascii="仿宋" w:hAnsi="仿宋" w:eastAsia="仿宋" w:cs="仿宋"/>
                <w:b w:val="0"/>
              </w:rPr>
            </w:pPr>
            <w:r>
              <w:rPr>
                <w:rFonts w:hint="eastAsia" w:ascii="黑体" w:hAnsi="仿宋" w:eastAsia="黑体" w:cs="仿宋"/>
                <w:b w:val="0"/>
                <w:kern w:val="0"/>
                <w:sz w:val="28"/>
                <w:szCs w:val="28"/>
                <w:lang w:bidi="zh-CN"/>
              </w:rPr>
              <w:t>专栏</w:t>
            </w:r>
            <w:r>
              <w:rPr>
                <w:rFonts w:hint="eastAsia" w:ascii="黑体" w:hAnsi="仿宋" w:cs="仿宋"/>
                <w:b w:val="0"/>
                <w:kern w:val="0"/>
                <w:sz w:val="28"/>
                <w:szCs w:val="28"/>
                <w:lang w:bidi="zh-CN"/>
              </w:rPr>
              <w:t>4</w:t>
            </w:r>
            <w:r>
              <w:rPr>
                <w:rFonts w:hint="eastAsia" w:ascii="黑体" w:hAnsi="仿宋" w:eastAsia="黑体" w:cs="仿宋"/>
                <w:b w:val="0"/>
                <w:kern w:val="0"/>
                <w:sz w:val="28"/>
                <w:szCs w:val="28"/>
                <w:lang w:bidi="zh-CN"/>
              </w:rPr>
              <w:t>：南阳市高能级开放平台升级工程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5000" w:type="pct"/>
          </w:tcPr>
          <w:p>
            <w:pPr>
              <w:pStyle w:val="25"/>
              <w:spacing w:before="0" w:after="0" w:line="400" w:lineRule="exact"/>
              <w:ind w:firstLine="448" w:firstLineChars="200"/>
              <w:jc w:val="both"/>
              <w:rPr>
                <w:rFonts w:ascii="仿宋" w:hAnsi="仿宋" w:eastAsia="仿宋" w:cs="仿宋"/>
                <w:b w:val="0"/>
                <w:kern w:val="0"/>
                <w:sz w:val="24"/>
                <w:lang w:bidi="ar"/>
              </w:rPr>
            </w:pPr>
            <w:r>
              <w:rPr>
                <w:rFonts w:hint="eastAsia" w:ascii="楷体" w:hAnsi="楷体" w:eastAsia="楷体" w:cs="仿宋"/>
                <w:b w:val="0"/>
                <w:spacing w:val="-8"/>
                <w:kern w:val="0"/>
                <w:sz w:val="24"/>
                <w:szCs w:val="22"/>
                <w:lang w:bidi="zh-CN"/>
              </w:rPr>
              <w:t>1.推动南阳高新区产业集聚。</w:t>
            </w:r>
            <w:r>
              <w:rPr>
                <w:rFonts w:hint="eastAsia" w:ascii="仿宋" w:hAnsi="仿宋" w:eastAsia="仿宋" w:cs="仿宋"/>
                <w:b w:val="0"/>
                <w:bCs w:val="0"/>
                <w:kern w:val="0"/>
                <w:sz w:val="24"/>
                <w:szCs w:val="24"/>
                <w:lang w:bidi="ar"/>
              </w:rPr>
              <w:t>以防爆装备制造为主导产业，围绕“延链、补链、强链”进行精心培育，形成联系紧密的水平生产系统和上中下游互动的完整垂直产业链，力争到2025年形成300亿规模；以电子信息为新兴产业，做大做强中光学集团，规划建设镀邦产业园，实施“龙头带动、一园多点、高端布局、内扶外引”发展战略，打造“中原膜都、光电产业谷”，力争到2025年内形成500亿规模；打造中心城区中医药产业集群，以高新区为主，充分利用仲景宛西制药、河南福森药业等大型药企的辐射和带动作用，立足现有基础，加大招商力度，引育3</w:t>
            </w:r>
            <w:r>
              <w:rPr>
                <w:rFonts w:hint="eastAsia" w:ascii="仿宋_GB2312" w:hAnsi="仿宋_GB2312" w:eastAsia="仿宋_GB2312" w:cs="仿宋_GB2312"/>
                <w:b w:val="0"/>
                <w:bCs w:val="0"/>
                <w:kern w:val="0"/>
                <w:sz w:val="24"/>
                <w:szCs w:val="24"/>
                <w:lang w:bidi="ar"/>
              </w:rPr>
              <w:t>～</w:t>
            </w:r>
            <w:r>
              <w:rPr>
                <w:rFonts w:hint="eastAsia" w:ascii="仿宋" w:hAnsi="仿宋" w:eastAsia="仿宋" w:cs="仿宋"/>
                <w:b w:val="0"/>
                <w:bCs w:val="0"/>
                <w:kern w:val="0"/>
                <w:sz w:val="24"/>
                <w:szCs w:val="24"/>
                <w:lang w:bidi="ar"/>
              </w:rPr>
              <w:t>5家行业龙头企业，带动20</w:t>
            </w:r>
            <w:r>
              <w:rPr>
                <w:rFonts w:hint="eastAsia" w:ascii="仿宋_GB2312" w:hAnsi="仿宋_GB2312" w:eastAsia="仿宋_GB2312" w:cs="仿宋_GB2312"/>
                <w:b w:val="0"/>
                <w:bCs w:val="0"/>
                <w:kern w:val="0"/>
                <w:sz w:val="24"/>
                <w:szCs w:val="24"/>
                <w:lang w:bidi="ar"/>
              </w:rPr>
              <w:t>～</w:t>
            </w:r>
            <w:r>
              <w:rPr>
                <w:rFonts w:hint="eastAsia" w:ascii="仿宋" w:hAnsi="仿宋" w:eastAsia="仿宋" w:cs="仿宋"/>
                <w:b w:val="0"/>
                <w:bCs w:val="0"/>
                <w:kern w:val="0"/>
                <w:sz w:val="24"/>
                <w:szCs w:val="24"/>
                <w:lang w:bidi="ar"/>
              </w:rPr>
              <w:t>30家专精特新中医药企业集聚。在高新区谋划布局生物和新医药、中医药产业公共服务平台，加快推进广州博济医药研发平台落地建设。联合中关村信息谷搭建京宛协同中医药科技创新转化平台，推动一批北京中医药科技成果在南阳落地转化。</w:t>
            </w:r>
          </w:p>
          <w:p>
            <w:pPr>
              <w:spacing w:line="400" w:lineRule="exact"/>
              <w:ind w:firstLine="448" w:firstLineChars="200"/>
            </w:pPr>
            <w:r>
              <w:rPr>
                <w:rFonts w:hint="eastAsia" w:ascii="楷体" w:hAnsi="楷体" w:eastAsia="楷体" w:cs="仿宋"/>
                <w:spacing w:val="-8"/>
                <w:kern w:val="0"/>
                <w:sz w:val="24"/>
                <w:szCs w:val="22"/>
                <w:lang w:bidi="zh-CN"/>
              </w:rPr>
              <w:t>2.做强南阳卧龙综合保税区农副产品进出口加工业。</w:t>
            </w:r>
            <w:r>
              <w:rPr>
                <w:rFonts w:hint="eastAsia" w:ascii="仿宋" w:hAnsi="仿宋" w:eastAsia="仿宋" w:cs="仿宋"/>
                <w:kern w:val="0"/>
                <w:sz w:val="24"/>
                <w:szCs w:val="24"/>
                <w:lang w:bidi="ar"/>
              </w:rPr>
              <w:t>建设小麦加工生产谷朊粉出口项目、引进台湾客商香菇产品深加工项目、河南牧原进口粮食饲料加工项目、进口蔗糖加工项目，形成农副产品进出口加工集群效应，力争到2025年形成300亿规模。</w:t>
            </w:r>
          </w:p>
          <w:p>
            <w:pPr>
              <w:spacing w:line="400" w:lineRule="exact"/>
              <w:ind w:firstLine="448" w:firstLineChars="200"/>
              <w:rPr>
                <w:rFonts w:ascii="仿宋" w:hAnsi="仿宋" w:eastAsia="仿宋" w:cs="仿宋"/>
                <w:kern w:val="0"/>
                <w:sz w:val="24"/>
                <w:lang w:bidi="ar"/>
              </w:rPr>
            </w:pPr>
            <w:r>
              <w:rPr>
                <w:rFonts w:hint="eastAsia" w:ascii="楷体" w:hAnsi="楷体" w:eastAsia="楷体" w:cs="仿宋"/>
                <w:spacing w:val="-8"/>
                <w:kern w:val="0"/>
                <w:sz w:val="24"/>
                <w:szCs w:val="22"/>
                <w:lang w:bidi="zh-CN"/>
              </w:rPr>
              <w:t>3.强化跨境电子商务综合试验区线上、线下平台建设。</w:t>
            </w:r>
            <w:r>
              <w:rPr>
                <w:rFonts w:hint="eastAsia" w:ascii="仿宋" w:hAnsi="仿宋" w:eastAsia="仿宋" w:cs="仿宋"/>
                <w:kern w:val="0"/>
                <w:sz w:val="24"/>
                <w:szCs w:val="24"/>
                <w:lang w:bidi="ar"/>
              </w:rPr>
              <w:t>一是建设线上综合服务平台。依托中国（河南）国际贸易“单一窗口”，建设跨境电商线上综合服务平台，完善通关报检、数据统计、物流跟踪、金融支付等服务功能，实现与海关、税务、外汇管理等部门数据信息互联互通。提升数据管理服务能力，为政府决策和企业经营提供大数据支持。二是建设线下综合园区平台。发挥南阳卧龙综合保税区政策优势，合理规划、科学布局，建设一批跨境电商园区，形成以南阳卧龙综合保税区为核心，以南阳新经济产业园、装备制造电商产业园和镇平、西峡等地多个跨境电商园区为支撑的“一核多园”布局，高效承接线上综合服务平台功能，促进线上线下联动融合发展，为跨境电商企业提供“一站式”服务。</w:t>
            </w:r>
            <w:r>
              <w:rPr>
                <w:rFonts w:hint="eastAsia" w:ascii="仿宋" w:hAnsi="仿宋" w:eastAsia="仿宋" w:cs="仿宋"/>
                <w:kern w:val="0"/>
                <w:sz w:val="24"/>
                <w:szCs w:val="24"/>
                <w:lang w:bidi="ar"/>
              </w:rPr>
              <w:tab/>
            </w:r>
          </w:p>
          <w:p>
            <w:pPr>
              <w:widowControl/>
              <w:spacing w:line="400" w:lineRule="exact"/>
              <w:ind w:firstLine="448" w:firstLineChars="200"/>
              <w:jc w:val="left"/>
              <w:rPr>
                <w:rFonts w:ascii="仿宋" w:hAnsi="仿宋" w:eastAsia="仿宋" w:cs="仿宋"/>
                <w:kern w:val="0"/>
                <w:lang w:bidi="ar"/>
              </w:rPr>
            </w:pPr>
            <w:r>
              <w:rPr>
                <w:rFonts w:hint="eastAsia" w:ascii="楷体" w:hAnsi="楷体" w:eastAsia="楷体" w:cs="仿宋"/>
                <w:spacing w:val="-8"/>
                <w:kern w:val="0"/>
                <w:sz w:val="24"/>
                <w:szCs w:val="22"/>
                <w:lang w:bidi="zh-CN"/>
              </w:rPr>
              <w:t>4.推动各类平台协同开放发展。</w:t>
            </w:r>
            <w:r>
              <w:rPr>
                <w:rFonts w:hint="eastAsia" w:ascii="仿宋" w:hAnsi="仿宋" w:eastAsia="仿宋" w:cs="仿宋"/>
                <w:kern w:val="0"/>
                <w:sz w:val="24"/>
                <w:szCs w:val="24"/>
                <w:lang w:bidi="ar"/>
              </w:rPr>
              <w:t>充分发挥跨境电商综试区制度创新和卧龙综合保税区、南阳高新区等叠加优势，进一步加强其他省级开发区等载体发展的系统性协同性。推动各开发区加快产业项目集聚，到2025，力争年进出口额过5亿美元的开发区达5-8家。</w:t>
            </w:r>
          </w:p>
        </w:tc>
      </w:tr>
    </w:tbl>
    <w:p>
      <w:pPr>
        <w:pStyle w:val="5"/>
        <w:autoSpaceDE w:val="0"/>
        <w:autoSpaceDN w:val="0"/>
        <w:spacing w:line="560" w:lineRule="exact"/>
        <w:ind w:right="601"/>
        <w:jc w:val="center"/>
        <w:outlineLvl w:val="0"/>
        <w:rPr>
          <w:rFonts w:ascii="仿宋" w:hAnsi="仿宋" w:eastAsia="仿宋" w:cs="仿宋"/>
        </w:rPr>
      </w:pPr>
      <w:bookmarkStart w:id="1713" w:name="_Toc1013113495"/>
      <w:bookmarkStart w:id="1714" w:name="_Toc10736"/>
      <w:r>
        <w:rPr>
          <w:rFonts w:hint="eastAsia" w:ascii="黑体" w:hAnsi="仿宋" w:eastAsia="黑体" w:cs="仿宋"/>
          <w:spacing w:val="-10"/>
          <w:kern w:val="0"/>
          <w:lang w:bidi="zh-CN"/>
        </w:rPr>
        <w:t xml:space="preserve">第九章 </w:t>
      </w:r>
      <w:r>
        <w:fldChar w:fldCharType="begin"/>
      </w:r>
      <w:r>
        <w:instrText xml:space="preserve"> HYPERLINK "http://www.baidu.com/link?url=42TKzr4QDk7sYTpAyAi6IMP5kbatrtc28H3w0UdQlDd6oNTToQgILpH6_PIdae6F7SljU3HpdUcRWFZb0wDIVKxzoOyewsMaCpabEHajQtO" \t "https://www.baidu.com/_blank" </w:instrText>
      </w:r>
      <w:r>
        <w:fldChar w:fldCharType="separate"/>
      </w:r>
      <w:r>
        <w:rPr>
          <w:rFonts w:hint="eastAsia" w:ascii="黑体" w:hAnsi="仿宋" w:eastAsia="黑体" w:cs="仿宋"/>
          <w:spacing w:val="-10"/>
          <w:kern w:val="0"/>
          <w:lang w:bidi="zh-CN"/>
        </w:rPr>
        <w:t>打造“双循环”</w:t>
      </w:r>
      <w:r>
        <w:rPr>
          <w:rFonts w:hint="eastAsia" w:ascii="黑体" w:hAnsi="仿宋" w:eastAsia="黑体" w:cs="仿宋"/>
          <w:spacing w:val="-10"/>
          <w:kern w:val="0"/>
          <w:lang w:bidi="zh-CN"/>
        </w:rPr>
        <w:fldChar w:fldCharType="end"/>
      </w:r>
      <w:r>
        <w:rPr>
          <w:rFonts w:hint="eastAsia" w:ascii="黑体" w:hAnsi="仿宋" w:eastAsia="黑体" w:cs="仿宋"/>
          <w:spacing w:val="-10"/>
          <w:kern w:val="0"/>
          <w:lang w:bidi="zh-CN"/>
        </w:rPr>
        <w:t>开放大通道和枢纽网络</w:t>
      </w:r>
      <w:bookmarkEnd w:id="1713"/>
      <w:bookmarkEnd w:id="1714"/>
    </w:p>
    <w:p>
      <w:pPr>
        <w:widowControl/>
        <w:spacing w:line="560" w:lineRule="exact"/>
        <w:ind w:firstLine="640" w:firstLineChars="200"/>
        <w:jc w:val="left"/>
        <w:rPr>
          <w:rFonts w:ascii="仿宋" w:hAnsi="仿宋" w:eastAsia="仿宋" w:cs="仿宋"/>
        </w:rPr>
      </w:pPr>
      <w:r>
        <w:rPr>
          <w:rFonts w:hint="eastAsia" w:ascii="仿宋" w:hAnsi="仿宋" w:eastAsia="仿宋" w:cs="仿宋"/>
        </w:rPr>
        <w:t>聚焦打造“全国性综合交通枢纽城市”，大力发展通道经济、枢纽经济，推动枢纽优势向开放优势、物流优势、贸易优势、产业优势转化。坚持适度超前、整体优化、协同融合，统筹“空铁公水”四位一体，加快融入“空中丝路”网络，强化“陆上丝路”枢纽功能，拓展水运对外开放大通道，全方位拓展和优化各类开放通道，打造立足中部、辐射全国、通达全球的国家物流枢纽城市。</w:t>
      </w:r>
    </w:p>
    <w:p>
      <w:pPr>
        <w:pStyle w:val="7"/>
        <w:spacing w:line="560" w:lineRule="exact"/>
        <w:jc w:val="center"/>
        <w:rPr>
          <w:b w:val="0"/>
        </w:rPr>
      </w:pPr>
      <w:bookmarkStart w:id="1715" w:name="_Toc16818"/>
      <w:bookmarkStart w:id="1716" w:name="_Toc424683719"/>
      <w:r>
        <w:rPr>
          <w:rFonts w:hint="eastAsia" w:ascii="楷体" w:hAnsi="仿宋" w:eastAsia="楷体" w:cs="仿宋"/>
          <w:b w:val="0"/>
          <w:szCs w:val="32"/>
          <w:lang w:bidi="zh-CN"/>
        </w:rPr>
        <w:t>第一节 加快融入“空中丝路”网络</w:t>
      </w:r>
      <w:bookmarkEnd w:id="1715"/>
      <w:bookmarkEnd w:id="1716"/>
    </w:p>
    <w:p>
      <w:pPr>
        <w:spacing w:line="560" w:lineRule="exact"/>
        <w:ind w:firstLine="612" w:firstLineChars="200"/>
        <w:rPr>
          <w:rFonts w:ascii="仿宋" w:hAnsi="仿宋" w:eastAsia="仿宋" w:cs="仿宋"/>
        </w:rPr>
      </w:pPr>
      <w:r>
        <w:rPr>
          <w:rFonts w:hint="eastAsia" w:ascii="仿宋_GB2312" w:hAnsi="仿宋_GB2312" w:cs="仿宋_GB2312"/>
          <w:spacing w:val="-7"/>
          <w:kern w:val="0"/>
          <w:lang w:bidi="zh-CN"/>
        </w:rPr>
        <w:t>大力发展临空经济。</w:t>
      </w:r>
      <w:r>
        <w:rPr>
          <w:rFonts w:hint="eastAsia" w:ascii="仿宋" w:hAnsi="仿宋" w:eastAsia="仿宋" w:cs="仿宋"/>
        </w:rPr>
        <w:t>推进南阳机场迁建项目，加快形成内外联通、安全高效的航空物流网络，打造集人流、物流为一体的国际航空港，高标准规划建设南阳临空经济区。加快通用航空产业发展，推进南阳通用航空产业群项目，规划建设鸭河、镇平等通用机场，大力发展配套产业，因地制宜拓展通航+运营、通航+旅游、通航+制造、通航+物流等功能模块。</w:t>
      </w:r>
    </w:p>
    <w:p>
      <w:pPr>
        <w:spacing w:line="560" w:lineRule="exact"/>
        <w:ind w:firstLine="612" w:firstLineChars="200"/>
        <w:rPr>
          <w:rFonts w:ascii="仿宋" w:hAnsi="仿宋" w:eastAsia="仿宋" w:cs="仿宋"/>
        </w:rPr>
      </w:pPr>
      <w:r>
        <w:rPr>
          <w:rFonts w:hint="eastAsia" w:ascii="仿宋_GB2312" w:hAnsi="仿宋_GB2312" w:cs="仿宋_GB2312"/>
          <w:spacing w:val="-7"/>
          <w:kern w:val="0"/>
          <w:lang w:bidi="zh-CN"/>
        </w:rPr>
        <w:t>完善国内航运网络。</w:t>
      </w:r>
      <w:r>
        <w:rPr>
          <w:rFonts w:hint="eastAsia" w:ascii="仿宋" w:hAnsi="仿宋" w:eastAsia="仿宋" w:cs="仿宋"/>
        </w:rPr>
        <w:t>加密覆盖京津冀、长三角、粤港澳、成渝城市群主要城市的航线网络布局。加强区域联动，与郑州新郑机场、洛阳北郊机场、信阳明港机场错位发展，推进南阳航空物流与郑州、洛阳、信阳组成航空物流产业联盟。围绕“区域航空货运枢纽”建设，扩大航空物流货源，推动豫东豫北快递邮件、电子产品、汽车零部件以及鲜活水产品、特色农产品等内贸货物通过南阳机场运输。</w:t>
      </w:r>
    </w:p>
    <w:p>
      <w:pPr>
        <w:spacing w:line="560" w:lineRule="exact"/>
        <w:ind w:firstLine="612" w:firstLineChars="200"/>
      </w:pPr>
      <w:r>
        <w:rPr>
          <w:rFonts w:hint="eastAsia" w:ascii="仿宋_GB2312" w:hAnsi="仿宋_GB2312" w:cs="仿宋_GB2312"/>
          <w:spacing w:val="-7"/>
          <w:kern w:val="0"/>
          <w:lang w:bidi="zh-CN"/>
        </w:rPr>
        <w:t>积极拓展国际航线。</w:t>
      </w:r>
      <w:r>
        <w:rPr>
          <w:rFonts w:hint="eastAsia" w:ascii="仿宋" w:hAnsi="仿宋" w:eastAsia="仿宋" w:cs="仿宋"/>
        </w:rPr>
        <w:t>大力推进南阳机场申请开放口岸，力争开通国际（地区）航线航班。支持南阳机场适时开通临时国际包机航线。强化南阳机场与国内外主要枢纽机场战略合作，发展全货机航班，拓展连接日韩及东南亚等国家航空运输通道。力争到2025年，将南阳打造成为淮河生态经济带和汉江生态经济带航空货运枢纽。</w:t>
      </w:r>
      <w:bookmarkStart w:id="1717" w:name="_Toc8998"/>
    </w:p>
    <w:p>
      <w:pPr>
        <w:pStyle w:val="7"/>
        <w:spacing w:line="560" w:lineRule="exact"/>
        <w:jc w:val="center"/>
        <w:rPr>
          <w:b w:val="0"/>
        </w:rPr>
      </w:pPr>
      <w:bookmarkStart w:id="1718" w:name="_Toc826417956"/>
      <w:r>
        <w:rPr>
          <w:rFonts w:hint="eastAsia" w:ascii="楷体" w:hAnsi="仿宋" w:eastAsia="楷体" w:cs="仿宋"/>
          <w:b w:val="0"/>
          <w:szCs w:val="32"/>
          <w:lang w:bidi="zh-CN"/>
        </w:rPr>
        <w:t>第二节 强化“陆上丝路”枢纽功能</w:t>
      </w:r>
      <w:bookmarkEnd w:id="1717"/>
      <w:bookmarkEnd w:id="1718"/>
    </w:p>
    <w:p>
      <w:pPr>
        <w:spacing w:line="560" w:lineRule="exact"/>
        <w:ind w:firstLine="612" w:firstLineChars="200"/>
        <w:rPr>
          <w:rFonts w:ascii="仿宋" w:hAnsi="仿宋" w:eastAsia="仿宋" w:cs="仿宋"/>
        </w:rPr>
      </w:pPr>
      <w:r>
        <w:rPr>
          <w:rFonts w:hint="eastAsia" w:ascii="仿宋_GB2312" w:hAnsi="仿宋_GB2312" w:cs="仿宋_GB2312"/>
          <w:spacing w:val="-7"/>
          <w:kern w:val="0"/>
          <w:lang w:bidi="zh-CN"/>
        </w:rPr>
        <w:t>强化中欧班列开放战略通道作用。</w:t>
      </w:r>
      <w:r>
        <w:rPr>
          <w:rFonts w:hint="eastAsia" w:ascii="仿宋" w:hAnsi="仿宋" w:eastAsia="仿宋" w:cs="仿宋"/>
        </w:rPr>
        <w:t>加大中欧班列、铁海快线专列等开行频次，积极对接RCEP，新开行南阳至东盟往返班列线路。拓展南阳至欧洲、俄罗斯、中亚等主要城市运输网络，促进中欧班列（南阳）由点对点向枢纽对枢纽的提质升级。推动开展“运贸一体化”业务创新，不断丰富业务范围。加快铁路集装箱堆场、信息化系统等工程建设，提升南阳国际陆港基础设施保障能力。建设中欧班列（中豫号）集结中心，组建与之相匹配的高规格管理机构，形成“通道+产业+网络+枢纽”的国际铁路港。创新国际邮件运输和跨境电商寄递服务模式，探索扩大跨境电商货运班列规模。优化中欧班列（南阳）线路和集结点，完善中欧班列（南阳）服务环节，提升物流企业在境外组织货源能力，进一步深挖和发挥中欧班列产业聚集效应，推动建设中欧班列沿线产业园区发展。</w:t>
      </w:r>
    </w:p>
    <w:p>
      <w:pPr>
        <w:spacing w:line="560" w:lineRule="exact"/>
        <w:ind w:firstLine="612" w:firstLineChars="200"/>
        <w:rPr>
          <w:rFonts w:ascii="仿宋" w:hAnsi="仿宋" w:eastAsia="仿宋" w:cs="仿宋"/>
        </w:rPr>
      </w:pPr>
      <w:r>
        <w:rPr>
          <w:rFonts w:hint="eastAsia" w:ascii="仿宋_GB2312" w:hAnsi="仿宋_GB2312" w:cs="仿宋_GB2312"/>
          <w:spacing w:val="-7"/>
          <w:kern w:val="0"/>
          <w:lang w:bidi="zh-CN"/>
        </w:rPr>
        <w:t>完善铁路对外开放大通道体系。</w:t>
      </w:r>
      <w:r>
        <w:rPr>
          <w:rFonts w:hint="eastAsia" w:ascii="仿宋" w:hAnsi="仿宋" w:eastAsia="仿宋" w:cs="仿宋"/>
        </w:rPr>
        <w:t>完善南阳国家级综合运输通道高铁功能、强化与周边区域高铁互联互通。依托南阳东站、邓州东站、方城站等发展高铁快运业务，探索开行高铁货运班列推动建设现代化高铁货运物流中心。发挥郑万、焦柳、宁西通道作用，加强与周边省区建立班列运营合作机制。加快推进南信合高铁建设，构筑南阳东向高铁通道。谋划南阳至商洛高铁，形成与关中平原城市群的快速通道，带动沿线城镇及旅游产业发展。积极争取南阳至驻马店至阜阳、南阳至十堰高铁进入国家相关规划、实现与周边相邻地市高铁直连。开展洛阳经南阳至十堰、南阳至山东济宁、焦作月山经南阳至湖北随州等铁路项目规划研究。建成南阳东站动车运行设施，强化南阳高铁客运始发终到功能。建成铁路二级物流基地，提升铁路货运能力。规划研究镇平至中心城区至南阳东站至新机场至唐河复航码头至桐柏淮源轨道交通。实施铁路专用线进企入园工程，打通铁路运输“最后一公里”。</w:t>
      </w:r>
    </w:p>
    <w:p>
      <w:pPr>
        <w:spacing w:line="560" w:lineRule="exact"/>
        <w:ind w:firstLine="612" w:firstLineChars="200"/>
      </w:pPr>
      <w:r>
        <w:rPr>
          <w:rFonts w:hint="eastAsia" w:ascii="仿宋_GB2312" w:hAnsi="仿宋_GB2312" w:cs="仿宋_GB2312"/>
          <w:spacing w:val="-7"/>
          <w:kern w:val="0"/>
          <w:lang w:bidi="zh-CN"/>
        </w:rPr>
        <w:t>强化公路对外开放大通道建设。</w:t>
      </w:r>
      <w:r>
        <w:rPr>
          <w:rFonts w:hint="eastAsia" w:ascii="仿宋" w:hAnsi="仿宋" w:eastAsia="仿宋" w:cs="仿宋"/>
        </w:rPr>
        <w:t>续建郑西高速双龙至西峡段等项目，尽快启动实施渑淅、焦唐、南邓等高速公路建设，加快推动中心城区沪陕高速与S228等7个高速出入口建设，实现高速公路内联外通、互联互通、快联快通。改建新建中心城区环线道路、中心城区与组团城市间快速路和市域内主要运输大通道，不断完善国省道公路骨架网，升级改建交通拥堵路段和穿越城区段，消除等外干线路段</w:t>
      </w:r>
      <w:bookmarkStart w:id="1719" w:name="_Hlk58945129"/>
      <w:r>
        <w:rPr>
          <w:rFonts w:hint="eastAsia" w:ascii="仿宋" w:hAnsi="仿宋" w:eastAsia="仿宋" w:cs="仿宋"/>
        </w:rPr>
        <w:t>，国省道路网全部达到二级及以上公路标准</w:t>
      </w:r>
      <w:bookmarkEnd w:id="1719"/>
      <w:r>
        <w:rPr>
          <w:rFonts w:hint="eastAsia" w:ascii="仿宋" w:hAnsi="仿宋" w:eastAsia="仿宋" w:cs="仿宋"/>
        </w:rPr>
        <w:t>，构建规模适度、结构合理、功能完善、覆盖广泛、衔接顺畅、服务高效的普通国省干线公路网。加快南阳综合客运枢纽站建设和县市区客运站升级改造，构建综合化、公交化和城乡客运一体化的换乘体系。</w:t>
      </w:r>
      <w:bookmarkStart w:id="1720" w:name="_Toc20432"/>
    </w:p>
    <w:p>
      <w:pPr>
        <w:pStyle w:val="7"/>
        <w:spacing w:line="560" w:lineRule="exact"/>
        <w:jc w:val="center"/>
        <w:rPr>
          <w:b w:val="0"/>
        </w:rPr>
      </w:pPr>
      <w:bookmarkStart w:id="1721" w:name="_Toc1970972448"/>
      <w:r>
        <w:rPr>
          <w:rFonts w:hint="eastAsia" w:ascii="楷体" w:hAnsi="仿宋" w:eastAsia="楷体" w:cs="仿宋"/>
          <w:b w:val="0"/>
          <w:szCs w:val="32"/>
          <w:lang w:bidi="zh-CN"/>
        </w:rPr>
        <w:t>第三节 拓展水运开放通道</w:t>
      </w:r>
      <w:bookmarkEnd w:id="1720"/>
      <w:bookmarkEnd w:id="1721"/>
    </w:p>
    <w:p>
      <w:pPr>
        <w:pStyle w:val="25"/>
        <w:spacing w:before="0" w:after="0" w:line="560" w:lineRule="exact"/>
        <w:ind w:firstLine="612" w:firstLineChars="200"/>
        <w:jc w:val="left"/>
        <w:rPr>
          <w:rFonts w:ascii="仿宋" w:hAnsi="仿宋" w:eastAsia="仿宋" w:cs="仿宋"/>
          <w:b w:val="0"/>
        </w:rPr>
      </w:pPr>
      <w:r>
        <w:rPr>
          <w:rFonts w:hint="eastAsia" w:ascii="仿宋_GB2312" w:hAnsi="仿宋_GB2312" w:eastAsia="仿宋_GB2312" w:cs="仿宋_GB2312"/>
          <w:b w:val="0"/>
          <w:spacing w:val="-7"/>
          <w:kern w:val="0"/>
          <w:lang w:bidi="zh-CN"/>
        </w:rPr>
        <w:t>构建通江达海的内河水运体系。</w:t>
      </w:r>
      <w:r>
        <w:rPr>
          <w:rFonts w:hint="eastAsia" w:ascii="仿宋" w:hAnsi="仿宋" w:eastAsia="仿宋" w:cs="仿宋"/>
          <w:b w:val="0"/>
          <w:bCs w:val="0"/>
        </w:rPr>
        <w:t xml:space="preserve">加快推进重要水运工程建设，谋划推进以唐河为骨干，白河、湍河、丹江为支线，唐沙运河为联络线，向南接入汉江，通达长江干线，向北接入沙颍河，通达淮河干线的“一干三支一联”内河航道网。加快唐河航运一期、二期工程建设，打造起于南阳、经唐河、汉江至长江的全新水运通道。开展白河、湍河航道工程前期研究工作，做好唐沙运河线位空间预留，统筹预控跨航、涉航相关设施建设标准。加快推动唐河港区、社旗港区集装箱码头等配套设施建设，统筹推进桥梁等碍航设施改造。  </w:t>
      </w:r>
    </w:p>
    <w:p>
      <w:pPr>
        <w:pStyle w:val="25"/>
        <w:spacing w:before="0" w:after="0" w:line="560" w:lineRule="exact"/>
        <w:ind w:firstLine="612" w:firstLineChars="200"/>
        <w:jc w:val="left"/>
        <w:rPr>
          <w:b w:val="0"/>
        </w:rPr>
      </w:pPr>
      <w:r>
        <w:rPr>
          <w:rFonts w:hint="eastAsia" w:ascii="仿宋_GB2312" w:hAnsi="仿宋_GB2312" w:eastAsia="仿宋_GB2312" w:cs="仿宋_GB2312"/>
          <w:b w:val="0"/>
          <w:spacing w:val="-7"/>
          <w:kern w:val="0"/>
          <w:lang w:bidi="zh-CN"/>
        </w:rPr>
        <w:t>大力发展临港经济。</w:t>
      </w:r>
      <w:r>
        <w:rPr>
          <w:rFonts w:hint="eastAsia" w:ascii="仿宋" w:hAnsi="仿宋" w:eastAsia="仿宋" w:cs="仿宋"/>
          <w:b w:val="0"/>
          <w:bCs w:val="0"/>
        </w:rPr>
        <w:t>整合全市港口资源，深化与青岛港、连云港等港口之间的合作发展，打造区域外贸集装箱综合物流中心。加强与武汉等长江干线城市水上开放通道合作力度，提升南阳航道等级，拓宽南阳出海通道，更好融入汉江生态经济带和长江经济带建设。主动加强与武汉、郑州、西安、重庆等城市的合作，增加集装箱货运班列。鼓励港航企业以资本为纽带，推进港口资源整合与联合经营。</w:t>
      </w:r>
      <w:bookmarkStart w:id="1722" w:name="_Toc13618"/>
    </w:p>
    <w:p>
      <w:pPr>
        <w:pStyle w:val="7"/>
        <w:spacing w:line="560" w:lineRule="exact"/>
        <w:jc w:val="center"/>
        <w:rPr>
          <w:b w:val="0"/>
        </w:rPr>
      </w:pPr>
      <w:bookmarkStart w:id="1723" w:name="_Toc727836618"/>
      <w:r>
        <w:rPr>
          <w:rFonts w:hint="eastAsia" w:ascii="楷体" w:hAnsi="仿宋" w:eastAsia="楷体" w:cs="仿宋"/>
          <w:b w:val="0"/>
          <w:szCs w:val="32"/>
          <w:lang w:bidi="zh-CN"/>
        </w:rPr>
        <w:t>第四节 优化多式联运体系</w:t>
      </w:r>
      <w:bookmarkEnd w:id="1722"/>
      <w:bookmarkEnd w:id="1723"/>
    </w:p>
    <w:p>
      <w:pPr>
        <w:pStyle w:val="25"/>
        <w:spacing w:before="0" w:after="0" w:line="560" w:lineRule="exact"/>
        <w:ind w:firstLine="640" w:firstLineChars="200"/>
        <w:jc w:val="left"/>
        <w:rPr>
          <w:b w:val="0"/>
        </w:rPr>
      </w:pPr>
      <w:r>
        <w:rPr>
          <w:rFonts w:hint="eastAsia" w:ascii="仿宋" w:hAnsi="仿宋" w:eastAsia="仿宋" w:cs="仿宋"/>
          <w:b w:val="0"/>
          <w:bCs w:val="0"/>
        </w:rPr>
        <w:t>推进不同运输方式、不同企业间多式联运信息开放共享和互联互通。建设“公路信息港”“水运信息港”“铁路信息港”，实现三港互动。推动高铁货运新模式，主动对接郑州、武汉、西安、重庆等国家中心城市，加快推进淮河生态经济带、汉江生态经济带建设，全面融入长江经济带。发挥物流对经济的基础性、战略性、先导性支撑作用，构建以航空为引领、以高铁为骨干、以中欧班列为主轴、以铁水公联运为支撑的国际多式联运集疏运体系。</w:t>
      </w:r>
      <w:bookmarkStart w:id="1724" w:name="_Toc26521"/>
    </w:p>
    <w:p>
      <w:pPr>
        <w:pStyle w:val="7"/>
        <w:spacing w:line="560" w:lineRule="exact"/>
        <w:jc w:val="center"/>
        <w:rPr>
          <w:rFonts w:ascii="楷体" w:hAnsi="仿宋" w:eastAsia="楷体" w:cs="仿宋"/>
          <w:b w:val="0"/>
          <w:bCs/>
          <w:lang w:bidi="zh-CN"/>
        </w:rPr>
      </w:pPr>
      <w:bookmarkStart w:id="1725" w:name="_Toc2004608922"/>
      <w:r>
        <w:rPr>
          <w:rFonts w:hint="eastAsia" w:ascii="楷体" w:hAnsi="仿宋" w:eastAsia="楷体" w:cs="仿宋"/>
          <w:b w:val="0"/>
          <w:szCs w:val="32"/>
          <w:lang w:bidi="zh-CN"/>
        </w:rPr>
        <w:t>第五节 构建现代国际物流网络</w:t>
      </w:r>
      <w:bookmarkEnd w:id="1724"/>
      <w:bookmarkEnd w:id="1725"/>
    </w:p>
    <w:p>
      <w:pPr>
        <w:spacing w:line="560" w:lineRule="exact"/>
        <w:ind w:firstLine="640" w:firstLineChars="200"/>
        <w:rPr>
          <w:rFonts w:ascii="仿宋" w:hAnsi="仿宋" w:eastAsia="仿宋" w:cs="仿宋"/>
        </w:rPr>
      </w:pPr>
      <w:r>
        <w:rPr>
          <w:rFonts w:hint="eastAsia" w:ascii="仿宋" w:hAnsi="仿宋" w:eastAsia="仿宋" w:cs="仿宋"/>
        </w:rPr>
        <w:t>打造网络健全、主体多元、畅通高效的现代流通体系，促进上下游、产供销有效衔接。建设更高水平商贸流通网络，提升流通效率，降低流通成本。合理规划跨区域物流枢纽和商品集散中心，推进物流设备设施标准化建设。推动区域物流一体化发展，构建城乡高效配送体系。畅通国际物流通道，聚焦降成本与畅通道，依托全国性综合交通枢纽、商贸服务型国家物流枢纽建设，形成东向出海、南向鄂湘粤桂、西向中欧快线陆桥和西南川渝滇四大出海出境大通道，着力打造内陆地区国际物流新体系。支持卧龙区打造商贸服务型区域性物流枢纽，发展冷链物流、智慧物流、绿色物流，建立多业态、覆盖全产业链的物流体系，提升跨区域物流集散能力，打造优势服务业专业园区，促进现代物流业与现代农业、先进制造业、商贸流通业等积极联动。加快物流企业“走出去”，鼓励有条件的物流企业通过收购兼并、合作共营等方式开展国际化经营，推进海外物流设施建设，构建服务全球贸易、跨境电商的物流支撑体系。推进具有跨境出口、全程追踪、金融融资等服务功能的跨境物流综合服务平台建设，提升国际货源和运力资源组织水平。</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400" w:lineRule="exact"/>
              <w:jc w:val="center"/>
              <w:rPr>
                <w:rFonts w:ascii="仿宋" w:hAnsi="仿宋" w:eastAsia="仿宋" w:cs="仿宋"/>
              </w:rPr>
            </w:pPr>
            <w:r>
              <w:rPr>
                <w:rFonts w:hint="eastAsia" w:ascii="黑体" w:hAnsi="仿宋" w:eastAsia="黑体" w:cs="仿宋"/>
                <w:kern w:val="0"/>
                <w:sz w:val="28"/>
                <w:szCs w:val="28"/>
                <w:lang w:bidi="zh-CN"/>
              </w:rPr>
              <w:t>专栏5：南阳市开放通道完善工程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widowControl/>
              <w:spacing w:line="400" w:lineRule="exact"/>
              <w:ind w:firstLine="448" w:firstLineChars="200"/>
              <w:jc w:val="left"/>
              <w:rPr>
                <w:rFonts w:ascii="仿宋" w:hAnsi="仿宋" w:eastAsia="仿宋" w:cs="仿宋"/>
                <w:sz w:val="24"/>
              </w:rPr>
            </w:pPr>
            <w:r>
              <w:rPr>
                <w:rFonts w:hint="eastAsia" w:ascii="楷体" w:hAnsi="楷体" w:eastAsia="楷体" w:cs="仿宋"/>
                <w:spacing w:val="-8"/>
                <w:kern w:val="0"/>
                <w:sz w:val="24"/>
                <w:szCs w:val="22"/>
                <w:lang w:bidi="zh-CN"/>
              </w:rPr>
              <w:t>1.构建“西联、北引、东接、南下”的开放大通道。</w:t>
            </w:r>
            <w:r>
              <w:rPr>
                <w:rFonts w:hint="eastAsia" w:ascii="仿宋" w:hAnsi="仿宋" w:eastAsia="仿宋" w:cs="仿宋"/>
                <w:sz w:val="24"/>
                <w:szCs w:val="24"/>
              </w:rPr>
              <w:t>西联，就是通过拓展中欧班列、申建航空口岸、借势大陆桥走廊，积极融入“一带一路”建设，前瞻性谋划布局外向型产业，提高参与度和链接度；北引，就是以水为媒，深化京（津）宛对口协作，积极参与京津冀协同发展，将南阳打造成为京津地区重要的产业转移承接基地、生产加工基地、科技成果转化孵化基地、有机农产品供应基地和旅游目的地；东进南下，就是以唐白河航运、合西高铁为纽带，加速融入长江经济带，推动与上海、南京、武汉等城市在市场、产业、资本、人才等方面的对接融合，打造跨区域资源要素的重要承载地和引力场。</w:t>
            </w:r>
          </w:p>
          <w:p>
            <w:pPr>
              <w:widowControl/>
              <w:spacing w:line="400" w:lineRule="exact"/>
              <w:ind w:firstLine="448" w:firstLineChars="200"/>
              <w:jc w:val="left"/>
              <w:rPr>
                <w:rFonts w:ascii="仿宋" w:hAnsi="仿宋" w:eastAsia="仿宋" w:cs="仿宋"/>
                <w:sz w:val="24"/>
              </w:rPr>
            </w:pPr>
            <w:r>
              <w:rPr>
                <w:rFonts w:hint="eastAsia" w:ascii="楷体" w:hAnsi="楷体" w:eastAsia="楷体" w:cs="仿宋"/>
                <w:spacing w:val="-8"/>
                <w:kern w:val="0"/>
                <w:sz w:val="24"/>
                <w:szCs w:val="22"/>
                <w:lang w:bidi="zh-CN"/>
              </w:rPr>
              <w:t>2.拓展口岸平台功能。</w:t>
            </w:r>
            <w:r>
              <w:rPr>
                <w:rFonts w:hint="eastAsia" w:ascii="仿宋" w:hAnsi="仿宋" w:eastAsia="仿宋" w:cs="仿宋"/>
                <w:sz w:val="24"/>
                <w:szCs w:val="24"/>
              </w:rPr>
              <w:t>大力推进南阳机场申建航空口岸。推动铁路口岸建设，加强与郑州国际铁路枢纽口岸业务合作和通关一体化。依托南阳进口需求和物流优势，申报肉类、水果、冰鲜水产品、粮食等海关进境指定监管场地，开展“跨境电商+保税仓配”业务。</w:t>
            </w:r>
          </w:p>
          <w:p>
            <w:pPr>
              <w:spacing w:line="400" w:lineRule="exact"/>
              <w:ind w:firstLine="448" w:firstLineChars="200"/>
              <w:rPr>
                <w:rFonts w:ascii="仿宋" w:hAnsi="仿宋" w:eastAsia="仿宋" w:cs="仿宋"/>
              </w:rPr>
            </w:pPr>
            <w:r>
              <w:rPr>
                <w:rFonts w:hint="eastAsia" w:ascii="楷体" w:hAnsi="楷体" w:eastAsia="楷体" w:cs="仿宋"/>
                <w:spacing w:val="-8"/>
                <w:kern w:val="0"/>
                <w:sz w:val="24"/>
                <w:szCs w:val="22"/>
                <w:lang w:bidi="zh-CN"/>
              </w:rPr>
              <w:t>3.打造“物流金三角”。</w:t>
            </w:r>
            <w:r>
              <w:rPr>
                <w:rFonts w:hint="eastAsia" w:ascii="仿宋" w:hAnsi="仿宋" w:eastAsia="仿宋" w:cs="仿宋"/>
                <w:sz w:val="24"/>
                <w:szCs w:val="24"/>
              </w:rPr>
              <w:t>建设南阳国际陆港、国家空港、内河港互为支撑的物流“金三角”。</w:t>
            </w:r>
          </w:p>
        </w:tc>
      </w:tr>
      <w:bookmarkEnd w:id="1661"/>
      <w:bookmarkEnd w:id="1662"/>
      <w:bookmarkEnd w:id="1663"/>
      <w:bookmarkEnd w:id="1664"/>
    </w:tbl>
    <w:p>
      <w:pPr>
        <w:pStyle w:val="5"/>
        <w:autoSpaceDE w:val="0"/>
        <w:autoSpaceDN w:val="0"/>
        <w:spacing w:line="560" w:lineRule="exact"/>
        <w:ind w:left="418" w:right="601"/>
        <w:jc w:val="center"/>
        <w:outlineLvl w:val="0"/>
      </w:pPr>
      <w:bookmarkStart w:id="1726" w:name="_Toc31407"/>
      <w:bookmarkStart w:id="1727" w:name="_Toc999717544"/>
      <w:r>
        <w:rPr>
          <w:rFonts w:hint="eastAsia" w:ascii="黑体" w:hAnsi="仿宋" w:eastAsia="黑体" w:cs="仿宋"/>
          <w:spacing w:val="-10"/>
          <w:kern w:val="0"/>
          <w:lang w:bidi="zh-CN"/>
        </w:rPr>
        <w:t>第十章 打造创新创业开放合作示范基地</w:t>
      </w:r>
      <w:bookmarkEnd w:id="1726"/>
      <w:bookmarkEnd w:id="1727"/>
    </w:p>
    <w:p>
      <w:pPr>
        <w:widowControl/>
        <w:spacing w:line="560" w:lineRule="exact"/>
        <w:ind w:firstLine="640" w:firstLineChars="200"/>
        <w:jc w:val="left"/>
      </w:pPr>
      <w:r>
        <w:rPr>
          <w:rFonts w:hint="eastAsia" w:ascii="仿宋" w:hAnsi="仿宋" w:eastAsia="仿宋" w:cs="仿宋"/>
          <w:kern w:val="0"/>
          <w:lang w:bidi="ar"/>
        </w:rPr>
        <w:t>坚持以创新驱动开放，</w:t>
      </w:r>
      <w:bookmarkStart w:id="1728" w:name="_Hlk58928608"/>
      <w:r>
        <w:rPr>
          <w:rFonts w:hint="eastAsia" w:ascii="仿宋" w:hAnsi="仿宋" w:eastAsia="仿宋" w:cs="仿宋"/>
          <w:kern w:val="0"/>
          <w:lang w:bidi="ar"/>
        </w:rPr>
        <w:t>把创新作为南阳开放型经济发展的战略支撑，</w:t>
      </w:r>
      <w:bookmarkEnd w:id="1728"/>
      <w:r>
        <w:rPr>
          <w:rFonts w:hint="eastAsia" w:ascii="仿宋" w:hAnsi="仿宋" w:eastAsia="仿宋" w:cs="仿宋"/>
          <w:kern w:val="0"/>
          <w:lang w:bidi="ar"/>
        </w:rPr>
        <w:t>深入实施科教兴宛、人才强市、创新驱动发展战略，围绕产业链布局创新链，完善创新体系，优化创新生态，提升创新能力，激发全社会创新创业活力，全面塑造发展新优势，建设高水平国家创新型城市。</w:t>
      </w:r>
      <w:bookmarkStart w:id="1729" w:name="_Toc27387658"/>
      <w:bookmarkStart w:id="1730" w:name="_Toc3256"/>
    </w:p>
    <w:p>
      <w:pPr>
        <w:pStyle w:val="7"/>
        <w:spacing w:line="560" w:lineRule="exact"/>
        <w:jc w:val="center"/>
        <w:rPr>
          <w:b w:val="0"/>
        </w:rPr>
      </w:pPr>
      <w:bookmarkStart w:id="1731" w:name="_Toc1784217940"/>
      <w:r>
        <w:rPr>
          <w:rFonts w:hint="eastAsia" w:ascii="楷体" w:hAnsi="仿宋" w:eastAsia="楷体" w:cs="仿宋"/>
          <w:b w:val="0"/>
          <w:szCs w:val="32"/>
          <w:lang w:bidi="zh-CN"/>
        </w:rPr>
        <w:t>第一节 构建开放型创新</w:t>
      </w:r>
      <w:bookmarkEnd w:id="1729"/>
      <w:r>
        <w:rPr>
          <w:rFonts w:hint="eastAsia" w:ascii="楷体" w:hAnsi="仿宋" w:eastAsia="楷体" w:cs="仿宋"/>
          <w:b w:val="0"/>
          <w:szCs w:val="32"/>
          <w:lang w:bidi="zh-CN"/>
        </w:rPr>
        <w:t>体系</w:t>
      </w:r>
      <w:bookmarkEnd w:id="1730"/>
      <w:bookmarkEnd w:id="1731"/>
    </w:p>
    <w:p>
      <w:pPr>
        <w:widowControl/>
        <w:spacing w:line="560" w:lineRule="exact"/>
        <w:ind w:firstLine="640" w:firstLineChars="200"/>
        <w:jc w:val="left"/>
        <w:rPr>
          <w:rFonts w:ascii="仿宋" w:hAnsi="仿宋" w:eastAsia="仿宋" w:cs="仿宋"/>
          <w:kern w:val="0"/>
          <w:lang w:bidi="ar"/>
        </w:rPr>
      </w:pPr>
      <w:r>
        <w:rPr>
          <w:rFonts w:hint="eastAsia" w:ascii="仿宋" w:hAnsi="仿宋" w:eastAsia="仿宋" w:cs="仿宋"/>
          <w:kern w:val="0"/>
          <w:lang w:bidi="ar"/>
        </w:rPr>
        <w:t>充分发挥企业在技术创新中的主体地位，深化科技体制改革，建立以外向型企业为主体、市场为导向、产学研深度融合的技术创新体系。</w:t>
      </w:r>
    </w:p>
    <w:p>
      <w:pPr>
        <w:widowControl/>
        <w:spacing w:line="560" w:lineRule="exact"/>
        <w:ind w:firstLine="612" w:firstLineChars="200"/>
        <w:jc w:val="left"/>
        <w:rPr>
          <w:rFonts w:ascii="仿宋" w:hAnsi="仿宋" w:eastAsia="仿宋" w:cs="仿宋"/>
          <w:kern w:val="0"/>
          <w:lang w:eastAsia="zh-Hans" w:bidi="ar"/>
        </w:rPr>
      </w:pPr>
      <w:r>
        <w:rPr>
          <w:rFonts w:hint="eastAsia" w:ascii="仿宋_GB2312" w:hAnsi="仿宋_GB2312" w:cs="仿宋_GB2312"/>
          <w:spacing w:val="-7"/>
          <w:kern w:val="0"/>
          <w:lang w:eastAsia="zh-Hans" w:bidi="zh-CN"/>
        </w:rPr>
        <w:t>积极推动本地企业开放合作。</w:t>
      </w:r>
      <w:r>
        <w:rPr>
          <w:rFonts w:hint="eastAsia" w:ascii="仿宋" w:hAnsi="仿宋" w:eastAsia="仿宋" w:cs="仿宋"/>
          <w:kern w:val="0"/>
          <w:lang w:eastAsia="zh-Hans" w:bidi="ar"/>
        </w:rPr>
        <w:t>不断强化企业在创新合作中的主体地位，支持现有传统企业通过引进</w:t>
      </w:r>
      <w:r>
        <w:rPr>
          <w:rFonts w:hint="eastAsia" w:ascii="仿宋" w:hAnsi="仿宋" w:eastAsia="仿宋" w:cs="仿宋"/>
          <w:kern w:val="0"/>
          <w:lang w:bidi="ar"/>
        </w:rPr>
        <w:t>国内外</w:t>
      </w:r>
      <w:r>
        <w:rPr>
          <w:rFonts w:hint="eastAsia" w:ascii="仿宋" w:hAnsi="仿宋" w:eastAsia="仿宋" w:cs="仿宋"/>
          <w:kern w:val="0"/>
          <w:lang w:eastAsia="zh-Hans" w:bidi="ar"/>
        </w:rPr>
        <w:t>先进技术，承接市外科技成果转化，转型为科技型企业。支持科技型小微企业利用外部科技资源做大做强。加大高新技术企业精准培育力度，完善后备培育库制度，做强培育服务机构，实现高新技术企业培育服务体系网格化、精细化、全程化，引领带动</w:t>
      </w:r>
      <w:r>
        <w:rPr>
          <w:rFonts w:hint="eastAsia" w:ascii="仿宋" w:hAnsi="仿宋" w:eastAsia="仿宋" w:cs="仿宋"/>
          <w:kern w:val="0"/>
          <w:lang w:bidi="ar"/>
        </w:rPr>
        <w:t>南阳</w:t>
      </w:r>
      <w:r>
        <w:rPr>
          <w:rFonts w:hint="eastAsia" w:ascii="仿宋" w:hAnsi="仿宋" w:eastAsia="仿宋" w:cs="仿宋"/>
          <w:kern w:val="0"/>
          <w:lang w:eastAsia="zh-Hans" w:bidi="ar"/>
        </w:rPr>
        <w:t>企业提升开放合作水平。</w:t>
      </w:r>
    </w:p>
    <w:p>
      <w:pPr>
        <w:widowControl/>
        <w:spacing w:line="560" w:lineRule="exact"/>
        <w:ind w:firstLine="612" w:firstLineChars="200"/>
        <w:rPr>
          <w:rFonts w:ascii="仿宋" w:hAnsi="仿宋" w:eastAsia="仿宋" w:cs="仿宋"/>
          <w:kern w:val="0"/>
          <w:lang w:bidi="ar"/>
        </w:rPr>
      </w:pPr>
      <w:r>
        <w:rPr>
          <w:rFonts w:hint="eastAsia" w:ascii="仿宋_GB2312" w:hAnsi="仿宋_GB2312" w:cs="仿宋_GB2312"/>
          <w:spacing w:val="-7"/>
          <w:kern w:val="0"/>
          <w:lang w:eastAsia="zh-Hans" w:bidi="zh-CN"/>
        </w:rPr>
        <w:t>积极引进海内外科技型企业。</w:t>
      </w:r>
      <w:r>
        <w:rPr>
          <w:rFonts w:hint="eastAsia" w:ascii="仿宋" w:hAnsi="仿宋" w:eastAsia="仿宋" w:cs="仿宋"/>
          <w:kern w:val="0"/>
          <w:lang w:eastAsia="zh-Hans" w:bidi="ar"/>
        </w:rPr>
        <w:t>围绕自贸区和自创区建设，以园区为主要载体，支持园区通过招商引资引进海内外重大发明成果产业化、高新技术产业化等项目。制定相关政策，支持鼓励海内外知名企业、科研院所、高校、创新团队和技术成果持有人在宛独立创办或与</w:t>
      </w:r>
      <w:r>
        <w:rPr>
          <w:rFonts w:hint="eastAsia" w:ascii="仿宋" w:hAnsi="仿宋" w:eastAsia="仿宋" w:cs="仿宋"/>
          <w:kern w:val="0"/>
          <w:lang w:bidi="ar"/>
        </w:rPr>
        <w:t>南阳</w:t>
      </w:r>
      <w:r>
        <w:rPr>
          <w:rFonts w:hint="eastAsia" w:ascii="仿宋" w:hAnsi="仿宋" w:eastAsia="仿宋" w:cs="仿宋"/>
          <w:kern w:val="0"/>
          <w:lang w:eastAsia="zh-Hans" w:bidi="ar"/>
        </w:rPr>
        <w:t>企业合办科技型企业。</w:t>
      </w:r>
    </w:p>
    <w:p>
      <w:pPr>
        <w:widowControl/>
        <w:spacing w:line="560" w:lineRule="exact"/>
        <w:ind w:firstLine="612" w:firstLineChars="200"/>
        <w:jc w:val="left"/>
        <w:rPr>
          <w:rFonts w:ascii="仿宋" w:hAnsi="仿宋" w:eastAsia="仿宋" w:cs="仿宋"/>
          <w:kern w:val="0"/>
          <w:lang w:bidi="ar"/>
        </w:rPr>
      </w:pPr>
      <w:r>
        <w:rPr>
          <w:rFonts w:hint="eastAsia" w:ascii="仿宋_GB2312" w:hAnsi="仿宋_GB2312" w:cs="仿宋_GB2312"/>
          <w:spacing w:val="-7"/>
          <w:kern w:val="0"/>
          <w:lang w:bidi="zh-CN"/>
        </w:rPr>
        <w:t>培育开放型创新主体集群。</w:t>
      </w:r>
      <w:r>
        <w:rPr>
          <w:rFonts w:hint="eastAsia" w:ascii="仿宋" w:hAnsi="仿宋" w:eastAsia="仿宋" w:cs="仿宋"/>
          <w:kern w:val="0"/>
          <w:lang w:bidi="ar"/>
        </w:rPr>
        <w:t>建立分层次遴选培育标准和动态调整机制，遴选10家左右国际竞争力强、行业带动性大、综合实力和创新能力居全省前列的创新龙头企业及后备企业进行重点培育。建立健全创新能力评估和孵化培育机制，做好科技型中小企业创新能力评估分析，推动符合条件的科技型中小企业“应评尽评、应入尽入”，扩大入库规模。加大科技型中小企业培育力度，针对不同阶段的成长需求，开展梯度培育和差异扶持。实施高新技术企业倍增计划，力争高新技术企业超过500家、科技型中小企业超过1000家。</w:t>
      </w:r>
    </w:p>
    <w:p>
      <w:pPr>
        <w:widowControl/>
        <w:spacing w:line="560" w:lineRule="exact"/>
        <w:ind w:firstLine="612" w:firstLineChars="200"/>
        <w:jc w:val="left"/>
        <w:rPr>
          <w:rFonts w:ascii="仿宋" w:hAnsi="仿宋" w:eastAsia="仿宋" w:cs="仿宋"/>
          <w:kern w:val="0"/>
          <w:lang w:bidi="ar"/>
        </w:rPr>
      </w:pPr>
      <w:r>
        <w:rPr>
          <w:rFonts w:hint="eastAsia" w:ascii="仿宋_GB2312" w:hAnsi="仿宋_GB2312" w:cs="仿宋_GB2312"/>
          <w:spacing w:val="-7"/>
          <w:kern w:val="0"/>
          <w:lang w:bidi="zh-CN"/>
        </w:rPr>
        <w:t>增强协同创新发展能力。</w:t>
      </w:r>
      <w:r>
        <w:rPr>
          <w:rFonts w:hint="eastAsia" w:ascii="仿宋" w:hAnsi="仿宋" w:eastAsia="仿宋" w:cs="仿宋"/>
          <w:kern w:val="0"/>
          <w:lang w:bidi="ar"/>
        </w:rPr>
        <w:t>健全完善企业、高等学校、科研院所共建共享共担的产学研协同创新机制。充分发挥南阳高校院所在基础研究领域的主力军作用，深化与国内外大院大所合作对接，开展基础研究和技术攻关。建立一批技术创新战略联盟和协同创新中心。吸引500强企业和行业龙头企业在宛设立研发机构。加快构建以政府财政投入为引导、以企业投入为主体、以银行信贷和风险投资等金融资本为支撑、以民间投资为补充的多元化、多渠道、多层次科技投入体系。加大企业研发后补助等财政奖补力度，全面落实高新技术企业所得税优惠、研发费用加计扣除、科技贷款贴息、</w:t>
      </w:r>
      <w:r>
        <w:rPr>
          <w:rFonts w:ascii="仿宋" w:hAnsi="仿宋" w:eastAsia="仿宋" w:cs="仿宋"/>
          <w:spacing w:val="-2"/>
        </w:rPr>
        <w:t>科技创新券、</w:t>
      </w:r>
      <w:r>
        <w:rPr>
          <w:rFonts w:hint="eastAsia" w:ascii="仿宋" w:hAnsi="仿宋" w:eastAsia="仿宋" w:cs="仿宋"/>
          <w:spacing w:val="-2"/>
        </w:rPr>
        <w:t>成果转化补贴、</w:t>
      </w:r>
      <w:r>
        <w:rPr>
          <w:rFonts w:ascii="仿宋" w:hAnsi="仿宋" w:eastAsia="仿宋" w:cs="仿宋"/>
          <w:spacing w:val="-2"/>
        </w:rPr>
        <w:t>创新产品政府优先采购等普惠性政策，引导企业加大研发投入</w:t>
      </w:r>
      <w:r>
        <w:rPr>
          <w:rFonts w:hint="eastAsia" w:ascii="仿宋" w:hAnsi="仿宋" w:eastAsia="仿宋" w:cs="仿宋"/>
          <w:spacing w:val="-2"/>
        </w:rPr>
        <w:t>。</w:t>
      </w:r>
    </w:p>
    <w:p>
      <w:pPr>
        <w:widowControl/>
        <w:spacing w:line="560" w:lineRule="exact"/>
        <w:ind w:firstLine="612" w:firstLineChars="200"/>
        <w:jc w:val="left"/>
        <w:rPr>
          <w:rFonts w:ascii="仿宋" w:hAnsi="仿宋" w:eastAsia="仿宋" w:cs="仿宋"/>
          <w:kern w:val="0"/>
          <w:lang w:bidi="ar"/>
        </w:rPr>
      </w:pPr>
      <w:r>
        <w:rPr>
          <w:rFonts w:hint="eastAsia" w:ascii="仿宋_GB2312" w:hAnsi="仿宋_GB2312" w:cs="仿宋_GB2312"/>
          <w:spacing w:val="-7"/>
          <w:kern w:val="0"/>
          <w:lang w:bidi="zh-CN"/>
        </w:rPr>
        <w:t>推动企业主体规模升级。</w:t>
      </w:r>
      <w:r>
        <w:rPr>
          <w:rFonts w:hint="eastAsia" w:ascii="仿宋" w:hAnsi="仿宋" w:eastAsia="仿宋" w:cs="仿宋"/>
          <w:kern w:val="0"/>
          <w:lang w:bidi="ar"/>
        </w:rPr>
        <w:t>深入开展“千企升级”行动，实施大企业大集团“头雁计划”、单项冠军企业登高计划、专精特新“小巨人”企业培育计划和企业上市倍增计划，大力引进和培育创业投资、风险投资等市场化投资机构，建立完善政府与市场共同发力的企业培育体系，加快推进创生个、个转企、小升规、规改股、股上市，推动形成大企业顶天立地、中小企业铺天盖地、科技创新型企业占领制高地的企业发展局面。扎实开展“万人助万企”活动，落实“企业服务日”制度，完善问题快速收集、解决、督导问责机制，畅通企业向党委政府反映意见建议的渠道，构建亲清新型政商关系，引导各级干部当好企业“金牌店小二”，支持企业做大做强、做优做久、做多做活。力争“十四五”末，新增百亿级企业10家、10亿级企业100家，每年每个</w:t>
      </w:r>
      <w:r>
        <w:rPr>
          <w:rFonts w:hint="eastAsia" w:ascii="仿宋" w:hAnsi="仿宋" w:eastAsia="仿宋" w:cs="仿宋"/>
        </w:rPr>
        <w:t>县（市、区）</w:t>
      </w:r>
      <w:r>
        <w:rPr>
          <w:rFonts w:hint="eastAsia" w:ascii="仿宋" w:hAnsi="仿宋" w:eastAsia="仿宋" w:cs="仿宋"/>
          <w:kern w:val="0"/>
          <w:lang w:bidi="ar"/>
        </w:rPr>
        <w:t>至少新增1家上市企业。</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000" w:type="pct"/>
          </w:tcPr>
          <w:p>
            <w:pPr>
              <w:pStyle w:val="25"/>
              <w:spacing w:before="0" w:after="0" w:line="400" w:lineRule="exact"/>
              <w:ind w:firstLine="600"/>
              <w:rPr>
                <w:rFonts w:ascii="仿宋" w:hAnsi="仿宋" w:eastAsia="仿宋" w:cs="仿宋"/>
                <w:b w:val="0"/>
              </w:rPr>
            </w:pPr>
            <w:r>
              <w:rPr>
                <w:rFonts w:hint="eastAsia" w:ascii="黑体" w:hAnsi="仿宋" w:eastAsia="黑体" w:cs="仿宋"/>
                <w:b w:val="0"/>
                <w:kern w:val="0"/>
                <w:sz w:val="28"/>
                <w:szCs w:val="28"/>
                <w:lang w:bidi="zh-CN"/>
              </w:rPr>
              <w:t>专栏</w:t>
            </w:r>
            <w:r>
              <w:rPr>
                <w:rFonts w:hint="eastAsia" w:ascii="黑体" w:hAnsi="仿宋" w:cs="仿宋"/>
                <w:b w:val="0"/>
                <w:kern w:val="0"/>
                <w:sz w:val="28"/>
                <w:szCs w:val="28"/>
                <w:lang w:bidi="zh-CN"/>
              </w:rPr>
              <w:t>6</w:t>
            </w:r>
            <w:r>
              <w:rPr>
                <w:rFonts w:hint="eastAsia" w:ascii="黑体" w:hAnsi="仿宋" w:eastAsia="黑体" w:cs="仿宋"/>
                <w:b w:val="0"/>
                <w:kern w:val="0"/>
                <w:sz w:val="28"/>
                <w:szCs w:val="28"/>
                <w:lang w:bidi="zh-CN"/>
              </w:rPr>
              <w:t>：南阳市创新主体分类培育工程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25"/>
              <w:spacing w:before="0" w:after="0" w:line="400" w:lineRule="exact"/>
              <w:ind w:firstLine="448" w:firstLineChars="200"/>
              <w:jc w:val="both"/>
              <w:rPr>
                <w:rFonts w:ascii="仿宋" w:hAnsi="仿宋" w:eastAsia="仿宋" w:cs="仿宋"/>
                <w:b w:val="0"/>
                <w:sz w:val="24"/>
              </w:rPr>
            </w:pPr>
            <w:r>
              <w:rPr>
                <w:rFonts w:hint="eastAsia" w:ascii="楷体" w:hAnsi="楷体" w:eastAsia="楷体" w:cs="仿宋"/>
                <w:b w:val="0"/>
                <w:spacing w:val="-8"/>
                <w:kern w:val="0"/>
                <w:sz w:val="24"/>
                <w:szCs w:val="22"/>
                <w:lang w:bidi="zh-CN"/>
              </w:rPr>
              <w:t>1.企业高新化转型计划。</w:t>
            </w:r>
            <w:r>
              <w:rPr>
                <w:rFonts w:hint="eastAsia" w:ascii="仿宋" w:hAnsi="仿宋" w:eastAsia="仿宋" w:cs="仿宋"/>
                <w:b w:val="0"/>
                <w:sz w:val="24"/>
                <w:szCs w:val="24"/>
              </w:rPr>
              <w:t>支持企业面向国际市场进行创新升级，做大做强，推动全产业链改造升级，研究制定指导和帮助企业制定转型升级方案，每年实施1亿以上重大技改项目20个以上。推动企业数字化建设，以传统产业数字化为方向，推进信息技术与制造业深度融合，布局一批工业互联网平台，推动万家企业“上云用数赋智”。推动企业绿色发展，加快推进绿色制造体系建设，每年创成绿色工厂1</w:t>
            </w:r>
            <w:r>
              <w:rPr>
                <w:rFonts w:hint="eastAsia" w:ascii="仿宋_GB2312" w:hAnsi="仿宋_GB2312" w:eastAsia="仿宋_GB2312" w:cs="仿宋_GB2312"/>
                <w:b w:val="0"/>
                <w:sz w:val="24"/>
                <w:szCs w:val="24"/>
              </w:rPr>
              <w:t>～</w:t>
            </w:r>
            <w:r>
              <w:rPr>
                <w:rFonts w:hint="eastAsia" w:ascii="仿宋" w:hAnsi="仿宋" w:eastAsia="仿宋" w:cs="仿宋"/>
                <w:b w:val="0"/>
                <w:sz w:val="24"/>
                <w:szCs w:val="24"/>
              </w:rPr>
              <w:t>2家，绿色产品5个。</w:t>
            </w:r>
          </w:p>
          <w:p>
            <w:pPr>
              <w:pStyle w:val="25"/>
              <w:spacing w:before="0" w:after="0" w:line="400" w:lineRule="exact"/>
              <w:ind w:firstLine="448" w:firstLineChars="200"/>
              <w:jc w:val="both"/>
              <w:rPr>
                <w:rFonts w:ascii="仿宋" w:hAnsi="仿宋" w:eastAsia="仿宋" w:cs="仿宋"/>
                <w:b w:val="0"/>
                <w:sz w:val="24"/>
              </w:rPr>
            </w:pPr>
            <w:r>
              <w:rPr>
                <w:rFonts w:hint="eastAsia" w:ascii="楷体" w:hAnsi="楷体" w:eastAsia="楷体" w:cs="仿宋"/>
                <w:b w:val="0"/>
                <w:spacing w:val="-8"/>
                <w:kern w:val="0"/>
                <w:sz w:val="24"/>
                <w:szCs w:val="22"/>
                <w:lang w:bidi="zh-CN"/>
              </w:rPr>
              <w:t>2.高新技术企业培育计划。</w:t>
            </w:r>
            <w:r>
              <w:rPr>
                <w:rFonts w:hint="eastAsia" w:ascii="仿宋" w:hAnsi="仿宋" w:eastAsia="仿宋" w:cs="仿宋"/>
                <w:b w:val="0"/>
                <w:sz w:val="24"/>
                <w:szCs w:val="24"/>
              </w:rPr>
              <w:t>对接科技型中小企业、科技小巨人企业、专精特新企业、“链主”企业库，建立“高新技术企业培育库”，对入库企业知识产权申请、研发经费给予奖补、税费给予优惠，实施土地、人才、金融等配套优惠扶持政策。加大培育培训辅导力度，每年培训辅导200家企业，重点指导100家重点企业。每年新增50家以上高新技术企业，力争每年引进10</w:t>
            </w:r>
            <w:r>
              <w:rPr>
                <w:rFonts w:hint="eastAsia" w:ascii="仿宋_GB2312" w:hAnsi="仿宋_GB2312" w:eastAsia="仿宋_GB2312" w:cs="仿宋_GB2312"/>
                <w:b w:val="0"/>
                <w:sz w:val="24"/>
                <w:szCs w:val="24"/>
              </w:rPr>
              <w:t>～</w:t>
            </w:r>
            <w:r>
              <w:rPr>
                <w:rFonts w:hint="eastAsia" w:ascii="仿宋" w:hAnsi="仿宋" w:eastAsia="仿宋" w:cs="仿宋"/>
                <w:b w:val="0"/>
                <w:sz w:val="24"/>
                <w:szCs w:val="24"/>
              </w:rPr>
              <w:t>20家高新技术企业,到2025年，南阳高新技术企业超过500家，科技型中小企业超过1000家。</w:t>
            </w:r>
          </w:p>
          <w:p>
            <w:pPr>
              <w:pStyle w:val="25"/>
              <w:spacing w:before="0" w:after="0" w:line="400" w:lineRule="exact"/>
              <w:ind w:firstLine="448" w:firstLineChars="200"/>
              <w:jc w:val="both"/>
              <w:rPr>
                <w:rFonts w:ascii="仿宋" w:hAnsi="仿宋" w:eastAsia="仿宋" w:cs="仿宋"/>
                <w:b w:val="0"/>
                <w:sz w:val="24"/>
              </w:rPr>
            </w:pPr>
            <w:r>
              <w:rPr>
                <w:rFonts w:hint="eastAsia" w:ascii="楷体" w:hAnsi="楷体" w:eastAsia="楷体" w:cs="仿宋"/>
                <w:b w:val="0"/>
                <w:spacing w:val="-8"/>
                <w:kern w:val="0"/>
                <w:sz w:val="24"/>
                <w:szCs w:val="22"/>
                <w:lang w:bidi="zh-CN"/>
              </w:rPr>
              <w:t>3.“链主”龙头企业引育计划。</w:t>
            </w:r>
            <w:r>
              <w:rPr>
                <w:rFonts w:hint="eastAsia" w:ascii="仿宋" w:hAnsi="仿宋" w:eastAsia="仿宋" w:cs="仿宋"/>
                <w:b w:val="0"/>
                <w:sz w:val="24"/>
                <w:szCs w:val="24"/>
              </w:rPr>
              <w:t>聚焦电子信息、高端装备、新材料等特色主导产业和战略新兴产业，建立常态化工作机制，着力实施“链主”企业、头雁企业、单项冠军企业、大企业大集团引育计划，聚焦成长性高、创新性强、发展潜力大的中小微工业企业，分行业构建“链主”企业培育库，实行月度动态跟踪监测培育，力争到2025年引育10家左右营收50亿元以上的“链主”行业龙头企业。</w:t>
            </w:r>
          </w:p>
          <w:p>
            <w:pPr>
              <w:pStyle w:val="25"/>
              <w:spacing w:before="0" w:after="0" w:line="400" w:lineRule="exact"/>
              <w:ind w:firstLine="448" w:firstLineChars="200"/>
              <w:jc w:val="both"/>
              <w:rPr>
                <w:rFonts w:ascii="仿宋" w:hAnsi="仿宋" w:eastAsia="仿宋" w:cs="仿宋"/>
                <w:b w:val="0"/>
              </w:rPr>
            </w:pPr>
            <w:r>
              <w:rPr>
                <w:rFonts w:hint="eastAsia" w:ascii="楷体" w:hAnsi="楷体" w:eastAsia="楷体" w:cs="仿宋"/>
                <w:b w:val="0"/>
                <w:spacing w:val="-8"/>
                <w:kern w:val="0"/>
                <w:sz w:val="24"/>
                <w:szCs w:val="22"/>
                <w:lang w:bidi="zh-CN"/>
              </w:rPr>
              <w:t>4.“专精特新”企业引育计划。</w:t>
            </w:r>
            <w:r>
              <w:rPr>
                <w:rFonts w:hint="eastAsia" w:ascii="仿宋" w:hAnsi="仿宋" w:eastAsia="仿宋" w:cs="仿宋"/>
                <w:b w:val="0"/>
                <w:sz w:val="24"/>
                <w:szCs w:val="24"/>
              </w:rPr>
              <w:t>围绕提升中小企业创新能力和专业化水平，积极引导中小企业走专精特新发展道路，加快专精特新培育步伐。引导和支持企业专注细分领域，持续提升技术和工艺水平，做精做专做优产业链关键环节，分层培育“专精特新”中小企业群体、分类促进企业做精做强做大。建立“专精特新”中小企业培育库，打造“专精特新”企业梯队，培育市级以上“专精特新”企业300家。</w:t>
            </w:r>
          </w:p>
        </w:tc>
      </w:tr>
    </w:tbl>
    <w:p>
      <w:pPr>
        <w:spacing w:line="560" w:lineRule="exact"/>
        <w:rPr>
          <w:lang w:eastAsia="zh-Hans"/>
        </w:rPr>
      </w:pPr>
      <w:bookmarkStart w:id="1732" w:name="_Toc22065"/>
    </w:p>
    <w:p>
      <w:pPr>
        <w:pStyle w:val="7"/>
        <w:spacing w:line="560" w:lineRule="exact"/>
        <w:jc w:val="center"/>
        <w:rPr>
          <w:rFonts w:ascii="楷体" w:hAnsi="仿宋" w:eastAsia="楷体" w:cs="仿宋"/>
          <w:b w:val="0"/>
          <w:bCs/>
          <w:lang w:eastAsia="zh-Hans" w:bidi="zh-CN"/>
        </w:rPr>
      </w:pPr>
      <w:bookmarkStart w:id="1733" w:name="_Toc1535034504"/>
      <w:r>
        <w:rPr>
          <w:rFonts w:hint="eastAsia" w:ascii="楷体" w:hAnsi="仿宋" w:eastAsia="楷体" w:cs="仿宋"/>
          <w:b w:val="0"/>
          <w:szCs w:val="32"/>
          <w:lang w:eastAsia="zh-Hans" w:bidi="zh-CN"/>
        </w:rPr>
        <w:t>第二节 促进创新开放平台繁荣发展</w:t>
      </w:r>
      <w:bookmarkEnd w:id="1732"/>
      <w:bookmarkEnd w:id="1733"/>
    </w:p>
    <w:p>
      <w:pPr>
        <w:widowControl/>
        <w:spacing w:line="560" w:lineRule="exact"/>
        <w:ind w:firstLine="640" w:firstLineChars="200"/>
        <w:jc w:val="left"/>
        <w:rPr>
          <w:rFonts w:ascii="仿宋" w:hAnsi="仿宋" w:eastAsia="仿宋" w:cs="仿宋"/>
          <w:kern w:val="0"/>
          <w:lang w:eastAsia="zh-Hans" w:bidi="ar"/>
        </w:rPr>
      </w:pPr>
      <w:r>
        <w:rPr>
          <w:rFonts w:hint="eastAsia" w:ascii="仿宋" w:hAnsi="仿宋" w:eastAsia="仿宋" w:cs="仿宋"/>
          <w:kern w:val="0"/>
          <w:lang w:eastAsia="zh-Hans" w:bidi="ar"/>
        </w:rPr>
        <w:t>抢抓国家和省优化区域创新布局机遇，优化创新资源、人才、资金等要素集中配置，积极争取重大创新平台和重大科技基础设施布局，大力推动技术高质量研发和成果高质量转化。</w:t>
      </w:r>
    </w:p>
    <w:p>
      <w:pPr>
        <w:widowControl/>
        <w:spacing w:line="560" w:lineRule="exact"/>
        <w:ind w:firstLine="612" w:firstLineChars="200"/>
        <w:jc w:val="left"/>
        <w:rPr>
          <w:rFonts w:ascii="仿宋" w:hAnsi="仿宋" w:eastAsia="仿宋" w:cs="仿宋"/>
          <w:kern w:val="0"/>
          <w:lang w:eastAsia="zh-Hans" w:bidi="ar"/>
        </w:rPr>
      </w:pPr>
      <w:r>
        <w:rPr>
          <w:rFonts w:hint="eastAsia" w:ascii="仿宋_GB2312" w:hAnsi="仿宋_GB2312" w:cs="仿宋_GB2312"/>
          <w:spacing w:val="-7"/>
          <w:kern w:val="0"/>
          <w:lang w:eastAsia="zh-Hans" w:bidi="zh-CN"/>
        </w:rPr>
        <w:t>加快推动科技创新平台建设。</w:t>
      </w:r>
      <w:r>
        <w:rPr>
          <w:rFonts w:hint="eastAsia" w:ascii="仿宋" w:hAnsi="仿宋" w:eastAsia="仿宋" w:cs="仿宋"/>
          <w:kern w:val="0"/>
          <w:lang w:eastAsia="zh-Hans" w:bidi="ar"/>
        </w:rPr>
        <w:t>围绕南阳</w:t>
      </w:r>
      <w:r>
        <w:rPr>
          <w:rFonts w:hint="eastAsia" w:ascii="仿宋" w:hAnsi="仿宋" w:eastAsia="仿宋" w:cs="仿宋"/>
          <w:kern w:val="0"/>
          <w:lang w:bidi="ar"/>
        </w:rPr>
        <w:t>装备</w:t>
      </w:r>
      <w:r>
        <w:rPr>
          <w:rFonts w:hint="eastAsia" w:ascii="仿宋" w:hAnsi="仿宋" w:eastAsia="仿宋" w:cs="仿宋"/>
          <w:kern w:val="0"/>
          <w:lang w:eastAsia="zh-Hans" w:bidi="ar"/>
        </w:rPr>
        <w:t>制造、</w:t>
      </w:r>
      <w:r>
        <w:rPr>
          <w:rFonts w:hint="eastAsia" w:ascii="仿宋" w:hAnsi="仿宋" w:eastAsia="仿宋" w:cs="仿宋"/>
          <w:kern w:val="0"/>
          <w:lang w:bidi="ar"/>
        </w:rPr>
        <w:t>电子</w:t>
      </w:r>
      <w:r>
        <w:rPr>
          <w:rFonts w:hint="eastAsia" w:ascii="仿宋" w:hAnsi="仿宋" w:eastAsia="仿宋" w:cs="仿宋"/>
          <w:kern w:val="0"/>
          <w:lang w:eastAsia="zh-Hans" w:bidi="ar"/>
        </w:rPr>
        <w:t>信息、新能源、新材料、生物、节能环保等产业，整合科技创新资源，以企业和高校、科研院所深度合作为重点，新建一批技术创新中心、工程技术研究中心、企业技术中心、</w:t>
      </w:r>
      <w:r>
        <w:rPr>
          <w:rFonts w:hint="eastAsia" w:ascii="仿宋" w:hAnsi="仿宋" w:eastAsia="仿宋" w:cs="仿宋"/>
          <w:spacing w:val="-1"/>
        </w:rPr>
        <w:t>新型研发机构、中试基地、创新战略联盟、</w:t>
      </w:r>
      <w:r>
        <w:rPr>
          <w:rFonts w:ascii="仿宋" w:hAnsi="仿宋" w:eastAsia="仿宋" w:cs="仿宋"/>
          <w:spacing w:val="-1"/>
        </w:rPr>
        <w:t>检测试验平台等</w:t>
      </w:r>
      <w:r>
        <w:rPr>
          <w:rFonts w:hint="eastAsia" w:ascii="仿宋" w:hAnsi="仿宋" w:eastAsia="仿宋" w:cs="仿宋"/>
          <w:kern w:val="0"/>
          <w:lang w:eastAsia="zh-Hans" w:bidi="ar"/>
        </w:rPr>
        <w:t>，鼓励企业建立重点实验室、院士专家工作站、博士后科研工作站、博士后创新实践基地、学会（协会）服务站。</w:t>
      </w:r>
      <w:r>
        <w:rPr>
          <w:rFonts w:hint="eastAsia" w:ascii="仿宋" w:hAnsi="仿宋" w:eastAsia="仿宋" w:cs="仿宋"/>
          <w:spacing w:val="-1"/>
        </w:rPr>
        <w:t>建设张衡实验室、张仲景实验室，提升</w:t>
      </w:r>
      <w:r>
        <w:rPr>
          <w:rFonts w:ascii="仿宋" w:hAnsi="仿宋" w:eastAsia="仿宋" w:cs="仿宋"/>
          <w:spacing w:val="-5"/>
        </w:rPr>
        <w:t>南阳防研所、南阳师范学院、南阳理工学院等重点实验室</w:t>
      </w:r>
      <w:r>
        <w:rPr>
          <w:rFonts w:hint="eastAsia" w:ascii="仿宋" w:hAnsi="仿宋" w:eastAsia="仿宋" w:cs="仿宋"/>
          <w:spacing w:val="-5"/>
        </w:rPr>
        <w:t>水平</w:t>
      </w:r>
      <w:r>
        <w:rPr>
          <w:rFonts w:ascii="仿宋" w:hAnsi="仿宋" w:eastAsia="仿宋" w:cs="仿宋"/>
          <w:spacing w:val="-5"/>
        </w:rPr>
        <w:t>，</w:t>
      </w:r>
      <w:r>
        <w:rPr>
          <w:rFonts w:hint="eastAsia" w:ascii="仿宋" w:hAnsi="仿宋" w:eastAsia="仿宋" w:cs="仿宋"/>
          <w:spacing w:val="1"/>
        </w:rPr>
        <w:t>支持</w:t>
      </w:r>
      <w:r>
        <w:rPr>
          <w:rFonts w:ascii="仿宋" w:hAnsi="仿宋" w:eastAsia="仿宋" w:cs="仿宋"/>
        </w:rPr>
        <w:t>乐凯华光、卧龙电气南阳防爆集团、中光学集团、中南钻石、</w:t>
      </w:r>
      <w:r>
        <w:rPr>
          <w:rFonts w:ascii="仿宋" w:hAnsi="仿宋" w:eastAsia="仿宋" w:cs="仿宋"/>
          <w:spacing w:val="-1"/>
        </w:rPr>
        <w:t>牧原食品等建设技术</w:t>
      </w:r>
      <w:r>
        <w:rPr>
          <w:rFonts w:hint="eastAsia" w:ascii="仿宋" w:hAnsi="仿宋" w:eastAsia="仿宋" w:cs="仿宋"/>
          <w:spacing w:val="-1"/>
        </w:rPr>
        <w:t>创新</w:t>
      </w:r>
      <w:r>
        <w:rPr>
          <w:rFonts w:ascii="仿宋" w:hAnsi="仿宋" w:eastAsia="仿宋" w:cs="仿宋"/>
          <w:spacing w:val="-1"/>
        </w:rPr>
        <w:t>中心</w:t>
      </w:r>
      <w:r>
        <w:rPr>
          <w:rFonts w:hint="eastAsia" w:ascii="仿宋" w:hAnsi="仿宋" w:eastAsia="仿宋" w:cs="仿宋"/>
          <w:kern w:val="0"/>
          <w:lang w:eastAsia="zh-Hans" w:bidi="ar"/>
        </w:rPr>
        <w:t>。鼓励龙头企业设立海外离岸创新中心</w:t>
      </w:r>
      <w:r>
        <w:rPr>
          <w:rFonts w:hint="eastAsia" w:ascii="仿宋" w:hAnsi="仿宋" w:eastAsia="仿宋" w:cs="仿宋"/>
          <w:kern w:val="0"/>
          <w:lang w:bidi="ar"/>
        </w:rPr>
        <w:t>；</w:t>
      </w:r>
      <w:r>
        <w:rPr>
          <w:rFonts w:hint="eastAsia" w:ascii="仿宋" w:hAnsi="仿宋" w:eastAsia="仿宋" w:cs="仿宋"/>
          <w:kern w:val="0"/>
          <w:lang w:eastAsia="zh-Hans" w:bidi="ar"/>
        </w:rPr>
        <w:t>支持有条件的企业与海内外高科技企业、高校院所通过“引进来”联合共建海外人才离岸创新创业基地、国际科技合作基地、国家地方联合实验室等各类创新合作平台，通过委托研发、合作研究、联合开发等形式，实现重大关键技术突破。支持海内外知名高科技企业、高校院所在宛建立独立研发机构或设立分支机构</w:t>
      </w:r>
      <w:r>
        <w:rPr>
          <w:rFonts w:hint="eastAsia" w:ascii="仿宋" w:hAnsi="仿宋" w:eastAsia="仿宋" w:cs="仿宋"/>
          <w:kern w:val="0"/>
          <w:lang w:bidi="ar"/>
        </w:rPr>
        <w:t>，推进清华大学南阳创新中心建设</w:t>
      </w:r>
      <w:r>
        <w:rPr>
          <w:rFonts w:hint="eastAsia" w:ascii="仿宋" w:hAnsi="仿宋" w:eastAsia="仿宋" w:cs="仿宋"/>
          <w:kern w:val="0"/>
          <w:lang w:eastAsia="zh-Hans" w:bidi="ar"/>
        </w:rPr>
        <w:t>。</w:t>
      </w:r>
    </w:p>
    <w:p>
      <w:pPr>
        <w:widowControl/>
        <w:spacing w:line="560" w:lineRule="exact"/>
        <w:ind w:firstLine="612" w:firstLineChars="200"/>
        <w:jc w:val="left"/>
        <w:rPr>
          <w:rFonts w:ascii="仿宋" w:hAnsi="仿宋" w:eastAsia="仿宋" w:cs="仿宋"/>
          <w:kern w:val="0"/>
          <w:lang w:eastAsia="zh-Hans" w:bidi="ar"/>
        </w:rPr>
      </w:pPr>
      <w:r>
        <w:rPr>
          <w:rFonts w:hint="eastAsia" w:ascii="仿宋_GB2312" w:hAnsi="仿宋_GB2312" w:cs="仿宋_GB2312"/>
          <w:spacing w:val="-7"/>
          <w:kern w:val="0"/>
          <w:lang w:eastAsia="zh-Hans" w:bidi="zh-CN"/>
        </w:rPr>
        <w:t>不断加强双创孵化载体建设。</w:t>
      </w:r>
      <w:r>
        <w:rPr>
          <w:rFonts w:hint="eastAsia" w:ascii="仿宋" w:hAnsi="仿宋" w:eastAsia="仿宋" w:cs="仿宋"/>
          <w:kern w:val="0"/>
          <w:lang w:eastAsia="zh-Hans" w:bidi="ar"/>
        </w:rPr>
        <w:t>围绕南阳中关村科技园</w:t>
      </w:r>
      <w:r>
        <w:rPr>
          <w:rFonts w:hint="eastAsia" w:ascii="仿宋" w:hAnsi="仿宋" w:eastAsia="仿宋" w:cs="仿宋"/>
          <w:kern w:val="0"/>
          <w:lang w:bidi="ar"/>
        </w:rPr>
        <w:t>等，</w:t>
      </w:r>
      <w:r>
        <w:rPr>
          <w:rFonts w:hint="eastAsia" w:ascii="仿宋" w:hAnsi="仿宋" w:eastAsia="仿宋" w:cs="仿宋"/>
          <w:kern w:val="0"/>
          <w:lang w:eastAsia="zh-Hans" w:bidi="ar"/>
        </w:rPr>
        <w:t>积极打造</w:t>
      </w:r>
      <w:r>
        <w:rPr>
          <w:rFonts w:hint="eastAsia" w:ascii="仿宋" w:hAnsi="仿宋" w:eastAsia="仿宋" w:cs="仿宋"/>
          <w:kern w:val="0"/>
          <w:lang w:bidi="ar"/>
        </w:rPr>
        <w:t>“</w:t>
      </w:r>
      <w:r>
        <w:rPr>
          <w:rFonts w:hint="eastAsia" w:ascii="仿宋" w:hAnsi="仿宋" w:eastAsia="仿宋" w:cs="仿宋"/>
          <w:kern w:val="0"/>
          <w:lang w:eastAsia="zh-Hans" w:bidi="ar"/>
        </w:rPr>
        <w:t>双创</w:t>
      </w:r>
      <w:r>
        <w:rPr>
          <w:rFonts w:hint="eastAsia" w:ascii="仿宋" w:hAnsi="仿宋" w:eastAsia="仿宋" w:cs="仿宋"/>
          <w:kern w:val="0"/>
          <w:lang w:bidi="ar"/>
        </w:rPr>
        <w:t>”</w:t>
      </w:r>
      <w:r>
        <w:rPr>
          <w:rFonts w:hint="eastAsia" w:ascii="仿宋" w:hAnsi="仿宋" w:eastAsia="仿宋" w:cs="仿宋"/>
          <w:kern w:val="0"/>
          <w:lang w:eastAsia="zh-Hans" w:bidi="ar"/>
        </w:rPr>
        <w:t>标准化智慧岛试点。支持</w:t>
      </w:r>
      <w:r>
        <w:rPr>
          <w:rFonts w:hint="eastAsia" w:ascii="仿宋" w:hAnsi="仿宋" w:eastAsia="仿宋" w:cs="仿宋"/>
          <w:kern w:val="0"/>
          <w:lang w:bidi="ar"/>
        </w:rPr>
        <w:t>南阳</w:t>
      </w:r>
      <w:r>
        <w:rPr>
          <w:rFonts w:hint="eastAsia" w:ascii="仿宋" w:hAnsi="仿宋" w:eastAsia="仿宋" w:cs="仿宋"/>
          <w:kern w:val="0"/>
          <w:lang w:eastAsia="zh-Hans" w:bidi="ar"/>
        </w:rPr>
        <w:t>以公司制运营的孵化器和众创空间通过股权多元化、引入战略合作者等方式做大做强。支持</w:t>
      </w:r>
      <w:r>
        <w:rPr>
          <w:rFonts w:hint="eastAsia" w:ascii="仿宋" w:hAnsi="仿宋" w:eastAsia="仿宋" w:cs="仿宋"/>
          <w:kern w:val="0"/>
          <w:lang w:bidi="ar"/>
        </w:rPr>
        <w:t>南阳</w:t>
      </w:r>
      <w:r>
        <w:rPr>
          <w:rFonts w:hint="eastAsia" w:ascii="仿宋" w:hAnsi="仿宋" w:eastAsia="仿宋" w:cs="仿宋"/>
          <w:kern w:val="0"/>
          <w:lang w:eastAsia="zh-Hans" w:bidi="ar"/>
        </w:rPr>
        <w:t>企业在海内外创新要素密集、创新创业活跃的地区建立众创空间和孵化器，引导孵化成功的项目来宛转化；支持海内外企业与</w:t>
      </w:r>
      <w:r>
        <w:rPr>
          <w:rFonts w:hint="eastAsia" w:ascii="仿宋" w:hAnsi="仿宋" w:eastAsia="仿宋" w:cs="仿宋"/>
          <w:kern w:val="0"/>
          <w:lang w:bidi="ar"/>
        </w:rPr>
        <w:t>南阳</w:t>
      </w:r>
      <w:r>
        <w:rPr>
          <w:rFonts w:hint="eastAsia" w:ascii="仿宋" w:hAnsi="仿宋" w:eastAsia="仿宋" w:cs="仿宋"/>
          <w:kern w:val="0"/>
          <w:lang w:eastAsia="zh-Hans" w:bidi="ar"/>
        </w:rPr>
        <w:t>众创空间、孵化器开展合作，为南阳输送优秀企业。鼓励海内外孵化机构通过承建、合作投资和服务外包等方式来宛自建或共建孵化器和众创空间。支持孵化器、众创空间引入设立天使投资基金、创业投资基金、风险投资基金，培育扶持初创期科技型企业成长壮大，对符合科技金融扶持政策的天使投资基金、创业投资基金、风险投资基金给予重点支持。</w:t>
      </w:r>
    </w:p>
    <w:p>
      <w:pPr>
        <w:widowControl/>
        <w:spacing w:line="560" w:lineRule="exact"/>
        <w:ind w:firstLine="612" w:firstLineChars="200"/>
        <w:jc w:val="left"/>
        <w:rPr>
          <w:rFonts w:ascii="仿宋" w:hAnsi="仿宋" w:eastAsia="仿宋" w:cs="仿宋"/>
          <w:lang w:eastAsia="zh-Hans"/>
        </w:rPr>
      </w:pPr>
      <w:r>
        <w:rPr>
          <w:rFonts w:hint="eastAsia" w:ascii="仿宋_GB2312" w:hAnsi="仿宋_GB2312" w:cs="仿宋_GB2312"/>
          <w:spacing w:val="-7"/>
          <w:kern w:val="0"/>
          <w:lang w:bidi="zh-CN"/>
        </w:rPr>
        <w:t>大力</w:t>
      </w:r>
      <w:r>
        <w:rPr>
          <w:rFonts w:hint="eastAsia" w:ascii="仿宋_GB2312" w:hAnsi="仿宋_GB2312" w:cs="仿宋_GB2312"/>
          <w:spacing w:val="-7"/>
          <w:kern w:val="0"/>
          <w:lang w:eastAsia="zh-Hans" w:bidi="zh-CN"/>
        </w:rPr>
        <w:t>培育技术转化机构。</w:t>
      </w:r>
      <w:r>
        <w:rPr>
          <w:rFonts w:hint="eastAsia" w:ascii="仿宋" w:hAnsi="仿宋" w:eastAsia="仿宋" w:cs="仿宋"/>
          <w:kern w:val="0"/>
          <w:lang w:eastAsia="zh-Hans" w:bidi="ar"/>
        </w:rPr>
        <w:t>围绕全市经济社会发展战略和市场主体的技术需求，大力培育和繁荣技术中介机构，充分发挥市场机制配置科技资源的决定性作用。做大做强中关村南阳科技产业园、南阳科技大市场，推动校地合作和科技成果发布交易，加快科技成果转化，打造豫西南科技资源集聚平台、技术交易中心、</w:t>
      </w:r>
      <w:r>
        <w:rPr>
          <w:rFonts w:hint="eastAsia" w:ascii="仿宋" w:hAnsi="仿宋" w:eastAsia="仿宋" w:cs="仿宋"/>
          <w:spacing w:val="-16"/>
        </w:rPr>
        <w:t>科技成果转化示范区</w:t>
      </w:r>
      <w:r>
        <w:rPr>
          <w:rFonts w:hint="eastAsia" w:ascii="仿宋" w:hAnsi="仿宋" w:eastAsia="仿宋" w:cs="仿宋"/>
          <w:kern w:val="0"/>
          <w:lang w:eastAsia="zh-Hans" w:bidi="ar"/>
        </w:rPr>
        <w:t>。发挥河南省中科科技成果</w:t>
      </w:r>
      <w:r>
        <w:rPr>
          <w:rFonts w:hint="eastAsia" w:ascii="仿宋" w:hAnsi="仿宋" w:eastAsia="仿宋" w:cs="仿宋"/>
          <w:kern w:val="0"/>
          <w:lang w:bidi="ar"/>
        </w:rPr>
        <w:t>转移</w:t>
      </w:r>
      <w:r>
        <w:rPr>
          <w:rFonts w:hint="eastAsia" w:ascii="仿宋" w:hAnsi="仿宋" w:eastAsia="仿宋" w:cs="仿宋"/>
          <w:kern w:val="0"/>
          <w:lang w:eastAsia="zh-Hans" w:bidi="ar"/>
        </w:rPr>
        <w:t>转化</w:t>
      </w:r>
      <w:r>
        <w:rPr>
          <w:rFonts w:hint="eastAsia" w:ascii="仿宋" w:hAnsi="仿宋" w:eastAsia="仿宋" w:cs="仿宋"/>
          <w:kern w:val="0"/>
          <w:lang w:bidi="ar"/>
        </w:rPr>
        <w:t>中心</w:t>
      </w:r>
      <w:r>
        <w:rPr>
          <w:rFonts w:hint="eastAsia" w:ascii="仿宋" w:hAnsi="仿宋" w:eastAsia="仿宋" w:cs="仿宋"/>
          <w:kern w:val="0"/>
          <w:lang w:eastAsia="zh-Hans" w:bidi="ar"/>
        </w:rPr>
        <w:t>南阳分中心作用，加快科技要素、创新成果向生产力转化。依托南阳高校资源，</w:t>
      </w:r>
      <w:r>
        <w:rPr>
          <w:rFonts w:ascii="仿宋" w:hAnsi="仿宋" w:eastAsia="仿宋" w:cs="仿宋"/>
          <w:spacing w:val="-6"/>
        </w:rPr>
        <w:t>举办河南（南阳）高校院所科技成果</w:t>
      </w:r>
      <w:r>
        <w:rPr>
          <w:rFonts w:hint="eastAsia" w:ascii="仿宋" w:hAnsi="仿宋" w:eastAsia="仿宋" w:cs="仿宋"/>
          <w:spacing w:val="-6"/>
        </w:rPr>
        <w:t>发布对接</w:t>
      </w:r>
      <w:r>
        <w:rPr>
          <w:rFonts w:ascii="仿宋" w:hAnsi="仿宋" w:eastAsia="仿宋" w:cs="仿宋"/>
          <w:spacing w:val="-6"/>
        </w:rPr>
        <w:t>会</w:t>
      </w:r>
      <w:r>
        <w:rPr>
          <w:rFonts w:hint="eastAsia" w:ascii="仿宋" w:hAnsi="仿宋" w:eastAsia="仿宋" w:cs="仿宋"/>
          <w:kern w:val="0"/>
          <w:lang w:eastAsia="zh-Hans" w:bidi="ar"/>
        </w:rPr>
        <w:t>，开展创新成果展示交易。大力推动企业知识产权培育和高校知识产权能力提升，推动专利申请和授权量质双升。</w:t>
      </w:r>
    </w:p>
    <w:p>
      <w:pPr>
        <w:pStyle w:val="7"/>
        <w:spacing w:line="560" w:lineRule="exact"/>
        <w:jc w:val="center"/>
        <w:rPr>
          <w:b w:val="0"/>
        </w:rPr>
      </w:pPr>
      <w:bookmarkStart w:id="1734" w:name="_Toc5819"/>
      <w:bookmarkStart w:id="1735" w:name="_Toc1304476892"/>
      <w:r>
        <w:rPr>
          <w:rFonts w:hint="eastAsia" w:ascii="楷体" w:hAnsi="仿宋" w:eastAsia="楷体" w:cs="仿宋"/>
          <w:b w:val="0"/>
          <w:szCs w:val="32"/>
          <w:lang w:bidi="zh-CN"/>
        </w:rPr>
        <w:t>第</w:t>
      </w:r>
      <w:r>
        <w:rPr>
          <w:rFonts w:hint="eastAsia" w:ascii="楷体" w:hAnsi="仿宋" w:eastAsia="楷体" w:cs="仿宋"/>
          <w:b w:val="0"/>
          <w:szCs w:val="32"/>
          <w:lang w:eastAsia="zh-Hans" w:bidi="zh-CN"/>
        </w:rPr>
        <w:t>三</w:t>
      </w:r>
      <w:r>
        <w:rPr>
          <w:rFonts w:hint="eastAsia" w:ascii="楷体" w:hAnsi="仿宋" w:eastAsia="楷体" w:cs="仿宋"/>
          <w:b w:val="0"/>
          <w:szCs w:val="32"/>
          <w:lang w:bidi="zh-CN"/>
        </w:rPr>
        <w:t>节 加大创新人才引育力度</w:t>
      </w:r>
      <w:bookmarkEnd w:id="1734"/>
      <w:bookmarkEnd w:id="1735"/>
    </w:p>
    <w:p>
      <w:pPr>
        <w:widowControl/>
        <w:spacing w:line="560" w:lineRule="exact"/>
        <w:ind w:firstLine="640" w:firstLineChars="200"/>
        <w:jc w:val="left"/>
      </w:pPr>
      <w:r>
        <w:rPr>
          <w:rFonts w:hint="eastAsia" w:ascii="仿宋" w:hAnsi="仿宋" w:eastAsia="仿宋" w:cs="仿宋"/>
          <w:kern w:val="0"/>
          <w:lang w:bidi="ar"/>
        </w:rPr>
        <w:t>放大“诸葛英才计划”品牌效应，构建具有南阳特色和区域竞争力的人才制度优势，全面提升南阳人才竞争力、科技创新力、产业集聚力。引导和鼓励高校、科研院所、科技园区和企业联合引才。完善和实施吸引优秀人才和海外科技人才计划，结合南阳相关项目采取团队引进、核心人才带动引进等多种方式吸引海内外优秀人才。加强走出去人才队伍建设，加强对党政领导干部、企业家和企业高级管理人才的国际化视野培训。大力实施高端人才支撑工程、“宛商”素质提升工程、“南阳工匠”培育工程等更具针对性的人才培育工程。力争到2025年，按照“人才+产业+创新”的模式，</w:t>
      </w:r>
      <w:r>
        <w:rPr>
          <w:rFonts w:hint="eastAsia" w:ascii="仿宋" w:hAnsi="仿宋" w:eastAsia="仿宋" w:cs="仿宋"/>
          <w:spacing w:val="-13"/>
        </w:rPr>
        <w:t>引领创新团队成果转化50个，培育市级产业创新科技人才团队30个，培养</w:t>
      </w:r>
      <w:r>
        <w:rPr>
          <w:rFonts w:hint="eastAsia" w:ascii="仿宋" w:hAnsi="仿宋" w:eastAsia="仿宋" w:cs="仿宋"/>
          <w:kern w:val="0"/>
          <w:lang w:bidi="ar"/>
        </w:rPr>
        <w:t>30000名具有较高知识水平、产业急需紧缺的优秀青年人才。</w:t>
      </w:r>
      <w:bookmarkStart w:id="1736" w:name="_Toc27433"/>
    </w:p>
    <w:p>
      <w:pPr>
        <w:pStyle w:val="7"/>
        <w:spacing w:line="560" w:lineRule="exact"/>
        <w:jc w:val="center"/>
        <w:rPr>
          <w:rFonts w:ascii="仿宋_GB2312" w:hAnsi="仿宋_GB2312" w:cs="仿宋_GB2312"/>
          <w:b w:val="0"/>
          <w:spacing w:val="-7"/>
          <w:lang w:bidi="zh-CN"/>
        </w:rPr>
      </w:pPr>
      <w:bookmarkStart w:id="1737" w:name="_Toc1810933072"/>
      <w:r>
        <w:rPr>
          <w:rFonts w:hint="eastAsia" w:ascii="楷体" w:hAnsi="仿宋" w:eastAsia="楷体" w:cs="仿宋"/>
          <w:b w:val="0"/>
          <w:szCs w:val="32"/>
          <w:lang w:bidi="zh-CN"/>
        </w:rPr>
        <w:t>第</w:t>
      </w:r>
      <w:r>
        <w:rPr>
          <w:rFonts w:hint="eastAsia" w:ascii="楷体" w:hAnsi="仿宋" w:eastAsia="楷体" w:cs="仿宋"/>
          <w:b w:val="0"/>
          <w:szCs w:val="32"/>
          <w:lang w:eastAsia="zh-Hans" w:bidi="zh-CN"/>
        </w:rPr>
        <w:t>四</w:t>
      </w:r>
      <w:r>
        <w:rPr>
          <w:rFonts w:hint="eastAsia" w:ascii="楷体" w:hAnsi="仿宋" w:eastAsia="楷体" w:cs="仿宋"/>
          <w:b w:val="0"/>
          <w:szCs w:val="32"/>
          <w:lang w:bidi="zh-CN"/>
        </w:rPr>
        <w:t>节 加强创新能力开放合作</w:t>
      </w:r>
      <w:bookmarkEnd w:id="1736"/>
      <w:bookmarkEnd w:id="1737"/>
    </w:p>
    <w:p>
      <w:pPr>
        <w:spacing w:line="560" w:lineRule="exact"/>
        <w:ind w:firstLine="612" w:firstLineChars="200"/>
        <w:jc w:val="left"/>
        <w:rPr>
          <w:rFonts w:ascii="仿宋" w:hAnsi="仿宋" w:eastAsia="仿宋" w:cs="仿宋"/>
          <w:kern w:val="0"/>
          <w:lang w:bidi="ar"/>
        </w:rPr>
      </w:pPr>
      <w:r>
        <w:rPr>
          <w:rFonts w:hint="eastAsia" w:ascii="仿宋_GB2312" w:hAnsi="仿宋_GB2312" w:cs="仿宋_GB2312"/>
          <w:spacing w:val="-7"/>
          <w:kern w:val="0"/>
          <w:lang w:eastAsia="zh-Hans" w:bidi="zh-CN"/>
        </w:rPr>
        <w:t>加强</w:t>
      </w:r>
      <w:r>
        <w:rPr>
          <w:rFonts w:hint="eastAsia" w:ascii="仿宋_GB2312" w:hAnsi="仿宋_GB2312" w:cs="仿宋_GB2312"/>
          <w:spacing w:val="-7"/>
          <w:kern w:val="0"/>
          <w:lang w:bidi="zh-CN"/>
        </w:rPr>
        <w:t>科技</w:t>
      </w:r>
      <w:r>
        <w:rPr>
          <w:rFonts w:hint="eastAsia" w:ascii="仿宋_GB2312" w:hAnsi="仿宋_GB2312" w:cs="仿宋_GB2312"/>
          <w:spacing w:val="-7"/>
          <w:kern w:val="0"/>
          <w:lang w:eastAsia="zh-Hans" w:bidi="zh-CN"/>
        </w:rPr>
        <w:t>创新能力，促进</w:t>
      </w:r>
      <w:r>
        <w:rPr>
          <w:rFonts w:hint="eastAsia" w:ascii="仿宋_GB2312" w:hAnsi="仿宋_GB2312" w:cs="仿宋_GB2312"/>
          <w:spacing w:val="-7"/>
          <w:kern w:val="0"/>
          <w:lang w:bidi="zh-CN"/>
        </w:rPr>
        <w:t>开放合作。</w:t>
      </w:r>
      <w:r>
        <w:rPr>
          <w:rFonts w:hint="eastAsia" w:ascii="仿宋" w:hAnsi="仿宋" w:eastAsia="仿宋" w:cs="仿宋"/>
          <w:kern w:val="0"/>
          <w:lang w:bidi="ar"/>
        </w:rPr>
        <w:t>以南阳高新区为主体，复制推广国家自主创新示范区创新举措和经验，组织实施若干科技创新合作重点项目，探索先进技术联合孵化、跨境加速和产业化落地推动的新模式。高标准规划建设南阳科技城、科创走廊，做强南阳中关村E谷等创新创业中心，创建一批众创空间、孵化器，形成新的动力源。主动融入国家“一带一路”科技创新行动计划，鼓励有实力的研发机构积极参与国际科技合作，提高吸纳全球科技知识的能力。支持南阳高校参与国际科技交流合作，建设国际合作联合实验室。</w:t>
      </w:r>
    </w:p>
    <w:p>
      <w:pPr>
        <w:widowControl/>
        <w:spacing w:line="560" w:lineRule="exact"/>
        <w:ind w:firstLine="612" w:firstLineChars="200"/>
        <w:jc w:val="left"/>
        <w:rPr>
          <w:rFonts w:ascii="仿宋" w:hAnsi="仿宋" w:eastAsia="仿宋" w:cs="仿宋"/>
          <w:kern w:val="0"/>
          <w:lang w:bidi="ar"/>
        </w:rPr>
      </w:pPr>
      <w:r>
        <w:rPr>
          <w:rFonts w:hint="eastAsia" w:ascii="仿宋_GB2312" w:hAnsi="仿宋_GB2312" w:cs="仿宋_GB2312"/>
          <w:spacing w:val="-7"/>
          <w:kern w:val="0"/>
          <w:lang w:eastAsia="zh-Hans" w:bidi="zh-CN"/>
        </w:rPr>
        <w:t>推动</w:t>
      </w:r>
      <w:r>
        <w:rPr>
          <w:rFonts w:hint="eastAsia" w:ascii="仿宋_GB2312" w:hAnsi="仿宋_GB2312" w:cs="仿宋_GB2312"/>
          <w:spacing w:val="-7"/>
          <w:kern w:val="0"/>
          <w:lang w:bidi="zh-CN"/>
        </w:rPr>
        <w:t>教育</w:t>
      </w:r>
      <w:r>
        <w:rPr>
          <w:rFonts w:hint="eastAsia" w:ascii="仿宋_GB2312" w:hAnsi="仿宋_GB2312" w:cs="仿宋_GB2312"/>
          <w:spacing w:val="-7"/>
          <w:kern w:val="0"/>
          <w:lang w:eastAsia="zh-Hans" w:bidi="zh-CN"/>
        </w:rPr>
        <w:t>创新，</w:t>
      </w:r>
      <w:r>
        <w:rPr>
          <w:rFonts w:hint="eastAsia" w:ascii="仿宋_GB2312" w:hAnsi="仿宋_GB2312" w:cs="仿宋_GB2312"/>
          <w:spacing w:val="-7"/>
          <w:kern w:val="0"/>
          <w:lang w:bidi="zh-CN"/>
        </w:rPr>
        <w:t>加快开放合作。</w:t>
      </w:r>
      <w:r>
        <w:rPr>
          <w:rFonts w:hint="eastAsia" w:ascii="仿宋" w:hAnsi="仿宋" w:eastAsia="仿宋" w:cs="仿宋"/>
          <w:kern w:val="0"/>
          <w:lang w:bidi="ar"/>
        </w:rPr>
        <w:t>推动南阳理工学院、南阳师范学院、南阳医专等高校深度参与共建“一带一路”教育行动，拓展合作交流空间。实施中外合作办学提质增效工程，优化区域国别和学科专业布局，建设示范性中外合作办学机构和项目。实施高层次创新人才境外培养工程，培育高水平创新团队，培养学科领军人才和青年学术英才。支持南阳高校参与国际科技交流合作，实施高校学科创新引智计划，鼓励在基础学科、交叉学科等领域开展国际科研合作。</w:t>
      </w:r>
    </w:p>
    <w:p>
      <w:pPr>
        <w:pStyle w:val="25"/>
        <w:spacing w:before="0" w:after="0" w:line="560" w:lineRule="exact"/>
        <w:ind w:firstLine="612" w:firstLineChars="200"/>
        <w:jc w:val="both"/>
        <w:rPr>
          <w:rFonts w:ascii="仿宋_GB2312" w:hAnsi="仿宋_GB2312" w:eastAsia="仿宋_GB2312" w:cs="仿宋_GB2312"/>
          <w:b w:val="0"/>
          <w:spacing w:val="-7"/>
          <w:kern w:val="0"/>
          <w:lang w:bidi="zh-CN"/>
        </w:rPr>
      </w:pPr>
      <w:r>
        <w:rPr>
          <w:rFonts w:hint="eastAsia" w:ascii="仿宋_GB2312" w:hAnsi="仿宋_GB2312" w:eastAsia="仿宋_GB2312" w:cs="仿宋_GB2312"/>
          <w:b w:val="0"/>
          <w:spacing w:val="-7"/>
          <w:kern w:val="0"/>
          <w:lang w:bidi="zh-CN"/>
        </w:rPr>
        <w:t>推动文化旅游交流，打造国际知名的生态文化旅游目的地。</w:t>
      </w:r>
      <w:r>
        <w:rPr>
          <w:rFonts w:hint="eastAsia" w:ascii="仿宋" w:hAnsi="仿宋" w:eastAsia="仿宋" w:cs="仿宋"/>
          <w:b w:val="0"/>
          <w:bCs w:val="0"/>
          <w:kern w:val="0"/>
          <w:lang w:bidi="ar"/>
        </w:rPr>
        <w:t>以两汉文化、“四圣”文化、官德文化、三国文化、红色文化、商埠文化、根亲文化等为抓手，打造文化走出去“南阳名片”，搭建对外文化交流。高水平举办张仲景中医药文化节、南阳玉雕文化节和世界月季博览会。积极申办国际性旅游主题活动和国际精品赛事。优化客源市场结构，提升省外游、境外游比重。实施境外旅游营销计划，面向中东欧、中亚、日韩、东南亚等入境旅游市场，与海外知名旅行商开展多种形式合作，积极宣传展示南阳文旅品牌形象，提升南阳文化旅游国际知名度和影响力。</w:t>
      </w:r>
    </w:p>
    <w:p>
      <w:pPr>
        <w:pStyle w:val="25"/>
        <w:spacing w:before="0" w:after="0" w:line="560" w:lineRule="exact"/>
        <w:ind w:firstLine="612" w:firstLineChars="200"/>
        <w:jc w:val="both"/>
        <w:rPr>
          <w:rFonts w:ascii="仿宋" w:hAnsi="仿宋" w:eastAsia="仿宋" w:cs="仿宋"/>
          <w:b w:val="0"/>
          <w:bCs w:val="0"/>
          <w:kern w:val="0"/>
          <w:lang w:bidi="ar"/>
        </w:rPr>
      </w:pPr>
      <w:r>
        <w:rPr>
          <w:rFonts w:hint="eastAsia" w:ascii="仿宋_GB2312" w:hAnsi="仿宋_GB2312" w:eastAsia="仿宋_GB2312" w:cs="仿宋_GB2312"/>
          <w:b w:val="0"/>
          <w:spacing w:val="-7"/>
          <w:kern w:val="0"/>
          <w:lang w:bidi="zh-CN"/>
        </w:rPr>
        <w:t>着眼医疗卫生事业创新发展</w:t>
      </w:r>
      <w:r>
        <w:rPr>
          <w:rFonts w:hint="eastAsia" w:ascii="仿宋_GB2312" w:hAnsi="仿宋_GB2312" w:eastAsia="仿宋_GB2312" w:cs="仿宋_GB2312"/>
          <w:b w:val="0"/>
          <w:spacing w:val="-7"/>
          <w:kern w:val="0"/>
          <w:lang w:eastAsia="zh-Hans" w:bidi="zh-CN"/>
        </w:rPr>
        <w:t>，</w:t>
      </w:r>
      <w:r>
        <w:rPr>
          <w:rFonts w:hint="eastAsia" w:ascii="仿宋_GB2312" w:hAnsi="仿宋_GB2312" w:eastAsia="仿宋_GB2312" w:cs="仿宋_GB2312"/>
          <w:b w:val="0"/>
          <w:spacing w:val="-7"/>
          <w:kern w:val="0"/>
          <w:lang w:bidi="zh-CN"/>
        </w:rPr>
        <w:t>加强开放合作。</w:t>
      </w:r>
      <w:r>
        <w:rPr>
          <w:rFonts w:hint="eastAsia" w:ascii="仿宋" w:hAnsi="仿宋" w:eastAsia="仿宋" w:cs="仿宋"/>
          <w:b w:val="0"/>
          <w:bCs w:val="0"/>
          <w:kern w:val="0"/>
          <w:lang w:bidi="ar"/>
        </w:rPr>
        <w:t>以南阳国家中医药改革综合试验区建设为载体，推动南阳医疗卫生事业开放发展。办好张仲景医药文化节、仲景论坛，推进南阳中医药国际合作交流，构建具有国际影响力的中医药开放合作平台，打造全球中医圣地。推进张仲景国医大学复建，打造具有国际影响力的一流中医药科研教育高等学府。鼓励社会资本来宛投资设立国际医院、康复中心、养老院等机构。支持互联网医疗发展，探索检查结果、线上处方信息等互认制度，建立健全患者主导的医疗数据共享方式和制度。</w:t>
      </w:r>
      <w:bookmarkStart w:id="1738" w:name="_Toc1816324656"/>
      <w:bookmarkStart w:id="1739" w:name="_Toc9449"/>
    </w:p>
    <w:p>
      <w:pPr>
        <w:pStyle w:val="25"/>
        <w:spacing w:before="0" w:after="0" w:line="560" w:lineRule="exact"/>
        <w:rPr>
          <w:b w:val="0"/>
        </w:rPr>
      </w:pPr>
      <w:r>
        <w:rPr>
          <w:rFonts w:hint="eastAsia" w:ascii="黑体" w:hAnsi="仿宋" w:eastAsia="黑体" w:cs="仿宋"/>
          <w:b w:val="0"/>
          <w:spacing w:val="-10"/>
          <w:kern w:val="0"/>
          <w:lang w:bidi="zh-CN"/>
        </w:rPr>
        <w:t xml:space="preserve">第十一章 </w:t>
      </w:r>
      <w:bookmarkStart w:id="1740" w:name="_Hlk59030756"/>
      <w:r>
        <w:rPr>
          <w:rFonts w:hint="eastAsia" w:ascii="黑体" w:hAnsi="仿宋" w:eastAsia="黑体" w:cs="仿宋"/>
          <w:b w:val="0"/>
          <w:spacing w:val="-10"/>
          <w:kern w:val="0"/>
          <w:lang w:bidi="zh-CN"/>
        </w:rPr>
        <w:t xml:space="preserve"> 打造承接高端产业转移先行区</w:t>
      </w:r>
      <w:bookmarkEnd w:id="1738"/>
      <w:bookmarkEnd w:id="1739"/>
      <w:bookmarkEnd w:id="1740"/>
    </w:p>
    <w:p>
      <w:pPr>
        <w:spacing w:line="560" w:lineRule="exact"/>
        <w:ind w:firstLine="600"/>
      </w:pPr>
      <w:bookmarkStart w:id="1741" w:name="_Hlk59030814"/>
      <w:r>
        <w:rPr>
          <w:rFonts w:hint="eastAsia" w:ascii="仿宋" w:hAnsi="仿宋" w:eastAsia="仿宋" w:cs="仿宋"/>
        </w:rPr>
        <w:t>实施“招商引资招才引智一号工程”，加强“三个一批”项目带动，强化精准招商，创新招商机制，形成多领域、全覆盖、辐射性的招商新局面。</w:t>
      </w:r>
      <w:bookmarkStart w:id="1742" w:name="_Toc9979"/>
    </w:p>
    <w:p>
      <w:pPr>
        <w:pStyle w:val="7"/>
        <w:spacing w:line="560" w:lineRule="exact"/>
        <w:jc w:val="center"/>
        <w:rPr>
          <w:b w:val="0"/>
        </w:rPr>
      </w:pPr>
      <w:bookmarkStart w:id="1743" w:name="_Toc1517531438"/>
      <w:r>
        <w:rPr>
          <w:rFonts w:hint="eastAsia" w:ascii="楷体" w:hAnsi="仿宋" w:eastAsia="楷体" w:cs="仿宋"/>
          <w:b w:val="0"/>
          <w:szCs w:val="32"/>
          <w:lang w:bidi="zh-CN"/>
        </w:rPr>
        <w:t>第一节 加强项目带动</w:t>
      </w:r>
      <w:bookmarkEnd w:id="1742"/>
      <w:bookmarkEnd w:id="1743"/>
    </w:p>
    <w:p>
      <w:pPr>
        <w:spacing w:line="560" w:lineRule="exact"/>
        <w:ind w:firstLine="640"/>
        <w:rPr>
          <w:rFonts w:ascii="仿宋" w:hAnsi="仿宋" w:eastAsia="仿宋" w:cs="仿宋"/>
        </w:rPr>
      </w:pPr>
      <w:r>
        <w:rPr>
          <w:rFonts w:hint="eastAsia" w:ascii="仿宋" w:hAnsi="仿宋" w:eastAsia="仿宋" w:cs="仿宋"/>
        </w:rPr>
        <w:t>坚持“项目为王”，树立“以结果论英雄”的鲜明导向，推动全市上下聚精会神抓项目、促投资、增动能，发挥“三个一批”（签约一批、开工一批、投产一批）项目对南阳开放强市建设的重要支撑作用。</w:t>
      </w:r>
    </w:p>
    <w:p>
      <w:pPr>
        <w:spacing w:line="560" w:lineRule="exact"/>
        <w:ind w:firstLine="640"/>
      </w:pPr>
      <w:r>
        <w:rPr>
          <w:rFonts w:hint="eastAsia" w:ascii="仿宋" w:hAnsi="仿宋" w:eastAsia="仿宋" w:cs="仿宋"/>
        </w:rPr>
        <w:t>瞄准长三角、粤港澳大湾区、京津冀等重点区域，深入开展产业链招商、股权招商、以商招商等，不断提升招商引资的含金量，争取签约落地一批重大项目。要强化要素保障，在开工一批项目上求突破。持续深化“放管服效”改革，全面推行“承诺制+标准地”改革，常态化开展线上线下政银企对接活动，精准落实环保管控要求，在项目审批、土地、资金、环保等方面为项目建设提供最大支持、营造最优环境。要强化跟踪服务，在投产一批项目上见实效。扎实开展“万人助万企”活动，坚持服务跟着项目走，集中解决一批共性问题，逐步化解个性问题，确保项目快竣工、早达产、速见效。力争到2025年，招商引资规模10亿元以上重大基础设施项目不低于30个，5亿元以上的现代服务业项目不低于50个，3亿元的制造业项目不低于50个，2亿元以上社会民生事业项目不低于60个，新基建、数字经济、创新研发平台等科技含量高、创新引领性强的项目不低于70个。</w:t>
      </w:r>
      <w:bookmarkEnd w:id="1741"/>
      <w:bookmarkStart w:id="1744" w:name="_Toc21892"/>
    </w:p>
    <w:p>
      <w:pPr>
        <w:pStyle w:val="7"/>
        <w:spacing w:line="560" w:lineRule="exact"/>
        <w:jc w:val="center"/>
        <w:rPr>
          <w:b w:val="0"/>
        </w:rPr>
      </w:pPr>
      <w:bookmarkStart w:id="1745" w:name="_Toc124667420"/>
      <w:r>
        <w:rPr>
          <w:rFonts w:hint="eastAsia" w:ascii="楷体" w:hAnsi="仿宋" w:eastAsia="楷体" w:cs="仿宋"/>
          <w:b w:val="0"/>
          <w:szCs w:val="32"/>
          <w:lang w:bidi="zh-CN"/>
        </w:rPr>
        <w:t>第二节 强化精准招商</w:t>
      </w:r>
      <w:bookmarkEnd w:id="1744"/>
      <w:bookmarkEnd w:id="1745"/>
    </w:p>
    <w:p>
      <w:pPr>
        <w:spacing w:line="560" w:lineRule="exact"/>
        <w:ind w:firstLine="600"/>
        <w:rPr>
          <w:rFonts w:ascii="仿宋" w:hAnsi="仿宋" w:eastAsia="仿宋" w:cs="仿宋"/>
        </w:rPr>
      </w:pPr>
      <w:bookmarkStart w:id="1746" w:name="_Hlk59030845"/>
      <w:r>
        <w:rPr>
          <w:rFonts w:hint="eastAsia" w:ascii="仿宋" w:hAnsi="仿宋" w:eastAsia="仿宋" w:cs="仿宋"/>
        </w:rPr>
        <w:t>坚持招大引强、招强引优，立足产业延链补链，绘制产业链图谱和产业链招商行动路线图，推动招商引资精准升级。紧扣千百亿产业集群和重大基础设施支撑项目，锁定500强及其关联企业，集中招引落户一批具有支撑性、引领性、带动性的大企业、大集团、大项目。丰富招商引资模式，鼓励开发区（产业园区）招商，用活资本招商，做精节会招商、驻地招商、回归创业、委托招商，探索开展股权招商、“头部企业”招商、核心节点企业招商、产业集群招商、众创孵化招商、“技术团队+资本+项目”招商、云招商，促进产业链延伸、拉长，把区位资源优势转化为经济优势。</w:t>
      </w:r>
    </w:p>
    <w:p>
      <w:pPr>
        <w:spacing w:line="560" w:lineRule="exact"/>
        <w:ind w:firstLine="600"/>
      </w:pPr>
      <w:r>
        <w:rPr>
          <w:rFonts w:hint="eastAsia" w:ascii="仿宋" w:hAnsi="仿宋" w:eastAsia="仿宋" w:cs="仿宋"/>
        </w:rPr>
        <w:t>充分运用信息化手段，整合各类招商资源，积极探索创新招商引资方式，保持招商引资工作连续性。充分发挥南阳跨境电子商务综合试验区、国家级开发区等重要开放平台的承载作用，复制利用河南自贸试验区制度优势和改革红利，立足重点产业定位，吸引跨国公司在区内设立区域总部，鼓励境外金融机构入驻区内。强化招商工作统筹，紧扣各开发区（产业园区）发展定位，开展精准招商，推动差异化、特色化发展，完善产业布局，加快产业项目集聚。</w:t>
      </w:r>
      <w:bookmarkStart w:id="1747" w:name="_Toc9120"/>
    </w:p>
    <w:p>
      <w:pPr>
        <w:pStyle w:val="7"/>
        <w:spacing w:line="560" w:lineRule="exact"/>
        <w:jc w:val="center"/>
        <w:rPr>
          <w:b w:val="0"/>
        </w:rPr>
      </w:pPr>
      <w:r>
        <w:rPr>
          <w:rFonts w:hint="eastAsia" w:ascii="楷体" w:hAnsi="仿宋" w:eastAsia="楷体" w:cs="仿宋"/>
          <w:b w:val="0"/>
          <w:szCs w:val="32"/>
          <w:lang w:bidi="zh-CN"/>
        </w:rPr>
        <w:t xml:space="preserve">第三节 </w:t>
      </w:r>
      <w:bookmarkStart w:id="1748" w:name="_Toc2087109005"/>
      <w:r>
        <w:rPr>
          <w:rFonts w:hint="eastAsia" w:ascii="楷体" w:hAnsi="仿宋" w:eastAsia="楷体" w:cs="仿宋"/>
          <w:b w:val="0"/>
          <w:szCs w:val="32"/>
          <w:lang w:bidi="zh-CN"/>
        </w:rPr>
        <w:t>创新招商机制</w:t>
      </w:r>
      <w:bookmarkEnd w:id="1747"/>
      <w:bookmarkEnd w:id="1748"/>
    </w:p>
    <w:p>
      <w:pPr>
        <w:pStyle w:val="25"/>
        <w:spacing w:before="0" w:after="0" w:line="560" w:lineRule="exact"/>
        <w:ind w:firstLine="612" w:firstLineChars="200"/>
        <w:jc w:val="both"/>
        <w:rPr>
          <w:rFonts w:ascii="仿宋" w:hAnsi="仿宋" w:eastAsia="仿宋" w:cs="仿宋"/>
          <w:b w:val="0"/>
        </w:rPr>
      </w:pPr>
      <w:r>
        <w:rPr>
          <w:rFonts w:hint="eastAsia" w:ascii="仿宋_GB2312" w:hAnsi="仿宋_GB2312" w:eastAsia="仿宋_GB2312" w:cs="仿宋_GB2312"/>
          <w:b w:val="0"/>
          <w:spacing w:val="-7"/>
          <w:kern w:val="0"/>
          <w:lang w:bidi="zh-CN"/>
        </w:rPr>
        <w:t>推动区域合作招商。</w:t>
      </w:r>
      <w:r>
        <w:rPr>
          <w:rFonts w:hint="eastAsia" w:ascii="仿宋" w:hAnsi="仿宋" w:eastAsia="仿宋" w:cs="仿宋"/>
          <w:b w:val="0"/>
          <w:bCs w:val="0"/>
        </w:rPr>
        <w:t>增强开发区产业规划沟通协调机制，以先进制造业开发区、服务业“两区”等为主体合作共建示范产业园区，落实收益分享机制；开展区域性产业合作，组建联合招商联盟、联合采购联盟等。积极承接以京、津、沪、杭、广、深等发达地区产业转移，深化与长三角、珠三角、粤港澳大湾区合作。探索在境外设立工商中心，加强与领军型跨国公司企业及行业领军企业总部交流，促进双向投资贸易合作。</w:t>
      </w:r>
    </w:p>
    <w:p>
      <w:pPr>
        <w:widowControl/>
        <w:spacing w:line="560" w:lineRule="exact"/>
        <w:ind w:firstLine="612" w:firstLineChars="200"/>
        <w:jc w:val="left"/>
        <w:rPr>
          <w:rFonts w:ascii="仿宋" w:hAnsi="仿宋" w:eastAsia="仿宋" w:cs="仿宋"/>
        </w:rPr>
      </w:pPr>
      <w:r>
        <w:rPr>
          <w:rFonts w:hint="eastAsia" w:ascii="仿宋_GB2312" w:hAnsi="仿宋_GB2312" w:cs="仿宋_GB2312"/>
          <w:spacing w:val="-7"/>
          <w:kern w:val="0"/>
          <w:lang w:bidi="zh-CN"/>
        </w:rPr>
        <w:t>创新招商服务与激励政策。</w:t>
      </w:r>
      <w:r>
        <w:rPr>
          <w:rFonts w:hint="eastAsia" w:ascii="仿宋" w:hAnsi="仿宋" w:eastAsia="仿宋" w:cs="仿宋"/>
        </w:rPr>
        <w:t>制定社会化专业招商促进办法，鼓励社会力量开展专业化招商活动，建立“招商局+专业化公司”互为补充的运行模式，实行从招商洽谈到项目落地、从投产运营到后续服务“一条龙”招商服务模式。集成创新招商优惠政策，简化企业入区程序，对入驻企业提供手续代办等一站式服务。推动企业信用信息、投资数据共建共享，促进金融机构精准放贷和科创资源自由流动。落实《南阳市招商引资工作流程》《南阳市加强招商引资十四条措施》《南阳市招商引资考评奖惩办法》《南阳市社会力量招商引资奖励办法》等政策，完善容错免责机制，做好招商引资绩效考评和相关奖励兑现工作。制定招商接待细则，将招商接待与一般公务接待予以区分，适当放宽商务接待标准。</w:t>
      </w:r>
    </w:p>
    <w:p>
      <w:pPr>
        <w:spacing w:line="560" w:lineRule="exact"/>
        <w:ind w:firstLine="600"/>
        <w:rPr>
          <w:rFonts w:ascii="仿宋" w:hAnsi="仿宋" w:eastAsia="仿宋" w:cs="仿宋"/>
        </w:rPr>
      </w:pPr>
      <w:r>
        <w:rPr>
          <w:rFonts w:hint="eastAsia" w:ascii="仿宋_GB2312" w:hAnsi="仿宋_GB2312" w:cs="仿宋_GB2312"/>
          <w:spacing w:val="-7"/>
          <w:kern w:val="0"/>
          <w:lang w:bidi="zh-CN"/>
        </w:rPr>
        <w:t>完善招商协调工作机制。</w:t>
      </w:r>
      <w:r>
        <w:rPr>
          <w:rFonts w:hint="eastAsia" w:ascii="仿宋" w:hAnsi="仿宋" w:eastAsia="仿宋" w:cs="仿宋"/>
        </w:rPr>
        <w:t>着力提高招商统筹协调能力。推动各县（市、区）建立“一把手亲自抓招商、一个联席会议制度、一名专责领导、一个投资促进机构、一支专业化队伍、一张工作清单、一个载体库、一个服务系统”的“8个1”招商引资体制机制。实施市、县两级领导联系重点项目、重点企业直通车机制，协调解决项目落地用地指标、环境评价、配套政策等难题。推广使用全市招商引资项目服务系统平台，对招商项目实施从洽谈到落地、再到开工建设、投产的全过程动态跟踪监控。提高重大项目绿色通道协调能力，做实做好招商引资项目的跟踪服务工作机制。对重点项目成立工作专班，实行定期跟踪服务、督察检查，协调解决项目落地中存在的问题。落实跨县（市、区）招商项目利益分享机制与激励机制，加强工作指导和上下联动，避免内耗和无序竞争，实现“比较优势突出的错位发展，比较优势互补的合作发展，比较优势相近的集约发展”。加强招商队伍建设，做好人员“专职化”配置。</w:t>
      </w:r>
    </w:p>
    <w:p>
      <w:pPr>
        <w:spacing w:line="560" w:lineRule="exact"/>
        <w:rPr>
          <w:rFonts w:ascii="仿宋" w:hAnsi="仿宋" w:eastAsia="仿宋" w:cs="仿宋"/>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7" w:type="dxa"/>
          </w:tcPr>
          <w:p>
            <w:pPr>
              <w:pStyle w:val="25"/>
              <w:spacing w:before="0" w:after="0" w:line="400" w:lineRule="exact"/>
              <w:ind w:firstLine="600"/>
              <w:rPr>
                <w:rFonts w:ascii="仿宋" w:hAnsi="仿宋" w:eastAsia="仿宋" w:cs="仿宋"/>
                <w:b w:val="0"/>
              </w:rPr>
            </w:pPr>
            <w:r>
              <w:rPr>
                <w:rFonts w:hint="eastAsia" w:ascii="黑体" w:hAnsi="仿宋" w:eastAsia="黑体" w:cs="仿宋"/>
                <w:b w:val="0"/>
                <w:kern w:val="0"/>
                <w:sz w:val="28"/>
                <w:szCs w:val="28"/>
                <w:lang w:bidi="zh-CN"/>
              </w:rPr>
              <w:t>专栏</w:t>
            </w:r>
            <w:r>
              <w:rPr>
                <w:rFonts w:hint="eastAsia" w:ascii="黑体" w:hAnsi="仿宋" w:cs="仿宋"/>
                <w:b w:val="0"/>
                <w:kern w:val="0"/>
                <w:sz w:val="28"/>
                <w:szCs w:val="28"/>
                <w:lang w:bidi="zh-CN"/>
              </w:rPr>
              <w:t>7</w:t>
            </w:r>
            <w:r>
              <w:rPr>
                <w:rFonts w:hint="eastAsia" w:ascii="黑体" w:hAnsi="仿宋" w:eastAsia="黑体" w:cs="仿宋"/>
                <w:b w:val="0"/>
                <w:kern w:val="0"/>
                <w:sz w:val="28"/>
                <w:szCs w:val="28"/>
                <w:lang w:bidi="zh-CN"/>
              </w:rPr>
              <w:t>：南阳市招商引资质量提升工程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7" w:type="dxa"/>
          </w:tcPr>
          <w:p>
            <w:pPr>
              <w:spacing w:line="400" w:lineRule="exact"/>
              <w:ind w:firstLine="448" w:firstLineChars="200"/>
              <w:rPr>
                <w:rFonts w:ascii="仿宋" w:hAnsi="仿宋" w:eastAsia="仿宋" w:cs="仿宋"/>
                <w:sz w:val="24"/>
              </w:rPr>
            </w:pPr>
            <w:r>
              <w:rPr>
                <w:rFonts w:hint="eastAsia" w:ascii="楷体" w:hAnsi="楷体" w:eastAsia="楷体" w:cs="仿宋"/>
                <w:spacing w:val="-8"/>
                <w:kern w:val="0"/>
                <w:sz w:val="24"/>
                <w:szCs w:val="22"/>
                <w:lang w:bidi="zh-CN"/>
              </w:rPr>
              <w:t>1.深化京宛对口协作。</w:t>
            </w:r>
            <w:r>
              <w:rPr>
                <w:rFonts w:hint="eastAsia" w:ascii="仿宋" w:hAnsi="仿宋" w:eastAsia="仿宋" w:cs="仿宋"/>
                <w:sz w:val="24"/>
                <w:szCs w:val="24"/>
              </w:rPr>
              <w:t>精准对接北京非首都功能疏解，积极承接北京产业转移。加强交流对接，推动与中关村、首创、北控等驻京企业合作项目建设。建立完善“共塑市场、互送客源、同步宣传”旅游合作机制，打造南水北调精品旅游线路，建成北京市民旅游目的地。积极对接北京教育、科技资源，争取在宛设立分校和科技孵化园，打造北京科技成果南阳转化基地。结合乡村振兴战略，实施京宛对口协作援助项目。</w:t>
            </w:r>
          </w:p>
          <w:p>
            <w:pPr>
              <w:spacing w:line="400" w:lineRule="exact"/>
              <w:ind w:firstLine="448" w:firstLineChars="200"/>
              <w:rPr>
                <w:rFonts w:ascii="仿宋" w:hAnsi="仿宋" w:eastAsia="仿宋" w:cs="仿宋"/>
                <w:sz w:val="24"/>
              </w:rPr>
            </w:pPr>
            <w:r>
              <w:rPr>
                <w:rFonts w:hint="eastAsia" w:ascii="楷体" w:hAnsi="楷体" w:eastAsia="楷体" w:cs="仿宋"/>
                <w:spacing w:val="-8"/>
                <w:kern w:val="0"/>
                <w:sz w:val="24"/>
                <w:szCs w:val="22"/>
                <w:lang w:bidi="zh-CN"/>
              </w:rPr>
              <w:t>2.完善产业招商准入制度。</w:t>
            </w:r>
            <w:r>
              <w:rPr>
                <w:rFonts w:hint="eastAsia" w:ascii="仿宋" w:hAnsi="仿宋" w:eastAsia="仿宋" w:cs="仿宋"/>
                <w:sz w:val="24"/>
                <w:szCs w:val="24"/>
              </w:rPr>
              <w:t>以新一轮科技革命和产业变革为契机，以产业优化升级为目标，以先进制造业开发区、重点产业园区为载体，以世界500强为重点招商对象，实施“负面清单+正向激励清单”相结合的招商准入制度，重大招商引资项目签订合同（协议）之前引进事前评估机制，未经评估委员会评估或评估未通过的招商引资项目，不得准入。瞄准发达国家或地区引资引技引智，强化精准招商。引导更多外资投向高端装备、新一代信息技术、新材料、新能源汽车及零部件、生物等产业，以及智能制造、智慧城市等“新基建”产业链项目。</w:t>
            </w:r>
          </w:p>
          <w:p>
            <w:pPr>
              <w:spacing w:line="400" w:lineRule="exact"/>
              <w:ind w:firstLine="448" w:firstLineChars="200"/>
              <w:rPr>
                <w:rFonts w:ascii="仿宋" w:hAnsi="仿宋" w:eastAsia="仿宋" w:cs="仿宋"/>
                <w:sz w:val="24"/>
              </w:rPr>
            </w:pPr>
            <w:r>
              <w:rPr>
                <w:rFonts w:hint="eastAsia" w:ascii="楷体" w:hAnsi="楷体" w:eastAsia="楷体" w:cs="仿宋"/>
                <w:spacing w:val="-8"/>
                <w:kern w:val="0"/>
                <w:sz w:val="24"/>
                <w:szCs w:val="22"/>
                <w:lang w:bidi="zh-CN"/>
              </w:rPr>
              <w:t>3.建立招商项目质量评估体系。</w:t>
            </w:r>
            <w:r>
              <w:rPr>
                <w:rFonts w:hint="eastAsia" w:ascii="仿宋" w:hAnsi="仿宋" w:eastAsia="仿宋" w:cs="仿宋"/>
                <w:sz w:val="24"/>
                <w:szCs w:val="24"/>
              </w:rPr>
              <w:t>重点从投资方（500强、跨国公司、央企、行业龙头、成长性强企业、创新型企业、上市公司）、投资强度、建设情况（开工快、建设快、投产快）、项目效益（产出与营收、税收贡献、产业带动、节能环保、科创、品牌）等方面形成一套标准化的评估体系，对项目引进进行科学评判。</w:t>
            </w:r>
          </w:p>
          <w:p>
            <w:pPr>
              <w:spacing w:line="400" w:lineRule="exact"/>
              <w:ind w:firstLine="448" w:firstLineChars="200"/>
              <w:rPr>
                <w:rFonts w:ascii="仿宋" w:hAnsi="仿宋" w:eastAsia="仿宋" w:cs="仿宋"/>
              </w:rPr>
            </w:pPr>
            <w:r>
              <w:rPr>
                <w:rFonts w:hint="eastAsia" w:ascii="楷体" w:hAnsi="楷体" w:eastAsia="楷体" w:cs="仿宋"/>
                <w:spacing w:val="-8"/>
                <w:kern w:val="0"/>
                <w:sz w:val="24"/>
                <w:szCs w:val="22"/>
                <w:lang w:bidi="zh-CN"/>
              </w:rPr>
              <w:t>4.聚焦引入优质大型龙头项目。</w:t>
            </w:r>
            <w:r>
              <w:rPr>
                <w:rFonts w:hint="eastAsia" w:ascii="仿宋" w:hAnsi="仿宋" w:eastAsia="仿宋" w:cs="仿宋"/>
                <w:sz w:val="24"/>
                <w:szCs w:val="24"/>
              </w:rPr>
              <w:t>实施产业链招商、以商引商、以会招商、委托招商等多种模式招商，尤其要抓好产业龙头项目的引进，谋求招商引资质量的重大突破。</w:t>
            </w:r>
          </w:p>
        </w:tc>
      </w:tr>
      <w:bookmarkEnd w:id="1746"/>
    </w:tbl>
    <w:p>
      <w:pPr>
        <w:pStyle w:val="6"/>
        <w:spacing w:line="560" w:lineRule="exact"/>
        <w:ind w:firstLine="0" w:firstLineChars="0"/>
        <w:jc w:val="center"/>
        <w:rPr>
          <w:rFonts w:ascii="仿宋" w:hAnsi="仿宋" w:eastAsia="仿宋" w:cs="仿宋"/>
          <w:szCs w:val="32"/>
        </w:rPr>
      </w:pPr>
      <w:bookmarkStart w:id="1749" w:name="_Toc1192346069"/>
      <w:bookmarkStart w:id="1750" w:name="_Toc1108"/>
      <w:bookmarkStart w:id="1751" w:name="_Toc1482"/>
      <w:r>
        <w:rPr>
          <w:rFonts w:hint="eastAsia" w:ascii="黑体" w:hAnsi="仿宋" w:cs="仿宋"/>
          <w:spacing w:val="-10"/>
          <w:kern w:val="0"/>
          <w:szCs w:val="32"/>
          <w:lang w:bidi="zh-CN"/>
        </w:rPr>
        <w:t>第十二章 保障措施</w:t>
      </w:r>
      <w:bookmarkEnd w:id="1749"/>
      <w:bookmarkEnd w:id="1750"/>
      <w:bookmarkEnd w:id="1751"/>
    </w:p>
    <w:p>
      <w:pPr>
        <w:pStyle w:val="7"/>
        <w:spacing w:line="560" w:lineRule="exact"/>
        <w:jc w:val="center"/>
        <w:rPr>
          <w:b w:val="0"/>
        </w:rPr>
      </w:pPr>
      <w:bookmarkStart w:id="1752" w:name="_Toc1594736464"/>
      <w:bookmarkStart w:id="1753" w:name="_Toc14481"/>
      <w:r>
        <w:rPr>
          <w:rFonts w:hint="eastAsia" w:ascii="楷体" w:hAnsi="仿宋" w:eastAsia="楷体" w:cs="仿宋"/>
          <w:b w:val="0"/>
          <w:szCs w:val="32"/>
          <w:lang w:bidi="zh-CN"/>
        </w:rPr>
        <w:t>第一节 加强组织实施</w:t>
      </w:r>
      <w:bookmarkEnd w:id="1752"/>
      <w:bookmarkEnd w:id="1753"/>
    </w:p>
    <w:p>
      <w:pPr>
        <w:widowControl/>
        <w:spacing w:line="560" w:lineRule="exact"/>
        <w:ind w:firstLine="640" w:firstLineChars="200"/>
        <w:jc w:val="left"/>
      </w:pPr>
      <w:r>
        <w:rPr>
          <w:rFonts w:hint="eastAsia" w:ascii="仿宋" w:hAnsi="仿宋" w:eastAsia="仿宋" w:cs="仿宋"/>
          <w:kern w:val="0"/>
          <w:lang w:bidi="ar"/>
        </w:rPr>
        <w:t>加强对开放型经济发展工作的组织领导，按照统一领导、科学分工、协同推进的原则，建立市直有关部门信息共享机制与协同联动机制，形成贯彻落实规划的部门合力。建立规划执行机制，做好规划有序衔接，科学分解目标任务，合理采取推进措施；加大舆论宣传，引导市场主体转变观念，提高认识，形成全员共同参与推进规划落实的社会合力。</w:t>
      </w:r>
      <w:bookmarkStart w:id="1754" w:name="_Toc12923"/>
    </w:p>
    <w:p>
      <w:pPr>
        <w:pStyle w:val="7"/>
        <w:spacing w:line="560" w:lineRule="exact"/>
        <w:jc w:val="center"/>
        <w:rPr>
          <w:b w:val="0"/>
        </w:rPr>
      </w:pPr>
      <w:bookmarkStart w:id="1755" w:name="_Toc1972081753"/>
      <w:r>
        <w:rPr>
          <w:rFonts w:hint="eastAsia" w:ascii="楷体" w:hAnsi="仿宋" w:eastAsia="楷体" w:cs="仿宋"/>
          <w:b w:val="0"/>
          <w:szCs w:val="32"/>
          <w:lang w:bidi="zh-CN"/>
        </w:rPr>
        <w:t>第二节 强化政策</w:t>
      </w:r>
      <w:bookmarkEnd w:id="1754"/>
      <w:r>
        <w:rPr>
          <w:rFonts w:hint="eastAsia" w:ascii="楷体" w:hAnsi="仿宋" w:eastAsia="楷体" w:cs="仿宋"/>
          <w:b w:val="0"/>
          <w:szCs w:val="32"/>
          <w:lang w:bidi="zh-CN"/>
        </w:rPr>
        <w:t>支持</w:t>
      </w:r>
      <w:bookmarkEnd w:id="1755"/>
    </w:p>
    <w:p>
      <w:pPr>
        <w:widowControl/>
        <w:spacing w:line="560" w:lineRule="exact"/>
        <w:ind w:firstLine="640" w:firstLineChars="200"/>
        <w:jc w:val="left"/>
      </w:pPr>
      <w:r>
        <w:rPr>
          <w:rFonts w:hint="eastAsia" w:ascii="仿宋" w:hAnsi="仿宋" w:eastAsia="仿宋" w:cs="仿宋"/>
          <w:kern w:val="0"/>
          <w:lang w:bidi="ar"/>
        </w:rPr>
        <w:t>用好国家改革政策，用足省市支持政策，用实部门帮扶政策，用活各项便利措施，强化政策集成、制度协同和部门联动。重点从财政税收、金融保险、专项扶持资金等有关政策制度、资源、条件等方面加强保障力度。加强招商引资和对外经贸政策的梳理、修订和汇编工作，加大宣传和推介力度，帮助企业用好、用足政策，发挥政策在招商引资中的经济杠杆作用。</w:t>
      </w:r>
    </w:p>
    <w:p>
      <w:pPr>
        <w:pStyle w:val="7"/>
        <w:keepNext w:val="0"/>
        <w:keepLines w:val="0"/>
        <w:widowControl/>
        <w:spacing w:line="560" w:lineRule="exact"/>
        <w:jc w:val="center"/>
        <w:rPr>
          <w:b w:val="0"/>
        </w:rPr>
      </w:pPr>
      <w:bookmarkStart w:id="1756" w:name="_Toc1640945089"/>
      <w:bookmarkStart w:id="1757" w:name="_Toc29646"/>
      <w:bookmarkStart w:id="1758" w:name="_Toc6676"/>
      <w:r>
        <w:rPr>
          <w:rFonts w:hint="eastAsia" w:ascii="楷体" w:hAnsi="仿宋" w:eastAsia="楷体" w:cs="仿宋"/>
          <w:b w:val="0"/>
          <w:szCs w:val="32"/>
          <w:lang w:bidi="zh-CN"/>
        </w:rPr>
        <w:t>第三节 优化金融服务</w:t>
      </w:r>
      <w:bookmarkEnd w:id="1756"/>
    </w:p>
    <w:p>
      <w:pPr>
        <w:spacing w:line="560" w:lineRule="exact"/>
        <w:ind w:firstLine="640" w:firstLineChars="200"/>
      </w:pPr>
      <w:r>
        <w:rPr>
          <w:rFonts w:hint="eastAsia" w:ascii="仿宋" w:hAnsi="仿宋" w:eastAsia="仿宋" w:cs="仿宋"/>
          <w:lang w:bidi="ar"/>
        </w:rPr>
        <w:t>积极畅通外贸企业融资渠道，引导金融机构加大对外贸企业融资服务力度，支持开展出口退税融资、出口信保融资、出口订单质押融资等外贸进出口项下融资服务，助力企业进一步扩大出口业务。设立南阳市开放型经济发展专项资金，对作出重要贡献的开放型经济企业依法依规予以资金奖励支持。</w:t>
      </w:r>
      <w:bookmarkEnd w:id="1757"/>
      <w:bookmarkStart w:id="1759" w:name="_Toc2516"/>
    </w:p>
    <w:p>
      <w:pPr>
        <w:pStyle w:val="7"/>
        <w:spacing w:line="560" w:lineRule="exact"/>
        <w:jc w:val="center"/>
        <w:rPr>
          <w:b w:val="0"/>
        </w:rPr>
      </w:pPr>
      <w:bookmarkStart w:id="1760" w:name="_Toc1095083866"/>
      <w:r>
        <w:rPr>
          <w:rFonts w:hint="eastAsia" w:ascii="楷体" w:hAnsi="仿宋" w:eastAsia="楷体" w:cs="仿宋"/>
          <w:b w:val="0"/>
          <w:szCs w:val="32"/>
          <w:lang w:bidi="zh-CN"/>
        </w:rPr>
        <w:t>第四节 注重监测考核</w:t>
      </w:r>
      <w:bookmarkEnd w:id="1758"/>
      <w:bookmarkEnd w:id="1759"/>
      <w:bookmarkEnd w:id="1760"/>
    </w:p>
    <w:p>
      <w:pPr>
        <w:spacing w:line="560" w:lineRule="exact"/>
        <w:ind w:firstLine="640"/>
        <w:rPr>
          <w:rFonts w:ascii="仿宋" w:hAnsi="仿宋" w:eastAsia="仿宋" w:cs="仿宋"/>
        </w:rPr>
      </w:pPr>
      <w:r>
        <w:rPr>
          <w:rFonts w:hint="eastAsia" w:ascii="仿宋" w:hAnsi="仿宋" w:eastAsia="仿宋" w:cs="仿宋"/>
        </w:rPr>
        <w:t>以保障全市开放型经济有效运行为目标，进一步健全运行监测工作机制，建立和完善全市项目数据库动态管理制度，加强对招商引资、对外贸易、对外经济合作的运行监测，全面掌握全市开放型经济运行情况，促进对外经济技术合作有序开展。探索建立全面反映开放型经济发展状态的综合性考核指标体系，完善考核激励机制，将利用外资、利用省外资金、项目落地、外贸进出口等指标进行综合考量，充分调动县（市、区）和部门的积极性，督促全市各级各部门共同为全市开放型经济发展做好服务，推动开放型经济健康快速发展。</w:t>
      </w:r>
    </w:p>
    <w:p/>
    <w:p>
      <w:pPr>
        <w:pStyle w:val="51"/>
        <w:overflowPunct w:val="0"/>
        <w:spacing w:line="600" w:lineRule="exact"/>
        <w:ind w:firstLine="640"/>
        <w:rPr>
          <w:sz w:val="32"/>
          <w:szCs w:val="32"/>
        </w:rPr>
      </w:pPr>
    </w:p>
    <w:p/>
    <w:sectPr>
      <w:footerReference r:id="rId5" w:type="default"/>
      <w:footerReference r:id="rId6" w:type="even"/>
      <w:pgSz w:w="11906" w:h="16838"/>
      <w:pgMar w:top="1440" w:right="1486" w:bottom="1440"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Times New Roman Regular">
    <w:altName w:val="Times New Roman"/>
    <w:panose1 w:val="00000000000000000000"/>
    <w:charset w:val="00"/>
    <w:family w:val="auto"/>
    <w:pitch w:val="default"/>
    <w:sig w:usb0="00000000" w:usb1="00000000" w:usb2="00000000"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eiryo">
    <w:altName w:val="Yu Gothic UI"/>
    <w:panose1 w:val="020B0604030504040204"/>
    <w:charset w:val="80"/>
    <w:family w:val="swiss"/>
    <w:pitch w:val="default"/>
    <w:sig w:usb0="00000000" w:usb1="00000000" w:usb2="00010012" w:usb3="00000000" w:csb0="0002009F" w:csb1="0000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71</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71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2094311630"/>
    </w:sdtPr>
    <w:sdtEndPr>
      <w:rPr>
        <w:sz w:val="24"/>
        <w:szCs w:val="24"/>
      </w:rPr>
    </w:sdtEndPr>
    <w:sdtContent>
      <w:p>
        <w:pPr>
          <w:pStyle w:val="18"/>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72</w:t>
        </w:r>
        <w:r>
          <w:rPr>
            <w:sz w:val="24"/>
            <w:szCs w:val="24"/>
          </w:rPr>
          <w:fldChar w:fldCharType="end"/>
        </w:r>
      </w:p>
    </w:sdtContent>
  </w:sdt>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826142"/>
    </w:sdtPr>
    <w:sdtContent>
      <w:p>
        <w:pPr>
          <w:pStyle w:val="18"/>
          <w:jc w:val="center"/>
        </w:pPr>
        <w:r>
          <w:fldChar w:fldCharType="begin"/>
        </w:r>
        <w:r>
          <w:instrText xml:space="preserve">PAGE   \* MERGEFORMAT</w:instrText>
        </w:r>
        <w:r>
          <w:fldChar w:fldCharType="separate"/>
        </w:r>
        <w:r>
          <w:rPr>
            <w:lang w:val="zh-CN"/>
          </w:rPr>
          <w:t>585</w:t>
        </w:r>
        <w:r>
          <w:fldChar w:fldCharType="end"/>
        </w:r>
      </w:p>
    </w:sdtContent>
  </w:sdt>
  <w:p>
    <w:pPr>
      <w:rPr>
        <w:rFonts w:ascii="仿宋_GB2312"/>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6905481"/>
    </w:sdtPr>
    <w:sdtContent>
      <w:p>
        <w:pPr>
          <w:pStyle w:val="18"/>
          <w:jc w:val="center"/>
        </w:pPr>
        <w:r>
          <w:fldChar w:fldCharType="begin"/>
        </w:r>
        <w:r>
          <w:instrText xml:space="preserve">PAGE   \* MERGEFORMAT</w:instrText>
        </w:r>
        <w:r>
          <w:fldChar w:fldCharType="separate"/>
        </w:r>
        <w:r>
          <w:rPr>
            <w:lang w:val="zh-CN"/>
          </w:rPr>
          <w:t>586</w:t>
        </w:r>
        <w:r>
          <w:fldChar w:fldCharType="end"/>
        </w:r>
      </w:p>
    </w:sdtContent>
  </w:sdt>
  <w:p>
    <w:pPr>
      <w:rPr>
        <w:rFonts w:ascii="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B57FB"/>
    <w:multiLevelType w:val="singleLevel"/>
    <w:tmpl w:val="A5DB57FB"/>
    <w:lvl w:ilvl="0" w:tentative="0">
      <w:start w:val="5"/>
      <w:numFmt w:val="chineseCounting"/>
      <w:suff w:val="space"/>
      <w:lvlText w:val="第%1章"/>
      <w:lvlJc w:val="left"/>
      <w:rPr>
        <w:rFonts w:hint="eastAsia"/>
      </w:rPr>
    </w:lvl>
  </w:abstractNum>
  <w:abstractNum w:abstractNumId="1">
    <w:nsid w:val="DEE625FA"/>
    <w:multiLevelType w:val="singleLevel"/>
    <w:tmpl w:val="DEE625FA"/>
    <w:lvl w:ilvl="0" w:tentative="0">
      <w:start w:val="1"/>
      <w:numFmt w:val="chineseCounting"/>
      <w:suff w:val="space"/>
      <w:lvlText w:val="第%1章"/>
      <w:lvlJc w:val="left"/>
      <w:rPr>
        <w:rFonts w:hint="eastAsia"/>
      </w:rPr>
    </w:lvl>
  </w:abstractNum>
  <w:abstractNum w:abstractNumId="2">
    <w:nsid w:val="E6A9FAA2"/>
    <w:multiLevelType w:val="singleLevel"/>
    <w:tmpl w:val="E6A9FAA2"/>
    <w:lvl w:ilvl="0" w:tentative="0">
      <w:start w:val="1"/>
      <w:numFmt w:val="chineseCounting"/>
      <w:suff w:val="space"/>
      <w:lvlText w:val="第%1章"/>
      <w:lvlJc w:val="left"/>
      <w:rPr>
        <w:rFonts w:hint="eastAsia"/>
      </w:rPr>
    </w:lvl>
  </w:abstractNum>
  <w:abstractNum w:abstractNumId="3">
    <w:nsid w:val="EE8B4FD8"/>
    <w:multiLevelType w:val="singleLevel"/>
    <w:tmpl w:val="EE8B4FD8"/>
    <w:lvl w:ilvl="0" w:tentative="0">
      <w:start w:val="3"/>
      <w:numFmt w:val="chineseCounting"/>
      <w:suff w:val="space"/>
      <w:lvlText w:val="第%1章"/>
      <w:lvlJc w:val="left"/>
      <w:rPr>
        <w:rFonts w:hint="eastAsia"/>
      </w:rPr>
    </w:lvl>
  </w:abstractNum>
  <w:abstractNum w:abstractNumId="4">
    <w:nsid w:val="EF2E8F16"/>
    <w:multiLevelType w:val="singleLevel"/>
    <w:tmpl w:val="EF2E8F16"/>
    <w:lvl w:ilvl="0" w:tentative="0">
      <w:start w:val="2"/>
      <w:numFmt w:val="chineseCounting"/>
      <w:suff w:val="space"/>
      <w:lvlText w:val="第%1章"/>
      <w:lvlJc w:val="left"/>
      <w:rPr>
        <w:rFonts w:hint="eastAsia"/>
      </w:rPr>
    </w:lvl>
  </w:abstractNum>
  <w:abstractNum w:abstractNumId="5">
    <w:nsid w:val="F1F18A54"/>
    <w:multiLevelType w:val="singleLevel"/>
    <w:tmpl w:val="F1F18A54"/>
    <w:lvl w:ilvl="0" w:tentative="0">
      <w:start w:val="3"/>
      <w:numFmt w:val="chineseCounting"/>
      <w:suff w:val="space"/>
      <w:lvlText w:val="第%1章"/>
      <w:lvlJc w:val="left"/>
      <w:rPr>
        <w:rFonts w:hint="eastAsia"/>
      </w:rPr>
    </w:lvl>
  </w:abstractNum>
  <w:abstractNum w:abstractNumId="6">
    <w:nsid w:val="F1F92A33"/>
    <w:multiLevelType w:val="singleLevel"/>
    <w:tmpl w:val="F1F92A33"/>
    <w:lvl w:ilvl="0" w:tentative="0">
      <w:start w:val="2"/>
      <w:numFmt w:val="chineseCounting"/>
      <w:suff w:val="space"/>
      <w:lvlText w:val="第%1节"/>
      <w:lvlJc w:val="left"/>
      <w:rPr>
        <w:rFonts w:hint="eastAsia"/>
      </w:rPr>
    </w:lvl>
  </w:abstractNum>
  <w:abstractNum w:abstractNumId="7">
    <w:nsid w:val="F3BF004D"/>
    <w:multiLevelType w:val="singleLevel"/>
    <w:tmpl w:val="F3BF004D"/>
    <w:lvl w:ilvl="0" w:tentative="0">
      <w:start w:val="6"/>
      <w:numFmt w:val="chineseCounting"/>
      <w:suff w:val="space"/>
      <w:lvlText w:val="第%1章"/>
      <w:lvlJc w:val="left"/>
      <w:rPr>
        <w:rFonts w:hint="eastAsia"/>
      </w:rPr>
    </w:lvl>
  </w:abstractNum>
  <w:abstractNum w:abstractNumId="8">
    <w:nsid w:val="FFF6C216"/>
    <w:multiLevelType w:val="singleLevel"/>
    <w:tmpl w:val="FFF6C216"/>
    <w:lvl w:ilvl="0" w:tentative="0">
      <w:start w:val="2"/>
      <w:numFmt w:val="chineseCounting"/>
      <w:suff w:val="space"/>
      <w:lvlText w:val="第%1节"/>
      <w:lvlJc w:val="left"/>
      <w:rPr>
        <w:rFonts w:hint="eastAsia"/>
      </w:rPr>
    </w:lvl>
  </w:abstractNum>
  <w:abstractNum w:abstractNumId="9">
    <w:nsid w:val="213AF207"/>
    <w:multiLevelType w:val="singleLevel"/>
    <w:tmpl w:val="213AF207"/>
    <w:lvl w:ilvl="0" w:tentative="0">
      <w:start w:val="2"/>
      <w:numFmt w:val="chineseCounting"/>
      <w:suff w:val="space"/>
      <w:lvlText w:val="第%1节"/>
      <w:lvlJc w:val="left"/>
      <w:rPr>
        <w:rFonts w:hint="eastAsia" w:ascii="楷体" w:hAnsi="楷体" w:eastAsia="楷体" w:cs="楷体"/>
        <w:b/>
        <w:bCs/>
        <w:sz w:val="32"/>
        <w:szCs w:val="32"/>
      </w:rPr>
    </w:lvl>
  </w:abstractNum>
  <w:abstractNum w:abstractNumId="10">
    <w:nsid w:val="24F11697"/>
    <w:multiLevelType w:val="singleLevel"/>
    <w:tmpl w:val="24F11697"/>
    <w:lvl w:ilvl="0" w:tentative="0">
      <w:start w:val="1"/>
      <w:numFmt w:val="chineseCounting"/>
      <w:suff w:val="space"/>
      <w:lvlText w:val="第%1章"/>
      <w:lvlJc w:val="left"/>
      <w:rPr>
        <w:rFonts w:hint="eastAsia"/>
      </w:rPr>
    </w:lvl>
  </w:abstractNum>
  <w:abstractNum w:abstractNumId="11">
    <w:nsid w:val="35FA10D1"/>
    <w:multiLevelType w:val="singleLevel"/>
    <w:tmpl w:val="35FA10D1"/>
    <w:lvl w:ilvl="0" w:tentative="0">
      <w:start w:val="2"/>
      <w:numFmt w:val="chineseCounting"/>
      <w:suff w:val="space"/>
      <w:lvlText w:val="第%1节"/>
      <w:lvlJc w:val="left"/>
      <w:rPr>
        <w:rFonts w:hint="eastAsia"/>
      </w:rPr>
    </w:lvl>
  </w:abstractNum>
  <w:abstractNum w:abstractNumId="12">
    <w:nsid w:val="5A68AA0C"/>
    <w:multiLevelType w:val="singleLevel"/>
    <w:tmpl w:val="5A68AA0C"/>
    <w:lvl w:ilvl="0" w:tentative="0">
      <w:start w:val="2"/>
      <w:numFmt w:val="chineseCounting"/>
      <w:suff w:val="space"/>
      <w:lvlText w:val="第%1节"/>
      <w:lvlJc w:val="left"/>
      <w:rPr>
        <w:rFonts w:hint="eastAsia"/>
      </w:rPr>
    </w:lvl>
  </w:abstractNum>
  <w:num w:numId="1">
    <w:abstractNumId w:val="1"/>
  </w:num>
  <w:num w:numId="2">
    <w:abstractNumId w:val="4"/>
  </w:num>
  <w:num w:numId="3">
    <w:abstractNumId w:val="3"/>
  </w:num>
  <w:num w:numId="4">
    <w:abstractNumId w:val="6"/>
  </w:num>
  <w:num w:numId="5">
    <w:abstractNumId w:val="7"/>
  </w:num>
  <w:num w:numId="6">
    <w:abstractNumId w:val="11"/>
  </w:num>
  <w:num w:numId="7">
    <w:abstractNumId w:val="8"/>
  </w:num>
  <w:num w:numId="8">
    <w:abstractNumId w:val="2"/>
  </w:num>
  <w:num w:numId="9">
    <w:abstractNumId w:val="12"/>
  </w:num>
  <w:num w:numId="10">
    <w:abstractNumId w:val="5"/>
  </w:num>
  <w:num w:numId="11">
    <w:abstractNumId w:val="0"/>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641"/>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AwNzdiNjI2NDg5MTBhYzBjNWI4ODBjZjc4ZTMifQ=="/>
  </w:docVars>
  <w:rsids>
    <w:rsidRoot w:val="00A95B62"/>
    <w:rsid w:val="0003547A"/>
    <w:rsid w:val="0004143D"/>
    <w:rsid w:val="00055BE4"/>
    <w:rsid w:val="00060D83"/>
    <w:rsid w:val="00073D25"/>
    <w:rsid w:val="0009365D"/>
    <w:rsid w:val="00094C18"/>
    <w:rsid w:val="00096FCD"/>
    <w:rsid w:val="000B20A8"/>
    <w:rsid w:val="000B3AA6"/>
    <w:rsid w:val="000F10B1"/>
    <w:rsid w:val="000F472A"/>
    <w:rsid w:val="001020D0"/>
    <w:rsid w:val="00133042"/>
    <w:rsid w:val="001442AF"/>
    <w:rsid w:val="0015410A"/>
    <w:rsid w:val="00156434"/>
    <w:rsid w:val="001814A8"/>
    <w:rsid w:val="00182F5B"/>
    <w:rsid w:val="001948CD"/>
    <w:rsid w:val="00194BBE"/>
    <w:rsid w:val="001B1E04"/>
    <w:rsid w:val="001F32BF"/>
    <w:rsid w:val="001F7A8B"/>
    <w:rsid w:val="0020021B"/>
    <w:rsid w:val="00200F2C"/>
    <w:rsid w:val="00202982"/>
    <w:rsid w:val="00217107"/>
    <w:rsid w:val="00221A8E"/>
    <w:rsid w:val="00221CC3"/>
    <w:rsid w:val="00227D7F"/>
    <w:rsid w:val="002317C6"/>
    <w:rsid w:val="002335C0"/>
    <w:rsid w:val="0023577B"/>
    <w:rsid w:val="0025187E"/>
    <w:rsid w:val="002C2FAD"/>
    <w:rsid w:val="002C5864"/>
    <w:rsid w:val="003240F1"/>
    <w:rsid w:val="003308CA"/>
    <w:rsid w:val="00381DFB"/>
    <w:rsid w:val="003B283F"/>
    <w:rsid w:val="003D73C5"/>
    <w:rsid w:val="00427B05"/>
    <w:rsid w:val="00432ECC"/>
    <w:rsid w:val="004355A1"/>
    <w:rsid w:val="00436074"/>
    <w:rsid w:val="00454C72"/>
    <w:rsid w:val="00473AC7"/>
    <w:rsid w:val="00481306"/>
    <w:rsid w:val="004A108F"/>
    <w:rsid w:val="004E159F"/>
    <w:rsid w:val="004E3DBA"/>
    <w:rsid w:val="005409B5"/>
    <w:rsid w:val="00542A58"/>
    <w:rsid w:val="00544F34"/>
    <w:rsid w:val="00557E78"/>
    <w:rsid w:val="00560684"/>
    <w:rsid w:val="00575732"/>
    <w:rsid w:val="00575BA6"/>
    <w:rsid w:val="00580850"/>
    <w:rsid w:val="0058141B"/>
    <w:rsid w:val="005850D3"/>
    <w:rsid w:val="00585A14"/>
    <w:rsid w:val="005D45CE"/>
    <w:rsid w:val="005E50A8"/>
    <w:rsid w:val="00631791"/>
    <w:rsid w:val="006410BA"/>
    <w:rsid w:val="00655B7C"/>
    <w:rsid w:val="006710F1"/>
    <w:rsid w:val="006755C8"/>
    <w:rsid w:val="006765DD"/>
    <w:rsid w:val="00687C39"/>
    <w:rsid w:val="006921DC"/>
    <w:rsid w:val="006B3567"/>
    <w:rsid w:val="006B5F64"/>
    <w:rsid w:val="006D68FE"/>
    <w:rsid w:val="006E3982"/>
    <w:rsid w:val="006F5D49"/>
    <w:rsid w:val="006F6611"/>
    <w:rsid w:val="00732988"/>
    <w:rsid w:val="007505E5"/>
    <w:rsid w:val="007507B9"/>
    <w:rsid w:val="00765323"/>
    <w:rsid w:val="00773AE9"/>
    <w:rsid w:val="00790519"/>
    <w:rsid w:val="007965F1"/>
    <w:rsid w:val="007E2249"/>
    <w:rsid w:val="007F12FC"/>
    <w:rsid w:val="007F70A3"/>
    <w:rsid w:val="00825C22"/>
    <w:rsid w:val="00826556"/>
    <w:rsid w:val="008350D8"/>
    <w:rsid w:val="0085596E"/>
    <w:rsid w:val="008659F8"/>
    <w:rsid w:val="008674F0"/>
    <w:rsid w:val="00875504"/>
    <w:rsid w:val="00875CA4"/>
    <w:rsid w:val="00884840"/>
    <w:rsid w:val="008B0CC3"/>
    <w:rsid w:val="008C0B77"/>
    <w:rsid w:val="008F1E37"/>
    <w:rsid w:val="0091455C"/>
    <w:rsid w:val="00920A17"/>
    <w:rsid w:val="009531AC"/>
    <w:rsid w:val="00972302"/>
    <w:rsid w:val="00977003"/>
    <w:rsid w:val="009A2933"/>
    <w:rsid w:val="00A41E14"/>
    <w:rsid w:val="00A45864"/>
    <w:rsid w:val="00A6311C"/>
    <w:rsid w:val="00A64172"/>
    <w:rsid w:val="00A763E5"/>
    <w:rsid w:val="00A934A7"/>
    <w:rsid w:val="00A95B62"/>
    <w:rsid w:val="00AA28E7"/>
    <w:rsid w:val="00AB535D"/>
    <w:rsid w:val="00AC63A6"/>
    <w:rsid w:val="00AD0D1F"/>
    <w:rsid w:val="00AD5974"/>
    <w:rsid w:val="00AD5ADA"/>
    <w:rsid w:val="00AE0D49"/>
    <w:rsid w:val="00AE6E1D"/>
    <w:rsid w:val="00AF25AB"/>
    <w:rsid w:val="00AF3A7D"/>
    <w:rsid w:val="00B06729"/>
    <w:rsid w:val="00B107B1"/>
    <w:rsid w:val="00B226B0"/>
    <w:rsid w:val="00B604E2"/>
    <w:rsid w:val="00B74F82"/>
    <w:rsid w:val="00B7586A"/>
    <w:rsid w:val="00B9635D"/>
    <w:rsid w:val="00BB165F"/>
    <w:rsid w:val="00BB735E"/>
    <w:rsid w:val="00BF04B3"/>
    <w:rsid w:val="00BF3AB1"/>
    <w:rsid w:val="00BF7744"/>
    <w:rsid w:val="00C109BC"/>
    <w:rsid w:val="00C3411E"/>
    <w:rsid w:val="00C34F3A"/>
    <w:rsid w:val="00C42963"/>
    <w:rsid w:val="00C76B22"/>
    <w:rsid w:val="00CB29BF"/>
    <w:rsid w:val="00CC4860"/>
    <w:rsid w:val="00CC5EDD"/>
    <w:rsid w:val="00CD514F"/>
    <w:rsid w:val="00CF4B44"/>
    <w:rsid w:val="00D00373"/>
    <w:rsid w:val="00D21D72"/>
    <w:rsid w:val="00D35B68"/>
    <w:rsid w:val="00D60E9F"/>
    <w:rsid w:val="00D679F7"/>
    <w:rsid w:val="00D7007E"/>
    <w:rsid w:val="00D732AD"/>
    <w:rsid w:val="00D764B4"/>
    <w:rsid w:val="00D87E97"/>
    <w:rsid w:val="00D91D34"/>
    <w:rsid w:val="00D93C42"/>
    <w:rsid w:val="00D96D74"/>
    <w:rsid w:val="00DB2C38"/>
    <w:rsid w:val="00DE7B3E"/>
    <w:rsid w:val="00E117D7"/>
    <w:rsid w:val="00E2244A"/>
    <w:rsid w:val="00E52665"/>
    <w:rsid w:val="00E77C51"/>
    <w:rsid w:val="00E90F53"/>
    <w:rsid w:val="00EA12D8"/>
    <w:rsid w:val="00ED300A"/>
    <w:rsid w:val="00EE2754"/>
    <w:rsid w:val="00F262EB"/>
    <w:rsid w:val="00F37399"/>
    <w:rsid w:val="00F4502B"/>
    <w:rsid w:val="00F535B8"/>
    <w:rsid w:val="00F573E5"/>
    <w:rsid w:val="00F61A4F"/>
    <w:rsid w:val="00F67E0B"/>
    <w:rsid w:val="00F7769F"/>
    <w:rsid w:val="00F816CA"/>
    <w:rsid w:val="00F87D74"/>
    <w:rsid w:val="00FA0D97"/>
    <w:rsid w:val="00FC16B7"/>
    <w:rsid w:val="00FC3C01"/>
    <w:rsid w:val="00FD1CC2"/>
    <w:rsid w:val="00FE7D41"/>
    <w:rsid w:val="00FF216F"/>
    <w:rsid w:val="00FF3E61"/>
    <w:rsid w:val="00FF53DB"/>
    <w:rsid w:val="01A12C27"/>
    <w:rsid w:val="03B27F7C"/>
    <w:rsid w:val="067D11B8"/>
    <w:rsid w:val="06A513FF"/>
    <w:rsid w:val="06D01CAE"/>
    <w:rsid w:val="09422CC9"/>
    <w:rsid w:val="0D663973"/>
    <w:rsid w:val="10740DB7"/>
    <w:rsid w:val="116B1508"/>
    <w:rsid w:val="126F4193"/>
    <w:rsid w:val="12933E53"/>
    <w:rsid w:val="164258DD"/>
    <w:rsid w:val="178202BD"/>
    <w:rsid w:val="19A43C04"/>
    <w:rsid w:val="1B341FD2"/>
    <w:rsid w:val="1CDE45F4"/>
    <w:rsid w:val="1DDD1698"/>
    <w:rsid w:val="1E5730E2"/>
    <w:rsid w:val="20980F94"/>
    <w:rsid w:val="20AA67FB"/>
    <w:rsid w:val="23FD41EE"/>
    <w:rsid w:val="26113B6F"/>
    <w:rsid w:val="28CB401E"/>
    <w:rsid w:val="2A526A1D"/>
    <w:rsid w:val="2AD127A3"/>
    <w:rsid w:val="2B413040"/>
    <w:rsid w:val="2DC7E747"/>
    <w:rsid w:val="2E4F30E1"/>
    <w:rsid w:val="2FBA1C40"/>
    <w:rsid w:val="2FE75B1A"/>
    <w:rsid w:val="30136AE0"/>
    <w:rsid w:val="30592396"/>
    <w:rsid w:val="307A1E31"/>
    <w:rsid w:val="3614558C"/>
    <w:rsid w:val="365A6467"/>
    <w:rsid w:val="366DB5D4"/>
    <w:rsid w:val="36D63230"/>
    <w:rsid w:val="370A7557"/>
    <w:rsid w:val="37BDF247"/>
    <w:rsid w:val="3854086E"/>
    <w:rsid w:val="38B16B73"/>
    <w:rsid w:val="39944544"/>
    <w:rsid w:val="3AB00C9E"/>
    <w:rsid w:val="3C41689F"/>
    <w:rsid w:val="3D4D3291"/>
    <w:rsid w:val="3D6A5B38"/>
    <w:rsid w:val="3D6BC9A4"/>
    <w:rsid w:val="3E0F7185"/>
    <w:rsid w:val="3EED9DE9"/>
    <w:rsid w:val="3F676869"/>
    <w:rsid w:val="40C37038"/>
    <w:rsid w:val="422252E1"/>
    <w:rsid w:val="43890A92"/>
    <w:rsid w:val="44E45179"/>
    <w:rsid w:val="456A5CDF"/>
    <w:rsid w:val="45DF6B3B"/>
    <w:rsid w:val="47CC6CAA"/>
    <w:rsid w:val="47E718B4"/>
    <w:rsid w:val="4A88346F"/>
    <w:rsid w:val="4AE536EB"/>
    <w:rsid w:val="4BC248D4"/>
    <w:rsid w:val="4CC1351E"/>
    <w:rsid w:val="4DCE6C53"/>
    <w:rsid w:val="4DEA2F89"/>
    <w:rsid w:val="4E38714F"/>
    <w:rsid w:val="512A57E1"/>
    <w:rsid w:val="537F2AE6"/>
    <w:rsid w:val="53D157B4"/>
    <w:rsid w:val="54F11890"/>
    <w:rsid w:val="561475E8"/>
    <w:rsid w:val="5B493F83"/>
    <w:rsid w:val="5EC11071"/>
    <w:rsid w:val="5F097945"/>
    <w:rsid w:val="5FDE3D39"/>
    <w:rsid w:val="5FFB33A3"/>
    <w:rsid w:val="5FFE8FBE"/>
    <w:rsid w:val="61092C08"/>
    <w:rsid w:val="6238422F"/>
    <w:rsid w:val="6265186C"/>
    <w:rsid w:val="66036ADB"/>
    <w:rsid w:val="67BE774F"/>
    <w:rsid w:val="694C76F8"/>
    <w:rsid w:val="6A3D24C3"/>
    <w:rsid w:val="6A9B6074"/>
    <w:rsid w:val="6D4A0401"/>
    <w:rsid w:val="6F1F3671"/>
    <w:rsid w:val="6F3B1BE6"/>
    <w:rsid w:val="6F565D31"/>
    <w:rsid w:val="6FA6585D"/>
    <w:rsid w:val="70EA0F99"/>
    <w:rsid w:val="715241A8"/>
    <w:rsid w:val="73D746A3"/>
    <w:rsid w:val="74110917"/>
    <w:rsid w:val="74142E8F"/>
    <w:rsid w:val="77FF67D1"/>
    <w:rsid w:val="78B57C67"/>
    <w:rsid w:val="79243149"/>
    <w:rsid w:val="797C77DA"/>
    <w:rsid w:val="7A5219FA"/>
    <w:rsid w:val="7B1A41DD"/>
    <w:rsid w:val="7C093511"/>
    <w:rsid w:val="7E604382"/>
    <w:rsid w:val="7F2A2BA1"/>
    <w:rsid w:val="7F7E7712"/>
    <w:rsid w:val="AFD22407"/>
    <w:rsid w:val="B33D525C"/>
    <w:rsid w:val="B5EFAB33"/>
    <w:rsid w:val="BEBE138F"/>
    <w:rsid w:val="DF76DAA7"/>
    <w:rsid w:val="E9BFC8BF"/>
    <w:rsid w:val="EFF71AC3"/>
    <w:rsid w:val="F7FDF556"/>
    <w:rsid w:val="FED41E1C"/>
    <w:rsid w:val="FFD73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99"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qFormat="1" w:unhideWhenUsed="0" w:uiPriority="99"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6">
    <w:name w:val="heading 1"/>
    <w:basedOn w:val="1"/>
    <w:next w:val="1"/>
    <w:link w:val="45"/>
    <w:qFormat/>
    <w:uiPriority w:val="0"/>
    <w:pPr>
      <w:keepNext/>
      <w:keepLines/>
      <w:ind w:firstLine="1445" w:firstLineChars="200"/>
      <w:outlineLvl w:val="0"/>
    </w:pPr>
    <w:rPr>
      <w:rFonts w:eastAsia="黑体"/>
      <w:kern w:val="44"/>
      <w:szCs w:val="24"/>
    </w:rPr>
  </w:style>
  <w:style w:type="paragraph" w:styleId="7">
    <w:name w:val="heading 2"/>
    <w:basedOn w:val="1"/>
    <w:next w:val="1"/>
    <w:link w:val="46"/>
    <w:qFormat/>
    <w:uiPriority w:val="0"/>
    <w:pPr>
      <w:keepNext/>
      <w:keepLines/>
      <w:spacing w:line="413" w:lineRule="auto"/>
      <w:outlineLvl w:val="1"/>
    </w:pPr>
    <w:rPr>
      <w:rFonts w:ascii="Arial" w:hAnsi="Arial" w:eastAsia="黑体"/>
      <w:b/>
      <w:kern w:val="0"/>
      <w:szCs w:val="20"/>
    </w:rPr>
  </w:style>
  <w:style w:type="paragraph" w:styleId="8">
    <w:name w:val="heading 3"/>
    <w:basedOn w:val="1"/>
    <w:next w:val="1"/>
    <w:link w:val="47"/>
    <w:qFormat/>
    <w:uiPriority w:val="0"/>
    <w:pPr>
      <w:keepNext/>
      <w:keepLines/>
      <w:ind w:firstLine="1440" w:firstLineChars="200"/>
      <w:outlineLvl w:val="2"/>
    </w:pPr>
    <w:rPr>
      <w:rFonts w:ascii="仿宋" w:hAnsi="仿宋" w:eastAsia="仿宋"/>
      <w:b/>
      <w:szCs w:val="24"/>
    </w:rPr>
  </w:style>
  <w:style w:type="paragraph" w:styleId="9">
    <w:name w:val="heading 4"/>
    <w:basedOn w:val="1"/>
    <w:next w:val="1"/>
    <w:link w:val="48"/>
    <w:qFormat/>
    <w:uiPriority w:val="0"/>
    <w:pPr>
      <w:keepNext/>
      <w:keepLines/>
      <w:autoSpaceDE w:val="0"/>
      <w:autoSpaceDN w:val="0"/>
      <w:spacing w:before="280" w:after="290" w:line="376" w:lineRule="auto"/>
      <w:jc w:val="left"/>
      <w:outlineLvl w:val="3"/>
    </w:pPr>
    <w:rPr>
      <w:rFonts w:ascii="Cambria" w:hAnsi="Cambria" w:eastAsia="宋体"/>
      <w:b/>
      <w:bCs/>
      <w:kern w:val="0"/>
      <w:sz w:val="28"/>
      <w:szCs w:val="28"/>
      <w:lang w:val="zh-CN"/>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44"/>
    <w:qFormat/>
    <w:uiPriority w:val="99"/>
    <w:pPr>
      <w:spacing w:after="0"/>
      <w:ind w:left="0" w:leftChars="0" w:firstLine="420" w:firstLineChars="200"/>
    </w:pPr>
  </w:style>
  <w:style w:type="paragraph" w:styleId="3">
    <w:name w:val="Body Text Indent"/>
    <w:basedOn w:val="1"/>
    <w:link w:val="41"/>
    <w:qFormat/>
    <w:uiPriority w:val="99"/>
    <w:pPr>
      <w:spacing w:after="120"/>
      <w:ind w:left="420" w:leftChars="200"/>
    </w:pPr>
  </w:style>
  <w:style w:type="paragraph" w:styleId="4">
    <w:name w:val="Body Text First Indent"/>
    <w:basedOn w:val="5"/>
    <w:next w:val="1"/>
    <w:link w:val="43"/>
    <w:qFormat/>
    <w:uiPriority w:val="99"/>
    <w:pPr>
      <w:ind w:firstLine="420" w:firstLineChars="100"/>
    </w:pPr>
    <w:rPr>
      <w:rFonts w:ascii="Calibri" w:hAnsi="Calibri"/>
      <w:lang w:val="zh-CN" w:bidi="zh-CN"/>
    </w:rPr>
  </w:style>
  <w:style w:type="paragraph" w:styleId="5">
    <w:name w:val="Body Text"/>
    <w:basedOn w:val="1"/>
    <w:next w:val="1"/>
    <w:link w:val="42"/>
    <w:qFormat/>
    <w:uiPriority w:val="99"/>
    <w:pPr>
      <w:ind w:left="117"/>
    </w:pPr>
    <w:rPr>
      <w:rFonts w:ascii="宋体" w:hAnsi="宋体"/>
    </w:rPr>
  </w:style>
  <w:style w:type="paragraph" w:styleId="10">
    <w:name w:val="Normal Indent"/>
    <w:basedOn w:val="1"/>
    <w:qFormat/>
    <w:uiPriority w:val="99"/>
    <w:pPr>
      <w:ind w:firstLine="420" w:firstLineChars="200"/>
    </w:pPr>
  </w:style>
  <w:style w:type="paragraph" w:styleId="11">
    <w:name w:val="index 5"/>
    <w:basedOn w:val="1"/>
    <w:next w:val="1"/>
    <w:qFormat/>
    <w:uiPriority w:val="99"/>
    <w:pPr>
      <w:autoSpaceDE w:val="0"/>
      <w:autoSpaceDN w:val="0"/>
      <w:ind w:left="1680"/>
      <w:jc w:val="left"/>
    </w:pPr>
    <w:rPr>
      <w:rFonts w:ascii="宋体" w:hAnsi="宋体" w:eastAsia="宋体" w:cs="宋体"/>
      <w:kern w:val="0"/>
      <w:szCs w:val="22"/>
      <w:lang w:val="zh-CN"/>
    </w:rPr>
  </w:style>
  <w:style w:type="paragraph" w:styleId="12">
    <w:name w:val="annotation text"/>
    <w:basedOn w:val="1"/>
    <w:link w:val="67"/>
    <w:qFormat/>
    <w:uiPriority w:val="0"/>
    <w:pPr>
      <w:jc w:val="left"/>
    </w:pPr>
    <w:rPr>
      <w:rFonts w:eastAsia="宋体" w:cs="Arial"/>
      <w:szCs w:val="22"/>
    </w:rPr>
  </w:style>
  <w:style w:type="paragraph" w:styleId="13">
    <w:name w:val="toc 3"/>
    <w:basedOn w:val="1"/>
    <w:next w:val="1"/>
    <w:qFormat/>
    <w:uiPriority w:val="0"/>
    <w:pPr>
      <w:ind w:firstLine="480" w:firstLineChars="200"/>
    </w:pPr>
    <w:rPr>
      <w:rFonts w:ascii="等线" w:hAnsi="等线" w:eastAsia="楷体" w:cs="宋体"/>
      <w:sz w:val="30"/>
      <w:szCs w:val="22"/>
    </w:rPr>
  </w:style>
  <w:style w:type="paragraph" w:styleId="14">
    <w:name w:val="Plain Text"/>
    <w:basedOn w:val="1"/>
    <w:next w:val="15"/>
    <w:link w:val="75"/>
    <w:unhideWhenUsed/>
    <w:qFormat/>
    <w:uiPriority w:val="99"/>
    <w:pPr>
      <w:autoSpaceDE w:val="0"/>
      <w:autoSpaceDN w:val="0"/>
      <w:jc w:val="left"/>
    </w:pPr>
    <w:rPr>
      <w:rFonts w:ascii="Courier New" w:hAnsi="Courier New" w:eastAsia="宋体" w:cs="宋体"/>
      <w:kern w:val="0"/>
    </w:rPr>
  </w:style>
  <w:style w:type="paragraph" w:styleId="15">
    <w:name w:val="header"/>
    <w:basedOn w:val="1"/>
    <w:link w:val="53"/>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2"/>
    <w:basedOn w:val="1"/>
    <w:link w:val="78"/>
    <w:qFormat/>
    <w:uiPriority w:val="99"/>
    <w:pPr>
      <w:autoSpaceDE w:val="0"/>
      <w:autoSpaceDN w:val="0"/>
      <w:spacing w:after="120" w:line="480" w:lineRule="auto"/>
      <w:ind w:left="420" w:leftChars="200"/>
      <w:jc w:val="left"/>
    </w:pPr>
    <w:rPr>
      <w:rFonts w:ascii="宋体" w:hAnsi="Times New Roman" w:eastAsia="宋体" w:cs="黑体"/>
      <w:kern w:val="0"/>
      <w:szCs w:val="22"/>
      <w:lang w:val="zh-CN"/>
    </w:rPr>
  </w:style>
  <w:style w:type="paragraph" w:styleId="17">
    <w:name w:val="Balloon Text"/>
    <w:basedOn w:val="1"/>
    <w:link w:val="49"/>
    <w:qFormat/>
    <w:uiPriority w:val="0"/>
    <w:rPr>
      <w:sz w:val="18"/>
      <w:szCs w:val="18"/>
    </w:rPr>
  </w:style>
  <w:style w:type="paragraph" w:styleId="18">
    <w:name w:val="footer"/>
    <w:basedOn w:val="1"/>
    <w:link w:val="52"/>
    <w:qFormat/>
    <w:uiPriority w:val="99"/>
    <w:pPr>
      <w:tabs>
        <w:tab w:val="center" w:pos="4153"/>
        <w:tab w:val="right" w:pos="8306"/>
      </w:tabs>
      <w:snapToGrid w:val="0"/>
      <w:jc w:val="left"/>
    </w:pPr>
    <w:rPr>
      <w:sz w:val="18"/>
      <w:szCs w:val="18"/>
    </w:rPr>
  </w:style>
  <w:style w:type="paragraph" w:styleId="19">
    <w:name w:val="toc 1"/>
    <w:basedOn w:val="1"/>
    <w:next w:val="1"/>
    <w:qFormat/>
    <w:uiPriority w:val="0"/>
    <w:rPr>
      <w:rFonts w:ascii="等线" w:hAnsi="等线" w:eastAsia="黑体" w:cs="宋体"/>
      <w:sz w:val="30"/>
      <w:szCs w:val="22"/>
    </w:rPr>
  </w:style>
  <w:style w:type="paragraph" w:styleId="20">
    <w:name w:val="footnote text"/>
    <w:basedOn w:val="1"/>
    <w:link w:val="61"/>
    <w:qFormat/>
    <w:uiPriority w:val="99"/>
    <w:pPr>
      <w:snapToGrid w:val="0"/>
      <w:ind w:firstLine="480" w:firstLineChars="200"/>
      <w:jc w:val="left"/>
    </w:pPr>
    <w:rPr>
      <w:rFonts w:ascii="等线" w:hAnsi="等线" w:cs="宋体"/>
      <w:sz w:val="18"/>
      <w:szCs w:val="22"/>
    </w:rPr>
  </w:style>
  <w:style w:type="paragraph" w:styleId="21">
    <w:name w:val="toc 2"/>
    <w:basedOn w:val="1"/>
    <w:next w:val="1"/>
    <w:qFormat/>
    <w:uiPriority w:val="0"/>
    <w:rPr>
      <w:rFonts w:ascii="等线" w:hAnsi="等线" w:eastAsia="黑体" w:cs="宋体"/>
      <w:sz w:val="30"/>
      <w:szCs w:val="22"/>
    </w:rPr>
  </w:style>
  <w:style w:type="paragraph" w:styleId="22">
    <w:name w:val="Body Text 2"/>
    <w:basedOn w:val="1"/>
    <w:link w:val="74"/>
    <w:qFormat/>
    <w:uiPriority w:val="99"/>
    <w:pPr>
      <w:spacing w:after="120" w:line="480" w:lineRule="auto"/>
    </w:pPr>
    <w:rPr>
      <w:rFonts w:eastAsia="宋体"/>
      <w:sz w:val="21"/>
      <w:szCs w:val="22"/>
    </w:rPr>
  </w:style>
  <w:style w:type="paragraph" w:styleId="23">
    <w:name w:val="HTML Preformatted"/>
    <w:basedOn w:val="1"/>
    <w:link w:val="76"/>
    <w:unhideWhenUsed/>
    <w:qFormat/>
    <w:uiPriority w:val="99"/>
    <w:pPr>
      <w:jc w:val="left"/>
    </w:pPr>
    <w:rPr>
      <w:rFonts w:ascii="宋体" w:hAnsi="宋体" w:eastAsia="宋体" w:cs="宋体"/>
      <w:kern w:val="0"/>
      <w:sz w:val="24"/>
      <w:szCs w:val="24"/>
    </w:rPr>
  </w:style>
  <w:style w:type="paragraph" w:styleId="24">
    <w:name w:val="Normal (Web)"/>
    <w:basedOn w:val="1"/>
    <w:qFormat/>
    <w:uiPriority w:val="0"/>
    <w:pPr>
      <w:spacing w:beforeAutospacing="1" w:afterAutospacing="1"/>
      <w:jc w:val="left"/>
    </w:pPr>
    <w:rPr>
      <w:kern w:val="0"/>
      <w:sz w:val="24"/>
    </w:rPr>
  </w:style>
  <w:style w:type="paragraph" w:styleId="25">
    <w:name w:val="Title"/>
    <w:basedOn w:val="1"/>
    <w:next w:val="1"/>
    <w:link w:val="59"/>
    <w:qFormat/>
    <w:uiPriority w:val="10"/>
    <w:pPr>
      <w:spacing w:before="240" w:after="60"/>
      <w:jc w:val="center"/>
      <w:outlineLvl w:val="0"/>
    </w:pPr>
    <w:rPr>
      <w:rFonts w:ascii="等线 Light" w:hAnsi="等线 Light" w:eastAsia="等线 Light"/>
      <w:b/>
      <w:bCs/>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basedOn w:val="28"/>
    <w:qFormat/>
    <w:uiPriority w:val="99"/>
    <w:rPr>
      <w:rFonts w:cs="Times New Roman"/>
      <w:color w:val="333333"/>
      <w:sz w:val="18"/>
      <w:szCs w:val="18"/>
      <w:u w:val="none"/>
    </w:rPr>
  </w:style>
  <w:style w:type="character" w:styleId="32">
    <w:name w:val="Emphasis"/>
    <w:qFormat/>
    <w:uiPriority w:val="0"/>
    <w:rPr>
      <w:i/>
      <w:iCs/>
    </w:rPr>
  </w:style>
  <w:style w:type="character" w:styleId="33">
    <w:name w:val="HTML Definition"/>
    <w:basedOn w:val="28"/>
    <w:qFormat/>
    <w:uiPriority w:val="99"/>
    <w:rPr>
      <w:rFonts w:cs="Times New Roman"/>
    </w:rPr>
  </w:style>
  <w:style w:type="character" w:styleId="34">
    <w:name w:val="HTML Acronym"/>
    <w:basedOn w:val="28"/>
    <w:qFormat/>
    <w:uiPriority w:val="99"/>
    <w:rPr>
      <w:rFonts w:cs="Times New Roman"/>
    </w:rPr>
  </w:style>
  <w:style w:type="character" w:styleId="35">
    <w:name w:val="HTML Variable"/>
    <w:basedOn w:val="28"/>
    <w:qFormat/>
    <w:uiPriority w:val="99"/>
    <w:rPr>
      <w:rFonts w:cs="Times New Roman"/>
    </w:rPr>
  </w:style>
  <w:style w:type="character" w:styleId="36">
    <w:name w:val="Hyperlink"/>
    <w:qFormat/>
    <w:uiPriority w:val="0"/>
    <w:rPr>
      <w:color w:val="0000FF"/>
      <w:u w:val="single"/>
    </w:rPr>
  </w:style>
  <w:style w:type="character" w:styleId="37">
    <w:name w:val="HTML Code"/>
    <w:basedOn w:val="28"/>
    <w:qFormat/>
    <w:uiPriority w:val="99"/>
    <w:rPr>
      <w:rFonts w:ascii="Courier New" w:hAnsi="Courier New" w:cs="Times New Roman"/>
      <w:sz w:val="20"/>
    </w:rPr>
  </w:style>
  <w:style w:type="character" w:styleId="38">
    <w:name w:val="annotation reference"/>
    <w:qFormat/>
    <w:uiPriority w:val="0"/>
    <w:rPr>
      <w:sz w:val="21"/>
      <w:szCs w:val="21"/>
    </w:rPr>
  </w:style>
  <w:style w:type="character" w:styleId="39">
    <w:name w:val="HTML Cite"/>
    <w:basedOn w:val="28"/>
    <w:qFormat/>
    <w:uiPriority w:val="99"/>
    <w:rPr>
      <w:rFonts w:cs="Times New Roman"/>
    </w:rPr>
  </w:style>
  <w:style w:type="character" w:styleId="40">
    <w:name w:val="footnote reference"/>
    <w:basedOn w:val="28"/>
    <w:qFormat/>
    <w:uiPriority w:val="99"/>
    <w:rPr>
      <w:rFonts w:cs="Times New Roman"/>
      <w:vertAlign w:val="superscript"/>
    </w:rPr>
  </w:style>
  <w:style w:type="character" w:customStyle="1" w:styleId="41">
    <w:name w:val="正文文本缩进 Char"/>
    <w:basedOn w:val="28"/>
    <w:link w:val="3"/>
    <w:qFormat/>
    <w:uiPriority w:val="99"/>
    <w:rPr>
      <w:rFonts w:eastAsia="仿宋_GB2312"/>
      <w:kern w:val="2"/>
      <w:sz w:val="32"/>
      <w:szCs w:val="32"/>
    </w:rPr>
  </w:style>
  <w:style w:type="character" w:customStyle="1" w:styleId="42">
    <w:name w:val="正文文本 Char"/>
    <w:link w:val="5"/>
    <w:qFormat/>
    <w:uiPriority w:val="99"/>
    <w:rPr>
      <w:rFonts w:ascii="宋体" w:hAnsi="宋体" w:eastAsia="仿宋_GB2312"/>
      <w:kern w:val="2"/>
      <w:sz w:val="32"/>
      <w:szCs w:val="32"/>
    </w:rPr>
  </w:style>
  <w:style w:type="character" w:customStyle="1" w:styleId="43">
    <w:name w:val="正文首行缩进 Char"/>
    <w:link w:val="4"/>
    <w:qFormat/>
    <w:uiPriority w:val="99"/>
    <w:rPr>
      <w:rFonts w:eastAsia="仿宋_GB2312"/>
      <w:kern w:val="2"/>
      <w:sz w:val="32"/>
      <w:szCs w:val="32"/>
      <w:lang w:val="zh-CN" w:bidi="zh-CN"/>
    </w:rPr>
  </w:style>
  <w:style w:type="character" w:customStyle="1" w:styleId="44">
    <w:name w:val="正文首行缩进 2 Char"/>
    <w:link w:val="2"/>
    <w:qFormat/>
    <w:uiPriority w:val="99"/>
    <w:rPr>
      <w:rFonts w:eastAsia="仿宋_GB2312"/>
      <w:kern w:val="2"/>
      <w:sz w:val="32"/>
      <w:szCs w:val="32"/>
    </w:rPr>
  </w:style>
  <w:style w:type="character" w:customStyle="1" w:styleId="45">
    <w:name w:val="标题 1 Char"/>
    <w:basedOn w:val="28"/>
    <w:link w:val="6"/>
    <w:qFormat/>
    <w:uiPriority w:val="9"/>
    <w:rPr>
      <w:rFonts w:eastAsia="黑体"/>
      <w:kern w:val="44"/>
      <w:sz w:val="32"/>
      <w:szCs w:val="24"/>
    </w:rPr>
  </w:style>
  <w:style w:type="character" w:customStyle="1" w:styleId="46">
    <w:name w:val="标题 2 Char"/>
    <w:link w:val="7"/>
    <w:qFormat/>
    <w:uiPriority w:val="9"/>
    <w:rPr>
      <w:rFonts w:ascii="Arial" w:hAnsi="Arial" w:eastAsia="黑体"/>
      <w:b/>
      <w:sz w:val="32"/>
    </w:rPr>
  </w:style>
  <w:style w:type="character" w:customStyle="1" w:styleId="47">
    <w:name w:val="标题 3 Char"/>
    <w:basedOn w:val="28"/>
    <w:link w:val="8"/>
    <w:qFormat/>
    <w:uiPriority w:val="99"/>
    <w:rPr>
      <w:rFonts w:ascii="仿宋" w:hAnsi="仿宋" w:eastAsia="仿宋"/>
      <w:b/>
      <w:kern w:val="2"/>
      <w:sz w:val="32"/>
      <w:szCs w:val="24"/>
    </w:rPr>
  </w:style>
  <w:style w:type="character" w:customStyle="1" w:styleId="48">
    <w:name w:val="标题 4 Char"/>
    <w:basedOn w:val="28"/>
    <w:link w:val="9"/>
    <w:qFormat/>
    <w:uiPriority w:val="99"/>
    <w:rPr>
      <w:rFonts w:ascii="Cambria" w:hAnsi="Cambria"/>
      <w:b/>
      <w:bCs/>
      <w:sz w:val="28"/>
      <w:szCs w:val="28"/>
      <w:lang w:val="zh-CN"/>
    </w:rPr>
  </w:style>
  <w:style w:type="character" w:customStyle="1" w:styleId="49">
    <w:name w:val="批注框文本 Char"/>
    <w:link w:val="17"/>
    <w:qFormat/>
    <w:uiPriority w:val="0"/>
    <w:rPr>
      <w:rFonts w:eastAsia="仿宋_GB2312"/>
      <w:kern w:val="2"/>
      <w:sz w:val="18"/>
      <w:szCs w:val="18"/>
    </w:rPr>
  </w:style>
  <w:style w:type="character" w:customStyle="1" w:styleId="50">
    <w:name w:val="全文正文 Char"/>
    <w:link w:val="51"/>
    <w:qFormat/>
    <w:uiPriority w:val="0"/>
    <w:rPr>
      <w:rFonts w:ascii="Times New Roman" w:hAnsi="Times New Roman" w:eastAsia="仿宋"/>
      <w:sz w:val="30"/>
    </w:rPr>
  </w:style>
  <w:style w:type="paragraph" w:customStyle="1" w:styleId="51">
    <w:name w:val="全文正文"/>
    <w:basedOn w:val="1"/>
    <w:link w:val="50"/>
    <w:qFormat/>
    <w:uiPriority w:val="0"/>
    <w:pPr>
      <w:spacing w:line="590" w:lineRule="exact"/>
      <w:ind w:firstLine="420" w:firstLineChars="200"/>
    </w:pPr>
    <w:rPr>
      <w:rFonts w:ascii="Times New Roman" w:hAnsi="Times New Roman" w:eastAsia="仿宋"/>
      <w:kern w:val="0"/>
      <w:sz w:val="30"/>
      <w:szCs w:val="20"/>
    </w:rPr>
  </w:style>
  <w:style w:type="character" w:customStyle="1" w:styleId="52">
    <w:name w:val="页脚 Char"/>
    <w:link w:val="18"/>
    <w:qFormat/>
    <w:uiPriority w:val="99"/>
    <w:rPr>
      <w:rFonts w:eastAsia="仿宋_GB2312"/>
      <w:kern w:val="2"/>
      <w:sz w:val="18"/>
      <w:szCs w:val="18"/>
    </w:rPr>
  </w:style>
  <w:style w:type="character" w:customStyle="1" w:styleId="53">
    <w:name w:val="页眉 Char"/>
    <w:link w:val="15"/>
    <w:qFormat/>
    <w:uiPriority w:val="99"/>
    <w:rPr>
      <w:rFonts w:eastAsia="仿宋_GB2312"/>
      <w:kern w:val="2"/>
      <w:sz w:val="18"/>
      <w:szCs w:val="18"/>
    </w:rPr>
  </w:style>
  <w:style w:type="paragraph" w:customStyle="1" w:styleId="54">
    <w:name w:val="一级标题"/>
    <w:basedOn w:val="1"/>
    <w:qFormat/>
    <w:uiPriority w:val="0"/>
    <w:pPr>
      <w:spacing w:line="588" w:lineRule="exact"/>
      <w:ind w:firstLine="620" w:firstLineChars="200"/>
      <w:jc w:val="left"/>
      <w:outlineLvl w:val="0"/>
    </w:pPr>
    <w:rPr>
      <w:rFonts w:ascii="黑体" w:hAnsi="黑体" w:eastAsia="黑体"/>
      <w:sz w:val="30"/>
    </w:rPr>
  </w:style>
  <w:style w:type="paragraph" w:customStyle="1" w:styleId="55">
    <w:name w:val="二级标题"/>
    <w:basedOn w:val="1"/>
    <w:qFormat/>
    <w:uiPriority w:val="0"/>
    <w:pPr>
      <w:spacing w:line="588" w:lineRule="exact"/>
      <w:ind w:firstLine="620" w:firstLineChars="200"/>
      <w:jc w:val="left"/>
      <w:outlineLvl w:val="1"/>
    </w:pPr>
    <w:rPr>
      <w:rFonts w:ascii="楷体" w:hAnsi="楷体" w:eastAsia="楷体"/>
      <w:sz w:val="30"/>
    </w:rPr>
  </w:style>
  <w:style w:type="paragraph" w:customStyle="1" w:styleId="56">
    <w:name w:val="大标题"/>
    <w:basedOn w:val="1"/>
    <w:qFormat/>
    <w:uiPriority w:val="0"/>
    <w:pPr>
      <w:spacing w:line="588" w:lineRule="exact"/>
      <w:jc w:val="center"/>
    </w:pPr>
    <w:rPr>
      <w:rFonts w:ascii="方正小标宋简体" w:hAnsi="方正小标宋简体" w:eastAsia="方正小标宋简体"/>
      <w:sz w:val="40"/>
    </w:rPr>
  </w:style>
  <w:style w:type="paragraph" w:customStyle="1" w:styleId="57">
    <w:name w:val="正文首行缩进1"/>
    <w:basedOn w:val="1"/>
    <w:qFormat/>
    <w:uiPriority w:val="0"/>
    <w:pPr>
      <w:ind w:firstLine="420" w:firstLineChars="100"/>
    </w:pPr>
    <w:rPr>
      <w:rFonts w:eastAsia="仿宋"/>
      <w:szCs w:val="24"/>
    </w:rPr>
  </w:style>
  <w:style w:type="paragraph" w:customStyle="1" w:styleId="58">
    <w:name w:val="列表段落"/>
    <w:basedOn w:val="1"/>
    <w:qFormat/>
    <w:uiPriority w:val="34"/>
    <w:pPr>
      <w:ind w:firstLine="420" w:firstLineChars="200"/>
    </w:pPr>
    <w:rPr>
      <w:rFonts w:ascii="等线" w:hAnsi="等线" w:eastAsia="等线"/>
      <w:sz w:val="21"/>
      <w:szCs w:val="22"/>
    </w:rPr>
  </w:style>
  <w:style w:type="character" w:customStyle="1" w:styleId="59">
    <w:name w:val="标题 Char"/>
    <w:basedOn w:val="28"/>
    <w:link w:val="25"/>
    <w:qFormat/>
    <w:uiPriority w:val="10"/>
    <w:rPr>
      <w:rFonts w:ascii="等线 Light" w:hAnsi="等线 Light" w:eastAsia="等线 Light"/>
      <w:b/>
      <w:bCs/>
      <w:kern w:val="2"/>
      <w:sz w:val="32"/>
      <w:szCs w:val="32"/>
    </w:rPr>
  </w:style>
  <w:style w:type="table" w:customStyle="1" w:styleId="60">
    <w:name w:val="网格型1"/>
    <w:basedOn w:val="26"/>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1">
    <w:name w:val="脚注文本 Char"/>
    <w:basedOn w:val="28"/>
    <w:link w:val="20"/>
    <w:qFormat/>
    <w:uiPriority w:val="99"/>
    <w:rPr>
      <w:rFonts w:ascii="等线" w:hAnsi="等线" w:eastAsia="仿宋_GB2312" w:cs="宋体"/>
      <w:kern w:val="2"/>
      <w:sz w:val="18"/>
      <w:szCs w:val="22"/>
    </w:rPr>
  </w:style>
  <w:style w:type="paragraph" w:customStyle="1" w:styleId="62">
    <w:name w:val="正文文本 21"/>
    <w:basedOn w:val="1"/>
    <w:qFormat/>
    <w:uiPriority w:val="0"/>
    <w:pPr>
      <w:spacing w:line="480" w:lineRule="auto"/>
      <w:ind w:firstLine="480" w:firstLineChars="200"/>
    </w:pPr>
    <w:rPr>
      <w:rFonts w:ascii="Times New Roman" w:hAnsi="Times New Roman" w:cs="宋体"/>
      <w:szCs w:val="22"/>
    </w:rPr>
  </w:style>
  <w:style w:type="paragraph" w:customStyle="1" w:styleId="63">
    <w:name w:val="No Spacing_58bd2198-1a17-41fe-b472-12e406a9c3c5"/>
    <w:basedOn w:val="1"/>
    <w:qFormat/>
    <w:uiPriority w:val="0"/>
    <w:pPr>
      <w:ind w:firstLine="480" w:firstLineChars="200"/>
    </w:pPr>
    <w:rPr>
      <w:rFonts w:ascii="Times New Roman" w:hAnsi="Times New Roman" w:cs="宋体"/>
      <w:sz w:val="28"/>
      <w:szCs w:val="28"/>
    </w:rPr>
  </w:style>
  <w:style w:type="character" w:customStyle="1" w:styleId="64">
    <w:name w:val="NormalCharacter"/>
    <w:qFormat/>
    <w:uiPriority w:val="0"/>
  </w:style>
  <w:style w:type="paragraph" w:customStyle="1" w:styleId="65">
    <w:name w:val="FootnoteText"/>
    <w:basedOn w:val="1"/>
    <w:qFormat/>
    <w:uiPriority w:val="99"/>
    <w:pPr>
      <w:widowControl/>
      <w:snapToGrid w:val="0"/>
      <w:spacing w:line="260" w:lineRule="auto"/>
      <w:ind w:firstLine="480" w:firstLineChars="200"/>
      <w:jc w:val="left"/>
      <w:textAlignment w:val="baseline"/>
    </w:pPr>
    <w:rPr>
      <w:rFonts w:ascii="Times New Roman" w:hAnsi="Times New Roman" w:eastAsia="宋体"/>
      <w:sz w:val="31"/>
      <w:szCs w:val="22"/>
    </w:rPr>
  </w:style>
  <w:style w:type="paragraph" w:customStyle="1" w:styleId="66">
    <w:name w:val="Table Paragraph"/>
    <w:basedOn w:val="1"/>
    <w:qFormat/>
    <w:uiPriority w:val="1"/>
    <w:pPr>
      <w:autoSpaceDE w:val="0"/>
      <w:autoSpaceDN w:val="0"/>
      <w:ind w:firstLine="480" w:firstLineChars="200"/>
      <w:jc w:val="center"/>
    </w:pPr>
    <w:rPr>
      <w:rFonts w:ascii="仿宋" w:hAnsi="仿宋" w:eastAsia="仿宋" w:cs="仿宋"/>
      <w:kern w:val="0"/>
      <w:sz w:val="22"/>
      <w:szCs w:val="22"/>
      <w:lang w:val="zh-CN" w:bidi="zh-CN"/>
    </w:rPr>
  </w:style>
  <w:style w:type="character" w:customStyle="1" w:styleId="67">
    <w:name w:val="批注文字 Char"/>
    <w:basedOn w:val="28"/>
    <w:link w:val="12"/>
    <w:qFormat/>
    <w:uiPriority w:val="99"/>
    <w:rPr>
      <w:rFonts w:cs="Arial"/>
      <w:kern w:val="2"/>
      <w:sz w:val="32"/>
      <w:szCs w:val="22"/>
    </w:rPr>
  </w:style>
  <w:style w:type="paragraph" w:customStyle="1" w:styleId="68">
    <w:name w:val="TOC 标题1"/>
    <w:basedOn w:val="6"/>
    <w:next w:val="1"/>
    <w:qFormat/>
    <w:uiPriority w:val="99"/>
    <w:pPr>
      <w:widowControl/>
      <w:spacing w:before="240" w:line="259" w:lineRule="auto"/>
      <w:ind w:firstLine="0" w:firstLineChars="0"/>
      <w:jc w:val="left"/>
      <w:outlineLvl w:val="9"/>
    </w:pPr>
    <w:rPr>
      <w:rFonts w:ascii="Cambria" w:hAnsi="Cambria" w:cs="Arial"/>
      <w:color w:val="365F91"/>
      <w:kern w:val="0"/>
      <w:szCs w:val="32"/>
    </w:rPr>
  </w:style>
  <w:style w:type="paragraph" w:customStyle="1" w:styleId="69">
    <w:name w:val="WPSOffice手动目录 1"/>
    <w:qFormat/>
    <w:uiPriority w:val="0"/>
    <w:rPr>
      <w:rFonts w:ascii="Times New Roman" w:hAnsi="Times New Roman" w:eastAsia="宋体" w:cs="Times New Roman"/>
      <w:lang w:val="en-US" w:eastAsia="zh-CN" w:bidi="ar-SA"/>
    </w:rPr>
  </w:style>
  <w:style w:type="paragraph" w:customStyle="1" w:styleId="7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1">
    <w:name w:val="Body text|1"/>
    <w:basedOn w:val="1"/>
    <w:qFormat/>
    <w:uiPriority w:val="99"/>
    <w:pPr>
      <w:spacing w:line="391" w:lineRule="auto"/>
      <w:ind w:firstLine="400"/>
    </w:pPr>
    <w:rPr>
      <w:rFonts w:ascii="宋体" w:hAnsi="宋体" w:eastAsia="宋体" w:cs="宋体"/>
      <w:sz w:val="30"/>
      <w:szCs w:val="30"/>
      <w:lang w:val="zh-TW" w:eastAsia="zh-TW" w:bidi="zh-TW"/>
    </w:rPr>
  </w:style>
  <w:style w:type="paragraph" w:customStyle="1" w:styleId="72">
    <w:name w:val="Body text|2"/>
    <w:basedOn w:val="1"/>
    <w:qFormat/>
    <w:uiPriority w:val="99"/>
    <w:pPr>
      <w:spacing w:line="405" w:lineRule="exact"/>
      <w:ind w:left="2320" w:firstLine="460"/>
    </w:pPr>
    <w:rPr>
      <w:rFonts w:ascii="宋体" w:hAnsi="宋体" w:eastAsia="宋体" w:cs="宋体"/>
      <w:sz w:val="20"/>
      <w:szCs w:val="20"/>
      <w:lang w:val="zh-TW" w:eastAsia="zh-TW" w:bidi="zh-TW"/>
    </w:rPr>
  </w:style>
  <w:style w:type="paragraph" w:customStyle="1" w:styleId="73">
    <w:name w:val="修订1"/>
    <w:hidden/>
    <w:semiHidden/>
    <w:qFormat/>
    <w:uiPriority w:val="99"/>
    <w:rPr>
      <w:rFonts w:ascii="Calibri" w:hAnsi="Calibri" w:eastAsia="宋体" w:cs="Arial"/>
      <w:kern w:val="2"/>
      <w:sz w:val="32"/>
      <w:szCs w:val="22"/>
      <w:lang w:val="en-US" w:eastAsia="zh-CN" w:bidi="ar-SA"/>
    </w:rPr>
  </w:style>
  <w:style w:type="character" w:customStyle="1" w:styleId="74">
    <w:name w:val="正文文本 2 Char"/>
    <w:basedOn w:val="28"/>
    <w:link w:val="22"/>
    <w:qFormat/>
    <w:uiPriority w:val="99"/>
    <w:rPr>
      <w:kern w:val="2"/>
      <w:sz w:val="21"/>
      <w:szCs w:val="22"/>
    </w:rPr>
  </w:style>
  <w:style w:type="character" w:customStyle="1" w:styleId="75">
    <w:name w:val="纯文本 Char"/>
    <w:basedOn w:val="28"/>
    <w:link w:val="14"/>
    <w:qFormat/>
    <w:uiPriority w:val="99"/>
    <w:rPr>
      <w:rFonts w:ascii="Courier New" w:hAnsi="Courier New" w:cs="宋体"/>
      <w:sz w:val="32"/>
      <w:szCs w:val="32"/>
    </w:rPr>
  </w:style>
  <w:style w:type="character" w:customStyle="1" w:styleId="76">
    <w:name w:val="HTML 预设格式 Char"/>
    <w:basedOn w:val="28"/>
    <w:link w:val="23"/>
    <w:qFormat/>
    <w:uiPriority w:val="99"/>
    <w:rPr>
      <w:rFonts w:ascii="宋体" w:hAnsi="宋体" w:cs="宋体"/>
      <w:sz w:val="24"/>
      <w:szCs w:val="24"/>
    </w:rPr>
  </w:style>
  <w:style w:type="character" w:customStyle="1" w:styleId="77">
    <w:name w:val="15"/>
    <w:qFormat/>
    <w:uiPriority w:val="0"/>
    <w:rPr>
      <w:rFonts w:hint="default" w:ascii="Calibri" w:hAnsi="Calibri" w:eastAsia="宋体"/>
      <w:kern w:val="2"/>
      <w:sz w:val="24"/>
      <w:szCs w:val="24"/>
    </w:rPr>
  </w:style>
  <w:style w:type="character" w:customStyle="1" w:styleId="78">
    <w:name w:val="正文文本缩进 2 Char"/>
    <w:basedOn w:val="28"/>
    <w:link w:val="16"/>
    <w:qFormat/>
    <w:uiPriority w:val="99"/>
    <w:rPr>
      <w:rFonts w:ascii="宋体" w:hAnsi="Times New Roman" w:cs="黑体"/>
      <w:sz w:val="32"/>
      <w:szCs w:val="22"/>
      <w:lang w:val="zh-CN"/>
    </w:rPr>
  </w:style>
  <w:style w:type="paragraph" w:customStyle="1" w:styleId="79">
    <w:name w:val="列出段落1"/>
    <w:basedOn w:val="1"/>
    <w:qFormat/>
    <w:uiPriority w:val="34"/>
    <w:pPr>
      <w:autoSpaceDE w:val="0"/>
      <w:autoSpaceDN w:val="0"/>
      <w:spacing w:line="360" w:lineRule="exact"/>
      <w:ind w:left="1451" w:hanging="395"/>
      <w:jc w:val="left"/>
    </w:pPr>
    <w:rPr>
      <w:rFonts w:ascii="宋体" w:hAnsi="宋体" w:eastAsia="宋体" w:cs="宋体"/>
      <w:kern w:val="0"/>
      <w:szCs w:val="22"/>
      <w:lang w:val="zh-CN"/>
    </w:rPr>
  </w:style>
  <w:style w:type="paragraph" w:customStyle="1" w:styleId="80">
    <w:name w:val="p0"/>
    <w:basedOn w:val="1"/>
    <w:qFormat/>
    <w:uiPriority w:val="99"/>
    <w:pPr>
      <w:widowControl/>
      <w:autoSpaceDE w:val="0"/>
      <w:autoSpaceDN w:val="0"/>
      <w:jc w:val="left"/>
    </w:pPr>
    <w:rPr>
      <w:rFonts w:eastAsia="宋体" w:cs="宋体"/>
      <w:kern w:val="0"/>
      <w:szCs w:val="21"/>
      <w:lang w:val="zh-CN"/>
    </w:rPr>
  </w:style>
  <w:style w:type="paragraph" w:customStyle="1" w:styleId="81">
    <w:name w:val="Default"/>
    <w:qFormat/>
    <w:uiPriority w:val="99"/>
    <w:pPr>
      <w:widowControl w:val="0"/>
      <w:autoSpaceDE w:val="0"/>
      <w:autoSpaceDN w:val="0"/>
      <w:adjustRightInd w:val="0"/>
    </w:pPr>
    <w:rPr>
      <w:rFonts w:ascii="仿宋_GB2312" w:hAnsi="Calibri" w:eastAsia="仿宋_GB2312" w:cs="Times New Roman"/>
      <w:color w:val="000000"/>
      <w:sz w:val="24"/>
      <w:szCs w:val="22"/>
      <w:lang w:val="en-US" w:eastAsia="zh-CN" w:bidi="ar-SA"/>
    </w:rPr>
  </w:style>
  <w:style w:type="character" w:customStyle="1" w:styleId="82">
    <w:name w:val="bsharetext"/>
    <w:basedOn w:val="28"/>
    <w:qFormat/>
    <w:uiPriority w:val="99"/>
    <w:rPr>
      <w:rFonts w:cs="Times New Roman"/>
    </w:rPr>
  </w:style>
  <w:style w:type="paragraph" w:customStyle="1" w:styleId="83">
    <w:name w:val="正文文字"/>
    <w:basedOn w:val="1"/>
    <w:next w:val="1"/>
    <w:qFormat/>
    <w:uiPriority w:val="99"/>
    <w:pPr>
      <w:autoSpaceDE w:val="0"/>
      <w:autoSpaceDN w:val="0"/>
      <w:spacing w:after="120"/>
      <w:jc w:val="left"/>
    </w:pPr>
    <w:rPr>
      <w:rFonts w:ascii="宋体" w:hAnsi="宋体" w:eastAsia="宋体" w:cs="宋体"/>
      <w:kern w:val="0"/>
      <w:szCs w:val="22"/>
      <w:lang w:val="zh-CN"/>
    </w:rPr>
  </w:style>
  <w:style w:type="paragraph" w:customStyle="1" w:styleId="84">
    <w:name w:val="Normal Indent_735af63d-f57d-49d9-b40b-459ed331e5de"/>
    <w:basedOn w:val="1"/>
    <w:qFormat/>
    <w:uiPriority w:val="99"/>
    <w:pPr>
      <w:autoSpaceDE w:val="0"/>
      <w:autoSpaceDN w:val="0"/>
      <w:ind w:firstLine="200" w:firstLineChars="200"/>
      <w:jc w:val="left"/>
    </w:pPr>
    <w:rPr>
      <w:rFonts w:ascii="宋体" w:hAnsi="宋体" w:eastAsia="楷体_GB2312" w:cs="宋体"/>
      <w:kern w:val="0"/>
      <w:szCs w:val="22"/>
      <w:lang w:val="zh-CN"/>
    </w:rPr>
  </w:style>
  <w:style w:type="paragraph" w:customStyle="1" w:styleId="85">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6">
    <w:name w:val="Header or footer|1"/>
    <w:basedOn w:val="1"/>
    <w:qFormat/>
    <w:uiPriority w:val="99"/>
    <w:pPr>
      <w:autoSpaceDE w:val="0"/>
      <w:autoSpaceDN w:val="0"/>
      <w:jc w:val="left"/>
    </w:pPr>
    <w:rPr>
      <w:rFonts w:ascii="宋体" w:hAnsi="宋体" w:eastAsia="宋体" w:cs="宋体"/>
      <w:b/>
      <w:bCs/>
      <w:kern w:val="0"/>
      <w:sz w:val="26"/>
      <w:szCs w:val="26"/>
      <w:lang w:val="zh-CN"/>
    </w:rPr>
  </w:style>
  <w:style w:type="character" w:customStyle="1" w:styleId="87">
    <w:name w:val="16"/>
    <w:basedOn w:val="28"/>
    <w:qFormat/>
    <w:uiPriority w:val="99"/>
    <w:rPr>
      <w:rFonts w:ascii="Calibri" w:hAnsi="Calibri" w:cs="Times New Roman"/>
    </w:rPr>
  </w:style>
  <w:style w:type="paragraph" w:customStyle="1" w:styleId="88">
    <w:name w:val="Header or footer|2"/>
    <w:basedOn w:val="1"/>
    <w:qFormat/>
    <w:uiPriority w:val="99"/>
    <w:pPr>
      <w:autoSpaceDE w:val="0"/>
      <w:autoSpaceDN w:val="0"/>
      <w:jc w:val="left"/>
    </w:pPr>
    <w:rPr>
      <w:rFonts w:ascii="宋体" w:hAnsi="宋体" w:eastAsia="宋体" w:cs="宋体"/>
      <w:kern w:val="0"/>
      <w:sz w:val="20"/>
      <w:szCs w:val="20"/>
      <w:lang w:val="zh-TW" w:eastAsia="zh-TW"/>
    </w:rPr>
  </w:style>
  <w:style w:type="paragraph" w:customStyle="1" w:styleId="89">
    <w:name w:val="_Style 53"/>
    <w:basedOn w:val="1"/>
    <w:next w:val="1"/>
    <w:qFormat/>
    <w:uiPriority w:val="99"/>
    <w:pPr>
      <w:pBdr>
        <w:bottom w:val="single" w:color="auto" w:sz="6" w:space="1"/>
      </w:pBdr>
      <w:autoSpaceDE w:val="0"/>
      <w:autoSpaceDN w:val="0"/>
      <w:jc w:val="center"/>
    </w:pPr>
    <w:rPr>
      <w:rFonts w:ascii="Arial" w:hAnsi="宋体" w:eastAsia="宋体" w:cs="宋体"/>
      <w:vanish/>
      <w:kern w:val="0"/>
      <w:sz w:val="16"/>
      <w:szCs w:val="22"/>
      <w:lang w:val="zh-CN"/>
    </w:rPr>
  </w:style>
  <w:style w:type="paragraph" w:customStyle="1" w:styleId="90">
    <w:name w:val="_Style 54"/>
    <w:basedOn w:val="1"/>
    <w:next w:val="1"/>
    <w:qFormat/>
    <w:uiPriority w:val="99"/>
    <w:pPr>
      <w:pBdr>
        <w:top w:val="single" w:color="auto" w:sz="6" w:space="1"/>
      </w:pBdr>
      <w:autoSpaceDE w:val="0"/>
      <w:autoSpaceDN w:val="0"/>
      <w:jc w:val="center"/>
    </w:pPr>
    <w:rPr>
      <w:rFonts w:ascii="Arial" w:hAnsi="宋体" w:eastAsia="宋体" w:cs="宋体"/>
      <w:vanish/>
      <w:kern w:val="0"/>
      <w:sz w:val="16"/>
      <w:szCs w:val="22"/>
      <w:lang w:val="zh-CN"/>
    </w:rPr>
  </w:style>
  <w:style w:type="paragraph" w:customStyle="1" w:styleId="91">
    <w:name w:val="Normal1"/>
    <w:qFormat/>
    <w:uiPriority w:val="99"/>
    <w:pPr>
      <w:jc w:val="both"/>
    </w:pPr>
    <w:rPr>
      <w:rFonts w:ascii="Times New Roman" w:hAnsi="Times New Roman" w:eastAsia="宋体" w:cs="Times New Roman"/>
      <w:kern w:val="2"/>
      <w:sz w:val="21"/>
      <w:szCs w:val="21"/>
      <w:lang w:val="en-US" w:eastAsia="zh-CN" w:bidi="ar-SA"/>
    </w:rPr>
  </w:style>
  <w:style w:type="paragraph" w:customStyle="1" w:styleId="92">
    <w:name w:val="BodyText1I"/>
    <w:basedOn w:val="93"/>
    <w:next w:val="1"/>
    <w:qFormat/>
    <w:uiPriority w:val="99"/>
    <w:pPr>
      <w:ind w:firstLine="420" w:firstLineChars="100"/>
    </w:pPr>
  </w:style>
  <w:style w:type="paragraph" w:customStyle="1" w:styleId="93">
    <w:name w:val="BodyText"/>
    <w:basedOn w:val="1"/>
    <w:next w:val="94"/>
    <w:qFormat/>
    <w:uiPriority w:val="99"/>
    <w:pPr>
      <w:autoSpaceDE w:val="0"/>
      <w:autoSpaceDN w:val="0"/>
      <w:textAlignment w:val="baseline"/>
    </w:pPr>
    <w:rPr>
      <w:rFonts w:ascii="PMingLiUfalt" w:hAnsi="PMingLiUfalt" w:eastAsia="PMingLiUfalt" w:cs="宋体"/>
      <w:sz w:val="20"/>
      <w:szCs w:val="20"/>
      <w:lang w:val="zh-CN"/>
    </w:rPr>
  </w:style>
  <w:style w:type="paragraph" w:customStyle="1" w:styleId="94">
    <w:name w:val="BodyText2"/>
    <w:basedOn w:val="1"/>
    <w:next w:val="93"/>
    <w:qFormat/>
    <w:uiPriority w:val="99"/>
    <w:pPr>
      <w:autoSpaceDE w:val="0"/>
      <w:autoSpaceDN w:val="0"/>
      <w:spacing w:line="480" w:lineRule="auto"/>
      <w:textAlignment w:val="baseline"/>
    </w:pPr>
    <w:rPr>
      <w:rFonts w:ascii="Times New Roman" w:hAnsi="Times New Roman" w:eastAsia="宋体" w:cs="宋体"/>
      <w:sz w:val="21"/>
      <w:szCs w:val="24"/>
    </w:rPr>
  </w:style>
  <w:style w:type="character" w:customStyle="1" w:styleId="95">
    <w:name w:val="font11"/>
    <w:basedOn w:val="28"/>
    <w:qFormat/>
    <w:uiPriority w:val="0"/>
    <w:rPr>
      <w:rFonts w:hint="default" w:ascii="仿宋_GB2312" w:eastAsia="仿宋_GB2312" w:cs="仿宋_GB2312"/>
      <w:color w:val="000000"/>
      <w:sz w:val="18"/>
      <w:szCs w:val="18"/>
      <w:u w:val="none"/>
    </w:rPr>
  </w:style>
  <w:style w:type="character" w:customStyle="1" w:styleId="96">
    <w:name w:val="font31"/>
    <w:basedOn w:val="28"/>
    <w:qFormat/>
    <w:uiPriority w:val="0"/>
    <w:rPr>
      <w:rFonts w:hint="default" w:ascii="Times New Roman" w:hAnsi="Times New Roman" w:cs="Times New Roman"/>
      <w:color w:val="000000"/>
      <w:sz w:val="18"/>
      <w:szCs w:val="18"/>
      <w:u w:val="none"/>
    </w:rPr>
  </w:style>
  <w:style w:type="paragraph" w:customStyle="1" w:styleId="97">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98">
    <w:name w:val="表格"/>
    <w:basedOn w:val="22"/>
    <w:next w:val="1"/>
    <w:qFormat/>
    <w:uiPriority w:val="0"/>
    <w:rPr>
      <w:rFonts w:asciiTheme="minorHAnsi" w:hAnsiTheme="minorHAnsi" w:eastAsiaTheme="minorEastAsia" w:cstheme="minorBidi"/>
      <w:szCs w:val="24"/>
    </w:rPr>
  </w:style>
  <w:style w:type="table" w:customStyle="1" w:styleId="99">
    <w:name w:val="Table Normal"/>
    <w:unhideWhenUsed/>
    <w:qFormat/>
    <w:uiPriority w:val="0"/>
    <w:rPr>
      <w:rFonts w:ascii="Times New Roman" w:hAnsi="Times New Roman"/>
    </w:rPr>
    <w:tblPr>
      <w:tblCellMar>
        <w:top w:w="0" w:type="dxa"/>
        <w:left w:w="0" w:type="dxa"/>
        <w:bottom w:w="0" w:type="dxa"/>
        <w:right w:w="0" w:type="dxa"/>
      </w:tblCellMar>
    </w:tblPr>
  </w:style>
  <w:style w:type="table" w:customStyle="1" w:styleId="100">
    <w:name w:val="网格型2"/>
    <w:basedOn w:val="2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
    <w:name w:val="Table Normal1"/>
    <w:unhideWhenUsed/>
    <w:qFormat/>
    <w:uiPriority w:val="0"/>
    <w:rPr>
      <w:rFonts w:ascii="Times New Roman" w:hAnsi="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htjs</Company>
  <Pages>581</Pages>
  <Words>344379</Words>
  <Characters>349224</Characters>
  <Lines>2521</Lines>
  <Paragraphs>710</Paragraphs>
  <TotalTime>30</TotalTime>
  <ScaleCrop>false</ScaleCrop>
  <LinksUpToDate>false</LinksUpToDate>
  <CharactersWithSpaces>349901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2022-05-13T19:07:00Z</dcterms:created>
  <dc:creator>用户33</dc:creator>
  <cp:lastModifiedBy></cp:lastModifiedBy>
  <cp:lastPrinted>2022-05-14T04:12:00Z</cp:lastPrinted>
  <dcterms:modified xsi:type="dcterms:W3CDTF">2022-06-17T10:09:12Z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8B4DF3E8065344E1861F89AD98F1B720</vt:lpwstr>
  </property>
</Properties>
</file>