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after="156" w:afterLines="50" w:line="560" w:lineRule="exact"/>
        <w:jc w:val="center"/>
        <w:rPr>
          <w:rFonts w:ascii="方正小标宋简体" w:hAnsi="方正小标宋简体" w:eastAsia="方正小标宋简体" w:cs="方正小标宋简体"/>
          <w:color w:val="000000"/>
          <w:sz w:val="44"/>
          <w:szCs w:val="44"/>
        </w:rPr>
      </w:pPr>
      <w:bookmarkStart w:id="0" w:name="_GoBack"/>
      <w:bookmarkEnd w:id="0"/>
    </w:p>
    <w:p>
      <w:pPr>
        <w:wordWrap w:val="0"/>
        <w:snapToGrid w:val="0"/>
        <w:spacing w:after="156" w:afterLines="50" w:line="560" w:lineRule="exact"/>
        <w:jc w:val="center"/>
        <w:rPr>
          <w:rFonts w:ascii="方正小标宋简体" w:hAnsi="方正小标宋简体" w:eastAsia="方正小标宋简体" w:cs="方正小标宋简体"/>
          <w:color w:val="000000"/>
          <w:w w:val="90"/>
          <w:sz w:val="44"/>
          <w:szCs w:val="44"/>
        </w:rPr>
      </w:pPr>
      <w:r>
        <w:rPr>
          <w:rFonts w:hint="eastAsia" w:ascii="方正小标宋简体" w:hAnsi="方正小标宋简体" w:eastAsia="方正小标宋简体" w:cs="方正小标宋简体"/>
          <w:color w:val="000000"/>
          <w:w w:val="90"/>
          <w:sz w:val="44"/>
          <w:szCs w:val="44"/>
        </w:rPr>
        <w:t>在南阳市宛城区、卧龙区落实的权责事项清单</w:t>
      </w:r>
    </w:p>
    <w:tbl>
      <w:tblPr>
        <w:tblStyle w:val="11"/>
        <w:tblW w:w="5000" w:type="pct"/>
        <w:jc w:val="center"/>
        <w:tblLayout w:type="autofit"/>
        <w:tblCellMar>
          <w:top w:w="0" w:type="dxa"/>
          <w:left w:w="108" w:type="dxa"/>
          <w:bottom w:w="0" w:type="dxa"/>
          <w:right w:w="108" w:type="dxa"/>
        </w:tblCellMar>
      </w:tblPr>
      <w:tblGrid>
        <w:gridCol w:w="710"/>
        <w:gridCol w:w="1672"/>
        <w:gridCol w:w="4156"/>
        <w:gridCol w:w="753"/>
        <w:gridCol w:w="720"/>
        <w:gridCol w:w="709"/>
      </w:tblGrid>
      <w:tr>
        <w:tblPrEx>
          <w:tblCellMar>
            <w:top w:w="0" w:type="dxa"/>
            <w:left w:w="108" w:type="dxa"/>
            <w:bottom w:w="0" w:type="dxa"/>
            <w:right w:w="108" w:type="dxa"/>
          </w:tblCellMar>
        </w:tblPrEx>
        <w:trPr>
          <w:trHeight w:val="705" w:hRule="atLeast"/>
          <w:tblHeader/>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单位</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权责事项名称</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权责</w:t>
            </w:r>
          </w:p>
          <w:p>
            <w:pPr>
              <w:widowControl/>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类别</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赋权</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方式</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备注</w:t>
            </w:r>
          </w:p>
        </w:tc>
      </w:tr>
      <w:tr>
        <w:tblPrEx>
          <w:tblCellMar>
            <w:top w:w="0" w:type="dxa"/>
            <w:left w:w="108" w:type="dxa"/>
            <w:bottom w:w="0" w:type="dxa"/>
            <w:right w:w="108" w:type="dxa"/>
          </w:tblCellMar>
        </w:tblPrEx>
        <w:trPr>
          <w:trHeight w:val="683"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市新闻出版局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出版物批发单位设立、变更或者兼并、合并、分立审核</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119"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市新闻出版局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从事包装装潢印刷品和其他印刷品印刷经营活动企业的设立、兼营或者兼并、合并、分立、变更审批</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市教育局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幼儿园、小学、初中教师资格认定（体检）</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市司法局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基层法律服务工作者执业核准市级审核</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市司法局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对基层法律服务所违反执业的处罚</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行政处罚</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市司法局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基层法律服务所变更、注销核准登记</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市人力资源社会保障局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中小学教师中级职称评审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2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城高速公路环线合围区域、城乡一体化示范区所辖的高速公路以外区域、高铁片区范围之外核发《建设项目用地预审与选址意见书》《建设用地规划许可证》《建设工程规划许可证》《乡村建设规划许可证》《建设工程规划核实意见》</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9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环城高速公路环线合围区域、城乡一体化示范区所辖的高速公路以外区域、高铁片区范围之外建设项目用地规划条件、修建性详细规划及建设工程设计方案的审批，项目批后监管及规划核实</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7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建设用地报件补充耕地方案审查</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373"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工业、仓储物流项目核发《建设项目用地预审与选址意见书》《建设工程规划许可证》《建设工程规划土地核实意见确认书》</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市自然资源和规划局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工业、仓储物流项目用地规划选址、规划条件、修建性详细规划及建设工程设计方案的审批，项目批后监管及规划核实</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54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13</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建筑业企业资质核准（总承包特级、一级、部分二级及部分专业承包一级、二级除外）</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14</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工程监理企业资质核准（综合、专业甲级除外）</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15</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房地产中介（经纪机构）备案</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16</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对物业管理活动的监督管理</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17</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行政区域内民用建筑节能的监督管理</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18</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建筑工程使用新型墙体材料行为的监管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19</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特殊建设工程消防设计审查（市级财政投资项目）</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23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前期物业管理招标备案</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21</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城乡建设局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前期物业管理中标备案</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22</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渔业船舶及船用产品检验</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23</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船舶在港口水域外申请从事内河危险货物过驳作业或者海上散装液体污染危害性货物过驳作业审批</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24</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内河通航水域安全作业备案</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25</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载运危险货物和污染危害性货物进出港口审批</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26</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港口内进行危险货物的装卸、过驳作业许可</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27</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港口采掘、爆破施工作业许可</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28</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港口危险货物作业的建设项目安全设施设计审查行政许可</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29</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kern w:val="0"/>
                <w:sz w:val="24"/>
                <w:szCs w:val="24"/>
              </w:rPr>
            </w:pPr>
            <w:r>
              <w:fldChar w:fldCharType="begin"/>
            </w:r>
            <w:r>
              <w:instrText xml:space="preserve"> HYPERLINK "http://qzqd.nanyang.gov.cn/qzqd/jtj/354511.htm" </w:instrText>
            </w:r>
            <w:r>
              <w:fldChar w:fldCharType="separate"/>
            </w:r>
            <w:r>
              <w:rPr>
                <w:rFonts w:hint="eastAsia" w:ascii="仿宋_GB2312" w:hAnsi="仿宋_GB2312" w:eastAsia="仿宋_GB2312" w:cs="仿宋_GB2312"/>
                <w:color w:val="000000"/>
                <w:kern w:val="0"/>
                <w:sz w:val="24"/>
                <w:szCs w:val="24"/>
              </w:rPr>
              <w:t>向有关单位和个人了解情况，查阅复制有关资料的监督检查</w:t>
            </w:r>
            <w:r>
              <w:rPr>
                <w:rFonts w:hint="eastAsia" w:ascii="仿宋_GB2312" w:hAnsi="仿宋_GB2312" w:eastAsia="仿宋_GB2312" w:cs="仿宋_GB2312"/>
                <w:color w:val="000000"/>
                <w:kern w:val="0"/>
                <w:sz w:val="24"/>
                <w:szCs w:val="24"/>
              </w:rPr>
              <w:fldChar w:fldCharType="end"/>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30</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对水路运输辅助业实施监督检查</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31</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水路运输市场实施监督检查</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32</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对有违反水上交通安全和防治船舶污染水域法律、行政法规行为船员的检查</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33</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对船员注册、任职资格、履行职责、安全记录，船员培训机构培训质量，船员服务机构诚实守信以及船员用人单位保护船员合法权益等情况的监督检查</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32"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34</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港口法执行情况实施监督检查</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35</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港口安全生产情况实施监督检查</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船舶进出港报告</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行政确认</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航行通（警）告办理</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597"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38</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船舶文书签注（《航海（行）日志》《轮机日志》《车钟记录簿》《垃圾记录簿》《货物记录簿》《油类记录簿》《货物系固手册》）</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39</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市交通运输局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内河通航水域安全作业备案</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40</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对成品油零售经营企业未按规定参加年检或年检不合格行为的处理</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41</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成品油零售（加油站点）年度规划、经营企业扩建规划的确认</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42</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成品油零售经营企业暂时歇业的初审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43</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撤销成品油零售经营企业成品油经营资格的初审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44</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成品油零售经营资格延续申请（初审）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45</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成品油零售经营企业名称变更（初审）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28"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46</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成品油零售经营企业地址变更（初审）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87"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47</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成品油零售经营企业法定代表人或负责人变更（初审）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7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48</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成品油零售经营企业投资主体变更（初审）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04"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49</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成品油零售经营企业扩建（初审）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02"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成品油零售经营企业迁建（初审）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4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51</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成品油零售经营批准证书遗失补证（初审）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3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52</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成品油零售经营资格的注销（初审）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2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53</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成品油零售经营资格首次申请（初审）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2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54</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成品油零售经营资格年检</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2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55</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二手车交易市场及经营主体首次备案（初审）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56</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二手车交易市场及经营主体企业名称变更（初审）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3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57</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二手车交易市场及经营主体企业法定代表人或负责人变更（初审）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58</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二手车交易市场迁建（初审）</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69"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59</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市退役军人局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烈士亲属异地祭扫烈士墓补助费</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60</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市退役军人局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烈士遗属、因公牺牲军人遗属、病故军人遗属定期抚恤金领取资格确认</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行政确认</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61</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市退役军人局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贯彻执行党和国家军队转业干部安置政策和安置计划，拟定全区军队转业干部和随调配偶接收安置政策性措施、接收安置计划并组织实施</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62</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市退役军人局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烈士家属异地祭扫介绍信开具</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行政确认</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63</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市退役军人局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自主就业退役士兵职业教育和技能培训</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64</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市招商投资促进局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对外国投资者或者外商投资企业未按照《外商投资信息报告办法》要求报送投资信息，且在商务主管部门通知后未按照本办法予以补报或更正的行为的处罚</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行政处罚</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64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65</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市招商投资促进局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不涉及国家规定实施准入特别管理措施的外国投资者直接或者间接在中国境内进行投资活动，应由外国投资者或者外商投资企业根据《外商投资信息报告办法》向商务主管部门报送投资信息</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5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66</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市招商投资促进局</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对外国投资者、外商投资企业遵守《外商投资信息报告办法》情况实施监督检查</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行政检查</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75"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67</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市不动产登记服务中心</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房屋租赁网签备案</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90" w:hRule="atLeast"/>
          <w:jc w:val="center"/>
        </w:trPr>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68</w:t>
            </w:r>
          </w:p>
        </w:tc>
        <w:tc>
          <w:tcPr>
            <w:tcW w:w="95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市公共资源交易中心</w:t>
            </w:r>
          </w:p>
        </w:tc>
        <w:tc>
          <w:tcPr>
            <w:tcW w:w="238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中心城区范围以外规划管理和土地供应出让相关的土地交易</w:t>
            </w:r>
          </w:p>
        </w:tc>
        <w:tc>
          <w:tcPr>
            <w:tcW w:w="43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413"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40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bl>
    <w:p>
      <w:pPr>
        <w:rPr>
          <w:rFonts w:ascii="黑体" w:hAnsi="黑体" w:eastAsia="黑体" w:cs="黑体"/>
          <w:color w:val="000000"/>
        </w:rPr>
      </w:pPr>
      <w:r>
        <w:rPr>
          <w:color w:val="000000"/>
        </w:rPr>
        <w:br w:type="page"/>
      </w:r>
    </w:p>
    <w:p>
      <w:pPr>
        <w:pStyle w:val="2"/>
        <w:snapToGrid w:val="0"/>
        <w:spacing w:after="0" w:line="200" w:lineRule="exact"/>
        <w:ind w:firstLine="210"/>
        <w:rPr>
          <w:color w:val="000000"/>
        </w:rPr>
      </w:pPr>
    </w:p>
    <w:p>
      <w:pPr>
        <w:wordWrap w:val="0"/>
        <w:snapToGrid w:val="0"/>
        <w:spacing w:after="156" w:afterLines="50"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在南阳市城乡一体化示范区、官庄工区、</w:t>
      </w:r>
    </w:p>
    <w:p>
      <w:pPr>
        <w:wordWrap w:val="0"/>
        <w:snapToGrid w:val="0"/>
        <w:spacing w:after="156" w:afterLines="50"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鸭河工区、卧龙综合保税区落实的权责事项清  单</w:t>
      </w:r>
    </w:p>
    <w:tbl>
      <w:tblPr>
        <w:tblStyle w:val="11"/>
        <w:tblW w:w="5000" w:type="pct"/>
        <w:jc w:val="center"/>
        <w:tblLayout w:type="autofit"/>
        <w:tblCellMar>
          <w:top w:w="0" w:type="dxa"/>
          <w:left w:w="108" w:type="dxa"/>
          <w:bottom w:w="0" w:type="dxa"/>
          <w:right w:w="108" w:type="dxa"/>
        </w:tblCellMar>
      </w:tblPr>
      <w:tblGrid>
        <w:gridCol w:w="636"/>
        <w:gridCol w:w="1291"/>
        <w:gridCol w:w="3029"/>
        <w:gridCol w:w="726"/>
        <w:gridCol w:w="1060"/>
        <w:gridCol w:w="1409"/>
        <w:gridCol w:w="569"/>
      </w:tblGrid>
      <w:tr>
        <w:tblPrEx>
          <w:tblCellMar>
            <w:top w:w="0" w:type="dxa"/>
            <w:left w:w="108" w:type="dxa"/>
            <w:bottom w:w="0" w:type="dxa"/>
            <w:right w:w="108" w:type="dxa"/>
          </w:tblCellMar>
        </w:tblPrEx>
        <w:trPr>
          <w:trHeight w:val="1409" w:hRule="atLeast"/>
          <w:tblHeader/>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序号</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单位</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权责事项名称</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权责类别</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官庄工区、鸭河工区赋权方式</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城乡一体化示范区、卧龙综合保税区赋权方式</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黑体" w:hAnsi="黑体" w:eastAsia="黑体" w:cs="黑体"/>
                <w:color w:val="000000"/>
                <w:kern w:val="0"/>
                <w:sz w:val="24"/>
                <w:szCs w:val="24"/>
              </w:rPr>
            </w:pPr>
            <w:r>
              <w:rPr>
                <w:rFonts w:hint="eastAsia" w:ascii="黑体" w:hAnsi="黑体" w:eastAsia="黑体" w:cs="黑体"/>
                <w:color w:val="000000"/>
                <w:kern w:val="0"/>
                <w:sz w:val="24"/>
                <w:szCs w:val="24"/>
              </w:rPr>
              <w:t>备</w:t>
            </w:r>
          </w:p>
          <w:p>
            <w:pPr>
              <w:widowControl/>
              <w:snapToGrid w:val="0"/>
              <w:spacing w:line="300" w:lineRule="exact"/>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rPr>
              <w:t>注</w:t>
            </w: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市发展</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改革委</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固定资产投资项目节能审查初审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市发展</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改革委</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政府投资项目审核（审批）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市发展</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改革委</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企业投资（含外商投资）项目备案</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市发展</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改革委</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企业投资（含外商投资）项目核准</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个体工商户清真食品生产经营许可（申请）</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企业法人清真食品生产经营许可(申请)</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企业法人清真食品生产经营许可(经营场所变更)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个体工商户清真食品生产经营许可(经营范围变更)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57"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个体工商户清真食品生产经营许可（延续）</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企业法人清真食品生产经营许可(经营范围变更)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企业法人清真食品生产经营许可（延续）</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企业法人清真食品生产经营许可（补办）</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个体工商户清真食品生产经营许可（注销）</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个体工商户清真食品生产经营许可（名称变更）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个体工商户清真食品生产经营许可（补办）</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个体工商户清真食品生产经营许可(经营场所变更)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企业法人清真食品生产经营许可（名称变更）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个体工商户清真食品生产经营许可（法定代表人变更）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95"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企业法人清真食品生产经营许可（法定代表人变更）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市民宗局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企业法人清真食品生产经营许可（注销）</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市财政局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会计代理记账机构许可</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95"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市财政局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中介机构从事代理记账业务审批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81"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市财政局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撤销会计代理记账资格</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市财政局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地方金融类企业国有资产产权登记</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乡村建设规划许可证</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建设用地规划许可证核发</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建设工程规划许可证核发</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控制性详细规划编制</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核发建设用地规划设计条件</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临时用地审批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117"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建设项目用地预审与选址意见书核发</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325"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建设用地规划许可证、建设工程规划许可证延期</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建设用地规划许可证、建设工程规划许可证变更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建设用地规划许可证、建设工程规划许可证注销</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出让土地使用权转让批复</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国有建设用地使用权出让后土地使用权分割转让批准</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市自然</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资源和</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规划局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建设工程规划土地核实意见确认书核发</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建设项目环境影响评价文件审批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39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入河排污口的设置和扩大审核</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《危险废物收集经营许可证》注销</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98"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现有经营单位重新申领《危险废物收集经营许可证》</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645"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首次申领《危险废物收集经营许可证》</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《危险废物收集经营许可证》经营场所负责人信息变更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《危险废物收集经营许可证》企业法定代表人姓名信息变更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到期换发《危险废物收集经营许可证》</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《危险废物收集经营许可证》基础信息变更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《危险废物收集经营许可证》遗失补办</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市生态</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环境局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《危险废物收集经营许可证》企业名称信息变更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49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建筑工程施工许可证核发</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建筑工程施工许可证补办</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建筑工程施工许可证延期</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建筑起重机械设备备案</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建筑起重机械设备备案注销</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建筑起重机械设备使用登记</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建筑起重机械设备使用登记注销</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其他职权</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建筑起重机械设备安装（拆卸）告知</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特殊建设工程的消防设计审查</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59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特殊建设工程的消防验收</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48"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建筑工程施工许可证变更（设计单位项目负责人变更）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976"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建筑工程施工许可证变更（建设单位项目负责人变更）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61"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建筑工程施工许可证变更（工程名称变更）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1002"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建筑工程施工许可证变更（勘察单位项目负责人变更）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建筑工程施工许可证变更（建设规模变更）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建筑工程施工许可证变更（设计单位变更）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建筑工程施工许可证变更（监理单位总监理工程师变更）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建筑工程施工许可证变更（监理单位变更）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市住房</w:t>
            </w:r>
          </w:p>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城乡</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建设局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建筑工程施工许可证变更（勘察单位变更）</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69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市交通</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运输局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公路水运工程建设项目设计文件审批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市交通</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运输局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公路建设项目施工许可</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成品油零售经营资格延续申请（初审）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成品油零售经营企业名称变更（初审）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成品油零售经营企业地址变更（初审）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成品油零售经营企业法定代表人或负责人变更（初审）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成品油零售经营企业投资主体变更（初审）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成品油零售经营企业扩建（初审）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成品油零售经营企业迁建（初审）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成品油零售经营批准证书遗失补证（初审）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79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成品油零售经营资格的注销（初审）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市商务局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成品油零售经营资格首次申请（初审）</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授权</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食品生产许可</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企业设立、变更、注销</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pacing w:val="-23"/>
                <w:w w:val="90"/>
                <w:kern w:val="0"/>
                <w:sz w:val="24"/>
                <w:szCs w:val="24"/>
              </w:rPr>
              <w:t>外商投资除外</w:t>
            </w: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特种设备使用注册登记</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pacing w:val="-23"/>
                <w:w w:val="9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计量标准器具核准</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场（厂）内专用机动车辆改造维修许可、大型游乐设施安装改造维修许可</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78"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药品经营许可（零售）</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1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移动式压力容器、气瓶充装许可</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第二类精神药品、医疗用毒性药品零售审批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89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科研和教学单位所需的毒性药品购买批准</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市市场</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监管局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三类医疗器械经营许可</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委托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市政设施建设类审批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工程建设涉及城市绿地、树木审批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93</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因工程建设需要拆除、改动、迁移供水、排水与污水处理设施审核</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94</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燃气经营许可证核发</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37"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95</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燃气经营者改动市政燃气设施审批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753"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96</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在城市建筑物、设施上悬挂、张贴宣传品审批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97</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从事生活垃圾（含粪便）经营性清扫、收集、运输、处理服务审批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841"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98</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城镇污水排入排水管网许可</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99</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迁移古树名木审批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100</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特殊车辆在城市道路上行驶(包括经过城市桥梁)审批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101</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改变绿化规划、绿化用地的使用性质审批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40" w:hRule="atLeast"/>
          <w:jc w:val="center"/>
        </w:trPr>
        <w:tc>
          <w:tcPr>
            <w:tcW w:w="365"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102</w:t>
            </w:r>
          </w:p>
        </w:tc>
        <w:tc>
          <w:tcPr>
            <w:tcW w:w="7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市城市</w:t>
            </w:r>
          </w:p>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管理局</w:t>
            </w:r>
          </w:p>
        </w:tc>
        <w:tc>
          <w:tcPr>
            <w:tcW w:w="173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停止供水（气）、改（迁、拆）公共供水的审批</w:t>
            </w:r>
          </w:p>
        </w:tc>
        <w:tc>
          <w:tcPr>
            <w:tcW w:w="41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行政许可</w:t>
            </w:r>
          </w:p>
        </w:tc>
        <w:tc>
          <w:tcPr>
            <w:tcW w:w="60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派驻</w:t>
            </w:r>
          </w:p>
        </w:tc>
        <w:tc>
          <w:tcPr>
            <w:tcW w:w="808" w:type="pct"/>
            <w:tcBorders>
              <w:top w:val="single" w:color="000000" w:sz="4" w:space="0"/>
              <w:left w:val="single" w:color="000000" w:sz="4" w:space="0"/>
              <w:bottom w:val="single" w:color="000000" w:sz="4" w:space="0"/>
              <w:right w:val="nil"/>
            </w:tcBorders>
            <w:vAlign w:val="center"/>
          </w:tcPr>
          <w:p>
            <w:pPr>
              <w:widowControl/>
              <w:snapToGrid w:val="0"/>
              <w:spacing w:line="30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直接下放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exact"/>
              <w:rPr>
                <w:rFonts w:ascii="仿宋_GB2312" w:hAnsi="仿宋_GB2312" w:eastAsia="仿宋_GB2312" w:cs="仿宋_GB2312"/>
                <w:color w:val="000000"/>
                <w:sz w:val="24"/>
                <w:szCs w:val="24"/>
              </w:rPr>
            </w:pPr>
          </w:p>
        </w:tc>
      </w:tr>
    </w:tbl>
    <w:p>
      <w:pPr>
        <w:pStyle w:val="10"/>
        <w:ind w:left="0" w:leftChars="0" w:firstLine="0" w:firstLineChars="0"/>
        <w:rPr>
          <w:rFonts w:ascii="仿宋_GB2312" w:hAnsi="仿宋_GB2312" w:eastAsia="仿宋_GB2312" w:cs="仿宋_GB2312"/>
          <w:color w:val="000000"/>
        </w:rPr>
      </w:pPr>
    </w:p>
    <w:sectPr>
      <w:pgSz w:w="11906" w:h="16838"/>
      <w:pgMar w:top="2268" w:right="1701" w:bottom="226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80"/>
    <w:rsid w:val="00033555"/>
    <w:rsid w:val="000473BE"/>
    <w:rsid w:val="0007409A"/>
    <w:rsid w:val="000C190A"/>
    <w:rsid w:val="001679E5"/>
    <w:rsid w:val="00220BD5"/>
    <w:rsid w:val="002508BE"/>
    <w:rsid w:val="002647F4"/>
    <w:rsid w:val="00363FB8"/>
    <w:rsid w:val="003C36D4"/>
    <w:rsid w:val="00466B1D"/>
    <w:rsid w:val="0047569C"/>
    <w:rsid w:val="004769B3"/>
    <w:rsid w:val="00494FB1"/>
    <w:rsid w:val="004E3164"/>
    <w:rsid w:val="00560E80"/>
    <w:rsid w:val="005E4F20"/>
    <w:rsid w:val="00676841"/>
    <w:rsid w:val="00687A00"/>
    <w:rsid w:val="00700A43"/>
    <w:rsid w:val="00714884"/>
    <w:rsid w:val="007E3CF2"/>
    <w:rsid w:val="007F2DC0"/>
    <w:rsid w:val="00876E47"/>
    <w:rsid w:val="008D2A2B"/>
    <w:rsid w:val="00904BFC"/>
    <w:rsid w:val="00942F06"/>
    <w:rsid w:val="009766F5"/>
    <w:rsid w:val="009B471A"/>
    <w:rsid w:val="009F0BF6"/>
    <w:rsid w:val="009F30CC"/>
    <w:rsid w:val="00A6491C"/>
    <w:rsid w:val="00BB6736"/>
    <w:rsid w:val="00C016A8"/>
    <w:rsid w:val="00C26F64"/>
    <w:rsid w:val="00C54EE8"/>
    <w:rsid w:val="00C94EF2"/>
    <w:rsid w:val="00CB1F49"/>
    <w:rsid w:val="00CF2B50"/>
    <w:rsid w:val="00D737A5"/>
    <w:rsid w:val="00DC4E68"/>
    <w:rsid w:val="00DC6181"/>
    <w:rsid w:val="00DD3095"/>
    <w:rsid w:val="00E1132D"/>
    <w:rsid w:val="00E77E48"/>
    <w:rsid w:val="00E920BA"/>
    <w:rsid w:val="00EB1E5C"/>
    <w:rsid w:val="00EE7BF2"/>
    <w:rsid w:val="00FC50DD"/>
    <w:rsid w:val="00FD2D64"/>
    <w:rsid w:val="059526BA"/>
    <w:rsid w:val="08D17CAE"/>
    <w:rsid w:val="0C1869FD"/>
    <w:rsid w:val="10E31AD5"/>
    <w:rsid w:val="1338554B"/>
    <w:rsid w:val="1B333810"/>
    <w:rsid w:val="1C1A711A"/>
    <w:rsid w:val="21544104"/>
    <w:rsid w:val="254F792A"/>
    <w:rsid w:val="2A6F34DB"/>
    <w:rsid w:val="2ADD46AC"/>
    <w:rsid w:val="2C5A2784"/>
    <w:rsid w:val="2EF81939"/>
    <w:rsid w:val="2EF91E9B"/>
    <w:rsid w:val="3134110A"/>
    <w:rsid w:val="32FF10DD"/>
    <w:rsid w:val="33110E66"/>
    <w:rsid w:val="36107189"/>
    <w:rsid w:val="3792255B"/>
    <w:rsid w:val="38542E9A"/>
    <w:rsid w:val="3B1C522D"/>
    <w:rsid w:val="40372346"/>
    <w:rsid w:val="460D07C8"/>
    <w:rsid w:val="47734704"/>
    <w:rsid w:val="491E3D02"/>
    <w:rsid w:val="4A61175D"/>
    <w:rsid w:val="4A9467A7"/>
    <w:rsid w:val="4C4C6B9C"/>
    <w:rsid w:val="4F87711C"/>
    <w:rsid w:val="4FDD60C1"/>
    <w:rsid w:val="517669D6"/>
    <w:rsid w:val="51C3320B"/>
    <w:rsid w:val="526F3A58"/>
    <w:rsid w:val="53633334"/>
    <w:rsid w:val="54932FC7"/>
    <w:rsid w:val="56B56EE9"/>
    <w:rsid w:val="59427CFB"/>
    <w:rsid w:val="662C7AAE"/>
    <w:rsid w:val="6D4F7A85"/>
    <w:rsid w:val="719C4AE1"/>
    <w:rsid w:val="7574082D"/>
    <w:rsid w:val="77A63126"/>
    <w:rsid w:val="79290C6F"/>
    <w:rsid w:val="7DDA7907"/>
    <w:rsid w:val="7EB279F6"/>
    <w:rsid w:val="7EBB7DC0"/>
    <w:rsid w:val="7EE3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6"/>
    <w:unhideWhenUsed/>
    <w:qFormat/>
    <w:uiPriority w:val="0"/>
    <w:pPr>
      <w:adjustRightInd w:val="0"/>
      <w:jc w:val="left"/>
      <w:outlineLvl w:val="1"/>
    </w:pPr>
    <w:rPr>
      <w:rFonts w:hint="eastAsia" w:ascii="宋体" w:hAnsi="宋体" w:eastAsia="黑体" w:cs="Times New Roman"/>
      <w:bCs/>
      <w:kern w:val="0"/>
      <w:sz w:val="32"/>
      <w:szCs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Body Text First Indent1"/>
    <w:basedOn w:val="3"/>
    <w:next w:val="1"/>
    <w:qFormat/>
    <w:uiPriority w:val="0"/>
    <w:pPr>
      <w:tabs>
        <w:tab w:val="left" w:pos="2250"/>
        <w:tab w:val="center" w:pos="4153"/>
        <w:tab w:val="right" w:pos="8306"/>
      </w:tabs>
      <w:ind w:firstLine="420" w:firstLineChars="100"/>
    </w:pPr>
  </w:style>
  <w:style w:type="paragraph" w:styleId="3">
    <w:name w:val="Body Text"/>
    <w:basedOn w:val="1"/>
    <w:next w:val="1"/>
    <w:qFormat/>
    <w:uiPriority w:val="0"/>
    <w:pPr>
      <w:spacing w:after="120"/>
    </w:pPr>
  </w:style>
  <w:style w:type="paragraph" w:styleId="5">
    <w:name w:val="Normal Indent"/>
    <w:basedOn w:val="1"/>
    <w:unhideWhenUsed/>
    <w:qFormat/>
    <w:uiPriority w:val="99"/>
    <w:pPr>
      <w:ind w:firstLine="420" w:firstLineChars="200"/>
    </w:pPr>
  </w:style>
  <w:style w:type="paragraph" w:styleId="6">
    <w:name w:val="Body Text Indent"/>
    <w:basedOn w:val="1"/>
    <w:next w:val="5"/>
    <w:qFormat/>
    <w:uiPriority w:val="0"/>
    <w:pPr>
      <w:ind w:left="420" w:leftChars="200"/>
    </w:pPr>
  </w:style>
  <w:style w:type="paragraph" w:styleId="7">
    <w:name w:val="Balloon Text"/>
    <w:basedOn w:val="1"/>
    <w:link w:val="17"/>
    <w:semiHidden/>
    <w:unhideWhenUsed/>
    <w:qFormat/>
    <w:uiPriority w:val="99"/>
    <w:rPr>
      <w:sz w:val="18"/>
      <w:szCs w:val="18"/>
    </w:rPr>
  </w:style>
  <w:style w:type="paragraph" w:styleId="8">
    <w:name w:val="footer"/>
    <w:basedOn w:val="1"/>
    <w:next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qFormat/>
    <w:uiPriority w:val="0"/>
    <w:pPr>
      <w:ind w:firstLine="420" w:firstLine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标题 2 Char"/>
    <w:link w:val="4"/>
    <w:qFormat/>
    <w:uiPriority w:val="0"/>
    <w:rPr>
      <w:rFonts w:hint="eastAsia" w:ascii="宋体" w:hAnsi="宋体" w:eastAsia="黑体" w:cs="宋体"/>
      <w:bCs/>
      <w:kern w:val="0"/>
      <w:sz w:val="32"/>
      <w:szCs w:val="36"/>
    </w:rPr>
  </w:style>
  <w:style w:type="character" w:customStyle="1" w:styleId="17">
    <w:name w:val="批注框文本 Char"/>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736BC9-6F7F-4497-BAF1-8FA2001170B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1180</Words>
  <Characters>6730</Characters>
  <Lines>56</Lines>
  <Paragraphs>15</Paragraphs>
  <TotalTime>11</TotalTime>
  <ScaleCrop>false</ScaleCrop>
  <LinksUpToDate>false</LinksUpToDate>
  <CharactersWithSpaces>7895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2017-05-12T04:47:00Z</dcterms:created>
  <dc:creator>系统管理员</dc:creator>
  <cp:lastModifiedBy>86135</cp:lastModifiedBy>
  <dcterms:modified xsi:type="dcterms:W3CDTF">2022-04-29T14:04:55Z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