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rPr>
      </w:pPr>
      <w:r>
        <w:rPr>
          <w:rFonts w:hint="eastAsia" w:ascii="黑体" w:hAnsi="黑体" w:eastAsia="黑体" w:cs="黑体"/>
        </w:rPr>
        <w:t>附  件</w:t>
      </w:r>
    </w:p>
    <w:p>
      <w:pPr>
        <w:pStyle w:val="2"/>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国家卫生城市常态化创建工作任务</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及责任分工</w:t>
      </w:r>
    </w:p>
    <w:p>
      <w:pPr>
        <w:spacing w:line="600" w:lineRule="exact"/>
        <w:ind w:firstLine="640" w:firstLineChars="200"/>
        <w:rPr>
          <w:rFonts w:hint="eastAsia" w:ascii="仿宋_GB2312" w:hAnsi="仿宋_GB2312" w:cs="仿宋_GB2312"/>
        </w:rPr>
      </w:pPr>
    </w:p>
    <w:p>
      <w:pPr>
        <w:spacing w:line="600" w:lineRule="exact"/>
        <w:ind w:firstLine="640" w:firstLineChars="200"/>
        <w:rPr>
          <w:rFonts w:hint="eastAsia" w:ascii="黑体" w:hAnsi="黑体" w:eastAsia="黑体" w:cs="黑体"/>
        </w:rPr>
      </w:pPr>
      <w:r>
        <w:rPr>
          <w:rFonts w:hint="eastAsia" w:ascii="黑体" w:hAnsi="黑体" w:eastAsia="黑体" w:cs="黑体"/>
        </w:rPr>
        <w:t>一、爱国卫生组织管理</w:t>
      </w:r>
    </w:p>
    <w:p>
      <w:pPr>
        <w:spacing w:line="600" w:lineRule="exact"/>
        <w:ind w:firstLine="640" w:firstLineChars="200"/>
        <w:rPr>
          <w:rFonts w:hint="eastAsia" w:ascii="仿宋_GB2312" w:hAnsi="仿宋_GB2312" w:cs="仿宋_GB2312"/>
        </w:rPr>
      </w:pPr>
      <w:r>
        <w:rPr>
          <w:rFonts w:hint="eastAsia" w:ascii="仿宋_GB2312" w:hAnsi="仿宋_GB2312" w:cs="仿宋_GB2312"/>
        </w:rPr>
        <w:t>1.将爱国卫生工作纳入辖区各级政府重要议事日程，列入经济社会发展规划，纳入政府绩效考核指标。要适时提请市人大常委会制定南阳市爱国卫生法规，中心城区四区要制定爱国卫生规范性文件。</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配合部门：市直各单位</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辖区内各级爱国卫生运动委员会组织健全，成员单位分工明确、职责落实。爱国卫生运动委员会办公室机构、职能、人员、经费等有保障。街道（乡镇）、社区（村）、机关、企事业单位要明确专兼职爱国卫生工作人员，村（居）民委员会要健全下属公共卫生委员会，推动落实好爱国卫生工作。</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配合部门：市委编办，市财政局，市爱卫会其他成员单位</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爱国卫生工作年度有计划、有部署、有检查、有总结。开展基层卫生创建活动，鼓励辖区范围内的县和乡镇积极开展国家卫生县城和国家卫生乡镇创建，逐步推进全域创建。广泛开展城乡群众性爱国卫生活动，各部门、各单位和广大群众积极参与。辖区范围内省级以上卫生乡镇建成率不低于60%。在城乡广泛开展爱国卫生教育宣传活动。</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配合部门：市爱卫会各成员单位</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探索建立健康影响评估制度，推动将健康融入所有政策，把全生命周期健康管理理念贯穿城市规划、建设和管理全过程各环节。将应对突发公共卫生事件纳入国土空间规划和城市建设规划，并逐步建设完善相关设施。</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配合部门：市政府各部门</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5.畅通爱国卫生建议和投诉渠道，认真核实和解决群众反映的问题。群众对卫生状况满意率≥90%。</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配合部门：市爱卫会各成员单位，各新闻媒体</w:t>
      </w:r>
    </w:p>
    <w:p>
      <w:pPr>
        <w:spacing w:line="600" w:lineRule="exact"/>
        <w:ind w:firstLine="640" w:firstLineChars="200"/>
        <w:rPr>
          <w:rFonts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黑体" w:hAnsi="黑体" w:eastAsia="黑体" w:cs="黑体"/>
        </w:rPr>
      </w:pPr>
      <w:r>
        <w:rPr>
          <w:rFonts w:hint="eastAsia" w:ascii="黑体" w:hAnsi="黑体" w:eastAsia="黑体" w:cs="黑体"/>
        </w:rPr>
        <w:t>二、健康教育和健康促进</w:t>
      </w:r>
    </w:p>
    <w:p>
      <w:pPr>
        <w:spacing w:line="600" w:lineRule="exact"/>
        <w:ind w:firstLine="640" w:firstLineChars="200"/>
        <w:rPr>
          <w:rFonts w:hint="eastAsia" w:ascii="仿宋_GB2312" w:hAnsi="仿宋_GB2312" w:cs="仿宋_GB2312"/>
        </w:rPr>
      </w:pPr>
      <w:r>
        <w:rPr>
          <w:rFonts w:hint="eastAsia" w:ascii="仿宋_GB2312" w:hAnsi="仿宋_GB2312" w:cs="仿宋_GB2312"/>
        </w:rPr>
        <w:t>6.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配合部门：市委宣传部，市中医药发展局、教育局、城市管理局、交通运输局，南阳东站、南航南阳基地、南阳车务段</w:t>
      </w:r>
    </w:p>
    <w:p>
      <w:pPr>
        <w:spacing w:line="600" w:lineRule="exact"/>
        <w:ind w:firstLine="640" w:firstLineChars="200"/>
        <w:rPr>
          <w:rFonts w:hint="eastAsia" w:ascii="仿宋_GB2312" w:hAnsi="仿宋_GB2312" w:cs="仿宋_GB2312"/>
          <w:strike/>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7.辖区内积极开展健康县（区）、健康乡镇和健康村、健康社区、健康企业、健康机关、健康学校、健康促进医院、健康家庭等健康细胞建设。建设健康步道、健康主题公园等，推广“三减三健”等慢性病防控措施。居民健康素养水平≥23%或持续提升。</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配合部门：市委宣传部、市直工委，市工业和信息化局、教育局、民政局、城市管理局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8.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建有全民健身场地设施的社区比例100%,经常参加体育锻炼的人数比例达到40%以上,每千人口至少有3名社会体育指导员。</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配合部门：市发展改革委、民政局、工业和信息化局、财政局、统计局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9.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出台全面控烟法规。无烟党政机关、无烟医疗卫生机构、无烟学校建成比例100%，15岁以上人群吸烟率＜20%。</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配合部门：市烟草专卖局，市市场监管局、交通运输局、教育局、统计局、民政局，南阳东站、南航南阳基地、南阳车务段</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黑体" w:hAnsi="黑体" w:eastAsia="黑体" w:cs="黑体"/>
        </w:rPr>
      </w:pPr>
      <w:r>
        <w:rPr>
          <w:rFonts w:hint="eastAsia" w:ascii="黑体" w:hAnsi="黑体" w:eastAsia="黑体" w:cs="黑体"/>
        </w:rPr>
        <w:t>三、市容环境卫生</w:t>
      </w:r>
    </w:p>
    <w:p>
      <w:pPr>
        <w:spacing w:line="600" w:lineRule="exact"/>
        <w:ind w:firstLine="640" w:firstLineChars="200"/>
        <w:rPr>
          <w:rFonts w:hint="eastAsia" w:ascii="仿宋_GB2312" w:hAnsi="仿宋_GB2312" w:cs="仿宋_GB2312"/>
        </w:rPr>
      </w:pPr>
      <w:r>
        <w:rPr>
          <w:rFonts w:hint="eastAsia" w:ascii="仿宋_GB2312" w:hAnsi="仿宋_GB2312" w:cs="仿宋_GB2312"/>
        </w:rPr>
        <w:t>10.主次干道和街巷路面平整，道路照明及景观照明设施整洁、完好，运行正常，道路装灯率达到100%。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主次干道每日保洁时间≥16小时，街巷路面每日保洁时间≥12小时，道路机械化清扫率≥80%，城市管理信息化覆盖率≥90%。河道、湖泊等水面清洁、岸坡整洁，无垃圾杂物。建筑工地（含待建、拆迁、在建等工地）管理到位，卫生整洁，规范围挡，无扬尘、噪声污染，建筑垃圾规范运输处理，无乱倒垃圾和乱搭乱建现象，管理符合《建筑施工现场环境与卫生标准》要求。</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配合部门：市住房城乡建设局、公安局、水利局、自然资源和规划局、市场监管局、交通运输局、财政局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strike/>
        </w:rPr>
      </w:pPr>
      <w:r>
        <w:rPr>
          <w:rFonts w:hint="eastAsia" w:ascii="仿宋_GB2312" w:hAnsi="仿宋_GB2312" w:cs="仿宋_GB2312"/>
        </w:rPr>
        <w:t>11.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配合部门：市市场监管局、住房城乡建设局、交通运输局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12.加强绿化工作，提高建成区绿化覆盖率和公园绿地面积，强化绿地管理。建成区绿化覆盖率≥38%，人均公园绿地面积≥9平方米。</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配合部门：市财政局、自然资源和规划局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13.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城市生活垃圾无害化处理率100%，中心城区回收网点覆盖率100%，窨井盖完好率≥98%。</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配合部门：市财政局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14.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配合部门：市发展改革委、住房城乡建设局、交通运输局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15.积极推进厕所革命，公共厕所设置符合相关标准要求，数量充足，干净整洁，实现卫生厕所全覆盖。主次干道、车站、医疗机构、机场、港口、旅游景点、集贸市场、商场等公共场所的公厕设施不低于二类标准。生活污水有效收集处理，城市生活污水集中处理率≥85%。</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配合部门：市商务局、文化广电和旅游局、市场监管局、</w:t>
      </w:r>
      <w:r>
        <w:rPr>
          <w:rFonts w:ascii="仿宋_GB2312" w:hAnsi="仿宋_GB2312" w:cs="仿宋_GB2312"/>
          <w:lang w:val="en"/>
        </w:rPr>
        <w:t>卫生健康体育委</w:t>
      </w:r>
      <w:r>
        <w:rPr>
          <w:rFonts w:hint="eastAsia" w:ascii="仿宋_GB2312" w:hAnsi="仿宋_GB2312" w:cs="仿宋_GB2312"/>
        </w:rPr>
        <w:t>、交通运输局，宛运集团、南航南阳基地</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16.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配合部门：市商务局、城市管理局、农业农村局、</w:t>
      </w:r>
      <w:r>
        <w:rPr>
          <w:rFonts w:ascii="仿宋_GB2312" w:hAnsi="仿宋_GB2312" w:cs="仿宋_GB2312"/>
          <w:lang w:val="en"/>
        </w:rPr>
        <w:t>卫生健康体育委</w:t>
      </w:r>
      <w:r>
        <w:rPr>
          <w:rFonts w:hint="eastAsia" w:ascii="仿宋_GB2312" w:hAnsi="仿宋_GB2312" w:cs="仿宋_GB2312"/>
        </w:rPr>
        <w:t>、公安局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17.建成区和城乡结合部饲养畜禽和野生动物需符合有关法律法规要求，居民文明规范饲养宠物，畜禽粪污得到有效处置；各类集贸市场、花鸟宠物市场及动物交易市场无非法交易和宰杀野生动物现象。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配合部门：市商务局、公安局、市场监管局、农业农村局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18.社区和单位建有卫生管理组织和相关制度，卫生状况良好，环卫设施完善，推行垃圾分类，垃圾及时清运，公共厕所符合卫生要求；道路平坦，绿化美化，无乱搭乱建、乱堆乱摆、乱停乱放、乱贴乱画、乱扔乱倒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配合部门：市发展改革委、住房城乡建设局、民政局、市场监管局、公安局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19.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配合部门：市住房城乡建设局、农业农村局、公安局、财政局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numPr>
          <w:ilvl w:val="0"/>
          <w:numId w:val="1"/>
        </w:numPr>
        <w:spacing w:line="600" w:lineRule="exact"/>
        <w:ind w:firstLine="640" w:firstLineChars="200"/>
        <w:rPr>
          <w:rFonts w:hint="eastAsia" w:ascii="仿宋_GB2312" w:hAnsi="仿宋_GB2312" w:cs="仿宋_GB2312"/>
        </w:rPr>
      </w:pPr>
      <w:r>
        <w:rPr>
          <w:rFonts w:hint="eastAsia" w:ascii="仿宋_GB2312" w:hAnsi="仿宋_GB2312" w:cs="仿宋_GB2312"/>
        </w:rPr>
        <w:t>加强铁路沿线两侧环境卫生整治，铁路两侧500米范围内无露天堆放的彩钢瓦、塑料薄膜、防尘网等轻飘物品，铁路沿线安全保护区内无倾倒垃圾、排污等现象。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牵头部门：市城市管理局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配合部门：市住房城乡建设局、农业农村局、自然资源和规划局，南阳车务段</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责任单位：各区政府（管委会）</w:t>
      </w:r>
    </w:p>
    <w:p>
      <w:pPr>
        <w:spacing w:line="600" w:lineRule="exact"/>
        <w:ind w:firstLine="640" w:firstLineChars="200"/>
        <w:rPr>
          <w:rFonts w:hint="eastAsia" w:ascii="黑体" w:hAnsi="黑体" w:eastAsia="黑体" w:cs="黑体"/>
        </w:rPr>
      </w:pPr>
      <w:r>
        <w:rPr>
          <w:rFonts w:hint="eastAsia" w:ascii="黑体" w:hAnsi="黑体" w:eastAsia="黑体" w:cs="黑体"/>
        </w:rPr>
        <w:t>四、环境保护</w:t>
      </w:r>
    </w:p>
    <w:p>
      <w:pPr>
        <w:spacing w:line="600" w:lineRule="exact"/>
        <w:ind w:firstLine="640" w:firstLineChars="200"/>
        <w:rPr>
          <w:rFonts w:hint="eastAsia" w:ascii="仿宋_GB2312" w:hAnsi="仿宋_GB2312" w:cs="仿宋_GB2312"/>
        </w:rPr>
      </w:pPr>
      <w:r>
        <w:rPr>
          <w:rFonts w:hint="eastAsia" w:ascii="仿宋_GB2312" w:hAnsi="仿宋_GB2312" w:cs="仿宋_GB2312"/>
        </w:rPr>
        <w:t>21.近3年辖区内未发生重大环境污染和生态破坏事故。</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牵头部门：市生态环境局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配合部门：市政府相关部门</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22.加强大气污染治理，环境空气质量良好或持续改善。无烟囱排黑烟现象，无秸秆、垃圾露天焚烧现象。排放油烟的餐饮单位安装油烟净化装置并保持正常使用。环境空气质量指数（AQI）不超过100的天数≥320天或持续改善。环境空气主要污染物年均值达到国家《环境空气质量标准》二级标准。</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牵头部门：市生态环境局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配合部门：市农业农村局、市场监管局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23.区域环境噪声控制良好，声功能区夜间环境质量达标。区域环境噪声控制平均值≤55分贝。声功能区环境质量夜间达标率≥75％。</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牵头部门：市生态环境局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配合部门：市政府相关部门</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24.各级水环境功能区全部达到要求，未划定功能区的水质不低于五类。无乱排污水现象，无黑臭水体。</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牵头部门：市生态环境局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配合部门：市政府相关部门</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　　</w:t>
      </w:r>
    </w:p>
    <w:p>
      <w:pPr>
        <w:spacing w:line="600" w:lineRule="exact"/>
        <w:ind w:firstLine="640" w:firstLineChars="200"/>
        <w:rPr>
          <w:rFonts w:hint="eastAsia" w:ascii="仿宋_GB2312" w:hAnsi="仿宋_GB2312" w:cs="仿宋_GB2312"/>
        </w:rPr>
      </w:pPr>
      <w:r>
        <w:rPr>
          <w:rFonts w:hint="eastAsia" w:ascii="仿宋_GB2312" w:hAnsi="仿宋_GB2312" w:cs="仿宋_GB2312"/>
        </w:rPr>
        <w:t>25.集中式饮用水水源地水质达标。辖区内重点河湖主要控制断面生态流量达标。集中式饮用水水源地水质达标率100%。</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牵头部门：市生态环境局</w:t>
      </w:r>
    </w:p>
    <w:p>
      <w:pPr>
        <w:spacing w:line="600" w:lineRule="exact"/>
        <w:ind w:firstLine="640" w:firstLineChars="200"/>
        <w:rPr>
          <w:rFonts w:ascii="仿宋_GB2312" w:hAnsi="仿宋_GB2312" w:cs="仿宋_GB2312"/>
          <w:lang w:val="en"/>
        </w:rPr>
      </w:pPr>
      <w:r>
        <w:rPr>
          <w:rFonts w:hint="eastAsia" w:ascii="仿宋_GB2312" w:hAnsi="仿宋_GB2312" w:cs="仿宋_GB2312"/>
        </w:rPr>
        <w:t>配合部门：市水利局、住房城乡建设局、城市管理局、</w:t>
      </w:r>
      <w:r>
        <w:rPr>
          <w:rFonts w:ascii="仿宋_GB2312" w:hAnsi="仿宋_GB2312" w:cs="仿宋_GB2312"/>
          <w:lang w:val="en"/>
        </w:rPr>
        <w:t>卫生健康体育委</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26.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医疗废物无害化处置率100%。</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配合部门：市生态环境局、中医药发展局、财政局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黑体" w:hAnsi="黑体" w:eastAsia="黑体" w:cs="黑体"/>
        </w:rPr>
      </w:pPr>
      <w:r>
        <w:rPr>
          <w:rFonts w:hint="eastAsia" w:ascii="黑体" w:hAnsi="黑体" w:eastAsia="黑体" w:cs="黑体"/>
        </w:rPr>
        <w:t>五、重点场所卫生</w:t>
      </w:r>
    </w:p>
    <w:p>
      <w:pPr>
        <w:spacing w:line="600" w:lineRule="exact"/>
        <w:ind w:firstLine="640" w:firstLineChars="200"/>
        <w:rPr>
          <w:rFonts w:hint="eastAsia" w:ascii="仿宋_GB2312" w:hAnsi="仿宋_GB2312" w:cs="仿宋_GB2312"/>
        </w:rPr>
      </w:pPr>
      <w:r>
        <w:rPr>
          <w:rFonts w:hint="eastAsia" w:ascii="仿宋_GB2312" w:hAnsi="仿宋_GB2312" w:cs="仿宋_GB2312"/>
        </w:rPr>
        <w:t>27.公共场所实行卫生监督量化分级管理，公共场所卫生信誉度等级应向社会公示，并使用统一标识。卫生许可证件齐全有效，卫生管理规范，直接为顾客服务的人员取得有效健康合格证明。</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配合部门：市市场监管局、商务局、文化广电和旅游局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28.小浴室、小美容美发店、小歌舞厅、小旅店等经营资格合法，室内外环境整洁，卫生管理、硬件设施符合相应国家标准要求。</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配合部门：市市场监管局、文化广电和旅游局</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29.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校校医或专（兼）职保健教师配备比率&gt;70％。</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牵头部门：市教育局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w:t>
      </w:r>
      <w:r>
        <w:rPr>
          <w:rFonts w:ascii="仿宋_GB2312" w:hAnsi="仿宋_GB2312" w:cs="仿宋_GB2312"/>
          <w:lang w:val="en"/>
        </w:rPr>
        <w:t>市卫生健康体育委</w:t>
      </w:r>
      <w:r>
        <w:rPr>
          <w:rFonts w:hint="eastAsia" w:ascii="仿宋_GB2312" w:hAnsi="仿宋_GB2312" w:cs="仿宋_GB2312"/>
        </w:rPr>
        <w:t>、市场监管局</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30.中小学体育与健康课程开课率100%。中小学生每天校内体育活动时间≥1小时。学校眼保健操普及率100%。中小学生近视率、肥胖率逐年下降。近3年辖区内无重大学校食物中毒事件。</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牵头部门：市教育局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w:t>
      </w:r>
      <w:r>
        <w:rPr>
          <w:rFonts w:ascii="仿宋_GB2312" w:hAnsi="仿宋_GB2312" w:cs="仿宋_GB2312"/>
          <w:lang w:val="en"/>
        </w:rPr>
        <w:t>市卫生健康体育委</w:t>
      </w:r>
      <w:r>
        <w:rPr>
          <w:rFonts w:hint="eastAsia" w:ascii="仿宋_GB2312" w:hAnsi="仿宋_GB2312" w:cs="仿宋_GB2312"/>
        </w:rPr>
        <w:t>、市场监管局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31.辖区内存在职业病目录所列职业病危害因素的企业职业病危害项目及时申报。对接触职业病危害的劳动者依法进行职业健康检查。近3年辖区内未发生重大职业病危害事故。存在职业病目录所列职业病危害因素的企业职业病危害项目申报率&gt;90％。</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配合部门：市总工会，市工业和信息化局、人力资源社会保障局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32.旅客列车车厢、轮船客舱、飞机客舱和商场、超市等公共场所卫生检测结果符合国家相关标准要求。</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配合部门：市交通运输局、商务局，南阳车务段、南航南阳基地</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责任单位：各区政府（管委会）</w:t>
      </w:r>
    </w:p>
    <w:p>
      <w:pPr>
        <w:spacing w:line="600" w:lineRule="exact"/>
        <w:ind w:firstLine="640" w:firstLineChars="200"/>
        <w:rPr>
          <w:rFonts w:hint="eastAsia" w:ascii="黑体" w:hAnsi="黑体" w:eastAsia="黑体" w:cs="黑体"/>
        </w:rPr>
      </w:pPr>
      <w:r>
        <w:rPr>
          <w:rFonts w:hint="eastAsia" w:ascii="黑体" w:hAnsi="黑体" w:eastAsia="黑体" w:cs="黑体"/>
        </w:rPr>
        <w:t>六、食品和生活饮用水安全</w:t>
      </w:r>
    </w:p>
    <w:p>
      <w:pPr>
        <w:spacing w:line="600" w:lineRule="exact"/>
        <w:ind w:firstLine="640" w:firstLineChars="200"/>
        <w:rPr>
          <w:rFonts w:hint="eastAsia" w:ascii="仿宋_GB2312" w:hAnsi="仿宋_GB2312" w:cs="仿宋_GB2312"/>
        </w:rPr>
      </w:pPr>
      <w:r>
        <w:rPr>
          <w:rFonts w:hint="eastAsia" w:ascii="仿宋_GB2312" w:hAnsi="仿宋_GB2312" w:cs="仿宋_GB2312"/>
        </w:rPr>
        <w:t>33.近3年辖区内未发生重大食品安全和饮用水安全事故，依法报告食品安全和饮用水安全事故信息。</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配合部门：市商务局、农业农村局、</w:t>
      </w:r>
      <w:r>
        <w:rPr>
          <w:rFonts w:ascii="仿宋_GB2312" w:hAnsi="仿宋_GB2312" w:cs="仿宋_GB2312"/>
          <w:lang w:val="en"/>
        </w:rPr>
        <w:t>卫生健康体育委</w:t>
      </w:r>
      <w:r>
        <w:rPr>
          <w:rFonts w:hint="eastAsia" w:ascii="仿宋_GB2312" w:hAnsi="仿宋_GB2312" w:cs="仿宋_GB2312"/>
        </w:rPr>
        <w:t>、住房城乡建设局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34.加强小餐饮店、小食品店、小作坊管理，无固定经营场所的食品摊贩实行统一管理，规定区域、限定品种经营。无制售“三无”食品、假冒食品、劣质食品、过期食品等现象。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配合部门：市城市管理局、商务局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35.积极推行明厨亮灶和食品生产经营风险分级管理，食品生产经营风险分级管理率≥90％。从事接触直接入口食品工作的食品生产经营人员取得有效的健康合格证明。落实清洗消毒制度，防蝇防鼠等设施健全。食品生产经营单位严格执行国家相关标准。</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牵头部门：市市场监管局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配合部门：市教育局、住房城乡建设局、</w:t>
      </w:r>
      <w:r>
        <w:rPr>
          <w:rFonts w:ascii="仿宋_GB2312" w:hAnsi="仿宋_GB2312" w:cs="仿宋_GB2312"/>
          <w:lang w:val="en"/>
        </w:rPr>
        <w:t>卫生健康体育委</w:t>
      </w:r>
      <w:r>
        <w:rPr>
          <w:rFonts w:hint="eastAsia" w:ascii="仿宋_GB2312" w:hAnsi="仿宋_GB2312" w:cs="仿宋_GB2312"/>
        </w:rPr>
        <w:t>、商务局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 w:hAnsi="仿宋" w:eastAsia="仿宋" w:cs="仿宋"/>
          <w:color w:val="484848"/>
        </w:rPr>
      </w:pPr>
      <w:r>
        <w:rPr>
          <w:rFonts w:hint="eastAsia" w:ascii="仿宋_GB2312" w:hAnsi="仿宋_GB2312" w:cs="仿宋_GB2312"/>
        </w:rPr>
        <w:t>36.辖区内积极推广分餐制和公筷制，大力倡导“光盘行动”。辖区内无贩卖、制售、食用野生动物现象。</w:t>
      </w:r>
    </w:p>
    <w:p>
      <w:pPr>
        <w:spacing w:line="600" w:lineRule="exact"/>
        <w:ind w:firstLine="640" w:firstLineChars="200"/>
        <w:rPr>
          <w:rFonts w:hint="eastAsia" w:ascii="仿宋_GB2312" w:hAnsi="仿宋_GB2312" w:cs="仿宋_GB2312"/>
        </w:rPr>
      </w:pPr>
      <w:r>
        <w:rPr>
          <w:rFonts w:hint="eastAsia" w:ascii="仿宋_GB2312" w:hAnsi="仿宋_GB2312" w:cs="仿宋_GB2312"/>
        </w:rPr>
        <w:t>牵头部门：市商务局</w:t>
      </w:r>
    </w:p>
    <w:p>
      <w:pPr>
        <w:spacing w:line="600" w:lineRule="exact"/>
        <w:ind w:firstLine="640" w:firstLineChars="200"/>
        <w:rPr>
          <w:rFonts w:hint="eastAsia" w:ascii="仿宋_GB2312" w:hAnsi="仿宋_GB2312" w:cs="仿宋_GB2312"/>
          <w:color w:val="FF0000"/>
        </w:rPr>
      </w:pPr>
      <w:r>
        <w:rPr>
          <w:rFonts w:hint="eastAsia" w:ascii="仿宋_GB2312" w:hAnsi="仿宋_GB2312" w:cs="仿宋_GB2312"/>
        </w:rPr>
        <w:t>配合部门：市委宣传部，市公安局、商务局、市场监管局、农村农业局、</w:t>
      </w:r>
      <w:r>
        <w:rPr>
          <w:rFonts w:ascii="仿宋_GB2312" w:hAnsi="仿宋_GB2312" w:cs="仿宋_GB2312"/>
          <w:lang w:val="en"/>
        </w:rPr>
        <w:t>卫生健康体育委</w:t>
      </w:r>
      <w:r>
        <w:rPr>
          <w:rFonts w:hint="eastAsia" w:ascii="仿宋_GB2312" w:hAnsi="仿宋_GB2312" w:cs="仿宋_GB2312"/>
        </w:rPr>
        <w:t>、文化广电和旅游局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37.市政供水、自备供水、居民小区供水管理规范，供水单位有卫生许可证。二次供水符合国家相关标准要求。开展水质监测工作，采样点选择、检验项目和频率符合相关要求。</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配合部门：市城市管理局、住房城乡建设局</w:t>
      </w:r>
    </w:p>
    <w:p>
      <w:pPr>
        <w:spacing w:line="600" w:lineRule="exact"/>
        <w:ind w:firstLine="640" w:firstLineChars="200"/>
        <w:rPr>
          <w:rFonts w:ascii="仿宋_GB2312" w:hAnsi="仿宋_GB2312" w:cs="仿宋_GB2312"/>
        </w:rPr>
      </w:pPr>
      <w:r>
        <w:rPr>
          <w:rFonts w:hint="eastAsia" w:ascii="仿宋_GB2312" w:hAnsi="仿宋_GB2312" w:cs="仿宋_GB2312"/>
        </w:rPr>
        <w:t>责任单位：各区政府（管委会）</w:t>
      </w:r>
    </w:p>
    <w:p>
      <w:pPr>
        <w:spacing w:line="600" w:lineRule="exact"/>
        <w:rPr>
          <w:rFonts w:hint="eastAsia" w:ascii="黑体" w:hAnsi="黑体" w:eastAsia="黑体" w:cs="黑体"/>
        </w:rPr>
      </w:pPr>
      <w:r>
        <w:rPr>
          <w:rFonts w:hint="eastAsia" w:ascii="楷体_GB2312" w:hAnsi="楷体_GB2312" w:eastAsia="楷体_GB2312" w:cs="楷体_GB2312"/>
        </w:rPr>
        <w:t xml:space="preserve">   </w:t>
      </w:r>
      <w:r>
        <w:rPr>
          <w:rFonts w:hint="eastAsia" w:ascii="黑体" w:hAnsi="黑体" w:eastAsia="黑体" w:cs="黑体"/>
        </w:rPr>
        <w:t xml:space="preserve"> 七、公共卫生与医疗服务</w:t>
      </w:r>
    </w:p>
    <w:p>
      <w:pPr>
        <w:spacing w:line="600" w:lineRule="exact"/>
        <w:ind w:firstLine="640" w:firstLineChars="200"/>
        <w:rPr>
          <w:rFonts w:hint="eastAsia" w:ascii="仿宋_GB2312" w:hAnsi="仿宋_GB2312" w:cs="仿宋_GB2312"/>
        </w:rPr>
      </w:pPr>
      <w:r>
        <w:rPr>
          <w:rFonts w:hint="eastAsia" w:ascii="仿宋_GB2312" w:hAnsi="仿宋_GB2312" w:cs="仿宋_GB2312"/>
        </w:rPr>
        <w:t>38.建立与经济社会发展、财政状况和实现健康目标相适应的卫生健康事业投入机制。个人卫生支出占卫生总费用的比重持续降低。个人卫生支出占卫生总费用的比重≤25%或持续降低。</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配合部门：市财政局、发展改革委、政务服务和大数据管理局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39.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甲、乙类法定传染病报告发病率不高于近5年平均水平。</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配合单位：市中医药发展局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40.多措并举降低孕产妇死亡率、婴儿死亡率和5岁以下儿童死亡率。婴儿死亡率≤5.6‰或持续降低；5岁以下儿童死亡率≤7.8‰或持续降低；孕产妇死亡率≤18/10万或持续降低。持续提升人均预期寿命，人均预期寿命≥78.3岁或逐年提高。按照国家免疫规划和当地预防接种工作计划，定期为适龄人群提供预防接种服务，以街道（乡、镇）为单位适龄儿童免疫规划疫苗接种率≥90%；居住满3个月以上的适龄儿童建卡、建证率≥95%；辖区内3岁以下儿童系统管理率≥90%；0-6岁儿童眼保健和视力检查率≥90%。提升妇幼健康服务能力，促进妇女儿童全面健康发展。推进医养结合服务。</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highlight w:val="red"/>
        </w:rPr>
      </w:pPr>
      <w:r>
        <w:rPr>
          <w:rFonts w:hint="eastAsia" w:ascii="仿宋_GB2312" w:hAnsi="仿宋_GB2312" w:cs="仿宋_GB2312"/>
        </w:rPr>
        <w:t>配合单位：市妇联，市中医药发展局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41.重大慢性病过早死亡率呈下降趋势。健全重大事件处置中的社会心理健康监测预警机制，强化心理健康促进和心理疏导、危机干预。严重精神障碍患者管理规范，严重精神障碍患者规范管理率≥85%。</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配合单位：市公安局、民政局，市残联</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42.医疗卫生服务体系健全，机构建设符合国家标准要求，千人口的床位数、执业（助理）医师数、注册护士数、公共卫生人员数、药师（药士）数和万人口全科医生数等指标符合所在地区域卫生规划要求。</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配合单位：市发展改革委、中医药发展局、人力资源社会保障局</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43.推动机场、地铁站、火车站、公路（水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配合单位：市交通运输局、财政局、公安局、商务局、应急管理局、教育局、文化广电和旅游局、消防救援大队、人力资源社会保障局、政务服务和大数据管理局，南航南阳基地、南阳车务段</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pPr>
        <w:spacing w:line="600" w:lineRule="exact"/>
        <w:ind w:firstLine="640" w:firstLineChars="200"/>
        <w:rPr>
          <w:rFonts w:hint="eastAsia" w:ascii="仿宋_GB2312" w:hAnsi="仿宋_GB2312" w:cs="仿宋_GB2312"/>
        </w:rPr>
      </w:pPr>
      <w:r>
        <w:rPr>
          <w:rFonts w:hint="eastAsia" w:ascii="仿宋_GB2312" w:hAnsi="仿宋_GB2312" w:cs="仿宋_GB2312"/>
        </w:rPr>
        <w:t>44.构建和谐医患关系，医疗卫生人员具备安全的工作条件，执业环境逐步改善。辖区内无重特大刑事伤医案件。临床用血来自自愿无偿献血。无无证行医、非法采供血和非法医疗广告。</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配合单位：市公安局、市场监管局</w:t>
      </w:r>
    </w:p>
    <w:p>
      <w:pPr>
        <w:widowControl/>
        <w:spacing w:line="18" w:lineRule="atLeast"/>
        <w:ind w:firstLine="640" w:firstLineChars="200"/>
        <w:rPr>
          <w:rFonts w:hint="eastAsia" w:ascii="仿宋_GB2312" w:hAnsi="仿宋_GB2312" w:cs="仿宋_GB2312"/>
          <w:kern w:val="0"/>
          <w:lang w:bidi="ar"/>
        </w:rPr>
      </w:pPr>
      <w:r>
        <w:rPr>
          <w:rFonts w:hint="eastAsia" w:ascii="仿宋_GB2312" w:hAnsi="仿宋_GB2312" w:cs="仿宋_GB2312"/>
          <w:kern w:val="0"/>
          <w:lang w:bidi="ar"/>
        </w:rPr>
        <w:t>责任单位：各区政府（管委会）</w:t>
      </w:r>
    </w:p>
    <w:p>
      <w:pPr>
        <w:widowControl/>
        <w:spacing w:line="18" w:lineRule="atLeast"/>
        <w:ind w:firstLine="640" w:firstLineChars="200"/>
        <w:rPr>
          <w:rFonts w:ascii="仿宋_GB2312" w:hAnsi="仿宋_GB2312" w:cs="仿宋_GB2312"/>
          <w:kern w:val="0"/>
          <w:lang w:bidi="ar"/>
        </w:rPr>
      </w:pPr>
      <w:r>
        <w:rPr>
          <w:rFonts w:hint="eastAsia" w:ascii="仿宋_GB2312" w:hAnsi="仿宋_GB2312" w:cs="仿宋_GB2312"/>
        </w:rPr>
        <w:t>45.建立政府组织和全社会参与的病媒生物预防控制机制。掌握辖区病媒生物孳生地情况、密度变化和侵害状况。湖泊、河流、沟渠、景观水体、小型积水、垃圾、厕所等各类孳生环境得到有效治理，鼠、蚊、蝇、蟑螂的密度达到国家病媒生物密度控制水平标准C级要求。重点行业和单位防蝇和防鼠设施合格，</w:t>
      </w:r>
      <w:r>
        <w:rPr>
          <w:rFonts w:hint="eastAsia" w:ascii="仿宋_GB2312" w:hAnsi="仿宋_GB2312" w:cs="仿宋_GB2312"/>
          <w:kern w:val="0"/>
          <w:lang w:bidi="ar"/>
        </w:rPr>
        <w:t>防蝇和防鼠设施合格率≥95%</w:t>
      </w:r>
      <w:r>
        <w:rPr>
          <w:rFonts w:hint="eastAsia" w:ascii="仿宋_GB2312" w:hAnsi="仿宋_GB2312" w:cs="仿宋_GB2312"/>
        </w:rPr>
        <w:t>。</w:t>
      </w:r>
    </w:p>
    <w:p>
      <w:pPr>
        <w:spacing w:line="600" w:lineRule="exact"/>
        <w:ind w:firstLine="640" w:firstLineChars="200"/>
        <w:rPr>
          <w:rFonts w:ascii="仿宋_GB2312" w:hAnsi="仿宋_GB2312" w:cs="仿宋_GB2312"/>
          <w:lang w:val="en"/>
        </w:rPr>
      </w:pPr>
      <w:r>
        <w:rPr>
          <w:rFonts w:hint="eastAsia" w:ascii="仿宋_GB2312" w:hAnsi="仿宋_GB2312" w:cs="仿宋_GB2312"/>
        </w:rPr>
        <w:t>牵头部门：</w:t>
      </w:r>
      <w:r>
        <w:rPr>
          <w:rFonts w:ascii="仿宋_GB2312" w:hAnsi="仿宋_GB2312" w:cs="仿宋_GB2312"/>
          <w:lang w:val="en"/>
        </w:rPr>
        <w:t>市卫生健康体育委</w:t>
      </w:r>
    </w:p>
    <w:p>
      <w:pPr>
        <w:spacing w:line="600" w:lineRule="exact"/>
        <w:ind w:firstLine="640" w:firstLineChars="200"/>
        <w:rPr>
          <w:rFonts w:hint="eastAsia" w:ascii="仿宋_GB2312" w:hAnsi="仿宋_GB2312" w:cs="仿宋_GB2312"/>
        </w:rPr>
      </w:pPr>
      <w:r>
        <w:rPr>
          <w:rFonts w:hint="eastAsia" w:ascii="仿宋_GB2312" w:hAnsi="仿宋_GB2312" w:cs="仿宋_GB2312"/>
        </w:rPr>
        <w:t>配合部门：市爱卫会各成员单位</w:t>
      </w:r>
    </w:p>
    <w:p>
      <w:pPr>
        <w:spacing w:line="600" w:lineRule="exact"/>
        <w:ind w:firstLine="640" w:firstLineChars="200"/>
        <w:rPr>
          <w:rFonts w:hint="eastAsia" w:ascii="仿宋_GB2312" w:hAnsi="仿宋_GB2312" w:cs="仿宋_GB2312"/>
        </w:rPr>
      </w:pPr>
      <w:r>
        <w:rPr>
          <w:rFonts w:hint="eastAsia" w:ascii="仿宋_GB2312" w:hAnsi="仿宋_GB2312" w:cs="仿宋_GB2312"/>
        </w:rPr>
        <w:t>责任单位：各区政府（管委会）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412A6"/>
    <w:multiLevelType w:val="singleLevel"/>
    <w:tmpl w:val="50A412A6"/>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D4B7D"/>
    <w:rsid w:val="495D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2022-02-28T07:04:00Z</dcterms:created>
  <dc:creator>胡小胡</dc:creator>
  <cp:lastModifiedBy>胡小胡</cp:lastModifiedBy>
  <dcterms:modified xsi:type="dcterms:W3CDTF">2022-02-28T07:05:02Z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353ECD3BA384437DA59807A2C5285057</vt:lpwstr>
  </property>
</Properties>
</file>