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wordWrap/>
        <w:adjustRightInd/>
        <w:snapToGrid/>
        <w:spacing w:before="0" w:after="0" w:line="450" w:lineRule="atLeast"/>
        <w:ind w:left="0" w:leftChars="0" w:right="0" w:firstLine="0" w:firstLineChars="0"/>
        <w:jc w:val="center"/>
        <w:textAlignment w:val="auto"/>
        <w:outlineLvl w:val="9"/>
        <w:rPr>
          <w:rFonts w:ascii="方正小标宋简体" w:hAnsi="微软雅黑" w:eastAsia="方正小标宋简体" w:cs="宋体"/>
          <w:b/>
          <w:bCs/>
          <w:sz w:val="44"/>
          <w:szCs w:val="44"/>
        </w:rPr>
      </w:pPr>
      <w:r>
        <w:rPr>
          <w:rFonts w:hint="eastAsia" w:ascii="方正小标宋简体" w:hAnsi="微软雅黑" w:eastAsia="方正小标宋简体" w:cs="宋体"/>
          <w:b/>
          <w:bCs/>
          <w:sz w:val="44"/>
          <w:szCs w:val="44"/>
        </w:rPr>
        <w:t>南阳市</w:t>
      </w:r>
      <w:r>
        <w:rPr>
          <w:rFonts w:hint="eastAsia" w:ascii="方正小标宋简体" w:hAnsi="微软雅黑" w:eastAsia="方正小标宋简体" w:cs="宋体"/>
          <w:b/>
          <w:bCs/>
          <w:sz w:val="44"/>
          <w:szCs w:val="44"/>
          <w:lang w:val="en-US" w:eastAsia="zh-CN"/>
        </w:rPr>
        <w:t>退役军人事务</w:t>
      </w:r>
      <w:r>
        <w:rPr>
          <w:rFonts w:hint="eastAsia" w:ascii="方正小标宋简体" w:hAnsi="微软雅黑" w:eastAsia="方正小标宋简体" w:cs="宋体"/>
          <w:b/>
          <w:bCs/>
          <w:sz w:val="44"/>
          <w:szCs w:val="44"/>
        </w:rPr>
        <w:t>局</w:t>
      </w:r>
    </w:p>
    <w:p>
      <w:pPr>
        <w:widowControl w:val="0"/>
        <w:shd w:val="clear" w:color="auto" w:fill="FFFFFF"/>
        <w:wordWrap/>
        <w:adjustRightInd/>
        <w:snapToGrid/>
        <w:spacing w:before="0" w:afterLines="50" w:line="450" w:lineRule="atLeast"/>
        <w:ind w:left="0" w:leftChars="0" w:right="0" w:firstLine="0" w:firstLineChars="0"/>
        <w:jc w:val="center"/>
        <w:textAlignment w:val="auto"/>
        <w:outlineLvl w:val="9"/>
        <w:rPr>
          <w:rFonts w:hint="eastAsia" w:ascii="宋体" w:hAnsi="宋体" w:eastAsia="宋体" w:cs="宋体"/>
          <w:i w:val="0"/>
          <w:caps w:val="0"/>
          <w:color w:val="333333"/>
          <w:spacing w:val="0"/>
          <w:kern w:val="0"/>
          <w:sz w:val="30"/>
          <w:szCs w:val="30"/>
          <w:shd w:val="clear" w:color="090000" w:fill="FFFFFF"/>
          <w:lang w:val="en-US" w:eastAsia="zh-CN"/>
        </w:rPr>
      </w:pPr>
      <w:r>
        <w:rPr>
          <w:rFonts w:hint="eastAsia" w:ascii="方正小标宋简体" w:hAnsi="微软雅黑" w:eastAsia="方正小标宋简体" w:cs="宋体"/>
          <w:b/>
          <w:bCs/>
          <w:sz w:val="44"/>
          <w:szCs w:val="44"/>
        </w:rPr>
        <w:t>2019年政府信息公开工作年度报告</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360" w:lineRule="auto"/>
        <w:ind w:right="0" w:firstLine="640" w:firstLineChars="200"/>
        <w:jc w:val="left"/>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kern w:val="0"/>
          <w:sz w:val="32"/>
          <w:szCs w:val="32"/>
          <w:shd w:val="clear" w:color="090000" w:fill="FFFFFF"/>
          <w:lang w:val="en-US" w:eastAsia="zh-CN"/>
        </w:rPr>
        <w:t>根据《中华人民共和国政府信息公开条例》规定和《国务院办公厅政府信息与政务公开办公室关于政府信息公开工作年度报告有关事项的通知》、《河南省人民政府办公厅政务公开办公室关于做好政府信息公开工作年度报告编制和发布有关工作的通知》文件精神，现公布南阳市退役军人事务局2019年度政府信息公开工作进展情况报告。</w:t>
      </w:r>
    </w:p>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360" w:lineRule="auto"/>
        <w:ind w:left="0" w:right="0" w:firstLine="0" w:firstLineChars="0"/>
        <w:jc w:val="left"/>
        <w:textAlignment w:val="auto"/>
        <w:rPr>
          <w:rFonts w:hint="eastAsia" w:ascii="宋体" w:hAnsi="宋体" w:eastAsia="宋体" w:cs="宋体"/>
          <w:sz w:val="32"/>
          <w:szCs w:val="32"/>
          <w:lang w:eastAsia="zh-CN"/>
        </w:rPr>
      </w:pPr>
      <w:r>
        <w:rPr>
          <w:rFonts w:hint="eastAsia" w:ascii="宋体" w:hAnsi="宋体" w:eastAsia="宋体" w:cs="宋体"/>
          <w:i w:val="0"/>
          <w:caps w:val="0"/>
          <w:color w:val="333333"/>
          <w:spacing w:val="0"/>
          <w:kern w:val="0"/>
          <w:sz w:val="32"/>
          <w:szCs w:val="32"/>
          <w:shd w:val="clear" w:color="090000" w:fill="FFFFFF"/>
          <w:lang w:val="en-US" w:eastAsia="zh-CN"/>
        </w:rPr>
        <w:t>   本报告的统计数据时间自2019年1月1日起至2019年12月31日，报告可在南阳市退役军人事务局网站查看或下载，网址为</w:t>
      </w:r>
      <w:r>
        <w:rPr>
          <w:rFonts w:hint="eastAsia" w:ascii="宋体" w:hAnsi="宋体" w:eastAsia="宋体" w:cs="宋体"/>
          <w:sz w:val="32"/>
          <w:szCs w:val="32"/>
        </w:rPr>
        <w:t>http://tyjrswj.nanyang.gov.cn</w:t>
      </w:r>
      <w:r>
        <w:rPr>
          <w:rFonts w:hint="eastAsia" w:ascii="宋体" w:hAnsi="宋体" w:eastAsia="宋体" w:cs="宋体"/>
          <w:sz w:val="32"/>
          <w:szCs w:val="32"/>
          <w:lang w:eastAsia="zh-CN"/>
        </w:rPr>
        <w:t>。</w:t>
      </w:r>
    </w:p>
    <w:p>
      <w:pPr>
        <w:pStyle w:val="5"/>
        <w:shd w:val="clear" w:color="auto" w:fill="FFFFFF"/>
        <w:spacing w:before="0" w:beforeAutospacing="0" w:after="0" w:afterAutospacing="0" w:line="36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一、总体情况</w:t>
      </w:r>
    </w:p>
    <w:p>
      <w:pPr>
        <w:spacing w:line="560" w:lineRule="exact"/>
        <w:rPr>
          <w:rFonts w:hint="eastAsia" w:ascii="宋体" w:hAnsi="宋体" w:eastAsia="宋体" w:cs="宋体"/>
          <w:sz w:val="32"/>
          <w:szCs w:val="32"/>
        </w:rPr>
      </w:pPr>
      <w:r>
        <w:rPr>
          <w:rFonts w:hint="eastAsia" w:ascii="宋体" w:hAnsi="宋体" w:cs="宋体"/>
          <w:sz w:val="32"/>
          <w:szCs w:val="32"/>
          <w:lang w:val="en-US" w:eastAsia="zh-CN"/>
        </w:rPr>
        <w:t xml:space="preserve">    </w:t>
      </w:r>
      <w:r>
        <w:rPr>
          <w:rFonts w:hint="eastAsia" w:ascii="宋体" w:hAnsi="宋体" w:eastAsia="宋体" w:cs="宋体"/>
          <w:sz w:val="32"/>
          <w:szCs w:val="32"/>
        </w:rPr>
        <w:t>2019年，南阳市退役军人事务局</w:t>
      </w:r>
      <w:r>
        <w:rPr>
          <w:rFonts w:hint="eastAsia" w:ascii="宋体" w:hAnsi="宋体" w:eastAsia="宋体" w:cs="宋体"/>
          <w:sz w:val="32"/>
          <w:szCs w:val="32"/>
          <w:lang w:val="en-US" w:eastAsia="zh-CN"/>
        </w:rPr>
        <w:t>认真</w:t>
      </w:r>
      <w:r>
        <w:rPr>
          <w:rFonts w:hint="eastAsia" w:ascii="宋体" w:hAnsi="宋体" w:eastAsia="宋体" w:cs="宋体"/>
          <w:sz w:val="32"/>
          <w:szCs w:val="32"/>
        </w:rPr>
        <w:t>贯彻落实政府信息公开各项规定，加强政府信息公开工作力度，及时、准确地向社会公开政府信息，保障公民知情权，参与权和监督权，把推进政府信息公开与转变政府职能、规范权力运行、促进依法行政紧密结合起来，为实现科学发展新跨越服务。</w:t>
      </w:r>
    </w:p>
    <w:p>
      <w:pPr>
        <w:numPr>
          <w:ilvl w:val="0"/>
          <w:numId w:val="1"/>
        </w:numPr>
        <w:shd w:val="clear" w:color="auto" w:fill="FFFFFF"/>
        <w:adjustRightInd/>
        <w:snapToGrid/>
        <w:spacing w:after="0" w:line="560" w:lineRule="exact"/>
        <w:ind w:firstLine="584"/>
        <w:jc w:val="both"/>
        <w:rPr>
          <w:rFonts w:hint="eastAsia" w:ascii="宋体" w:hAnsi="宋体" w:eastAsia="宋体" w:cs="宋体"/>
          <w:color w:val="000000"/>
          <w:sz w:val="32"/>
          <w:szCs w:val="32"/>
        </w:rPr>
      </w:pPr>
      <w:r>
        <w:rPr>
          <w:rFonts w:hint="eastAsia" w:ascii="宋体" w:hAnsi="宋体" w:eastAsia="宋体" w:cs="宋体"/>
          <w:sz w:val="32"/>
          <w:szCs w:val="32"/>
        </w:rPr>
        <w:t>加强领导，精心组织。</w:t>
      </w:r>
      <w:r>
        <w:rPr>
          <w:rFonts w:hint="eastAsia" w:ascii="宋体" w:hAnsi="宋体" w:eastAsia="宋体" w:cs="宋体"/>
          <w:sz w:val="32"/>
          <w:szCs w:val="32"/>
          <w:lang w:val="en-US" w:eastAsia="zh-CN"/>
        </w:rPr>
        <w:t>成立了</w:t>
      </w:r>
      <w:r>
        <w:rPr>
          <w:rFonts w:hint="eastAsia" w:ascii="宋体" w:hAnsi="宋体" w:eastAsia="宋体" w:cs="宋体"/>
          <w:sz w:val="32"/>
          <w:szCs w:val="32"/>
        </w:rPr>
        <w:t>政务公开</w:t>
      </w:r>
      <w:r>
        <w:rPr>
          <w:rFonts w:hint="eastAsia" w:ascii="宋体" w:hAnsi="宋体" w:eastAsia="宋体" w:cs="宋体"/>
          <w:sz w:val="32"/>
          <w:szCs w:val="32"/>
          <w:lang w:val="en-US" w:eastAsia="zh-CN"/>
        </w:rPr>
        <w:t>工作</w:t>
      </w:r>
      <w:r>
        <w:rPr>
          <w:rFonts w:hint="eastAsia" w:ascii="宋体" w:hAnsi="宋体" w:eastAsia="宋体" w:cs="宋体"/>
          <w:sz w:val="32"/>
          <w:szCs w:val="32"/>
        </w:rPr>
        <w:t>领导小组，由局长任组长，局班子成员任副组长，</w:t>
      </w:r>
      <w:r>
        <w:rPr>
          <w:rFonts w:hint="eastAsia" w:ascii="宋体" w:hAnsi="宋体" w:eastAsia="宋体" w:cs="宋体"/>
          <w:color w:val="000000"/>
          <w:sz w:val="32"/>
          <w:szCs w:val="32"/>
        </w:rPr>
        <w:t>负责政府信息公开工作监督管理；</w:t>
      </w:r>
      <w:r>
        <w:rPr>
          <w:rFonts w:hint="eastAsia" w:ascii="宋体" w:hAnsi="宋体" w:eastAsia="宋体" w:cs="宋体"/>
          <w:sz w:val="32"/>
          <w:szCs w:val="32"/>
        </w:rPr>
        <w:t>机关各科室和局属各单位主要负责人为成员，</w:t>
      </w:r>
      <w:r>
        <w:rPr>
          <w:rFonts w:hint="eastAsia" w:ascii="宋体" w:hAnsi="宋体" w:eastAsia="宋体" w:cs="宋体"/>
          <w:color w:val="000000"/>
          <w:sz w:val="32"/>
          <w:szCs w:val="32"/>
        </w:rPr>
        <w:t>根据其工作职责，负责该科室政府信息编写工作；办公室为政府信息公开的协调工作机构，配备专职工作人员，负责政府信息的编写、审核和报送公开工作。同时，在办公经费、办公设备、办公场所等方面给予了必要保障，确保了信息公开工作全面落实。</w:t>
      </w:r>
    </w:p>
    <w:p>
      <w:pPr>
        <w:shd w:val="clear" w:color="auto" w:fill="FFFFFF"/>
        <w:adjustRightInd/>
        <w:snapToGrid/>
        <w:spacing w:after="0" w:line="560" w:lineRule="exact"/>
        <w:ind w:firstLine="584"/>
        <w:jc w:val="both"/>
        <w:rPr>
          <w:rFonts w:hint="eastAsia" w:ascii="宋体" w:hAnsi="宋体" w:eastAsia="宋体" w:cs="宋体"/>
          <w:color w:val="000000"/>
          <w:sz w:val="32"/>
          <w:szCs w:val="32"/>
        </w:rPr>
      </w:pPr>
      <w:r>
        <w:rPr>
          <w:rFonts w:hint="eastAsia" w:ascii="宋体" w:hAnsi="宋体" w:eastAsia="宋体" w:cs="宋体"/>
          <w:color w:val="000000"/>
          <w:sz w:val="32"/>
          <w:szCs w:val="32"/>
        </w:rPr>
        <w:t>（二）创新政府公开渠道。政府信息公开工作在充分利用门户网站等公共载体基础上，进一步创新政府信息公开平台和渠道，积极做好信息公开工作，并整合政府公开方面的力量和资源，与南阳日（晚）报、南阳电视台等新闻媒体、网站建立了常态化的沟通协调机制，推进了政府信息在各类新媒体平台及时广泛发布概况信息、工作动态、机关党建等各类公开信息，全面反映和宣传全市</w:t>
      </w:r>
      <w:r>
        <w:rPr>
          <w:rFonts w:hint="eastAsia" w:ascii="宋体" w:hAnsi="宋体" w:eastAsia="宋体" w:cs="宋体"/>
          <w:color w:val="000000"/>
          <w:sz w:val="32"/>
          <w:szCs w:val="32"/>
          <w:lang w:val="en-US" w:eastAsia="zh-CN"/>
        </w:rPr>
        <w:t>退役军人事务工作</w:t>
      </w:r>
      <w:r>
        <w:rPr>
          <w:rFonts w:hint="eastAsia" w:ascii="宋体" w:hAnsi="宋体" w:eastAsia="宋体" w:cs="宋体"/>
          <w:color w:val="000000"/>
          <w:sz w:val="32"/>
          <w:szCs w:val="32"/>
        </w:rPr>
        <w:t>发展现状、取得的成效以及机关建设等情况，为</w:t>
      </w:r>
      <w:r>
        <w:rPr>
          <w:rFonts w:hint="eastAsia" w:ascii="宋体" w:hAnsi="宋体" w:eastAsia="宋体" w:cs="宋体"/>
          <w:color w:val="000000"/>
          <w:sz w:val="32"/>
          <w:szCs w:val="32"/>
          <w:lang w:val="en-US" w:eastAsia="zh-CN"/>
        </w:rPr>
        <w:t>退役军人</w:t>
      </w:r>
      <w:r>
        <w:rPr>
          <w:rFonts w:hint="eastAsia" w:ascii="宋体" w:hAnsi="宋体" w:eastAsia="宋体" w:cs="宋体"/>
          <w:color w:val="000000"/>
          <w:sz w:val="32"/>
          <w:szCs w:val="32"/>
        </w:rPr>
        <w:t>提供了咨询服务，较好地宣传了我市</w:t>
      </w:r>
      <w:r>
        <w:rPr>
          <w:rFonts w:hint="eastAsia" w:ascii="宋体" w:hAnsi="宋体" w:eastAsia="宋体" w:cs="宋体"/>
          <w:color w:val="000000"/>
          <w:sz w:val="32"/>
          <w:szCs w:val="32"/>
          <w:lang w:val="en-US" w:eastAsia="zh-CN"/>
        </w:rPr>
        <w:t>退役军人事务工作</w:t>
      </w:r>
      <w:r>
        <w:rPr>
          <w:rFonts w:hint="eastAsia" w:ascii="宋体" w:hAnsi="宋体" w:eastAsia="宋体" w:cs="宋体"/>
          <w:color w:val="000000"/>
          <w:sz w:val="32"/>
          <w:szCs w:val="32"/>
        </w:rPr>
        <w:t>发展情况。</w:t>
      </w:r>
    </w:p>
    <w:p>
      <w:pPr>
        <w:shd w:val="clear" w:color="auto" w:fill="FFFFFF"/>
        <w:adjustRightInd/>
        <w:snapToGrid/>
        <w:spacing w:after="0" w:line="560" w:lineRule="exact"/>
        <w:ind w:firstLine="584"/>
        <w:jc w:val="both"/>
        <w:rPr>
          <w:rFonts w:hint="eastAsia" w:ascii="宋体" w:hAnsi="宋体" w:eastAsia="宋体" w:cs="宋体"/>
          <w:color w:val="000000"/>
          <w:sz w:val="32"/>
          <w:szCs w:val="32"/>
        </w:rPr>
      </w:pPr>
      <w:r>
        <w:rPr>
          <w:rFonts w:hint="eastAsia" w:ascii="宋体" w:hAnsi="宋体" w:eastAsia="宋体" w:cs="宋体"/>
          <w:color w:val="000000"/>
          <w:sz w:val="32"/>
          <w:szCs w:val="32"/>
        </w:rPr>
        <w:t>（三）加强信息主动公开。一是推进规范性文件、重大决策的发布。在门户网站开辟专栏，用于规范性文件发布，并及时进行解读。同时对中央、省市重大决策、重要政策等贯彻落实情况及局制定的重大决策事项及除依法应保密的外,及时通过门户网站进行发布。二是加强信息主动公开。重点围绕</w:t>
      </w:r>
      <w:r>
        <w:rPr>
          <w:rFonts w:hint="eastAsia" w:ascii="宋体" w:hAnsi="宋体" w:eastAsia="宋体" w:cs="宋体"/>
          <w:color w:val="000000"/>
          <w:sz w:val="32"/>
          <w:szCs w:val="32"/>
          <w:lang w:val="en-US" w:eastAsia="zh-CN"/>
        </w:rPr>
        <w:t>退伍安置、优待抚恤、两险接续</w:t>
      </w:r>
      <w:r>
        <w:rPr>
          <w:rFonts w:hint="eastAsia" w:ascii="宋体" w:hAnsi="宋体" w:eastAsia="宋体" w:cs="宋体"/>
          <w:color w:val="000000"/>
          <w:sz w:val="32"/>
          <w:szCs w:val="32"/>
        </w:rPr>
        <w:t>等重点工作发布信息，截至2019年12月31日通过门户网站累计公开政府信息</w:t>
      </w:r>
      <w:r>
        <w:rPr>
          <w:rFonts w:hint="eastAsia" w:ascii="宋体" w:hAnsi="宋体" w:cs="宋体"/>
          <w:color w:val="000000"/>
          <w:sz w:val="32"/>
          <w:szCs w:val="32"/>
          <w:lang w:val="en-US" w:eastAsia="zh-CN"/>
        </w:rPr>
        <w:t>461</w:t>
      </w:r>
      <w:r>
        <w:rPr>
          <w:rFonts w:hint="eastAsia" w:ascii="宋体" w:hAnsi="宋体" w:eastAsia="宋体" w:cs="宋体"/>
          <w:color w:val="000000"/>
          <w:sz w:val="32"/>
          <w:szCs w:val="32"/>
        </w:rPr>
        <w:t>条，全面反映了全市</w:t>
      </w:r>
      <w:r>
        <w:rPr>
          <w:rFonts w:hint="eastAsia" w:ascii="宋体" w:hAnsi="宋体" w:eastAsia="宋体" w:cs="宋体"/>
          <w:color w:val="000000"/>
          <w:sz w:val="32"/>
          <w:szCs w:val="32"/>
          <w:lang w:val="en-US" w:eastAsia="zh-CN"/>
        </w:rPr>
        <w:t>退役军人事务工作</w:t>
      </w:r>
      <w:r>
        <w:rPr>
          <w:rFonts w:hint="eastAsia" w:ascii="宋体" w:hAnsi="宋体" w:eastAsia="宋体" w:cs="宋体"/>
          <w:color w:val="000000"/>
          <w:sz w:val="32"/>
          <w:szCs w:val="32"/>
        </w:rPr>
        <w:t>发展情况，按时按质完成了交办的约稿信息任务。同时认真做好了财政预决算信息公开、依申请公开等工作。</w:t>
      </w:r>
    </w:p>
    <w:p>
      <w:pPr>
        <w:pStyle w:val="6"/>
        <w:shd w:val="clear" w:color="auto" w:fill="FFFFFF"/>
        <w:spacing w:before="0" w:after="0" w:line="560" w:lineRule="atLeast"/>
        <w:ind w:firstLine="482"/>
        <w:rPr>
          <w:rFonts w:hint="eastAsia" w:ascii="宋体" w:hAnsi="宋体" w:eastAsia="宋体" w:cs="宋体"/>
          <w:color w:val="000000"/>
          <w:sz w:val="32"/>
          <w:szCs w:val="32"/>
        </w:rPr>
      </w:pPr>
      <w:r>
        <w:rPr>
          <w:rFonts w:hint="eastAsia" w:cs="宋体"/>
          <w:b/>
          <w:bCs/>
          <w:color w:val="000000"/>
          <w:sz w:val="32"/>
          <w:szCs w:val="32"/>
          <w:lang w:val="en-US" w:eastAsia="zh-CN"/>
        </w:rPr>
        <w:t xml:space="preserve"> </w:t>
      </w:r>
      <w:r>
        <w:rPr>
          <w:rFonts w:hint="eastAsia" w:ascii="宋体" w:hAnsi="宋体" w:eastAsia="宋体" w:cs="宋体"/>
          <w:b/>
          <w:bCs/>
          <w:color w:val="000000"/>
          <w:sz w:val="32"/>
          <w:szCs w:val="32"/>
        </w:rPr>
        <w:t>二、政府信息主动公开情况</w:t>
      </w:r>
    </w:p>
    <w:p>
      <w:pPr>
        <w:pStyle w:val="6"/>
        <w:shd w:val="clear" w:color="auto" w:fill="FFFFFF"/>
        <w:spacing w:before="0" w:after="0" w:line="560" w:lineRule="atLeas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（一）2019年度主动公开规范性文件 0 条、</w:t>
      </w:r>
      <w:r>
        <w:rPr>
          <w:rFonts w:hint="eastAsia" w:cs="宋体"/>
          <w:color w:val="000000"/>
          <w:sz w:val="32"/>
          <w:szCs w:val="32"/>
          <w:lang w:val="en-US" w:eastAsia="zh-CN"/>
        </w:rPr>
        <w:t>政策法规、政策解读26条，</w:t>
      </w:r>
      <w:r>
        <w:rPr>
          <w:rFonts w:hint="eastAsia" w:ascii="宋体" w:hAnsi="宋体" w:eastAsia="宋体" w:cs="宋体"/>
          <w:color w:val="000000"/>
          <w:sz w:val="32"/>
          <w:szCs w:val="32"/>
        </w:rPr>
        <w:t xml:space="preserve">工作动态类信息 </w:t>
      </w:r>
      <w:r>
        <w:rPr>
          <w:rFonts w:hint="eastAsia" w:cs="宋体"/>
          <w:color w:val="000000"/>
          <w:sz w:val="32"/>
          <w:szCs w:val="32"/>
          <w:lang w:val="en-US" w:eastAsia="zh-CN"/>
        </w:rPr>
        <w:t>156</w:t>
      </w:r>
      <w:r>
        <w:rPr>
          <w:rFonts w:hint="eastAsia" w:ascii="宋体" w:hAnsi="宋体" w:eastAsia="宋体" w:cs="宋体"/>
          <w:color w:val="000000"/>
          <w:sz w:val="32"/>
          <w:szCs w:val="32"/>
        </w:rPr>
        <w:t>条、其他类信息</w:t>
      </w:r>
      <w:r>
        <w:rPr>
          <w:rFonts w:hint="eastAsia" w:cs="宋体"/>
          <w:color w:val="000000"/>
          <w:sz w:val="32"/>
          <w:szCs w:val="32"/>
          <w:lang w:val="en-US" w:eastAsia="zh-CN"/>
        </w:rPr>
        <w:t>279</w:t>
      </w:r>
      <w:r>
        <w:rPr>
          <w:rFonts w:hint="eastAsia" w:ascii="宋体" w:hAnsi="宋体" w:eastAsia="宋体" w:cs="宋体"/>
          <w:color w:val="000000"/>
          <w:sz w:val="32"/>
          <w:szCs w:val="32"/>
        </w:rPr>
        <w:t>条，总计</w:t>
      </w:r>
      <w:r>
        <w:rPr>
          <w:rFonts w:hint="eastAsia" w:cs="宋体"/>
          <w:color w:val="000000"/>
          <w:sz w:val="32"/>
          <w:szCs w:val="32"/>
          <w:lang w:val="en-US" w:eastAsia="zh-CN"/>
        </w:rPr>
        <w:t>461</w:t>
      </w:r>
      <w:r>
        <w:rPr>
          <w:rFonts w:hint="eastAsia" w:ascii="宋体" w:hAnsi="宋体" w:eastAsia="宋体" w:cs="宋体"/>
          <w:color w:val="000000"/>
          <w:sz w:val="32"/>
          <w:szCs w:val="32"/>
        </w:rPr>
        <w:t>条。主动公开信息工作中，为方便公众了解信息，我局采用多种公开形式，一是在局门户网站政府信息公开栏目中公开；二是积极主动组织参与“行风热线”；三是开通南阳市退役军人事务局微信公众号，及时发布工作动态和政策解读；四是通过广播、电视、报纸等媒体宣传、公开。</w:t>
      </w:r>
    </w:p>
    <w:p>
      <w:pPr>
        <w:pStyle w:val="6"/>
        <w:shd w:val="clear" w:color="auto" w:fill="FFFFFF"/>
        <w:spacing w:before="0" w:after="0" w:line="560" w:lineRule="atLeas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（二）政府信息依申请公开情况。南阳市退役军人事务局2019年受理依申请信息公开申请6件，其中无效2件，及时回复4件。</w:t>
      </w:r>
    </w:p>
    <w:p>
      <w:pPr>
        <w:pStyle w:val="6"/>
        <w:shd w:val="clear" w:color="auto" w:fill="FFFFFF"/>
        <w:spacing w:before="0" w:after="0" w:line="560" w:lineRule="atLeas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（三）咨询情况。南阳市退役军人事务局2019年度共接受公众咨询612次，其中咨询电话接听有400余次，当面咨询接待212次。</w:t>
      </w:r>
    </w:p>
    <w:p>
      <w:pPr>
        <w:pStyle w:val="6"/>
        <w:shd w:val="clear" w:color="auto" w:fill="FFFFFF"/>
        <w:spacing w:before="0" w:after="0" w:line="560" w:lineRule="atLeast"/>
        <w:ind w:firstLine="482"/>
        <w:rPr>
          <w:rFonts w:hint="eastAsia" w:ascii="宋体" w:hAnsi="宋体" w:eastAsia="宋体" w:cs="宋体"/>
          <w:color w:val="000000"/>
          <w:sz w:val="32"/>
          <w:szCs w:val="32"/>
        </w:rPr>
      </w:pPr>
      <w:r>
        <w:rPr>
          <w:rFonts w:hint="eastAsia" w:ascii="宋体" w:hAnsi="宋体" w:eastAsia="宋体" w:cs="宋体"/>
          <w:color w:val="000000"/>
          <w:sz w:val="32"/>
          <w:szCs w:val="32"/>
        </w:rPr>
        <w:t>（四）复议、诉讼和申诉情况。2019年度发生依申请公开的行政复议案件2件，本单位及时应诉，对于不予公开的内容给予及时答复。</w:t>
      </w:r>
    </w:p>
    <w:p>
      <w:pPr>
        <w:pStyle w:val="6"/>
        <w:shd w:val="clear" w:color="auto" w:fill="FFFFFF"/>
        <w:spacing w:before="0" w:after="0" w:line="560" w:lineRule="atLeast"/>
        <w:ind w:firstLine="482"/>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附件：政府信息公开表</w:t>
      </w:r>
    </w:p>
    <w:p>
      <w:pPr>
        <w:pStyle w:val="6"/>
        <w:shd w:val="clear" w:color="auto" w:fill="FFFFFF"/>
        <w:spacing w:before="0" w:after="0" w:line="560" w:lineRule="atLeast"/>
        <w:ind w:firstLine="482"/>
        <w:rPr>
          <w:rFonts w:hint="eastAsia" w:ascii="仿宋" w:hAnsi="仿宋" w:eastAsia="仿宋"/>
          <w:color w:val="000000"/>
          <w:sz w:val="30"/>
          <w:szCs w:val="30"/>
        </w:rPr>
      </w:pPr>
      <w:r>
        <w:rPr>
          <w:rFonts w:hint="eastAsia" w:ascii="宋体" w:hAnsi="宋体" w:eastAsia="宋体" w:cs="宋体"/>
          <w:b/>
          <w:bCs/>
          <w:color w:val="333333"/>
          <w:sz w:val="30"/>
          <w:szCs w:val="30"/>
        </w:rPr>
        <w:t>二、主动公开政府信息情况</w:t>
      </w:r>
    </w:p>
    <w:tbl>
      <w:tblPr>
        <w:tblStyle w:val="3"/>
        <w:tblW w:w="83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11"/>
        <w:gridCol w:w="1934"/>
        <w:gridCol w:w="6"/>
        <w:gridCol w:w="1305"/>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8397"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9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ascii="宋体" w:hAnsi="宋体" w:eastAsia="宋体" w:cs="宋体"/>
                <w:sz w:val="20"/>
                <w:szCs w:val="20"/>
              </w:rPr>
              <w:t>制作数量</w:t>
            </w:r>
          </w:p>
        </w:tc>
        <w:tc>
          <w:tcPr>
            <w:tcW w:w="131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本年新</w:t>
            </w:r>
            <w:r>
              <w:rPr>
                <w:rFonts w:hint="eastAsia" w:ascii="宋体" w:hAnsi="宋体" w:eastAsia="宋体" w:cs="宋体"/>
                <w:color w:val="000000"/>
                <w:sz w:val="20"/>
                <w:szCs w:val="20"/>
              </w:rPr>
              <w:br w:type="textWrapping"/>
            </w:r>
            <w:r>
              <w:rPr>
                <w:rFonts w:ascii="宋体" w:hAnsi="宋体" w:eastAsia="宋体" w:cs="宋体"/>
                <w:sz w:val="20"/>
                <w:szCs w:val="20"/>
              </w:rPr>
              <w:t>公开数量</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规章</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c>
          <w:tcPr>
            <w:tcW w:w="131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规范性文件</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ascii="宋体" w:hAnsi="宋体" w:eastAsia="宋体" w:cs="宋体"/>
                <w:color w:val="000000"/>
                <w:sz w:val="20"/>
                <w:szCs w:val="20"/>
              </w:rPr>
              <w:t>　　</w:t>
            </w:r>
            <w:r>
              <w:rPr>
                <w:rFonts w:hint="eastAsia" w:ascii="宋体" w:hAnsi="宋体" w:cs="宋体"/>
                <w:color w:val="000000"/>
                <w:sz w:val="20"/>
                <w:szCs w:val="20"/>
                <w:lang w:val="en-US" w:eastAsia="zh-CN"/>
              </w:rPr>
              <w:t>0</w:t>
            </w:r>
          </w:p>
        </w:tc>
        <w:tc>
          <w:tcPr>
            <w:tcW w:w="131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ascii="宋体" w:hAnsi="宋体" w:eastAsia="宋体" w:cs="宋体"/>
                <w:color w:val="000000"/>
                <w:sz w:val="20"/>
                <w:szCs w:val="20"/>
              </w:rPr>
              <w:t> </w:t>
            </w:r>
            <w:r>
              <w:rPr>
                <w:rFonts w:hint="eastAsia" w:ascii="宋体" w:hAnsi="宋体" w:cs="宋体"/>
                <w:color w:val="000000"/>
                <w:sz w:val="20"/>
                <w:szCs w:val="20"/>
                <w:lang w:val="en-US" w:eastAsia="zh-CN"/>
              </w:rPr>
              <w:t>0</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ascii="宋体" w:hAnsi="宋体" w:eastAsia="宋体" w:cs="宋体"/>
                <w:color w:val="000000"/>
                <w:sz w:val="20"/>
                <w:szCs w:val="20"/>
              </w:rPr>
              <w:t>　</w:t>
            </w:r>
            <w:r>
              <w:rPr>
                <w:rFonts w:hint="eastAsia" w:ascii="宋体" w:hAnsi="宋体" w:cs="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8397"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9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31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行政许可</w:t>
            </w:r>
          </w:p>
        </w:tc>
        <w:tc>
          <w:tcPr>
            <w:tcW w:w="1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default" w:ascii="宋体" w:hAnsi="宋体" w:eastAsia="宋体" w:cs="宋体"/>
                <w:sz w:val="24"/>
                <w:szCs w:val="24"/>
                <w:lang w:val="en-US" w:eastAsia="zh-CN"/>
              </w:rPr>
            </w:pPr>
            <w:r>
              <w:rPr>
                <w:rFonts w:hint="eastAsia" w:ascii="宋体" w:hAnsi="宋体" w:eastAsia="宋体" w:cs="宋体"/>
                <w:color w:val="000000"/>
                <w:sz w:val="20"/>
                <w:szCs w:val="20"/>
              </w:rPr>
              <w:t>　</w:t>
            </w:r>
            <w:r>
              <w:rPr>
                <w:rFonts w:hint="eastAsia" w:ascii="宋体" w:hAnsi="宋体" w:cs="宋体"/>
                <w:color w:val="000000"/>
                <w:sz w:val="20"/>
                <w:szCs w:val="20"/>
                <w:lang w:val="en-US" w:eastAsia="zh-CN"/>
              </w:rPr>
              <w:t>0</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default" w:ascii="宋体" w:hAnsi="宋体" w:eastAsia="宋体" w:cs="宋体"/>
                <w:sz w:val="24"/>
                <w:szCs w:val="24"/>
                <w:lang w:val="en-US" w:eastAsia="zh-CN"/>
              </w:rPr>
            </w:pPr>
            <w:r>
              <w:rPr>
                <w:rFonts w:hint="eastAsia" w:ascii="宋体" w:hAnsi="宋体" w:cs="宋体"/>
                <w:color w:val="000000"/>
                <w:sz w:val="20"/>
                <w:szCs w:val="20"/>
                <w:lang w:val="en-US" w:eastAsia="zh-CN"/>
              </w:rPr>
              <w:t>0</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default" w:ascii="宋体" w:hAnsi="宋体" w:eastAsia="宋体" w:cs="宋体"/>
                <w:sz w:val="24"/>
                <w:szCs w:val="24"/>
                <w:lang w:val="en-US" w:eastAsia="zh-CN"/>
              </w:rPr>
            </w:pPr>
            <w:r>
              <w:rPr>
                <w:rFonts w:hint="eastAsia" w:ascii="宋体" w:hAnsi="宋体" w:eastAsia="宋体" w:cs="宋体"/>
                <w:color w:val="000000"/>
                <w:sz w:val="20"/>
                <w:szCs w:val="20"/>
              </w:rPr>
              <w:t>　</w:t>
            </w:r>
            <w:r>
              <w:rPr>
                <w:rFonts w:hint="eastAsia" w:ascii="宋体" w:hAnsi="宋体" w:cs="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其他对外管理服务事项</w:t>
            </w:r>
          </w:p>
        </w:tc>
        <w:tc>
          <w:tcPr>
            <w:tcW w:w="1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ascii="宋体" w:hAnsi="宋体" w:eastAsia="宋体" w:cs="宋体"/>
                <w:color w:val="000000"/>
                <w:sz w:val="20"/>
                <w:szCs w:val="20"/>
              </w:rPr>
              <w:t>　</w:t>
            </w:r>
            <w:r>
              <w:rPr>
                <w:rFonts w:hint="eastAsia" w:ascii="宋体" w:hAnsi="宋体" w:eastAsia="宋体" w:cs="宋体"/>
                <w:color w:val="000000"/>
                <w:sz w:val="20"/>
                <w:szCs w:val="20"/>
                <w:lang w:val="en-US" w:eastAsia="zh-CN"/>
              </w:rPr>
              <w:t>0</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default" w:ascii="宋体" w:hAnsi="宋体" w:eastAsia="宋体" w:cs="宋体"/>
                <w:sz w:val="24"/>
                <w:szCs w:val="24"/>
                <w:lang w:val="en-US" w:eastAsia="zh-CN"/>
              </w:rPr>
            </w:pPr>
            <w:r>
              <w:rPr>
                <w:rFonts w:hint="eastAsia" w:ascii="宋体" w:hAnsi="宋体" w:eastAsia="宋体" w:cs="宋体"/>
                <w:color w:val="000000"/>
                <w:sz w:val="20"/>
                <w:szCs w:val="20"/>
              </w:rPr>
              <w:t>　</w:t>
            </w:r>
            <w:r>
              <w:rPr>
                <w:rFonts w:hint="eastAsia" w:ascii="宋体" w:hAnsi="宋体" w:cs="宋体"/>
                <w:color w:val="000000"/>
                <w:sz w:val="20"/>
                <w:szCs w:val="20"/>
                <w:lang w:val="en-US" w:eastAsia="zh-CN"/>
              </w:rPr>
              <w:t>0</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default" w:ascii="宋体" w:hAnsi="宋体" w:eastAsia="宋体" w:cs="宋体"/>
                <w:sz w:val="24"/>
                <w:szCs w:val="24"/>
                <w:lang w:val="en-US" w:eastAsia="zh-CN"/>
              </w:rPr>
            </w:pPr>
            <w:r>
              <w:rPr>
                <w:rFonts w:hint="eastAsia" w:ascii="宋体" w:hAnsi="宋体" w:eastAsia="宋体" w:cs="宋体"/>
                <w:color w:val="000000"/>
                <w:sz w:val="20"/>
                <w:szCs w:val="20"/>
              </w:rPr>
              <w:t>　</w:t>
            </w:r>
            <w:r>
              <w:rPr>
                <w:rFonts w:hint="eastAsia" w:ascii="宋体" w:hAnsi="宋体" w:cs="宋体"/>
                <w:color w:val="00000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jc w:val="center"/>
        </w:trPr>
        <w:tc>
          <w:tcPr>
            <w:tcW w:w="8397"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9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31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6"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行政处罚</w:t>
            </w:r>
          </w:p>
        </w:tc>
        <w:tc>
          <w:tcPr>
            <w:tcW w:w="1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行政强制</w:t>
            </w:r>
          </w:p>
        </w:tc>
        <w:tc>
          <w:tcPr>
            <w:tcW w:w="1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c>
          <w:tcPr>
            <w:tcW w:w="13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c>
          <w:tcPr>
            <w:tcW w:w="194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4" w:hRule="atLeast"/>
          <w:jc w:val="center"/>
        </w:trPr>
        <w:tc>
          <w:tcPr>
            <w:tcW w:w="8397"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32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行政事业性收费</w:t>
            </w:r>
          </w:p>
        </w:tc>
        <w:tc>
          <w:tcPr>
            <w:tcW w:w="1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　0</w:t>
            </w:r>
          </w:p>
        </w:tc>
        <w:tc>
          <w:tcPr>
            <w:tcW w:w="32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397"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采购项目数量</w:t>
            </w:r>
          </w:p>
        </w:tc>
        <w:tc>
          <w:tcPr>
            <w:tcW w:w="32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321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color w:val="000000"/>
                <w:sz w:val="20"/>
                <w:szCs w:val="20"/>
              </w:rPr>
              <w:t>政府集中采购</w:t>
            </w:r>
          </w:p>
        </w:tc>
        <w:tc>
          <w:tcPr>
            <w:tcW w:w="1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val="en-US" w:eastAsia="zh-CN"/>
              </w:rPr>
            </w:pPr>
            <w:r>
              <w:rPr>
                <w:rFonts w:hint="eastAsia" w:ascii="宋体" w:hAnsi="宋体" w:eastAsia="宋体" w:cs="宋体"/>
                <w:color w:val="000000"/>
                <w:sz w:val="20"/>
                <w:szCs w:val="20"/>
                <w:lang w:val="en-US" w:eastAsia="zh-CN"/>
              </w:rPr>
              <w:t>0</w:t>
            </w:r>
          </w:p>
        </w:tc>
        <w:tc>
          <w:tcPr>
            <w:tcW w:w="32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shd w:val="clear" w:color="auto" w:fill="FFFFFF"/>
        <w:adjustRightInd/>
        <w:snapToGrid/>
        <w:spacing w:after="0"/>
        <w:jc w:val="both"/>
        <w:rPr>
          <w:rFonts w:hint="eastAsia" w:ascii="宋体" w:hAnsi="宋体" w:eastAsia="宋体" w:cs="宋体"/>
          <w:color w:val="333333"/>
          <w:sz w:val="30"/>
          <w:szCs w:val="30"/>
        </w:rPr>
      </w:pPr>
      <w:r>
        <w:rPr>
          <w:rFonts w:hint="eastAsia" w:ascii="宋体" w:hAnsi="宋体" w:eastAsia="宋体" w:cs="宋体"/>
          <w:b/>
          <w:bCs/>
          <w:color w:val="333333"/>
          <w:sz w:val="30"/>
          <w:szCs w:val="30"/>
        </w:rPr>
        <w:t>三、收到和处理政府信息公开申请情况</w:t>
      </w: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13"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其他</w:t>
            </w:r>
          </w:p>
        </w:tc>
        <w:tc>
          <w:tcPr>
            <w:tcW w:w="695"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cs="宋体"/>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cs="宋体"/>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cs="宋体"/>
                <w:sz w:val="20"/>
                <w:szCs w:val="20"/>
                <w:lang w:val="en-US" w:eastAsia="zh-CN"/>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cs="宋体"/>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cs="宋体"/>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cs="宋体"/>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85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cs="宋体"/>
                <w:sz w:val="20"/>
                <w:szCs w:val="20"/>
                <w:lang w:val="en-US" w:eastAsia="zh-CN"/>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cs="宋体"/>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楷体" w:hAnsi="楷体" w:eastAsia="楷体" w:cs="宋体"/>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ascii="Calibri" w:hAnsi="Calibri" w:eastAsia="宋体" w:cs="宋体"/>
                <w:sz w:val="20"/>
                <w:szCs w:val="20"/>
              </w:rPr>
              <w:t> </w:t>
            </w:r>
            <w:r>
              <w:rPr>
                <w:rFonts w:hint="eastAsia" w:cs="宋体"/>
                <w:sz w:val="20"/>
                <w:szCs w:val="20"/>
                <w:lang w:val="en-US" w:eastAsia="zh-CN"/>
              </w:rPr>
              <w:t>6</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ascii="Calibri" w:hAnsi="Calibri" w:eastAsia="宋体" w:cs="宋体"/>
                <w:sz w:val="20"/>
                <w:szCs w:val="20"/>
                <w:lang w:val="en-US" w:eastAsia="zh-CN"/>
              </w:rPr>
              <w:t>5</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ascii="Calibri" w:hAnsi="Calibri" w:eastAsia="宋体" w:cs="宋体"/>
                <w:sz w:val="20"/>
                <w:szCs w:val="20"/>
              </w:rPr>
              <w:t> </w:t>
            </w:r>
            <w:r>
              <w:rPr>
                <w:rFonts w:hint="eastAsia" w:cs="宋体"/>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ascii="Calibri" w:hAnsi="Calibri" w:eastAsia="宋体" w:cs="宋体"/>
                <w:sz w:val="20"/>
                <w:szCs w:val="20"/>
              </w:rPr>
              <w:t> </w:t>
            </w:r>
            <w:r>
              <w:rPr>
                <w:rFonts w:hint="eastAsia" w:ascii="Calibri" w:hAnsi="Calibri" w:eastAsia="宋体" w:cs="宋体"/>
                <w:sz w:val="20"/>
                <w:szCs w:val="20"/>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0</w:t>
            </w:r>
          </w:p>
        </w:tc>
      </w:tr>
    </w:tbl>
    <w:p>
      <w:pPr>
        <w:shd w:val="clear" w:color="auto" w:fill="FFFFFF"/>
        <w:adjustRightInd/>
        <w:snapToGrid/>
        <w:spacing w:after="0"/>
        <w:jc w:val="left"/>
        <w:rPr>
          <w:rFonts w:ascii="宋体" w:hAnsi="宋体" w:eastAsia="宋体" w:cs="宋体"/>
          <w:color w:val="333333"/>
          <w:sz w:val="30"/>
          <w:szCs w:val="30"/>
        </w:rPr>
      </w:pPr>
      <w:r>
        <w:rPr>
          <w:rFonts w:hint="eastAsia" w:ascii="宋体" w:hAnsi="宋体" w:eastAsia="宋体" w:cs="宋体"/>
          <w:b/>
          <w:bCs/>
          <w:color w:val="333333"/>
          <w:sz w:val="30"/>
          <w:szCs w:val="30"/>
        </w:rPr>
        <w:t>四、政府信息公开行政复议、行政诉讼情况</w:t>
      </w:r>
    </w:p>
    <w:p>
      <w:pPr>
        <w:shd w:val="clear" w:color="auto" w:fill="FFFFFF"/>
        <w:adjustRightInd/>
        <w:snapToGrid/>
        <w:spacing w:after="0"/>
        <w:ind w:firstLine="480"/>
        <w:jc w:val="both"/>
        <w:rPr>
          <w:rFonts w:ascii="宋体" w:hAnsi="宋体" w:eastAsia="宋体" w:cs="宋体"/>
          <w:color w:val="333333"/>
          <w:sz w:val="24"/>
          <w:szCs w:val="24"/>
        </w:rPr>
      </w:pPr>
    </w:p>
    <w:tbl>
      <w:tblPr>
        <w:tblStyle w:val="3"/>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604" w:type="dxa"/>
            <w:vMerge w:val="continue"/>
            <w:tcBorders>
              <w:top w:val="nil"/>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adjustRightInd/>
              <w:snapToGrid/>
              <w:spacing w:after="0"/>
              <w:rPr>
                <w:rFonts w:ascii="宋体" w:hAnsi="宋体" w:eastAsia="宋体" w:cs="宋体"/>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cs="宋体"/>
                <w:sz w:val="20"/>
                <w:szCs w:val="20"/>
                <w:lang w:val="en-US" w:eastAsia="zh-CN"/>
              </w:rPr>
              <w:t>2</w:t>
            </w:r>
            <w:r>
              <w:rPr>
                <w:rFonts w:ascii="Calibri" w:hAnsi="Calibri" w:eastAsia="宋体" w:cs="宋体"/>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Calibri" w:hAnsi="Calibri" w:eastAsia="宋体" w:cs="宋体"/>
                <w:sz w:val="20"/>
                <w:szCs w:val="20"/>
              </w:rPr>
              <w:t>0</w:t>
            </w:r>
            <w:r>
              <w:rPr>
                <w:rFonts w:ascii="Calibri" w:hAnsi="Calibri" w:eastAsia="宋体" w:cs="宋体"/>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hint="eastAsia" w:ascii="宋体" w:hAnsi="宋体" w:eastAsia="宋体" w:cs="宋体"/>
                <w:sz w:val="24"/>
                <w:szCs w:val="24"/>
                <w:lang w:eastAsia="zh-CN"/>
              </w:rPr>
            </w:pPr>
            <w:r>
              <w:rPr>
                <w:rFonts w:hint="eastAsia" w:cs="宋体"/>
                <w:sz w:val="20"/>
                <w:szCs w:val="20"/>
                <w:lang w:val="en-US" w:eastAsia="zh-CN"/>
              </w:rPr>
              <w:t>2</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color w:val="000000"/>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0</w:t>
            </w:r>
          </w:p>
        </w:tc>
      </w:tr>
    </w:tbl>
    <w:p>
      <w:pPr>
        <w:shd w:val="clear" w:color="auto" w:fill="FFFFFF"/>
        <w:adjustRightInd/>
        <w:snapToGrid/>
        <w:spacing w:after="0"/>
        <w:jc w:val="center"/>
        <w:rPr>
          <w:rFonts w:ascii="宋体" w:hAnsi="宋体" w:eastAsia="宋体" w:cs="宋体"/>
          <w:color w:val="333333"/>
          <w:sz w:val="24"/>
          <w:szCs w:val="24"/>
        </w:rPr>
      </w:pPr>
    </w:p>
    <w:p>
      <w:pPr>
        <w:shd w:val="clear" w:color="auto" w:fill="FFFFFF"/>
        <w:adjustRightInd/>
        <w:snapToGrid/>
        <w:spacing w:after="0" w:line="450" w:lineRule="atLeast"/>
        <w:ind w:firstLine="480"/>
        <w:rPr>
          <w:rFonts w:ascii="黑体" w:hAnsi="黑体" w:eastAsia="黑体" w:cs="宋体"/>
          <w:color w:val="000000"/>
          <w:sz w:val="32"/>
          <w:szCs w:val="32"/>
        </w:rPr>
      </w:pPr>
      <w:r>
        <w:rPr>
          <w:rFonts w:ascii="黑体" w:hAnsi="黑体" w:eastAsia="黑体" w:cs="宋体"/>
          <w:b/>
          <w:bCs/>
          <w:color w:val="000000"/>
          <w:sz w:val="32"/>
          <w:szCs w:val="32"/>
        </w:rPr>
        <w:t>五、存在的主要问题及改进情况</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2019年，我</w:t>
      </w:r>
      <w:r>
        <w:rPr>
          <w:rFonts w:hint="eastAsia" w:ascii="Times New Roman" w:hAnsi="Times New Roman" w:eastAsia="仿宋"/>
          <w:sz w:val="32"/>
          <w:szCs w:val="32"/>
          <w:lang w:val="en-US" w:eastAsia="zh-CN"/>
        </w:rPr>
        <w:t>局</w:t>
      </w:r>
      <w:r>
        <w:rPr>
          <w:rFonts w:ascii="Times New Roman" w:hAnsi="Times New Roman" w:eastAsia="仿宋"/>
          <w:sz w:val="32"/>
          <w:szCs w:val="32"/>
        </w:rPr>
        <w:t>政府信息公开工作取得了新的进展，但同时也存在一些问题，一是对政府信息公开工作重要性认识不足，推动政务公开和政府信息公开的力度不够，公开内容不具体，重点不突出；二是信息公开的内容不够充实完善，网上信息更新不够及时；三是网站管理相对薄弱，人员力量有待加强。</w:t>
      </w:r>
    </w:p>
    <w:p>
      <w:pPr>
        <w:shd w:val="clear" w:color="auto" w:fill="FFFFFF"/>
        <w:adjustRightInd/>
        <w:snapToGrid/>
        <w:spacing w:after="100" w:line="450" w:lineRule="atLeast"/>
        <w:ind w:firstLine="480"/>
        <w:jc w:val="both"/>
        <w:rPr>
          <w:rFonts w:ascii="仿宋" w:hAnsi="仿宋" w:eastAsia="仿宋" w:cs="宋体"/>
          <w:color w:val="000000"/>
          <w:sz w:val="32"/>
          <w:szCs w:val="32"/>
        </w:rPr>
      </w:pPr>
      <w:r>
        <w:rPr>
          <w:rFonts w:hint="eastAsia" w:ascii="仿宋" w:hAnsi="仿宋" w:eastAsia="仿宋" w:cs="宋体"/>
          <w:color w:val="000000"/>
          <w:sz w:val="32"/>
          <w:szCs w:val="32"/>
          <w:lang w:val="en-US" w:eastAsia="zh-CN"/>
        </w:rPr>
        <w:t xml:space="preserve"> </w:t>
      </w:r>
      <w:r>
        <w:rPr>
          <w:rFonts w:hint="eastAsia" w:ascii="仿宋" w:hAnsi="仿宋" w:eastAsia="仿宋" w:cs="宋体"/>
          <w:color w:val="000000"/>
          <w:sz w:val="32"/>
          <w:szCs w:val="32"/>
        </w:rPr>
        <w:t>下一步，我局将进一步抓好政府信息公开工作。一是健全完善单位信息工作网络机构，充实政府信息共享和公开人员力量，充分调动全体干部职工参与信息工作的积极性，有效发挥各科室业务面广、专业性强等优势，加强对政府信息工作的专题研究，强力推进信息资源共享工作。二是优化门户网站版面和栏目设计，使网站主页更加简洁大方，进一步丰富网站栏目，增强网站互动性。切实做好动态类、措施类、问题类等各类信息的编报工作，多渠道及时向社会各界推送和发布需知悉或关切的政府信息。三是继续加大政府信息公开工作培训力度，邀请相关专业人员对局各科室信息工作人员和各县区办公室主任开展公文写作、政府微信及微博使用、信息安全教育等专题培训，提高工作人员政</w:t>
      </w:r>
      <w:r>
        <w:rPr>
          <w:rFonts w:hint="eastAsia" w:ascii="仿宋" w:hAnsi="仿宋" w:eastAsia="仿宋" w:cs="宋体"/>
          <w:color w:val="000000"/>
          <w:sz w:val="32"/>
          <w:szCs w:val="32"/>
          <w:lang w:val="en-US" w:eastAsia="zh-CN"/>
        </w:rPr>
        <w:t>务</w:t>
      </w:r>
      <w:r>
        <w:rPr>
          <w:rFonts w:hint="eastAsia" w:ascii="仿宋" w:hAnsi="仿宋" w:eastAsia="仿宋" w:cs="宋体"/>
          <w:color w:val="000000"/>
          <w:sz w:val="32"/>
          <w:szCs w:val="32"/>
        </w:rPr>
        <w:t>公开工作水平和工作效率，确保圆满完成政</w:t>
      </w:r>
      <w:r>
        <w:rPr>
          <w:rFonts w:hint="eastAsia" w:ascii="仿宋" w:hAnsi="仿宋" w:eastAsia="仿宋" w:cs="宋体"/>
          <w:color w:val="000000"/>
          <w:sz w:val="32"/>
          <w:szCs w:val="32"/>
          <w:lang w:val="en-US" w:eastAsia="zh-CN"/>
        </w:rPr>
        <w:t>务</w:t>
      </w:r>
      <w:r>
        <w:rPr>
          <w:rFonts w:hint="eastAsia" w:ascii="仿宋" w:hAnsi="仿宋" w:eastAsia="仿宋" w:cs="宋体"/>
          <w:color w:val="000000"/>
          <w:sz w:val="32"/>
          <w:szCs w:val="32"/>
        </w:rPr>
        <w:t>公开工作各项任务。</w:t>
      </w:r>
    </w:p>
    <w:p>
      <w:pPr>
        <w:shd w:val="clear" w:color="auto" w:fill="FFFFFF"/>
        <w:adjustRightInd/>
        <w:snapToGrid/>
        <w:spacing w:after="0" w:line="450" w:lineRule="atLeast"/>
        <w:ind w:firstLine="480"/>
        <w:jc w:val="both"/>
        <w:rPr>
          <w:rFonts w:ascii="宋体" w:hAnsi="宋体" w:eastAsia="宋体" w:cs="宋体"/>
          <w:color w:val="000000"/>
          <w:sz w:val="32"/>
          <w:szCs w:val="32"/>
        </w:rPr>
      </w:pPr>
      <w:r>
        <w:rPr>
          <w:rFonts w:ascii="宋体" w:hAnsi="宋体" w:eastAsia="宋体" w:cs="宋体"/>
          <w:b/>
          <w:bCs/>
          <w:color w:val="000000"/>
          <w:sz w:val="32"/>
          <w:szCs w:val="32"/>
        </w:rPr>
        <w:t>六、其他需要报告的事项</w:t>
      </w:r>
    </w:p>
    <w:p>
      <w:pPr>
        <w:shd w:val="clear" w:color="auto" w:fill="FFFFFF"/>
        <w:adjustRightInd/>
        <w:snapToGrid/>
        <w:spacing w:after="100" w:line="450" w:lineRule="atLeast"/>
        <w:ind w:firstLine="480"/>
        <w:jc w:val="both"/>
        <w:rPr>
          <w:rFonts w:ascii="仿宋" w:hAnsi="仿宋" w:eastAsia="仿宋" w:cs="宋体"/>
          <w:color w:val="000000"/>
          <w:sz w:val="32"/>
          <w:szCs w:val="32"/>
        </w:rPr>
      </w:pPr>
      <w:r>
        <w:rPr>
          <w:rFonts w:ascii="仿宋" w:hAnsi="仿宋" w:eastAsia="仿宋" w:cs="宋体"/>
          <w:color w:val="000000"/>
          <w:sz w:val="32"/>
          <w:szCs w:val="32"/>
        </w:rPr>
        <w:t>无</w:t>
      </w:r>
    </w:p>
    <w:p>
      <w:pPr>
        <w:pStyle w:val="5"/>
        <w:shd w:val="clear" w:color="auto" w:fill="FFFFFF"/>
        <w:spacing w:before="0" w:beforeAutospacing="0" w:after="0" w:afterAutospacing="0" w:line="360" w:lineRule="auto"/>
        <w:ind w:firstLine="480" w:firstLineChars="200"/>
        <w:jc w:val="both"/>
      </w:pPr>
      <w:bookmarkStart w:id="0" w:name="_GoBack"/>
      <w:bookmarkEnd w:id="0"/>
    </w:p>
    <w:p>
      <w:pPr>
        <w:pStyle w:val="5"/>
        <w:shd w:val="clear" w:color="auto" w:fill="FFFFFF"/>
        <w:spacing w:before="0" w:beforeAutospacing="0" w:after="0" w:afterAutospacing="0" w:line="360" w:lineRule="auto"/>
        <w:ind w:firstLine="480" w:firstLineChars="200"/>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2603B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
    <w:name w:val="p16"/>
    <w:basedOn w:val="1"/>
    <w:uiPriority w:val="0"/>
    <w:pPr>
      <w:widowControl/>
      <w:spacing w:before="100" w:after="1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96</Words>
  <Characters>553</Characters>
  <Lines>4</Lines>
  <Paragraphs>1</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2020-01-21T18:34:00Z</dcterms:created>
  <dc:creator>Administrator</dc:creator>
  <cp:lastModifiedBy>方方</cp:lastModifiedBy>
  <dcterms:modified xsi:type="dcterms:W3CDTF">2022-02-11T02:01:41Z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3D7FAE02A39D4BCFB7E4EF98255BC76D</vt:lpwstr>
  </property>
</Properties>
</file>