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ind w:firstLine="2420" w:firstLineChars="550"/>
        <w:jc w:val="center"/>
        <w:rPr>
          <w:rFonts w:ascii="方正小标宋简体" w:hAnsi="等线" w:eastAsia="方正小标宋简体"/>
          <w:sz w:val="44"/>
          <w:szCs w:val="44"/>
        </w:rPr>
      </w:pPr>
    </w:p>
    <w:p>
      <w:pPr>
        <w:spacing w:line="600" w:lineRule="exact"/>
        <w:jc w:val="center"/>
        <w:rPr>
          <w:rFonts w:ascii="方正小标宋简体" w:hAnsi="等线" w:eastAsia="方正小标宋简体"/>
          <w:sz w:val="44"/>
          <w:szCs w:val="44"/>
        </w:rPr>
      </w:pPr>
    </w:p>
    <w:p>
      <w:pPr>
        <w:spacing w:line="600" w:lineRule="exact"/>
        <w:jc w:val="center"/>
        <w:rPr>
          <w:rFonts w:ascii="方正小标宋简体" w:hAnsi="等线" w:eastAsia="方正小标宋简体"/>
          <w:sz w:val="44"/>
          <w:szCs w:val="44"/>
        </w:rPr>
      </w:pPr>
    </w:p>
    <w:p>
      <w:pPr>
        <w:spacing w:line="600" w:lineRule="exact"/>
        <w:jc w:val="center"/>
        <w:rPr>
          <w:rFonts w:ascii="方正小标宋简体" w:hAnsi="等线" w:eastAsia="方正小标宋简体"/>
          <w:sz w:val="44"/>
          <w:szCs w:val="44"/>
        </w:rPr>
      </w:pPr>
      <w:r>
        <w:rPr>
          <w:rFonts w:hint="eastAsia" w:ascii="方正小标宋简体" w:hAnsi="等线" w:eastAsia="方正小标宋简体"/>
          <w:sz w:val="44"/>
          <w:szCs w:val="44"/>
        </w:rPr>
        <w:t>南阳市人民政府</w:t>
      </w:r>
    </w:p>
    <w:p>
      <w:pPr>
        <w:spacing w:line="600" w:lineRule="exact"/>
        <w:ind w:left="20" w:leftChars="-200" w:right="-420" w:rightChars="-200" w:hanging="440" w:hangingChars="100"/>
        <w:jc w:val="center"/>
        <w:rPr>
          <w:rFonts w:ascii="方正小标宋简体" w:hAnsi="等线" w:eastAsia="方正小标宋简体"/>
          <w:sz w:val="44"/>
          <w:szCs w:val="44"/>
        </w:rPr>
      </w:pPr>
      <w:r>
        <w:rPr>
          <w:rFonts w:hint="eastAsia" w:ascii="方正小标宋简体" w:hAnsi="等线" w:eastAsia="方正小标宋简体"/>
          <w:sz w:val="44"/>
          <w:szCs w:val="44"/>
        </w:rPr>
        <w:t>关于印发南阳市</w:t>
      </w:r>
      <w:r>
        <w:rPr>
          <w:rFonts w:ascii="方正小标宋简体" w:hAnsi="等线" w:eastAsia="方正小标宋简体"/>
          <w:sz w:val="44"/>
          <w:szCs w:val="44"/>
        </w:rPr>
        <w:t>国民经济和社会发展</w:t>
      </w:r>
    </w:p>
    <w:p>
      <w:pPr>
        <w:spacing w:line="600" w:lineRule="exact"/>
        <w:ind w:left="20" w:leftChars="-200" w:right="-420" w:rightChars="-200" w:hanging="440" w:hangingChars="100"/>
        <w:jc w:val="center"/>
        <w:rPr>
          <w:rFonts w:ascii="方正小标宋简体" w:hAnsi="等线" w:eastAsia="方正小标宋简体"/>
          <w:sz w:val="44"/>
          <w:szCs w:val="44"/>
        </w:rPr>
      </w:pPr>
      <w:r>
        <w:rPr>
          <w:rFonts w:ascii="方正小标宋简体" w:hAnsi="等线" w:eastAsia="方正小标宋简体"/>
          <w:sz w:val="44"/>
          <w:szCs w:val="44"/>
        </w:rPr>
        <w:t>第十四个五年规划和二</w:t>
      </w:r>
      <w:r>
        <w:rPr>
          <w:rFonts w:hint="eastAsia" w:ascii="宋体" w:hAnsi="宋体" w:cs="宋体"/>
          <w:sz w:val="44"/>
          <w:szCs w:val="44"/>
        </w:rPr>
        <w:t>〇</w:t>
      </w:r>
      <w:r>
        <w:rPr>
          <w:rFonts w:ascii="方正小标宋简体" w:hAnsi="等线" w:eastAsia="方正小标宋简体"/>
          <w:sz w:val="44"/>
          <w:szCs w:val="44"/>
        </w:rPr>
        <w:t>三五年远景目标纲要的</w:t>
      </w:r>
    </w:p>
    <w:p>
      <w:pPr>
        <w:spacing w:line="600" w:lineRule="exact"/>
        <w:ind w:left="20" w:leftChars="-200" w:right="-420" w:rightChars="-200" w:hanging="440" w:hangingChars="100"/>
        <w:jc w:val="center"/>
        <w:rPr>
          <w:rFonts w:ascii="方正小标宋简体" w:hAnsi="等线" w:eastAsia="方正小标宋简体"/>
          <w:sz w:val="44"/>
          <w:szCs w:val="44"/>
        </w:rPr>
      </w:pPr>
      <w:r>
        <w:rPr>
          <w:rFonts w:ascii="方正小标宋简体" w:hAnsi="等线" w:eastAsia="方正小标宋简体"/>
          <w:sz w:val="44"/>
          <w:szCs w:val="44"/>
        </w:rPr>
        <w:t>通</w:t>
      </w:r>
      <w:r>
        <w:rPr>
          <w:rFonts w:hint="eastAsia" w:ascii="方正小标宋简体" w:hAnsi="等线" w:eastAsia="方正小标宋简体"/>
          <w:sz w:val="44"/>
          <w:szCs w:val="44"/>
        </w:rPr>
        <w:t xml:space="preserve">  </w:t>
      </w:r>
      <w:r>
        <w:rPr>
          <w:rFonts w:ascii="方正小标宋简体" w:hAnsi="等线" w:eastAsia="方正小标宋简体"/>
          <w:sz w:val="44"/>
          <w:szCs w:val="44"/>
        </w:rPr>
        <w:t>知</w:t>
      </w:r>
    </w:p>
    <w:p>
      <w:pPr>
        <w:rPr>
          <w:rFonts w:ascii="楷体_GB2312" w:hAnsi="等线" w:eastAsia="楷体_GB2312"/>
          <w:sz w:val="32"/>
          <w:szCs w:val="32"/>
        </w:rPr>
      </w:pPr>
    </w:p>
    <w:p>
      <w:pPr>
        <w:rPr>
          <w:rFonts w:ascii="仿宋_GB2312" w:hAnsi="仿宋" w:eastAsia="仿宋_GB2312"/>
          <w:sz w:val="32"/>
          <w:szCs w:val="32"/>
        </w:rPr>
      </w:pPr>
      <w:r>
        <w:rPr>
          <w:rFonts w:hint="eastAsia" w:ascii="仿宋_GB2312" w:hAnsi="仿宋" w:eastAsia="仿宋_GB2312"/>
          <w:sz w:val="32"/>
          <w:szCs w:val="32"/>
        </w:rPr>
        <w:t>各县（市、区）人民政府，城乡一体化示范区、高新区、鸭河工区、官庄工区、卧龙综合保税区管委会，市人民政府各部门：</w:t>
      </w:r>
    </w:p>
    <w:p>
      <w:pPr>
        <w:ind w:firstLine="645"/>
        <w:rPr>
          <w:rFonts w:ascii="仿宋_GB2312" w:hAnsi="仿宋" w:eastAsia="仿宋_GB2312"/>
          <w:sz w:val="32"/>
          <w:szCs w:val="32"/>
        </w:rPr>
      </w:pPr>
      <w:r>
        <w:rPr>
          <w:rFonts w:hint="eastAsia" w:ascii="仿宋_GB2312" w:hAnsi="仿宋" w:eastAsia="仿宋_GB2312"/>
          <w:sz w:val="32"/>
          <w:szCs w:val="32"/>
        </w:rPr>
        <w:t>《南阳市国民经济和社会发展第十四个五年规划和二〇三五年远景目标纲要》已经南阳市第六届人民代表大会第四次会议审查批准,现印发给你们,请认真组织实施。</w:t>
      </w:r>
    </w:p>
    <w:p>
      <w:pPr>
        <w:ind w:firstLine="645"/>
        <w:rPr>
          <w:rFonts w:ascii="仿宋_GB2312" w:hAnsi="仿宋" w:eastAsia="仿宋_GB2312"/>
          <w:sz w:val="32"/>
          <w:szCs w:val="32"/>
        </w:rPr>
      </w:pPr>
      <w:r>
        <w:rPr>
          <w:rFonts w:hint="eastAsia" w:ascii="仿宋_GB2312" w:hAnsi="仿宋" w:eastAsia="仿宋_GB2312"/>
          <w:sz w:val="32"/>
          <w:szCs w:val="32"/>
        </w:rPr>
        <w:t xml:space="preserve"> </w:t>
      </w:r>
    </w:p>
    <w:p>
      <w:pPr>
        <w:ind w:firstLine="645"/>
        <w:rPr>
          <w:rFonts w:ascii="仿宋_GB2312" w:hAnsi="仿宋" w:eastAsia="仿宋_GB2312"/>
          <w:sz w:val="32"/>
          <w:szCs w:val="32"/>
        </w:rPr>
      </w:pPr>
      <w:r>
        <w:rPr>
          <w:rFonts w:hint="eastAsia" w:ascii="仿宋_GB2312" w:hAnsi="仿宋" w:eastAsia="仿宋_GB2312"/>
          <w:sz w:val="32"/>
          <w:szCs w:val="32"/>
        </w:rPr>
        <w:t xml:space="preserve">                               2021年6月28日</w:t>
      </w:r>
    </w:p>
    <w:p>
      <w:pPr>
        <w:pStyle w:val="2"/>
        <w:jc w:val="both"/>
        <w:rPr>
          <w:rFonts w:ascii="仿宋_GB2312" w:eastAsia="仿宋_GB2312"/>
          <w:sz w:val="44"/>
          <w:szCs w:val="44"/>
        </w:rPr>
      </w:pPr>
    </w:p>
    <w:p>
      <w:pPr>
        <w:spacing w:line="520" w:lineRule="exact"/>
        <w:jc w:val="center"/>
        <w:rPr>
          <w:rFonts w:ascii="黑体" w:hAnsi="黑体" w:eastAsia="黑体"/>
          <w:sz w:val="44"/>
          <w:szCs w:val="44"/>
        </w:rPr>
      </w:pPr>
    </w:p>
    <w:p>
      <w:pPr>
        <w:spacing w:line="520" w:lineRule="exact"/>
        <w:jc w:val="center"/>
        <w:rPr>
          <w:rFonts w:ascii="黑体" w:hAnsi="黑体" w:eastAsia="黑体"/>
          <w:sz w:val="44"/>
          <w:szCs w:val="44"/>
        </w:rPr>
      </w:pPr>
    </w:p>
    <w:p>
      <w:pPr>
        <w:pStyle w:val="2"/>
        <w:jc w:val="both"/>
      </w:pPr>
    </w:p>
    <w:p>
      <w:pPr>
        <w:pStyle w:val="2"/>
        <w:jc w:val="both"/>
        <w:rPr>
          <w:rFonts w:ascii="仿宋_GB2312" w:eastAsia="仿宋_GB2312"/>
          <w:sz w:val="44"/>
          <w:szCs w:val="44"/>
        </w:rPr>
        <w:sectPr>
          <w:headerReference r:id="rId3" w:type="default"/>
          <w:footerReference r:id="rId4" w:type="default"/>
          <w:pgSz w:w="11906" w:h="16838"/>
          <w:pgMar w:top="2098" w:right="1474" w:bottom="1985" w:left="1588" w:header="851" w:footer="992" w:gutter="0"/>
          <w:pgNumType w:start="1"/>
          <w:cols w:space="425" w:num="1"/>
          <w:docGrid w:type="lines" w:linePitch="312" w:charSpace="0"/>
        </w:sectPr>
      </w:pPr>
    </w:p>
    <w:p>
      <w:pPr>
        <w:spacing w:after="312" w:afterLines="100" w:line="640" w:lineRule="exact"/>
        <w:jc w:val="center"/>
        <w:rPr>
          <w:rFonts w:ascii="方正小标宋简体" w:hAnsi="等线" w:eastAsia="方正小标宋简体"/>
          <w:w w:val="90"/>
          <w:sz w:val="44"/>
          <w:szCs w:val="44"/>
        </w:rPr>
      </w:pPr>
      <w:r>
        <w:rPr>
          <w:rFonts w:hint="eastAsia" w:ascii="方正小标宋简体" w:hAnsi="等线" w:eastAsia="方正小标宋简体"/>
          <w:w w:val="90"/>
          <w:sz w:val="44"/>
          <w:szCs w:val="44"/>
        </w:rPr>
        <w:t>南阳市</w:t>
      </w:r>
      <w:r>
        <w:rPr>
          <w:rFonts w:ascii="方正小标宋简体" w:hAnsi="等线" w:eastAsia="方正小标宋简体"/>
          <w:w w:val="90"/>
          <w:sz w:val="44"/>
          <w:szCs w:val="44"/>
        </w:rPr>
        <w:t>国民经济和社会发展</w:t>
      </w:r>
    </w:p>
    <w:p>
      <w:pPr>
        <w:spacing w:after="312" w:afterLines="100" w:line="640" w:lineRule="exact"/>
        <w:jc w:val="center"/>
        <w:rPr>
          <w:rFonts w:ascii="方正小标宋简体" w:hAnsi="等线" w:eastAsia="方正小标宋简体"/>
          <w:w w:val="90"/>
          <w:sz w:val="44"/>
          <w:szCs w:val="44"/>
        </w:rPr>
      </w:pPr>
      <w:r>
        <w:rPr>
          <w:rFonts w:ascii="方正小标宋简体" w:hAnsi="等线" w:eastAsia="方正小标宋简体"/>
          <w:w w:val="90"/>
          <w:sz w:val="44"/>
          <w:szCs w:val="44"/>
        </w:rPr>
        <w:t>第十四个五年规划和二</w:t>
      </w:r>
      <w:r>
        <w:rPr>
          <w:rFonts w:hint="eastAsia" w:ascii="宋体" w:hAnsi="宋体" w:cs="宋体"/>
          <w:w w:val="90"/>
          <w:sz w:val="44"/>
          <w:szCs w:val="44"/>
        </w:rPr>
        <w:t>〇</w:t>
      </w:r>
      <w:r>
        <w:rPr>
          <w:rFonts w:ascii="方正小标宋简体" w:hAnsi="等线" w:eastAsia="方正小标宋简体"/>
          <w:w w:val="90"/>
          <w:sz w:val="44"/>
          <w:szCs w:val="44"/>
        </w:rPr>
        <w:t>三五年远景目标纲要</w:t>
      </w:r>
    </w:p>
    <w:p>
      <w:pPr>
        <w:spacing w:after="312" w:afterLines="100" w:line="620" w:lineRule="exact"/>
        <w:ind w:firstLine="640" w:firstLineChars="200"/>
        <w:rPr>
          <w:rFonts w:ascii="仿宋_GB2312" w:hAnsi="仿宋" w:eastAsia="仿宋_GB2312"/>
          <w:sz w:val="32"/>
          <w:szCs w:val="32"/>
        </w:rPr>
      </w:pPr>
      <w:r>
        <w:rPr>
          <w:rFonts w:hint="eastAsia" w:ascii="仿宋_GB2312" w:hAnsi="仿宋" w:eastAsia="仿宋_GB2312"/>
          <w:sz w:val="32"/>
          <w:szCs w:val="32"/>
        </w:rPr>
        <w:t>南阳市国民经济和社会发展第十四个五年（2021-2025）规划和二</w:t>
      </w:r>
      <w:r>
        <w:rPr>
          <w:rFonts w:hint="eastAsia" w:ascii="仿宋_GB2312" w:hAnsi="仿宋" w:eastAsia="仿宋"/>
          <w:sz w:val="32"/>
          <w:szCs w:val="32"/>
        </w:rPr>
        <w:t>〇</w:t>
      </w:r>
      <w:r>
        <w:rPr>
          <w:rFonts w:hint="eastAsia" w:ascii="仿宋_GB2312" w:hAnsi="仿宋" w:eastAsia="仿宋_GB2312"/>
          <w:sz w:val="32"/>
          <w:szCs w:val="32"/>
        </w:rPr>
        <w:t>三五年远景目标纲要根据《中共南阳市委关于制定南阳市国民经济和社会发展第十四个五年规划和二</w:t>
      </w:r>
      <w:r>
        <w:rPr>
          <w:rFonts w:hint="eastAsia" w:ascii="仿宋_GB2312" w:hAnsi="仿宋" w:eastAsia="仿宋"/>
          <w:sz w:val="32"/>
          <w:szCs w:val="32"/>
        </w:rPr>
        <w:t>〇</w:t>
      </w:r>
      <w:r>
        <w:rPr>
          <w:rFonts w:hint="eastAsia" w:ascii="仿宋_GB2312" w:hAnsi="仿宋" w:eastAsia="仿宋_GB2312"/>
          <w:sz w:val="32"/>
          <w:szCs w:val="32"/>
        </w:rPr>
        <w:t>三五年远景目标的建议》编制，主要阐明“十四五”时期全市战略意图和政府工作重点，引导规范市场主体行为，统筹重大战略和重大举措时空安排，是政府履行职责的重要依据，是今后五年乃至更长时期全市经济社会发展的宏伟蓝图和全市人民共同奋斗的行动纲领。</w:t>
      </w:r>
    </w:p>
    <w:p>
      <w:pPr>
        <w:spacing w:line="620" w:lineRule="exact"/>
        <w:ind w:left="155" w:leftChars="74"/>
        <w:jc w:val="center"/>
        <w:rPr>
          <w:rFonts w:ascii="方正小标宋简体" w:hAnsi="黑体" w:eastAsia="方正小标宋简体" w:cs="黑体"/>
          <w:sz w:val="32"/>
          <w:szCs w:val="32"/>
        </w:rPr>
      </w:pPr>
      <w:r>
        <w:rPr>
          <w:rFonts w:hint="eastAsia" w:ascii="方正小标宋简体" w:hAnsi="黑体" w:eastAsia="方正小标宋简体" w:cs="黑体"/>
          <w:sz w:val="32"/>
          <w:szCs w:val="32"/>
        </w:rPr>
        <w:t>第一篇 全面建成小康社会，开启全面建设社会主义</w:t>
      </w:r>
    </w:p>
    <w:p>
      <w:pPr>
        <w:spacing w:after="312" w:afterLines="100" w:line="620" w:lineRule="exact"/>
        <w:ind w:left="155" w:leftChars="74"/>
        <w:jc w:val="center"/>
        <w:rPr>
          <w:rFonts w:ascii="方正小标宋简体" w:hAnsi="黑体" w:eastAsia="方正小标宋简体" w:cs="黑体"/>
          <w:sz w:val="32"/>
          <w:szCs w:val="32"/>
        </w:rPr>
      </w:pPr>
      <w:r>
        <w:rPr>
          <w:rFonts w:hint="eastAsia" w:ascii="方正小标宋简体" w:hAnsi="黑体" w:eastAsia="方正小标宋简体" w:cs="黑体"/>
          <w:sz w:val="32"/>
          <w:szCs w:val="32"/>
        </w:rPr>
        <w:t>现代化南阳新征程</w:t>
      </w:r>
    </w:p>
    <w:p>
      <w:pPr>
        <w:spacing w:after="312" w:afterLines="100" w:line="620" w:lineRule="exact"/>
        <w:ind w:firstLine="640" w:firstLineChars="200"/>
        <w:rPr>
          <w:rFonts w:ascii="仿宋_GB2312" w:hAnsi="仿宋" w:eastAsia="仿宋_GB2312"/>
          <w:sz w:val="32"/>
          <w:szCs w:val="32"/>
        </w:rPr>
      </w:pPr>
      <w:r>
        <w:rPr>
          <w:rFonts w:hint="eastAsia" w:ascii="仿宋_GB2312" w:hAnsi="仿宋" w:eastAsia="仿宋_GB2312"/>
          <w:sz w:val="32"/>
          <w:szCs w:val="32"/>
        </w:rPr>
        <w:t>“十四五”时期，是开启全面建设社会主义现代化南阳新征程的第一个五年，是打造新兴区域经济中心、高质量建设大城市的关键五年。必须全面贯彻落实党的十九届五中全会精神和省、市决策部署，立足新发展阶段、贯彻新发展理念、融入新发展格局，奋力开创现代化南阳建设新局面。</w:t>
      </w:r>
    </w:p>
    <w:p>
      <w:pPr>
        <w:spacing w:after="312" w:afterLines="100" w:line="620" w:lineRule="exact"/>
        <w:jc w:val="center"/>
        <w:rPr>
          <w:rFonts w:ascii="黑体" w:hAnsi="黑体" w:eastAsia="黑体"/>
          <w:sz w:val="32"/>
          <w:szCs w:val="32"/>
        </w:rPr>
      </w:pPr>
      <w:r>
        <w:rPr>
          <w:rFonts w:hint="eastAsia" w:ascii="黑体" w:hAnsi="黑体" w:eastAsia="黑体"/>
          <w:sz w:val="32"/>
          <w:szCs w:val="32"/>
        </w:rPr>
        <w:t>第一章  发展环境</w:t>
      </w:r>
    </w:p>
    <w:p>
      <w:pPr>
        <w:spacing w:after="312" w:afterLines="100"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进入新发展阶段，我市发展基础更加坚实，发展环境发生深刻复杂变化，进一步发展面临新的机遇和挑战。</w:t>
      </w:r>
    </w:p>
    <w:p>
      <w:pPr>
        <w:spacing w:after="312" w:afterLines="100" w:line="620" w:lineRule="exact"/>
        <w:jc w:val="center"/>
        <w:rPr>
          <w:rFonts w:ascii="楷体_GB2312" w:eastAsia="楷体_GB2312"/>
          <w:b/>
          <w:sz w:val="32"/>
          <w:szCs w:val="32"/>
        </w:rPr>
      </w:pPr>
      <w:r>
        <w:rPr>
          <w:rFonts w:hint="eastAsia" w:ascii="楷体_GB2312" w:eastAsia="楷体_GB2312"/>
          <w:b/>
          <w:sz w:val="32"/>
          <w:szCs w:val="32"/>
        </w:rPr>
        <w:t>第一节  决胜全面建成小康社会取得决定性成就</w:t>
      </w:r>
    </w:p>
    <w:p>
      <w:pPr>
        <w:spacing w:line="6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三五”时期是全面建成小康社会决胜阶段。面对错综复杂的外部环境、艰巨繁重的改革发展稳定任务，特别是新冠肺炎疫情的严重冲击，市委、市政府坚持以习近平新时代中国特色社会主义思想为指导，认真贯彻党中央、国务院和省委、省政府各项决策部署，团结带领全市人民强力推进党的建设和经济发展“两个高质量”工作体系，深入实施“两轮两翼”战略，重抓重推“九大专项”，打基础谋长远、补短板强弱项、聚重点促转型，夯基垒台、积厚成势，“十三五”规划目标任务总体完成，全面建成小康社会取得伟大历史成果。</w:t>
      </w:r>
    </w:p>
    <w:p>
      <w:pPr>
        <w:spacing w:line="62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经济实力大幅提升。</w:t>
      </w:r>
      <w:r>
        <w:rPr>
          <w:rFonts w:hint="eastAsia" w:ascii="仿宋_GB2312" w:hAnsi="仿宋_GB2312" w:eastAsia="仿宋_GB2312" w:cs="仿宋_GB2312"/>
          <w:sz w:val="32"/>
          <w:szCs w:val="32"/>
        </w:rPr>
        <w:t>经济总量迈上</w:t>
      </w:r>
      <w:r>
        <w:rPr>
          <w:rFonts w:ascii="仿宋_GB2312" w:hAnsi="仿宋_GB2312" w:eastAsia="仿宋_GB2312" w:cs="仿宋_GB2312"/>
          <w:sz w:val="32"/>
          <w:szCs w:val="32"/>
        </w:rPr>
        <w:t>3千亿元</w:t>
      </w:r>
      <w:r>
        <w:rPr>
          <w:rFonts w:hint="eastAsia" w:ascii="仿宋_GB2312" w:hAnsi="仿宋_GB2312" w:eastAsia="仿宋_GB2312" w:cs="仿宋_GB2312"/>
          <w:sz w:val="32"/>
          <w:szCs w:val="32"/>
        </w:rPr>
        <w:t>台阶，接近</w:t>
      </w:r>
      <w:r>
        <w:rPr>
          <w:rFonts w:ascii="仿宋_GB2312" w:hAnsi="仿宋_GB2312" w:eastAsia="仿宋_GB2312" w:cs="仿宋_GB2312"/>
          <w:sz w:val="32"/>
          <w:szCs w:val="32"/>
        </w:rPr>
        <w:t>4千亿元</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2020年居民人均可支配收入达到23480元</w:t>
      </w:r>
      <w:r>
        <w:rPr>
          <w:rFonts w:hint="eastAsia" w:ascii="仿宋_GB2312" w:hAnsi="仿宋_GB2312" w:eastAsia="仿宋_GB2312" w:cs="仿宋_GB2312"/>
          <w:sz w:val="32"/>
          <w:szCs w:val="32"/>
        </w:rPr>
        <w:t>，比</w:t>
      </w:r>
      <w:r>
        <w:rPr>
          <w:rFonts w:ascii="仿宋_GB2312" w:hAnsi="仿宋_GB2312" w:eastAsia="仿宋_GB2312" w:cs="仿宋_GB2312"/>
          <w:sz w:val="32"/>
          <w:szCs w:val="32"/>
        </w:rPr>
        <w:t>2010年翻一番</w:t>
      </w:r>
      <w:r>
        <w:rPr>
          <w:rFonts w:hint="eastAsia" w:ascii="仿宋_GB2312" w:hAnsi="仿宋_GB2312" w:eastAsia="仿宋_GB2312" w:cs="仿宋_GB2312"/>
          <w:sz w:val="32"/>
          <w:szCs w:val="32"/>
        </w:rPr>
        <w:t>。</w:t>
      </w:r>
      <w:r>
        <w:rPr>
          <w:rFonts w:hint="eastAsia" w:ascii="仿宋_GB2312" w:eastAsia="仿宋_GB2312"/>
          <w:sz w:val="32"/>
          <w:szCs w:val="32"/>
        </w:rPr>
        <w:t>全社会固定资产投资年均增长</w:t>
      </w:r>
      <w:r>
        <w:rPr>
          <w:rFonts w:ascii="仿宋_GB2312" w:eastAsia="仿宋_GB2312"/>
          <w:sz w:val="32"/>
          <w:szCs w:val="32"/>
        </w:rPr>
        <w:t>10.4%</w:t>
      </w:r>
      <w:r>
        <w:rPr>
          <w:rFonts w:hint="eastAsia" w:ascii="仿宋_GB2312" w:eastAsia="仿宋_GB2312"/>
          <w:sz w:val="32"/>
          <w:szCs w:val="32"/>
        </w:rPr>
        <w:t>。一般公共预算收入达到</w:t>
      </w:r>
      <w:r>
        <w:rPr>
          <w:rFonts w:ascii="仿宋_GB2312" w:eastAsia="仿宋_GB2312"/>
          <w:sz w:val="32"/>
          <w:szCs w:val="32"/>
        </w:rPr>
        <w:t>202</w:t>
      </w:r>
      <w:r>
        <w:rPr>
          <w:rFonts w:hint="eastAsia" w:ascii="仿宋_GB2312" w:eastAsia="仿宋_GB2312"/>
          <w:sz w:val="32"/>
          <w:szCs w:val="32"/>
        </w:rPr>
        <w:t>亿元，年均增长</w:t>
      </w:r>
      <w:r>
        <w:rPr>
          <w:rFonts w:ascii="仿宋_GB2312" w:eastAsia="仿宋_GB2312"/>
          <w:sz w:val="32"/>
          <w:szCs w:val="32"/>
        </w:rPr>
        <w:t>5.2</w:t>
      </w:r>
      <w:r>
        <w:rPr>
          <w:rFonts w:hint="eastAsia" w:ascii="仿宋_GB2312" w:eastAsia="仿宋_GB2312"/>
          <w:sz w:val="32"/>
          <w:szCs w:val="32"/>
        </w:rPr>
        <w:t>％，其中，在减税降费的大背景下，税收收入比五年前增长</w:t>
      </w:r>
      <w:r>
        <w:rPr>
          <w:rFonts w:ascii="仿宋_GB2312" w:eastAsia="仿宋_GB2312"/>
          <w:sz w:val="32"/>
          <w:szCs w:val="32"/>
        </w:rPr>
        <w:t>3</w:t>
      </w:r>
      <w:r>
        <w:rPr>
          <w:rFonts w:hint="eastAsia" w:ascii="仿宋_GB2312" w:eastAsia="仿宋_GB2312"/>
          <w:sz w:val="32"/>
          <w:szCs w:val="32"/>
        </w:rPr>
        <w:t>4</w:t>
      </w:r>
      <w:r>
        <w:rPr>
          <w:rFonts w:ascii="仿宋_GB2312" w:eastAsia="仿宋_GB2312"/>
          <w:sz w:val="32"/>
          <w:szCs w:val="32"/>
        </w:rPr>
        <w:t>.4</w:t>
      </w:r>
      <w:r>
        <w:rPr>
          <w:rFonts w:hint="eastAsia" w:ascii="仿宋_GB2312" w:eastAsia="仿宋_GB2312"/>
          <w:sz w:val="32"/>
          <w:szCs w:val="32"/>
        </w:rPr>
        <w:t>亿元。粮食产量稳定在140</w:t>
      </w:r>
      <w:r>
        <w:rPr>
          <w:rFonts w:ascii="仿宋_GB2312" w:eastAsia="仿宋_GB2312"/>
          <w:sz w:val="32"/>
          <w:szCs w:val="32"/>
        </w:rPr>
        <w:t>亿斤</w:t>
      </w:r>
      <w:r>
        <w:rPr>
          <w:rFonts w:hint="eastAsia" w:ascii="仿宋_GB2312" w:eastAsia="仿宋_GB2312"/>
          <w:sz w:val="32"/>
          <w:szCs w:val="32"/>
        </w:rPr>
        <w:t>左右。</w:t>
      </w:r>
    </w:p>
    <w:p>
      <w:pPr>
        <w:spacing w:line="62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三大攻坚战成效显著。</w:t>
      </w:r>
      <w:r>
        <w:rPr>
          <w:rFonts w:ascii="仿宋_GB2312" w:hAnsi="仿宋_GB2312" w:eastAsia="仿宋_GB2312" w:cs="仿宋_GB2312"/>
          <w:sz w:val="32"/>
          <w:szCs w:val="32"/>
        </w:rPr>
        <w:t>7个贫困县全部摘帽，90</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16</w:t>
      </w:r>
      <w:r>
        <w:rPr>
          <w:rFonts w:hint="eastAsia" w:ascii="仿宋_GB2312" w:hAnsi="仿宋_GB2312" w:eastAsia="仿宋_GB2312" w:cs="仿宋_GB2312"/>
          <w:sz w:val="32"/>
          <w:szCs w:val="32"/>
        </w:rPr>
        <w:t>万农村贫困人口全部脱贫，</w:t>
      </w:r>
      <w:r>
        <w:rPr>
          <w:rFonts w:ascii="仿宋_GB2312" w:hAnsi="仿宋_GB2312" w:eastAsia="仿宋_GB2312" w:cs="仿宋_GB2312"/>
          <w:sz w:val="32"/>
          <w:szCs w:val="32"/>
        </w:rPr>
        <w:t>4.88</w:t>
      </w:r>
      <w:r>
        <w:rPr>
          <w:rFonts w:hint="eastAsia" w:ascii="仿宋_GB2312" w:hAnsi="仿宋_GB2312" w:eastAsia="仿宋_GB2312" w:cs="仿宋_GB2312"/>
          <w:sz w:val="32"/>
          <w:szCs w:val="32"/>
        </w:rPr>
        <w:t>万人实现易地扶贫搬迁，“牧原</w:t>
      </w:r>
      <w:r>
        <w:rPr>
          <w:rFonts w:ascii="仿宋_GB2312" w:hAnsi="仿宋_GB2312" w:eastAsia="仿宋_GB2312" w:cs="仿宋_GB2312"/>
          <w:sz w:val="32"/>
          <w:szCs w:val="32"/>
        </w:rPr>
        <w:t>3+N”扶贫模式、政康保、</w:t>
      </w:r>
      <w:r>
        <w:rPr>
          <w:rFonts w:hint="eastAsia" w:ascii="仿宋_GB2312" w:hAnsi="仿宋_GB2312" w:eastAsia="仿宋_GB2312" w:cs="仿宋_GB2312"/>
          <w:sz w:val="32"/>
          <w:szCs w:val="32"/>
        </w:rPr>
        <w:t>政福保、</w:t>
      </w:r>
      <w:r>
        <w:rPr>
          <w:rFonts w:ascii="仿宋_GB2312" w:hAnsi="仿宋_GB2312" w:eastAsia="仿宋_GB2312" w:cs="仿宋_GB2312"/>
          <w:sz w:val="32"/>
          <w:szCs w:val="32"/>
        </w:rPr>
        <w:t>农村特困</w:t>
      </w:r>
      <w:r>
        <w:rPr>
          <w:rFonts w:hint="eastAsia" w:ascii="仿宋_GB2312" w:hAnsi="仿宋_GB2312" w:eastAsia="仿宋_GB2312" w:cs="仿宋_GB2312"/>
          <w:sz w:val="32"/>
          <w:szCs w:val="32"/>
        </w:rPr>
        <w:t>群体</w:t>
      </w:r>
      <w:r>
        <w:rPr>
          <w:rFonts w:ascii="仿宋_GB2312" w:hAnsi="仿宋_GB2312" w:eastAsia="仿宋_GB2312" w:cs="仿宋_GB2312"/>
          <w:sz w:val="32"/>
          <w:szCs w:val="32"/>
        </w:rPr>
        <w:t>“四集中”等创新举措全国</w:t>
      </w:r>
      <w:r>
        <w:rPr>
          <w:rFonts w:hint="eastAsia" w:ascii="仿宋_GB2312" w:hAnsi="仿宋_GB2312" w:eastAsia="仿宋_GB2312" w:cs="仿宋_GB2312"/>
          <w:sz w:val="32"/>
          <w:szCs w:val="32"/>
        </w:rPr>
        <w:t>全省</w:t>
      </w:r>
      <w:r>
        <w:rPr>
          <w:rFonts w:ascii="仿宋_GB2312" w:hAnsi="仿宋_GB2312" w:eastAsia="仿宋_GB2312" w:cs="仿宋_GB2312"/>
          <w:sz w:val="32"/>
          <w:szCs w:val="32"/>
        </w:rPr>
        <w:t>推广</w:t>
      </w:r>
      <w:r>
        <w:rPr>
          <w:rFonts w:hint="eastAsia" w:ascii="仿宋_GB2312" w:hAnsi="仿宋_GB2312" w:eastAsia="仿宋_GB2312" w:cs="仿宋_GB2312"/>
          <w:sz w:val="32"/>
          <w:szCs w:val="32"/>
        </w:rPr>
        <w:t>推介</w:t>
      </w:r>
      <w:r>
        <w:rPr>
          <w:rFonts w:ascii="仿宋_GB2312" w:hAnsi="仿宋_GB2312" w:eastAsia="仿宋_GB2312" w:cs="仿宋_GB2312"/>
          <w:sz w:val="32"/>
          <w:szCs w:val="32"/>
        </w:rPr>
        <w:t>，脱贫攻坚综合成效位居全省前列。蓝天、碧水、净土三大保卫战扎实推进，</w:t>
      </w:r>
      <w:r>
        <w:rPr>
          <w:rFonts w:hint="eastAsia" w:ascii="仿宋_GB2312" w:hAnsi="仿宋_GB2312" w:eastAsia="仿宋_GB2312" w:cs="仿宋_GB2312"/>
          <w:sz w:val="32"/>
          <w:szCs w:val="32"/>
        </w:rPr>
        <w:t>PM</w:t>
      </w:r>
      <w:r>
        <w:rPr>
          <w:rFonts w:hint="eastAsia" w:ascii="仿宋_GB2312" w:hAnsi="仿宋_GB2312" w:eastAsia="仿宋_GB2312" w:cs="仿宋_GB2312"/>
          <w:sz w:val="32"/>
          <w:szCs w:val="32"/>
          <w:vertAlign w:val="subscript"/>
        </w:rPr>
        <w:t>10</w:t>
      </w:r>
      <w:r>
        <w:rPr>
          <w:rFonts w:hint="eastAsia" w:ascii="仿宋_GB2312" w:hAnsi="仿宋_GB2312" w:eastAsia="仿宋_GB2312" w:cs="仿宋_GB2312"/>
          <w:sz w:val="32"/>
          <w:szCs w:val="32"/>
        </w:rPr>
        <w:t>、PM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平均浓度分别下降29.2%、15%，空气优良天数明显增加，集中式饮用水水源地水质达标率</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农村居民饮水安全问题彻底解决，南水北调水源地水质稳定保持Ⅱ类以上、安全送水超过350亿立方米，造林总量连年位居全省第一，森林覆盖率达到40.5%。涉疆服务管理创造了“新时代的枫桥经验”，退役军人服务管理工作走在全国前列，扫黑除恶综合打击成效居全省第一方阵，连续荣获“全省平安建设先进省辖市”称号，金融风险有效防范化解，守住了不发生系统性区域性风险底线。</w:t>
      </w:r>
    </w:p>
    <w:p>
      <w:pPr>
        <w:spacing w:line="62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转型升级有力有效。</w:t>
      </w:r>
      <w:r>
        <w:rPr>
          <w:rFonts w:ascii="仿宋_GB2312" w:hAnsi="仿宋_GB2312" w:eastAsia="仿宋_GB2312" w:cs="仿宋_GB2312"/>
          <w:sz w:val="32"/>
          <w:szCs w:val="32"/>
        </w:rPr>
        <w:t>一批科技含量高、市场前景好、经济效益优的项目“平地起谷堆”，一批百亿级产业园区正在发展壮大，装备制造、绿色食品产业向千亿级规模迈进。4</w:t>
      </w:r>
      <w:r>
        <w:rPr>
          <w:rFonts w:hint="eastAsia" w:ascii="仿宋_GB2312" w:hAnsi="仿宋_GB2312" w:eastAsia="仿宋_GB2312" w:cs="仿宋_GB2312"/>
          <w:sz w:val="32"/>
          <w:szCs w:val="32"/>
        </w:rPr>
        <w:t>家企业成功上市。省级以上科技创新平台达到200家、基本实现大中型企业全覆盖，新增高新技术企业</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1</w:t>
      </w:r>
      <w:r>
        <w:rPr>
          <w:rFonts w:ascii="仿宋_GB2312" w:hAnsi="仿宋_GB2312" w:eastAsia="仿宋_GB2312" w:cs="仿宋_GB2312"/>
          <w:sz w:val="32"/>
          <w:szCs w:val="32"/>
        </w:rPr>
        <w:t>0家</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总量是五年前的近5倍</w:t>
      </w:r>
      <w:r>
        <w:rPr>
          <w:rFonts w:hint="eastAsia" w:ascii="仿宋_GB2312" w:hAnsi="仿宋_GB2312" w:eastAsia="仿宋_GB2312" w:cs="仿宋_GB2312"/>
          <w:sz w:val="32"/>
          <w:szCs w:val="32"/>
        </w:rPr>
        <w:t>，实施省级以上科技项目469项，成为国家创新型城市。</w:t>
      </w:r>
    </w:p>
    <w:p>
      <w:pPr>
        <w:spacing w:line="62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基础支撑更加坚实。</w:t>
      </w:r>
      <w:r>
        <w:rPr>
          <w:rFonts w:hint="eastAsia" w:ascii="仿宋_GB2312" w:hAnsi="仿宋_GB2312" w:eastAsia="仿宋_GB2312" w:cs="仿宋_GB2312"/>
          <w:sz w:val="32"/>
          <w:szCs w:val="32"/>
        </w:rPr>
        <w:t>郑渝高铁郑襄段开通运营、南阳进入“高铁时代”，浩吉铁路建成通车、铁路货运能力显著增强</w:t>
      </w:r>
      <w:r>
        <w:rPr>
          <w:rFonts w:hint="eastAsia" w:ascii="仿宋" w:hAnsi="仿宋" w:eastAsia="仿宋"/>
          <w:sz w:val="32"/>
          <w:szCs w:val="32"/>
        </w:rPr>
        <w:t>。</w:t>
      </w:r>
      <w:r>
        <w:rPr>
          <w:rFonts w:hint="eastAsia" w:ascii="仿宋_GB2312" w:hAnsi="仿宋_GB2312" w:eastAsia="仿宋_GB2312" w:cs="仿宋_GB2312"/>
          <w:sz w:val="32"/>
          <w:szCs w:val="32"/>
        </w:rPr>
        <w:t>南阳机场航线增至20条、通航城市达到26个、年旅客吞吐量突破118万人次。周南高速建成通车，高速公路通车里程达到794公里，在建3段107公里、入规8段796公里。唐河航运工程开工建设。天池抽水蓄能电站加快建设，内乡电厂1号机组、豫西南LNG应急储备中心项目建成投用，风电、光伏并网总规模实现“双百万千瓦”目标。唐白河治理、卧龙区水系连通等重点工程开工建设。累计建成5G基站3184个，县级以上城区实现</w:t>
      </w:r>
      <w:r>
        <w:rPr>
          <w:rFonts w:ascii="仿宋_GB2312" w:hAnsi="仿宋_GB2312" w:eastAsia="仿宋_GB2312" w:cs="仿宋_GB2312"/>
          <w:sz w:val="32"/>
          <w:szCs w:val="32"/>
        </w:rPr>
        <w:t>5G全覆盖。</w:t>
      </w:r>
    </w:p>
    <w:p>
      <w:pPr>
        <w:spacing w:line="62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城乡面貌日新月异。</w:t>
      </w:r>
      <w:r>
        <w:rPr>
          <w:rFonts w:hint="eastAsia" w:ascii="仿宋_GB2312" w:hAnsi="仿宋_GB2312" w:eastAsia="仿宋_GB2312" w:cs="仿宋_GB2312"/>
          <w:sz w:val="32"/>
          <w:szCs w:val="32"/>
        </w:rPr>
        <w:t>常住人口城镇化率达到</w:t>
      </w:r>
      <w:r>
        <w:rPr>
          <w:rFonts w:ascii="仿宋_GB2312" w:hAnsi="仿宋_GB2312" w:eastAsia="仿宋_GB2312" w:cs="仿宋_GB2312"/>
          <w:sz w:val="32"/>
          <w:szCs w:val="32"/>
        </w:rPr>
        <w:t>50</w:t>
      </w:r>
      <w:r>
        <w:rPr>
          <w:rFonts w:hint="eastAsia" w:ascii="仿宋_GB2312" w:hAnsi="仿宋_GB2312" w:eastAsia="仿宋_GB2312" w:cs="仿宋_GB2312"/>
          <w:sz w:val="32"/>
          <w:szCs w:val="32"/>
        </w:rPr>
        <w:t>.59</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96平方公里新城区高点起步，高铁站、</w:t>
      </w:r>
      <w:r>
        <w:rPr>
          <w:rFonts w:hint="eastAsia" w:ascii="仿宋_GB2312" w:hAnsi="仿宋_GB2312" w:eastAsia="仿宋_GB2312" w:cs="仿宋_GB2312"/>
          <w:sz w:val="32"/>
          <w:szCs w:val="32"/>
        </w:rPr>
        <w:t>世界月季大观园、“三馆一院”等重大工程建成投用，商务中心区、城市综合体、景观水系等工程快速推进，“满城绿色半城水”靓姿初显。老城区旧貌换新颜，卧龙岗文化园即将建成，医圣祠文化园和南阳古城项目加快推进；8条内河完成系统整治，中心城区黑臭水体基本消除；新增城市道路124公里，14条断头路、卡脖子路顺利打通；拆墙透绿621处，新增游园绿地28.5万平方米；实施棚改6.7万户，改造老旧小区3.8万户；中心城区问题楼盘化解大头</w:t>
      </w:r>
      <w:r>
        <w:rPr>
          <w:rFonts w:ascii="仿宋_GB2312" w:hAnsi="仿宋_GB2312" w:eastAsia="仿宋_GB2312" w:cs="仿宋_GB2312"/>
          <w:sz w:val="32"/>
          <w:szCs w:val="32"/>
        </w:rPr>
        <w:t>落地</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受益群众60余万人</w:t>
      </w:r>
      <w:r>
        <w:rPr>
          <w:rFonts w:hint="eastAsia" w:ascii="仿宋_GB2312" w:hAnsi="仿宋_GB2312" w:eastAsia="仿宋_GB2312" w:cs="仿宋_GB2312"/>
          <w:sz w:val="32"/>
          <w:szCs w:val="32"/>
        </w:rPr>
        <w:t>。成功创建全国文明城市、国家卫生城市和国家森林城市。县域百城建设提质工程与文明城市创建统筹推进，乡村振兴战略深入实施，城乡面貌焕然一新。</w:t>
      </w:r>
    </w:p>
    <w:p>
      <w:pPr>
        <w:spacing w:line="62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改革开放全面深化。</w:t>
      </w:r>
      <w:r>
        <w:rPr>
          <w:rFonts w:hint="eastAsia" w:ascii="仿宋_GB2312" w:hAnsi="仿宋_GB2312" w:eastAsia="仿宋_GB2312" w:cs="仿宋_GB2312"/>
          <w:sz w:val="32"/>
          <w:szCs w:val="32"/>
        </w:rPr>
        <w:t>市县两级实现“一窗通办”“一网通办”全覆盖</w:t>
      </w:r>
      <w:r>
        <w:rPr>
          <w:rFonts w:ascii="仿宋_GB2312" w:hAnsi="仿宋_GB2312" w:eastAsia="仿宋_GB2312" w:cs="仿宋_GB2312"/>
          <w:sz w:val="32"/>
          <w:szCs w:val="32"/>
        </w:rPr>
        <w:t>，一体化政务服务平台、“互联网+监管”系统建成并实现与全国全省对接</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营商环境</w:t>
      </w:r>
      <w:r>
        <w:rPr>
          <w:rFonts w:hint="eastAsia" w:ascii="仿宋_GB2312" w:hAnsi="仿宋_GB2312" w:eastAsia="仿宋_GB2312" w:cs="仿宋_GB2312"/>
          <w:sz w:val="32"/>
          <w:szCs w:val="32"/>
        </w:rPr>
        <w:t>不断优化，市场主体达到59万户，年均增长20%以上</w:t>
      </w:r>
      <w:r>
        <w:rPr>
          <w:rFonts w:ascii="仿宋_GB2312" w:hAnsi="仿宋_GB2312" w:eastAsia="仿宋_GB2312" w:cs="仿宋_GB2312"/>
          <w:sz w:val="32"/>
          <w:szCs w:val="32"/>
        </w:rPr>
        <w:t>。党政机构改革</w:t>
      </w:r>
      <w:r>
        <w:rPr>
          <w:rFonts w:hint="eastAsia" w:ascii="仿宋_GB2312" w:hAnsi="仿宋_GB2312" w:eastAsia="仿宋_GB2312" w:cs="仿宋_GB2312"/>
          <w:sz w:val="32"/>
          <w:szCs w:val="32"/>
        </w:rPr>
        <w:t>、乡镇（街道）机构改革</w:t>
      </w:r>
      <w:r>
        <w:rPr>
          <w:rFonts w:ascii="仿宋_GB2312" w:hAnsi="仿宋_GB2312" w:eastAsia="仿宋_GB2312" w:cs="仿宋_GB2312"/>
          <w:sz w:val="32"/>
          <w:szCs w:val="32"/>
        </w:rPr>
        <w:t>任务全面完成。</w:t>
      </w:r>
      <w:r>
        <w:rPr>
          <w:rFonts w:hint="eastAsia" w:ascii="仿宋_GB2312" w:hAnsi="仿宋_GB2312" w:eastAsia="仿宋_GB2312" w:cs="仿宋_GB2312"/>
          <w:sz w:val="32"/>
          <w:szCs w:val="32"/>
        </w:rPr>
        <w:t>农村承包地、集体产权、宅基地等改革取得阶段性进展。社会信用体系建设初见成效</w:t>
      </w:r>
      <w:r>
        <w:rPr>
          <w:rFonts w:ascii="仿宋_GB2312" w:hAnsi="仿宋_GB2312" w:eastAsia="仿宋_GB2312" w:cs="仿宋_GB2312"/>
          <w:sz w:val="32"/>
          <w:szCs w:val="32"/>
        </w:rPr>
        <w:t>。2019世界月季洲际大会成功举办。京宛对口协作持续深化</w:t>
      </w:r>
      <w:r>
        <w:rPr>
          <w:rFonts w:hint="eastAsia" w:ascii="仿宋_GB2312" w:hAnsi="仿宋_GB2312" w:eastAsia="仿宋_GB2312" w:cs="仿宋_GB2312"/>
          <w:sz w:val="32"/>
          <w:szCs w:val="32"/>
        </w:rPr>
        <w:t>。</w:t>
      </w:r>
      <w:r>
        <w:fldChar w:fldCharType="begin"/>
      </w:r>
      <w:r>
        <w:instrText xml:space="preserve"> HYPERLINK "https://www.so.com/link?m=bLDn18cL692gC2pY+oZEbGOvqcVotVVtTausVXcjvbmoTcAYBzymTYuJdMSr1CHRMncz3Uw57zGWM3zjf87gg+I7Yt5n2BDrSeG3bEAGUBHvX6zoA94qSrFQYlS2ER9Op7qr454gCaqb2KGCmA6evSKYPKhEFvVyEWisbfQ+H5ERP9dsB+njaaV7gEZFDYySJrz+IzFvpCao0+m+VHyZVtOs1pKSGAg5Ks2Cr5A7GxxByCBW5tuFufN1OEbUgRDR+UuUR/KIj9GyDrHt93jaBFxhPqEBUE/np82Ug5C+NjDEQeYXXTrB4JhS5ss4w+qa+l7GT/avkvIrCHiMn1SiHZRynUHKbT1lJ05o9XjhbqvLdkEXYHVYJOY7aj4NSe6jG" \t "https://www.so.com/_blank" </w:instrText>
      </w:r>
      <w:r>
        <w:fldChar w:fldCharType="separate"/>
      </w:r>
      <w:r>
        <w:rPr>
          <w:rFonts w:hint="eastAsia" w:ascii="仿宋_GB2312" w:hAnsi="仿宋_GB2312" w:eastAsia="仿宋_GB2312" w:cs="仿宋_GB2312"/>
          <w:sz w:val="32"/>
          <w:szCs w:val="32"/>
        </w:rPr>
        <w:t>卧龙综合保税区封关运行</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r>
        <w:rPr>
          <w:rFonts w:ascii="仿宋_GB2312" w:hAnsi="仿宋_GB2312" w:eastAsia="仿宋_GB2312" w:cs="仿宋_GB2312"/>
          <w:sz w:val="32"/>
          <w:szCs w:val="32"/>
        </w:rPr>
        <w:t>中欧班列成功开通</w:t>
      </w:r>
      <w:r>
        <w:rPr>
          <w:rFonts w:hint="eastAsia" w:ascii="仿宋_GB2312" w:hAnsi="仿宋_GB2312" w:eastAsia="仿宋_GB2312" w:cs="仿宋_GB2312"/>
          <w:sz w:val="32"/>
          <w:szCs w:val="32"/>
        </w:rPr>
        <w:t>。获批中国（南阳）跨境电商综合试验区和零售进口试点城市。</w:t>
      </w:r>
    </w:p>
    <w:p>
      <w:pPr>
        <w:spacing w:line="62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民生福祉持续改善。</w:t>
      </w:r>
      <w:r>
        <w:rPr>
          <w:rFonts w:hint="eastAsia" w:ascii="仿宋_GB2312" w:hAnsi="仿宋_GB2312" w:eastAsia="仿宋_GB2312" w:cs="仿宋_GB2312"/>
          <w:sz w:val="32"/>
          <w:szCs w:val="32"/>
        </w:rPr>
        <w:t>民生支出占比稳定保持</w:t>
      </w:r>
      <w:r>
        <w:rPr>
          <w:rFonts w:ascii="仿宋_GB2312" w:hAnsi="仿宋_GB2312" w:eastAsia="仿宋_GB2312" w:cs="仿宋_GB2312"/>
          <w:sz w:val="32"/>
          <w:szCs w:val="32"/>
        </w:rPr>
        <w:t>80%以上。城镇新增就业累计超过3</w:t>
      </w:r>
      <w:r>
        <w:rPr>
          <w:rFonts w:hint="eastAsia" w:ascii="仿宋_GB2312" w:hAnsi="仿宋_GB2312" w:eastAsia="仿宋_GB2312" w:cs="仿宋_GB2312"/>
          <w:sz w:val="32"/>
          <w:szCs w:val="32"/>
        </w:rPr>
        <w:t>7</w:t>
      </w:r>
      <w:r>
        <w:rPr>
          <w:rFonts w:ascii="仿宋_GB2312" w:hAnsi="仿宋_GB2312" w:eastAsia="仿宋_GB2312" w:cs="仿宋_GB2312"/>
          <w:sz w:val="32"/>
          <w:szCs w:val="32"/>
        </w:rPr>
        <w:t>万人，城乡居民基本养老保险和基本医疗保险实现制度、人群全覆盖。</w:t>
      </w:r>
      <w:r>
        <w:rPr>
          <w:rFonts w:hint="eastAsia" w:ascii="仿宋_GB2312" w:hAnsi="仿宋_GB2312" w:eastAsia="仿宋_GB2312" w:cs="仿宋_GB2312"/>
          <w:sz w:val="32"/>
          <w:szCs w:val="32"/>
        </w:rPr>
        <w:t>所有县市区通过国家义务教育发展基本均衡县验收，投资</w:t>
      </w:r>
      <w:r>
        <w:rPr>
          <w:rFonts w:ascii="仿宋_GB2312" w:hAnsi="仿宋_GB2312" w:eastAsia="仿宋_GB2312" w:cs="仿宋_GB2312"/>
          <w:sz w:val="32"/>
          <w:szCs w:val="32"/>
        </w:rPr>
        <w:t>120亿元的20所完全学校建设扎实推进、8所建成招生，</w:t>
      </w:r>
      <w:r>
        <w:rPr>
          <w:rFonts w:hint="eastAsia" w:ascii="仿宋_GB2312" w:hAnsi="仿宋_GB2312" w:eastAsia="仿宋_GB2312" w:cs="仿宋_GB2312"/>
          <w:sz w:val="32"/>
          <w:szCs w:val="32"/>
        </w:rPr>
        <w:t>市一中新校区加快</w:t>
      </w:r>
      <w:r>
        <w:rPr>
          <w:rFonts w:ascii="仿宋_GB2312" w:hAnsi="仿宋_GB2312" w:eastAsia="仿宋_GB2312" w:cs="仿宋_GB2312"/>
          <w:sz w:val="32"/>
          <w:szCs w:val="32"/>
        </w:rPr>
        <w:t>建设</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普通高考一本上线率实现“十连增”。</w:t>
      </w:r>
      <w:r>
        <w:rPr>
          <w:rFonts w:hint="eastAsia" w:ascii="仿宋_GB2312" w:hAnsi="仿宋_GB2312" w:eastAsia="仿宋_GB2312" w:cs="仿宋_GB2312"/>
          <w:sz w:val="32"/>
          <w:szCs w:val="32"/>
        </w:rPr>
        <w:t>所有县级人民医院全部建成县域医疗中心，全市三甲医院达到6家。中心城区“一校一馆六院三中心”医疗卫生项目启动实施。公共文化服务体系稳步提升。社会治理体系不断健全。</w:t>
      </w:r>
    </w:p>
    <w:p>
      <w:pPr>
        <w:spacing w:line="6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全面从严治党纵深推进。</w:t>
      </w:r>
      <w:r>
        <w:rPr>
          <w:rFonts w:hint="eastAsia" w:ascii="仿宋_GB2312" w:hAnsi="仿宋_GB2312" w:eastAsia="仿宋_GB2312" w:cs="仿宋_GB2312"/>
          <w:sz w:val="32"/>
          <w:szCs w:val="32"/>
        </w:rPr>
        <w:t>“两学一做”学习教育常态化制度化推进，“不忘初心、牢记使命”主题教育走深走实，学习贯彻习近平新时代中国特色社会主义思想入脑入心，“四议两公开”工作法写入《中国共产党农村基层组织工作条例》和《中国共产党农村工作条例》，全域党建创新实施，“干部作风整顿年”“作风建设提升年”等活动接续发力，“用心工作、务实重干”成为广大党员干部的共识和导向，反腐败斗争取得压倒性胜利，风清气正的政治生态持续巩固发展。特别是面对新冠肺炎疫情的冲击，我们在以</w:t>
      </w:r>
      <w:bookmarkStart w:id="98" w:name="_GoBack"/>
      <w:r>
        <w:rPr>
          <w:rFonts w:hint="eastAsia" w:ascii="仿宋_GB2312" w:hAnsi="仿宋_GB2312" w:eastAsia="仿宋_GB2312" w:cs="仿宋_GB2312"/>
          <w:sz w:val="32"/>
          <w:szCs w:val="32"/>
        </w:rPr>
        <w:t>习近平</w:t>
      </w:r>
      <w:bookmarkEnd w:id="98"/>
      <w:r>
        <w:rPr>
          <w:rFonts w:hint="eastAsia" w:ascii="仿宋_GB2312" w:hAnsi="仿宋_GB2312" w:eastAsia="仿宋_GB2312" w:cs="仿宋_GB2312"/>
          <w:sz w:val="32"/>
          <w:szCs w:val="32"/>
          <w:lang w:eastAsia="zh-CN"/>
        </w:rPr>
        <w:t>同志</w:t>
      </w:r>
      <w:r>
        <w:rPr>
          <w:rFonts w:hint="eastAsia" w:ascii="仿宋_GB2312" w:hAnsi="仿宋_GB2312" w:eastAsia="仿宋_GB2312" w:cs="仿宋_GB2312"/>
          <w:sz w:val="32"/>
          <w:szCs w:val="32"/>
        </w:rPr>
        <w:t>为核心的党中央和省委、省政府的坚强领导下，迅速反应、果断行动，把疫情防控作为压倒一切的政治任务，强化党建引领，统筹推进精准防控、集中救治、物资保障、维护稳定、复工复产等工作，有效遏制了疫情向全省、向北方、向首都蔓延，在打好疫情防控和经济社会发展“两场硬仗”中展示了南阳担当。</w:t>
      </w:r>
    </w:p>
    <w:p>
      <w:pPr>
        <w:pStyle w:val="22"/>
        <w:spacing w:line="600" w:lineRule="exact"/>
        <w:ind w:firstLine="640" w:firstLineChars="200"/>
        <w:rPr>
          <w:rFonts w:ascii="仿宋_GB2312" w:eastAsia="仿宋_GB2312" w:cs="Calibri"/>
          <w:bCs/>
          <w:sz w:val="32"/>
          <w:szCs w:val="32"/>
        </w:rPr>
      </w:pPr>
      <w:r>
        <w:rPr>
          <w:rFonts w:hint="eastAsia" w:ascii="仿宋_GB2312" w:eastAsia="仿宋_GB2312" w:cs="Calibri"/>
          <w:bCs/>
          <w:sz w:val="32"/>
          <w:szCs w:val="32"/>
        </w:rPr>
        <w:t>五年来，在习近平新时代中国特色社会主义思想指引下，市委、市政府团结带领全市人民，聚焦全面建成小康社会战略目标，把工作导向引领到以党建高质量推动发展高质量上，突出改革推动、开放带动、创新驱动，加快新型工业化、信息化、城镇化、农业现代化同步发展，取得了一系列标志性、历史性重大成就，开启了从传统农业大市向先进制造业大市、从乡村型社会向城市型社会、从内陆腹地向开放高地的转型过渡，为加快建设社会主义现代化南阳奠定了坚实基础。</w:t>
      </w:r>
    </w:p>
    <w:tbl>
      <w:tblPr>
        <w:tblStyle w:val="23"/>
        <w:tblW w:w="8460" w:type="dxa"/>
        <w:tblInd w:w="97" w:type="dxa"/>
        <w:tblLayout w:type="autofit"/>
        <w:tblCellMar>
          <w:top w:w="0" w:type="dxa"/>
          <w:left w:w="108" w:type="dxa"/>
          <w:bottom w:w="0" w:type="dxa"/>
          <w:right w:w="108" w:type="dxa"/>
        </w:tblCellMar>
      </w:tblPr>
      <w:tblGrid>
        <w:gridCol w:w="417"/>
        <w:gridCol w:w="793"/>
        <w:gridCol w:w="1780"/>
        <w:gridCol w:w="822"/>
        <w:gridCol w:w="955"/>
        <w:gridCol w:w="937"/>
        <w:gridCol w:w="9"/>
        <w:gridCol w:w="955"/>
        <w:gridCol w:w="964"/>
        <w:gridCol w:w="828"/>
      </w:tblGrid>
      <w:tr>
        <w:tblPrEx>
          <w:tblCellMar>
            <w:top w:w="0" w:type="dxa"/>
            <w:left w:w="108" w:type="dxa"/>
            <w:bottom w:w="0" w:type="dxa"/>
            <w:right w:w="108" w:type="dxa"/>
          </w:tblCellMar>
        </w:tblPrEx>
        <w:trPr>
          <w:trHeight w:val="384" w:hRule="atLeast"/>
        </w:trPr>
        <w:tc>
          <w:tcPr>
            <w:tcW w:w="8460"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 w:val="30"/>
                <w:szCs w:val="30"/>
              </w:rPr>
            </w:pPr>
            <w:r>
              <w:rPr>
                <w:rFonts w:hint="eastAsia" w:ascii="黑体" w:hAnsi="黑体" w:eastAsia="黑体" w:cs="宋体"/>
                <w:kern w:val="0"/>
                <w:sz w:val="30"/>
                <w:szCs w:val="30"/>
              </w:rPr>
              <w:t>表1：“十三五”规划主要目标完成情况</w:t>
            </w:r>
          </w:p>
        </w:tc>
      </w:tr>
      <w:tr>
        <w:tblPrEx>
          <w:tblCellMar>
            <w:top w:w="0" w:type="dxa"/>
            <w:left w:w="108" w:type="dxa"/>
            <w:bottom w:w="0" w:type="dxa"/>
            <w:right w:w="108" w:type="dxa"/>
          </w:tblCellMar>
        </w:tblPrEx>
        <w:trPr>
          <w:trHeight w:val="576" w:hRule="atLeast"/>
        </w:trPr>
        <w:tc>
          <w:tcPr>
            <w:tcW w:w="2990"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指标名称</w:t>
            </w:r>
          </w:p>
        </w:tc>
        <w:tc>
          <w:tcPr>
            <w:tcW w:w="82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单位</w:t>
            </w:r>
          </w:p>
        </w:tc>
        <w:tc>
          <w:tcPr>
            <w:tcW w:w="1901"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w w:val="90"/>
                <w:kern w:val="0"/>
                <w:szCs w:val="21"/>
              </w:rPr>
            </w:pPr>
            <w:r>
              <w:rPr>
                <w:rFonts w:hint="eastAsia" w:ascii="黑体" w:hAnsi="黑体" w:eastAsia="黑体" w:cs="宋体"/>
                <w:w w:val="90"/>
                <w:kern w:val="0"/>
                <w:szCs w:val="21"/>
              </w:rPr>
              <w:t>“十三五”目标</w:t>
            </w:r>
          </w:p>
        </w:tc>
        <w:tc>
          <w:tcPr>
            <w:tcW w:w="191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w w:val="90"/>
                <w:kern w:val="0"/>
                <w:szCs w:val="21"/>
              </w:rPr>
            </w:pPr>
            <w:r>
              <w:rPr>
                <w:rFonts w:hint="eastAsia" w:ascii="黑体" w:hAnsi="黑体" w:eastAsia="黑体" w:cs="宋体"/>
                <w:w w:val="90"/>
                <w:kern w:val="0"/>
                <w:szCs w:val="21"/>
              </w:rPr>
              <w:t>“十三五”完成情况</w:t>
            </w:r>
          </w:p>
        </w:tc>
        <w:tc>
          <w:tcPr>
            <w:tcW w:w="82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指标属性</w:t>
            </w:r>
          </w:p>
        </w:tc>
      </w:tr>
      <w:tr>
        <w:tblPrEx>
          <w:tblCellMar>
            <w:top w:w="0" w:type="dxa"/>
            <w:left w:w="108" w:type="dxa"/>
            <w:bottom w:w="0" w:type="dxa"/>
            <w:right w:w="108" w:type="dxa"/>
          </w:tblCellMar>
        </w:tblPrEx>
        <w:trPr>
          <w:trHeight w:val="312" w:hRule="atLeast"/>
        </w:trPr>
        <w:tc>
          <w:tcPr>
            <w:tcW w:w="299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822"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95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2020年</w:t>
            </w:r>
          </w:p>
        </w:tc>
        <w:tc>
          <w:tcPr>
            <w:tcW w:w="946"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w w:val="80"/>
                <w:kern w:val="0"/>
                <w:szCs w:val="21"/>
              </w:rPr>
            </w:pPr>
            <w:r>
              <w:rPr>
                <w:rFonts w:hint="eastAsia" w:ascii="黑体" w:hAnsi="黑体" w:eastAsia="黑体" w:cs="宋体"/>
                <w:w w:val="80"/>
                <w:kern w:val="0"/>
                <w:szCs w:val="21"/>
              </w:rPr>
              <w:t>年均增长（%）</w:t>
            </w:r>
          </w:p>
        </w:tc>
        <w:tc>
          <w:tcPr>
            <w:tcW w:w="95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2020年</w:t>
            </w:r>
          </w:p>
        </w:tc>
        <w:tc>
          <w:tcPr>
            <w:tcW w:w="96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w w:val="80"/>
                <w:kern w:val="0"/>
                <w:szCs w:val="21"/>
              </w:rPr>
            </w:pPr>
            <w:r>
              <w:rPr>
                <w:rFonts w:hint="eastAsia" w:ascii="黑体" w:hAnsi="黑体" w:eastAsia="黑体" w:cs="宋体"/>
                <w:w w:val="80"/>
                <w:kern w:val="0"/>
                <w:szCs w:val="21"/>
              </w:rPr>
              <w:t>年均增长（%）</w:t>
            </w:r>
          </w:p>
        </w:tc>
        <w:tc>
          <w:tcPr>
            <w:tcW w:w="828"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r>
      <w:tr>
        <w:tblPrEx>
          <w:tblCellMar>
            <w:top w:w="0" w:type="dxa"/>
            <w:left w:w="108" w:type="dxa"/>
            <w:bottom w:w="0" w:type="dxa"/>
            <w:right w:w="108" w:type="dxa"/>
          </w:tblCellMar>
        </w:tblPrEx>
        <w:trPr>
          <w:trHeight w:val="312" w:hRule="atLeast"/>
        </w:trPr>
        <w:tc>
          <w:tcPr>
            <w:tcW w:w="299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822"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95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946"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95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964"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828"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r>
      <w:tr>
        <w:tblPrEx>
          <w:tblCellMar>
            <w:top w:w="0" w:type="dxa"/>
            <w:left w:w="108" w:type="dxa"/>
            <w:bottom w:w="0" w:type="dxa"/>
            <w:right w:w="108" w:type="dxa"/>
          </w:tblCellMar>
        </w:tblPrEx>
        <w:trPr>
          <w:trHeight w:val="498" w:hRule="atLeast"/>
        </w:trPr>
        <w:tc>
          <w:tcPr>
            <w:tcW w:w="8460"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黑体" w:hAnsi="黑体" w:eastAsia="黑体" w:cs="宋体"/>
                <w:kern w:val="0"/>
                <w:szCs w:val="21"/>
              </w:rPr>
            </w:pPr>
            <w:r>
              <w:rPr>
                <w:rFonts w:hint="eastAsia" w:ascii="黑体" w:hAnsi="黑体" w:eastAsia="黑体" w:cs="宋体"/>
                <w:kern w:val="0"/>
                <w:szCs w:val="21"/>
              </w:rPr>
              <w:t>一、经济发展</w:t>
            </w:r>
          </w:p>
        </w:tc>
      </w:tr>
      <w:tr>
        <w:tblPrEx>
          <w:tblCellMar>
            <w:top w:w="0" w:type="dxa"/>
            <w:left w:w="108" w:type="dxa"/>
            <w:bottom w:w="0" w:type="dxa"/>
            <w:right w:w="108" w:type="dxa"/>
          </w:tblCellMar>
        </w:tblPrEx>
        <w:trPr>
          <w:trHeight w:val="396"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w:t>
            </w:r>
          </w:p>
        </w:tc>
        <w:tc>
          <w:tcPr>
            <w:tcW w:w="2573"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地区生产总值</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亿元</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94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6.3　</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3926　</w:t>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6.4　</w:t>
            </w:r>
          </w:p>
        </w:tc>
        <w:tc>
          <w:tcPr>
            <w:tcW w:w="82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预期性</w:t>
            </w:r>
          </w:p>
        </w:tc>
      </w:tr>
      <w:tr>
        <w:tblPrEx>
          <w:tblCellMar>
            <w:top w:w="0" w:type="dxa"/>
            <w:left w:w="108" w:type="dxa"/>
            <w:bottom w:w="0" w:type="dxa"/>
            <w:right w:w="108" w:type="dxa"/>
          </w:tblCellMar>
        </w:tblPrEx>
        <w:trPr>
          <w:trHeight w:val="396"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w:t>
            </w:r>
          </w:p>
        </w:tc>
        <w:tc>
          <w:tcPr>
            <w:tcW w:w="2573"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全员劳动生产率</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元/人</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54000　</w:t>
            </w:r>
          </w:p>
        </w:tc>
        <w:tc>
          <w:tcPr>
            <w:tcW w:w="94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w w:val="66"/>
                <w:kern w:val="0"/>
                <w:sz w:val="20"/>
                <w:szCs w:val="20"/>
              </w:rPr>
              <w:t>中高速增长</w:t>
            </w:r>
            <w:r>
              <w:rPr>
                <w:rFonts w:hint="eastAsia" w:ascii="仿宋_GB2312" w:hAnsi="宋体" w:eastAsia="仿宋_GB2312" w:cs="宋体"/>
                <w:kern w:val="0"/>
                <w:sz w:val="20"/>
                <w:szCs w:val="20"/>
              </w:rPr>
              <w:t>　</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6.4　</w:t>
            </w:r>
          </w:p>
        </w:tc>
        <w:tc>
          <w:tcPr>
            <w:tcW w:w="82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预期性</w:t>
            </w:r>
          </w:p>
        </w:tc>
      </w:tr>
      <w:tr>
        <w:tblPrEx>
          <w:tblCellMar>
            <w:top w:w="0" w:type="dxa"/>
            <w:left w:w="108" w:type="dxa"/>
            <w:bottom w:w="0" w:type="dxa"/>
            <w:right w:w="108" w:type="dxa"/>
          </w:tblCellMar>
        </w:tblPrEx>
        <w:trPr>
          <w:trHeight w:val="396"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w:t>
            </w:r>
          </w:p>
        </w:tc>
        <w:tc>
          <w:tcPr>
            <w:tcW w:w="2573"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全社会固定资产投资</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亿元</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94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10以上　</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w:t>
            </w:r>
            <w:r>
              <w:rPr>
                <w:rFonts w:hint="eastAsia" w:ascii="仿宋_GB2312" w:hAnsi="宋体" w:eastAsia="仿宋_GB2312" w:cs="宋体"/>
                <w:kern w:val="0"/>
                <w:sz w:val="20"/>
                <w:szCs w:val="20"/>
              </w:rPr>
              <w:t>　</w:t>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10.4</w:t>
            </w:r>
          </w:p>
        </w:tc>
        <w:tc>
          <w:tcPr>
            <w:tcW w:w="82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预期性</w:t>
            </w:r>
          </w:p>
        </w:tc>
      </w:tr>
      <w:tr>
        <w:tblPrEx>
          <w:tblCellMar>
            <w:top w:w="0" w:type="dxa"/>
            <w:left w:w="108" w:type="dxa"/>
            <w:bottom w:w="0" w:type="dxa"/>
            <w:right w:w="108" w:type="dxa"/>
          </w:tblCellMar>
        </w:tblPrEx>
        <w:trPr>
          <w:trHeight w:val="396"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w:t>
            </w:r>
          </w:p>
        </w:tc>
        <w:tc>
          <w:tcPr>
            <w:tcW w:w="2573"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外贸进出口总额</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亿元</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94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　</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[700]</w:t>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82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预期性</w:t>
            </w:r>
          </w:p>
        </w:tc>
      </w:tr>
      <w:tr>
        <w:tblPrEx>
          <w:tblCellMar>
            <w:top w:w="0" w:type="dxa"/>
            <w:left w:w="108" w:type="dxa"/>
            <w:bottom w:w="0" w:type="dxa"/>
            <w:right w:w="108" w:type="dxa"/>
          </w:tblCellMar>
        </w:tblPrEx>
        <w:trPr>
          <w:trHeight w:val="396"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w:t>
            </w:r>
          </w:p>
        </w:tc>
        <w:tc>
          <w:tcPr>
            <w:tcW w:w="2573"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服务业增加值比重</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43　　</w:t>
            </w:r>
          </w:p>
        </w:tc>
        <w:tc>
          <w:tcPr>
            <w:tcW w:w="94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51.3　</w:t>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82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预期性</w:t>
            </w:r>
          </w:p>
        </w:tc>
      </w:tr>
      <w:tr>
        <w:tblPrEx>
          <w:tblCellMar>
            <w:top w:w="0" w:type="dxa"/>
            <w:left w:w="108" w:type="dxa"/>
            <w:bottom w:w="0" w:type="dxa"/>
            <w:right w:w="108" w:type="dxa"/>
          </w:tblCellMar>
        </w:tblPrEx>
        <w:trPr>
          <w:trHeight w:val="548" w:hRule="atLeast"/>
        </w:trPr>
        <w:tc>
          <w:tcPr>
            <w:tcW w:w="417" w:type="dxa"/>
            <w:tcBorders>
              <w:top w:val="nil"/>
              <w:left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w:t>
            </w:r>
          </w:p>
        </w:tc>
        <w:tc>
          <w:tcPr>
            <w:tcW w:w="2573" w:type="dxa"/>
            <w:gridSpan w:val="2"/>
            <w:tcBorders>
              <w:top w:val="single" w:color="auto" w:sz="4" w:space="0"/>
              <w:left w:val="nil"/>
              <w:right w:val="single" w:color="auto" w:sz="4" w:space="0"/>
            </w:tcBorders>
            <w:shd w:val="clear" w:color="auto" w:fill="auto"/>
            <w:vAlign w:val="center"/>
          </w:tcPr>
          <w:p>
            <w:pPr>
              <w:widowControl/>
              <w:rPr>
                <w:rFonts w:ascii="仿宋_GB2312" w:hAnsi="宋体" w:eastAsia="仿宋_GB2312" w:cs="宋体"/>
                <w:w w:val="90"/>
                <w:kern w:val="0"/>
                <w:sz w:val="20"/>
                <w:szCs w:val="20"/>
              </w:rPr>
            </w:pPr>
            <w:r>
              <w:rPr>
                <w:rFonts w:hint="eastAsia" w:ascii="仿宋_GB2312" w:hAnsi="宋体" w:eastAsia="仿宋_GB2312" w:cs="宋体"/>
                <w:kern w:val="0"/>
                <w:sz w:val="20"/>
                <w:szCs w:val="20"/>
              </w:rPr>
              <w:t>常住人口城镇化率</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49　</w:t>
            </w:r>
          </w:p>
        </w:tc>
        <w:tc>
          <w:tcPr>
            <w:tcW w:w="94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50.59　</w:t>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p>
        </w:tc>
        <w:tc>
          <w:tcPr>
            <w:tcW w:w="82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预期性</w:t>
            </w:r>
          </w:p>
        </w:tc>
      </w:tr>
      <w:tr>
        <w:tblPrEx>
          <w:tblCellMar>
            <w:top w:w="0" w:type="dxa"/>
            <w:left w:w="108" w:type="dxa"/>
            <w:bottom w:w="0" w:type="dxa"/>
            <w:right w:w="108" w:type="dxa"/>
          </w:tblCellMar>
        </w:tblPrEx>
        <w:trPr>
          <w:trHeight w:val="531" w:hRule="atLeast"/>
        </w:trPr>
        <w:tc>
          <w:tcPr>
            <w:tcW w:w="8460" w:type="dxa"/>
            <w:gridSpan w:val="10"/>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left"/>
              <w:rPr>
                <w:rFonts w:ascii="黑体" w:hAnsi="黑体" w:eastAsia="黑体" w:cs="宋体"/>
                <w:kern w:val="0"/>
                <w:szCs w:val="21"/>
              </w:rPr>
            </w:pPr>
            <w:r>
              <w:rPr>
                <w:rFonts w:hint="eastAsia" w:ascii="黑体" w:hAnsi="黑体" w:eastAsia="黑体" w:cs="宋体"/>
                <w:kern w:val="0"/>
                <w:szCs w:val="21"/>
              </w:rPr>
              <w:t>二、创新驱动</w:t>
            </w:r>
          </w:p>
        </w:tc>
      </w:tr>
      <w:tr>
        <w:tblPrEx>
          <w:tblCellMar>
            <w:top w:w="0" w:type="dxa"/>
            <w:left w:w="108" w:type="dxa"/>
            <w:bottom w:w="0" w:type="dxa"/>
            <w:right w:w="108" w:type="dxa"/>
          </w:tblCellMar>
        </w:tblPrEx>
        <w:trPr>
          <w:trHeight w:val="396"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7</w:t>
            </w:r>
          </w:p>
        </w:tc>
        <w:tc>
          <w:tcPr>
            <w:tcW w:w="2573"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ascii="仿宋_GB2312" w:hAnsi="宋体" w:eastAsia="仿宋_GB2312" w:cs="宋体"/>
                <w:w w:val="85"/>
                <w:kern w:val="0"/>
                <w:sz w:val="20"/>
                <w:szCs w:val="20"/>
              </w:rPr>
            </w:pPr>
            <w:r>
              <w:rPr>
                <w:rFonts w:hint="eastAsia" w:ascii="仿宋_GB2312" w:hAnsi="宋体" w:eastAsia="仿宋_GB2312" w:cs="宋体"/>
                <w:w w:val="85"/>
                <w:kern w:val="0"/>
                <w:sz w:val="20"/>
                <w:szCs w:val="20"/>
              </w:rPr>
              <w:t>研究与实验发展经费投入强度</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　</w:t>
            </w:r>
          </w:p>
        </w:tc>
        <w:tc>
          <w:tcPr>
            <w:tcW w:w="94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　</w:t>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82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预期性</w:t>
            </w:r>
          </w:p>
        </w:tc>
      </w:tr>
      <w:tr>
        <w:tblPrEx>
          <w:tblCellMar>
            <w:top w:w="0" w:type="dxa"/>
            <w:left w:w="108" w:type="dxa"/>
            <w:bottom w:w="0" w:type="dxa"/>
            <w:right w:w="108" w:type="dxa"/>
          </w:tblCellMar>
        </w:tblPrEx>
        <w:trPr>
          <w:trHeight w:val="396"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8</w:t>
            </w:r>
          </w:p>
        </w:tc>
        <w:tc>
          <w:tcPr>
            <w:tcW w:w="2573" w:type="dxa"/>
            <w:gridSpan w:val="2"/>
            <w:tcBorders>
              <w:top w:val="single" w:color="auto" w:sz="4" w:space="0"/>
              <w:left w:val="nil"/>
              <w:bottom w:val="single" w:color="auto" w:sz="4" w:space="0"/>
              <w:right w:val="single" w:color="000000" w:sz="4" w:space="0"/>
            </w:tcBorders>
            <w:shd w:val="clear" w:color="auto" w:fill="auto"/>
            <w:vAlign w:val="center"/>
          </w:tcPr>
          <w:p>
            <w:pPr>
              <w:widowControl/>
              <w:rPr>
                <w:rFonts w:ascii="仿宋_GB2312" w:hAnsi="宋体" w:eastAsia="仿宋_GB2312" w:cs="宋体"/>
                <w:w w:val="90"/>
                <w:kern w:val="0"/>
                <w:sz w:val="20"/>
                <w:szCs w:val="20"/>
              </w:rPr>
            </w:pPr>
            <w:r>
              <w:rPr>
                <w:rFonts w:hint="eastAsia" w:ascii="仿宋_GB2312" w:hAnsi="宋体" w:eastAsia="仿宋_GB2312" w:cs="宋体"/>
                <w:w w:val="90"/>
                <w:kern w:val="0"/>
                <w:sz w:val="20"/>
                <w:szCs w:val="20"/>
              </w:rPr>
              <w:t>每万人发明专利拥有量</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件</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1.6　</w:t>
            </w:r>
          </w:p>
        </w:tc>
        <w:tc>
          <w:tcPr>
            <w:tcW w:w="94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1.6</w:t>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82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预期性</w:t>
            </w:r>
          </w:p>
        </w:tc>
      </w:tr>
      <w:tr>
        <w:tblPrEx>
          <w:tblCellMar>
            <w:top w:w="0" w:type="dxa"/>
            <w:left w:w="108" w:type="dxa"/>
            <w:bottom w:w="0" w:type="dxa"/>
            <w:right w:w="108" w:type="dxa"/>
          </w:tblCellMar>
        </w:tblPrEx>
        <w:trPr>
          <w:trHeight w:val="396"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9</w:t>
            </w:r>
          </w:p>
        </w:tc>
        <w:tc>
          <w:tcPr>
            <w:tcW w:w="2573" w:type="dxa"/>
            <w:gridSpan w:val="2"/>
            <w:tcBorders>
              <w:top w:val="single" w:color="auto" w:sz="4" w:space="0"/>
              <w:left w:val="nil"/>
              <w:bottom w:val="single" w:color="auto" w:sz="4" w:space="0"/>
              <w:right w:val="single" w:color="000000" w:sz="4" w:space="0"/>
            </w:tcBorders>
            <w:shd w:val="clear" w:color="auto" w:fill="auto"/>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科技进步贡献率</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58　</w:t>
            </w:r>
          </w:p>
        </w:tc>
        <w:tc>
          <w:tcPr>
            <w:tcW w:w="94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58　</w:t>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82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预期性</w:t>
            </w:r>
          </w:p>
        </w:tc>
      </w:tr>
      <w:tr>
        <w:tblPrEx>
          <w:tblCellMar>
            <w:top w:w="0" w:type="dxa"/>
            <w:left w:w="108" w:type="dxa"/>
            <w:bottom w:w="0" w:type="dxa"/>
            <w:right w:w="108" w:type="dxa"/>
          </w:tblCellMar>
        </w:tblPrEx>
        <w:trPr>
          <w:trHeight w:val="396" w:hRule="atLeast"/>
        </w:trPr>
        <w:tc>
          <w:tcPr>
            <w:tcW w:w="417" w:type="dxa"/>
            <w:vMerge w:val="restart"/>
            <w:tcBorders>
              <w:top w:val="nil"/>
              <w:left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w:t>
            </w:r>
          </w:p>
        </w:tc>
        <w:tc>
          <w:tcPr>
            <w:tcW w:w="793" w:type="dxa"/>
            <w:vMerge w:val="restart"/>
            <w:tcBorders>
              <w:top w:val="single" w:color="auto" w:sz="4" w:space="0"/>
              <w:left w:val="nil"/>
              <w:right w:val="single" w:color="auto" w:sz="4" w:space="0"/>
            </w:tcBorders>
            <w:shd w:val="clear" w:color="auto" w:fill="auto"/>
            <w:vAlign w:val="center"/>
          </w:tcPr>
          <w:p>
            <w:pPr>
              <w:widowControl/>
              <w:rPr>
                <w:rFonts w:ascii="仿宋_GB2312" w:hAnsi="宋体" w:eastAsia="仿宋_GB2312" w:cs="宋体"/>
                <w:w w:val="80"/>
                <w:kern w:val="0"/>
                <w:sz w:val="20"/>
                <w:szCs w:val="20"/>
              </w:rPr>
            </w:pPr>
            <w:r>
              <w:rPr>
                <w:rFonts w:hint="eastAsia" w:ascii="仿宋_GB2312" w:hAnsi="宋体" w:eastAsia="仿宋_GB2312" w:cs="宋体"/>
                <w:w w:val="80"/>
                <w:kern w:val="0"/>
                <w:sz w:val="20"/>
                <w:szCs w:val="20"/>
              </w:rPr>
              <w:t>互联网普及率</w:t>
            </w:r>
          </w:p>
        </w:tc>
        <w:tc>
          <w:tcPr>
            <w:tcW w:w="1780" w:type="dxa"/>
            <w:tcBorders>
              <w:top w:val="single" w:color="auto" w:sz="4" w:space="0"/>
              <w:left w:val="nil"/>
              <w:bottom w:val="single" w:color="auto" w:sz="4" w:space="0"/>
              <w:right w:val="single" w:color="auto" w:sz="4" w:space="0"/>
            </w:tcBorders>
            <w:shd w:val="clear" w:color="auto" w:fill="auto"/>
            <w:vAlign w:val="center"/>
          </w:tcPr>
          <w:p>
            <w:pPr>
              <w:widowControl/>
              <w:rPr>
                <w:rFonts w:ascii="仿宋_GB2312" w:hAnsi="宋体" w:eastAsia="仿宋_GB2312" w:cs="宋体"/>
                <w:w w:val="85"/>
                <w:kern w:val="0"/>
                <w:sz w:val="20"/>
                <w:szCs w:val="20"/>
              </w:rPr>
            </w:pPr>
            <w:r>
              <w:rPr>
                <w:rFonts w:hint="eastAsia" w:ascii="仿宋_GB2312" w:hAnsi="宋体" w:eastAsia="仿宋_GB2312" w:cs="宋体"/>
                <w:w w:val="85"/>
                <w:kern w:val="0"/>
                <w:sz w:val="20"/>
                <w:szCs w:val="20"/>
              </w:rPr>
              <w:t>固定宽带家庭普及率</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70　</w:t>
            </w:r>
          </w:p>
        </w:tc>
        <w:tc>
          <w:tcPr>
            <w:tcW w:w="94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90　</w:t>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828" w:type="dxa"/>
            <w:vMerge w:val="restart"/>
            <w:tcBorders>
              <w:top w:val="nil"/>
              <w:left w:val="nil"/>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预期性</w:t>
            </w:r>
          </w:p>
        </w:tc>
      </w:tr>
      <w:tr>
        <w:tblPrEx>
          <w:tblCellMar>
            <w:top w:w="0" w:type="dxa"/>
            <w:left w:w="108" w:type="dxa"/>
            <w:bottom w:w="0" w:type="dxa"/>
            <w:right w:w="108" w:type="dxa"/>
          </w:tblCellMar>
        </w:tblPrEx>
        <w:trPr>
          <w:trHeight w:val="669" w:hRule="atLeast"/>
        </w:trPr>
        <w:tc>
          <w:tcPr>
            <w:tcW w:w="417" w:type="dxa"/>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黑体" w:hAnsi="黑体" w:eastAsia="黑体" w:cs="宋体"/>
                <w:kern w:val="0"/>
                <w:szCs w:val="21"/>
              </w:rPr>
            </w:pPr>
          </w:p>
        </w:tc>
        <w:tc>
          <w:tcPr>
            <w:tcW w:w="793" w:type="dxa"/>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黑体" w:hAnsi="黑体" w:eastAsia="黑体" w:cs="宋体"/>
                <w:kern w:val="0"/>
                <w:szCs w:val="21"/>
              </w:rPr>
            </w:pPr>
          </w:p>
        </w:tc>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黑体" w:hAnsi="黑体" w:eastAsia="黑体" w:cs="宋体"/>
                <w:w w:val="80"/>
                <w:kern w:val="0"/>
                <w:szCs w:val="21"/>
              </w:rPr>
            </w:pPr>
            <w:r>
              <w:rPr>
                <w:rFonts w:hint="eastAsia" w:ascii="仿宋_GB2312" w:hAnsi="宋体" w:eastAsia="仿宋_GB2312" w:cs="宋体"/>
                <w:w w:val="80"/>
                <w:kern w:val="0"/>
                <w:sz w:val="20"/>
                <w:szCs w:val="20"/>
              </w:rPr>
              <w:t>移动宽带用户普及率</w:t>
            </w:r>
          </w:p>
        </w:tc>
        <w:tc>
          <w:tcPr>
            <w:tcW w:w="82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仿宋_GB2312" w:hAnsi="宋体" w:eastAsia="仿宋_GB2312" w:cs="宋体"/>
                <w:kern w:val="0"/>
                <w:sz w:val="20"/>
                <w:szCs w:val="20"/>
              </w:rPr>
              <w:t>80</w:t>
            </w:r>
          </w:p>
        </w:tc>
        <w:tc>
          <w:tcPr>
            <w:tcW w:w="9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仿宋_GB2312" w:hAnsi="宋体" w:eastAsia="仿宋_GB2312" w:cs="宋体"/>
                <w:kern w:val="0"/>
                <w:sz w:val="20"/>
                <w:szCs w:val="20"/>
              </w:rPr>
              <w:t>102.1</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w:t>
            </w:r>
          </w:p>
        </w:tc>
        <w:tc>
          <w:tcPr>
            <w:tcW w:w="828"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p>
        </w:tc>
      </w:tr>
      <w:tr>
        <w:tblPrEx>
          <w:tblCellMar>
            <w:top w:w="0" w:type="dxa"/>
            <w:left w:w="108" w:type="dxa"/>
            <w:bottom w:w="0" w:type="dxa"/>
            <w:right w:w="108" w:type="dxa"/>
          </w:tblCellMar>
        </w:tblPrEx>
        <w:trPr>
          <w:trHeight w:val="523" w:hRule="atLeast"/>
        </w:trPr>
        <w:tc>
          <w:tcPr>
            <w:tcW w:w="8460" w:type="dxa"/>
            <w:gridSpan w:val="10"/>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left"/>
              <w:rPr>
                <w:rFonts w:ascii="黑体" w:hAnsi="黑体" w:eastAsia="黑体" w:cs="宋体"/>
                <w:kern w:val="0"/>
                <w:szCs w:val="21"/>
              </w:rPr>
            </w:pPr>
            <w:r>
              <w:rPr>
                <w:rFonts w:hint="eastAsia" w:ascii="黑体" w:hAnsi="黑体" w:eastAsia="黑体" w:cs="宋体"/>
                <w:kern w:val="0"/>
                <w:szCs w:val="21"/>
              </w:rPr>
              <w:t>三、民生福祉</w:t>
            </w:r>
          </w:p>
        </w:tc>
      </w:tr>
      <w:tr>
        <w:tblPrEx>
          <w:tblCellMar>
            <w:top w:w="0" w:type="dxa"/>
            <w:left w:w="108" w:type="dxa"/>
            <w:bottom w:w="0" w:type="dxa"/>
            <w:right w:w="108" w:type="dxa"/>
          </w:tblCellMar>
        </w:tblPrEx>
        <w:trPr>
          <w:trHeight w:val="689"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11</w:t>
            </w:r>
          </w:p>
        </w:tc>
        <w:tc>
          <w:tcPr>
            <w:tcW w:w="2573"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居民人均可支配收入</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元</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经济增速同步　</w:t>
            </w:r>
          </w:p>
        </w:tc>
        <w:tc>
          <w:tcPr>
            <w:tcW w:w="94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黑体" w:hAnsi="黑体" w:eastAsia="黑体" w:cs="宋体"/>
                <w:kern w:val="0"/>
                <w:szCs w:val="21"/>
              </w:rPr>
              <w:t>—</w:t>
            </w:r>
            <w:r>
              <w:rPr>
                <w:rFonts w:hint="eastAsia" w:ascii="仿宋_GB2312" w:hAnsi="宋体" w:eastAsia="仿宋_GB2312" w:cs="宋体"/>
                <w:kern w:val="0"/>
                <w:sz w:val="20"/>
                <w:szCs w:val="20"/>
              </w:rPr>
              <w:t>　</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23480　</w:t>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黑体" w:hAnsi="黑体" w:eastAsia="黑体" w:cs="宋体"/>
                <w:kern w:val="0"/>
                <w:szCs w:val="21"/>
              </w:rPr>
              <w:t>—</w:t>
            </w:r>
            <w:r>
              <w:rPr>
                <w:rFonts w:hint="eastAsia" w:ascii="仿宋_GB2312" w:hAnsi="宋体" w:eastAsia="仿宋_GB2312" w:cs="宋体"/>
                <w:kern w:val="0"/>
                <w:sz w:val="20"/>
                <w:szCs w:val="20"/>
              </w:rPr>
              <w:t>　</w:t>
            </w:r>
          </w:p>
        </w:tc>
        <w:tc>
          <w:tcPr>
            <w:tcW w:w="82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预期性</w:t>
            </w:r>
          </w:p>
        </w:tc>
      </w:tr>
      <w:tr>
        <w:tblPrEx>
          <w:tblCellMar>
            <w:top w:w="0" w:type="dxa"/>
            <w:left w:w="108" w:type="dxa"/>
            <w:bottom w:w="0" w:type="dxa"/>
            <w:right w:w="108" w:type="dxa"/>
          </w:tblCellMar>
        </w:tblPrEx>
        <w:trPr>
          <w:trHeight w:val="723"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12</w:t>
            </w:r>
          </w:p>
        </w:tc>
        <w:tc>
          <w:tcPr>
            <w:tcW w:w="2573"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ascii="仿宋_GB2312" w:hAnsi="宋体" w:eastAsia="仿宋_GB2312" w:cs="宋体"/>
                <w:w w:val="85"/>
                <w:kern w:val="0"/>
                <w:sz w:val="20"/>
                <w:szCs w:val="20"/>
              </w:rPr>
            </w:pPr>
            <w:r>
              <w:rPr>
                <w:rFonts w:hint="eastAsia" w:ascii="仿宋_GB2312" w:hAnsi="宋体" w:eastAsia="仿宋_GB2312" w:cs="宋体"/>
                <w:w w:val="85"/>
                <w:kern w:val="0"/>
                <w:sz w:val="20"/>
                <w:szCs w:val="20"/>
              </w:rPr>
              <w:t>劳动年龄人口平均受教育年限</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年</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10.5　</w:t>
            </w:r>
          </w:p>
        </w:tc>
        <w:tc>
          <w:tcPr>
            <w:tcW w:w="94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10.5　</w:t>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82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约束性</w:t>
            </w:r>
          </w:p>
        </w:tc>
      </w:tr>
      <w:tr>
        <w:tblPrEx>
          <w:tblCellMar>
            <w:top w:w="0" w:type="dxa"/>
            <w:left w:w="108" w:type="dxa"/>
            <w:bottom w:w="0" w:type="dxa"/>
            <w:right w:w="108" w:type="dxa"/>
          </w:tblCellMar>
        </w:tblPrEx>
        <w:trPr>
          <w:trHeight w:val="564"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13</w:t>
            </w:r>
          </w:p>
        </w:tc>
        <w:tc>
          <w:tcPr>
            <w:tcW w:w="2573"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城镇新增就业人数</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万人</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[30]</w:t>
            </w:r>
            <w:r>
              <w:rPr>
                <w:rFonts w:hint="eastAsia" w:ascii="仿宋_GB2312" w:hAnsi="宋体" w:eastAsia="仿宋_GB2312" w:cs="宋体"/>
                <w:kern w:val="0"/>
                <w:sz w:val="20"/>
                <w:szCs w:val="20"/>
              </w:rPr>
              <w:t>　</w:t>
            </w:r>
          </w:p>
        </w:tc>
        <w:tc>
          <w:tcPr>
            <w:tcW w:w="94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[37]</w:t>
            </w:r>
            <w:r>
              <w:rPr>
                <w:rFonts w:hint="eastAsia" w:ascii="仿宋_GB2312" w:hAnsi="宋体" w:eastAsia="仿宋_GB2312" w:cs="宋体"/>
                <w:kern w:val="0"/>
                <w:sz w:val="20"/>
                <w:szCs w:val="20"/>
              </w:rPr>
              <w:t>　</w:t>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82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预期性</w:t>
            </w:r>
          </w:p>
        </w:tc>
      </w:tr>
      <w:tr>
        <w:tblPrEx>
          <w:tblCellMar>
            <w:top w:w="0" w:type="dxa"/>
            <w:left w:w="108" w:type="dxa"/>
            <w:bottom w:w="0" w:type="dxa"/>
            <w:right w:w="108" w:type="dxa"/>
          </w:tblCellMar>
        </w:tblPrEx>
        <w:trPr>
          <w:trHeight w:val="700"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14</w:t>
            </w:r>
          </w:p>
        </w:tc>
        <w:tc>
          <w:tcPr>
            <w:tcW w:w="2573"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农村贫困人口脱贫</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万人</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[49]</w:t>
            </w:r>
            <w:r>
              <w:rPr>
                <w:rFonts w:hint="eastAsia" w:ascii="仿宋_GB2312" w:hAnsi="宋体" w:eastAsia="仿宋_GB2312" w:cs="宋体"/>
                <w:kern w:val="0"/>
                <w:sz w:val="20"/>
                <w:szCs w:val="20"/>
              </w:rPr>
              <w:t>　　</w:t>
            </w:r>
          </w:p>
        </w:tc>
        <w:tc>
          <w:tcPr>
            <w:tcW w:w="94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[90.16]</w:t>
            </w:r>
            <w:r>
              <w:rPr>
                <w:rFonts w:hint="eastAsia" w:ascii="仿宋_GB2312" w:hAnsi="宋体" w:eastAsia="仿宋_GB2312" w:cs="宋体"/>
                <w:kern w:val="0"/>
                <w:sz w:val="20"/>
                <w:szCs w:val="20"/>
              </w:rPr>
              <w:t>　</w:t>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2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约束性</w:t>
            </w:r>
          </w:p>
        </w:tc>
      </w:tr>
      <w:tr>
        <w:tblPrEx>
          <w:tblCellMar>
            <w:top w:w="0" w:type="dxa"/>
            <w:left w:w="108" w:type="dxa"/>
            <w:bottom w:w="0" w:type="dxa"/>
            <w:right w:w="108" w:type="dxa"/>
          </w:tblCellMar>
        </w:tblPrEx>
        <w:trPr>
          <w:trHeight w:val="463" w:hRule="atLeast"/>
        </w:trPr>
        <w:tc>
          <w:tcPr>
            <w:tcW w:w="4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xml:space="preserve">15                                                                                                                                                                                                                                                                                                                                                                                                                                                                                                                                                                                                                                                                                                                                                                                                                                                                                                                                                                                                                                                                                                                                                                                                                                                                                                                                                                                                                                                                                                                                                                                                                                                                                                                                                                                                                                                                                                                                                                                                                                                                                                                                                                                                                                                                                                                                                                                                                                                                                                                                                                                                                                                                                                                                                                                                                                                                                                                                                                                                                                                                                                                                                                                                                                                                                                                                                                                                                                                                                                                                                                                                                                                                                                                                                                                                                                                                                                                                                                                                                                                                                                                                                                                                              </w:t>
            </w:r>
            <w:r>
              <w:rPr>
                <w:rFonts w:hint="eastAsia" w:ascii="仿宋_GB2312" w:hAnsi="宋体" w:eastAsia="仿宋_GB2312" w:cs="宋体"/>
                <w:kern w:val="0"/>
                <w:sz w:val="20"/>
                <w:szCs w:val="20"/>
              </w:rPr>
              <w:t xml:space="preserve">                                                                                                                                                                                                                                                                                                                                                                                                                                                                                                                                                                                                                                                                                                                                                                                                                                                                                                                                                                                                                                                                                                                                                                                                                                                                                                                                                                                                                                                                                                                                                                                                                                                                                                                                                                                                                                                                                                                                                                                                                                                                                                                                                                                                                                                                                                                                                                                                                                                                                                                                                                                                                                                                                                                                                                                                                                                                                                                                                                                                                                                                                                                                                                                                                                                                                                                                                                                                                                                                                                                                                                                                                                                                                                                                                                                                                                                                                                                                                                                                                                                                                                                                                                                                                </w:t>
            </w:r>
            <w:r>
              <w:rPr>
                <w:rFonts w:hint="eastAsia" w:ascii="仿宋_GB2312" w:hAnsi="宋体" w:eastAsia="仿宋_GB2312" w:cs="宋体"/>
                <w:kern w:val="0"/>
                <w:sz w:val="20"/>
                <w:szCs w:val="20"/>
              </w:rPr>
              <w:t xml:space="preserve">                                                                                                                                                                                                                                                                                                                                                                                                                                                                                                                                                                                                                                                                                                                                                                                                                                                                                                                                                                                                                                                                                                                                                                                                                                                                                                                                                                                                                                                                                                                                                                                                                                                                                                                                                                                                                                                                                                                                                                                                 </w:t>
            </w:r>
          </w:p>
        </w:tc>
        <w:tc>
          <w:tcPr>
            <w:tcW w:w="257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基本养老保险参保率</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92</w:t>
            </w:r>
          </w:p>
        </w:tc>
        <w:tc>
          <w:tcPr>
            <w:tcW w:w="94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95.7</w:t>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2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预期性</w:t>
            </w:r>
          </w:p>
        </w:tc>
      </w:tr>
      <w:tr>
        <w:tblPrEx>
          <w:tblCellMar>
            <w:top w:w="0" w:type="dxa"/>
            <w:left w:w="108" w:type="dxa"/>
            <w:bottom w:w="0" w:type="dxa"/>
            <w:right w:w="108" w:type="dxa"/>
          </w:tblCellMar>
        </w:tblPrEx>
        <w:trPr>
          <w:trHeight w:val="555" w:hRule="atLeast"/>
        </w:trPr>
        <w:tc>
          <w:tcPr>
            <w:tcW w:w="417"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16</w:t>
            </w:r>
          </w:p>
        </w:tc>
        <w:tc>
          <w:tcPr>
            <w:tcW w:w="2573"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城镇棚户区住房改造</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万套</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[3.2]</w:t>
            </w:r>
          </w:p>
        </w:tc>
        <w:tc>
          <w:tcPr>
            <w:tcW w:w="94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[6.7]</w:t>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2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约束性</w:t>
            </w:r>
          </w:p>
        </w:tc>
      </w:tr>
      <w:tr>
        <w:tblPrEx>
          <w:tblCellMar>
            <w:top w:w="0" w:type="dxa"/>
            <w:left w:w="108" w:type="dxa"/>
            <w:bottom w:w="0" w:type="dxa"/>
            <w:right w:w="108" w:type="dxa"/>
          </w:tblCellMar>
        </w:tblPrEx>
        <w:trPr>
          <w:trHeight w:val="563" w:hRule="atLeast"/>
        </w:trPr>
        <w:tc>
          <w:tcPr>
            <w:tcW w:w="417"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17</w:t>
            </w:r>
          </w:p>
        </w:tc>
        <w:tc>
          <w:tcPr>
            <w:tcW w:w="2573"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人均预期寿命</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岁</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4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[0.9]</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[1.0]</w:t>
            </w:r>
            <w:r>
              <w:rPr>
                <w:rFonts w:hint="eastAsia" w:ascii="仿宋_GB2312" w:hAnsi="宋体" w:eastAsia="仿宋_GB2312" w:cs="宋体"/>
                <w:kern w:val="0"/>
                <w:sz w:val="20"/>
                <w:szCs w:val="20"/>
              </w:rPr>
              <w:t>　</w:t>
            </w:r>
          </w:p>
        </w:tc>
        <w:tc>
          <w:tcPr>
            <w:tcW w:w="82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预期性</w:t>
            </w:r>
          </w:p>
        </w:tc>
      </w:tr>
      <w:tr>
        <w:tblPrEx>
          <w:tblCellMar>
            <w:top w:w="0" w:type="dxa"/>
            <w:left w:w="108" w:type="dxa"/>
            <w:bottom w:w="0" w:type="dxa"/>
            <w:right w:w="108" w:type="dxa"/>
          </w:tblCellMar>
        </w:tblPrEx>
        <w:trPr>
          <w:trHeight w:val="288" w:hRule="atLeast"/>
        </w:trPr>
        <w:tc>
          <w:tcPr>
            <w:tcW w:w="2990"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指标名称</w:t>
            </w:r>
          </w:p>
        </w:tc>
        <w:tc>
          <w:tcPr>
            <w:tcW w:w="82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单位</w:t>
            </w:r>
          </w:p>
        </w:tc>
        <w:tc>
          <w:tcPr>
            <w:tcW w:w="1901"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w w:val="90"/>
                <w:kern w:val="0"/>
                <w:szCs w:val="21"/>
              </w:rPr>
            </w:pPr>
            <w:r>
              <w:rPr>
                <w:rFonts w:hint="eastAsia" w:ascii="黑体" w:hAnsi="黑体" w:eastAsia="黑体" w:cs="宋体"/>
                <w:w w:val="90"/>
                <w:kern w:val="0"/>
                <w:szCs w:val="21"/>
              </w:rPr>
              <w:t>“十三五”目标</w:t>
            </w:r>
          </w:p>
        </w:tc>
        <w:tc>
          <w:tcPr>
            <w:tcW w:w="191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w w:val="90"/>
                <w:kern w:val="0"/>
                <w:szCs w:val="21"/>
              </w:rPr>
              <w:t>“十三五”完成情况</w:t>
            </w:r>
          </w:p>
        </w:tc>
        <w:tc>
          <w:tcPr>
            <w:tcW w:w="8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指标属性</w:t>
            </w:r>
          </w:p>
        </w:tc>
      </w:tr>
      <w:tr>
        <w:tblPrEx>
          <w:tblCellMar>
            <w:top w:w="0" w:type="dxa"/>
            <w:left w:w="108" w:type="dxa"/>
            <w:bottom w:w="0" w:type="dxa"/>
            <w:right w:w="108" w:type="dxa"/>
          </w:tblCellMar>
        </w:tblPrEx>
        <w:trPr>
          <w:trHeight w:val="312" w:hRule="atLeast"/>
        </w:trPr>
        <w:tc>
          <w:tcPr>
            <w:tcW w:w="299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822"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95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2020年</w:t>
            </w:r>
          </w:p>
        </w:tc>
        <w:tc>
          <w:tcPr>
            <w:tcW w:w="946"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w w:val="80"/>
                <w:kern w:val="0"/>
                <w:szCs w:val="21"/>
              </w:rPr>
            </w:pPr>
            <w:r>
              <w:rPr>
                <w:rFonts w:hint="eastAsia" w:ascii="黑体" w:hAnsi="黑体" w:eastAsia="黑体" w:cs="宋体"/>
                <w:w w:val="80"/>
                <w:kern w:val="0"/>
                <w:szCs w:val="21"/>
              </w:rPr>
              <w:t>年均增长（%）</w:t>
            </w:r>
          </w:p>
        </w:tc>
        <w:tc>
          <w:tcPr>
            <w:tcW w:w="95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2020年</w:t>
            </w:r>
          </w:p>
        </w:tc>
        <w:tc>
          <w:tcPr>
            <w:tcW w:w="96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w w:val="80"/>
                <w:kern w:val="0"/>
                <w:szCs w:val="21"/>
              </w:rPr>
              <w:t>年均增长（%）</w:t>
            </w:r>
          </w:p>
        </w:tc>
        <w:tc>
          <w:tcPr>
            <w:tcW w:w="828"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r>
      <w:tr>
        <w:tblPrEx>
          <w:tblCellMar>
            <w:top w:w="0" w:type="dxa"/>
            <w:left w:w="108" w:type="dxa"/>
            <w:bottom w:w="0" w:type="dxa"/>
            <w:right w:w="108" w:type="dxa"/>
          </w:tblCellMar>
        </w:tblPrEx>
        <w:trPr>
          <w:trHeight w:val="480" w:hRule="atLeast"/>
        </w:trPr>
        <w:tc>
          <w:tcPr>
            <w:tcW w:w="299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822"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95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946"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955"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964"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c>
          <w:tcPr>
            <w:tcW w:w="828" w:type="dxa"/>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kern w:val="0"/>
                <w:szCs w:val="21"/>
              </w:rPr>
            </w:pPr>
          </w:p>
        </w:tc>
      </w:tr>
      <w:tr>
        <w:tblPrEx>
          <w:tblCellMar>
            <w:top w:w="0" w:type="dxa"/>
            <w:left w:w="108" w:type="dxa"/>
            <w:bottom w:w="0" w:type="dxa"/>
            <w:right w:w="108" w:type="dxa"/>
          </w:tblCellMar>
        </w:tblPrEx>
        <w:trPr>
          <w:trHeight w:val="384" w:hRule="atLeast"/>
        </w:trPr>
        <w:tc>
          <w:tcPr>
            <w:tcW w:w="8460" w:type="dxa"/>
            <w:gridSpan w:val="10"/>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left"/>
              <w:rPr>
                <w:rFonts w:ascii="黑体" w:hAnsi="黑体" w:eastAsia="黑体" w:cs="宋体"/>
                <w:kern w:val="0"/>
                <w:szCs w:val="21"/>
              </w:rPr>
            </w:pPr>
            <w:r>
              <w:rPr>
                <w:rFonts w:hint="eastAsia" w:ascii="黑体" w:hAnsi="黑体" w:eastAsia="黑体" w:cs="宋体"/>
                <w:kern w:val="0"/>
                <w:szCs w:val="21"/>
              </w:rPr>
              <w:t xml:space="preserve">四、生态文明 </w:t>
            </w:r>
          </w:p>
        </w:tc>
      </w:tr>
      <w:tr>
        <w:tblPrEx>
          <w:tblCellMar>
            <w:top w:w="0" w:type="dxa"/>
            <w:left w:w="108" w:type="dxa"/>
            <w:bottom w:w="0" w:type="dxa"/>
            <w:right w:w="108" w:type="dxa"/>
          </w:tblCellMar>
        </w:tblPrEx>
        <w:trPr>
          <w:trHeight w:val="384"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18</w:t>
            </w:r>
          </w:p>
        </w:tc>
        <w:tc>
          <w:tcPr>
            <w:tcW w:w="2573"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耕地保有量</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万亩</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1283　</w:t>
            </w:r>
          </w:p>
        </w:tc>
        <w:tc>
          <w:tcPr>
            <w:tcW w:w="94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w w:val="80"/>
                <w:kern w:val="0"/>
                <w:sz w:val="20"/>
                <w:szCs w:val="20"/>
              </w:rPr>
              <w:t>1300左右</w:t>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82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约束性</w:t>
            </w:r>
          </w:p>
        </w:tc>
      </w:tr>
      <w:tr>
        <w:tblPrEx>
          <w:tblCellMar>
            <w:top w:w="0" w:type="dxa"/>
            <w:left w:w="108" w:type="dxa"/>
            <w:bottom w:w="0" w:type="dxa"/>
            <w:right w:w="108" w:type="dxa"/>
          </w:tblCellMar>
        </w:tblPrEx>
        <w:trPr>
          <w:trHeight w:val="384"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w:t>
            </w:r>
            <w:r>
              <w:rPr>
                <w:rFonts w:ascii="仿宋_GB2312" w:hAnsi="宋体" w:eastAsia="仿宋_GB2312" w:cs="宋体"/>
                <w:kern w:val="0"/>
                <w:sz w:val="20"/>
                <w:szCs w:val="20"/>
              </w:rPr>
              <w:t>9</w:t>
            </w:r>
          </w:p>
        </w:tc>
        <w:tc>
          <w:tcPr>
            <w:tcW w:w="2573"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万元生产总值用水量下降</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sz w:val="24"/>
                <w:szCs w:val="24"/>
              </w:rPr>
            </w:pPr>
            <w:r>
              <w:rPr>
                <w:rFonts w:hint="eastAsia" w:ascii="仿宋_GB2312" w:hAnsi="宋体" w:eastAsia="仿宋_GB2312" w:cs="宋体"/>
                <w:kern w:val="0"/>
                <w:sz w:val="20"/>
                <w:szCs w:val="20"/>
              </w:rPr>
              <w:t>22.4</w:t>
            </w:r>
          </w:p>
        </w:tc>
        <w:tc>
          <w:tcPr>
            <w:tcW w:w="946" w:type="dxa"/>
            <w:gridSpan w:val="2"/>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w:t>
            </w:r>
          </w:p>
        </w:tc>
        <w:tc>
          <w:tcPr>
            <w:tcW w:w="955" w:type="dxa"/>
            <w:tcBorders>
              <w:top w:val="nil"/>
              <w:left w:val="nil"/>
              <w:bottom w:val="single" w:color="auto" w:sz="4" w:space="0"/>
              <w:right w:val="single" w:color="auto" w:sz="4" w:space="0"/>
            </w:tcBorders>
            <w:shd w:val="clear" w:color="auto" w:fill="auto"/>
            <w:vAlign w:val="center"/>
          </w:tcPr>
          <w:p>
            <w:pPr>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22.4</w:t>
            </w:r>
          </w:p>
        </w:tc>
        <w:tc>
          <w:tcPr>
            <w:tcW w:w="964"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w:t>
            </w:r>
          </w:p>
        </w:tc>
        <w:tc>
          <w:tcPr>
            <w:tcW w:w="82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约束性</w:t>
            </w:r>
          </w:p>
        </w:tc>
      </w:tr>
      <w:tr>
        <w:tblPrEx>
          <w:tblCellMar>
            <w:top w:w="0" w:type="dxa"/>
            <w:left w:w="108" w:type="dxa"/>
            <w:bottom w:w="0" w:type="dxa"/>
            <w:right w:w="108" w:type="dxa"/>
          </w:tblCellMar>
        </w:tblPrEx>
        <w:trPr>
          <w:trHeight w:val="540"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w:t>
            </w:r>
            <w:r>
              <w:rPr>
                <w:rFonts w:ascii="仿宋_GB2312" w:hAnsi="宋体" w:eastAsia="仿宋_GB2312" w:cs="宋体"/>
                <w:kern w:val="0"/>
                <w:sz w:val="20"/>
                <w:szCs w:val="20"/>
              </w:rPr>
              <w:t>0</w:t>
            </w:r>
          </w:p>
        </w:tc>
        <w:tc>
          <w:tcPr>
            <w:tcW w:w="2573"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非化石能源占一次能源消费比重</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&gt;7</w:t>
            </w:r>
          </w:p>
        </w:tc>
        <w:tc>
          <w:tcPr>
            <w:tcW w:w="946" w:type="dxa"/>
            <w:gridSpan w:val="2"/>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w:t>
            </w:r>
          </w:p>
        </w:tc>
        <w:tc>
          <w:tcPr>
            <w:tcW w:w="9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sz w:val="24"/>
                <w:szCs w:val="24"/>
              </w:rPr>
            </w:pPr>
            <w:r>
              <w:rPr>
                <w:rFonts w:hint="eastAsia" w:ascii="仿宋_GB2312" w:hAnsi="宋体" w:eastAsia="仿宋_GB2312" w:cs="宋体"/>
                <w:kern w:val="0"/>
                <w:sz w:val="20"/>
                <w:szCs w:val="20"/>
              </w:rPr>
              <w:t>&gt;7</w:t>
            </w:r>
          </w:p>
        </w:tc>
        <w:tc>
          <w:tcPr>
            <w:tcW w:w="964"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w:t>
            </w:r>
          </w:p>
        </w:tc>
        <w:tc>
          <w:tcPr>
            <w:tcW w:w="82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约束性</w:t>
            </w:r>
          </w:p>
        </w:tc>
      </w:tr>
      <w:tr>
        <w:tblPrEx>
          <w:tblCellMar>
            <w:top w:w="0" w:type="dxa"/>
            <w:left w:w="108" w:type="dxa"/>
            <w:bottom w:w="0" w:type="dxa"/>
            <w:right w:w="108" w:type="dxa"/>
          </w:tblCellMar>
        </w:tblPrEx>
        <w:trPr>
          <w:trHeight w:val="531"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w:t>
            </w:r>
            <w:r>
              <w:rPr>
                <w:rFonts w:ascii="仿宋_GB2312" w:hAnsi="宋体" w:eastAsia="仿宋_GB2312" w:cs="宋体"/>
                <w:kern w:val="0"/>
                <w:sz w:val="20"/>
                <w:szCs w:val="20"/>
              </w:rPr>
              <w:t>1</w:t>
            </w:r>
          </w:p>
        </w:tc>
        <w:tc>
          <w:tcPr>
            <w:tcW w:w="2573"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ascii="仿宋_GB2312" w:hAnsi="宋体" w:eastAsia="仿宋_GB2312" w:cs="宋体"/>
                <w:w w:val="90"/>
                <w:kern w:val="0"/>
                <w:sz w:val="20"/>
                <w:szCs w:val="20"/>
              </w:rPr>
            </w:pPr>
            <w:r>
              <w:rPr>
                <w:rFonts w:hint="eastAsia" w:ascii="仿宋_GB2312" w:hAnsi="宋体" w:eastAsia="仿宋_GB2312" w:cs="宋体"/>
                <w:w w:val="90"/>
                <w:kern w:val="0"/>
                <w:sz w:val="20"/>
                <w:szCs w:val="20"/>
              </w:rPr>
              <w:t>单位生产总值能源消耗降低</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w:t>
            </w:r>
            <w:r>
              <w:rPr>
                <w:rFonts w:hint="eastAsia" w:ascii="仿宋_GB2312" w:hAnsi="宋体" w:eastAsia="仿宋_GB2312" w:cs="宋体"/>
                <w:kern w:val="0"/>
                <w:sz w:val="20"/>
                <w:szCs w:val="20"/>
              </w:rPr>
              <w:t>15</w:t>
            </w:r>
            <w:r>
              <w:rPr>
                <w:rFonts w:hint="eastAsia" w:ascii="仿宋_GB2312" w:hAnsi="仿宋_GB2312" w:eastAsia="仿宋_GB2312" w:cs="宋体"/>
                <w:kern w:val="0"/>
                <w:sz w:val="20"/>
                <w:szCs w:val="20"/>
              </w:rPr>
              <w:t>]</w:t>
            </w:r>
          </w:p>
        </w:tc>
        <w:tc>
          <w:tcPr>
            <w:tcW w:w="94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w:t>
            </w:r>
            <w:r>
              <w:rPr>
                <w:rFonts w:hint="eastAsia" w:ascii="仿宋_GB2312" w:hAnsi="宋体" w:eastAsia="仿宋_GB2312" w:cs="宋体"/>
                <w:kern w:val="0"/>
                <w:sz w:val="20"/>
                <w:szCs w:val="20"/>
              </w:rPr>
              <w:t>19</w:t>
            </w:r>
            <w:r>
              <w:rPr>
                <w:rFonts w:hint="eastAsia" w:ascii="仿宋_GB2312" w:hAnsi="仿宋_GB2312" w:eastAsia="仿宋_GB2312" w:cs="宋体"/>
                <w:kern w:val="0"/>
                <w:sz w:val="20"/>
                <w:szCs w:val="20"/>
              </w:rPr>
              <w:t>]</w:t>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2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约束性</w:t>
            </w:r>
          </w:p>
        </w:tc>
      </w:tr>
      <w:tr>
        <w:tblPrEx>
          <w:tblCellMar>
            <w:top w:w="0" w:type="dxa"/>
            <w:left w:w="108" w:type="dxa"/>
            <w:bottom w:w="0" w:type="dxa"/>
            <w:right w:w="108" w:type="dxa"/>
          </w:tblCellMar>
        </w:tblPrEx>
        <w:trPr>
          <w:trHeight w:val="384"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w:t>
            </w:r>
            <w:r>
              <w:rPr>
                <w:rFonts w:ascii="仿宋_GB2312" w:hAnsi="宋体" w:eastAsia="仿宋_GB2312" w:cs="宋体"/>
                <w:kern w:val="0"/>
                <w:sz w:val="20"/>
                <w:szCs w:val="20"/>
              </w:rPr>
              <w:t>2</w:t>
            </w:r>
          </w:p>
        </w:tc>
        <w:tc>
          <w:tcPr>
            <w:tcW w:w="2573"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单位生产总值二氧化碳排放降低</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w:t>
            </w:r>
            <w:r>
              <w:rPr>
                <w:rFonts w:hint="eastAsia" w:ascii="仿宋_GB2312" w:hAnsi="宋体" w:eastAsia="仿宋_GB2312" w:cs="宋体"/>
                <w:kern w:val="0"/>
                <w:sz w:val="20"/>
                <w:szCs w:val="20"/>
              </w:rPr>
              <w:t>16</w:t>
            </w:r>
            <w:r>
              <w:rPr>
                <w:rFonts w:hint="eastAsia" w:ascii="仿宋_GB2312" w:hAnsi="仿宋_GB2312" w:eastAsia="仿宋_GB2312" w:cs="宋体"/>
                <w:kern w:val="0"/>
                <w:sz w:val="20"/>
                <w:szCs w:val="20"/>
              </w:rPr>
              <w:t>]</w:t>
            </w:r>
          </w:p>
        </w:tc>
        <w:tc>
          <w:tcPr>
            <w:tcW w:w="94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w:t>
            </w:r>
            <w:r>
              <w:rPr>
                <w:rFonts w:hint="eastAsia" w:ascii="仿宋_GB2312" w:hAnsi="宋体" w:eastAsia="仿宋_GB2312" w:cs="宋体"/>
                <w:kern w:val="0"/>
                <w:sz w:val="20"/>
                <w:szCs w:val="20"/>
              </w:rPr>
              <w:t>17</w:t>
            </w:r>
            <w:r>
              <w:rPr>
                <w:rFonts w:hint="eastAsia" w:ascii="仿宋_GB2312" w:hAnsi="仿宋_GB2312" w:eastAsia="仿宋_GB2312" w:cs="宋体"/>
                <w:kern w:val="0"/>
                <w:sz w:val="20"/>
                <w:szCs w:val="20"/>
              </w:rPr>
              <w:t>]</w:t>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2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约束性</w:t>
            </w:r>
          </w:p>
        </w:tc>
      </w:tr>
      <w:tr>
        <w:tblPrEx>
          <w:tblCellMar>
            <w:top w:w="0" w:type="dxa"/>
            <w:left w:w="108" w:type="dxa"/>
            <w:bottom w:w="0" w:type="dxa"/>
            <w:right w:w="108" w:type="dxa"/>
          </w:tblCellMar>
        </w:tblPrEx>
        <w:trPr>
          <w:trHeight w:val="384" w:hRule="atLeast"/>
        </w:trPr>
        <w:tc>
          <w:tcPr>
            <w:tcW w:w="417" w:type="dxa"/>
            <w:vMerge w:val="restart"/>
            <w:tcBorders>
              <w:top w:val="nil"/>
              <w:left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w:t>
            </w:r>
            <w:r>
              <w:rPr>
                <w:rFonts w:ascii="仿宋_GB2312" w:hAnsi="宋体" w:eastAsia="仿宋_GB2312" w:cs="宋体"/>
                <w:kern w:val="0"/>
                <w:sz w:val="20"/>
                <w:szCs w:val="20"/>
              </w:rPr>
              <w:t>3</w:t>
            </w:r>
          </w:p>
        </w:tc>
        <w:tc>
          <w:tcPr>
            <w:tcW w:w="793" w:type="dxa"/>
            <w:vMerge w:val="restart"/>
            <w:tcBorders>
              <w:top w:val="single" w:color="auto" w:sz="4" w:space="0"/>
              <w:left w:val="nil"/>
              <w:right w:val="single" w:color="auto" w:sz="4" w:space="0"/>
            </w:tcBorders>
            <w:shd w:val="clear" w:color="auto" w:fill="auto"/>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森林</w:t>
            </w:r>
          </w:p>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增长</w:t>
            </w:r>
          </w:p>
        </w:tc>
        <w:tc>
          <w:tcPr>
            <w:tcW w:w="1780" w:type="dxa"/>
            <w:tcBorders>
              <w:top w:val="single" w:color="auto" w:sz="4" w:space="0"/>
              <w:left w:val="nil"/>
              <w:bottom w:val="single" w:color="auto" w:sz="4" w:space="0"/>
              <w:right w:val="single" w:color="auto" w:sz="4" w:space="0"/>
            </w:tcBorders>
            <w:shd w:val="clear" w:color="auto" w:fill="auto"/>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森林覆盖率</w:t>
            </w:r>
          </w:p>
        </w:tc>
        <w:tc>
          <w:tcPr>
            <w:tcW w:w="82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38.7</w:t>
            </w:r>
          </w:p>
        </w:tc>
        <w:tc>
          <w:tcPr>
            <w:tcW w:w="946"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40.5</w:t>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28" w:type="dxa"/>
            <w:vMerge w:val="restart"/>
            <w:tcBorders>
              <w:top w:val="nil"/>
              <w:left w:val="nil"/>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17" w:type="dxa"/>
            <w:vMerge w:val="continue"/>
            <w:tcBorders>
              <w:left w:val="single" w:color="auto" w:sz="4" w:space="0"/>
              <w:right w:val="single" w:color="auto" w:sz="4" w:space="0"/>
            </w:tcBorders>
          </w:tcPr>
          <w:p>
            <w:pPr>
              <w:widowControl/>
              <w:rPr>
                <w:rFonts w:ascii="仿宋_GB2312" w:hAnsi="宋体" w:eastAsia="仿宋_GB2312" w:cs="宋体"/>
                <w:kern w:val="0"/>
                <w:sz w:val="20"/>
                <w:szCs w:val="20"/>
              </w:rPr>
            </w:pPr>
          </w:p>
        </w:tc>
        <w:tc>
          <w:tcPr>
            <w:tcW w:w="793" w:type="dxa"/>
            <w:vMerge w:val="continue"/>
            <w:tcBorders>
              <w:left w:val="single" w:color="auto" w:sz="4" w:space="0"/>
              <w:right w:val="single" w:color="auto" w:sz="4" w:space="0"/>
            </w:tcBorders>
          </w:tcPr>
          <w:p>
            <w:pPr>
              <w:widowControl/>
              <w:rPr>
                <w:rFonts w:ascii="仿宋_GB2312" w:hAnsi="宋体" w:eastAsia="仿宋_GB2312" w:cs="宋体"/>
                <w:kern w:val="0"/>
                <w:sz w:val="20"/>
                <w:szCs w:val="20"/>
              </w:rPr>
            </w:pPr>
          </w:p>
        </w:tc>
        <w:tc>
          <w:tcPr>
            <w:tcW w:w="1780" w:type="dxa"/>
            <w:tcBorders>
              <w:left w:val="single" w:color="auto" w:sz="4" w:space="0"/>
            </w:tcBorders>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森林蓄积量</w:t>
            </w:r>
          </w:p>
        </w:tc>
        <w:tc>
          <w:tcPr>
            <w:tcW w:w="822" w:type="dxa"/>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万立</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方米</w:t>
            </w:r>
          </w:p>
        </w:tc>
        <w:tc>
          <w:tcPr>
            <w:tcW w:w="955"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2933</w:t>
            </w:r>
          </w:p>
        </w:tc>
        <w:tc>
          <w:tcPr>
            <w:tcW w:w="937"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64" w:type="dxa"/>
            <w:gridSpan w:val="2"/>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4083</w:t>
            </w:r>
          </w:p>
        </w:tc>
        <w:tc>
          <w:tcPr>
            <w:tcW w:w="964"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28" w:type="dxa"/>
            <w:vMerge w:val="continue"/>
            <w:tcBorders>
              <w:right w:val="single" w:color="auto" w:sz="4" w:space="0"/>
            </w:tcBorders>
          </w:tcPr>
          <w:p>
            <w:pPr>
              <w:widowControl/>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7" w:type="dxa"/>
            <w:vMerge w:val="restart"/>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w:t>
            </w:r>
            <w:r>
              <w:rPr>
                <w:rFonts w:ascii="仿宋_GB2312" w:hAnsi="宋体" w:eastAsia="仿宋_GB2312" w:cs="宋体"/>
                <w:kern w:val="0"/>
                <w:sz w:val="20"/>
                <w:szCs w:val="20"/>
              </w:rPr>
              <w:t>4</w:t>
            </w:r>
          </w:p>
        </w:tc>
        <w:tc>
          <w:tcPr>
            <w:tcW w:w="793" w:type="dxa"/>
            <w:vMerge w:val="restart"/>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空气质量</w:t>
            </w:r>
          </w:p>
        </w:tc>
        <w:tc>
          <w:tcPr>
            <w:tcW w:w="1780" w:type="dxa"/>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细颗粒物（</w:t>
            </w:r>
            <w:r>
              <w:rPr>
                <w:rFonts w:hint="eastAsia" w:ascii="仿宋_GB2312" w:hAnsi="仿宋_GB2312" w:eastAsia="仿宋_GB2312" w:cs="仿宋_GB2312"/>
                <w:sz w:val="20"/>
                <w:szCs w:val="20"/>
              </w:rPr>
              <w:t>PM</w:t>
            </w:r>
            <w:r>
              <w:rPr>
                <w:rFonts w:hint="eastAsia" w:ascii="仿宋_GB2312" w:hAnsi="仿宋_GB2312" w:eastAsia="仿宋_GB2312" w:cs="仿宋_GB2312"/>
                <w:sz w:val="20"/>
                <w:szCs w:val="20"/>
                <w:vertAlign w:val="subscript"/>
              </w:rPr>
              <w:t>2.5</w:t>
            </w:r>
            <w:r>
              <w:rPr>
                <w:rFonts w:hint="eastAsia" w:ascii="仿宋_GB2312" w:hAnsi="宋体" w:eastAsia="仿宋_GB2312" w:cs="宋体"/>
                <w:kern w:val="0"/>
                <w:sz w:val="20"/>
                <w:szCs w:val="20"/>
              </w:rPr>
              <w:t>）浓度下降</w:t>
            </w:r>
          </w:p>
        </w:tc>
        <w:tc>
          <w:tcPr>
            <w:tcW w:w="822"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w:t>
            </w:r>
            <w:r>
              <w:rPr>
                <w:rFonts w:hint="eastAsia" w:ascii="仿宋_GB2312" w:hAnsi="宋体" w:eastAsia="仿宋_GB2312" w:cs="宋体"/>
                <w:kern w:val="0"/>
                <w:sz w:val="20"/>
                <w:szCs w:val="20"/>
              </w:rPr>
              <w:t>7.5</w:t>
            </w:r>
            <w:r>
              <w:rPr>
                <w:rFonts w:hint="eastAsia" w:ascii="仿宋_GB2312" w:hAnsi="仿宋_GB2312" w:eastAsia="仿宋_GB2312" w:cs="宋体"/>
                <w:kern w:val="0"/>
                <w:sz w:val="20"/>
                <w:szCs w:val="20"/>
              </w:rPr>
              <w:t>]</w:t>
            </w:r>
          </w:p>
        </w:tc>
        <w:tc>
          <w:tcPr>
            <w:tcW w:w="937"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64" w:type="dxa"/>
            <w:gridSpan w:val="2"/>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w:t>
            </w:r>
            <w:r>
              <w:rPr>
                <w:rFonts w:hint="eastAsia" w:ascii="仿宋_GB2312" w:hAnsi="宋体" w:eastAsia="仿宋_GB2312" w:cs="宋体"/>
                <w:kern w:val="0"/>
                <w:sz w:val="20"/>
                <w:szCs w:val="20"/>
              </w:rPr>
              <w:t>15</w:t>
            </w:r>
            <w:r>
              <w:rPr>
                <w:rFonts w:hint="eastAsia" w:ascii="仿宋_GB2312" w:hAnsi="仿宋_GB2312" w:eastAsia="仿宋_GB2312" w:cs="宋体"/>
                <w:kern w:val="0"/>
                <w:sz w:val="20"/>
                <w:szCs w:val="20"/>
              </w:rPr>
              <w:t>]</w:t>
            </w:r>
          </w:p>
        </w:tc>
        <w:tc>
          <w:tcPr>
            <w:tcW w:w="964"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28" w:type="dxa"/>
            <w:vMerge w:val="restart"/>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417" w:type="dxa"/>
            <w:vMerge w:val="continue"/>
          </w:tcPr>
          <w:p>
            <w:pPr>
              <w:widowControl/>
              <w:rPr>
                <w:rFonts w:ascii="仿宋_GB2312" w:hAnsi="宋体" w:eastAsia="仿宋_GB2312" w:cs="宋体"/>
                <w:kern w:val="0"/>
                <w:sz w:val="20"/>
                <w:szCs w:val="20"/>
              </w:rPr>
            </w:pPr>
          </w:p>
        </w:tc>
        <w:tc>
          <w:tcPr>
            <w:tcW w:w="793" w:type="dxa"/>
            <w:vMerge w:val="continue"/>
          </w:tcPr>
          <w:p>
            <w:pPr>
              <w:widowControl/>
              <w:rPr>
                <w:rFonts w:ascii="仿宋_GB2312" w:hAnsi="宋体" w:eastAsia="仿宋_GB2312" w:cs="宋体"/>
                <w:kern w:val="0"/>
                <w:sz w:val="20"/>
                <w:szCs w:val="20"/>
              </w:rPr>
            </w:pPr>
          </w:p>
        </w:tc>
        <w:tc>
          <w:tcPr>
            <w:tcW w:w="1780" w:type="dxa"/>
          </w:tcPr>
          <w:p>
            <w:pPr>
              <w:widowControl/>
              <w:rPr>
                <w:rFonts w:ascii="仿宋_GB2312" w:hAnsi="宋体" w:eastAsia="仿宋_GB2312" w:cs="宋体"/>
                <w:w w:val="90"/>
                <w:kern w:val="0"/>
                <w:sz w:val="20"/>
                <w:szCs w:val="20"/>
              </w:rPr>
            </w:pPr>
            <w:r>
              <w:rPr>
                <w:rFonts w:hint="eastAsia" w:ascii="仿宋_GB2312" w:hAnsi="宋体" w:eastAsia="仿宋_GB2312" w:cs="宋体"/>
                <w:w w:val="90"/>
                <w:kern w:val="0"/>
                <w:sz w:val="20"/>
                <w:szCs w:val="20"/>
              </w:rPr>
              <w:t>空气质量优良天数比率</w:t>
            </w:r>
          </w:p>
        </w:tc>
        <w:tc>
          <w:tcPr>
            <w:tcW w:w="822"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68.5</w:t>
            </w:r>
          </w:p>
        </w:tc>
        <w:tc>
          <w:tcPr>
            <w:tcW w:w="937"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64" w:type="dxa"/>
            <w:gridSpan w:val="2"/>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70.5</w:t>
            </w:r>
          </w:p>
        </w:tc>
        <w:tc>
          <w:tcPr>
            <w:tcW w:w="964"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28" w:type="dxa"/>
            <w:vMerge w:val="continue"/>
          </w:tcPr>
          <w:p>
            <w:pPr>
              <w:widowControl/>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17" w:type="dxa"/>
            <w:vMerge w:val="restart"/>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w:t>
            </w:r>
            <w:r>
              <w:rPr>
                <w:rFonts w:ascii="仿宋_GB2312" w:hAnsi="宋体" w:eastAsia="仿宋_GB2312" w:cs="宋体"/>
                <w:kern w:val="0"/>
                <w:sz w:val="20"/>
                <w:szCs w:val="20"/>
              </w:rPr>
              <w:t>5</w:t>
            </w:r>
          </w:p>
        </w:tc>
        <w:tc>
          <w:tcPr>
            <w:tcW w:w="793" w:type="dxa"/>
            <w:vMerge w:val="restart"/>
            <w:vAlign w:val="center"/>
          </w:tcPr>
          <w:p>
            <w:pPr>
              <w:widowControl/>
              <w:jc w:val="center"/>
              <w:rPr>
                <w:rFonts w:ascii="仿宋_GB2312" w:hAnsi="宋体" w:eastAsia="仿宋_GB2312" w:cs="宋体"/>
                <w:w w:val="80"/>
                <w:kern w:val="0"/>
                <w:sz w:val="20"/>
                <w:szCs w:val="20"/>
              </w:rPr>
            </w:pPr>
            <w:r>
              <w:rPr>
                <w:rFonts w:hint="eastAsia" w:ascii="仿宋_GB2312" w:hAnsi="宋体" w:eastAsia="仿宋_GB2312" w:cs="宋体"/>
                <w:w w:val="80"/>
                <w:kern w:val="0"/>
                <w:sz w:val="20"/>
                <w:szCs w:val="20"/>
              </w:rPr>
              <w:t>地表水质量</w:t>
            </w:r>
          </w:p>
        </w:tc>
        <w:tc>
          <w:tcPr>
            <w:tcW w:w="1780" w:type="dxa"/>
          </w:tcPr>
          <w:p>
            <w:pPr>
              <w:widowControl/>
              <w:rPr>
                <w:rFonts w:ascii="仿宋_GB2312" w:hAnsi="宋体" w:eastAsia="仿宋_GB2312" w:cs="宋体"/>
                <w:w w:val="90"/>
                <w:kern w:val="0"/>
                <w:sz w:val="20"/>
                <w:szCs w:val="20"/>
              </w:rPr>
            </w:pPr>
            <w:r>
              <w:rPr>
                <w:rFonts w:hint="eastAsia" w:ascii="仿宋_GB2312" w:hAnsi="宋体" w:eastAsia="仿宋_GB2312" w:cs="宋体"/>
                <w:w w:val="90"/>
                <w:kern w:val="0"/>
                <w:sz w:val="20"/>
                <w:szCs w:val="20"/>
              </w:rPr>
              <w:t>好于Ⅲ类水体比例</w:t>
            </w:r>
          </w:p>
        </w:tc>
        <w:tc>
          <w:tcPr>
            <w:tcW w:w="822"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7</w:t>
            </w:r>
            <w:r>
              <w:rPr>
                <w:rFonts w:ascii="仿宋_GB2312" w:hAnsi="宋体" w:eastAsia="仿宋_GB2312" w:cs="宋体"/>
                <w:kern w:val="0"/>
                <w:sz w:val="20"/>
                <w:szCs w:val="20"/>
              </w:rPr>
              <w:t>5</w:t>
            </w:r>
          </w:p>
        </w:tc>
        <w:tc>
          <w:tcPr>
            <w:tcW w:w="937"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64" w:type="dxa"/>
            <w:gridSpan w:val="2"/>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7</w:t>
            </w:r>
            <w:r>
              <w:rPr>
                <w:rFonts w:ascii="仿宋_GB2312" w:hAnsi="宋体" w:eastAsia="仿宋_GB2312" w:cs="宋体"/>
                <w:kern w:val="0"/>
                <w:sz w:val="20"/>
                <w:szCs w:val="20"/>
              </w:rPr>
              <w:t>9.8</w:t>
            </w:r>
          </w:p>
        </w:tc>
        <w:tc>
          <w:tcPr>
            <w:tcW w:w="964"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28" w:type="dxa"/>
            <w:vMerge w:val="restart"/>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417" w:type="dxa"/>
            <w:vMerge w:val="continue"/>
          </w:tcPr>
          <w:p>
            <w:pPr>
              <w:widowControl/>
              <w:rPr>
                <w:rFonts w:ascii="仿宋_GB2312" w:hAnsi="宋体" w:eastAsia="仿宋_GB2312" w:cs="宋体"/>
                <w:kern w:val="0"/>
                <w:sz w:val="20"/>
                <w:szCs w:val="20"/>
              </w:rPr>
            </w:pPr>
          </w:p>
        </w:tc>
        <w:tc>
          <w:tcPr>
            <w:tcW w:w="793" w:type="dxa"/>
            <w:vMerge w:val="continue"/>
          </w:tcPr>
          <w:p>
            <w:pPr>
              <w:widowControl/>
              <w:rPr>
                <w:rFonts w:ascii="仿宋_GB2312" w:hAnsi="宋体" w:eastAsia="仿宋_GB2312" w:cs="宋体"/>
                <w:kern w:val="0"/>
                <w:sz w:val="20"/>
                <w:szCs w:val="20"/>
              </w:rPr>
            </w:pPr>
          </w:p>
        </w:tc>
        <w:tc>
          <w:tcPr>
            <w:tcW w:w="1780" w:type="dxa"/>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劣Ⅴ类水体比例</w:t>
            </w:r>
          </w:p>
        </w:tc>
        <w:tc>
          <w:tcPr>
            <w:tcW w:w="822"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&lt;</w:t>
            </w:r>
            <w:r>
              <w:rPr>
                <w:rFonts w:ascii="仿宋_GB2312" w:hAnsi="宋体" w:eastAsia="仿宋_GB2312" w:cs="宋体"/>
                <w:kern w:val="0"/>
                <w:sz w:val="20"/>
                <w:szCs w:val="20"/>
              </w:rPr>
              <w:t>5</w:t>
            </w:r>
          </w:p>
        </w:tc>
        <w:tc>
          <w:tcPr>
            <w:tcW w:w="937"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64" w:type="dxa"/>
            <w:gridSpan w:val="2"/>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0</w:t>
            </w:r>
          </w:p>
        </w:tc>
        <w:tc>
          <w:tcPr>
            <w:tcW w:w="964"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28" w:type="dxa"/>
            <w:vMerge w:val="continue"/>
          </w:tcPr>
          <w:p>
            <w:pPr>
              <w:widowControl/>
              <w:rPr>
                <w:rFonts w:ascii="仿宋_GB2312" w:hAnsi="宋体" w:eastAsia="仿宋_GB2312"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417" w:type="dxa"/>
            <w:vMerge w:val="restart"/>
            <w:vAlign w:val="center"/>
          </w:tcPr>
          <w:p>
            <w:pPr>
              <w:widowControl/>
              <w:jc w:val="center"/>
              <w:rPr>
                <w:rFonts w:ascii="仿宋_GB2312" w:eastAsia="仿宋_GB2312"/>
                <w:b/>
                <w:sz w:val="32"/>
                <w:szCs w:val="32"/>
              </w:rPr>
            </w:pPr>
            <w:r>
              <w:rPr>
                <w:rFonts w:hint="eastAsia" w:ascii="仿宋_GB2312" w:hAnsi="宋体" w:eastAsia="仿宋_GB2312" w:cs="宋体"/>
                <w:kern w:val="0"/>
                <w:sz w:val="20"/>
                <w:szCs w:val="20"/>
              </w:rPr>
              <w:t>2</w:t>
            </w:r>
            <w:r>
              <w:rPr>
                <w:rFonts w:ascii="仿宋_GB2312" w:hAnsi="宋体" w:eastAsia="仿宋_GB2312" w:cs="宋体"/>
                <w:kern w:val="0"/>
                <w:sz w:val="20"/>
                <w:szCs w:val="20"/>
              </w:rPr>
              <w:t>6</w:t>
            </w:r>
          </w:p>
        </w:tc>
        <w:tc>
          <w:tcPr>
            <w:tcW w:w="793" w:type="dxa"/>
            <w:vMerge w:val="restart"/>
            <w:vAlign w:val="center"/>
          </w:tcPr>
          <w:p>
            <w:pPr>
              <w:widowControl/>
              <w:jc w:val="center"/>
              <w:rPr>
                <w:rFonts w:ascii="仿宋_GB2312" w:hAnsi="宋体" w:eastAsia="仿宋_GB2312" w:cs="宋体"/>
                <w:w w:val="80"/>
                <w:kern w:val="0"/>
                <w:sz w:val="20"/>
                <w:szCs w:val="20"/>
              </w:rPr>
            </w:pPr>
            <w:r>
              <w:rPr>
                <w:rFonts w:hint="eastAsia" w:ascii="仿宋_GB2312" w:hAnsi="宋体" w:eastAsia="仿宋_GB2312" w:cs="宋体"/>
                <w:w w:val="80"/>
                <w:kern w:val="0"/>
                <w:sz w:val="20"/>
                <w:szCs w:val="20"/>
              </w:rPr>
              <w:t>主要污染物排放减少</w:t>
            </w:r>
          </w:p>
        </w:tc>
        <w:tc>
          <w:tcPr>
            <w:tcW w:w="1780"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化学需氧量</w:t>
            </w:r>
          </w:p>
        </w:tc>
        <w:tc>
          <w:tcPr>
            <w:tcW w:w="822"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w:t>
            </w:r>
            <w:r>
              <w:rPr>
                <w:rFonts w:ascii="仿宋_GB2312" w:hAnsi="宋体" w:eastAsia="仿宋_GB2312" w:cs="宋体"/>
                <w:kern w:val="0"/>
                <w:sz w:val="20"/>
                <w:szCs w:val="20"/>
              </w:rPr>
              <w:t>18.08</w:t>
            </w:r>
            <w:r>
              <w:rPr>
                <w:rFonts w:hint="eastAsia" w:ascii="仿宋_GB2312" w:hAnsi="仿宋_GB2312" w:eastAsia="仿宋_GB2312" w:cs="宋体"/>
                <w:kern w:val="0"/>
                <w:sz w:val="20"/>
                <w:szCs w:val="20"/>
              </w:rPr>
              <w:t xml:space="preserve">] </w:t>
            </w:r>
          </w:p>
        </w:tc>
        <w:tc>
          <w:tcPr>
            <w:tcW w:w="937"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64" w:type="dxa"/>
            <w:gridSpan w:val="2"/>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64" w:type="dxa"/>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w:t>
            </w:r>
            <w:r>
              <w:rPr>
                <w:rFonts w:hint="eastAsia" w:ascii="仿宋_GB2312" w:hAnsi="宋体" w:eastAsia="仿宋_GB2312" w:cs="宋体"/>
                <w:kern w:val="0"/>
                <w:sz w:val="20"/>
                <w:szCs w:val="20"/>
              </w:rPr>
              <w:t>1</w:t>
            </w:r>
            <w:r>
              <w:rPr>
                <w:rFonts w:ascii="仿宋_GB2312" w:hAnsi="宋体" w:eastAsia="仿宋_GB2312" w:cs="宋体"/>
                <w:kern w:val="0"/>
                <w:sz w:val="20"/>
                <w:szCs w:val="20"/>
              </w:rPr>
              <w:t>9.4</w:t>
            </w:r>
            <w:r>
              <w:rPr>
                <w:rFonts w:hint="eastAsia" w:ascii="仿宋_GB2312" w:hAnsi="仿宋_GB2312" w:eastAsia="仿宋_GB2312" w:cs="宋体"/>
                <w:kern w:val="0"/>
                <w:sz w:val="20"/>
                <w:szCs w:val="20"/>
              </w:rPr>
              <w:t>]</w:t>
            </w:r>
          </w:p>
        </w:tc>
        <w:tc>
          <w:tcPr>
            <w:tcW w:w="828" w:type="dxa"/>
            <w:vMerge w:val="restart"/>
            <w:vAlign w:val="center"/>
          </w:tcPr>
          <w:p>
            <w:pPr>
              <w:spacing w:after="312" w:afterLines="100" w:line="400" w:lineRule="exact"/>
              <w:jc w:val="center"/>
              <w:rPr>
                <w:rFonts w:ascii="仿宋_GB2312" w:eastAsia="仿宋_GB2312"/>
                <w:b/>
                <w:sz w:val="32"/>
                <w:szCs w:val="32"/>
              </w:rPr>
            </w:pPr>
            <w:r>
              <w:rPr>
                <w:rFonts w:hint="eastAsia" w:ascii="仿宋_GB2312" w:hAnsi="宋体" w:eastAsia="仿宋_GB2312" w:cs="宋体"/>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17" w:type="dxa"/>
            <w:vMerge w:val="continue"/>
          </w:tcPr>
          <w:p>
            <w:pPr>
              <w:spacing w:after="312" w:afterLines="100" w:line="400" w:lineRule="exact"/>
              <w:jc w:val="center"/>
              <w:rPr>
                <w:rFonts w:ascii="仿宋_GB2312" w:eastAsia="仿宋_GB2312"/>
                <w:b/>
                <w:sz w:val="32"/>
                <w:szCs w:val="32"/>
              </w:rPr>
            </w:pPr>
          </w:p>
        </w:tc>
        <w:tc>
          <w:tcPr>
            <w:tcW w:w="793" w:type="dxa"/>
            <w:vMerge w:val="continue"/>
          </w:tcPr>
          <w:p>
            <w:pPr>
              <w:spacing w:after="312" w:afterLines="100" w:line="400" w:lineRule="exact"/>
              <w:jc w:val="center"/>
              <w:rPr>
                <w:rFonts w:ascii="仿宋_GB2312" w:eastAsia="仿宋_GB2312"/>
                <w:b/>
                <w:sz w:val="32"/>
                <w:szCs w:val="32"/>
              </w:rPr>
            </w:pPr>
          </w:p>
        </w:tc>
        <w:tc>
          <w:tcPr>
            <w:tcW w:w="1780"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二氧化硫</w:t>
            </w:r>
          </w:p>
        </w:tc>
        <w:tc>
          <w:tcPr>
            <w:tcW w:w="822"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w:t>
            </w:r>
            <w:r>
              <w:rPr>
                <w:rFonts w:ascii="仿宋_GB2312" w:hAnsi="宋体" w:eastAsia="仿宋_GB2312" w:cs="宋体"/>
                <w:kern w:val="0"/>
                <w:sz w:val="20"/>
                <w:szCs w:val="20"/>
              </w:rPr>
              <w:t>18.94</w:t>
            </w:r>
            <w:r>
              <w:rPr>
                <w:rFonts w:hint="eastAsia" w:ascii="仿宋_GB2312" w:hAnsi="仿宋_GB2312" w:eastAsia="仿宋_GB2312" w:cs="宋体"/>
                <w:kern w:val="0"/>
                <w:sz w:val="20"/>
                <w:szCs w:val="20"/>
              </w:rPr>
              <w:t>]</w:t>
            </w:r>
          </w:p>
        </w:tc>
        <w:tc>
          <w:tcPr>
            <w:tcW w:w="937"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64" w:type="dxa"/>
            <w:gridSpan w:val="2"/>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64" w:type="dxa"/>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w:t>
            </w:r>
            <w:r>
              <w:rPr>
                <w:rFonts w:hint="eastAsia" w:ascii="仿宋_GB2312" w:hAnsi="宋体" w:eastAsia="仿宋_GB2312" w:cs="宋体"/>
                <w:kern w:val="0"/>
                <w:sz w:val="20"/>
                <w:szCs w:val="20"/>
              </w:rPr>
              <w:t>2</w:t>
            </w:r>
            <w:r>
              <w:rPr>
                <w:rFonts w:ascii="仿宋_GB2312" w:hAnsi="宋体" w:eastAsia="仿宋_GB2312" w:cs="宋体"/>
                <w:kern w:val="0"/>
                <w:sz w:val="20"/>
                <w:szCs w:val="20"/>
              </w:rPr>
              <w:t>3.61</w:t>
            </w:r>
            <w:r>
              <w:rPr>
                <w:rFonts w:hint="eastAsia" w:ascii="仿宋_GB2312" w:hAnsi="仿宋_GB2312" w:eastAsia="仿宋_GB2312" w:cs="宋体"/>
                <w:kern w:val="0"/>
                <w:sz w:val="20"/>
                <w:szCs w:val="20"/>
              </w:rPr>
              <w:t>]</w:t>
            </w:r>
          </w:p>
        </w:tc>
        <w:tc>
          <w:tcPr>
            <w:tcW w:w="828" w:type="dxa"/>
            <w:vMerge w:val="continue"/>
          </w:tcPr>
          <w:p>
            <w:pPr>
              <w:spacing w:after="312" w:afterLines="100" w:line="400" w:lineRule="exact"/>
              <w:jc w:val="center"/>
              <w:rPr>
                <w:rFonts w:ascii="仿宋_GB2312" w:eastAsia="仿宋_GB2312"/>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17" w:type="dxa"/>
            <w:vMerge w:val="continue"/>
          </w:tcPr>
          <w:p>
            <w:pPr>
              <w:spacing w:after="312" w:afterLines="100" w:line="400" w:lineRule="exact"/>
              <w:jc w:val="center"/>
              <w:rPr>
                <w:rFonts w:ascii="仿宋_GB2312" w:eastAsia="仿宋_GB2312"/>
                <w:b/>
                <w:sz w:val="32"/>
                <w:szCs w:val="32"/>
              </w:rPr>
            </w:pPr>
          </w:p>
        </w:tc>
        <w:tc>
          <w:tcPr>
            <w:tcW w:w="793" w:type="dxa"/>
            <w:vMerge w:val="continue"/>
          </w:tcPr>
          <w:p>
            <w:pPr>
              <w:spacing w:after="312" w:afterLines="100" w:line="400" w:lineRule="exact"/>
              <w:jc w:val="center"/>
              <w:rPr>
                <w:rFonts w:ascii="仿宋_GB2312" w:eastAsia="仿宋_GB2312"/>
                <w:b/>
                <w:sz w:val="32"/>
                <w:szCs w:val="32"/>
              </w:rPr>
            </w:pPr>
          </w:p>
        </w:tc>
        <w:tc>
          <w:tcPr>
            <w:tcW w:w="1780"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氨氮</w:t>
            </w:r>
          </w:p>
        </w:tc>
        <w:tc>
          <w:tcPr>
            <w:tcW w:w="822"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w:t>
            </w:r>
            <w:r>
              <w:rPr>
                <w:rFonts w:hint="eastAsia" w:ascii="仿宋_GB2312" w:hAnsi="宋体" w:eastAsia="仿宋_GB2312" w:cs="宋体"/>
                <w:kern w:val="0"/>
                <w:sz w:val="20"/>
                <w:szCs w:val="20"/>
              </w:rPr>
              <w:t>15</w:t>
            </w:r>
            <w:r>
              <w:rPr>
                <w:rFonts w:ascii="仿宋_GB2312" w:hAnsi="宋体" w:eastAsia="仿宋_GB2312" w:cs="宋体"/>
                <w:kern w:val="0"/>
                <w:sz w:val="20"/>
                <w:szCs w:val="20"/>
              </w:rPr>
              <w:t>.13</w:t>
            </w:r>
            <w:r>
              <w:rPr>
                <w:rFonts w:hint="eastAsia" w:ascii="仿宋_GB2312" w:hAnsi="仿宋_GB2312" w:eastAsia="仿宋_GB2312" w:cs="宋体"/>
                <w:kern w:val="0"/>
                <w:sz w:val="20"/>
                <w:szCs w:val="20"/>
              </w:rPr>
              <w:t>]</w:t>
            </w:r>
          </w:p>
        </w:tc>
        <w:tc>
          <w:tcPr>
            <w:tcW w:w="937"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64" w:type="dxa"/>
            <w:gridSpan w:val="2"/>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64" w:type="dxa"/>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w:t>
            </w:r>
            <w:r>
              <w:rPr>
                <w:rFonts w:hint="eastAsia" w:ascii="仿宋_GB2312" w:hAnsi="宋体" w:eastAsia="仿宋_GB2312" w:cs="宋体"/>
                <w:kern w:val="0"/>
                <w:sz w:val="20"/>
                <w:szCs w:val="20"/>
              </w:rPr>
              <w:t>1</w:t>
            </w:r>
            <w:r>
              <w:rPr>
                <w:rFonts w:ascii="仿宋_GB2312" w:hAnsi="宋体" w:eastAsia="仿宋_GB2312" w:cs="宋体"/>
                <w:kern w:val="0"/>
                <w:sz w:val="20"/>
                <w:szCs w:val="20"/>
              </w:rPr>
              <w:t>6.7</w:t>
            </w:r>
            <w:r>
              <w:rPr>
                <w:rFonts w:hint="eastAsia" w:ascii="仿宋_GB2312" w:hAnsi="仿宋_GB2312" w:eastAsia="仿宋_GB2312" w:cs="宋体"/>
                <w:kern w:val="0"/>
                <w:sz w:val="20"/>
                <w:szCs w:val="20"/>
              </w:rPr>
              <w:t>]</w:t>
            </w:r>
          </w:p>
        </w:tc>
        <w:tc>
          <w:tcPr>
            <w:tcW w:w="828" w:type="dxa"/>
            <w:vMerge w:val="continue"/>
          </w:tcPr>
          <w:p>
            <w:pPr>
              <w:spacing w:after="312" w:afterLines="100" w:line="400" w:lineRule="exact"/>
              <w:jc w:val="center"/>
              <w:rPr>
                <w:rFonts w:ascii="仿宋_GB2312" w:eastAsia="仿宋_GB2312"/>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17" w:type="dxa"/>
            <w:vMerge w:val="continue"/>
          </w:tcPr>
          <w:p>
            <w:pPr>
              <w:spacing w:after="312" w:afterLines="100" w:line="400" w:lineRule="exact"/>
              <w:jc w:val="center"/>
              <w:rPr>
                <w:rFonts w:ascii="仿宋_GB2312" w:eastAsia="仿宋_GB2312"/>
                <w:b/>
                <w:sz w:val="32"/>
                <w:szCs w:val="32"/>
              </w:rPr>
            </w:pPr>
          </w:p>
        </w:tc>
        <w:tc>
          <w:tcPr>
            <w:tcW w:w="793" w:type="dxa"/>
            <w:vMerge w:val="continue"/>
          </w:tcPr>
          <w:p>
            <w:pPr>
              <w:spacing w:after="312" w:afterLines="100" w:line="400" w:lineRule="exact"/>
              <w:jc w:val="center"/>
              <w:rPr>
                <w:rFonts w:ascii="仿宋_GB2312" w:eastAsia="仿宋_GB2312"/>
                <w:b/>
                <w:sz w:val="32"/>
                <w:szCs w:val="32"/>
              </w:rPr>
            </w:pPr>
          </w:p>
        </w:tc>
        <w:tc>
          <w:tcPr>
            <w:tcW w:w="1780"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氮氧化物</w:t>
            </w:r>
          </w:p>
        </w:tc>
        <w:tc>
          <w:tcPr>
            <w:tcW w:w="822"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55" w:type="dxa"/>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w:t>
            </w:r>
            <w:r>
              <w:rPr>
                <w:rFonts w:hint="eastAsia" w:ascii="仿宋_GB2312" w:hAnsi="宋体" w:eastAsia="仿宋_GB2312" w:cs="宋体"/>
                <w:kern w:val="0"/>
                <w:sz w:val="20"/>
                <w:szCs w:val="20"/>
              </w:rPr>
              <w:t>19.</w:t>
            </w:r>
            <w:r>
              <w:rPr>
                <w:rFonts w:ascii="仿宋_GB2312" w:hAnsi="宋体" w:eastAsia="仿宋_GB2312" w:cs="宋体"/>
                <w:kern w:val="0"/>
                <w:sz w:val="20"/>
                <w:szCs w:val="20"/>
              </w:rPr>
              <w:t>1</w:t>
            </w:r>
            <w:r>
              <w:rPr>
                <w:rFonts w:hint="eastAsia" w:ascii="仿宋_GB2312" w:hAnsi="仿宋_GB2312" w:eastAsia="仿宋_GB2312" w:cs="宋体"/>
                <w:kern w:val="0"/>
                <w:sz w:val="20"/>
                <w:szCs w:val="20"/>
              </w:rPr>
              <w:t>]</w:t>
            </w:r>
          </w:p>
        </w:tc>
        <w:tc>
          <w:tcPr>
            <w:tcW w:w="937" w:type="dxa"/>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64" w:type="dxa"/>
            <w:gridSpan w:val="2"/>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964" w:type="dxa"/>
            <w:vAlign w:val="center"/>
          </w:tcPr>
          <w:p>
            <w:pPr>
              <w:widowControl/>
              <w:jc w:val="center"/>
              <w:rPr>
                <w:rFonts w:ascii="仿宋_GB2312" w:hAnsi="宋体" w:eastAsia="仿宋_GB2312" w:cs="宋体"/>
                <w:kern w:val="0"/>
                <w:sz w:val="20"/>
                <w:szCs w:val="20"/>
              </w:rPr>
            </w:pPr>
            <w:r>
              <w:rPr>
                <w:rFonts w:hint="eastAsia" w:ascii="仿宋_GB2312" w:hAnsi="仿宋_GB2312" w:eastAsia="仿宋_GB2312" w:cs="宋体"/>
                <w:kern w:val="0"/>
                <w:sz w:val="20"/>
                <w:szCs w:val="20"/>
              </w:rPr>
              <w:t>[</w:t>
            </w:r>
            <w:r>
              <w:rPr>
                <w:rFonts w:hint="eastAsia" w:ascii="仿宋_GB2312" w:hAnsi="宋体" w:eastAsia="仿宋_GB2312" w:cs="宋体"/>
                <w:kern w:val="0"/>
                <w:sz w:val="20"/>
                <w:szCs w:val="20"/>
              </w:rPr>
              <w:t>2</w:t>
            </w:r>
            <w:r>
              <w:rPr>
                <w:rFonts w:ascii="仿宋_GB2312" w:hAnsi="宋体" w:eastAsia="仿宋_GB2312" w:cs="宋体"/>
                <w:kern w:val="0"/>
                <w:sz w:val="20"/>
                <w:szCs w:val="20"/>
              </w:rPr>
              <w:t>0.06</w:t>
            </w:r>
            <w:r>
              <w:rPr>
                <w:rFonts w:hint="eastAsia" w:ascii="仿宋_GB2312" w:hAnsi="仿宋_GB2312" w:eastAsia="仿宋_GB2312" w:cs="宋体"/>
                <w:kern w:val="0"/>
                <w:sz w:val="20"/>
                <w:szCs w:val="20"/>
              </w:rPr>
              <w:t>]</w:t>
            </w:r>
          </w:p>
        </w:tc>
        <w:tc>
          <w:tcPr>
            <w:tcW w:w="828" w:type="dxa"/>
            <w:vMerge w:val="continue"/>
          </w:tcPr>
          <w:p>
            <w:pPr>
              <w:spacing w:after="312" w:afterLines="100" w:line="400" w:lineRule="exact"/>
              <w:jc w:val="center"/>
              <w:rPr>
                <w:rFonts w:ascii="仿宋_GB2312" w:eastAsia="仿宋_GB2312"/>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460" w:type="dxa"/>
            <w:gridSpan w:val="10"/>
            <w:vAlign w:val="center"/>
          </w:tcPr>
          <w:p>
            <w:pPr>
              <w:widowControl/>
              <w:jc w:val="left"/>
              <w:rPr>
                <w:rFonts w:ascii="仿宋_GB2312" w:eastAsia="仿宋_GB2312"/>
                <w:sz w:val="32"/>
                <w:szCs w:val="32"/>
              </w:rPr>
            </w:pPr>
            <w:r>
              <w:rPr>
                <w:rFonts w:hint="eastAsia" w:ascii="仿宋_GB2312" w:hAnsi="宋体" w:eastAsia="仿宋_GB2312" w:cs="宋体"/>
                <w:kern w:val="0"/>
                <w:sz w:val="20"/>
                <w:szCs w:val="20"/>
              </w:rPr>
              <w:t>注：1.[ ]内数据为五年规划累计；2.少数预期性目标按程序进行了调整。</w:t>
            </w:r>
          </w:p>
        </w:tc>
      </w:tr>
    </w:tbl>
    <w:p>
      <w:pPr>
        <w:spacing w:after="312" w:afterLines="100" w:line="400" w:lineRule="exact"/>
        <w:jc w:val="center"/>
        <w:rPr>
          <w:rFonts w:ascii="楷体_GB2312" w:eastAsia="楷体_GB2312"/>
          <w:b/>
          <w:sz w:val="32"/>
          <w:szCs w:val="32"/>
        </w:rPr>
      </w:pPr>
    </w:p>
    <w:p>
      <w:pPr>
        <w:spacing w:after="312" w:afterLines="100" w:line="400" w:lineRule="exact"/>
        <w:jc w:val="center"/>
        <w:rPr>
          <w:rFonts w:ascii="楷体_GB2312" w:eastAsia="楷体_GB2312"/>
          <w:b/>
          <w:sz w:val="32"/>
          <w:szCs w:val="32"/>
        </w:rPr>
      </w:pPr>
      <w:r>
        <w:rPr>
          <w:rFonts w:hint="eastAsia" w:ascii="楷体_GB2312" w:eastAsia="楷体_GB2312"/>
          <w:b/>
          <w:sz w:val="32"/>
          <w:szCs w:val="32"/>
        </w:rPr>
        <w:t>第二节  新发展阶段面临的新机遇新挑战</w:t>
      </w:r>
    </w:p>
    <w:p>
      <w:pPr>
        <w:spacing w:line="60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当今世界正经历百年未有之大变局，新冠肺炎疫情影响广泛深远，国际环境日趋复杂，不稳定性不确定性明显增加。我国已转向高质量发展阶段，仍然处于重要战略机遇期，继续发展具有多方面优势和条件。我省面临国家构建新发展格局、促进中部地区崛起、黄河流域生态保护和高质量发展三大战略机遇，枢纽通道地位凸显、腹地支撑作用增强，正处于由大到强的重要关口。南阳地处豫鄂陕三省交界，跨长江、淮河、黄河三大流域，既有全省共临共享的重大机遇，又有汉江生态经济带、淮河生态经济带、大别山革命老区振兴发展等国家战略叠加，向北能够通过京宛对口协作积极承接北京产业转移和科技成果转化，向南能够以汉江生态经济带为“桥梁”深度融入长江经济带，向东能够以淮河生态经济带为“纽带”，依托合西高铁通道，积极融入长三角地区产业链供应链，为提升城市能级拓展出更加广阔的战略空间。南阳作为千万人口大市、经济大市、生态大市、农业大市，市场空间广阔、人力资源丰富、产业门类齐全、农产品供给能力突出、城镇化潜力巨大，“两山两源”生态优势不断厚植，全国性综合交通枢纽、商贸服务型国家物流枢纽功能凸显，能够塑造人力资源、内需资本、流通经济、有效供给等新优势。抓住机遇、发挥优势，可以直接融入豫鄂陕省际区域经济循环，进而成为服务国内大循环、国内国际双循环的重要链接，打造新兴区域经济中心，形成引领区域经济高质量发展</w:t>
      </w:r>
      <w:r>
        <w:rPr>
          <w:rFonts w:hint="eastAsia" w:ascii="仿宋_GB2312" w:eastAsia="仿宋_GB2312"/>
          <w:sz w:val="32"/>
          <w:szCs w:val="32"/>
        </w:rPr>
        <w:t>的重要增长极。</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同时，我市正处在转型攻坚、爬坡过坎的紧要时期，发展不平衡不充分的问题仍然突出。经济总量不够大，人均主要经济指标相对落后。科技创新策源、转化能力不足，产业结构升级、新旧动能转换任务艰巨。城镇化水平偏低，中心城市辐射带动能力不强，农业农村发展存在短板。营商环境亟待优化，生态环保、民生保障、社会治理等领域还有不少弱项。</w:t>
      </w:r>
    </w:p>
    <w:p>
      <w:pPr>
        <w:spacing w:after="312" w:afterLines="100" w:line="600" w:lineRule="exact"/>
        <w:ind w:firstLine="640" w:firstLineChars="200"/>
        <w:rPr>
          <w:rFonts w:ascii="仿宋_GB2312" w:eastAsia="仿宋_GB2312"/>
          <w:sz w:val="36"/>
          <w:szCs w:val="36"/>
        </w:rPr>
      </w:pPr>
      <w:r>
        <w:rPr>
          <w:rFonts w:hint="eastAsia" w:ascii="仿宋_GB2312" w:hAnsi="仿宋_GB2312" w:eastAsia="仿宋_GB2312" w:cs="仿宋_GB2312"/>
          <w:sz w:val="32"/>
          <w:szCs w:val="32"/>
        </w:rPr>
        <w:t xml:space="preserve">综合研判，我市仍处于大有可为的重要战略机遇期，全市上下要始终着眼“两个大局”，深刻认识错综复杂的国际环境带来的新矛盾新挑战，深刻认识我国社会主要矛盾变化带来的新特征新要求，深刻认识我市所处的坐标方位和担负的发展重任，增强创新意识、机遇意识和危机意识，主动在国家大格局、大目标、大战略中找准定位、谋划发展，保持战略定力，发扬斗争精神，准确识变、科学应变、主动求变，在危机中育先机、于变局中开新局，在社会主义现代化建设新征程中不断开创发展新局面。                                                            </w:t>
      </w:r>
    </w:p>
    <w:p>
      <w:pPr>
        <w:spacing w:after="312" w:afterLines="100" w:line="600" w:lineRule="exact"/>
        <w:jc w:val="center"/>
        <w:rPr>
          <w:rFonts w:ascii="黑体" w:hAnsi="黑体" w:eastAsia="黑体"/>
          <w:bCs/>
          <w:sz w:val="32"/>
          <w:szCs w:val="32"/>
        </w:rPr>
      </w:pPr>
      <w:r>
        <w:rPr>
          <w:rFonts w:hint="eastAsia" w:ascii="黑体" w:hAnsi="黑体" w:eastAsia="黑体"/>
          <w:bCs/>
          <w:sz w:val="32"/>
          <w:szCs w:val="32"/>
        </w:rPr>
        <w:t>第二章  指导方针</w:t>
      </w:r>
    </w:p>
    <w:p>
      <w:pPr>
        <w:spacing w:after="312" w:afterLines="100"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党的十八大以来，习近平总书记四次亲临河南视察、多次对河南工作作出重要指示批示，特别是亲临南阳视察调研并发表重要讲话，在南水北调后续工程高质量发展、生态环境保护、中医药传承创新发展、特色产业发展、乡村振兴等方面提出的一系列重要指示要求，充分体现了习近平总书记对南阳工作的高度重视，对南阳人民的深情厚爱，对南阳发展的殷切期盼。这是引领新时代南阳发展的总纲领，是推进现代化南阳建设的总遵循。必须坚定沿着习近平总书记指引的方向奋勇前进，推动党中央决策部署在豫宛大地结出更加丰硕的成果。</w:t>
      </w:r>
    </w:p>
    <w:p>
      <w:pPr>
        <w:spacing w:after="312" w:afterLines="100" w:line="600" w:lineRule="exact"/>
        <w:ind w:firstLine="640" w:firstLineChars="200"/>
        <w:rPr>
          <w:rFonts w:ascii="黑体" w:hAnsi="黑体" w:eastAsia="黑体"/>
          <w:sz w:val="32"/>
          <w:szCs w:val="32"/>
        </w:rPr>
      </w:pPr>
      <w:r>
        <w:rPr>
          <w:rFonts w:hint="eastAsia" w:ascii="仿宋_GB2312" w:hAnsi="仿宋" w:eastAsia="仿宋_GB2312"/>
          <w:sz w:val="32"/>
          <w:szCs w:val="32"/>
        </w:rPr>
        <w:t>“十四五”</w:t>
      </w:r>
      <w:r>
        <w:rPr>
          <w:rFonts w:ascii="仿宋_GB2312" w:eastAsia="仿宋_GB2312"/>
          <w:sz w:val="32"/>
          <w:szCs w:val="32"/>
        </w:rPr>
        <w:t>时期，</w:t>
      </w:r>
      <w:r>
        <w:rPr>
          <w:rFonts w:hint="eastAsia" w:ascii="仿宋_GB2312" w:eastAsia="仿宋_GB2312"/>
          <w:sz w:val="32"/>
          <w:szCs w:val="32"/>
        </w:rPr>
        <w:t>我市</w:t>
      </w:r>
      <w:r>
        <w:rPr>
          <w:rFonts w:ascii="仿宋_GB2312" w:eastAsia="仿宋_GB2312"/>
          <w:sz w:val="32"/>
          <w:szCs w:val="32"/>
        </w:rPr>
        <w:t>经济社会发展</w:t>
      </w:r>
      <w:r>
        <w:rPr>
          <w:rFonts w:hint="eastAsia" w:ascii="仿宋_GB2312" w:eastAsia="仿宋_GB2312"/>
          <w:sz w:val="32"/>
          <w:szCs w:val="32"/>
        </w:rPr>
        <w:t>的</w:t>
      </w:r>
      <w:r>
        <w:rPr>
          <w:rFonts w:ascii="仿宋_GB2312" w:eastAsia="仿宋_GB2312"/>
          <w:sz w:val="32"/>
          <w:szCs w:val="32"/>
        </w:rPr>
        <w:t>指导思想</w:t>
      </w:r>
      <w:r>
        <w:rPr>
          <w:rFonts w:hint="eastAsia" w:ascii="仿宋_GB2312" w:eastAsia="仿宋_GB2312"/>
          <w:sz w:val="32"/>
          <w:szCs w:val="32"/>
        </w:rPr>
        <w:t>是：</w:t>
      </w:r>
      <w:r>
        <w:rPr>
          <w:rFonts w:hint="eastAsia" w:ascii="黑体" w:hAnsi="黑体" w:eastAsia="黑体"/>
          <w:sz w:val="32"/>
          <w:szCs w:val="32"/>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深入学习贯彻习近平总书记关于河南工作特别是考察调研南阳时的重要讲话和指示批示精神，统筹推进“五位一体”总体布局，协调推进“四个全面”战略布局，坚定不移贯彻新发展理念，坚持稳中求进工作总基调，深入落实“四个着力”、持续打好“四张牌”，以推动高质量发展为主题，以深化供给侧结构性改革为主线，以改革开放创新为根本动力，以满足人民日益增长的美好生活需要为根本目的，统筹发展和安全，紧紧围绕建设新兴区域经济中心，主动融入新发展格局，强力推进党的建设和经济发展“两个高质量”工作体系，深入实施“两轮两翼”战略，重抓重推“九大专项”，加快建设现代化经济体系，着力推进治理体系和治理能力现代化，高质量建设具有较强吸纳集聚能力和重要影响力的大城市，确保全面建设社会主义现代化南阳开好局、起好步，为谱写新时代中原更加出彩的绚丽篇章作出更大贡献。</w:t>
      </w:r>
    </w:p>
    <w:p>
      <w:pPr>
        <w:pStyle w:val="20"/>
        <w:spacing w:before="0" w:beforeAutospacing="0" w:after="0" w:afterAutospacing="0"/>
        <w:ind w:firstLine="640"/>
        <w:jc w:val="both"/>
        <w:rPr>
          <w:rFonts w:ascii="仿宋_GB2312" w:hAnsi="仿宋_GB2312" w:cs="仿宋_GB2312"/>
          <w:kern w:val="2"/>
          <w:sz w:val="32"/>
          <w:szCs w:val="32"/>
        </w:rPr>
      </w:pPr>
      <w:r>
        <w:rPr>
          <w:rFonts w:hint="eastAsia" w:ascii="仿宋_GB2312" w:hAnsi="仿宋_GB2312" w:cs="仿宋_GB2312"/>
          <w:kern w:val="2"/>
          <w:sz w:val="32"/>
          <w:szCs w:val="32"/>
        </w:rPr>
        <w:t xml:space="preserve"> 实现“十四五”时期经济行稳致远、社会安定和谐，必须遵循以下原则：</w:t>
      </w:r>
    </w:p>
    <w:p>
      <w:pPr>
        <w:pStyle w:val="20"/>
        <w:spacing w:beforeAutospacing="0" w:afterAutospacing="0"/>
        <w:ind w:firstLine="643"/>
        <w:jc w:val="both"/>
        <w:rPr>
          <w:rFonts w:ascii="仿宋_GB2312" w:hAnsi="仿宋_GB2312" w:cs="仿宋_GB2312"/>
          <w:kern w:val="2"/>
          <w:sz w:val="32"/>
          <w:szCs w:val="32"/>
        </w:rPr>
      </w:pPr>
      <w:r>
        <w:rPr>
          <w:rFonts w:hint="eastAsia" w:ascii="仿宋_GB2312" w:hAnsi="仿宋_GB2312" w:cs="仿宋_GB2312"/>
          <w:b/>
          <w:sz w:val="32"/>
          <w:szCs w:val="32"/>
        </w:rPr>
        <w:t>——坚持党的全面领导，把牢政治方向、强化根本保证。</w:t>
      </w:r>
      <w:r>
        <w:rPr>
          <w:rFonts w:hint="eastAsia" w:ascii="仿宋_GB2312" w:hAnsi="仿宋_GB2312" w:cs="仿宋_GB2312"/>
          <w:kern w:val="2"/>
          <w:sz w:val="32"/>
          <w:szCs w:val="32"/>
        </w:rPr>
        <w:t>发挥党总揽全局、协调各方的领导核心作用，坚持和完善党领导经济社会发展的体制机制，坚决执行落实“两个维护”的各项制度，提高贯彻新发展理念、融入新发展格局、推动高质量发展能力和水平，把党的政治优势、制度优势转化为发展优势、治理优势。</w:t>
      </w:r>
    </w:p>
    <w:p>
      <w:pPr>
        <w:spacing w:line="6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kern w:val="0"/>
          <w:sz w:val="32"/>
          <w:szCs w:val="32"/>
        </w:rPr>
        <w:t>——坚持以人民为中心，增进民生福祉、推动共同富裕。</w:t>
      </w:r>
      <w:r>
        <w:rPr>
          <w:rFonts w:hint="eastAsia" w:ascii="仿宋_GB2312" w:hAnsi="仿宋_GB2312" w:eastAsia="仿宋_GB2312" w:cs="仿宋_GB2312"/>
          <w:sz w:val="32"/>
          <w:szCs w:val="32"/>
        </w:rPr>
        <w:t>坚持人民主体地位，坚持共同富裕方向，始终做到依靠人民、造福人民、植根人民，办好民生实事，促进社会公平，让改革创新、治理优化、发展转型成果更多更公平地惠及广大人民群众，不断实现人民对美好生活的向往。</w:t>
      </w:r>
    </w:p>
    <w:p>
      <w:pPr>
        <w:pStyle w:val="20"/>
        <w:spacing w:beforeAutospacing="0" w:afterAutospacing="0"/>
        <w:ind w:firstLine="643"/>
        <w:jc w:val="both"/>
        <w:rPr>
          <w:rFonts w:ascii="仿宋_GB2312" w:hAnsi="仿宋_GB2312" w:cs="仿宋_GB2312"/>
          <w:kern w:val="2"/>
          <w:sz w:val="32"/>
          <w:szCs w:val="32"/>
        </w:rPr>
      </w:pPr>
      <w:r>
        <w:rPr>
          <w:rFonts w:hint="eastAsia" w:ascii="仿宋_GB2312" w:hAnsi="仿宋_GB2312" w:cs="仿宋_GB2312"/>
          <w:b/>
          <w:sz w:val="32"/>
          <w:szCs w:val="32"/>
        </w:rPr>
        <w:t>——坚持新发展理念，加快转型升级、提升质量效益。</w:t>
      </w:r>
      <w:r>
        <w:rPr>
          <w:rFonts w:hint="eastAsia" w:ascii="仿宋_GB2312" w:hAnsi="仿宋_GB2312" w:cs="仿宋_GB2312"/>
          <w:kern w:val="2"/>
          <w:sz w:val="32"/>
          <w:szCs w:val="32"/>
        </w:rPr>
        <w:t>把新发展理念贯穿发展全过程和各领域，扭住供给侧结构性改革，注重需求侧管理，持续推动新旧动能转换，加快融入以国内大循环为主体、国内国际双循环相互促进的新发展格局，实现更高质量、更有效率、更加公平、更可持续、更为安全的发展。</w:t>
      </w:r>
    </w:p>
    <w:p>
      <w:pPr>
        <w:pStyle w:val="20"/>
        <w:spacing w:beforeAutospacing="0" w:afterAutospacing="0"/>
        <w:ind w:firstLine="643"/>
        <w:jc w:val="both"/>
        <w:rPr>
          <w:rFonts w:ascii="仿宋_GB2312" w:hAnsi="仿宋_GB2312" w:cs="仿宋_GB2312"/>
          <w:kern w:val="2"/>
          <w:sz w:val="32"/>
          <w:szCs w:val="32"/>
        </w:rPr>
      </w:pPr>
      <w:r>
        <w:rPr>
          <w:rFonts w:hint="eastAsia" w:ascii="仿宋_GB2312" w:hAnsi="仿宋_GB2312" w:cs="仿宋_GB2312"/>
          <w:b/>
          <w:sz w:val="32"/>
          <w:szCs w:val="32"/>
        </w:rPr>
        <w:t>——坚持改革开放创新，增强根本动力、激发发展活力。</w:t>
      </w:r>
      <w:r>
        <w:rPr>
          <w:rFonts w:hint="eastAsia" w:ascii="仿宋_GB2312" w:hAnsi="仿宋_GB2312" w:cs="仿宋_GB2312"/>
          <w:kern w:val="2"/>
          <w:sz w:val="32"/>
          <w:szCs w:val="32"/>
        </w:rPr>
        <w:t>强化创新在现代化建设中的核心地位，加快推进以市场化改革为核心的全面改革、以制度型开放为引领的全面开放，更大力度解放思想、更新观念，破除制约高质量发展、高品质生活、高效能治理的体制机制障碍，持续增强发展动力和活力。</w:t>
      </w:r>
    </w:p>
    <w:p>
      <w:pPr>
        <w:pStyle w:val="20"/>
        <w:spacing w:beforeAutospacing="0" w:afterAutospacing="0"/>
        <w:ind w:firstLine="643"/>
        <w:rPr>
          <w:rFonts w:ascii="仿宋_GB2312" w:hAnsi="仿宋_GB2312" w:cs="仿宋_GB2312"/>
          <w:kern w:val="2"/>
          <w:sz w:val="32"/>
          <w:szCs w:val="32"/>
        </w:rPr>
      </w:pPr>
      <w:r>
        <w:rPr>
          <w:rFonts w:hint="eastAsia" w:ascii="仿宋_GB2312" w:hAnsi="仿宋_GB2312" w:cs="仿宋_GB2312"/>
          <w:b/>
          <w:sz w:val="32"/>
          <w:szCs w:val="32"/>
        </w:rPr>
        <w:t>——坚持系统观念，着眼全局谋划、点面结合推进。</w:t>
      </w:r>
      <w:r>
        <w:rPr>
          <w:rFonts w:hint="eastAsia" w:ascii="仿宋_GB2312" w:hAnsi="仿宋_GB2312" w:cs="仿宋_GB2312"/>
          <w:kern w:val="2"/>
          <w:sz w:val="32"/>
          <w:szCs w:val="32"/>
        </w:rPr>
        <w:t>把系统观念作为基础性思想和工作方法，加强前瞻性思考、全局性谋划、战略性布局、整体性推进，抓好发展安全两件大事，抓住主要矛盾和矛盾的主要方面，在重点突破中带动全局跃升，在扬长补短中提升整体效能，在清醒忧患中守牢发展底线。</w:t>
      </w:r>
    </w:p>
    <w:p>
      <w:pPr>
        <w:spacing w:line="600" w:lineRule="exact"/>
        <w:ind w:firstLine="643" w:firstLineChars="200"/>
        <w:rPr>
          <w:rFonts w:ascii="仿宋_GB2312" w:hAnsi="仿宋_GB2312" w:eastAsia="仿宋_GB2312" w:cs="仿宋_GB2312"/>
          <w:sz w:val="36"/>
          <w:szCs w:val="36"/>
        </w:rPr>
      </w:pPr>
      <w:r>
        <w:rPr>
          <w:rFonts w:hint="eastAsia" w:ascii="仿宋_GB2312" w:hAnsi="仿宋_GB2312" w:eastAsia="仿宋_GB2312" w:cs="仿宋_GB2312"/>
          <w:b/>
          <w:kern w:val="0"/>
          <w:sz w:val="32"/>
          <w:szCs w:val="32"/>
        </w:rPr>
        <w:t>——坚持用心务实，提升履职本领、强化使命担当。</w:t>
      </w:r>
      <w:r>
        <w:rPr>
          <w:rFonts w:hint="eastAsia" w:ascii="仿宋_GB2312" w:hAnsi="仿宋_GB2312" w:eastAsia="仿宋_GB2312" w:cs="仿宋_GB2312"/>
          <w:sz w:val="32"/>
          <w:szCs w:val="32"/>
        </w:rPr>
        <w:t>倡树“用心工作、务实重干”工作导向，持续营造学的氛围、干的氛围、严的氛围；树牢有解思维，发扬斗争精神，勇于担当作为，持续提升执行力创新力，锻造适应社会主义现代化建设新要求的过硬本领；保持定力，久久为功，善作善成，一步步把美好蓝图变为现实。</w:t>
      </w:r>
    </w:p>
    <w:p>
      <w:pPr>
        <w:spacing w:before="156" w:beforeLines="50" w:after="312" w:afterLines="100" w:line="600" w:lineRule="exact"/>
        <w:jc w:val="center"/>
        <w:rPr>
          <w:rFonts w:ascii="黑体" w:hAnsi="黑体" w:eastAsia="黑体"/>
          <w:bCs/>
          <w:sz w:val="32"/>
          <w:szCs w:val="32"/>
        </w:rPr>
      </w:pPr>
      <w:r>
        <w:rPr>
          <w:rFonts w:hint="eastAsia" w:ascii="黑体" w:hAnsi="黑体" w:eastAsia="黑体"/>
          <w:bCs/>
          <w:sz w:val="32"/>
          <w:szCs w:val="32"/>
        </w:rPr>
        <w:t>第三章  发展目标</w:t>
      </w:r>
    </w:p>
    <w:p>
      <w:pPr>
        <w:spacing w:after="312" w:afterLines="100"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综合考虑外部形势和发展条件，确定二〇三五年远景目标和“十四五”时期经济社会发展主要目标。</w:t>
      </w:r>
    </w:p>
    <w:p>
      <w:pPr>
        <w:spacing w:after="312" w:afterLines="100" w:line="600" w:lineRule="exact"/>
        <w:jc w:val="center"/>
        <w:rPr>
          <w:rFonts w:ascii="楷体_GB2312" w:hAnsi="楷体" w:eastAsia="楷体_GB2312"/>
          <w:b/>
          <w:sz w:val="32"/>
          <w:szCs w:val="32"/>
        </w:rPr>
      </w:pPr>
      <w:r>
        <w:rPr>
          <w:rFonts w:hint="eastAsia" w:ascii="楷体_GB2312" w:hAnsi="楷体" w:eastAsia="楷体_GB2312"/>
          <w:b/>
          <w:sz w:val="32"/>
          <w:szCs w:val="32"/>
        </w:rPr>
        <w:t>第一节  二</w:t>
      </w:r>
      <w:r>
        <w:rPr>
          <w:rFonts w:hint="eastAsia" w:ascii="微软雅黑" w:hAnsi="微软雅黑" w:eastAsia="微软雅黑" w:cs="微软雅黑"/>
          <w:b/>
          <w:sz w:val="32"/>
          <w:szCs w:val="32"/>
        </w:rPr>
        <w:t>〇</w:t>
      </w:r>
      <w:r>
        <w:rPr>
          <w:rFonts w:hint="eastAsia" w:ascii="楷体_GB2312" w:hAnsi="楷体_GB2312" w:eastAsia="楷体_GB2312" w:cs="楷体_GB2312"/>
          <w:b/>
          <w:sz w:val="32"/>
          <w:szCs w:val="32"/>
        </w:rPr>
        <w:t>三五年远景目标</w:t>
      </w:r>
    </w:p>
    <w:p>
      <w:pPr>
        <w:pStyle w:val="20"/>
        <w:spacing w:before="0" w:beforeAutospacing="0" w:after="0" w:afterAutospacing="0"/>
        <w:ind w:firstLine="640"/>
        <w:jc w:val="both"/>
        <w:rPr>
          <w:rFonts w:ascii="仿宋_GB2312" w:hAnsi="仿宋_GB2312" w:cs="仿宋_GB2312"/>
          <w:bCs/>
          <w:sz w:val="32"/>
          <w:szCs w:val="32"/>
        </w:rPr>
      </w:pPr>
      <w:r>
        <w:rPr>
          <w:rFonts w:hint="eastAsia" w:ascii="仿宋_GB2312" w:cs="Calibri"/>
          <w:bCs/>
          <w:sz w:val="32"/>
          <w:szCs w:val="32"/>
        </w:rPr>
        <w:t>全市上下以党的建设高质量推动经济发展高质量，经过15年的接续奋斗、争先出彩，到二</w:t>
      </w:r>
      <w:r>
        <w:rPr>
          <w:rFonts w:hint="eastAsia" w:ascii="宋体" w:hAnsi="宋体" w:eastAsia="宋体" w:cs="宋体"/>
          <w:bCs/>
          <w:sz w:val="32"/>
          <w:szCs w:val="32"/>
        </w:rPr>
        <w:t>〇</w:t>
      </w:r>
      <w:r>
        <w:rPr>
          <w:rFonts w:hint="eastAsia" w:ascii="仿宋_GB2312" w:hAnsi="仿宋_GB2312" w:cs="仿宋_GB2312"/>
          <w:bCs/>
          <w:sz w:val="32"/>
          <w:szCs w:val="32"/>
        </w:rPr>
        <w:t>三五年，基本建成“五个高地、一个家园”的现代化南阳</w:t>
      </w:r>
      <w:r>
        <w:rPr>
          <w:rFonts w:hint="eastAsia" w:ascii="仿宋_GB2312" w:cs="Calibri"/>
          <w:bCs/>
          <w:sz w:val="32"/>
          <w:szCs w:val="32"/>
        </w:rPr>
        <w:t>，</w:t>
      </w:r>
      <w:r>
        <w:rPr>
          <w:rFonts w:hint="eastAsia" w:ascii="仿宋_GB2312" w:hAnsi="仿宋_GB2312" w:cs="仿宋_GB2312"/>
          <w:bCs/>
          <w:sz w:val="32"/>
          <w:szCs w:val="32"/>
        </w:rPr>
        <w:t>大城市规模能级大幅跃升，</w:t>
      </w:r>
      <w:r>
        <w:rPr>
          <w:rFonts w:hint="eastAsia" w:ascii="仿宋_GB2312" w:cs="Calibri"/>
          <w:bCs/>
          <w:sz w:val="32"/>
          <w:szCs w:val="32"/>
        </w:rPr>
        <w:t>成为省域副中心城市</w:t>
      </w:r>
      <w:r>
        <w:rPr>
          <w:rFonts w:hint="eastAsia" w:ascii="仿宋_GB2312" w:hAnsi="仿宋_GB2312" w:cs="仿宋_GB2312"/>
          <w:bCs/>
          <w:sz w:val="32"/>
          <w:szCs w:val="32"/>
        </w:rPr>
        <w:t>。</w:t>
      </w:r>
    </w:p>
    <w:p>
      <w:pPr>
        <w:pStyle w:val="20"/>
        <w:spacing w:before="0" w:beforeAutospacing="0" w:after="0" w:afterAutospacing="0"/>
        <w:ind w:firstLine="643"/>
        <w:jc w:val="both"/>
        <w:rPr>
          <w:rFonts w:ascii="仿宋_GB2312" w:hAnsi="仿宋" w:cs="仿宋"/>
          <w:sz w:val="32"/>
          <w:szCs w:val="32"/>
        </w:rPr>
      </w:pPr>
      <w:r>
        <w:rPr>
          <w:rFonts w:hint="eastAsia" w:ascii="仿宋_GB2312" w:cs="Calibri"/>
          <w:b/>
          <w:bCs/>
          <w:sz w:val="32"/>
          <w:szCs w:val="32"/>
        </w:rPr>
        <w:t>区域创新高地。</w:t>
      </w:r>
      <w:r>
        <w:rPr>
          <w:rFonts w:hint="eastAsia" w:ascii="仿宋_GB2312" w:cs="Calibri"/>
          <w:bCs/>
          <w:sz w:val="32"/>
          <w:szCs w:val="32"/>
        </w:rPr>
        <w:t>创新能力大幅提升，创新活力全面激发，创新机制更加完善，创新要素加速集聚，</w:t>
      </w:r>
      <w:r>
        <w:rPr>
          <w:rFonts w:hint="eastAsia" w:ascii="仿宋_GB2312"/>
          <w:sz w:val="32"/>
          <w:szCs w:val="32"/>
        </w:rPr>
        <w:t>高能级科创平台持续增加，</w:t>
      </w:r>
      <w:r>
        <w:rPr>
          <w:rFonts w:hint="eastAsia" w:ascii="仿宋_GB2312" w:cs="Calibri"/>
          <w:bCs/>
          <w:sz w:val="32"/>
          <w:szCs w:val="32"/>
        </w:rPr>
        <w:t>科技创新对经济发展的支撑作用大幅增强，</w:t>
      </w:r>
      <w:r>
        <w:rPr>
          <w:rFonts w:hint="eastAsia" w:ascii="仿宋_GB2312" w:cs="Calibri"/>
          <w:bCs/>
          <w:spacing w:val="-6"/>
          <w:sz w:val="32"/>
          <w:szCs w:val="32"/>
        </w:rPr>
        <w:t>综合</w:t>
      </w:r>
      <w:r>
        <w:rPr>
          <w:rFonts w:hint="eastAsia" w:ascii="仿宋_GB2312" w:hAnsi="仿宋" w:cs="仿宋"/>
          <w:spacing w:val="-6"/>
          <w:sz w:val="32"/>
          <w:szCs w:val="32"/>
        </w:rPr>
        <w:t>创新能力走在全省前列，成为更具影响力的国家创新型城市。</w:t>
      </w:r>
    </w:p>
    <w:p>
      <w:pPr>
        <w:pStyle w:val="20"/>
        <w:spacing w:before="0" w:beforeAutospacing="0" w:after="0" w:afterAutospacing="0"/>
        <w:ind w:firstLine="643"/>
        <w:jc w:val="both"/>
        <w:rPr>
          <w:rFonts w:ascii="仿宋_GB2312" w:cs="Calibri"/>
          <w:bCs/>
          <w:sz w:val="32"/>
          <w:szCs w:val="32"/>
        </w:rPr>
      </w:pPr>
      <w:r>
        <w:rPr>
          <w:rFonts w:hint="eastAsia" w:ascii="仿宋_GB2312" w:cs="Calibri"/>
          <w:b/>
          <w:bCs/>
          <w:sz w:val="32"/>
          <w:szCs w:val="32"/>
        </w:rPr>
        <w:t>区域</w:t>
      </w:r>
      <w:r>
        <w:rPr>
          <w:rFonts w:hint="eastAsia" w:ascii="仿宋_GB2312" w:hAnsi="仿宋" w:cs="Calibri"/>
          <w:b/>
          <w:bCs/>
          <w:sz w:val="32"/>
          <w:szCs w:val="32"/>
        </w:rPr>
        <w:t>经济高地。</w:t>
      </w:r>
      <w:r>
        <w:rPr>
          <w:rFonts w:hint="eastAsia" w:ascii="仿宋_GB2312" w:cs="Calibri"/>
          <w:bCs/>
          <w:sz w:val="32"/>
          <w:szCs w:val="32"/>
        </w:rPr>
        <w:t>综合实力大幅跃升，经济总量、发展质量迈上新的大台阶，人均地区生产总值力争达到中等发达国家水平，基本实现新型工业化、信息化、城镇化、农业现代化，建成现代化经济体系。</w:t>
      </w:r>
    </w:p>
    <w:p>
      <w:pPr>
        <w:pStyle w:val="20"/>
        <w:spacing w:before="0" w:beforeAutospacing="0" w:after="0" w:afterAutospacing="0"/>
        <w:ind w:firstLine="643"/>
        <w:jc w:val="both"/>
        <w:rPr>
          <w:rFonts w:ascii="仿宋_GB2312" w:cs="Calibri"/>
          <w:bCs/>
          <w:sz w:val="32"/>
          <w:szCs w:val="32"/>
        </w:rPr>
      </w:pPr>
      <w:r>
        <w:rPr>
          <w:rFonts w:hint="eastAsia" w:ascii="仿宋_GB2312" w:cs="Calibri"/>
          <w:b/>
          <w:bCs/>
          <w:sz w:val="32"/>
          <w:szCs w:val="32"/>
        </w:rPr>
        <w:t>区域开放高地。</w:t>
      </w:r>
      <w:r>
        <w:rPr>
          <w:rFonts w:hint="eastAsia" w:ascii="仿宋_GB2312" w:cs="Calibri"/>
          <w:bCs/>
          <w:sz w:val="32"/>
          <w:szCs w:val="32"/>
        </w:rPr>
        <w:t>全国性综合交通枢纽全面建成、作用充分发挥，统一开放的市场体系全面建立，营商环境进入全国先进行列，区域合作全面深化，卧龙综保区、国家级跨境电商综试区和零售进口试点城市引领带动能力全面增强，内外贸易繁荣兴盛，建成内外联动、安全高效的开放体系。</w:t>
      </w:r>
    </w:p>
    <w:p>
      <w:pPr>
        <w:pStyle w:val="20"/>
        <w:spacing w:before="0" w:beforeAutospacing="0" w:after="0" w:afterAutospacing="0" w:line="570" w:lineRule="exact"/>
        <w:ind w:firstLine="643"/>
        <w:jc w:val="both"/>
        <w:rPr>
          <w:rFonts w:ascii="仿宋_GB2312" w:cs="Calibri"/>
          <w:bCs/>
          <w:sz w:val="32"/>
          <w:szCs w:val="32"/>
        </w:rPr>
      </w:pPr>
      <w:r>
        <w:rPr>
          <w:rFonts w:hint="eastAsia" w:ascii="仿宋_GB2312" w:cs="Calibri"/>
          <w:b/>
          <w:bCs/>
          <w:sz w:val="32"/>
          <w:szCs w:val="32"/>
        </w:rPr>
        <w:t>区域文化高地。</w:t>
      </w:r>
      <w:r>
        <w:rPr>
          <w:rFonts w:hint="eastAsia" w:ascii="仿宋_GB2312" w:hAnsi="仿宋_GB2312" w:cs="Calibri"/>
          <w:bCs/>
          <w:sz w:val="32"/>
          <w:szCs w:val="32"/>
        </w:rPr>
        <w:t>社会主义核心价值观深入人心，公民素质和社会文明程度达到新高度，</w:t>
      </w:r>
      <w:r>
        <w:rPr>
          <w:rFonts w:hint="eastAsia" w:ascii="仿宋_GB2312" w:cs="Calibri"/>
          <w:bCs/>
          <w:sz w:val="32"/>
          <w:szCs w:val="32"/>
        </w:rPr>
        <w:t>文化事业欣欣向荣，文化产业蓬勃发展，南水北调精神和“四圣”文化影响力更加广泛深远，公共文化建设走在全省前列，</w:t>
      </w:r>
      <w:r>
        <w:rPr>
          <w:rFonts w:hint="eastAsia" w:ascii="仿宋_GB2312" w:hAnsi="仿宋_GB2312" w:cs="Calibri"/>
          <w:bCs/>
          <w:sz w:val="32"/>
          <w:szCs w:val="32"/>
        </w:rPr>
        <w:t>文化软实力显著增强，建成文化强市</w:t>
      </w:r>
      <w:r>
        <w:rPr>
          <w:rFonts w:hint="eastAsia" w:ascii="仿宋_GB2312" w:cs="Calibri"/>
          <w:bCs/>
          <w:sz w:val="32"/>
          <w:szCs w:val="32"/>
        </w:rPr>
        <w:t>。</w:t>
      </w:r>
    </w:p>
    <w:p>
      <w:pPr>
        <w:pStyle w:val="20"/>
        <w:spacing w:before="0" w:beforeAutospacing="0" w:after="0" w:afterAutospacing="0" w:line="570" w:lineRule="exact"/>
        <w:ind w:firstLine="643"/>
        <w:jc w:val="both"/>
        <w:rPr>
          <w:rFonts w:ascii="仿宋_GB2312" w:hAnsi="仿宋_GB2312" w:cs="Calibri"/>
          <w:bCs/>
          <w:sz w:val="32"/>
          <w:szCs w:val="32"/>
        </w:rPr>
      </w:pPr>
      <w:r>
        <w:rPr>
          <w:rFonts w:hint="eastAsia" w:ascii="仿宋_GB2312" w:cs="Calibri"/>
          <w:b/>
          <w:bCs/>
          <w:sz w:val="32"/>
          <w:szCs w:val="32"/>
        </w:rPr>
        <w:t>区域生态高地。</w:t>
      </w:r>
      <w:r>
        <w:rPr>
          <w:rFonts w:hint="eastAsia" w:ascii="仿宋_GB2312" w:cs="Calibri"/>
          <w:bCs/>
          <w:sz w:val="32"/>
          <w:szCs w:val="32"/>
        </w:rPr>
        <w:t>生态环境根本好转，丹江口库区水质稳定达标，绿色发展活力持续增强，资源能源利用集约高效，生态安全屏障更加牢固，绿色生产生活方式广泛形成，生态文明建设走在全国前列，</w:t>
      </w:r>
      <w:r>
        <w:rPr>
          <w:rFonts w:hint="eastAsia" w:ascii="仿宋_GB2312" w:hAnsi="仿宋_GB2312" w:cs="Calibri"/>
          <w:bCs/>
          <w:sz w:val="32"/>
          <w:szCs w:val="32"/>
        </w:rPr>
        <w:t>建成天蓝地绿水秀的美丽南阳。</w:t>
      </w:r>
    </w:p>
    <w:p>
      <w:pPr>
        <w:pStyle w:val="20"/>
        <w:spacing w:before="0" w:beforeAutospacing="0" w:after="312" w:afterLines="100" w:afterAutospacing="0" w:line="570" w:lineRule="exact"/>
        <w:ind w:firstLine="643"/>
        <w:jc w:val="both"/>
        <w:rPr>
          <w:rFonts w:ascii="黑体" w:hAnsi="黑体" w:cs="黑体"/>
          <w:sz w:val="32"/>
          <w:szCs w:val="32"/>
        </w:rPr>
      </w:pPr>
      <w:r>
        <w:rPr>
          <w:rFonts w:hint="eastAsia" w:ascii="仿宋_GB2312" w:cs="Calibri"/>
          <w:b/>
          <w:bCs/>
          <w:sz w:val="32"/>
          <w:szCs w:val="32"/>
        </w:rPr>
        <w:t>幸福美好家园。</w:t>
      </w:r>
      <w:r>
        <w:rPr>
          <w:rFonts w:hint="eastAsia" w:ascii="仿宋_GB2312" w:cs="Calibri"/>
          <w:bCs/>
          <w:sz w:val="32"/>
          <w:szCs w:val="32"/>
        </w:rPr>
        <w:t>市域社会治理现代化基本实现，人民平等参与、平等发展权利得到充分保障，建成更高水平的平安南阳、法治南阳；基本公共服务实现均等化，建成教育强市，城乡区域发展差距和居民生活水平差距显著缩小，城乡居民人均收入迈进全省第一方阵，居民主要健康指标优于全省平均水平，共同富裕取得实质性重大进展。</w:t>
      </w:r>
    </w:p>
    <w:p>
      <w:pPr>
        <w:spacing w:after="312" w:afterLines="100" w:line="570" w:lineRule="exact"/>
        <w:jc w:val="center"/>
        <w:rPr>
          <w:rFonts w:ascii="楷体_GB2312" w:eastAsia="楷体_GB2312"/>
          <w:b/>
          <w:bCs/>
          <w:sz w:val="32"/>
          <w:szCs w:val="32"/>
        </w:rPr>
      </w:pPr>
      <w:r>
        <w:rPr>
          <w:rFonts w:hint="eastAsia" w:ascii="楷体_GB2312" w:eastAsia="楷体_GB2312"/>
          <w:b/>
          <w:bCs/>
          <w:sz w:val="32"/>
          <w:szCs w:val="32"/>
        </w:rPr>
        <w:t>第二节 “十四五”时期主要目标</w:t>
      </w:r>
    </w:p>
    <w:p>
      <w:pPr>
        <w:tabs>
          <w:tab w:val="left" w:pos="312"/>
        </w:tabs>
        <w:spacing w:line="600" w:lineRule="exact"/>
        <w:ind w:firstLine="640" w:firstLineChars="200"/>
        <w:rPr>
          <w:rFonts w:ascii="仿宋_GB2312" w:hAnsi="Times New Roman" w:eastAsia="仿宋_GB2312" w:cs="Calibri"/>
          <w:bCs/>
          <w:kern w:val="0"/>
          <w:sz w:val="32"/>
          <w:szCs w:val="32"/>
        </w:rPr>
      </w:pPr>
      <w:r>
        <w:rPr>
          <w:rFonts w:hint="eastAsia" w:ascii="仿宋_GB2312" w:hAnsi="Times New Roman" w:eastAsia="仿宋_GB2312" w:cs="Calibri"/>
          <w:bCs/>
          <w:kern w:val="0"/>
          <w:sz w:val="32"/>
          <w:szCs w:val="32"/>
        </w:rPr>
        <w:t>锚定二〇三五年远景目标，综合考虑外部形势和我市发展条件，今后五年要全力打造新兴区域经济中心，主动融入新发展格局，着力提升城市规模能级，增强吸纳集聚能力和影响力竞争力，大城市建设取得重大进展，在豫南高效生态经济示范区建设中走在前列，成为联动鄂西北、陕东南、支撑中原城市群高质量发展的重要增长极。</w:t>
      </w:r>
    </w:p>
    <w:p>
      <w:pPr>
        <w:spacing w:line="6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——经济综合实力迈上新的大台阶。</w:t>
      </w:r>
      <w:r>
        <w:rPr>
          <w:rFonts w:hint="eastAsia" w:ascii="仿宋_GB2312" w:hAnsi="仿宋_GB2312" w:eastAsia="仿宋_GB2312" w:cs="仿宋_GB2312"/>
          <w:sz w:val="32"/>
          <w:szCs w:val="32"/>
        </w:rPr>
        <w:t>在质量效益明显提升的基础上，主要经济指标年均增速高于全省平均水平，经济总量跨越</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千亿元台阶、力争接近6千亿元，稳居全省前三，财政一般公共预算收入达到300亿元，经济实力在全国地级城市排名不断前移。经济结构更加优化，“主新特”产业发展模式深入推行，产业基础高级化、产业链现代化水平明显提高，装备制造、绿色食品、</w:t>
      </w:r>
      <w:r>
        <w:rPr>
          <w:rFonts w:hint="eastAsia" w:ascii="仿宋_GB2312" w:hAnsi="仿宋_GB2312" w:eastAsia="仿宋_GB2312" w:cs="仿宋_GB2312"/>
          <w:kern w:val="0"/>
          <w:sz w:val="32"/>
          <w:szCs w:val="32"/>
        </w:rPr>
        <w:t>冶金建材</w:t>
      </w:r>
      <w:r>
        <w:rPr>
          <w:rFonts w:hint="eastAsia" w:ascii="仿宋_GB2312" w:hAnsi="仿宋_GB2312" w:eastAsia="仿宋_GB2312" w:cs="仿宋_GB2312"/>
          <w:sz w:val="32"/>
          <w:szCs w:val="32"/>
        </w:rPr>
        <w:t>等千亿级产业集群和一批百亿级园区、企业加速壮大。新型基础设施建设走在全省前列，全国性综合交通枢纽建设实现重大突破。全面深化改革和更高水平开放取得重大进展。</w:t>
      </w:r>
    </w:p>
    <w:p>
      <w:pPr>
        <w:spacing w:line="600" w:lineRule="exact"/>
        <w:ind w:firstLine="643" w:firstLineChars="200"/>
        <w:rPr>
          <w:rFonts w:ascii="仿宋_GB2312" w:eastAsia="仿宋_GB2312"/>
          <w:sz w:val="36"/>
          <w:szCs w:val="36"/>
        </w:rPr>
      </w:pPr>
      <w:r>
        <w:rPr>
          <w:rFonts w:hint="eastAsia" w:ascii="仿宋_GB2312" w:eastAsia="仿宋_GB2312"/>
          <w:b/>
          <w:sz w:val="32"/>
          <w:szCs w:val="32"/>
        </w:rPr>
        <w:t>——创新驱动能力迈上新</w:t>
      </w:r>
      <w:r>
        <w:rPr>
          <w:rFonts w:hint="eastAsia" w:ascii="仿宋_GB2312" w:hAnsi="仿宋_GB2312" w:eastAsia="仿宋_GB2312" w:cs="仿宋_GB2312"/>
          <w:b/>
          <w:sz w:val="32"/>
          <w:szCs w:val="32"/>
        </w:rPr>
        <w:t>的大</w:t>
      </w:r>
      <w:r>
        <w:rPr>
          <w:rFonts w:hint="eastAsia" w:ascii="仿宋_GB2312" w:eastAsia="仿宋_GB2312"/>
          <w:b/>
          <w:sz w:val="32"/>
          <w:szCs w:val="32"/>
        </w:rPr>
        <w:t>台阶。</w:t>
      </w:r>
      <w:r>
        <w:rPr>
          <w:rFonts w:hint="eastAsia" w:ascii="仿宋_GB2312" w:hAnsi="仿宋_GB2312" w:eastAsia="仿宋_GB2312" w:cs="仿宋_GB2312"/>
          <w:sz w:val="32"/>
          <w:szCs w:val="32"/>
        </w:rPr>
        <w:t>科技进步贡献率明显提升，区域创新中心和人才强市建设取得重大进展，研发经费投入强度明显提高，高能级创新载体平台建设大幅提升，创新主体和人才活力持续激发，科研成果转化质量和效率明显提高，高新技术企业数量实现翻番，成为中部地区重要的科技成果孵化转化基地。</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——城乡协调发展迈上新</w:t>
      </w:r>
      <w:r>
        <w:rPr>
          <w:rFonts w:hint="eastAsia" w:ascii="仿宋_GB2312" w:hAnsi="仿宋_GB2312" w:eastAsia="仿宋_GB2312" w:cs="仿宋_GB2312"/>
          <w:b/>
          <w:sz w:val="32"/>
          <w:szCs w:val="32"/>
        </w:rPr>
        <w:t>的大</w:t>
      </w:r>
      <w:r>
        <w:rPr>
          <w:rFonts w:hint="eastAsia" w:ascii="仿宋_GB2312" w:eastAsia="仿宋_GB2312"/>
          <w:b/>
          <w:sz w:val="32"/>
          <w:szCs w:val="32"/>
        </w:rPr>
        <w:t>台阶。</w:t>
      </w:r>
      <w:r>
        <w:rPr>
          <w:rFonts w:hint="eastAsia" w:ascii="仿宋_GB2312" w:hAnsi="仿宋_GB2312" w:eastAsia="仿宋_GB2312" w:cs="仿宋_GB2312"/>
          <w:sz w:val="32"/>
          <w:szCs w:val="32"/>
        </w:rPr>
        <w:t>城镇化水平显著提升，</w:t>
      </w:r>
      <w:r>
        <w:rPr>
          <w:rFonts w:hint="eastAsia" w:ascii="仿宋_GB2312" w:eastAsia="仿宋_GB2312"/>
          <w:sz w:val="32"/>
          <w:szCs w:val="32"/>
        </w:rPr>
        <w:t>现代化新城区加速崛起。中心城市布局优化、提质扩容，建设管理品质、经济首位度明显提高，</w:t>
      </w:r>
      <w:r>
        <w:rPr>
          <w:rFonts w:hint="eastAsia" w:ascii="仿宋_GB2312" w:hAnsi="仿宋_GB2312" w:eastAsia="仿宋_GB2312" w:cs="仿宋_GB2312"/>
          <w:sz w:val="32"/>
          <w:szCs w:val="32"/>
        </w:rPr>
        <w:t>中心城区建成区面积、人口向300平方公里、300万人迈进</w:t>
      </w:r>
      <w:r>
        <w:rPr>
          <w:rFonts w:hint="eastAsia" w:ascii="仿宋_GB2312" w:eastAsia="仿宋_GB2312"/>
          <w:sz w:val="32"/>
          <w:szCs w:val="32"/>
        </w:rPr>
        <w:t>。县域竞相发展，县城承载能力不断增强。城乡融合发展体制机制更加健全，乡村振兴实现更大突破，农业农村现代化走在全国前列。</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——生态环境质量迈上新</w:t>
      </w:r>
      <w:r>
        <w:rPr>
          <w:rFonts w:hint="eastAsia" w:ascii="仿宋_GB2312" w:hAnsi="仿宋_GB2312" w:eastAsia="仿宋_GB2312" w:cs="仿宋_GB2312"/>
          <w:b/>
          <w:sz w:val="32"/>
          <w:szCs w:val="32"/>
        </w:rPr>
        <w:t>的大</w:t>
      </w:r>
      <w:r>
        <w:rPr>
          <w:rFonts w:hint="eastAsia" w:ascii="仿宋_GB2312" w:eastAsia="仿宋_GB2312"/>
          <w:b/>
          <w:sz w:val="32"/>
          <w:szCs w:val="32"/>
        </w:rPr>
        <w:t>台阶。</w:t>
      </w:r>
      <w:r>
        <w:rPr>
          <w:rFonts w:hint="eastAsia" w:ascii="仿宋_GB2312" w:eastAsia="仿宋_GB2312"/>
          <w:sz w:val="32"/>
          <w:szCs w:val="32"/>
        </w:rPr>
        <w:t>国土空间开发保护格局更加优化，生产生活方式绿色转型成效显著，能源资源利用效率大幅提高，单位地区生产总值能耗、用水量持续下降，主要污染物排放总量持续减少，森林覆盖率持续提升，“两山两源”生态安全屏障更加牢固，天蓝地绿水秀成为常态，生态宜居南阳享誉全国。</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——社会文明程度迈上新</w:t>
      </w:r>
      <w:r>
        <w:rPr>
          <w:rFonts w:hint="eastAsia" w:ascii="仿宋_GB2312" w:hAnsi="仿宋_GB2312" w:eastAsia="仿宋_GB2312" w:cs="仿宋_GB2312"/>
          <w:b/>
          <w:sz w:val="32"/>
          <w:szCs w:val="32"/>
        </w:rPr>
        <w:t>的大</w:t>
      </w:r>
      <w:r>
        <w:rPr>
          <w:rFonts w:hint="eastAsia" w:ascii="仿宋_GB2312" w:eastAsia="仿宋_GB2312"/>
          <w:b/>
          <w:sz w:val="32"/>
          <w:szCs w:val="32"/>
        </w:rPr>
        <w:t>台阶。</w:t>
      </w:r>
      <w:r>
        <w:rPr>
          <w:rFonts w:hint="eastAsia" w:ascii="仿宋_GB2312" w:eastAsia="仿宋_GB2312"/>
          <w:sz w:val="32"/>
          <w:szCs w:val="32"/>
        </w:rPr>
        <w:t>习近平新时代中国特色社会主义思想在南阳根深叶茂，社会主义核心价值观深入人心，文化事业和文化产业繁荣发展，文明创建成果不断巩固深化，人民精神文化生活日益丰富，优秀文化传承创新成效明显，全民科学素质整体水平显著提升，向善思进的正能量更加充盈。</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——人民生活品质迈上新</w:t>
      </w:r>
      <w:r>
        <w:rPr>
          <w:rFonts w:hint="eastAsia" w:ascii="仿宋_GB2312" w:hAnsi="仿宋_GB2312" w:eastAsia="仿宋_GB2312" w:cs="仿宋_GB2312"/>
          <w:b/>
          <w:sz w:val="32"/>
          <w:szCs w:val="32"/>
        </w:rPr>
        <w:t>的大</w:t>
      </w:r>
      <w:r>
        <w:rPr>
          <w:rFonts w:hint="eastAsia" w:ascii="仿宋_GB2312" w:eastAsia="仿宋_GB2312"/>
          <w:b/>
          <w:sz w:val="32"/>
          <w:szCs w:val="32"/>
        </w:rPr>
        <w:t>台阶。</w:t>
      </w:r>
      <w:r>
        <w:rPr>
          <w:rFonts w:hint="eastAsia" w:ascii="仿宋_GB2312" w:eastAsia="仿宋_GB2312"/>
          <w:sz w:val="32"/>
          <w:szCs w:val="32"/>
        </w:rPr>
        <w:t>实现更加充分更高质量就业，分配结构明显改善，城乡居民生活水平差距逐步缩小，脱贫攻坚成果巩固拓展，基本公共服务均等化水平明显提高，教育质量大幅提升，卫生健康体系更加完善，城乡养老服务网络基本形成，多层次社会保障体系更加健全，民生福祉实现更大改善。</w:t>
      </w:r>
    </w:p>
    <w:p>
      <w:pPr>
        <w:pStyle w:val="20"/>
        <w:spacing w:beforeAutospacing="0" w:afterAutospacing="0"/>
        <w:ind w:firstLine="643"/>
        <w:jc w:val="both"/>
        <w:rPr>
          <w:rFonts w:ascii="仿宋_GB2312" w:hAnsi="Calibri"/>
          <w:kern w:val="2"/>
          <w:sz w:val="32"/>
          <w:szCs w:val="32"/>
        </w:rPr>
      </w:pPr>
      <w:r>
        <w:rPr>
          <w:rFonts w:hint="eastAsia" w:ascii="仿宋_GB2312"/>
          <w:b/>
          <w:kern w:val="2"/>
          <w:sz w:val="32"/>
          <w:szCs w:val="32"/>
        </w:rPr>
        <w:t>——市域社会治理迈上新</w:t>
      </w:r>
      <w:r>
        <w:rPr>
          <w:rFonts w:hint="eastAsia" w:ascii="仿宋_GB2312" w:hAnsi="仿宋_GB2312" w:cs="仿宋_GB2312"/>
          <w:b/>
          <w:sz w:val="32"/>
          <w:szCs w:val="32"/>
        </w:rPr>
        <w:t>的大</w:t>
      </w:r>
      <w:r>
        <w:rPr>
          <w:rFonts w:hint="eastAsia" w:ascii="仿宋_GB2312"/>
          <w:b/>
          <w:kern w:val="2"/>
          <w:sz w:val="32"/>
          <w:szCs w:val="32"/>
        </w:rPr>
        <w:t>台阶。</w:t>
      </w:r>
      <w:r>
        <w:rPr>
          <w:rFonts w:hint="eastAsia" w:ascii="仿宋_GB2312" w:hAnsi="Calibri"/>
          <w:kern w:val="2"/>
          <w:sz w:val="32"/>
          <w:szCs w:val="32"/>
        </w:rPr>
        <w:t>法治南阳、平安南阳建设深入推进，服务型、法治型政府加快建设，行政效率和公信力显著提升，营商环境全面优化。社会治理更加精细，基层治理走在全省前列。防范化解重大风险体制机制不断健全，自然灾害防御和突发公共事件应急能力显著增强，全方位立体化公共安全网络基本形成，发展安全保障更加有力。</w:t>
      </w:r>
    </w:p>
    <w:tbl>
      <w:tblPr>
        <w:tblStyle w:val="23"/>
        <w:tblW w:w="8440" w:type="dxa"/>
        <w:tblInd w:w="97" w:type="dxa"/>
        <w:tblLayout w:type="autofit"/>
        <w:tblCellMar>
          <w:top w:w="0" w:type="dxa"/>
          <w:left w:w="108" w:type="dxa"/>
          <w:bottom w:w="0" w:type="dxa"/>
          <w:right w:w="108" w:type="dxa"/>
        </w:tblCellMar>
      </w:tblPr>
      <w:tblGrid>
        <w:gridCol w:w="460"/>
        <w:gridCol w:w="7"/>
        <w:gridCol w:w="953"/>
        <w:gridCol w:w="2731"/>
        <w:gridCol w:w="992"/>
        <w:gridCol w:w="1134"/>
        <w:gridCol w:w="1276"/>
        <w:gridCol w:w="887"/>
      </w:tblGrid>
      <w:tr>
        <w:tblPrEx>
          <w:tblCellMar>
            <w:top w:w="0" w:type="dxa"/>
            <w:left w:w="108" w:type="dxa"/>
            <w:bottom w:w="0" w:type="dxa"/>
            <w:right w:w="108" w:type="dxa"/>
          </w:tblCellMar>
        </w:tblPrEx>
        <w:trPr>
          <w:trHeight w:val="573" w:hRule="atLeast"/>
        </w:trPr>
        <w:tc>
          <w:tcPr>
            <w:tcW w:w="8440" w:type="dxa"/>
            <w:gridSpan w:val="8"/>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黑体" w:hAnsi="黑体" w:eastAsia="黑体" w:cs="宋体"/>
                <w:kern w:val="0"/>
                <w:sz w:val="30"/>
                <w:szCs w:val="30"/>
              </w:rPr>
            </w:pPr>
            <w:r>
              <w:rPr>
                <w:rFonts w:hint="eastAsia" w:ascii="黑体" w:hAnsi="黑体" w:eastAsia="黑体" w:cs="宋体"/>
                <w:kern w:val="0"/>
                <w:sz w:val="30"/>
                <w:szCs w:val="30"/>
              </w:rPr>
              <w:t>表2：“十四五”时期经济社会发展主要目标</w:t>
            </w:r>
          </w:p>
        </w:tc>
      </w:tr>
      <w:tr>
        <w:tblPrEx>
          <w:tblCellMar>
            <w:top w:w="0" w:type="dxa"/>
            <w:left w:w="108" w:type="dxa"/>
            <w:bottom w:w="0" w:type="dxa"/>
            <w:right w:w="108" w:type="dxa"/>
          </w:tblCellMar>
        </w:tblPrEx>
        <w:trPr>
          <w:trHeight w:val="369" w:hRule="atLeast"/>
        </w:trPr>
        <w:tc>
          <w:tcPr>
            <w:tcW w:w="415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指标</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2020年</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2025年</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w w:val="80"/>
                <w:kern w:val="0"/>
                <w:szCs w:val="21"/>
              </w:rPr>
            </w:pPr>
            <w:r>
              <w:rPr>
                <w:rFonts w:hint="eastAsia" w:ascii="黑体" w:hAnsi="黑体" w:eastAsia="黑体" w:cs="宋体"/>
                <w:w w:val="80"/>
                <w:kern w:val="0"/>
                <w:szCs w:val="21"/>
              </w:rPr>
              <w:t>年均/累计</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属性</w:t>
            </w:r>
          </w:p>
        </w:tc>
      </w:tr>
      <w:tr>
        <w:tblPrEx>
          <w:tblCellMar>
            <w:top w:w="0" w:type="dxa"/>
            <w:left w:w="108" w:type="dxa"/>
            <w:bottom w:w="0" w:type="dxa"/>
            <w:right w:w="108" w:type="dxa"/>
          </w:tblCellMar>
        </w:tblPrEx>
        <w:trPr>
          <w:trHeight w:val="412" w:hRule="atLeast"/>
        </w:trPr>
        <w:tc>
          <w:tcPr>
            <w:tcW w:w="8440"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黑体" w:hAnsi="黑体" w:eastAsia="黑体" w:cs="宋体"/>
                <w:kern w:val="0"/>
                <w:sz w:val="20"/>
                <w:szCs w:val="20"/>
              </w:rPr>
            </w:pPr>
            <w:r>
              <w:rPr>
                <w:rFonts w:hint="eastAsia" w:ascii="黑体" w:hAnsi="黑体" w:eastAsia="黑体" w:cs="宋体"/>
                <w:kern w:val="0"/>
                <w:sz w:val="20"/>
                <w:szCs w:val="20"/>
              </w:rPr>
              <w:t>一、经济发展</w:t>
            </w:r>
          </w:p>
        </w:tc>
      </w:tr>
      <w:tr>
        <w:tblPrEx>
          <w:tblCellMar>
            <w:top w:w="0" w:type="dxa"/>
            <w:left w:w="108" w:type="dxa"/>
            <w:bottom w:w="0" w:type="dxa"/>
            <w:right w:w="108" w:type="dxa"/>
          </w:tblCellMar>
        </w:tblPrEx>
        <w:trPr>
          <w:trHeight w:val="568" w:hRule="atLeast"/>
        </w:trPr>
        <w:tc>
          <w:tcPr>
            <w:tcW w:w="4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w:t>
            </w:r>
          </w:p>
        </w:tc>
        <w:tc>
          <w:tcPr>
            <w:tcW w:w="3691"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地区生产总值增长（%）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w w:val="90"/>
                <w:kern w:val="0"/>
                <w:sz w:val="20"/>
                <w:szCs w:val="20"/>
              </w:rPr>
            </w:pPr>
            <w:r>
              <w:rPr>
                <w:rFonts w:hint="eastAsia" w:ascii="仿宋_GB2312" w:hAnsi="宋体" w:eastAsia="仿宋_GB2312" w:cs="宋体"/>
                <w:w w:val="90"/>
                <w:kern w:val="0"/>
                <w:sz w:val="18"/>
                <w:szCs w:val="20"/>
              </w:rPr>
              <w:t>3926亿元</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7.5左右</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580" w:hRule="atLeast"/>
        </w:trPr>
        <w:tc>
          <w:tcPr>
            <w:tcW w:w="4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w:t>
            </w:r>
          </w:p>
        </w:tc>
        <w:tc>
          <w:tcPr>
            <w:tcW w:w="3691"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全员劳动生产率增长（%）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&gt;5.5　</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393" w:hRule="atLeast"/>
        </w:trPr>
        <w:tc>
          <w:tcPr>
            <w:tcW w:w="4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w:t>
            </w:r>
          </w:p>
        </w:tc>
        <w:tc>
          <w:tcPr>
            <w:tcW w:w="3691"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常住人口城镇化率（%）</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50.59　</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57　</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88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　</w:t>
            </w:r>
          </w:p>
        </w:tc>
      </w:tr>
      <w:tr>
        <w:tblPrEx>
          <w:tblCellMar>
            <w:top w:w="0" w:type="dxa"/>
            <w:left w:w="108" w:type="dxa"/>
            <w:bottom w:w="0" w:type="dxa"/>
            <w:right w:w="108" w:type="dxa"/>
          </w:tblCellMar>
        </w:tblPrEx>
        <w:trPr>
          <w:trHeight w:val="626" w:hRule="atLeast"/>
        </w:trPr>
        <w:tc>
          <w:tcPr>
            <w:tcW w:w="4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w:t>
            </w:r>
          </w:p>
        </w:tc>
        <w:tc>
          <w:tcPr>
            <w:tcW w:w="3691"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社会消费品零售总额增长（%）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8　</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543" w:hRule="atLeast"/>
        </w:trPr>
        <w:tc>
          <w:tcPr>
            <w:tcW w:w="8440"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黑体" w:hAnsi="黑体" w:eastAsia="黑体" w:cs="宋体"/>
                <w:kern w:val="0"/>
                <w:sz w:val="20"/>
                <w:szCs w:val="20"/>
              </w:rPr>
            </w:pPr>
            <w:r>
              <w:rPr>
                <w:rFonts w:hint="eastAsia" w:ascii="黑体" w:hAnsi="黑体" w:eastAsia="黑体" w:cs="宋体"/>
                <w:kern w:val="0"/>
                <w:sz w:val="20"/>
                <w:szCs w:val="20"/>
              </w:rPr>
              <w:t>二、创新驱动</w:t>
            </w:r>
          </w:p>
        </w:tc>
      </w:tr>
      <w:tr>
        <w:tblPrEx>
          <w:tblCellMar>
            <w:top w:w="0" w:type="dxa"/>
            <w:left w:w="108" w:type="dxa"/>
            <w:bottom w:w="0" w:type="dxa"/>
            <w:right w:w="108" w:type="dxa"/>
          </w:tblCellMar>
        </w:tblPrEx>
        <w:trPr>
          <w:trHeight w:val="421" w:hRule="atLeast"/>
        </w:trPr>
        <w:tc>
          <w:tcPr>
            <w:tcW w:w="4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w:t>
            </w:r>
          </w:p>
        </w:tc>
        <w:tc>
          <w:tcPr>
            <w:tcW w:w="3691"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研发经费投入增长（%）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12左右　</w:t>
            </w:r>
          </w:p>
        </w:tc>
        <w:tc>
          <w:tcPr>
            <w:tcW w:w="887"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554" w:hRule="atLeast"/>
        </w:trPr>
        <w:tc>
          <w:tcPr>
            <w:tcW w:w="4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w:t>
            </w:r>
          </w:p>
        </w:tc>
        <w:tc>
          <w:tcPr>
            <w:tcW w:w="3691"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每万人口高价值发明专利拥有量（件）</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1.6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2.0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887"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562" w:hRule="atLeast"/>
        </w:trPr>
        <w:tc>
          <w:tcPr>
            <w:tcW w:w="4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7</w:t>
            </w:r>
          </w:p>
        </w:tc>
        <w:tc>
          <w:tcPr>
            <w:tcW w:w="3691"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w w:val="90"/>
                <w:kern w:val="0"/>
                <w:sz w:val="20"/>
                <w:szCs w:val="20"/>
              </w:rPr>
            </w:pPr>
            <w:r>
              <w:rPr>
                <w:rFonts w:hint="eastAsia" w:ascii="仿宋_GB2312" w:hAnsi="宋体" w:eastAsia="仿宋_GB2312" w:cs="宋体"/>
                <w:w w:val="90"/>
                <w:kern w:val="0"/>
                <w:sz w:val="20"/>
                <w:szCs w:val="20"/>
              </w:rPr>
              <w:t>数字经济核心产业增加值占地区生产总值比重（%）</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[ 2.0 ]　</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540" w:hRule="atLeast"/>
        </w:trPr>
        <w:tc>
          <w:tcPr>
            <w:tcW w:w="8440"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黑体" w:hAnsi="黑体" w:eastAsia="黑体" w:cs="宋体"/>
                <w:kern w:val="0"/>
                <w:sz w:val="20"/>
                <w:szCs w:val="20"/>
              </w:rPr>
            </w:pPr>
            <w:r>
              <w:rPr>
                <w:rFonts w:hint="eastAsia" w:ascii="黑体" w:hAnsi="黑体" w:eastAsia="黑体" w:cs="宋体"/>
                <w:kern w:val="0"/>
                <w:sz w:val="20"/>
                <w:szCs w:val="20"/>
              </w:rPr>
              <w:t>三、民生福祉</w:t>
            </w:r>
          </w:p>
        </w:tc>
      </w:tr>
      <w:tr>
        <w:tblPrEx>
          <w:tblCellMar>
            <w:top w:w="0" w:type="dxa"/>
            <w:left w:w="108" w:type="dxa"/>
            <w:bottom w:w="0" w:type="dxa"/>
            <w:right w:w="108" w:type="dxa"/>
          </w:tblCellMar>
        </w:tblPrEx>
        <w:trPr>
          <w:trHeight w:val="440" w:hRule="atLeast"/>
        </w:trPr>
        <w:tc>
          <w:tcPr>
            <w:tcW w:w="4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8</w:t>
            </w:r>
          </w:p>
        </w:tc>
        <w:tc>
          <w:tcPr>
            <w:tcW w:w="3691"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居民人均可支配收入增长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与经济增速基本同步　</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　</w:t>
            </w:r>
          </w:p>
        </w:tc>
      </w:tr>
      <w:tr>
        <w:tblPrEx>
          <w:tblCellMar>
            <w:top w:w="0" w:type="dxa"/>
            <w:left w:w="108" w:type="dxa"/>
            <w:bottom w:w="0" w:type="dxa"/>
            <w:right w:w="108" w:type="dxa"/>
          </w:tblCellMar>
        </w:tblPrEx>
        <w:trPr>
          <w:trHeight w:val="552" w:hRule="atLeast"/>
        </w:trPr>
        <w:tc>
          <w:tcPr>
            <w:tcW w:w="4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9</w:t>
            </w:r>
          </w:p>
        </w:tc>
        <w:tc>
          <w:tcPr>
            <w:tcW w:w="960"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城镇</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就业</w:t>
            </w:r>
          </w:p>
        </w:tc>
        <w:tc>
          <w:tcPr>
            <w:tcW w:w="2731"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城镇新增就业人数（万人）</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37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[40]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　</w:t>
            </w:r>
          </w:p>
        </w:tc>
      </w:tr>
      <w:tr>
        <w:tblPrEx>
          <w:tblCellMar>
            <w:top w:w="0" w:type="dxa"/>
            <w:left w:w="108" w:type="dxa"/>
            <w:bottom w:w="0" w:type="dxa"/>
            <w:right w:w="108" w:type="dxa"/>
          </w:tblCellMar>
        </w:tblPrEx>
        <w:trPr>
          <w:trHeight w:val="372" w:hRule="atLeast"/>
        </w:trPr>
        <w:tc>
          <w:tcPr>
            <w:tcW w:w="4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 w:val="20"/>
                <w:szCs w:val="20"/>
              </w:rPr>
            </w:pPr>
          </w:p>
        </w:tc>
        <w:tc>
          <w:tcPr>
            <w:tcW w:w="96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p>
        </w:tc>
        <w:tc>
          <w:tcPr>
            <w:tcW w:w="2731"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城镇调查失业率（%）</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&lt;5.5</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419" w:hRule="atLeast"/>
        </w:trPr>
        <w:tc>
          <w:tcPr>
            <w:tcW w:w="4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w:t>
            </w:r>
          </w:p>
        </w:tc>
        <w:tc>
          <w:tcPr>
            <w:tcW w:w="3691"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劳动年龄人口平均受教育年限（年）</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Calibri"/>
                <w:kern w:val="0"/>
                <w:sz w:val="20"/>
                <w:szCs w:val="20"/>
              </w:rPr>
            </w:pPr>
            <w:r>
              <w:rPr>
                <w:rFonts w:hint="eastAsia" w:ascii="仿宋_GB2312" w:hAnsi="宋体" w:eastAsia="仿宋_GB2312" w:cs="宋体"/>
                <w:kern w:val="0"/>
                <w:sz w:val="20"/>
                <w:szCs w:val="20"/>
              </w:rPr>
              <w:t>11.0左右</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约束性　</w:t>
            </w:r>
          </w:p>
        </w:tc>
      </w:tr>
      <w:tr>
        <w:tblPrEx>
          <w:tblCellMar>
            <w:top w:w="0" w:type="dxa"/>
            <w:left w:w="108" w:type="dxa"/>
            <w:bottom w:w="0" w:type="dxa"/>
            <w:right w:w="108" w:type="dxa"/>
          </w:tblCellMar>
        </w:tblPrEx>
        <w:trPr>
          <w:trHeight w:val="696" w:hRule="atLeast"/>
        </w:trPr>
        <w:tc>
          <w:tcPr>
            <w:tcW w:w="4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11</w:t>
            </w:r>
          </w:p>
        </w:tc>
        <w:tc>
          <w:tcPr>
            <w:tcW w:w="960" w:type="dxa"/>
            <w:gridSpan w:val="2"/>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每千人口卫生技术人员数</w:t>
            </w:r>
          </w:p>
        </w:tc>
        <w:tc>
          <w:tcPr>
            <w:tcW w:w="2731"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每千人口拥有执业（助理）医师数（人）</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3.11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Calibri"/>
                <w:kern w:val="0"/>
                <w:sz w:val="20"/>
                <w:szCs w:val="20"/>
              </w:rPr>
            </w:pPr>
            <w:r>
              <w:rPr>
                <w:rFonts w:hint="eastAsia" w:ascii="仿宋_GB2312" w:hAnsi="宋体" w:eastAsia="仿宋_GB2312" w:cs="宋体"/>
                <w:kern w:val="0"/>
                <w:sz w:val="20"/>
                <w:szCs w:val="20"/>
              </w:rPr>
              <w:t>3.6</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552" w:hRule="atLeast"/>
        </w:trPr>
        <w:tc>
          <w:tcPr>
            <w:tcW w:w="4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 w:val="20"/>
                <w:szCs w:val="20"/>
              </w:rPr>
            </w:pPr>
          </w:p>
        </w:tc>
        <w:tc>
          <w:tcPr>
            <w:tcW w:w="960" w:type="dxa"/>
            <w:gridSpan w:val="2"/>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 w:val="20"/>
                <w:szCs w:val="20"/>
              </w:rPr>
            </w:pPr>
          </w:p>
        </w:tc>
        <w:tc>
          <w:tcPr>
            <w:tcW w:w="2731"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每千人口注册护士数（人）</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3.42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3.8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635" w:hRule="atLeast"/>
        </w:trPr>
        <w:tc>
          <w:tcPr>
            <w:tcW w:w="4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12</w:t>
            </w:r>
          </w:p>
        </w:tc>
        <w:tc>
          <w:tcPr>
            <w:tcW w:w="3691"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基本养老保险参保率（%）</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95.7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98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789" w:hRule="atLeast"/>
        </w:trPr>
        <w:tc>
          <w:tcPr>
            <w:tcW w:w="4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13</w:t>
            </w:r>
          </w:p>
        </w:tc>
        <w:tc>
          <w:tcPr>
            <w:tcW w:w="3691"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每千人口拥有3岁以下婴幼儿托位数（个）</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1.13</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4.0　</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88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571" w:hRule="atLeast"/>
        </w:trPr>
        <w:tc>
          <w:tcPr>
            <w:tcW w:w="4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14</w:t>
            </w:r>
          </w:p>
        </w:tc>
        <w:tc>
          <w:tcPr>
            <w:tcW w:w="3691"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人均预期寿命（岁）</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　</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预期性</w:t>
            </w:r>
          </w:p>
        </w:tc>
      </w:tr>
      <w:tr>
        <w:tblPrEx>
          <w:tblCellMar>
            <w:top w:w="0" w:type="dxa"/>
            <w:left w:w="108" w:type="dxa"/>
            <w:bottom w:w="0" w:type="dxa"/>
            <w:right w:w="108" w:type="dxa"/>
          </w:tblCellMar>
        </w:tblPrEx>
        <w:trPr>
          <w:trHeight w:val="549" w:hRule="atLeast"/>
        </w:trPr>
        <w:tc>
          <w:tcPr>
            <w:tcW w:w="8440"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黑体" w:hAnsi="黑体" w:eastAsia="黑体" w:cs="宋体"/>
                <w:kern w:val="0"/>
                <w:sz w:val="20"/>
                <w:szCs w:val="20"/>
              </w:rPr>
            </w:pPr>
            <w:r>
              <w:rPr>
                <w:rFonts w:hint="eastAsia" w:ascii="黑体" w:hAnsi="黑体" w:eastAsia="黑体" w:cs="宋体"/>
                <w:kern w:val="0"/>
                <w:sz w:val="20"/>
                <w:szCs w:val="20"/>
              </w:rPr>
              <w:t>四、绿色生态</w:t>
            </w:r>
          </w:p>
        </w:tc>
      </w:tr>
      <w:tr>
        <w:tblPrEx>
          <w:tblCellMar>
            <w:top w:w="0" w:type="dxa"/>
            <w:left w:w="108" w:type="dxa"/>
            <w:bottom w:w="0" w:type="dxa"/>
            <w:right w:w="108" w:type="dxa"/>
          </w:tblCellMar>
        </w:tblPrEx>
        <w:trPr>
          <w:trHeight w:val="825" w:hRule="atLeast"/>
        </w:trPr>
        <w:tc>
          <w:tcPr>
            <w:tcW w:w="4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15</w:t>
            </w:r>
          </w:p>
        </w:tc>
        <w:tc>
          <w:tcPr>
            <w:tcW w:w="3691"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单位地区生产总值能源消耗降低（%）</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20"/>
              </w:rPr>
            </w:pPr>
            <w:r>
              <w:rPr>
                <w:rFonts w:hint="eastAsia" w:ascii="仿宋_GB2312" w:hAnsi="宋体" w:eastAsia="仿宋_GB2312" w:cs="宋体"/>
                <w:kern w:val="0"/>
                <w:sz w:val="18"/>
                <w:szCs w:val="20"/>
              </w:rPr>
              <w:t>按省</w:t>
            </w:r>
            <w:r>
              <w:rPr>
                <w:rFonts w:hint="eastAsia" w:ascii="仿宋_GB2312" w:hAnsi="宋体" w:eastAsia="仿宋_GB2312" w:cs="宋体"/>
                <w:kern w:val="0"/>
                <w:sz w:val="18"/>
                <w:szCs w:val="20"/>
              </w:rPr>
              <w:br w:type="textWrapping"/>
            </w:r>
            <w:r>
              <w:rPr>
                <w:rFonts w:hint="eastAsia" w:ascii="仿宋_GB2312" w:hAnsi="宋体" w:eastAsia="仿宋_GB2312" w:cs="宋体"/>
                <w:kern w:val="0"/>
                <w:sz w:val="18"/>
                <w:szCs w:val="20"/>
              </w:rPr>
              <w:t>下达目标　</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约束性</w:t>
            </w:r>
          </w:p>
        </w:tc>
      </w:tr>
      <w:tr>
        <w:tblPrEx>
          <w:tblCellMar>
            <w:top w:w="0" w:type="dxa"/>
            <w:left w:w="108" w:type="dxa"/>
            <w:bottom w:w="0" w:type="dxa"/>
            <w:right w:w="108" w:type="dxa"/>
          </w:tblCellMar>
        </w:tblPrEx>
        <w:trPr>
          <w:trHeight w:val="552" w:hRule="atLeast"/>
        </w:trPr>
        <w:tc>
          <w:tcPr>
            <w:tcW w:w="4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16</w:t>
            </w:r>
          </w:p>
        </w:tc>
        <w:tc>
          <w:tcPr>
            <w:tcW w:w="3691"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单位地区生产总值二氧化碳排放降低（%）</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20"/>
              </w:rPr>
            </w:pPr>
            <w:r>
              <w:rPr>
                <w:rFonts w:hint="eastAsia" w:ascii="仿宋_GB2312" w:hAnsi="宋体" w:eastAsia="仿宋_GB2312" w:cs="宋体"/>
                <w:kern w:val="0"/>
                <w:sz w:val="18"/>
                <w:szCs w:val="20"/>
              </w:rPr>
              <w:t>按省</w:t>
            </w:r>
            <w:r>
              <w:rPr>
                <w:rFonts w:hint="eastAsia" w:ascii="仿宋_GB2312" w:hAnsi="宋体" w:eastAsia="仿宋_GB2312" w:cs="宋体"/>
                <w:kern w:val="0"/>
                <w:sz w:val="18"/>
                <w:szCs w:val="20"/>
              </w:rPr>
              <w:br w:type="textWrapping"/>
            </w:r>
            <w:r>
              <w:rPr>
                <w:rFonts w:hint="eastAsia" w:ascii="仿宋_GB2312" w:hAnsi="宋体" w:eastAsia="仿宋_GB2312" w:cs="宋体"/>
                <w:kern w:val="0"/>
                <w:sz w:val="18"/>
                <w:szCs w:val="20"/>
              </w:rPr>
              <w:t>下达目标　</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约束性</w:t>
            </w:r>
          </w:p>
        </w:tc>
      </w:tr>
      <w:tr>
        <w:tblPrEx>
          <w:tblCellMar>
            <w:top w:w="0" w:type="dxa"/>
            <w:left w:w="108" w:type="dxa"/>
            <w:bottom w:w="0" w:type="dxa"/>
            <w:right w:w="108" w:type="dxa"/>
          </w:tblCellMar>
        </w:tblPrEx>
        <w:trPr>
          <w:trHeight w:val="552" w:hRule="atLeast"/>
        </w:trPr>
        <w:tc>
          <w:tcPr>
            <w:tcW w:w="4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17</w:t>
            </w:r>
          </w:p>
        </w:tc>
        <w:tc>
          <w:tcPr>
            <w:tcW w:w="3691"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城市空气质量优良天数比率（%）</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70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18"/>
                <w:szCs w:val="20"/>
              </w:rPr>
              <w:t>按省</w:t>
            </w:r>
            <w:r>
              <w:rPr>
                <w:rFonts w:hint="eastAsia" w:ascii="仿宋_GB2312" w:hAnsi="宋体" w:eastAsia="仿宋_GB2312" w:cs="宋体"/>
                <w:kern w:val="0"/>
                <w:sz w:val="18"/>
                <w:szCs w:val="20"/>
              </w:rPr>
              <w:br w:type="textWrapping"/>
            </w:r>
            <w:r>
              <w:rPr>
                <w:rFonts w:hint="eastAsia" w:ascii="仿宋_GB2312" w:hAnsi="宋体" w:eastAsia="仿宋_GB2312" w:cs="宋体"/>
                <w:kern w:val="0"/>
                <w:sz w:val="18"/>
                <w:szCs w:val="20"/>
              </w:rPr>
              <w:t>下达目标</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20"/>
              </w:rPr>
            </w:pPr>
            <w:r>
              <w:rPr>
                <w:rFonts w:hint="eastAsia" w:ascii="仿宋_GB2312" w:hAnsi="宋体" w:eastAsia="仿宋_GB2312" w:cs="宋体"/>
                <w:kern w:val="0"/>
                <w:sz w:val="20"/>
                <w:szCs w:val="20"/>
              </w:rPr>
              <w:t>—</w:t>
            </w:r>
            <w:r>
              <w:rPr>
                <w:rFonts w:hint="eastAsia" w:ascii="仿宋_GB2312" w:hAnsi="宋体" w:eastAsia="仿宋_GB2312" w:cs="宋体"/>
                <w:kern w:val="0"/>
                <w:sz w:val="18"/>
                <w:szCs w:val="20"/>
              </w:rPr>
              <w:t>　</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约束性</w:t>
            </w:r>
          </w:p>
        </w:tc>
      </w:tr>
      <w:tr>
        <w:tblPrEx>
          <w:tblCellMar>
            <w:top w:w="0" w:type="dxa"/>
            <w:left w:w="108" w:type="dxa"/>
            <w:bottom w:w="0" w:type="dxa"/>
            <w:right w:w="108" w:type="dxa"/>
          </w:tblCellMar>
        </w:tblPrEx>
        <w:trPr>
          <w:trHeight w:val="753" w:hRule="atLeast"/>
        </w:trPr>
        <w:tc>
          <w:tcPr>
            <w:tcW w:w="4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18</w:t>
            </w:r>
          </w:p>
        </w:tc>
        <w:tc>
          <w:tcPr>
            <w:tcW w:w="3691"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地表水达到或好于Ⅲ类水体比例（%）</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18"/>
                <w:szCs w:val="20"/>
              </w:rPr>
              <w:t>按省</w:t>
            </w:r>
            <w:r>
              <w:rPr>
                <w:rFonts w:hint="eastAsia" w:ascii="仿宋_GB2312" w:hAnsi="宋体" w:eastAsia="仿宋_GB2312" w:cs="宋体"/>
                <w:kern w:val="0"/>
                <w:sz w:val="18"/>
                <w:szCs w:val="20"/>
              </w:rPr>
              <w:br w:type="textWrapping"/>
            </w:r>
            <w:r>
              <w:rPr>
                <w:rFonts w:hint="eastAsia" w:ascii="仿宋_GB2312" w:hAnsi="宋体" w:eastAsia="仿宋_GB2312" w:cs="宋体"/>
                <w:kern w:val="0"/>
                <w:sz w:val="18"/>
                <w:szCs w:val="20"/>
              </w:rPr>
              <w:t>下达目标</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kern w:val="0"/>
                <w:sz w:val="18"/>
                <w:szCs w:val="20"/>
              </w:rPr>
            </w:pPr>
            <w:r>
              <w:rPr>
                <w:rFonts w:hint="eastAsia" w:ascii="仿宋_GB2312" w:hAnsi="宋体" w:eastAsia="仿宋_GB2312" w:cs="宋体"/>
                <w:kern w:val="0"/>
                <w:sz w:val="20"/>
                <w:szCs w:val="20"/>
              </w:rPr>
              <w:t>—</w:t>
            </w:r>
            <w:r>
              <w:rPr>
                <w:rFonts w:hint="eastAsia" w:ascii="仿宋_GB2312" w:hAnsi="宋体" w:eastAsia="仿宋_GB2312" w:cs="宋体"/>
                <w:b/>
                <w:kern w:val="0"/>
                <w:sz w:val="18"/>
                <w:szCs w:val="20"/>
              </w:rPr>
              <w:t>　</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约束性</w:t>
            </w:r>
          </w:p>
        </w:tc>
      </w:tr>
      <w:tr>
        <w:tblPrEx>
          <w:tblCellMar>
            <w:top w:w="0" w:type="dxa"/>
            <w:left w:w="108" w:type="dxa"/>
            <w:bottom w:w="0" w:type="dxa"/>
            <w:right w:w="108" w:type="dxa"/>
          </w:tblCellMar>
        </w:tblPrEx>
        <w:trPr>
          <w:trHeight w:val="835" w:hRule="atLeast"/>
        </w:trPr>
        <w:tc>
          <w:tcPr>
            <w:tcW w:w="4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19</w:t>
            </w:r>
          </w:p>
        </w:tc>
        <w:tc>
          <w:tcPr>
            <w:tcW w:w="3691"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森林覆盖率（%）</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40.5</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按省</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下达目标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约束性</w:t>
            </w:r>
          </w:p>
        </w:tc>
      </w:tr>
      <w:tr>
        <w:tblPrEx>
          <w:tblCellMar>
            <w:top w:w="0" w:type="dxa"/>
            <w:left w:w="108" w:type="dxa"/>
            <w:bottom w:w="0" w:type="dxa"/>
            <w:right w:w="108" w:type="dxa"/>
          </w:tblCellMar>
        </w:tblPrEx>
        <w:trPr>
          <w:trHeight w:val="552" w:hRule="atLeast"/>
        </w:trPr>
        <w:tc>
          <w:tcPr>
            <w:tcW w:w="8440"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黑体" w:hAnsi="黑体" w:eastAsia="黑体" w:cs="宋体"/>
                <w:kern w:val="0"/>
                <w:sz w:val="20"/>
                <w:szCs w:val="20"/>
              </w:rPr>
            </w:pPr>
            <w:r>
              <w:rPr>
                <w:rFonts w:hint="eastAsia" w:ascii="黑体" w:hAnsi="黑体" w:eastAsia="黑体" w:cs="宋体"/>
                <w:kern w:val="0"/>
                <w:sz w:val="20"/>
                <w:szCs w:val="20"/>
              </w:rPr>
              <w:t>五、安全保障</w:t>
            </w:r>
          </w:p>
        </w:tc>
      </w:tr>
      <w:tr>
        <w:tblPrEx>
          <w:tblCellMar>
            <w:top w:w="0" w:type="dxa"/>
            <w:left w:w="108" w:type="dxa"/>
            <w:bottom w:w="0" w:type="dxa"/>
            <w:right w:w="108" w:type="dxa"/>
          </w:tblCellMar>
        </w:tblPrEx>
        <w:trPr>
          <w:trHeight w:val="490" w:hRule="atLeast"/>
        </w:trPr>
        <w:tc>
          <w:tcPr>
            <w:tcW w:w="460"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仿宋_GB2312" w:hAnsi="宋体" w:eastAsia="仿宋_GB2312" w:cs="宋体"/>
                <w:kern w:val="0"/>
                <w:sz w:val="20"/>
                <w:szCs w:val="20"/>
              </w:rPr>
            </w:pPr>
            <w:r>
              <w:rPr>
                <w:rFonts w:hint="eastAsia" w:ascii="仿宋_GB2312" w:hAnsi="宋体" w:eastAsia="仿宋_GB2312" w:cs="宋体"/>
                <w:kern w:val="0"/>
                <w:sz w:val="20"/>
                <w:szCs w:val="20"/>
              </w:rPr>
              <w:t>20</w:t>
            </w:r>
          </w:p>
        </w:tc>
        <w:tc>
          <w:tcPr>
            <w:tcW w:w="3691"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粮食综合生产能力（万吨）</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715</w:t>
            </w:r>
            <w:r>
              <w:rPr>
                <w:rFonts w:hint="eastAsia" w:ascii="仿宋_GB2312" w:hAnsi="宋体" w:eastAsia="仿宋_GB2312" w:cs="宋体"/>
                <w:kern w:val="0"/>
                <w:sz w:val="20"/>
                <w:szCs w:val="20"/>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Calibri"/>
                <w:kern w:val="0"/>
                <w:sz w:val="20"/>
                <w:szCs w:val="20"/>
              </w:rPr>
            </w:pPr>
            <w:r>
              <w:rPr>
                <w:rFonts w:hint="eastAsia" w:ascii="仿宋_GB2312" w:hAnsi="宋体" w:eastAsia="仿宋_GB2312" w:cs="宋体"/>
                <w:kern w:val="0"/>
                <w:sz w:val="20"/>
                <w:szCs w:val="20"/>
              </w:rPr>
              <w:t>&gt;</w:t>
            </w:r>
            <w:r>
              <w:rPr>
                <w:rFonts w:ascii="仿宋_GB2312" w:hAnsi="宋体" w:eastAsia="仿宋_GB2312" w:cs="宋体"/>
                <w:kern w:val="0"/>
                <w:sz w:val="20"/>
                <w:szCs w:val="20"/>
              </w:rPr>
              <w:t>650</w:t>
            </w:r>
            <w:r>
              <w:rPr>
                <w:rFonts w:cs="Calibri"/>
                <w:kern w:val="0"/>
                <w:sz w:val="20"/>
                <w:szCs w:val="20"/>
              </w:rPr>
              <w:t xml:space="preserve">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cs="Calibri"/>
                <w:kern w:val="0"/>
                <w:sz w:val="20"/>
                <w:szCs w:val="20"/>
              </w:rPr>
            </w:pPr>
            <w:r>
              <w:rPr>
                <w:rFonts w:hint="eastAsia" w:ascii="仿宋_GB2312" w:hAnsi="宋体" w:eastAsia="仿宋_GB2312" w:cs="宋体"/>
                <w:kern w:val="0"/>
                <w:sz w:val="20"/>
                <w:szCs w:val="20"/>
              </w:rPr>
              <w:t>—</w:t>
            </w:r>
          </w:p>
        </w:tc>
        <w:tc>
          <w:tcPr>
            <w:tcW w:w="88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约束性</w:t>
            </w:r>
          </w:p>
        </w:tc>
      </w:tr>
      <w:tr>
        <w:tblPrEx>
          <w:tblCellMar>
            <w:top w:w="0" w:type="dxa"/>
            <w:left w:w="108" w:type="dxa"/>
            <w:bottom w:w="0" w:type="dxa"/>
            <w:right w:w="108" w:type="dxa"/>
          </w:tblCellMar>
        </w:tblPrEx>
        <w:trPr>
          <w:trHeight w:val="660" w:hRule="atLeast"/>
        </w:trPr>
        <w:tc>
          <w:tcPr>
            <w:tcW w:w="4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2</w:t>
            </w:r>
            <w:r>
              <w:rPr>
                <w:rFonts w:ascii="仿宋_GB2312" w:hAnsi="宋体" w:eastAsia="仿宋_GB2312" w:cs="宋体"/>
                <w:kern w:val="0"/>
                <w:sz w:val="20"/>
                <w:szCs w:val="20"/>
              </w:rPr>
              <w:t>1</w:t>
            </w:r>
          </w:p>
        </w:tc>
        <w:tc>
          <w:tcPr>
            <w:tcW w:w="368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能源综合生产能力（万吨标准煤）</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220</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highlight w:val="yellow"/>
              </w:rPr>
            </w:pPr>
            <w:r>
              <w:rPr>
                <w:rFonts w:hint="eastAsia" w:ascii="仿宋_GB2312" w:hAnsi="宋体" w:eastAsia="仿宋_GB2312" w:cs="宋体"/>
                <w:kern w:val="0"/>
                <w:sz w:val="20"/>
                <w:szCs w:val="20"/>
              </w:rPr>
              <w:t>&gt;220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highlight w:val="yellow"/>
              </w:rPr>
            </w:pPr>
            <w:r>
              <w:rPr>
                <w:rFonts w:hint="eastAsia" w:ascii="仿宋_GB2312" w:hAnsi="宋体" w:eastAsia="仿宋_GB2312" w:cs="宋体"/>
                <w:kern w:val="0"/>
                <w:sz w:val="20"/>
                <w:szCs w:val="20"/>
              </w:rPr>
              <w:t>—</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highlight w:val="yellow"/>
              </w:rPr>
            </w:pPr>
            <w:r>
              <w:rPr>
                <w:rFonts w:hint="eastAsia" w:ascii="仿宋_GB2312" w:hAnsi="宋体" w:eastAsia="仿宋_GB2312" w:cs="宋体"/>
                <w:kern w:val="0"/>
                <w:sz w:val="20"/>
                <w:szCs w:val="20"/>
              </w:rPr>
              <w:t>约束性</w:t>
            </w:r>
          </w:p>
        </w:tc>
      </w:tr>
      <w:tr>
        <w:tblPrEx>
          <w:tblCellMar>
            <w:top w:w="0" w:type="dxa"/>
            <w:left w:w="108" w:type="dxa"/>
            <w:bottom w:w="0" w:type="dxa"/>
            <w:right w:w="108" w:type="dxa"/>
          </w:tblCellMar>
        </w:tblPrEx>
        <w:trPr>
          <w:trHeight w:val="415" w:hRule="atLeast"/>
        </w:trPr>
        <w:tc>
          <w:tcPr>
            <w:tcW w:w="8440"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注：1</w:t>
            </w:r>
            <w:r>
              <w:rPr>
                <w:rFonts w:ascii="仿宋_GB2312" w:hAnsi="宋体" w:eastAsia="仿宋_GB2312" w:cs="宋体"/>
                <w:kern w:val="0"/>
                <w:sz w:val="20"/>
                <w:szCs w:val="20"/>
              </w:rPr>
              <w:t>.2020</w:t>
            </w:r>
            <w:r>
              <w:rPr>
                <w:rFonts w:hint="eastAsia" w:ascii="仿宋_GB2312" w:hAnsi="宋体" w:eastAsia="仿宋_GB2312" w:cs="宋体"/>
                <w:kern w:val="0"/>
                <w:sz w:val="20"/>
                <w:szCs w:val="20"/>
              </w:rPr>
              <w:t>年基数为初步预计数；2</w:t>
            </w:r>
            <w:r>
              <w:rPr>
                <w:rFonts w:ascii="仿宋_GB2312" w:hAnsi="宋体" w:eastAsia="仿宋_GB2312" w:cs="宋体"/>
                <w:kern w:val="0"/>
                <w:sz w:val="20"/>
                <w:szCs w:val="20"/>
              </w:rPr>
              <w:t>.</w:t>
            </w:r>
            <w:r>
              <w:rPr>
                <w:rFonts w:hint="eastAsia" w:ascii="仿宋_GB2312" w:hAnsi="宋体" w:eastAsia="仿宋_GB2312" w:cs="宋体"/>
                <w:kern w:val="0"/>
                <w:sz w:val="20"/>
                <w:szCs w:val="20"/>
              </w:rPr>
              <w:t>[]内数据为五年规划期累计数。3</w:t>
            </w:r>
            <w:r>
              <w:rPr>
                <w:rFonts w:ascii="仿宋_GB2312" w:hAnsi="宋体" w:eastAsia="仿宋_GB2312" w:cs="宋体"/>
                <w:kern w:val="0"/>
                <w:sz w:val="20"/>
                <w:szCs w:val="20"/>
              </w:rPr>
              <w:t>.</w:t>
            </w:r>
            <w:r>
              <w:rPr>
                <w:rFonts w:hint="eastAsia" w:ascii="仿宋_GB2312" w:hAnsi="宋体" w:eastAsia="仿宋_GB2312" w:cs="宋体"/>
                <w:kern w:val="0"/>
                <w:sz w:val="20"/>
                <w:szCs w:val="20"/>
              </w:rPr>
              <w:t>能源综合生产能力指煤炭、石油、天然气、非化石能源生产能力之和。</w:t>
            </w:r>
          </w:p>
        </w:tc>
      </w:tr>
    </w:tbl>
    <w:p>
      <w:pPr>
        <w:pStyle w:val="9"/>
        <w:spacing w:after="156" w:afterLines="50" w:line="600" w:lineRule="exact"/>
        <w:jc w:val="center"/>
        <w:rPr>
          <w:rFonts w:ascii="方正小标宋简体" w:hAnsi="黑体" w:eastAsia="方正小标宋简体" w:cs="黑体"/>
          <w:sz w:val="32"/>
          <w:szCs w:val="32"/>
        </w:rPr>
      </w:pPr>
    </w:p>
    <w:p>
      <w:pPr>
        <w:pStyle w:val="9"/>
        <w:spacing w:after="312" w:afterLines="100" w:line="600" w:lineRule="exact"/>
        <w:jc w:val="center"/>
        <w:rPr>
          <w:rFonts w:ascii="方正小标宋简体" w:hAnsi="黑体" w:eastAsia="方正小标宋简体" w:cs="黑体"/>
          <w:sz w:val="32"/>
          <w:szCs w:val="32"/>
        </w:rPr>
      </w:pPr>
      <w:r>
        <w:rPr>
          <w:rFonts w:hint="eastAsia" w:ascii="方正小标宋简体" w:hAnsi="黑体" w:eastAsia="方正小标宋简体" w:cs="黑体"/>
          <w:sz w:val="32"/>
          <w:szCs w:val="32"/>
        </w:rPr>
        <w:t>第二篇  坚持创新驱动发展，建设区域创新高地</w:t>
      </w:r>
    </w:p>
    <w:p>
      <w:pPr>
        <w:spacing w:after="312" w:afterLines="100" w:line="600" w:lineRule="exact"/>
        <w:ind w:firstLine="600"/>
        <w:rPr>
          <w:rFonts w:ascii="仿宋_GB2312" w:hAnsi="仿宋" w:eastAsia="仿宋_GB2312" w:cs="仿宋"/>
          <w:spacing w:val="-6"/>
          <w:kern w:val="0"/>
          <w:sz w:val="32"/>
          <w:szCs w:val="32"/>
        </w:rPr>
      </w:pPr>
      <w:bookmarkStart w:id="0" w:name="_Hlk58928608"/>
      <w:r>
        <w:rPr>
          <w:rFonts w:hint="eastAsia" w:ascii="仿宋_GB2312" w:hAnsi="仿宋" w:eastAsia="仿宋_GB2312" w:cs="仿宋"/>
          <w:spacing w:val="-6"/>
          <w:kern w:val="0"/>
          <w:sz w:val="32"/>
          <w:szCs w:val="32"/>
        </w:rPr>
        <w:t>坚持创新在现代化建设全局中的核心地位，把科技创新作为全市发展的战略支撑，</w:t>
      </w:r>
      <w:bookmarkEnd w:id="0"/>
      <w:r>
        <w:rPr>
          <w:rFonts w:hint="eastAsia" w:ascii="仿宋_GB2312" w:hAnsi="仿宋" w:eastAsia="仿宋_GB2312" w:cs="仿宋"/>
          <w:spacing w:val="-6"/>
          <w:kern w:val="0"/>
          <w:sz w:val="32"/>
          <w:szCs w:val="32"/>
        </w:rPr>
        <w:t>深入实施科教兴宛、人才强市、创新驱动发展战略，围绕产业链布局创新链，完善创新体系，优化创新生态，提升创新能力，激发全社会创新创业活力，全面塑造发展新优势，建设高水平国家创新型城市。</w:t>
      </w:r>
    </w:p>
    <w:p>
      <w:pPr>
        <w:pStyle w:val="4"/>
        <w:spacing w:after="312" w:afterLines="100"/>
        <w:ind w:firstLine="0" w:firstLineChars="0"/>
        <w:jc w:val="center"/>
        <w:rPr>
          <w:rFonts w:ascii="黑体" w:hAnsi="黑体" w:cs="宋体"/>
          <w:bCs/>
        </w:rPr>
      </w:pPr>
      <w:bookmarkStart w:id="1" w:name="_Toc27387658"/>
      <w:r>
        <w:rPr>
          <w:rFonts w:hint="eastAsia" w:ascii="黑体" w:hAnsi="黑体"/>
          <w:bCs/>
        </w:rPr>
        <w:t>第四章  培育产业创新主体</w:t>
      </w:r>
      <w:bookmarkEnd w:id="1"/>
    </w:p>
    <w:p>
      <w:pPr>
        <w:spacing w:after="312" w:afterLines="100" w:line="600" w:lineRule="exact"/>
        <w:ind w:firstLine="600"/>
        <w:rPr>
          <w:rFonts w:ascii="仿宋_GB2312" w:hAnsi="仿宋" w:eastAsia="仿宋_GB2312" w:cs="仿宋"/>
          <w:spacing w:val="-6"/>
          <w:kern w:val="0"/>
          <w:sz w:val="32"/>
          <w:szCs w:val="32"/>
        </w:rPr>
      </w:pPr>
      <w:r>
        <w:rPr>
          <w:rFonts w:hint="eastAsia" w:ascii="仿宋_GB2312" w:hAnsi="仿宋" w:eastAsia="仿宋_GB2312" w:cs="仿宋"/>
          <w:spacing w:val="-6"/>
          <w:kern w:val="0"/>
          <w:sz w:val="32"/>
          <w:szCs w:val="32"/>
        </w:rPr>
        <w:t>充分发挥企业在技术创新中的主体地位，深化科技体制改革，建立以企业为主体、市场为导向、产学研深度融合的技术创新体系。</w:t>
      </w:r>
    </w:p>
    <w:p>
      <w:pPr>
        <w:pStyle w:val="4"/>
        <w:spacing w:after="312" w:afterLines="100"/>
        <w:ind w:firstLine="0" w:firstLineChars="0"/>
        <w:jc w:val="center"/>
        <w:rPr>
          <w:rFonts w:ascii="楷体_GB2312" w:hAnsi="仿宋" w:eastAsia="楷体_GB2312" w:cs="仿宋"/>
          <w:b/>
          <w:szCs w:val="32"/>
        </w:rPr>
      </w:pPr>
      <w:r>
        <w:rPr>
          <w:rFonts w:hint="eastAsia" w:ascii="楷体_GB2312" w:hAnsi="仿宋" w:eastAsia="楷体_GB2312" w:cs="仿宋"/>
          <w:b/>
          <w:szCs w:val="32"/>
        </w:rPr>
        <w:t>第一节  扶持创新型企业发展壮大</w:t>
      </w:r>
    </w:p>
    <w:p>
      <w:pPr>
        <w:spacing w:after="312" w:afterLines="100" w:line="600" w:lineRule="exact"/>
        <w:ind w:firstLine="600"/>
        <w:rPr>
          <w:rFonts w:ascii="仿宋_GB2312" w:hAnsi="仿宋" w:eastAsia="仿宋_GB2312" w:cs="仿宋"/>
          <w:spacing w:val="-6"/>
          <w:kern w:val="0"/>
          <w:sz w:val="32"/>
          <w:szCs w:val="32"/>
        </w:rPr>
      </w:pPr>
      <w:r>
        <w:rPr>
          <w:rFonts w:hint="eastAsia" w:ascii="仿宋_GB2312" w:hAnsi="仿宋" w:eastAsia="仿宋_GB2312" w:cs="仿宋"/>
          <w:spacing w:val="-6"/>
          <w:kern w:val="0"/>
          <w:sz w:val="32"/>
          <w:szCs w:val="32"/>
        </w:rPr>
        <w:t>实施创新型企业引领培育工程，建立分层次遴选培育标准和动态调整机制，遴选20家左右核心竞争力强、行业带动性大、综合实力和创新能力居全省前列的创新龙头企业及后备企业，30家左右创新水平高、发展速度快、成长性好的“瞪羚”企业，100家左右科技含量高、发展前景好的科技“雏鹰”企业进行重点培育，力争涌现3家左右“独角兽”（培育）企业。建立健全创新能力评估和孵化培育机制，做好科技型中小企业创新能力评估分析，推动符合条件的科技型中小企业“应评尽评、应入尽入”，扩大入库规模。加大科技型中小企业培育力度，针对不同阶段的成长需求，开展梯度培育和差异扶持。实施高新技术企业倍增计划，力争高新技术企业超过400家、科技型中小企业超过800家。</w:t>
      </w:r>
    </w:p>
    <w:p>
      <w:pPr>
        <w:pStyle w:val="4"/>
        <w:spacing w:after="312" w:afterLines="100"/>
        <w:ind w:firstLine="0" w:firstLineChars="0"/>
        <w:jc w:val="center"/>
        <w:rPr>
          <w:rFonts w:ascii="楷体_GB2312" w:hAnsi="仿宋" w:eastAsia="楷体_GB2312" w:cs="仿宋"/>
          <w:b/>
          <w:szCs w:val="32"/>
        </w:rPr>
      </w:pPr>
      <w:r>
        <w:rPr>
          <w:rFonts w:hint="eastAsia" w:ascii="楷体_GB2312" w:hAnsi="仿宋" w:eastAsia="楷体_GB2312" w:cs="仿宋"/>
          <w:b/>
          <w:szCs w:val="32"/>
        </w:rPr>
        <w:t>第二节  提升企业技术创新能力</w:t>
      </w:r>
    </w:p>
    <w:p>
      <w:pPr>
        <w:spacing w:after="312" w:afterLines="100" w:line="600" w:lineRule="exact"/>
        <w:ind w:firstLine="600"/>
        <w:rPr>
          <w:rFonts w:ascii="仿宋_GB2312" w:hAnsi="仿宋" w:eastAsia="仿宋_GB2312" w:cs="仿宋"/>
          <w:spacing w:val="-6"/>
          <w:kern w:val="0"/>
          <w:sz w:val="32"/>
          <w:szCs w:val="32"/>
        </w:rPr>
      </w:pPr>
      <w:r>
        <w:rPr>
          <w:rFonts w:hint="eastAsia" w:ascii="仿宋_GB2312" w:hAnsi="仿宋" w:eastAsia="仿宋_GB2312" w:cs="仿宋"/>
          <w:spacing w:val="-6"/>
          <w:kern w:val="0"/>
          <w:sz w:val="32"/>
          <w:szCs w:val="32"/>
        </w:rPr>
        <w:t>健全完善企业、高等学校、科研院所共建共享共担的产学研协同创新机制。充分发挥南阳高校院所在基础研究领域的主力军作用，深化与国内外大院大所合作对接，开展基础研究和技术攻关。建立一批技术创新战略联盟和协同创新中心。吸引500强企业和行业龙头企业在宛设立研发机构。加快构建以政府财政投入为引导、以企业投入为主体、以银行信贷和风险投资等金融资本为支撑、以民间投资为补充的多元化、多渠道、多层次科技投入体系。加大企业研发后补助等财政奖补力度，全面落实高新技术企业所得税优惠、研发费用加计扣除、科技贷款贴息、科技创新券、创新产品政府优先采购等普惠性政策，引导企业加大研发投入。</w:t>
      </w:r>
    </w:p>
    <w:p>
      <w:pPr>
        <w:pStyle w:val="4"/>
        <w:spacing w:after="312" w:afterLines="100" w:line="610" w:lineRule="exact"/>
        <w:ind w:firstLine="0" w:firstLineChars="0"/>
        <w:jc w:val="center"/>
        <w:rPr>
          <w:rFonts w:ascii="黑体" w:hAnsi="黑体" w:cs="宋体"/>
        </w:rPr>
      </w:pPr>
      <w:bookmarkStart w:id="2" w:name="_Toc27387659"/>
      <w:r>
        <w:rPr>
          <w:rFonts w:hint="eastAsia" w:ascii="黑体" w:hAnsi="黑体"/>
        </w:rPr>
        <w:t xml:space="preserve">第五章  </w:t>
      </w:r>
      <w:bookmarkEnd w:id="2"/>
      <w:r>
        <w:rPr>
          <w:rFonts w:hint="eastAsia" w:ascii="黑体" w:hAnsi="黑体"/>
        </w:rPr>
        <w:t>强化创新平台和载体支撑</w:t>
      </w:r>
    </w:p>
    <w:p>
      <w:pPr>
        <w:spacing w:after="312" w:afterLines="100" w:line="600" w:lineRule="exact"/>
        <w:ind w:firstLine="600"/>
        <w:rPr>
          <w:rFonts w:ascii="仿宋_GB2312" w:hAnsi="仿宋" w:eastAsia="仿宋_GB2312" w:cs="仿宋"/>
          <w:spacing w:val="-6"/>
          <w:kern w:val="0"/>
          <w:sz w:val="32"/>
          <w:szCs w:val="32"/>
        </w:rPr>
      </w:pPr>
      <w:r>
        <w:rPr>
          <w:rFonts w:hint="eastAsia" w:ascii="仿宋_GB2312" w:hAnsi="仿宋" w:eastAsia="仿宋_GB2312" w:cs="仿宋"/>
          <w:spacing w:val="-6"/>
          <w:kern w:val="0"/>
          <w:sz w:val="32"/>
          <w:szCs w:val="32"/>
        </w:rPr>
        <w:t>抢抓国家和省优化区域创新布局机遇，优化创新资源、人才、资金等要素集中配置，积极争取重大创新平台和重大科技基础设施布局，大力推动技术高质量研发和成果高质量转化。</w:t>
      </w:r>
    </w:p>
    <w:p>
      <w:pPr>
        <w:pStyle w:val="4"/>
        <w:spacing w:after="312" w:afterLines="100" w:line="610" w:lineRule="exact"/>
        <w:ind w:firstLine="0" w:firstLineChars="0"/>
        <w:jc w:val="center"/>
        <w:rPr>
          <w:rFonts w:ascii="楷体_GB2312" w:hAnsi="仿宋" w:eastAsia="楷体_GB2312" w:cs="仿宋"/>
          <w:b/>
          <w:szCs w:val="32"/>
        </w:rPr>
      </w:pPr>
      <w:r>
        <w:rPr>
          <w:rFonts w:hint="eastAsia" w:ascii="楷体_GB2312" w:hAnsi="仿宋" w:eastAsia="楷体_GB2312" w:cs="仿宋"/>
          <w:b/>
          <w:szCs w:val="32"/>
        </w:rPr>
        <w:t>第一节  建设科技创新平台</w:t>
      </w:r>
    </w:p>
    <w:p>
      <w:pPr>
        <w:spacing w:after="312" w:afterLines="100" w:line="600" w:lineRule="exact"/>
        <w:ind w:firstLine="600"/>
        <w:rPr>
          <w:rFonts w:ascii="仿宋_GB2312" w:hAnsi="仿宋" w:eastAsia="仿宋_GB2312" w:cs="仿宋"/>
          <w:spacing w:val="-6"/>
          <w:kern w:val="0"/>
          <w:sz w:val="32"/>
          <w:szCs w:val="32"/>
        </w:rPr>
      </w:pPr>
      <w:r>
        <w:rPr>
          <w:rFonts w:hint="eastAsia" w:ascii="仿宋_GB2312" w:hAnsi="仿宋" w:eastAsia="仿宋_GB2312" w:cs="仿宋"/>
          <w:spacing w:val="-6"/>
          <w:kern w:val="0"/>
          <w:sz w:val="32"/>
          <w:szCs w:val="32"/>
        </w:rPr>
        <w:t>围绕我市先进制造、光电信息、新能源、新材料、生物医药、节能环保等产业，整合科技创新资源，以企业和高校、科研院所深度合作为重点，新建一批技术创新中心、工程技术研究中心、企业技术中心、产业创新中心、共性技术平台、检测试验平台等，鼓励企业建立重点实验室、院士专家工作站、博士后科研工作站、博士后创新实践基地、学会（协会）服务站。培育一批新兴研发机构，重点支持南阳防研所、南阳师范学院、南阳理工学院等建设重点实验室，乐凯华光、卧龙电气南阳防爆集团、中光学集团、中南钻石、牧原食品等建设工程技术研究中心。鼓励龙头企业设立海外离岸创新中心。加强科学研究实验设施和标准计量检测认证平台建设，完善大型仪器设备共享平台、科技信息情报共享平台等基础条件。到2025年，形成定位准确、目标清晰、布局合理、引领发展的科技创新平台体系，科技创新平台数量稳中有增，总量力争达到1000个。</w:t>
      </w:r>
    </w:p>
    <w:p>
      <w:pPr>
        <w:pStyle w:val="4"/>
        <w:spacing w:after="312" w:afterLines="100" w:line="610" w:lineRule="exact"/>
        <w:ind w:firstLine="0" w:firstLineChars="0"/>
        <w:jc w:val="center"/>
        <w:rPr>
          <w:rFonts w:ascii="楷体_GB2312" w:hAnsi="仿宋" w:eastAsia="楷体_GB2312" w:cs="仿宋"/>
          <w:b/>
          <w:szCs w:val="32"/>
        </w:rPr>
      </w:pPr>
      <w:r>
        <w:rPr>
          <w:rFonts w:hint="eastAsia" w:ascii="楷体_GB2312" w:hAnsi="仿宋" w:eastAsia="楷体_GB2312" w:cs="仿宋"/>
          <w:b/>
          <w:szCs w:val="32"/>
        </w:rPr>
        <w:t>第二节  拓展提升创业孵化载体</w:t>
      </w:r>
    </w:p>
    <w:p>
      <w:pPr>
        <w:pStyle w:val="4"/>
        <w:spacing w:after="312" w:afterLines="100"/>
        <w:ind w:firstLine="640"/>
        <w:rPr>
          <w:rFonts w:ascii="仿宋_GB2312" w:hAnsi="仿宋" w:eastAsia="仿宋_GB2312" w:cs="仿宋"/>
          <w:szCs w:val="32"/>
        </w:rPr>
      </w:pPr>
      <w:r>
        <w:rPr>
          <w:rFonts w:hint="eastAsia" w:ascii="仿宋_GB2312" w:hAnsi="仿宋" w:eastAsia="仿宋_GB2312" w:cs="仿宋"/>
          <w:szCs w:val="32"/>
        </w:rPr>
        <w:t>全面落实国家、省“双创”优惠政策，加快新建一批众创空间、星创天地、科技企业孵化器和创业孵化基地等创新创业载体，支持返乡人才、大学毕业生、退役军人、离岗职工等创新创业。实施“双创”示范基地体制创优行动，拓展卧龙众创空间、理工学院三融众创空间、南阳众创空间、高新技术创业服务中心等服务功能，优化创新创业生态。规划建设南阳大学科创园。积极组织举办、参加各类创新创业大赛。发展“互联网平台+创业单元”等模式。推进“双创”机制创新，加快形成“苗圃+孵化器+加速器+创投”的孵化育成链条。</w:t>
      </w:r>
    </w:p>
    <w:p>
      <w:pPr>
        <w:pStyle w:val="4"/>
        <w:spacing w:after="312" w:afterLines="100" w:line="610" w:lineRule="exact"/>
        <w:ind w:firstLine="0" w:firstLineChars="0"/>
        <w:jc w:val="center"/>
        <w:rPr>
          <w:rFonts w:ascii="楷体_GB2312" w:hAnsi="仿宋" w:eastAsia="楷体_GB2312" w:cs="仿宋"/>
          <w:b/>
          <w:szCs w:val="32"/>
        </w:rPr>
      </w:pPr>
      <w:r>
        <w:rPr>
          <w:rFonts w:hint="eastAsia" w:ascii="楷体_GB2312" w:hAnsi="仿宋" w:eastAsia="楷体_GB2312" w:cs="仿宋"/>
          <w:b/>
          <w:szCs w:val="32"/>
        </w:rPr>
        <w:t>第三节  培育技术转化机构</w:t>
      </w:r>
    </w:p>
    <w:p>
      <w:pPr>
        <w:pStyle w:val="4"/>
        <w:spacing w:after="312" w:afterLines="100"/>
        <w:ind w:firstLine="640"/>
        <w:jc w:val="both"/>
        <w:rPr>
          <w:rFonts w:ascii="仿宋_GB2312" w:hAnsi="仿宋" w:eastAsia="仿宋_GB2312" w:cs="仿宋"/>
          <w:szCs w:val="32"/>
        </w:rPr>
      </w:pPr>
      <w:bookmarkStart w:id="3" w:name="_Hlk58929516"/>
      <w:r>
        <w:rPr>
          <w:rFonts w:hint="eastAsia" w:ascii="仿宋_GB2312" w:hAnsi="仿宋" w:eastAsia="仿宋_GB2312" w:cs="仿宋"/>
          <w:szCs w:val="32"/>
        </w:rPr>
        <w:t>围绕全市经济社会发展战略和市场主体的技术需求，大力培育和繁荣技术中介机构，充分发挥市场机制配置科技资源的基础性作用，鼓励发展股份制、合伙制的专业科技成果转移转化机构，培育一批服务专业化、发展规模化、运行规范化的科技中介机构，加快形成政策引导、社会参与、开放协作、功能完备、运行高效的科技中介服务体系，满足科技发展和创新活动的服务需求。做大做强中关村科技产业园、南阳科技大市场，推动校地合作和科技成果发布交易，</w:t>
      </w:r>
      <w:bookmarkEnd w:id="3"/>
      <w:r>
        <w:rPr>
          <w:rFonts w:hint="eastAsia" w:ascii="仿宋_GB2312" w:hAnsi="仿宋" w:eastAsia="仿宋_GB2312" w:cs="仿宋"/>
          <w:szCs w:val="32"/>
        </w:rPr>
        <w:t>加快科技成果转化，打造豫西南科技资源集聚平台、技术交易中心、科技成果转化中心。发挥河南省中科院南阳科技成果转化分中心作用，加快科技要素、创新成果向生产力转化。依托南阳高校资源，举办河南（南阳）高校院所科技成果博览会，开展创新成果展示交易。大力推动企业知识产权培育和高校知识产权能力提升，推动专利申请和授权量质双升。</w:t>
      </w:r>
    </w:p>
    <w:p>
      <w:pPr>
        <w:pStyle w:val="4"/>
        <w:spacing w:after="312" w:afterLines="100" w:line="610" w:lineRule="exact"/>
        <w:ind w:firstLine="0" w:firstLineChars="0"/>
        <w:jc w:val="center"/>
        <w:rPr>
          <w:rFonts w:ascii="黑体" w:hAnsi="黑体"/>
        </w:rPr>
      </w:pPr>
      <w:bookmarkStart w:id="4" w:name="_Toc453749833"/>
      <w:bookmarkEnd w:id="4"/>
      <w:bookmarkStart w:id="5" w:name="_Toc453749834"/>
      <w:bookmarkEnd w:id="5"/>
      <w:bookmarkStart w:id="6" w:name="_Toc27387661"/>
      <w:r>
        <w:rPr>
          <w:rFonts w:hint="eastAsia" w:ascii="黑体" w:hAnsi="黑体"/>
        </w:rPr>
        <w:t>第六章  攻克产业关键技术</w:t>
      </w:r>
      <w:bookmarkEnd w:id="6"/>
    </w:p>
    <w:p>
      <w:pPr>
        <w:spacing w:after="312" w:afterLines="100" w:line="600" w:lineRule="exact"/>
        <w:ind w:firstLine="601"/>
        <w:rPr>
          <w:rFonts w:ascii="仿宋_GB2312" w:hAnsi="仿宋" w:eastAsia="仿宋_GB2312" w:cs="仿宋"/>
          <w:spacing w:val="-6"/>
          <w:kern w:val="0"/>
          <w:sz w:val="32"/>
          <w:szCs w:val="32"/>
        </w:rPr>
      </w:pPr>
      <w:r>
        <w:rPr>
          <w:rFonts w:hint="eastAsia" w:ascii="仿宋_GB2312" w:hAnsi="仿宋" w:eastAsia="仿宋_GB2312" w:cs="仿宋"/>
          <w:spacing w:val="-6"/>
          <w:kern w:val="0"/>
          <w:sz w:val="32"/>
          <w:szCs w:val="32"/>
        </w:rPr>
        <w:t>围绕“主新特”产业，实施一批重大科技专项，攻克一批关键技术，研发一批创新产品。</w:t>
      </w:r>
    </w:p>
    <w:p>
      <w:pPr>
        <w:pStyle w:val="4"/>
        <w:spacing w:after="312" w:afterLines="100"/>
        <w:ind w:firstLine="0" w:firstLineChars="0"/>
        <w:jc w:val="center"/>
        <w:rPr>
          <w:rFonts w:ascii="楷体_GB2312" w:hAnsi="仿宋" w:eastAsia="楷体_GB2312" w:cs="仿宋"/>
          <w:b/>
          <w:szCs w:val="32"/>
        </w:rPr>
      </w:pPr>
    </w:p>
    <w:p>
      <w:pPr>
        <w:pStyle w:val="4"/>
        <w:spacing w:after="312" w:afterLines="100"/>
        <w:ind w:firstLine="0" w:firstLineChars="0"/>
        <w:jc w:val="center"/>
        <w:rPr>
          <w:rFonts w:ascii="楷体_GB2312" w:hAnsi="仿宋" w:eastAsia="楷体_GB2312" w:cs="仿宋"/>
          <w:b/>
          <w:szCs w:val="32"/>
        </w:rPr>
      </w:pPr>
      <w:r>
        <w:rPr>
          <w:rFonts w:hint="eastAsia" w:ascii="楷体_GB2312" w:hAnsi="仿宋" w:eastAsia="楷体_GB2312" w:cs="仿宋"/>
          <w:b/>
          <w:szCs w:val="32"/>
        </w:rPr>
        <w:t>第一节  实施重大科技专项</w:t>
      </w:r>
    </w:p>
    <w:p>
      <w:pPr>
        <w:pStyle w:val="4"/>
        <w:spacing w:after="312" w:afterLines="100"/>
        <w:ind w:firstLine="640"/>
        <w:jc w:val="both"/>
        <w:rPr>
          <w:rFonts w:ascii="仿宋_GB2312" w:hAnsi="仿宋" w:eastAsia="仿宋_GB2312" w:cs="仿宋"/>
          <w:szCs w:val="32"/>
        </w:rPr>
      </w:pPr>
      <w:r>
        <w:rPr>
          <w:rFonts w:hint="eastAsia" w:ascii="仿宋_GB2312" w:hAnsi="仿宋" w:eastAsia="仿宋_GB2312" w:cs="仿宋"/>
          <w:szCs w:val="32"/>
        </w:rPr>
        <w:t>实行“揭榜挂帅”制度，整合优势资源集中攻关，攻克一批对产业竞争力整体提升具有全局性影响的关键共性技术。推动重大关键技术产业化。坚持自主培育和外部引进相结合，鼓励和支持行业龙头企业牵头组织关键技术攻关。围绕新一代信息技术、装备制造、数字光电、新材料、新能源等产业，以提升核心竞争力为着力点，突出重点、分类推进，组织实施重大科技专项，突破一批关键核心技术。围绕油碱化工、冶金建材、纺织服装等产业，加大重大关键共性技术攻关,加快高新技术改造传统产业步伐,做大做强骨干企业,推动传统产业高新化。以保障粮食安全战略为目标，在种质安全、种植养殖、农产品精深加工等方面，设立农业科研项目，解决一批制约农业发展的重大技术问题，全面提升农业科技自主创新能力。围绕新药创制、节能与绿色发展、资源综合利用、人口与健康、食品安全等领域，加快技术研发和成果推广，依靠科技创新持续改善和保障民生。</w:t>
      </w:r>
    </w:p>
    <w:p>
      <w:pPr>
        <w:pStyle w:val="4"/>
        <w:spacing w:after="312" w:afterLines="100"/>
        <w:ind w:firstLine="0" w:firstLineChars="0"/>
        <w:jc w:val="center"/>
        <w:rPr>
          <w:rFonts w:ascii="楷体_GB2312" w:hAnsi="仿宋" w:eastAsia="楷体_GB2312" w:cs="仿宋"/>
          <w:b/>
          <w:szCs w:val="32"/>
        </w:rPr>
      </w:pPr>
      <w:bookmarkStart w:id="7" w:name="_Toc27387660"/>
      <w:r>
        <w:rPr>
          <w:rFonts w:hint="eastAsia" w:ascii="楷体_GB2312" w:hAnsi="仿宋" w:eastAsia="楷体_GB2312" w:cs="仿宋"/>
          <w:b/>
          <w:szCs w:val="32"/>
        </w:rPr>
        <w:t>第二节  提升创新产品市场竞争力</w:t>
      </w:r>
    </w:p>
    <w:p>
      <w:pPr>
        <w:pStyle w:val="4"/>
        <w:spacing w:after="312" w:afterLines="100"/>
        <w:ind w:firstLine="640"/>
        <w:jc w:val="both"/>
        <w:rPr>
          <w:rFonts w:ascii="仿宋_GB2312" w:hAnsi="仿宋" w:eastAsia="仿宋_GB2312" w:cs="仿宋"/>
          <w:szCs w:val="32"/>
        </w:rPr>
      </w:pPr>
      <w:r>
        <w:rPr>
          <w:rFonts w:hint="eastAsia" w:ascii="仿宋_GB2312" w:hAnsi="仿宋" w:eastAsia="仿宋_GB2312" w:cs="仿宋"/>
          <w:szCs w:val="32"/>
        </w:rPr>
        <w:t>建立健全创新产品培育政策体系，支持龙头企业研发新产品，开展创新产品认定。落实鼓励自主创新、促进产品出口等方面政策法规，为创新产品研发培育提供有力保障。突破一批制约发展的核心技术，研发一批差异化中高端产品，形成防爆电机、汽车零部件、油气钻采设备、输变电设备、手机微棱镜、车载镜头、胶印版材、CVD金刚石等一批具有核心竞争力的产品，打造牧原猪、仲景药、赊店酒、镇平玉、科尔沁牛、渠首农产品等一批享誉国内外的知名品牌，提高产品品牌竞争力、影响力和在国内国际产业链中的地位。</w:t>
      </w:r>
    </w:p>
    <w:p>
      <w:pPr>
        <w:pStyle w:val="4"/>
        <w:spacing w:after="312" w:afterLines="100" w:line="610" w:lineRule="exact"/>
        <w:ind w:firstLine="0" w:firstLineChars="0"/>
        <w:jc w:val="center"/>
        <w:rPr>
          <w:rFonts w:ascii="黑体" w:hAnsi="黑体"/>
        </w:rPr>
      </w:pPr>
      <w:r>
        <w:rPr>
          <w:rFonts w:hint="eastAsia" w:ascii="黑体" w:hAnsi="黑体"/>
        </w:rPr>
        <w:t xml:space="preserve">第七章  </w:t>
      </w:r>
      <w:bookmarkEnd w:id="7"/>
      <w:r>
        <w:rPr>
          <w:rFonts w:hint="eastAsia" w:ascii="黑体" w:hAnsi="黑体"/>
        </w:rPr>
        <w:t>强化人才支撑</w:t>
      </w:r>
    </w:p>
    <w:p>
      <w:pPr>
        <w:pStyle w:val="4"/>
        <w:spacing w:after="312" w:afterLines="100"/>
        <w:ind w:firstLine="640"/>
        <w:jc w:val="both"/>
        <w:rPr>
          <w:rFonts w:ascii="仿宋_GB2312" w:hAnsi="仿宋" w:eastAsia="仿宋_GB2312" w:cs="仿宋"/>
          <w:szCs w:val="32"/>
        </w:rPr>
      </w:pPr>
      <w:r>
        <w:rPr>
          <w:rFonts w:hint="eastAsia" w:ascii="仿宋_GB2312" w:hAnsi="仿宋" w:eastAsia="仿宋_GB2312" w:cs="仿宋"/>
          <w:szCs w:val="32"/>
        </w:rPr>
        <w:t>坚持尊重劳动、尊重知识、尊重人才、尊重创造，深入实施“诸葛英才计划”，完善“全职+柔性”招才引智机制，建立更具竞争力的人才政策体系，加速推进各类人才集聚发展。</w:t>
      </w:r>
    </w:p>
    <w:p>
      <w:pPr>
        <w:pStyle w:val="4"/>
        <w:spacing w:after="312" w:afterLines="100"/>
        <w:ind w:firstLine="0" w:firstLineChars="0"/>
        <w:jc w:val="center"/>
        <w:rPr>
          <w:rFonts w:ascii="楷体_GB2312" w:hAnsi="仿宋" w:eastAsia="楷体_GB2312" w:cs="仿宋"/>
          <w:b/>
          <w:szCs w:val="32"/>
        </w:rPr>
      </w:pPr>
      <w:r>
        <w:rPr>
          <w:rFonts w:hint="eastAsia" w:ascii="楷体_GB2312" w:hAnsi="仿宋" w:eastAsia="楷体_GB2312" w:cs="仿宋"/>
          <w:b/>
          <w:szCs w:val="32"/>
        </w:rPr>
        <w:t>第一节  引进培育产业创新人才</w:t>
      </w:r>
    </w:p>
    <w:p>
      <w:pPr>
        <w:pStyle w:val="4"/>
        <w:spacing w:after="312" w:afterLines="100"/>
        <w:ind w:firstLine="640"/>
        <w:jc w:val="both"/>
        <w:rPr>
          <w:rFonts w:ascii="仿宋_GB2312" w:hAnsi="仿宋" w:eastAsia="仿宋_GB2312" w:cs="仿宋"/>
          <w:szCs w:val="32"/>
        </w:rPr>
      </w:pPr>
      <w:r>
        <w:rPr>
          <w:rFonts w:hint="eastAsia" w:ascii="仿宋_GB2312" w:hAnsi="仿宋" w:eastAsia="仿宋_GB2312" w:cs="仿宋"/>
          <w:szCs w:val="32"/>
        </w:rPr>
        <w:t>实施 “创新岗位特聘专家计划”“科技创新团队计划” “海外引智计划”。以新兴产业和高新技术产业为重点，发布产业引才目录，靶向引进顶尖人才。用好南阳籍院士专家故乡行、京宛协作北京院士专家南阳行等载体平台，着力引进一批具有国内国际先进水平的产业领军人才、科技创新人才和创新团队，储备一批优秀青年创新人才。支持企业建立自主创新团队，引导高等院校、科研院所科技人员到企业服务。实施“品质宛商”提升工程，大力弘扬企业家精神，培养形成数量可观的高素质企业家队伍。</w:t>
      </w:r>
    </w:p>
    <w:p>
      <w:pPr>
        <w:pStyle w:val="4"/>
        <w:spacing w:after="312" w:afterLines="100"/>
        <w:ind w:firstLine="0" w:firstLineChars="0"/>
        <w:jc w:val="center"/>
        <w:rPr>
          <w:rFonts w:ascii="楷体_GB2312" w:hAnsi="仿宋" w:eastAsia="楷体_GB2312" w:cs="仿宋"/>
          <w:b/>
          <w:szCs w:val="32"/>
        </w:rPr>
      </w:pPr>
      <w:r>
        <w:rPr>
          <w:rFonts w:hint="eastAsia" w:ascii="楷体_GB2312" w:hAnsi="仿宋" w:eastAsia="楷体_GB2312" w:cs="仿宋"/>
          <w:b/>
          <w:szCs w:val="32"/>
        </w:rPr>
        <w:t>第二节  壮大高技能人才队伍</w:t>
      </w:r>
    </w:p>
    <w:p>
      <w:pPr>
        <w:pStyle w:val="4"/>
        <w:spacing w:after="312" w:afterLines="100"/>
        <w:ind w:firstLine="640"/>
        <w:jc w:val="both"/>
        <w:rPr>
          <w:rFonts w:ascii="仿宋_GB2312" w:hAnsi="仿宋" w:eastAsia="仿宋_GB2312" w:cs="仿宋"/>
          <w:szCs w:val="32"/>
        </w:rPr>
      </w:pPr>
      <w:r>
        <w:rPr>
          <w:rFonts w:hint="eastAsia" w:ascii="仿宋_GB2312" w:hAnsi="仿宋_GB2312" w:eastAsia="仿宋_GB2312" w:cs="仿宋_GB2312"/>
          <w:szCs w:val="32"/>
        </w:rPr>
        <w:t>落实国家高技能人才振兴计划，</w:t>
      </w:r>
      <w:r>
        <w:rPr>
          <w:rFonts w:hint="eastAsia" w:ascii="仿宋_GB2312" w:hAnsi="仿宋" w:eastAsia="仿宋_GB2312" w:cs="仿宋"/>
          <w:szCs w:val="32"/>
        </w:rPr>
        <w:t>加强应用型、技能型人才培养，</w:t>
      </w:r>
      <w:r>
        <w:rPr>
          <w:rFonts w:hint="eastAsia" w:ascii="仿宋_GB2312" w:hAnsi="仿宋_GB2312" w:eastAsia="仿宋_GB2312" w:cs="仿宋_GB2312"/>
          <w:szCs w:val="32"/>
        </w:rPr>
        <w:t>实施高技能人才“金蓝领”技能提升培训项目、高技能领军人才和产业紧缺人才境外培训项目，</w:t>
      </w:r>
      <w:r>
        <w:rPr>
          <w:rFonts w:hint="eastAsia" w:ascii="仿宋_GB2312" w:hAnsi="仿宋" w:eastAsia="仿宋_GB2312" w:cs="仿宋"/>
          <w:szCs w:val="32"/>
        </w:rPr>
        <w:t>强化产业工人队伍建设。</w:t>
      </w:r>
      <w:r>
        <w:rPr>
          <w:rFonts w:hint="eastAsia" w:ascii="仿宋_GB2312" w:hAnsi="仿宋_GB2312" w:eastAsia="仿宋_GB2312" w:cs="仿宋_GB2312"/>
          <w:szCs w:val="32"/>
        </w:rPr>
        <w:t>推进技工院校改革创新，深化产教融合和校企合作，推进技能大赛与技工教育融合发展，稳定和扩大技工院校招生规模。</w:t>
      </w:r>
      <w:r>
        <w:rPr>
          <w:rFonts w:hint="eastAsia" w:ascii="仿宋_GB2312" w:hAnsi="仿宋" w:eastAsia="仿宋_GB2312" w:cs="仿宋"/>
          <w:szCs w:val="32"/>
        </w:rPr>
        <w:t>积极培育“南阳名匠”“豫宛大工匠”，促进人才链与产业链、创新链深度融合，将人口优势转化成劳动力优势、人才优势。大力弘扬劳模精神和工匠精神，打造一支懂技术会创新的现代产业工人队伍。</w:t>
      </w:r>
    </w:p>
    <w:p>
      <w:pPr>
        <w:pStyle w:val="4"/>
        <w:spacing w:after="312" w:afterLines="100"/>
        <w:ind w:firstLine="0" w:firstLineChars="0"/>
        <w:jc w:val="center"/>
        <w:rPr>
          <w:rFonts w:ascii="楷体_GB2312" w:hAnsi="仿宋" w:eastAsia="楷体_GB2312" w:cs="仿宋"/>
          <w:b/>
          <w:szCs w:val="32"/>
        </w:rPr>
      </w:pPr>
      <w:r>
        <w:rPr>
          <w:rFonts w:hint="eastAsia" w:ascii="楷体_GB2312" w:hAnsi="仿宋" w:eastAsia="楷体_GB2312" w:cs="仿宋"/>
          <w:b/>
          <w:szCs w:val="32"/>
        </w:rPr>
        <w:t>第三节  激发人才创新活力</w:t>
      </w:r>
    </w:p>
    <w:p>
      <w:pPr>
        <w:pStyle w:val="4"/>
        <w:spacing w:after="312" w:afterLines="100"/>
        <w:ind w:firstLine="640"/>
        <w:jc w:val="both"/>
        <w:rPr>
          <w:rFonts w:ascii="仿宋_GB2312" w:hAnsi="仿宋_GB2312" w:eastAsia="仿宋_GB2312" w:cs="仿宋_GB2312"/>
          <w:szCs w:val="32"/>
        </w:rPr>
      </w:pPr>
      <w:r>
        <w:rPr>
          <w:rFonts w:hint="eastAsia" w:ascii="仿宋_GB2312" w:hAnsi="仿宋_GB2312" w:eastAsia="仿宋_GB2312" w:cs="仿宋_GB2312"/>
          <w:szCs w:val="32"/>
        </w:rPr>
        <w:t>健全以创新能力、质量、实效、贡献为导向的人才评价体系，完善创新激励和保障机制。全面落实企事业单位用人自主权，推行代表作评价。扩大职称自主评审范围，完善急需紧缺和高层次人才职称评聘绿色通道，推进社会化职称评审。建立科研单位绩效工资总量动态调整机制和竞争性科研项目奖酬金提取机制，完善科研人员职务发明成果权益分享机制，构建充分体现知识、技术等创新要素价值的收益分配机制。畅通城乡、区域、行业和不同所有制间人才流动渠道，完善各类人才下沉服务基层和一线的政策机制。简化政策服务流程，全方位落实人才奖励补贴、薪酬待遇、医疗社保、子女入学、居留便利、荣誉称号等政策措施，营造鼓励创新、宽容失败的“宽”环境，打造近悦远来的人才生态。实施人力资源服务业提升计划，建设南阳市人力资源服务产业园。用好人才工作市场化手段，形成政府与市场主体有序分工、良性互动的人才工作新局面。</w:t>
      </w:r>
    </w:p>
    <w:tbl>
      <w:tblPr>
        <w:tblStyle w:val="23"/>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46" w:type="dxa"/>
          </w:tcPr>
          <w:p>
            <w:pPr>
              <w:tabs>
                <w:tab w:val="center" w:pos="4153"/>
                <w:tab w:val="right" w:pos="8306"/>
              </w:tabs>
              <w:snapToGrid w:val="0"/>
              <w:spacing w:line="600" w:lineRule="exact"/>
              <w:jc w:val="center"/>
              <w:rPr>
                <w:rFonts w:ascii="黑体" w:hAnsi="黑体" w:eastAsia="黑体" w:cs="仿宋_GB2312"/>
                <w:kern w:val="0"/>
                <w:sz w:val="30"/>
                <w:szCs w:val="30"/>
                <w:shd w:val="clear" w:color="auto" w:fill="FFFFFF"/>
              </w:rPr>
            </w:pPr>
            <w:r>
              <w:rPr>
                <w:rFonts w:hint="eastAsia" w:ascii="黑体" w:hAnsi="黑体" w:eastAsia="黑体" w:cs="仿宋_GB2312"/>
                <w:bCs/>
                <w:sz w:val="30"/>
                <w:szCs w:val="30"/>
              </w:rPr>
              <w:t>专栏1：</w:t>
            </w:r>
            <w:r>
              <w:rPr>
                <w:rFonts w:hint="eastAsia" w:ascii="黑体" w:hAnsi="黑体" w:eastAsia="黑体" w:cs="宋体"/>
                <w:kern w:val="0"/>
                <w:sz w:val="30"/>
                <w:szCs w:val="30"/>
              </w:rPr>
              <w:t>创新体系培育重点工程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9" w:hRule="atLeast"/>
        </w:trPr>
        <w:tc>
          <w:tcPr>
            <w:tcW w:w="8946" w:type="dxa"/>
          </w:tcPr>
          <w:p>
            <w:pPr>
              <w:pStyle w:val="4"/>
              <w:ind w:firstLine="562"/>
              <w:jc w:val="both"/>
              <w:rPr>
                <w:rFonts w:ascii="仿宋_GB2312" w:hAnsi="仿宋_GB2312" w:eastAsia="仿宋_GB2312" w:cs="仿宋_GB2312"/>
                <w:sz w:val="28"/>
                <w:szCs w:val="28"/>
              </w:rPr>
            </w:pPr>
            <w:r>
              <w:rPr>
                <w:rFonts w:hint="eastAsia" w:ascii="仿宋_GB2312" w:hAnsi="仿宋_GB2312" w:eastAsia="仿宋_GB2312" w:cs="仿宋_GB2312"/>
                <w:b/>
                <w:bCs/>
                <w:sz w:val="28"/>
                <w:szCs w:val="28"/>
              </w:rPr>
              <w:t>1.重大科技专项工程。</w:t>
            </w:r>
            <w:r>
              <w:rPr>
                <w:rFonts w:hint="eastAsia" w:ascii="仿宋_GB2312" w:hAnsi="仿宋_GB2312" w:eastAsia="仿宋_GB2312" w:cs="仿宋_GB2312"/>
                <w:sz w:val="28"/>
                <w:szCs w:val="28"/>
              </w:rPr>
              <w:t>在制造业领域组织实施智能装备、智能终端、生物质能、新能源汽车、节能环保等50项重大科技专项；在农业科技领域组织实施生物育种、精准栽培、农业物联网、鲜活农产品保鲜、冷链食品、互联网+农业等30项重大科技专项；在民生科技领域组织实施大数据、食品安全、精准医疗、康复保健、资源循环利用、环境治理等20项重大科技专项。</w:t>
            </w:r>
          </w:p>
          <w:p>
            <w:pPr>
              <w:pStyle w:val="4"/>
              <w:ind w:firstLine="562"/>
              <w:jc w:val="both"/>
              <w:rPr>
                <w:rFonts w:ascii="仿宋_GB2312" w:hAnsi="仿宋_GB2312" w:eastAsia="仿宋_GB2312" w:cs="仿宋_GB2312"/>
                <w:sz w:val="28"/>
                <w:szCs w:val="28"/>
              </w:rPr>
            </w:pPr>
            <w:r>
              <w:rPr>
                <w:rFonts w:hint="eastAsia" w:ascii="仿宋_GB2312" w:hAnsi="仿宋_GB2312" w:eastAsia="仿宋_GB2312" w:cs="仿宋_GB2312"/>
                <w:b/>
                <w:bCs/>
                <w:sz w:val="28"/>
                <w:szCs w:val="28"/>
              </w:rPr>
              <w:t>2.科技创新平台建设工程。</w:t>
            </w:r>
            <w:r>
              <w:rPr>
                <w:rFonts w:hint="eastAsia" w:ascii="仿宋_GB2312" w:hAnsi="仿宋_GB2312" w:eastAsia="仿宋_GB2312" w:cs="仿宋_GB2312"/>
                <w:sz w:val="28"/>
                <w:szCs w:val="28"/>
              </w:rPr>
              <w:t>重点实验室保持在220个左右，工程技术研究中心保持在730个左右。力争新培育国家级创新平台（国家重点实验室、工程技术研究中心）1-2个，省级重点实验室5个左右、省级工程技术研究中心40个左右，省备案新型研发机构或省级技术创新中心2-3家，市级重点实验室50个左右、市级工程技术研究中心180个左右。</w:t>
            </w:r>
          </w:p>
          <w:p>
            <w:pPr>
              <w:pStyle w:val="4"/>
              <w:ind w:firstLine="562"/>
              <w:jc w:val="both"/>
              <w:rPr>
                <w:rFonts w:ascii="仿宋_GB2312" w:hAnsi="仿宋_GB2312" w:eastAsia="仿宋_GB2312" w:cs="仿宋_GB2312"/>
                <w:sz w:val="28"/>
                <w:szCs w:val="28"/>
              </w:rPr>
            </w:pPr>
            <w:r>
              <w:rPr>
                <w:rFonts w:hint="eastAsia" w:ascii="仿宋_GB2312" w:hAnsi="仿宋_GB2312" w:eastAsia="仿宋_GB2312" w:cs="仿宋_GB2312"/>
                <w:b/>
                <w:bCs/>
                <w:sz w:val="28"/>
                <w:szCs w:val="28"/>
              </w:rPr>
              <w:t>3.创新创业平台建设工程。</w:t>
            </w:r>
            <w:r>
              <w:rPr>
                <w:rFonts w:hint="eastAsia" w:ascii="仿宋_GB2312" w:hAnsi="仿宋_GB2312" w:eastAsia="仿宋_GB2312" w:cs="仿宋_GB2312"/>
                <w:sz w:val="28"/>
                <w:szCs w:val="28"/>
              </w:rPr>
              <w:t>鼓励和支持多元化主体建设众创空间、科技企业孵化器、大学科技园等创新创业服务载体，在全市新增50个左右创新创业服务平台。</w:t>
            </w:r>
          </w:p>
          <w:p>
            <w:pPr>
              <w:pStyle w:val="4"/>
              <w:ind w:firstLine="562"/>
              <w:jc w:val="both"/>
              <w:rPr>
                <w:rFonts w:eastAsia="仿宋_GB2312"/>
                <w:sz w:val="28"/>
                <w:szCs w:val="28"/>
              </w:rPr>
            </w:pPr>
            <w:r>
              <w:rPr>
                <w:rFonts w:hint="eastAsia" w:ascii="仿宋_GB2312" w:hAnsi="仿宋_GB2312" w:eastAsia="仿宋_GB2312" w:cs="仿宋_GB2312"/>
                <w:b/>
                <w:bCs/>
                <w:sz w:val="28"/>
                <w:szCs w:val="28"/>
              </w:rPr>
              <w:t>4.技术转移转化机构培育工程。</w:t>
            </w:r>
            <w:r>
              <w:rPr>
                <w:rFonts w:hint="eastAsia" w:ascii="仿宋_GB2312" w:hAnsi="仿宋_GB2312" w:eastAsia="仿宋_GB2312" w:cs="仿宋_GB2312"/>
                <w:sz w:val="28"/>
                <w:szCs w:val="28"/>
              </w:rPr>
              <w:t>增建市级技术转移服务机构8家，总数达到18家。省级技术转移服务机构2家，总数达到4家。市级产业创新战略联盟20家，省级创新战略联盟5家。</w:t>
            </w:r>
          </w:p>
        </w:tc>
      </w:tr>
    </w:tbl>
    <w:p>
      <w:pPr>
        <w:pStyle w:val="2"/>
      </w:pPr>
    </w:p>
    <w:p>
      <w:pPr>
        <w:pStyle w:val="4"/>
        <w:spacing w:after="312" w:afterLines="100" w:line="400" w:lineRule="exact"/>
        <w:ind w:firstLine="0" w:firstLineChars="0"/>
        <w:jc w:val="center"/>
        <w:rPr>
          <w:rFonts w:ascii="方正小标宋简体" w:hAnsi="黑体" w:eastAsia="方正小标宋简体"/>
          <w:szCs w:val="32"/>
        </w:rPr>
      </w:pPr>
      <w:r>
        <w:rPr>
          <w:rFonts w:hint="eastAsia" w:ascii="方正小标宋简体" w:hAnsi="黑体" w:eastAsia="方正小标宋简体"/>
          <w:szCs w:val="32"/>
        </w:rPr>
        <w:t>第三篇  聚焦先进制造业强市建设，着力构建现代产业体系</w:t>
      </w:r>
    </w:p>
    <w:p>
      <w:pPr>
        <w:pStyle w:val="4"/>
        <w:spacing w:after="312" w:afterLines="100"/>
        <w:ind w:firstLine="640"/>
        <w:jc w:val="both"/>
        <w:rPr>
          <w:rFonts w:ascii="仿宋_GB2312" w:hAnsi="仿宋_GB2312" w:eastAsia="仿宋_GB2312" w:cs="仿宋_GB2312"/>
          <w:szCs w:val="32"/>
        </w:rPr>
      </w:pPr>
      <w:r>
        <w:rPr>
          <w:rFonts w:hint="eastAsia" w:ascii="仿宋_GB2312" w:hAnsi="仿宋_GB2312" w:eastAsia="仿宋_GB2312" w:cs="仿宋_GB2312"/>
          <w:szCs w:val="32"/>
        </w:rPr>
        <w:t>坚持把制造业高质量发展作为主攻方向，推进产业基础高级化、产业链现代化，促进先进制造业和现代服务业深度融合，集中力量培育千亿级产业集群和百亿级园区、企业。</w:t>
      </w:r>
    </w:p>
    <w:p>
      <w:pPr>
        <w:widowControl/>
        <w:spacing w:after="312" w:afterLines="100" w:line="600" w:lineRule="exact"/>
        <w:jc w:val="center"/>
        <w:rPr>
          <w:rFonts w:ascii="黑体" w:hAnsi="黑体" w:eastAsia="黑体" w:cs="宋体"/>
          <w:kern w:val="0"/>
          <w:sz w:val="32"/>
          <w:szCs w:val="32"/>
        </w:rPr>
      </w:pPr>
      <w:r>
        <w:rPr>
          <w:rFonts w:hint="eastAsia" w:ascii="黑体" w:hAnsi="黑体" w:eastAsia="黑体" w:cs="仿宋_GB2312"/>
          <w:sz w:val="32"/>
          <w:szCs w:val="32"/>
        </w:rPr>
        <w:t>第八章  加快构建市域“234”工业发展格局</w:t>
      </w:r>
    </w:p>
    <w:p>
      <w:pPr>
        <w:pStyle w:val="4"/>
        <w:spacing w:after="312" w:afterLines="100"/>
        <w:ind w:firstLine="640"/>
        <w:jc w:val="both"/>
        <w:rPr>
          <w:rFonts w:ascii="仿宋_GB2312" w:hAnsi="仿宋_GB2312" w:eastAsia="仿宋_GB2312" w:cs="仿宋_GB2312"/>
          <w:szCs w:val="32"/>
        </w:rPr>
      </w:pPr>
      <w:r>
        <w:rPr>
          <w:rFonts w:hint="eastAsia" w:ascii="仿宋_GB2312" w:hAnsi="仿宋_GB2312" w:eastAsia="仿宋_GB2312" w:cs="仿宋_GB2312"/>
          <w:szCs w:val="32"/>
        </w:rPr>
        <w:t>推动纺织服装、油碱化工两大传统产业转型升级，推动装备制造、绿色食品、冶金建材三大支撑产业量质齐升，推动生物医药、电子信息、新材料、新能源四大新兴产业快速壮大，加快构建市域“234”工业发展格局。分行业绘制产业链图谱，推行“链长制”，完善智能装备、数字光电、节能环保、超硬材料、5G、生物制剂与中医药、汽车及零部件、食品加工、纺织、碳酸钙等10大产业链条。开展“千企升级”行动，培育头雁企业。以智能制造为引领，加快“两化”深度融合。开展质量提升行动，推动“南阳产品”向“南阳品牌”转变。</w:t>
      </w:r>
    </w:p>
    <w:p>
      <w:pPr>
        <w:widowControl/>
        <w:spacing w:after="312" w:afterLines="100" w:line="600" w:lineRule="exact"/>
        <w:jc w:val="center"/>
        <w:rPr>
          <w:rFonts w:ascii="楷体_GB2312" w:hAnsi="仿宋_GB2312" w:eastAsia="楷体_GB2312" w:cs="仿宋_GB2312"/>
          <w:b/>
          <w:kern w:val="0"/>
          <w:sz w:val="32"/>
          <w:szCs w:val="32"/>
          <w:shd w:val="clear" w:color="auto" w:fill="FFFFFF"/>
        </w:rPr>
      </w:pPr>
      <w:r>
        <w:rPr>
          <w:rFonts w:hint="eastAsia" w:ascii="楷体_GB2312" w:hAnsi="仿宋_GB2312" w:eastAsia="楷体_GB2312" w:cs="仿宋_GB2312"/>
          <w:b/>
          <w:kern w:val="0"/>
          <w:sz w:val="32"/>
          <w:szCs w:val="32"/>
          <w:shd w:val="clear" w:color="auto" w:fill="FFFFFF"/>
        </w:rPr>
        <w:t>第一节  推动两大传统产业转型升级</w:t>
      </w:r>
    </w:p>
    <w:p>
      <w:pPr>
        <w:pStyle w:val="4"/>
        <w:ind w:firstLine="640"/>
        <w:jc w:val="both"/>
        <w:rPr>
          <w:rFonts w:ascii="仿宋_GB2312" w:hAnsi="仿宋" w:eastAsia="仿宋_GB2312"/>
        </w:rPr>
      </w:pPr>
      <w:r>
        <w:rPr>
          <w:rFonts w:hint="eastAsia" w:ascii="仿宋_GB2312" w:hAnsi="仿宋" w:eastAsia="仿宋_GB2312"/>
        </w:rPr>
        <w:t>以延链补链、降本增效为主攻方向，打造全产业链竞争优势，推动两大传统产业向绿色化、循环化和高端化发展。</w:t>
      </w:r>
    </w:p>
    <w:p>
      <w:pPr>
        <w:pStyle w:val="4"/>
        <w:ind w:firstLine="643"/>
        <w:jc w:val="both"/>
        <w:rPr>
          <w:rFonts w:ascii="仿宋_GB2312" w:eastAsia="仿宋_GB2312"/>
        </w:rPr>
      </w:pPr>
      <w:r>
        <w:rPr>
          <w:rFonts w:hint="eastAsia" w:ascii="仿宋_GB2312" w:hAnsi="仿宋_GB2312" w:eastAsia="仿宋_GB2312" w:cs="仿宋_GB2312"/>
          <w:b/>
          <w:bCs/>
        </w:rPr>
        <w:t>1.纺织服装。</w:t>
      </w:r>
      <w:r>
        <w:rPr>
          <w:rFonts w:hint="eastAsia" w:ascii="仿宋_GB2312" w:hAnsi="仿宋" w:eastAsia="仿宋_GB2312"/>
        </w:rPr>
        <w:t>以产品提质、品牌提升为方向，全面提高纺织印染水平，引进和培育服装服饰品牌，促进产业集群链式发展，成为河南重要的棉纺、高档服装面料生产和品牌服装加工基地。</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——纺织印染</w:t>
      </w:r>
      <w:r>
        <w:rPr>
          <w:rFonts w:hint="eastAsia" w:ascii="仿宋_GB2312" w:hAnsi="Times New Roman" w:eastAsia="仿宋_GB2312"/>
          <w:sz w:val="32"/>
          <w:szCs w:val="32"/>
        </w:rPr>
        <w:t>。依托新纺公司、南纺公司，加快提升智能制造水平和新材料开发能力，重点发展高档精梳、多种纤维混纺、色纺纱、差别化功能化化纤混纺纱线、丝光烧毛染色纱线，积极发展医疗、汽车、建筑、包装等领域产业用非织造产品。发挥南召柞蚕茧原产地优势，依托民兴生物、纵横丝绸等丝绸加工企业，加快发展重磅绸、高档服装丝绸面料和产业用丝绸等高档丝绸制品，支持发展绵球、绢丝、</w:t>
      </w:r>
      <w:r>
        <w:rPr>
          <w:rFonts w:hint="eastAsia" w:ascii="仿宋_GB2312" w:hAnsi="Times New Roman" w:eastAsia="仿宋"/>
          <w:sz w:val="32"/>
          <w:szCs w:val="32"/>
        </w:rPr>
        <w:t>紬</w:t>
      </w:r>
      <w:r>
        <w:rPr>
          <w:rFonts w:hint="eastAsia" w:ascii="仿宋_GB2312" w:hAnsi="Times New Roman" w:eastAsia="仿宋_GB2312"/>
          <w:sz w:val="32"/>
          <w:szCs w:val="32"/>
        </w:rPr>
        <w:t>丝和桑丝被等绢纺产品，鼓励开发丝毯等丝织品。推广节能环保工艺技术，发展新型纤维、差别化纤维、功能性纤维、多组分纤维面料，提高印染产品的水平。</w:t>
      </w:r>
    </w:p>
    <w:p>
      <w:pPr>
        <w:spacing w:line="600" w:lineRule="exact"/>
        <w:ind w:firstLine="648"/>
        <w:rPr>
          <w:rFonts w:ascii="仿宋_GB2312" w:hAnsi="Times New Roman" w:eastAsia="仿宋_GB2312"/>
          <w:sz w:val="32"/>
          <w:szCs w:val="32"/>
        </w:rPr>
      </w:pPr>
      <w:r>
        <w:rPr>
          <w:rFonts w:hint="eastAsia" w:ascii="仿宋_GB2312" w:hAnsi="Times New Roman" w:eastAsia="仿宋_GB2312"/>
          <w:b/>
          <w:sz w:val="32"/>
          <w:szCs w:val="32"/>
        </w:rPr>
        <w:t>——服装鞋帽</w:t>
      </w:r>
      <w:r>
        <w:rPr>
          <w:rFonts w:hint="eastAsia" w:ascii="仿宋_GB2312" w:hAnsi="Times New Roman" w:eastAsia="仿宋_GB2312"/>
          <w:sz w:val="32"/>
          <w:szCs w:val="32"/>
        </w:rPr>
        <w:t>。发挥新野、邓州、镇平、内乡等集聚区服饰鞋帽产业优势，以新奥针织、新野罗蒙服饰等骨干企业为重点，面向沿海地区组织开展纺织服装企业专题组团对接，积极承接产业转移，大力发展内衣、童装、毛衫、运动休闲装等产业基础好的针织类服装，加快发展裤装、衬衫、西服、牛仔服装和各类鞋帽产品。支持服装鞋帽品牌建设，努力引进行业品牌龙头企业，大力提高中高档产品比重，着力打造品牌服装和出口加工基地。</w:t>
      </w:r>
    </w:p>
    <w:p>
      <w:pPr>
        <w:pStyle w:val="5"/>
        <w:spacing w:before="0" w:after="0" w:line="600" w:lineRule="exact"/>
        <w:ind w:firstLine="643" w:firstLineChars="200"/>
        <w:rPr>
          <w:rFonts w:ascii="仿宋_GB2312" w:hAnsi="仿宋" w:eastAsia="仿宋_GB2312"/>
          <w:b w:val="0"/>
          <w:bCs w:val="0"/>
          <w:kern w:val="0"/>
          <w:szCs w:val="20"/>
        </w:rPr>
      </w:pPr>
      <w:r>
        <w:rPr>
          <w:rFonts w:hint="eastAsia" w:ascii="仿宋_GB2312" w:hAnsi="仿宋_GB2312" w:eastAsia="仿宋_GB2312" w:cs="仿宋_GB2312"/>
          <w:kern w:val="0"/>
          <w:szCs w:val="20"/>
        </w:rPr>
        <w:t>2.油碱化工。</w:t>
      </w:r>
      <w:r>
        <w:rPr>
          <w:rFonts w:hint="eastAsia" w:ascii="仿宋_GB2312" w:hAnsi="仿宋" w:eastAsia="仿宋_GB2312"/>
          <w:b w:val="0"/>
          <w:bCs w:val="0"/>
          <w:kern w:val="0"/>
          <w:szCs w:val="20"/>
        </w:rPr>
        <w:t>以多品种、精细化、高端化为发展方向，做优做强碱硝化工、石油化工特色化工产业，着力延伸产业链条，推动绿色循环发展，初步建成全国一流的碱硝、石油化工基地和国内知名的循环经济示范园区。</w:t>
      </w:r>
    </w:p>
    <w:p>
      <w:pPr>
        <w:spacing w:after="312" w:afterLines="100"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——碱硝化工</w:t>
      </w:r>
      <w:r>
        <w:rPr>
          <w:rFonts w:hint="eastAsia" w:ascii="仿宋_GB2312" w:hAnsi="Times New Roman" w:eastAsia="仿宋_GB2312"/>
          <w:sz w:val="32"/>
          <w:szCs w:val="32"/>
        </w:rPr>
        <w:t>。</w:t>
      </w:r>
      <w:r>
        <w:rPr>
          <w:rFonts w:hint="eastAsia" w:ascii="仿宋_GB2312" w:hAnsi="仿宋" w:eastAsia="仿宋_GB2312"/>
          <w:sz w:val="32"/>
          <w:szCs w:val="32"/>
        </w:rPr>
        <w:t>围绕桐柏博源、明星化工、中源化工等骨干企业，以天然碱资源为依托，以废渣、废气、废液、废水等废物循环综合利用为主线，着力提升优质纯碱、元明粉产品生产能力，重点发展轻质纯碱、食品级纯碱和低钙低氯纯度特种元明粉等精细化产品，加快发展小苏打、碳酸钙、硫化钠、硅酸钠等延伸产品，积极拓展硫化染料、蛋白酶及可降解塑料、玻璃、日化产品等终端化工产品，全面构建天然碱硝、精细化工、新型化工产品为一体的产业链。</w:t>
      </w:r>
      <w:r>
        <w:rPr>
          <w:rFonts w:hint="eastAsia" w:ascii="仿宋_GB2312" w:hAnsi="仿宋" w:eastAsia="仿宋_GB2312"/>
          <w:sz w:val="32"/>
          <w:szCs w:val="32"/>
        </w:rPr>
        <w:cr/>
      </w:r>
      <w:r>
        <w:rPr>
          <w:rFonts w:hint="eastAsia" w:ascii="仿宋_GB2312" w:hAnsi="仿宋" w:eastAsia="仿宋_GB2312"/>
          <w:sz w:val="32"/>
          <w:szCs w:val="32"/>
        </w:rPr>
        <w:t xml:space="preserve">    </w:t>
      </w:r>
      <w:r>
        <w:rPr>
          <w:rFonts w:hint="eastAsia" w:ascii="仿宋_GB2312" w:hAnsi="Times New Roman" w:eastAsia="仿宋_GB2312"/>
          <w:b/>
          <w:sz w:val="32"/>
          <w:szCs w:val="32"/>
        </w:rPr>
        <w:t>——石油化工</w:t>
      </w:r>
      <w:r>
        <w:rPr>
          <w:rFonts w:hint="eastAsia" w:ascii="仿宋_GB2312" w:hAnsi="Times New Roman" w:eastAsia="仿宋_GB2312"/>
          <w:sz w:val="32"/>
          <w:szCs w:val="32"/>
        </w:rPr>
        <w:t>。以南阳能源化工企业为龙头，</w:t>
      </w:r>
      <w:r>
        <w:rPr>
          <w:rFonts w:hint="eastAsia" w:ascii="仿宋_GB2312" w:hAnsi="仿宋" w:eastAsia="仿宋_GB2312"/>
          <w:sz w:val="32"/>
          <w:szCs w:val="32"/>
        </w:rPr>
        <w:t>以精蜡产品为基础，大力发展改性蜡、合成蜡、乳化蜡、微粉蜡等石蜡精加工产品和防护、铸造、储能等高附加值特种蜡系列产品，积极拓展特种蜡关联度高的食品、医药、日化、包装项目，推动特种蜡产业集群链式发展。延展产业链，以润滑油为重点，培育丙烷、聚丙烯、醚后碳四、石脑油、沥青等相关产业链，建成豫西南最大石油化工基地。</w:t>
      </w:r>
    </w:p>
    <w:p>
      <w:pPr>
        <w:pStyle w:val="4"/>
        <w:spacing w:after="312" w:afterLines="100"/>
        <w:ind w:firstLine="0" w:firstLineChars="0"/>
        <w:jc w:val="center"/>
        <w:rPr>
          <w:rFonts w:ascii="楷体_GB2312" w:hAnsi="楷体" w:eastAsia="楷体_GB2312" w:cs="仿宋_GB2312"/>
          <w:b/>
          <w:kern w:val="2"/>
          <w:szCs w:val="32"/>
        </w:rPr>
      </w:pPr>
      <w:r>
        <w:rPr>
          <w:rFonts w:hint="eastAsia" w:ascii="楷体_GB2312" w:hAnsi="楷体" w:eastAsia="楷体_GB2312" w:cs="仿宋_GB2312"/>
          <w:b/>
          <w:kern w:val="2"/>
          <w:szCs w:val="32"/>
        </w:rPr>
        <w:t>第二节  推动三大支撑产业量质齐升</w:t>
      </w:r>
    </w:p>
    <w:p>
      <w:pPr>
        <w:widowControl/>
        <w:spacing w:line="600" w:lineRule="exact"/>
        <w:ind w:firstLine="640" w:firstLineChars="200"/>
        <w:rPr>
          <w:rFonts w:ascii="仿宋_GB2312" w:hAnsi="微软雅黑" w:eastAsia="仿宋_GB2312" w:cs="宋体"/>
          <w:kern w:val="0"/>
          <w:sz w:val="32"/>
          <w:szCs w:val="32"/>
        </w:rPr>
      </w:pPr>
      <w:r>
        <w:rPr>
          <w:rFonts w:hint="eastAsia" w:ascii="仿宋_GB2312" w:hAnsi="微软雅黑" w:eastAsia="仿宋_GB2312" w:cs="宋体"/>
          <w:kern w:val="0"/>
          <w:sz w:val="32"/>
          <w:szCs w:val="32"/>
        </w:rPr>
        <w:t>大力发展特色鲜明、技术水平高的装备制造产业，国内需求旺盛、发展基础好的绿色食品产业，现有规模较大、市场占有率高的冶金建材产业，提高产业链现代化水平，延伸完善产业链条，到2025年，三大支撑产业规模均达到千亿元以上。</w:t>
      </w:r>
    </w:p>
    <w:p>
      <w:pPr>
        <w:widowControl/>
        <w:spacing w:line="600" w:lineRule="exact"/>
        <w:ind w:firstLine="643" w:firstLineChars="200"/>
        <w:rPr>
          <w:rFonts w:ascii="仿宋_GB2312" w:hAnsi="微软雅黑" w:eastAsia="仿宋_GB2312" w:cs="宋体"/>
          <w:kern w:val="0"/>
          <w:sz w:val="32"/>
          <w:szCs w:val="32"/>
        </w:rPr>
      </w:pPr>
      <w:r>
        <w:rPr>
          <w:rFonts w:hint="eastAsia" w:ascii="仿宋_GB2312" w:hAnsi="仿宋_GB2312" w:eastAsia="仿宋_GB2312" w:cs="仿宋_GB2312"/>
          <w:b/>
          <w:bCs/>
          <w:kern w:val="0"/>
          <w:sz w:val="32"/>
          <w:szCs w:val="20"/>
        </w:rPr>
        <w:t>1.装备制造。</w:t>
      </w:r>
      <w:r>
        <w:rPr>
          <w:rFonts w:hint="eastAsia" w:ascii="仿宋_GB2312" w:hAnsi="微软雅黑" w:eastAsia="仿宋_GB2312" w:cs="宋体"/>
          <w:kern w:val="0"/>
          <w:sz w:val="32"/>
          <w:szCs w:val="32"/>
        </w:rPr>
        <w:t>坚持“创新驱动、智能转型、高端引领”发展思路，推动防爆电气装备、输变电装备、汽车零部件向系统集成和整体解决方案提供商转变，加强农牧及特色装备技术创新。</w:t>
      </w:r>
    </w:p>
    <w:p>
      <w:pPr>
        <w:widowControl/>
        <w:spacing w:line="600" w:lineRule="exact"/>
        <w:ind w:firstLine="643" w:firstLineChars="200"/>
        <w:rPr>
          <w:rFonts w:ascii="仿宋_GB2312" w:hAnsi="微软雅黑" w:eastAsia="仿宋_GB2312" w:cs="宋体"/>
          <w:kern w:val="0"/>
          <w:sz w:val="32"/>
          <w:szCs w:val="32"/>
        </w:rPr>
      </w:pPr>
      <w:r>
        <w:rPr>
          <w:rFonts w:hint="eastAsia" w:ascii="仿宋_GB2312" w:hAnsi="微软雅黑" w:eastAsia="仿宋_GB2312" w:cs="宋体"/>
          <w:b/>
          <w:kern w:val="0"/>
          <w:sz w:val="32"/>
          <w:szCs w:val="32"/>
        </w:rPr>
        <w:t>——防爆电气装备。</w:t>
      </w:r>
      <w:r>
        <w:rPr>
          <w:rFonts w:hint="eastAsia" w:ascii="仿宋_GB2312" w:hAnsi="微软雅黑" w:eastAsia="仿宋_GB2312" w:cs="宋体"/>
          <w:kern w:val="0"/>
          <w:sz w:val="32"/>
          <w:szCs w:val="32"/>
        </w:rPr>
        <w:t>依托卧龙电气、防爆研究所、瑞发电气等龙头企业，坚持“大型化、高端化、成套化”发展思路，重点开发防爆电机、核级电机、高效节能电机、防爆节能风机等防爆电动机产品系列，以防爆材料和元器件为基础，以防爆电机为核心，推动南阳防爆技术研发、产品制造、集成服务和技术检测协同发展，不断提升航空航天、轨道交通、海洋工程等领域防爆设备集成化能力，开拓核电、军工、风电、高铁等高端应用产品。推进卧龙电气出口型电机和大型电机生产基地建设，加快全球产业集聚和品牌国际化。</w:t>
      </w:r>
    </w:p>
    <w:p>
      <w:pPr>
        <w:widowControl/>
        <w:spacing w:line="600" w:lineRule="exact"/>
        <w:ind w:firstLine="643" w:firstLineChars="200"/>
        <w:rPr>
          <w:rFonts w:ascii="仿宋_GB2312" w:hAnsi="微软雅黑" w:eastAsia="仿宋_GB2312" w:cs="宋体"/>
          <w:kern w:val="0"/>
          <w:sz w:val="32"/>
          <w:szCs w:val="32"/>
        </w:rPr>
      </w:pPr>
      <w:r>
        <w:rPr>
          <w:rFonts w:hint="eastAsia" w:ascii="仿宋_GB2312" w:hAnsi="微软雅黑" w:eastAsia="仿宋_GB2312" w:cs="宋体"/>
          <w:b/>
          <w:kern w:val="0"/>
          <w:sz w:val="32"/>
          <w:szCs w:val="32"/>
        </w:rPr>
        <w:t>——输变电装备。</w:t>
      </w:r>
      <w:r>
        <w:rPr>
          <w:rFonts w:hint="eastAsia" w:ascii="仿宋_GB2312" w:hAnsi="微软雅黑" w:eastAsia="仿宋_GB2312" w:cs="宋体"/>
          <w:kern w:val="0"/>
          <w:sz w:val="32"/>
          <w:szCs w:val="32"/>
        </w:rPr>
        <w:t>以金冠、飞龙、天力等龙头企业为引领，坚持“集成化、智能化、高端化”发展路径，围绕避雷器、互感器、变压器、高压开关四大优势产品线，推动核心产品向小型化、低功耗、低噪音方向升级，积极开发特高压变电设备、新能源储能并网设备、坚强电网智能配电设备等高端产品，加快构建以变配电装备、输变电控制装备、输变电保护与监控装备、特高压交直流输变电成套装备、新能源并网设备的电力装备制造产业链条。推动金冠智能电气装备产业园建设，引领南阳输变电产业向高端化发展。</w:t>
      </w:r>
    </w:p>
    <w:p>
      <w:pPr>
        <w:widowControl/>
        <w:spacing w:line="600" w:lineRule="exact"/>
        <w:ind w:firstLine="643" w:firstLineChars="200"/>
        <w:rPr>
          <w:rFonts w:ascii="仿宋_GB2312" w:hAnsi="微软雅黑" w:eastAsia="仿宋_GB2312" w:cs="宋体"/>
          <w:kern w:val="0"/>
          <w:sz w:val="32"/>
          <w:szCs w:val="32"/>
        </w:rPr>
      </w:pPr>
      <w:r>
        <w:rPr>
          <w:rFonts w:hint="eastAsia" w:ascii="仿宋_GB2312" w:hAnsi="微软雅黑" w:eastAsia="仿宋_GB2312" w:cs="宋体"/>
          <w:b/>
          <w:kern w:val="0"/>
          <w:sz w:val="32"/>
          <w:szCs w:val="32"/>
        </w:rPr>
        <w:t>——汽车零部件。</w:t>
      </w:r>
      <w:r>
        <w:rPr>
          <w:rFonts w:hint="eastAsia" w:ascii="仿宋_GB2312" w:hAnsi="微软雅黑" w:eastAsia="仿宋_GB2312" w:cs="宋体"/>
          <w:kern w:val="0"/>
          <w:sz w:val="32"/>
          <w:szCs w:val="32"/>
        </w:rPr>
        <w:t>以淅减公司、飞龙公司、众德公司、劲派集团等企业为龙头，提高排气歧管、水泵、飞轮壳、涡轮壳、电子开关水泵、增压器涡轮壳、车锁、机油泵、车用电子等优势产品品质，推动ADS（可调式避震系统）、轨道交通减震器研发与生产，进一步巩固与国内大型汽车集团的合作、协作关系，加快汽车零部件轻量化、自动化、智能化转型，推进汽车零部件从部件向系统集成，从传统汽车向新能源汽车转型。推进涡轮增压器壳体绿色化改造、纤维刹车片等项目建设，做大做强汽车零部件产业。</w:t>
      </w:r>
    </w:p>
    <w:p>
      <w:pPr>
        <w:widowControl/>
        <w:spacing w:line="600" w:lineRule="exact"/>
        <w:ind w:firstLine="643" w:firstLineChars="200"/>
        <w:rPr>
          <w:rFonts w:ascii="仿宋_GB2312" w:hAnsi="微软雅黑" w:eastAsia="仿宋_GB2312" w:cs="宋体"/>
          <w:kern w:val="0"/>
          <w:sz w:val="32"/>
          <w:szCs w:val="32"/>
        </w:rPr>
      </w:pPr>
      <w:r>
        <w:rPr>
          <w:rFonts w:hint="eastAsia" w:ascii="仿宋_GB2312" w:hAnsi="微软雅黑" w:eastAsia="仿宋_GB2312" w:cs="宋体"/>
          <w:b/>
          <w:kern w:val="0"/>
          <w:sz w:val="32"/>
          <w:szCs w:val="32"/>
        </w:rPr>
        <w:t>——农牧及特色装备。</w:t>
      </w:r>
      <w:r>
        <w:rPr>
          <w:rFonts w:hint="eastAsia" w:ascii="仿宋_GB2312" w:hAnsi="微软雅黑" w:eastAsia="仿宋_GB2312" w:cs="宋体"/>
          <w:kern w:val="0"/>
          <w:sz w:val="32"/>
          <w:szCs w:val="32"/>
        </w:rPr>
        <w:t>依托牧原装备、亚澳农机等龙头企业，推动畜牧用巡检机器人，粪污固液分离机、板下清粪机器人，空气过滤器以及智能饲喂、养殖场环保装备的研发生产，推动旋耕播种施肥机、变速旋耕机、变速联合耕整机向高端化、智能化迈进。依托二机石油装备集团，提高极寒、极深、复杂储藏条件和深海、页岩、煤层非常规资源开采核心技术设备，提供油气装备总承包能力，推动服务化转型。依托瀚瑞特轴承、勤大钢管、云扬钢球、奋钧轴承等龙头企业，延长轴承铸造产业链，推动轴承铸造产业由原材料加工向精深加工、由半成品生产向终端产品生产、由粗放型加工向高附加值加工转型。推进牧原农牧装备产业园、亚澳南阳农机大型复式高效旋耕机智能制造等项目建设，打造河南重点农牧装备产业基地。</w:t>
      </w:r>
    </w:p>
    <w:p>
      <w:pPr>
        <w:widowControl/>
        <w:spacing w:line="600" w:lineRule="exact"/>
        <w:ind w:firstLine="643" w:firstLineChars="200"/>
        <w:rPr>
          <w:rFonts w:ascii="仿宋_GB2312" w:hAnsi="微软雅黑" w:eastAsia="仿宋_GB2312" w:cs="宋体"/>
          <w:kern w:val="0"/>
          <w:sz w:val="32"/>
          <w:szCs w:val="32"/>
        </w:rPr>
      </w:pPr>
      <w:r>
        <w:rPr>
          <w:rFonts w:hint="eastAsia" w:ascii="仿宋_GB2312" w:hAnsi="仿宋_GB2312" w:eastAsia="仿宋_GB2312" w:cs="仿宋_GB2312"/>
          <w:b/>
          <w:bCs/>
          <w:kern w:val="0"/>
          <w:sz w:val="32"/>
          <w:szCs w:val="20"/>
        </w:rPr>
        <w:t>2.绿色食品。</w:t>
      </w:r>
      <w:r>
        <w:rPr>
          <w:rFonts w:hint="eastAsia" w:ascii="仿宋_GB2312" w:hAnsi="微软雅黑" w:eastAsia="仿宋_GB2312" w:cs="宋体"/>
          <w:kern w:val="0"/>
          <w:sz w:val="32"/>
          <w:szCs w:val="32"/>
        </w:rPr>
        <w:t>坚持绿色安全、品牌提升、三产融合，加强地域特色品牌培育，创新生产营销方式，做大做强肉制品、粮油制品、酒及饮料、特色食品四大优势产业。</w:t>
      </w:r>
    </w:p>
    <w:p>
      <w:pPr>
        <w:spacing w:line="600" w:lineRule="exact"/>
        <w:ind w:firstLine="643" w:firstLineChars="200"/>
        <w:rPr>
          <w:rFonts w:ascii="仿宋_GB2312" w:hAnsi="仿宋" w:eastAsia="仿宋_GB2312"/>
          <w:sz w:val="32"/>
          <w:szCs w:val="32"/>
          <w:shd w:val="clear" w:color="auto" w:fill="FFFFFF"/>
        </w:rPr>
      </w:pPr>
      <w:r>
        <w:rPr>
          <w:rFonts w:hint="eastAsia" w:ascii="仿宋_GB2312" w:hAnsi="Times New Roman" w:eastAsia="仿宋_GB2312"/>
          <w:b/>
          <w:sz w:val="32"/>
          <w:szCs w:val="32"/>
        </w:rPr>
        <w:t>——肉制品</w:t>
      </w:r>
      <w:r>
        <w:rPr>
          <w:rFonts w:hint="eastAsia" w:ascii="仿宋_GB2312" w:hAnsi="Times New Roman" w:eastAsia="仿宋_GB2312"/>
          <w:sz w:val="32"/>
          <w:szCs w:val="32"/>
        </w:rPr>
        <w:t>。</w:t>
      </w:r>
      <w:r>
        <w:rPr>
          <w:rFonts w:hint="eastAsia" w:ascii="仿宋_GB2312" w:hAnsi="仿宋" w:eastAsia="仿宋_GB2312"/>
          <w:sz w:val="32"/>
          <w:szCs w:val="32"/>
        </w:rPr>
        <w:t>以牧原食品、科尔沁食品为龙头，鼓励引导企业</w:t>
      </w:r>
      <w:r>
        <w:rPr>
          <w:rFonts w:hint="eastAsia" w:ascii="仿宋_GB2312" w:hAnsi="仿宋" w:eastAsia="仿宋_GB2312"/>
          <w:sz w:val="32"/>
          <w:szCs w:val="32"/>
          <w:shd w:val="clear" w:color="auto" w:fill="FFFFFF"/>
        </w:rPr>
        <w:t>以屠宰和肉制品为核心，</w:t>
      </w:r>
      <w:r>
        <w:rPr>
          <w:rFonts w:hint="eastAsia" w:ascii="仿宋_GB2312" w:hAnsi="仿宋" w:eastAsia="仿宋_GB2312"/>
          <w:sz w:val="32"/>
          <w:szCs w:val="32"/>
        </w:rPr>
        <w:t>积极开发高端熟肉制品、冷冻及调理肉制品、功能性肉制品，</w:t>
      </w:r>
      <w:r>
        <w:rPr>
          <w:rFonts w:hint="eastAsia" w:ascii="仿宋_GB2312" w:hAnsi="仿宋" w:eastAsia="仿宋_GB2312"/>
          <w:sz w:val="32"/>
          <w:szCs w:val="32"/>
          <w:shd w:val="clear" w:color="auto" w:fill="FFFFFF"/>
        </w:rPr>
        <w:t>提高畜产品精深加工比例和附加值，引领肉制品产业链条现代化、标准化、规模化、集约化发展。</w:t>
      </w:r>
      <w:r>
        <w:rPr>
          <w:rFonts w:hint="eastAsia" w:ascii="仿宋_GB2312" w:hAnsi="仿宋" w:eastAsia="仿宋_GB2312"/>
          <w:sz w:val="32"/>
          <w:szCs w:val="32"/>
        </w:rPr>
        <w:t>加快推进</w:t>
      </w:r>
      <w:r>
        <w:rPr>
          <w:rFonts w:hint="eastAsia" w:ascii="仿宋_GB2312" w:hAnsi="仿宋" w:eastAsia="仿宋_GB2312" w:cs="仿宋_GB2312"/>
          <w:sz w:val="32"/>
          <w:szCs w:val="32"/>
        </w:rPr>
        <w:t>牧原集团生猪养殖屠宰加工食品产业园、牧原食品生猪屠宰等项目建设</w:t>
      </w:r>
      <w:r>
        <w:rPr>
          <w:rFonts w:hint="eastAsia" w:ascii="仿宋_GB2312" w:hAnsi="仿宋" w:eastAsia="仿宋_GB2312"/>
          <w:sz w:val="32"/>
          <w:szCs w:val="32"/>
        </w:rPr>
        <w:t>，</w:t>
      </w:r>
      <w:r>
        <w:rPr>
          <w:rFonts w:hint="eastAsia" w:ascii="仿宋_GB2312" w:hAnsi="仿宋" w:eastAsia="仿宋_GB2312"/>
          <w:sz w:val="32"/>
          <w:szCs w:val="32"/>
          <w:shd w:val="clear" w:color="auto" w:fill="FFFFFF"/>
        </w:rPr>
        <w:t>形成以养殖-屠宰-肉制品</w:t>
      </w:r>
      <w:r>
        <w:rPr>
          <w:rStyle w:val="48"/>
          <w:rFonts w:hint="eastAsia" w:ascii="仿宋_GB2312" w:hAnsi="仿宋" w:eastAsia="仿宋_GB2312"/>
          <w:sz w:val="32"/>
          <w:szCs w:val="32"/>
        </w:rPr>
        <w:t>加工</w:t>
      </w:r>
      <w:r>
        <w:rPr>
          <w:rFonts w:hint="eastAsia" w:ascii="仿宋_GB2312" w:hAnsi="仿宋" w:eastAsia="仿宋_GB2312"/>
          <w:sz w:val="32"/>
          <w:szCs w:val="32"/>
          <w:shd w:val="clear" w:color="auto" w:fill="FFFFFF"/>
        </w:rPr>
        <w:t>-饲料加工</w:t>
      </w:r>
      <w:r>
        <w:rPr>
          <w:rStyle w:val="48"/>
          <w:rFonts w:hint="eastAsia" w:ascii="仿宋_GB2312" w:hAnsi="仿宋" w:eastAsia="仿宋_GB2312"/>
          <w:sz w:val="32"/>
          <w:szCs w:val="32"/>
        </w:rPr>
        <w:t>及综合利用</w:t>
      </w:r>
      <w:r>
        <w:rPr>
          <w:rFonts w:hint="eastAsia" w:ascii="仿宋_GB2312" w:hAnsi="仿宋" w:eastAsia="仿宋_GB2312"/>
          <w:sz w:val="32"/>
          <w:szCs w:val="32"/>
          <w:shd w:val="clear" w:color="auto" w:fill="FFFFFF"/>
        </w:rPr>
        <w:t>-</w:t>
      </w:r>
      <w:r>
        <w:rPr>
          <w:rFonts w:hint="eastAsia" w:ascii="仿宋_GB2312" w:hAnsi="仿宋" w:eastAsia="仿宋_GB2312"/>
          <w:sz w:val="32"/>
          <w:szCs w:val="32"/>
        </w:rPr>
        <w:t>现代化智能仓储物流</w:t>
      </w:r>
      <w:r>
        <w:rPr>
          <w:rFonts w:hint="eastAsia" w:ascii="仿宋_GB2312" w:hAnsi="仿宋" w:eastAsia="仿宋_GB2312"/>
          <w:sz w:val="32"/>
          <w:szCs w:val="32"/>
          <w:shd w:val="clear" w:color="auto" w:fill="FFFFFF"/>
        </w:rPr>
        <w:t>等一体化的产业链。</w:t>
      </w:r>
    </w:p>
    <w:p>
      <w:pPr>
        <w:spacing w:line="600" w:lineRule="exact"/>
        <w:ind w:firstLine="648"/>
        <w:rPr>
          <w:rFonts w:ascii="仿宋_GB2312" w:hAnsi="Times New Roman" w:eastAsia="仿宋_GB2312"/>
          <w:sz w:val="32"/>
          <w:szCs w:val="32"/>
        </w:rPr>
      </w:pPr>
      <w:r>
        <w:rPr>
          <w:rFonts w:hint="eastAsia" w:ascii="仿宋_GB2312" w:hAnsi="Times New Roman" w:eastAsia="仿宋_GB2312"/>
          <w:b/>
          <w:sz w:val="32"/>
          <w:szCs w:val="32"/>
        </w:rPr>
        <w:t>——粮油制品</w:t>
      </w:r>
      <w:r>
        <w:rPr>
          <w:rFonts w:hint="eastAsia" w:ascii="仿宋_GB2312" w:hAnsi="Times New Roman" w:eastAsia="仿宋_GB2312"/>
          <w:sz w:val="32"/>
          <w:szCs w:val="32"/>
        </w:rPr>
        <w:t>。</w:t>
      </w:r>
      <w:r>
        <w:rPr>
          <w:rFonts w:hint="eastAsia" w:ascii="仿宋_GB2312" w:hAnsi="仿宋" w:eastAsia="仿宋_GB2312" w:cs="仿宋_GB2312"/>
          <w:sz w:val="32"/>
          <w:szCs w:val="32"/>
        </w:rPr>
        <w:t>以想念食品为龙头，巩</w:t>
      </w:r>
      <w:r>
        <w:rPr>
          <w:rFonts w:hint="eastAsia" w:ascii="仿宋_GB2312" w:hAnsi="仿宋" w:eastAsia="仿宋_GB2312"/>
          <w:sz w:val="32"/>
          <w:szCs w:val="32"/>
        </w:rPr>
        <w:t>固提升花色挂面品牌优势，发展优质面粉、全麦粉、高档专用面粉和功能性面粉，引入FD冻干面技术，加大生鲜面、熟鲜面份额，提高产品档次和附加值</w:t>
      </w:r>
      <w:r>
        <w:rPr>
          <w:rFonts w:hint="eastAsia" w:ascii="仿宋_GB2312" w:hAnsi="仿宋" w:eastAsia="仿宋_GB2312" w:cs="仿宋_GB2312"/>
          <w:sz w:val="32"/>
          <w:szCs w:val="32"/>
        </w:rPr>
        <w:t>。以三源粮油为龙头，建立优质专用油料基地，培育有机、绿色高油酸花生油，开发油料蛋白、生物活性物质等高端油制品产品。</w:t>
      </w:r>
      <w:r>
        <w:rPr>
          <w:rFonts w:hint="eastAsia" w:ascii="仿宋_GB2312" w:hAnsi="仿宋" w:eastAsia="仿宋_GB2312"/>
          <w:sz w:val="32"/>
          <w:szCs w:val="32"/>
        </w:rPr>
        <w:t>加快推进镇平想念产业园二期建设，延伸小麦—专用面粉—面制品精深加工产业链。</w:t>
      </w:r>
    </w:p>
    <w:p>
      <w:pPr>
        <w:spacing w:line="600" w:lineRule="exact"/>
        <w:ind w:firstLine="648"/>
        <w:rPr>
          <w:rFonts w:ascii="仿宋_GB2312" w:hAnsi="Times New Roman" w:eastAsia="仿宋_GB2312"/>
          <w:sz w:val="32"/>
          <w:szCs w:val="32"/>
        </w:rPr>
      </w:pPr>
      <w:r>
        <w:rPr>
          <w:rFonts w:hint="eastAsia" w:ascii="仿宋_GB2312" w:hAnsi="Times New Roman" w:eastAsia="仿宋_GB2312"/>
          <w:b/>
          <w:sz w:val="32"/>
          <w:szCs w:val="32"/>
        </w:rPr>
        <w:t>——酒及饮料</w:t>
      </w:r>
      <w:r>
        <w:rPr>
          <w:rFonts w:hint="eastAsia" w:ascii="仿宋_GB2312" w:hAnsi="Times New Roman" w:eastAsia="仿宋_GB2312"/>
          <w:sz w:val="32"/>
          <w:szCs w:val="32"/>
        </w:rPr>
        <w:t>。发挥赊店老酒、三色鸽、娃哈哈等骨干企业带头作用，丰富饮料、酒及乳制品产品种类，实施品质提升、质量创优工程，做优产品，做强品牌，扩大本地饮料、酒及乳制品的市场占有率，探索适合市场需求的休闲观光、文化旅游、科普宣传、创意体验等三产融合新模式。引导宛酒企业充分挖掘宛酒文化，提升核心品牌的内涵和定位，提升品牌美誉度、知名度和影响力。</w:t>
      </w:r>
    </w:p>
    <w:p>
      <w:pPr>
        <w:spacing w:line="600" w:lineRule="exact"/>
        <w:ind w:firstLine="648"/>
        <w:rPr>
          <w:rFonts w:ascii="仿宋_GB2312" w:hAnsi="仿宋" w:eastAsia="仿宋_GB2312" w:cs="仿宋_GB2312"/>
          <w:sz w:val="32"/>
          <w:szCs w:val="32"/>
        </w:rPr>
      </w:pPr>
      <w:r>
        <w:rPr>
          <w:rFonts w:hint="eastAsia" w:ascii="仿宋_GB2312" w:hAnsi="Times New Roman" w:eastAsia="仿宋_GB2312"/>
          <w:b/>
          <w:sz w:val="32"/>
          <w:szCs w:val="32"/>
        </w:rPr>
        <w:t>——特色食品</w:t>
      </w:r>
      <w:r>
        <w:rPr>
          <w:rFonts w:hint="eastAsia" w:ascii="仿宋_GB2312" w:hAnsi="Times New Roman" w:eastAsia="仿宋_GB2312"/>
          <w:sz w:val="32"/>
          <w:szCs w:val="32"/>
        </w:rPr>
        <w:t>。</w:t>
      </w:r>
      <w:r>
        <w:rPr>
          <w:rFonts w:hint="eastAsia" w:ascii="仿宋_GB2312" w:hAnsi="仿宋" w:eastAsia="仿宋_GB2312" w:cs="仿宋_GB2312"/>
          <w:sz w:val="32"/>
          <w:szCs w:val="32"/>
        </w:rPr>
        <w:t>以仲景食品为龙头，</w:t>
      </w:r>
      <w:r>
        <w:rPr>
          <w:rFonts w:hint="eastAsia" w:ascii="仿宋_GB2312" w:hAnsi="仿宋" w:eastAsia="仿宋_GB2312"/>
          <w:sz w:val="32"/>
          <w:szCs w:val="32"/>
        </w:rPr>
        <w:t>巩固现有</w:t>
      </w:r>
      <w:r>
        <w:rPr>
          <w:rFonts w:hint="eastAsia" w:ascii="仿宋_GB2312" w:hAnsi="仿宋" w:eastAsia="仿宋_GB2312" w:cs="宋体"/>
          <w:kern w:val="0"/>
          <w:sz w:val="32"/>
          <w:szCs w:val="32"/>
        </w:rPr>
        <w:t>香菇酱、猕猴桃汁、超临界香辛食品配料等系列产品优势，</w:t>
      </w:r>
      <w:r>
        <w:rPr>
          <w:rFonts w:hint="eastAsia" w:ascii="仿宋_GB2312" w:hAnsi="仿宋" w:eastAsia="仿宋_GB2312"/>
          <w:sz w:val="32"/>
          <w:szCs w:val="32"/>
        </w:rPr>
        <w:t>加快果蔬萃取等高新技术研发和应用，开发食用菌酱菜类、菌汤类、饼干类、休闲食品类等系列深加工产品，建立南阳香菇、猕猴桃特色食品生产基地，扩大产品出口，构建集“研发-种植-包装-储存加工-销售”为一体的全产业链，打造具有特色资源优势和领先技术优势的创新型健康食品。</w:t>
      </w:r>
      <w:r>
        <w:rPr>
          <w:rFonts w:hint="eastAsia" w:ascii="仿宋_GB2312" w:hAnsi="仿宋" w:eastAsia="仿宋_GB2312" w:cs="仿宋_GB2312"/>
          <w:sz w:val="32"/>
          <w:szCs w:val="32"/>
        </w:rPr>
        <w:t>加快科技果酱、速冻水果加工、生态有机茶种植加工等项目建设，推动产品结构优化提升。</w:t>
      </w:r>
    </w:p>
    <w:p>
      <w:pPr>
        <w:widowControl/>
        <w:spacing w:line="600" w:lineRule="exact"/>
        <w:ind w:firstLine="643" w:firstLineChars="200"/>
        <w:rPr>
          <w:rFonts w:ascii="仿宋_GB2312" w:hAnsi="仿宋" w:eastAsia="仿宋_GB2312"/>
          <w:sz w:val="32"/>
          <w:szCs w:val="32"/>
        </w:rPr>
      </w:pPr>
      <w:r>
        <w:rPr>
          <w:rFonts w:hint="eastAsia" w:ascii="仿宋_GB2312" w:hAnsi="仿宋_GB2312" w:eastAsia="仿宋_GB2312" w:cs="仿宋_GB2312"/>
          <w:b/>
          <w:bCs/>
          <w:kern w:val="0"/>
          <w:sz w:val="32"/>
          <w:szCs w:val="20"/>
        </w:rPr>
        <w:t>3.冶金建材。</w:t>
      </w:r>
      <w:r>
        <w:rPr>
          <w:rFonts w:hint="eastAsia" w:ascii="仿宋_GB2312" w:hAnsi="仿宋" w:eastAsia="仿宋_GB2312"/>
          <w:sz w:val="32"/>
          <w:szCs w:val="32"/>
        </w:rPr>
        <w:t>以“绿色、减量、提质、增效”为方向，以大型特钢、铝材加工、绿色冶铸等为重点，提升发展金属冶炼压延水平，培育金属精深加工产品，打造全国最大的冶金功能材料基地。以改造提升、加环延链为方向，以水泥、装配式建筑、涂料及墙体材料等为重点，推行智能制造应用，开展模式创新，推动产品向绿色化、高端化发展。</w:t>
      </w:r>
    </w:p>
    <w:p>
      <w:pPr>
        <w:spacing w:line="600" w:lineRule="exact"/>
        <w:ind w:firstLine="648"/>
        <w:rPr>
          <w:rFonts w:ascii="仿宋_GB2312" w:hAnsi="仿宋" w:eastAsia="仿宋_GB2312"/>
          <w:sz w:val="32"/>
          <w:szCs w:val="32"/>
        </w:rPr>
      </w:pPr>
      <w:r>
        <w:rPr>
          <w:rFonts w:hint="eastAsia" w:ascii="仿宋_GB2312" w:hAnsi="仿宋" w:eastAsia="仿宋_GB2312"/>
          <w:b/>
          <w:bCs/>
          <w:sz w:val="32"/>
          <w:szCs w:val="32"/>
        </w:rPr>
        <w:t>——冶金。</w:t>
      </w:r>
      <w:r>
        <w:rPr>
          <w:rFonts w:hint="eastAsia" w:ascii="仿宋_GB2312" w:hAnsi="仿宋" w:eastAsia="仿宋_GB2312"/>
          <w:sz w:val="32"/>
          <w:szCs w:val="32"/>
        </w:rPr>
        <w:t>以南阳汉冶特钢为龙头， 积极发展大型特钢锻件产品，提高特厚钢的工艺绿色化、智能化水平。以荣阳实业为龙头，重点发展包装、建筑用铝材精加工产品，积极开发铝制汽车部件产品，引进高端精密铝型材加工项目。鼓励南召云铸企业建造大型绿色冶铸一体化高端铸造产业基地，成为中原精品铸造产业的标杆和全国高端铸造产品集散地。以西保集团、通宇公司、龙成冶金材料为依托，保持连铸结晶器保护渣、电渣重熔保护渣、模铸保护渣产品优势，研发特种钢、高品质钢用保护渣，空心颗粒保护渣，无氟连铸保护渣，提高资源利用率和生产自动化水平。</w:t>
      </w:r>
    </w:p>
    <w:p>
      <w:pPr>
        <w:spacing w:after="312" w:afterLines="100" w:line="600" w:lineRule="exact"/>
        <w:ind w:firstLine="646"/>
        <w:rPr>
          <w:rFonts w:ascii="仿宋_GB2312" w:hAnsi="Times New Roman" w:eastAsia="仿宋_GB2312"/>
          <w:sz w:val="32"/>
          <w:szCs w:val="32"/>
        </w:rPr>
      </w:pPr>
      <w:r>
        <w:rPr>
          <w:rFonts w:hint="eastAsia" w:ascii="仿宋_GB2312" w:eastAsia="仿宋_GB2312"/>
          <w:b/>
          <w:sz w:val="32"/>
          <w:szCs w:val="32"/>
        </w:rPr>
        <w:t>——建材。</w:t>
      </w:r>
      <w:r>
        <w:rPr>
          <w:rFonts w:hint="eastAsia" w:ascii="仿宋_GB2312" w:hAnsi="仿宋" w:eastAsia="仿宋_GB2312"/>
          <w:b/>
          <w:bCs/>
          <w:sz w:val="32"/>
          <w:szCs w:val="32"/>
        </w:rPr>
        <w:t>水泥产业：</w:t>
      </w:r>
      <w:r>
        <w:rPr>
          <w:rFonts w:hint="eastAsia" w:ascii="仿宋_GB2312" w:hAnsi="仿宋" w:eastAsia="仿宋_GB2312"/>
          <w:sz w:val="32"/>
          <w:szCs w:val="32"/>
        </w:rPr>
        <w:t>以</w:t>
      </w:r>
      <w:r>
        <w:rPr>
          <w:rFonts w:hint="eastAsia" w:ascii="仿宋_GB2312" w:hAnsi="Times New Roman" w:eastAsia="仿宋_GB2312"/>
          <w:sz w:val="32"/>
          <w:szCs w:val="32"/>
        </w:rPr>
        <w:t>南阳中联水泥为龙头，配套形成金港建材、中联商砼、星港涂料等企业集群，围绕建设绿色建材全产业链，支持鼓励大型水泥企业集团整合石灰石矿山开采、骨料开采等上游产业，向商品混凝土、水泥制品和建筑部品延伸，推动资源整合、研发设计、精深加工、物流营销和工程服务一体化发展，由建材供应商向综合建材服务商转变。发挥水泥窑炉“一窑多用”功能，开展水泥窑协同处置危险废物示范试点。</w:t>
      </w:r>
      <w:r>
        <w:rPr>
          <w:rFonts w:hint="eastAsia" w:ascii="仿宋_GB2312" w:hAnsi="Times New Roman" w:eastAsia="仿宋_GB2312"/>
          <w:b/>
          <w:bCs/>
          <w:sz w:val="32"/>
          <w:szCs w:val="32"/>
        </w:rPr>
        <w:t>装配式建筑：</w:t>
      </w:r>
      <w:r>
        <w:rPr>
          <w:rFonts w:hint="eastAsia" w:ascii="仿宋_GB2312" w:hAnsi="Times New Roman" w:eastAsia="仿宋_GB2312"/>
          <w:sz w:val="32"/>
          <w:szCs w:val="32"/>
        </w:rPr>
        <w:t>发挥南阳钢铁、水泥等建材产业优势，以钢结构装配式建筑为重点，鼓励龙头企业向下游延伸，组建装配式建筑联合体，推进信息技术在装配式建筑项目中的应用，推动设计、施工一体化建设模式和预制构配件市场发展。开展试点示范，加快装配式建筑基地建设。</w:t>
      </w:r>
      <w:r>
        <w:rPr>
          <w:rFonts w:hint="eastAsia" w:ascii="仿宋_GB2312" w:hAnsi="Times New Roman" w:eastAsia="仿宋_GB2312"/>
          <w:b/>
          <w:bCs/>
          <w:sz w:val="32"/>
          <w:szCs w:val="32"/>
        </w:rPr>
        <w:t>墙体材料及涂料：</w:t>
      </w:r>
      <w:r>
        <w:rPr>
          <w:rFonts w:hint="eastAsia" w:ascii="仿宋_GB2312" w:hAnsi="Times New Roman" w:eastAsia="仿宋_GB2312"/>
          <w:sz w:val="32"/>
          <w:szCs w:val="32"/>
        </w:rPr>
        <w:t>推动智能卫浴、功能涂料、节能窗、节能幕墙等新型建材产业集群发展。依托南召碳酸钙资源优势，以立邦、三棵树、东方雨虹等骨干企业为龙头，实施清洁生产，形成从粉体到墙板、油漆涂料等环境友好型终端产品完整产业链条。</w:t>
      </w:r>
    </w:p>
    <w:p>
      <w:pPr>
        <w:pStyle w:val="4"/>
        <w:spacing w:after="312" w:afterLines="100"/>
        <w:ind w:firstLine="0" w:firstLineChars="0"/>
        <w:jc w:val="center"/>
        <w:rPr>
          <w:rFonts w:ascii="楷体_GB2312" w:eastAsia="楷体_GB2312"/>
          <w:b/>
        </w:rPr>
      </w:pPr>
      <w:r>
        <w:rPr>
          <w:rFonts w:hint="eastAsia" w:ascii="楷体_GB2312" w:eastAsia="楷体_GB2312"/>
          <w:b/>
        </w:rPr>
        <w:t>第三节  推动四大新兴产业快速壮大</w:t>
      </w:r>
    </w:p>
    <w:p>
      <w:pPr>
        <w:pStyle w:val="4"/>
        <w:ind w:firstLine="640"/>
        <w:rPr>
          <w:rFonts w:ascii="仿宋_GB2312" w:eastAsia="仿宋_GB2312"/>
        </w:rPr>
      </w:pPr>
      <w:r>
        <w:rPr>
          <w:rFonts w:hint="eastAsia" w:ascii="仿宋_GB2312" w:hAnsi="仿宋" w:eastAsia="仿宋_GB2312"/>
        </w:rPr>
        <w:t>坚持战略需求和市场导向相结合，以工程化、产业化为重点，推动生物医药、电子信息、新材料、新能源等新兴产业创新发展，积极延伸产业链条，引导产业集聚，做大产业规模，增强产业竞争力，占据未来发展制高点。</w:t>
      </w:r>
    </w:p>
    <w:p>
      <w:pPr>
        <w:pStyle w:val="5"/>
        <w:spacing w:before="0" w:after="0" w:line="600" w:lineRule="exact"/>
        <w:ind w:firstLine="643" w:firstLineChars="200"/>
        <w:rPr>
          <w:rFonts w:ascii="仿宋_GB2312" w:hAnsi="仿宋" w:eastAsia="仿宋_GB2312"/>
          <w:b w:val="0"/>
          <w:bCs w:val="0"/>
          <w:kern w:val="0"/>
          <w:szCs w:val="20"/>
        </w:rPr>
      </w:pPr>
      <w:r>
        <w:rPr>
          <w:rFonts w:hint="eastAsia" w:asciiTheme="majorEastAsia" w:hAnsiTheme="majorEastAsia" w:eastAsiaTheme="majorEastAsia"/>
        </w:rPr>
        <w:t>1.生物医药。</w:t>
      </w:r>
      <w:r>
        <w:rPr>
          <w:rFonts w:hint="eastAsia" w:ascii="仿宋_GB2312" w:hAnsi="仿宋" w:eastAsia="仿宋_GB2312"/>
          <w:b w:val="0"/>
          <w:bCs w:val="0"/>
          <w:kern w:val="0"/>
          <w:szCs w:val="20"/>
        </w:rPr>
        <w:t>立足南阳优势中医药资源，积极发展中药材深加工，推动生物医药改造升级，把南阳建成中部地区最具影响力、最有代表性的现代中药生产基地、西药制剂基地。</w:t>
      </w:r>
    </w:p>
    <w:p>
      <w:pPr>
        <w:spacing w:line="600" w:lineRule="exact"/>
        <w:ind w:firstLine="640" w:firstLineChars="200"/>
        <w:rPr>
          <w:rFonts w:ascii="仿宋_GB2312" w:hAnsi="Times New Roman" w:eastAsia="仿宋_GB2312"/>
          <w:b/>
          <w:sz w:val="32"/>
          <w:szCs w:val="32"/>
        </w:rPr>
      </w:pPr>
      <w:r>
        <w:rPr>
          <w:rFonts w:hint="eastAsia" w:ascii="仿宋_GB2312" w:hAnsi="Times New Roman" w:eastAsia="仿宋_GB2312"/>
          <w:sz w:val="32"/>
          <w:szCs w:val="32"/>
        </w:rPr>
        <w:t>——</w:t>
      </w:r>
      <w:r>
        <w:rPr>
          <w:rFonts w:hint="eastAsia" w:ascii="仿宋_GB2312" w:hAnsi="仿宋" w:eastAsia="仿宋_GB2312"/>
          <w:b/>
          <w:sz w:val="32"/>
          <w:szCs w:val="32"/>
        </w:rPr>
        <w:t>现代中药。</w:t>
      </w:r>
      <w:r>
        <w:rPr>
          <w:rFonts w:hint="eastAsia" w:ascii="仿宋_GB2312" w:hAnsi="仿宋" w:eastAsia="仿宋_GB2312"/>
          <w:sz w:val="32"/>
          <w:szCs w:val="32"/>
        </w:rPr>
        <w:t>以宛西制药、福森药业等为龙头，形成种植-加工-成药完整产业链条。加快南阳道地中药材开发，打响山茱萸、辛夷、裕丹参、桐桔梗、夏枯草、金银花等宛药品牌，推动大宗中药材规范化种植与特色中药材原生态种植。做大做强六味地黄丸、双黄连、小柴胡口服液等传统知名品牌，开展南阳道地中药材及特色品种现代化炮制提纯，深化品牌中药二次开发及仲景古方验方中成药开发，加快中药配方颗粒市场推广。围绕打造“世界艾乡”目标，大力发展艾草特色种植业，以药益宝等企业为龙头，做强做精深加工业，做大灸疗服务文旅康养业，不断完善产业链条，持续提升品牌效益，把小艾草做成大产业。推进“仲景”牌中药配方颗粒生产线、福森药业生产迁址扩建及配套健康产业、蒲山艾草产业园等项目建设。</w:t>
      </w:r>
    </w:p>
    <w:p>
      <w:pPr>
        <w:spacing w:line="600" w:lineRule="exact"/>
        <w:ind w:firstLine="648"/>
        <w:rPr>
          <w:rFonts w:ascii="仿宋_GB2312" w:hAnsi="Times New Roman" w:eastAsia="仿宋_GB2312"/>
          <w:sz w:val="32"/>
          <w:szCs w:val="32"/>
        </w:rPr>
      </w:pPr>
      <w:r>
        <w:rPr>
          <w:rFonts w:hint="eastAsia" w:ascii="仿宋_GB2312" w:hAnsi="Times New Roman" w:eastAsia="仿宋_GB2312"/>
          <w:sz w:val="32"/>
          <w:szCs w:val="32"/>
        </w:rPr>
        <w:t>——</w:t>
      </w:r>
      <w:r>
        <w:rPr>
          <w:rFonts w:hint="eastAsia" w:ascii="仿宋_GB2312" w:hAnsi="Times New Roman" w:eastAsia="仿宋_GB2312"/>
          <w:b/>
          <w:sz w:val="32"/>
          <w:szCs w:val="32"/>
        </w:rPr>
        <w:t>化学药物</w:t>
      </w:r>
      <w:r>
        <w:rPr>
          <w:rFonts w:hint="eastAsia" w:ascii="仿宋_GB2312" w:hAnsi="Times New Roman" w:eastAsia="仿宋_GB2312"/>
          <w:sz w:val="32"/>
          <w:szCs w:val="32"/>
        </w:rPr>
        <w:t>。</w:t>
      </w:r>
      <w:r>
        <w:rPr>
          <w:rFonts w:hint="eastAsia" w:ascii="仿宋_GB2312" w:hAnsi="仿宋" w:eastAsia="仿宋_GB2312"/>
          <w:bCs/>
          <w:sz w:val="32"/>
          <w:szCs w:val="32"/>
        </w:rPr>
        <w:t>依托福森药业、利欣制药、蓝图制药、普康恒旺等骨干企业，</w:t>
      </w:r>
      <w:r>
        <w:rPr>
          <w:rFonts w:hint="eastAsia" w:ascii="仿宋_GB2312" w:hAnsi="仿宋" w:eastAsia="仿宋_GB2312"/>
          <w:sz w:val="32"/>
          <w:szCs w:val="32"/>
        </w:rPr>
        <w:t>以临床用药需求为导向，开发治疗乳腺癌、抑郁症、心绞痛及光谱抗菌创新药物，推进原料药向产业链高端创新药物延伸，促进化学药物品质全面提升。围绕临床用量大、销售额高的已到期和即将到期的专利药物，加强仿制药技术工艺、中间体等研发和攻关，加快推进仿制药质量和疗效一致性评价工作，发展一批品牌通用名药仿制药及中间体。发展动物用抗生素、疫苗、饲料药物等生物兽药产品，建设豫西南生物兽药基地。推进启泰制药创新药物工业园、利欣制药高端注射剂生产线智能化、牧原生物制药现代化产业园等项目建设。</w:t>
      </w:r>
    </w:p>
    <w:p>
      <w:pPr>
        <w:spacing w:line="600" w:lineRule="exact"/>
        <w:ind w:firstLine="648"/>
        <w:rPr>
          <w:rFonts w:ascii="仿宋_GB2312" w:hAnsi="仿宋" w:eastAsia="仿宋_GB2312"/>
          <w:sz w:val="32"/>
          <w:szCs w:val="32"/>
        </w:rPr>
      </w:pPr>
      <w:r>
        <w:rPr>
          <w:rFonts w:hint="eastAsia" w:ascii="仿宋_GB2312" w:hAnsi="Times New Roman" w:eastAsia="仿宋_GB2312"/>
          <w:sz w:val="32"/>
          <w:szCs w:val="32"/>
        </w:rPr>
        <w:t>——</w:t>
      </w:r>
      <w:r>
        <w:rPr>
          <w:rFonts w:hint="eastAsia" w:ascii="仿宋_GB2312" w:hAnsi="Times New Roman" w:eastAsia="仿宋_GB2312"/>
          <w:b/>
          <w:sz w:val="32"/>
          <w:szCs w:val="32"/>
        </w:rPr>
        <w:t>医疗器械及卫材</w:t>
      </w:r>
      <w:r>
        <w:rPr>
          <w:rFonts w:hint="eastAsia" w:ascii="仿宋_GB2312" w:hAnsi="Times New Roman" w:eastAsia="仿宋_GB2312"/>
          <w:sz w:val="32"/>
          <w:szCs w:val="32"/>
        </w:rPr>
        <w:t>。</w:t>
      </w:r>
      <w:r>
        <w:rPr>
          <w:rFonts w:hint="eastAsia" w:ascii="仿宋_GB2312" w:hAnsi="仿宋" w:eastAsia="仿宋_GB2312"/>
          <w:bCs/>
          <w:sz w:val="32"/>
          <w:szCs w:val="32"/>
        </w:rPr>
        <w:t>依托汇博医疗、</w:t>
      </w:r>
      <w:r>
        <w:rPr>
          <w:rFonts w:hint="eastAsia" w:ascii="仿宋_GB2312" w:hAnsi="仿宋" w:eastAsia="仿宋_GB2312" w:cs="仿宋"/>
          <w:sz w:val="32"/>
          <w:szCs w:val="32"/>
        </w:rPr>
        <w:t>迈松医疗、正得乐医疗</w:t>
      </w:r>
      <w:r>
        <w:rPr>
          <w:rFonts w:hint="eastAsia" w:ascii="仿宋_GB2312" w:hAnsi="仿宋" w:eastAsia="仿宋_GB2312"/>
          <w:bCs/>
          <w:sz w:val="32"/>
          <w:szCs w:val="32"/>
        </w:rPr>
        <w:t>等骨干企业，</w:t>
      </w:r>
      <w:r>
        <w:rPr>
          <w:rFonts w:hint="eastAsia" w:ascii="仿宋_GB2312" w:hAnsi="仿宋" w:eastAsia="仿宋_GB2312" w:cs="仿宋"/>
          <w:sz w:val="32"/>
          <w:szCs w:val="32"/>
        </w:rPr>
        <w:t>以新产品研发为突破口，开发智能化、低成本的结构替代、功能代偿、技能训练等康复辅具等产品。持续提升</w:t>
      </w:r>
      <w:r>
        <w:rPr>
          <w:rFonts w:hint="eastAsia" w:ascii="仿宋_GB2312" w:hAnsi="仿宋" w:eastAsia="仿宋_GB2312"/>
          <w:sz w:val="32"/>
          <w:szCs w:val="32"/>
        </w:rPr>
        <w:t>医用敷料、医用胶片、医用防护用品等医用耗材优势，积极发展一次性高性能麻醉产品、新型留置针、静电丝神经导管等高端医用耗材。推进柯丽尔医用干式胶片等项目，做大做强医用耗材产业。</w:t>
      </w:r>
    </w:p>
    <w:p>
      <w:pPr>
        <w:spacing w:line="600" w:lineRule="exact"/>
        <w:ind w:firstLine="648"/>
        <w:rPr>
          <w:rFonts w:ascii="仿宋_GB2312" w:hAnsi="Times New Roman" w:eastAsia="仿宋_GB2312"/>
          <w:sz w:val="32"/>
          <w:szCs w:val="32"/>
        </w:rPr>
      </w:pPr>
      <w:r>
        <w:rPr>
          <w:rFonts w:hint="eastAsia" w:asciiTheme="majorEastAsia" w:hAnsiTheme="majorEastAsia" w:eastAsiaTheme="majorEastAsia"/>
          <w:b/>
          <w:sz w:val="32"/>
          <w:szCs w:val="32"/>
        </w:rPr>
        <w:t>2.新材料。</w:t>
      </w:r>
      <w:r>
        <w:rPr>
          <w:rFonts w:hint="eastAsia" w:ascii="仿宋_GB2312" w:hAnsi="仿宋" w:eastAsia="仿宋_GB2312"/>
          <w:bCs/>
          <w:sz w:val="32"/>
          <w:szCs w:val="32"/>
        </w:rPr>
        <w:t>坚持产业高端化、产品终端化、品牌优质化，整合产业链上下游，做大超硬材料、新型非金属材料规模。</w:t>
      </w:r>
    </w:p>
    <w:p>
      <w:pPr>
        <w:adjustRightInd w:val="0"/>
        <w:snapToGrid w:val="0"/>
        <w:spacing w:line="600" w:lineRule="exact"/>
        <w:ind w:firstLine="640" w:firstLineChars="200"/>
        <w:rPr>
          <w:rFonts w:ascii="仿宋_GB2312" w:hAnsi="仿宋" w:eastAsia="仿宋_GB2312"/>
          <w:sz w:val="32"/>
          <w:szCs w:val="32"/>
        </w:rPr>
      </w:pPr>
      <w:r>
        <w:rPr>
          <w:rFonts w:hint="eastAsia" w:ascii="仿宋_GB2312" w:hAnsi="Times New Roman" w:eastAsia="仿宋_GB2312"/>
          <w:sz w:val="32"/>
          <w:szCs w:val="32"/>
        </w:rPr>
        <w:t>——</w:t>
      </w:r>
      <w:r>
        <w:rPr>
          <w:rFonts w:hint="eastAsia" w:ascii="仿宋_GB2312" w:hAnsi="Times New Roman" w:eastAsia="仿宋_GB2312"/>
          <w:b/>
          <w:sz w:val="32"/>
          <w:szCs w:val="32"/>
        </w:rPr>
        <w:t>超硬材料。</w:t>
      </w:r>
      <w:r>
        <w:rPr>
          <w:rFonts w:hint="eastAsia" w:ascii="仿宋_GB2312" w:hAnsi="仿宋" w:eastAsia="仿宋_GB2312"/>
          <w:sz w:val="32"/>
          <w:szCs w:val="32"/>
        </w:rPr>
        <w:t>以中南钻石为龙头，积极拓展应用领域，布局完善超硬材料产品线。保持传统工具用金刚石、立方氮化硼、复合片产品优势，提高宝石级人造金刚石良品率。拓展超硬材料在电子信息、汽车、新能源等产业领域的应用，加大CVD金刚石、大尺度多晶金刚石等高端及功能型材料产品研发力度，打造全球超硬材料产研基地。</w:t>
      </w:r>
    </w:p>
    <w:p>
      <w:pPr>
        <w:spacing w:line="600" w:lineRule="exact"/>
        <w:ind w:firstLine="648"/>
        <w:rPr>
          <w:rFonts w:ascii="仿宋_GB2312" w:hAnsi="Times New Roman" w:eastAsia="仿宋_GB2312"/>
          <w:sz w:val="32"/>
          <w:szCs w:val="32"/>
        </w:rPr>
      </w:pPr>
      <w:r>
        <w:rPr>
          <w:rFonts w:hint="eastAsia" w:ascii="仿宋_GB2312" w:hAnsi="Times New Roman" w:eastAsia="仿宋_GB2312"/>
          <w:sz w:val="32"/>
          <w:szCs w:val="32"/>
        </w:rPr>
        <w:t>——</w:t>
      </w:r>
      <w:r>
        <w:rPr>
          <w:rFonts w:hint="eastAsia" w:ascii="仿宋_GB2312" w:hAnsi="Times New Roman" w:eastAsia="仿宋_GB2312"/>
          <w:b/>
          <w:sz w:val="32"/>
          <w:szCs w:val="32"/>
        </w:rPr>
        <w:t>非金属材料</w:t>
      </w:r>
      <w:r>
        <w:rPr>
          <w:rFonts w:hint="eastAsia" w:ascii="仿宋_GB2312" w:hAnsi="Times New Roman" w:eastAsia="仿宋_GB2312"/>
          <w:sz w:val="32"/>
          <w:szCs w:val="32"/>
        </w:rPr>
        <w:t>。充分发挥碳酸钙资源优势，按照“资源生态化开发、产业集群化发展”的理念，重点发展超细、超纯、活性、复合碳酸钙等粉体材料，推动功能性色母粒、绿色建材、新型包装材料发展，建设“中原钙都”，成为中部地区最大、全国知名的重质碳酸钙加工生产基地。</w:t>
      </w:r>
    </w:p>
    <w:p>
      <w:pPr>
        <w:pStyle w:val="5"/>
        <w:spacing w:before="0" w:after="0" w:line="600" w:lineRule="exact"/>
        <w:ind w:firstLine="643" w:firstLineChars="200"/>
        <w:rPr>
          <w:rFonts w:ascii="仿宋_GB2312" w:hAnsi="Times New Roman" w:eastAsia="仿宋_GB2312"/>
          <w:b w:val="0"/>
          <w:bCs w:val="0"/>
        </w:rPr>
      </w:pPr>
      <w:r>
        <w:rPr>
          <w:rFonts w:hint="eastAsia" w:asciiTheme="minorEastAsia" w:hAnsiTheme="minorEastAsia" w:eastAsiaTheme="minorEastAsia"/>
        </w:rPr>
        <w:t>3.电子信息。</w:t>
      </w:r>
      <w:r>
        <w:rPr>
          <w:rFonts w:hint="eastAsia" w:ascii="仿宋_GB2312" w:hAnsi="Times New Roman" w:eastAsia="仿宋_GB2312"/>
          <w:b w:val="0"/>
          <w:bCs w:val="0"/>
        </w:rPr>
        <w:t>坚持创新驱动、特色引领，推动光电产品集聚发展，软件及信息服务业、5G提质增速，成为河南有影响力的光电产业基地和重要电子产业新兴承接地。</w:t>
      </w:r>
    </w:p>
    <w:p>
      <w:pPr>
        <w:spacing w:line="600" w:lineRule="exact"/>
        <w:ind w:firstLine="648"/>
        <w:rPr>
          <w:rFonts w:ascii="仿宋_GB2312" w:hAnsi="Times New Roman" w:eastAsia="仿宋_GB2312"/>
          <w:sz w:val="32"/>
          <w:szCs w:val="32"/>
        </w:rPr>
      </w:pPr>
      <w:r>
        <w:rPr>
          <w:rFonts w:hint="eastAsia" w:ascii="仿宋_GB2312" w:hAnsi="Times New Roman" w:eastAsia="仿宋_GB2312"/>
          <w:sz w:val="32"/>
          <w:szCs w:val="32"/>
        </w:rPr>
        <w:t>——</w:t>
      </w:r>
      <w:r>
        <w:rPr>
          <w:rFonts w:hint="eastAsia" w:ascii="仿宋_GB2312" w:hAnsi="Times New Roman" w:eastAsia="仿宋_GB2312"/>
          <w:b/>
          <w:sz w:val="32"/>
          <w:szCs w:val="32"/>
        </w:rPr>
        <w:t>数字光电。</w:t>
      </w:r>
      <w:r>
        <w:rPr>
          <w:rFonts w:hint="eastAsia" w:ascii="仿宋_GB2312" w:hAnsi="Times New Roman" w:eastAsia="仿宋_GB2312"/>
          <w:sz w:val="32"/>
          <w:szCs w:val="32"/>
        </w:rPr>
        <w:t>以中光学、乐凯华光等企业为依托，巩固提升光学镀膜、镜片、镜头等冷光学元器件市场优势。加快推进超硬功能光学薄膜、柔性显示功能薄膜、特种功能薄膜及相关模组集成技术，提高真空镀膜设备、红外镀膜设备和溅射镀膜设备产业化进程。积极开发LED、激光光源模组、光敏产品、光通信产品等新型高端产品。巩固提升印刷感光材料研发生产龙头地位，积极开拓光刻基板、电池薄膜等新应用领域。加快推进镀邦光电产业园等重点项目建设，建设国内外有较大影响的光学元组件基地、中国“膜都”和印刷电子新材料基地。</w:t>
      </w:r>
    </w:p>
    <w:p>
      <w:pPr>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w:t>
      </w:r>
      <w:r>
        <w:rPr>
          <w:rFonts w:hint="eastAsia" w:ascii="仿宋_GB2312" w:hAnsi="Times New Roman" w:eastAsia="仿宋_GB2312"/>
          <w:b/>
          <w:sz w:val="32"/>
          <w:szCs w:val="32"/>
        </w:rPr>
        <w:t>5G</w:t>
      </w:r>
      <w:r>
        <w:rPr>
          <w:rFonts w:hint="eastAsia" w:ascii="仿宋_GB2312" w:hAnsi="Times New Roman" w:eastAsia="仿宋_GB2312"/>
          <w:sz w:val="32"/>
          <w:szCs w:val="32"/>
        </w:rPr>
        <w:t>。</w:t>
      </w:r>
      <w:r>
        <w:rPr>
          <w:rFonts w:hint="eastAsia" w:ascii="仿宋_GB2312" w:hAnsi="仿宋" w:eastAsia="仿宋_GB2312"/>
          <w:sz w:val="32"/>
          <w:szCs w:val="32"/>
        </w:rPr>
        <w:t>推进铁塔、室内分布系统、杆路、管道及配套设施共建共享，统筹5G基站规划布局，加快5G网络建设进度。推动柔性盖板镀膜工艺、屏下光学式指纹识别盖板加工工艺、5G高速板加工用微型钻针规模化生产等5G配套产业技术研发，打造5G智能终端元组件产业技术研发创新基地。深入推进“5G+智能制造”“5G+智慧农业”“5G+现代服务业”“5G+智慧城市”等场景的应用示范。</w:t>
      </w:r>
    </w:p>
    <w:p>
      <w:pPr>
        <w:spacing w:line="600" w:lineRule="exact"/>
        <w:ind w:firstLine="648"/>
        <w:rPr>
          <w:rFonts w:ascii="仿宋_GB2312" w:hAnsi="Times New Roman" w:eastAsia="仿宋_GB2312"/>
          <w:sz w:val="32"/>
          <w:szCs w:val="32"/>
        </w:rPr>
      </w:pPr>
      <w:r>
        <w:rPr>
          <w:rFonts w:hint="eastAsia" w:ascii="仿宋_GB2312" w:hAnsi="Times New Roman" w:eastAsia="仿宋_GB2312"/>
          <w:sz w:val="32"/>
          <w:szCs w:val="32"/>
        </w:rPr>
        <w:t>——</w:t>
      </w:r>
      <w:r>
        <w:rPr>
          <w:rFonts w:hint="eastAsia" w:ascii="仿宋_GB2312" w:hAnsi="Times New Roman" w:eastAsia="仿宋_GB2312"/>
          <w:b/>
          <w:sz w:val="32"/>
          <w:szCs w:val="32"/>
        </w:rPr>
        <w:t>电子元器件</w:t>
      </w:r>
      <w:r>
        <w:rPr>
          <w:rFonts w:hint="eastAsia" w:ascii="仿宋_GB2312" w:hAnsi="Times New Roman" w:eastAsia="仿宋_GB2312"/>
          <w:sz w:val="32"/>
          <w:szCs w:val="32"/>
        </w:rPr>
        <w:t>。以森霸传感企业为龙头，扩大红外滤光片、光敏电阻、线性光耦、光敏传感器等产品优势，培育热释电红外传感器、可见光传感器等系列产品。以中光学集团、凯鑫光电等企业为依托，重点培育光学镜头、光学引擎、光学元件等光学组件产业，积极研发集成红外传感器、高梯度功率压敏电阻、表贴耳麦、表贴电磁元件等电子元器件产品。</w:t>
      </w:r>
    </w:p>
    <w:p>
      <w:pPr>
        <w:spacing w:line="600" w:lineRule="exact"/>
        <w:ind w:firstLine="648"/>
        <w:rPr>
          <w:rFonts w:ascii="仿宋_GB2312" w:hAnsi="Times New Roman" w:eastAsia="仿宋_GB2312"/>
          <w:sz w:val="32"/>
          <w:szCs w:val="32"/>
        </w:rPr>
      </w:pPr>
      <w:r>
        <w:rPr>
          <w:rFonts w:hint="eastAsia" w:ascii="仿宋_GB2312" w:hAnsi="Times New Roman" w:eastAsia="仿宋_GB2312"/>
          <w:sz w:val="32"/>
          <w:szCs w:val="32"/>
        </w:rPr>
        <w:t>——</w:t>
      </w:r>
      <w:r>
        <w:rPr>
          <w:rFonts w:hint="eastAsia" w:ascii="仿宋_GB2312" w:hAnsi="Times New Roman" w:eastAsia="仿宋_GB2312"/>
          <w:b/>
          <w:sz w:val="32"/>
          <w:szCs w:val="32"/>
        </w:rPr>
        <w:t>软件及信息服务</w:t>
      </w:r>
      <w:r>
        <w:rPr>
          <w:rFonts w:hint="eastAsia" w:ascii="仿宋_GB2312" w:hAnsi="Times New Roman" w:eastAsia="仿宋_GB2312"/>
          <w:sz w:val="32"/>
          <w:szCs w:val="32"/>
        </w:rPr>
        <w:t>。</w:t>
      </w:r>
      <w:r>
        <w:rPr>
          <w:rFonts w:hint="eastAsia" w:ascii="仿宋_GB2312" w:hAnsi="仿宋" w:eastAsia="仿宋_GB2312"/>
          <w:sz w:val="32"/>
          <w:szCs w:val="32"/>
        </w:rPr>
        <w:t>推动专用小型软件、移动应用软件（APP）发展。利用南阳装备制造、汽车零部件、化工建材等产业优势，聚焦垂直电商平台、工业互联网平台以及系统集成、数据服务等领域的软件开发和应用，推进软件技术在现代农业、制造业领域的融合应用。以南阳中关村科技产业园为核心载体，推动软件及信息服务业的集聚。</w:t>
      </w:r>
    </w:p>
    <w:p>
      <w:pPr>
        <w:pStyle w:val="5"/>
        <w:spacing w:before="0" w:after="0" w:line="600" w:lineRule="exact"/>
        <w:ind w:firstLine="643" w:firstLineChars="200"/>
        <w:rPr>
          <w:rFonts w:ascii="仿宋_GB2312" w:eastAsia="仿宋_GB2312"/>
          <w:b w:val="0"/>
        </w:rPr>
      </w:pPr>
      <w:r>
        <w:rPr>
          <w:rFonts w:hint="eastAsia" w:asciiTheme="majorEastAsia" w:hAnsiTheme="majorEastAsia" w:eastAsiaTheme="majorEastAsia"/>
        </w:rPr>
        <w:t>4.新能源。</w:t>
      </w:r>
      <w:r>
        <w:rPr>
          <w:rFonts w:hint="eastAsia" w:ascii="仿宋_GB2312" w:eastAsia="仿宋_GB2312"/>
          <w:b w:val="0"/>
        </w:rPr>
        <w:t>发展新能源专用车及零部件、动力电池等，以风能、太阳能、生物质能等新能源开发和综合利用为重点，持续提升风电、光伏双百万千瓦级新能源基地能级。</w:t>
      </w:r>
    </w:p>
    <w:p>
      <w:pPr>
        <w:spacing w:line="600" w:lineRule="exact"/>
        <w:ind w:firstLine="648"/>
        <w:rPr>
          <w:rFonts w:ascii="仿宋_GB2312" w:hAnsi="仿宋" w:eastAsia="仿宋_GB2312"/>
          <w:sz w:val="32"/>
          <w:szCs w:val="32"/>
        </w:rPr>
      </w:pPr>
      <w:r>
        <w:rPr>
          <w:rFonts w:hint="eastAsia" w:ascii="仿宋_GB2312" w:hAnsi="Times New Roman" w:eastAsia="仿宋_GB2312"/>
          <w:b/>
          <w:sz w:val="32"/>
          <w:szCs w:val="32"/>
        </w:rPr>
        <w:t>——新能源汽车</w:t>
      </w:r>
      <w:r>
        <w:rPr>
          <w:rFonts w:hint="eastAsia" w:ascii="仿宋_GB2312" w:hAnsi="Times New Roman" w:eastAsia="仿宋_GB2312"/>
          <w:sz w:val="32"/>
          <w:szCs w:val="32"/>
        </w:rPr>
        <w:t>。</w:t>
      </w:r>
      <w:r>
        <w:rPr>
          <w:rFonts w:hint="eastAsia" w:ascii="仿宋_GB2312" w:hAnsi="仿宋" w:eastAsia="仿宋_GB2312" w:cs="宋体"/>
          <w:sz w:val="32"/>
          <w:szCs w:val="32"/>
          <w:lang w:val="zh-CN"/>
        </w:rPr>
        <w:t>以物流类、油田作业类、部队后勤保障类专用车为重点，扩大新能源整车专用车生产规模，提高新能源零部件配套能力，加快新能源汽车电子水泵、涡轮增压总成、海洋装备及新能源汽车用排气管的产业化，加大电池、电机、控制系统等关键环节的研发投入和产业化。提高油气钻采专用车辆智能化程度，扩大消防用“一车两人”专业车规模，推动专业车向新能源转型。依托新能源汽车产业园，大力引进新能源专用车和配套企业，打造新能源汽车零部件国内规模化配套生产基地。</w:t>
      </w:r>
    </w:p>
    <w:p>
      <w:pPr>
        <w:snapToGrid w:val="0"/>
        <w:spacing w:line="600" w:lineRule="exact"/>
        <w:ind w:firstLine="643" w:firstLineChars="200"/>
        <w:rPr>
          <w:rFonts w:ascii="仿宋_GB2312" w:hAnsi="仿宋" w:eastAsia="仿宋_GB2312" w:cs="宋体"/>
          <w:sz w:val="32"/>
          <w:szCs w:val="32"/>
          <w:lang w:val="zh-CN"/>
        </w:rPr>
      </w:pPr>
      <w:r>
        <w:rPr>
          <w:rFonts w:hint="eastAsia" w:ascii="仿宋_GB2312" w:hAnsi="Times New Roman" w:eastAsia="仿宋_GB2312"/>
          <w:b/>
          <w:sz w:val="32"/>
          <w:szCs w:val="32"/>
        </w:rPr>
        <w:t>——动力电池。</w:t>
      </w:r>
      <w:r>
        <w:rPr>
          <w:rFonts w:hint="eastAsia" w:ascii="仿宋_GB2312" w:hAnsi="仿宋" w:eastAsia="仿宋_GB2312" w:cs="宋体"/>
          <w:sz w:val="32"/>
          <w:szCs w:val="32"/>
          <w:lang w:val="zh-CN"/>
        </w:rPr>
        <w:t>以增碳剂、负极材料、聚合物电芯及聚合物锂离子动力电池为重点，大力发展高能量密度、低成本、高安全性和长循环寿命动力电池。强化资源回收利用，促进动力电池回收与再利用体系建设，强力推进九龙新能源材料、华创新能源、氚威电子、海宏科技等项目建设。</w:t>
      </w:r>
    </w:p>
    <w:p>
      <w:pPr>
        <w:pStyle w:val="4"/>
        <w:spacing w:after="312" w:afterLines="100"/>
        <w:ind w:firstLine="643"/>
        <w:rPr>
          <w:rFonts w:ascii="仿宋_GB2312" w:hAnsi="仿宋" w:eastAsia="仿宋_GB2312" w:cs="宋体"/>
          <w:szCs w:val="32"/>
        </w:rPr>
      </w:pPr>
      <w:r>
        <w:rPr>
          <w:rFonts w:hint="eastAsia" w:ascii="仿宋_GB2312" w:eastAsia="仿宋_GB2312"/>
          <w:b/>
          <w:szCs w:val="32"/>
          <w:lang w:val="zh-CN"/>
        </w:rPr>
        <w:t>——</w:t>
      </w:r>
      <w:r>
        <w:rPr>
          <w:rFonts w:hint="eastAsia" w:ascii="仿宋_GB2312" w:eastAsia="仿宋_GB2312"/>
          <w:b/>
          <w:szCs w:val="32"/>
        </w:rPr>
        <w:t>清洁能源。</w:t>
      </w:r>
      <w:r>
        <w:rPr>
          <w:rFonts w:hint="eastAsia" w:ascii="仿宋_GB2312" w:hAnsi="仿宋" w:eastAsia="仿宋_GB2312" w:cs="宋体"/>
          <w:szCs w:val="32"/>
          <w:lang w:val="zh-CN"/>
        </w:rPr>
        <w:t>充分利用风能资源，加快集中开发型和分散式风电项目建设。</w:t>
      </w:r>
      <w:r>
        <w:rPr>
          <w:rFonts w:hint="eastAsia" w:ascii="仿宋_GB2312" w:hAnsi="仿宋_GB2312" w:eastAsia="仿宋_GB2312" w:cs="仿宋_GB2312"/>
          <w:szCs w:val="32"/>
        </w:rPr>
        <w:t>积极实施“风电（光伏）+储能”示范项目，</w:t>
      </w:r>
      <w:r>
        <w:rPr>
          <w:rFonts w:hint="eastAsia" w:ascii="仿宋_GB2312" w:hAnsi="仿宋" w:eastAsia="仿宋_GB2312" w:cs="宋体"/>
          <w:szCs w:val="32"/>
          <w:lang w:val="zh-CN"/>
        </w:rPr>
        <w:t>支持屋顶分布式光伏发电项目建设。研究</w:t>
      </w:r>
      <w:r>
        <w:rPr>
          <w:rFonts w:hint="eastAsia" w:ascii="仿宋_GB2312" w:hAnsi="仿宋_GB2312" w:eastAsia="仿宋_GB2312" w:cs="仿宋_GB2312"/>
          <w:szCs w:val="32"/>
        </w:rPr>
        <w:t>推进南水北调中线工程渠首石漠化治理光伏发电基地、桐柏城郊乡北杨庄石漠化治理光伏发电等项目建设。研究推动</w:t>
      </w:r>
      <w:r>
        <w:rPr>
          <w:rFonts w:hint="eastAsia" w:ascii="仿宋_GB2312" w:hAnsi="仿宋" w:eastAsia="仿宋_GB2312" w:cs="宋体"/>
          <w:szCs w:val="32"/>
          <w:lang w:val="zh-CN"/>
        </w:rPr>
        <w:t>生物质能利用，</w:t>
      </w:r>
      <w:r>
        <w:rPr>
          <w:rFonts w:hint="eastAsia" w:ascii="仿宋_GB2312" w:hAnsi="仿宋" w:eastAsia="仿宋_GB2312" w:cs="宋体"/>
          <w:szCs w:val="32"/>
        </w:rPr>
        <w:t>加快</w:t>
      </w:r>
      <w:r>
        <w:rPr>
          <w:rFonts w:hint="eastAsia" w:ascii="仿宋_GB2312" w:hAnsi="仿宋_GB2312" w:eastAsia="仿宋_GB2312" w:cs="仿宋_GB2312"/>
          <w:szCs w:val="32"/>
        </w:rPr>
        <w:t>生物质能热电联产项目建设，</w:t>
      </w:r>
      <w:r>
        <w:rPr>
          <w:rFonts w:hint="eastAsia" w:ascii="仿宋_GB2312" w:hAnsi="仿宋" w:eastAsia="仿宋_GB2312" w:cs="宋体"/>
          <w:szCs w:val="32"/>
          <w:lang w:val="zh-CN"/>
        </w:rPr>
        <w:t>开工淅川、桐柏两个3万千瓦生物质发电项目。</w:t>
      </w:r>
      <w:r>
        <w:rPr>
          <w:rFonts w:hint="eastAsia" w:ascii="仿宋_GB2312" w:hAnsi="仿宋" w:eastAsia="仿宋_GB2312" w:cs="宋体"/>
          <w:szCs w:val="32"/>
        </w:rPr>
        <w:t>加强氢能技术研发应用，培育氢能产储运用产业链条。推动天池抽水蓄能电站建成投产，争取二期进入国家和省相关规划。</w:t>
      </w:r>
    </w:p>
    <w:p>
      <w:pPr>
        <w:pStyle w:val="4"/>
        <w:spacing w:after="312" w:afterLines="100"/>
        <w:ind w:firstLine="0" w:firstLineChars="0"/>
        <w:jc w:val="center"/>
        <w:rPr>
          <w:rFonts w:ascii="楷体_GB2312" w:eastAsia="楷体_GB2312" w:hAnsiTheme="minorEastAsia"/>
          <w:b/>
        </w:rPr>
      </w:pPr>
      <w:r>
        <w:rPr>
          <w:rFonts w:hint="eastAsia" w:ascii="楷体_GB2312" w:eastAsia="楷体_GB2312" w:cs="仿宋_GB2312" w:hAnsiTheme="minorEastAsia"/>
          <w:b/>
          <w:szCs w:val="32"/>
          <w:shd w:val="clear" w:color="auto" w:fill="FFFFFF"/>
        </w:rPr>
        <w:t>第四节   前瞻</w:t>
      </w:r>
      <w:r>
        <w:rPr>
          <w:rFonts w:hint="eastAsia" w:ascii="楷体_GB2312" w:eastAsia="楷体_GB2312" w:hAnsiTheme="minorEastAsia"/>
          <w:b/>
        </w:rPr>
        <w:t>布局未来产业</w:t>
      </w:r>
    </w:p>
    <w:p>
      <w:pPr>
        <w:snapToGrid w:val="0"/>
        <w:spacing w:after="312" w:afterLines="100" w:line="600" w:lineRule="exact"/>
        <w:ind w:firstLine="640" w:firstLineChars="200"/>
        <w:rPr>
          <w:rFonts w:ascii="仿宋_GB2312" w:hAnsi="仿宋" w:eastAsia="仿宋_GB2312" w:cs="宋体"/>
          <w:sz w:val="32"/>
          <w:szCs w:val="32"/>
          <w:lang w:val="zh-CN"/>
        </w:rPr>
      </w:pPr>
      <w:r>
        <w:rPr>
          <w:rFonts w:hint="eastAsia" w:ascii="仿宋_GB2312" w:hAnsi="仿宋" w:eastAsia="仿宋_GB2312" w:cs="宋体"/>
          <w:sz w:val="32"/>
          <w:szCs w:val="32"/>
          <w:lang w:val="zh-CN"/>
        </w:rPr>
        <w:t xml:space="preserve">聚焦北斗应用、生命健康、区块链等未来产业，谋划实施一批重点项目，积极推动示范应用，抢占发展先机。发挥高分辨率对地观测系统河南数据与应用中心南阳分中心作用，开展北斗在工业、交通、农业、水利、安全、消费等领域的示范应用，以市场推动北斗产业创新发展。充分发挥中医药优势，推动医疗和新一代信息技术融合，大力发展大健康产业，打造以文旅康养和中医药康养为主导，以数字康养为支撑的特色康养产业。推动区块链硬件基础设施建设，深化区块链技术在食品、装备制造、金融、教育等行业的应用。  </w:t>
      </w:r>
    </w:p>
    <w:p>
      <w:pPr>
        <w:pStyle w:val="4"/>
        <w:spacing w:after="312" w:afterLines="100"/>
        <w:ind w:firstLine="0" w:firstLineChars="0"/>
        <w:jc w:val="center"/>
        <w:rPr>
          <w:rFonts w:ascii="黑体" w:hAnsi="黑体" w:cs="仿宋_GB2312"/>
          <w:szCs w:val="32"/>
        </w:rPr>
      </w:pPr>
      <w:r>
        <w:rPr>
          <w:rFonts w:hint="eastAsia" w:ascii="黑体" w:hAnsi="黑体" w:cs="仿宋_GB2312"/>
          <w:szCs w:val="32"/>
        </w:rPr>
        <w:t>第九章  突出县域“主新特”产业发展</w:t>
      </w:r>
    </w:p>
    <w:p>
      <w:pPr>
        <w:spacing w:after="312" w:afterLines="100" w:line="600" w:lineRule="exact"/>
        <w:ind w:firstLine="480" w:firstLineChars="150"/>
        <w:jc w:val="left"/>
        <w:rPr>
          <w:rFonts w:ascii="仿宋_GB2312" w:hAnsi="微软雅黑" w:eastAsia="仿宋_GB2312" w:cs="宋体"/>
          <w:kern w:val="0"/>
          <w:sz w:val="32"/>
          <w:szCs w:val="32"/>
        </w:rPr>
      </w:pPr>
      <w:r>
        <w:rPr>
          <w:rFonts w:hint="eastAsia" w:ascii="仿宋_GB2312" w:hAnsi="仿宋_GB2312" w:eastAsia="仿宋_GB2312" w:cs="仿宋_GB2312"/>
          <w:kern w:val="0"/>
          <w:sz w:val="32"/>
          <w:szCs w:val="32"/>
          <w:shd w:val="clear" w:color="auto" w:fill="FFFFFF"/>
        </w:rPr>
        <w:t>立足县域</w:t>
      </w:r>
      <w:r>
        <w:rPr>
          <w:rFonts w:hint="eastAsia" w:ascii="仿宋_GB2312" w:hAnsi="微软雅黑" w:eastAsia="仿宋_GB2312" w:cs="宋体"/>
          <w:kern w:val="0"/>
          <w:sz w:val="32"/>
          <w:szCs w:val="32"/>
        </w:rPr>
        <w:t>产业基础和比较优势，强化统筹引导，注重集约发展，优化要素配置，在各县市区形成一批具有竞争力的百亿级产业集群。</w:t>
      </w:r>
    </w:p>
    <w:p>
      <w:pPr>
        <w:spacing w:after="312" w:afterLines="100" w:line="600" w:lineRule="exact"/>
        <w:jc w:val="center"/>
        <w:rPr>
          <w:rFonts w:ascii="楷体_GB2312" w:hAnsi="仿宋" w:eastAsia="楷体_GB2312" w:cs="仿宋_GB2312"/>
          <w:b/>
          <w:sz w:val="32"/>
          <w:szCs w:val="32"/>
        </w:rPr>
      </w:pPr>
      <w:r>
        <w:rPr>
          <w:rFonts w:hint="eastAsia" w:ascii="楷体_GB2312" w:hAnsi="仿宋" w:eastAsia="楷体_GB2312" w:cs="仿宋_GB2312"/>
          <w:b/>
          <w:sz w:val="32"/>
          <w:szCs w:val="32"/>
        </w:rPr>
        <w:t>第一节  巩固提升主导产业</w:t>
      </w:r>
    </w:p>
    <w:p>
      <w:pPr>
        <w:autoSpaceDE w:val="0"/>
        <w:spacing w:after="312" w:afterLines="100" w:line="600" w:lineRule="exact"/>
        <w:ind w:firstLine="630" w:firstLineChars="197"/>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rPr>
        <w:t>聚焦汽车及零部件、农牧装备制造、轴承制造、防爆装备制造、输变电装备制造、碱硝化工、纺织服装等</w:t>
      </w:r>
      <w:r>
        <w:rPr>
          <w:rFonts w:hint="eastAsia" w:ascii="仿宋" w:hAnsi="仿宋" w:eastAsia="仿宋"/>
          <w:sz w:val="32"/>
          <w:szCs w:val="32"/>
        </w:rPr>
        <w:t>产业基础较好、产值占比较大的主导</w:t>
      </w:r>
      <w:r>
        <w:rPr>
          <w:rFonts w:hint="eastAsia" w:ascii="仿宋_GB2312" w:hAnsi="仿宋_GB2312" w:eastAsia="仿宋_GB2312" w:cs="仿宋_GB2312"/>
          <w:kern w:val="0"/>
          <w:sz w:val="32"/>
          <w:szCs w:val="32"/>
          <w:shd w:val="clear" w:color="auto" w:fill="FFFFFF"/>
        </w:rPr>
        <w:t>产业，</w:t>
      </w:r>
      <w:r>
        <w:rPr>
          <w:rFonts w:hint="eastAsia" w:ascii="仿宋_GB2312" w:hAnsi="微软雅黑" w:eastAsia="仿宋_GB2312" w:cs="宋体"/>
          <w:kern w:val="0"/>
          <w:sz w:val="32"/>
          <w:szCs w:val="32"/>
        </w:rPr>
        <w:t>优化产业生态，壮大产业规模，加快空间集聚，</w:t>
      </w:r>
      <w:r>
        <w:rPr>
          <w:rFonts w:hint="eastAsia" w:ascii="仿宋_GB2312" w:hAnsi="仿宋_GB2312" w:eastAsia="仿宋_GB2312" w:cs="仿宋_GB2312"/>
          <w:sz w:val="32"/>
          <w:szCs w:val="32"/>
        </w:rPr>
        <w:t>提升关键环节骨干企业能级，建设重大项目，强化技术创新，推动生产线升级，打造优势产业链。引进发展配套产品，创优知名品牌，开拓新产品市场，促使各类资源处于高效率配置状态，以最低成本形成集群优势和规模经济效益。</w:t>
      </w:r>
    </w:p>
    <w:p>
      <w:pPr>
        <w:spacing w:after="312" w:afterLines="100" w:line="600" w:lineRule="exact"/>
        <w:jc w:val="center"/>
        <w:rPr>
          <w:rFonts w:ascii="楷体_GB2312" w:hAnsi="仿宋" w:eastAsia="楷体_GB2312" w:cs="仿宋_GB2312"/>
          <w:b/>
          <w:sz w:val="32"/>
          <w:szCs w:val="32"/>
        </w:rPr>
      </w:pPr>
      <w:r>
        <w:rPr>
          <w:rFonts w:hint="eastAsia" w:ascii="楷体_GB2312" w:hAnsi="仿宋" w:eastAsia="楷体_GB2312" w:cs="仿宋_GB2312"/>
          <w:b/>
          <w:sz w:val="32"/>
          <w:szCs w:val="32"/>
        </w:rPr>
        <w:t>第二节  培育壮大新兴产业</w:t>
      </w:r>
    </w:p>
    <w:p>
      <w:pPr>
        <w:autoSpaceDE w:val="0"/>
        <w:spacing w:after="312" w:afterLines="100" w:line="600" w:lineRule="exact"/>
        <w:ind w:firstLine="630" w:firstLineChars="197"/>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聚焦绿色印刷、生物兽用制品、光电信息、生物基合成材料、新型电子元器件、超硬材料、现代中药、医药中间体等知识技术密集、物质资源消耗少、成长潜力大、综合效益好的新兴产业，精心培育、加速壮大，加强头部企业和关键技术引进，突出创新性、超前性、先导性、引领性，发挥 “风向标”“加速器”作用，着力破除新旧动能转换制约，努力构建先发优势，推动产业增长动力由传统增长点向新兴增长点拓展，打造南阳发展新引擎。</w:t>
      </w:r>
    </w:p>
    <w:p>
      <w:pPr>
        <w:spacing w:after="312" w:afterLines="100" w:line="600" w:lineRule="exact"/>
        <w:jc w:val="center"/>
        <w:rPr>
          <w:rFonts w:ascii="楷体_GB2312" w:hAnsi="仿宋" w:eastAsia="楷体_GB2312" w:cs="仿宋_GB2312"/>
          <w:b/>
          <w:sz w:val="32"/>
          <w:szCs w:val="32"/>
        </w:rPr>
      </w:pPr>
      <w:r>
        <w:rPr>
          <w:rFonts w:hint="eastAsia" w:ascii="楷体_GB2312" w:hAnsi="仿宋" w:eastAsia="楷体_GB2312" w:cs="仿宋_GB2312"/>
          <w:b/>
          <w:sz w:val="32"/>
          <w:szCs w:val="32"/>
        </w:rPr>
        <w:t>第三节  做强做优特色产业</w:t>
      </w:r>
    </w:p>
    <w:p>
      <w:pPr>
        <w:widowControl/>
        <w:spacing w:line="600" w:lineRule="exact"/>
        <w:ind w:firstLine="642"/>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聚焦特色食品加工、先进铸造、工程装备制造、智能玩具、生物动保、中医药、农副产品加工、新型建材、专用车制造等体现本地独有要素禀赋的特色产业，凸显特色，错位发展，加强上下游关联产业培育和引进，提高产业集聚度，集中力量构建局部优势，形成分工明晰、各具特色的产业基地，走出一条人无我有、科学发展、符合自身实际的道路。</w:t>
      </w:r>
    </w:p>
    <w:p>
      <w:pPr>
        <w:pStyle w:val="2"/>
        <w:rPr>
          <w:rFonts w:ascii="仿宋_GB2312" w:hAnsi="仿宋_GB2312" w:eastAsia="仿宋_GB2312" w:cs="仿宋_GB2312"/>
          <w:kern w:val="0"/>
          <w:sz w:val="32"/>
          <w:szCs w:val="32"/>
          <w:shd w:val="clear" w:color="auto" w:fill="FFFFFF"/>
        </w:rPr>
      </w:pPr>
    </w:p>
    <w:p>
      <w:pPr>
        <w:pStyle w:val="2"/>
        <w:rPr>
          <w:rFonts w:ascii="仿宋_GB2312" w:hAnsi="仿宋_GB2312" w:eastAsia="仿宋_GB2312" w:cs="仿宋_GB2312"/>
          <w:kern w:val="0"/>
          <w:sz w:val="32"/>
          <w:szCs w:val="32"/>
          <w:shd w:val="clear" w:color="auto" w:fill="FFFFFF"/>
        </w:rPr>
      </w:pPr>
    </w:p>
    <w:tbl>
      <w:tblPr>
        <w:tblStyle w:val="23"/>
        <w:tblW w:w="8658" w:type="dxa"/>
        <w:tblInd w:w="97" w:type="dxa"/>
        <w:tblLayout w:type="autofit"/>
        <w:tblCellMar>
          <w:top w:w="0" w:type="dxa"/>
          <w:left w:w="108" w:type="dxa"/>
          <w:bottom w:w="0" w:type="dxa"/>
          <w:right w:w="108" w:type="dxa"/>
        </w:tblCellMar>
      </w:tblPr>
      <w:tblGrid>
        <w:gridCol w:w="1004"/>
        <w:gridCol w:w="1134"/>
        <w:gridCol w:w="1134"/>
        <w:gridCol w:w="1134"/>
        <w:gridCol w:w="992"/>
        <w:gridCol w:w="3260"/>
      </w:tblGrid>
      <w:tr>
        <w:tblPrEx>
          <w:tblCellMar>
            <w:top w:w="0" w:type="dxa"/>
            <w:left w:w="108" w:type="dxa"/>
            <w:bottom w:w="0" w:type="dxa"/>
            <w:right w:w="108" w:type="dxa"/>
          </w:tblCellMar>
        </w:tblPrEx>
        <w:trPr>
          <w:trHeight w:val="509" w:hRule="atLeast"/>
        </w:trPr>
        <w:tc>
          <w:tcPr>
            <w:tcW w:w="8658"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bCs/>
                <w:kern w:val="0"/>
                <w:sz w:val="28"/>
                <w:szCs w:val="28"/>
              </w:rPr>
            </w:pPr>
            <w:bookmarkStart w:id="8" w:name="_Toc27387655"/>
            <w:r>
              <w:rPr>
                <w:rFonts w:hint="eastAsia" w:ascii="黑体" w:hAnsi="黑体" w:eastAsia="黑体" w:cs="宋体"/>
                <w:bCs/>
                <w:kern w:val="0"/>
                <w:sz w:val="28"/>
                <w:szCs w:val="28"/>
              </w:rPr>
              <w:t>专栏2：“一主一新一特”产业布局</w:t>
            </w:r>
          </w:p>
        </w:tc>
      </w:tr>
      <w:tr>
        <w:tblPrEx>
          <w:tblCellMar>
            <w:top w:w="0" w:type="dxa"/>
            <w:left w:w="108" w:type="dxa"/>
            <w:bottom w:w="0" w:type="dxa"/>
            <w:right w:w="108" w:type="dxa"/>
          </w:tblCellMar>
        </w:tblPrEx>
        <w:trPr>
          <w:trHeight w:val="876" w:hRule="atLeast"/>
        </w:trPr>
        <w:tc>
          <w:tcPr>
            <w:tcW w:w="10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单位</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谋划产业</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目前</w:t>
            </w:r>
          </w:p>
          <w:p>
            <w:pPr>
              <w:widowControl/>
              <w:jc w:val="center"/>
              <w:rPr>
                <w:rFonts w:ascii="黑体" w:hAnsi="黑体" w:eastAsia="黑体" w:cs="宋体"/>
                <w:kern w:val="0"/>
                <w:szCs w:val="21"/>
              </w:rPr>
            </w:pPr>
            <w:r>
              <w:rPr>
                <w:rFonts w:hint="eastAsia" w:ascii="黑体" w:hAnsi="黑体" w:eastAsia="黑体" w:cs="宋体"/>
                <w:kern w:val="0"/>
                <w:szCs w:val="21"/>
              </w:rPr>
              <w:t>产值</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十四五末产值</w:t>
            </w:r>
          </w:p>
        </w:tc>
        <w:tc>
          <w:tcPr>
            <w:tcW w:w="3260"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发展思路</w:t>
            </w:r>
          </w:p>
        </w:tc>
      </w:tr>
      <w:tr>
        <w:tblPrEx>
          <w:tblCellMar>
            <w:top w:w="0" w:type="dxa"/>
            <w:left w:w="108" w:type="dxa"/>
            <w:bottom w:w="0" w:type="dxa"/>
            <w:right w:w="108" w:type="dxa"/>
          </w:tblCellMar>
        </w:tblPrEx>
        <w:trPr>
          <w:trHeight w:val="1173" w:hRule="atLeast"/>
        </w:trPr>
        <w:tc>
          <w:tcPr>
            <w:tcW w:w="100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邓州市</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主导产业</w:t>
            </w:r>
          </w:p>
        </w:tc>
        <w:tc>
          <w:tcPr>
            <w:tcW w:w="1134" w:type="dxa"/>
            <w:tcBorders>
              <w:top w:val="nil"/>
              <w:left w:val="nil"/>
              <w:bottom w:val="nil"/>
              <w:right w:val="nil"/>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汽车零部件及配件制造</w:t>
            </w: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27.69亿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60亿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完善涡轮增压器、轿车车锁、车用电子等特色产业链条。</w:t>
            </w:r>
          </w:p>
        </w:tc>
      </w:tr>
      <w:tr>
        <w:tblPrEx>
          <w:tblCellMar>
            <w:top w:w="0" w:type="dxa"/>
            <w:left w:w="108" w:type="dxa"/>
            <w:bottom w:w="0" w:type="dxa"/>
            <w:right w:w="108" w:type="dxa"/>
          </w:tblCellMar>
        </w:tblPrEx>
        <w:trPr>
          <w:trHeight w:val="1456"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新兴产业</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bookmarkStart w:id="9" w:name="RANGE!C4"/>
            <w:r>
              <w:rPr>
                <w:rFonts w:hint="eastAsia" w:ascii="仿宋_GB2312" w:hAnsi="宋体" w:eastAsia="仿宋_GB2312" w:cs="宋体"/>
                <w:kern w:val="0"/>
                <w:szCs w:val="21"/>
              </w:rPr>
              <w:t>生物基合成材料制造</w:t>
            </w:r>
            <w:bookmarkEnd w:id="9"/>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在建</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25亿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围绕“打造一个专业园区、引进10个关联项目、产值突破20亿元”目标,打造豫西南乃至河南省生物基合成材料产业基地。</w:t>
            </w:r>
          </w:p>
        </w:tc>
      </w:tr>
      <w:tr>
        <w:tblPrEx>
          <w:tblCellMar>
            <w:top w:w="0" w:type="dxa"/>
            <w:left w:w="108" w:type="dxa"/>
            <w:bottom w:w="0" w:type="dxa"/>
            <w:right w:w="108" w:type="dxa"/>
          </w:tblCellMar>
        </w:tblPrEx>
        <w:trPr>
          <w:trHeight w:val="2015"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特色产业</w:t>
            </w:r>
          </w:p>
        </w:tc>
        <w:tc>
          <w:tcPr>
            <w:tcW w:w="1134" w:type="dxa"/>
            <w:tcBorders>
              <w:top w:val="nil"/>
              <w:left w:val="nil"/>
              <w:bottom w:val="nil"/>
              <w:right w:val="nil"/>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屠宰及肉类加工</w:t>
            </w:r>
          </w:p>
        </w:tc>
        <w:tc>
          <w:tcPr>
            <w:tcW w:w="11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5亿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30亿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推进御厨食品项目建设，深化与牧原合作。以黄志牧业和好想鹅等为龙头，形成绿色种（养）殖-屠宰-深加工-冷链物流-电商销售的产业链条。</w:t>
            </w:r>
          </w:p>
        </w:tc>
      </w:tr>
      <w:tr>
        <w:tblPrEx>
          <w:tblCellMar>
            <w:top w:w="0" w:type="dxa"/>
            <w:left w:w="108" w:type="dxa"/>
            <w:bottom w:w="0" w:type="dxa"/>
            <w:right w:w="108" w:type="dxa"/>
          </w:tblCellMar>
        </w:tblPrEx>
        <w:trPr>
          <w:trHeight w:val="1736" w:hRule="atLeast"/>
        </w:trPr>
        <w:tc>
          <w:tcPr>
            <w:tcW w:w="100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高新区</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主导产业</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防爆装备制造</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100亿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300亿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围绕“延链、补链、强链”进行精心培育，形成联系紧密的水平生产系统和上中下游互动的完整垂直产业链。</w:t>
            </w:r>
          </w:p>
        </w:tc>
      </w:tr>
      <w:tr>
        <w:tblPrEx>
          <w:tblCellMar>
            <w:top w:w="0" w:type="dxa"/>
            <w:left w:w="108" w:type="dxa"/>
            <w:bottom w:w="0" w:type="dxa"/>
            <w:right w:w="108" w:type="dxa"/>
          </w:tblCellMar>
        </w:tblPrEx>
        <w:trPr>
          <w:trHeight w:val="1975"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新兴产业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光电信息</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100亿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500亿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做大做强中光学集团，规划建设镀邦产业园，实施“龙头带动、一园多点、高端布局、内扶外引”发展战略，打造“中原膜都、中国光城”。</w:t>
            </w:r>
          </w:p>
        </w:tc>
      </w:tr>
      <w:tr>
        <w:tblPrEx>
          <w:tblCellMar>
            <w:top w:w="0" w:type="dxa"/>
            <w:left w:w="108" w:type="dxa"/>
            <w:bottom w:w="0" w:type="dxa"/>
            <w:right w:w="108" w:type="dxa"/>
          </w:tblCellMar>
        </w:tblPrEx>
        <w:trPr>
          <w:trHeight w:val="1999"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特色产业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专用车制造</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9.8亿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50亿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依托防爆研究所国家特种性能质检中心，推进与牧原集团合作,建设畜禽运输专用车项目，拉伸链条，吸引配套产业集聚，培育新增长点和增长板块。</w:t>
            </w:r>
          </w:p>
        </w:tc>
      </w:tr>
      <w:tr>
        <w:tblPrEx>
          <w:tblCellMar>
            <w:top w:w="0" w:type="dxa"/>
            <w:left w:w="108" w:type="dxa"/>
            <w:bottom w:w="0" w:type="dxa"/>
            <w:right w:w="108" w:type="dxa"/>
          </w:tblCellMar>
        </w:tblPrEx>
        <w:trPr>
          <w:trHeight w:val="840" w:hRule="atLeast"/>
        </w:trPr>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单位</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谋划产业</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目前产值</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十四五末产值</w:t>
            </w:r>
          </w:p>
        </w:tc>
        <w:tc>
          <w:tcPr>
            <w:tcW w:w="3260"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产业发展思路</w:t>
            </w:r>
          </w:p>
        </w:tc>
      </w:tr>
      <w:tr>
        <w:tblPrEx>
          <w:tblCellMar>
            <w:top w:w="0" w:type="dxa"/>
            <w:left w:w="108" w:type="dxa"/>
            <w:bottom w:w="0" w:type="dxa"/>
            <w:right w:w="108" w:type="dxa"/>
          </w:tblCellMar>
        </w:tblPrEx>
        <w:trPr>
          <w:trHeight w:val="3247" w:hRule="atLeast"/>
        </w:trPr>
        <w:tc>
          <w:tcPr>
            <w:tcW w:w="100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卧龙区</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主导产业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新型显示和智能终端</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25亿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150亿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推进乐凯华光退城入园、中富康智能激光超短焦投影机和牧原农牧装备等项目建设，拓展上下游产品研发和生产，打造光、电显示材料-光学元件和电子配件研发生产-智能制造-新型显示和智能终端制造-销售运输-售后服务等完善产业链条。</w:t>
            </w:r>
          </w:p>
        </w:tc>
      </w:tr>
      <w:tr>
        <w:tblPrEx>
          <w:tblCellMar>
            <w:top w:w="0" w:type="dxa"/>
            <w:left w:w="108" w:type="dxa"/>
            <w:bottom w:w="0" w:type="dxa"/>
            <w:right w:w="108" w:type="dxa"/>
          </w:tblCellMar>
        </w:tblPrEx>
        <w:trPr>
          <w:trHeight w:val="4243"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新兴产业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生物兽用制品</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100亿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依托天华制药、兴华生物等龙头企业和科研平台，在生物兽用制品的研发、生产、销售、使用等链条上，加大招商引资力度，推进生物兽用制品产业跨越发展；积极推动正在洽谈的总投资30亿元的牧原兽药厂项目尽快签约落地建设，扩大产业规模，完善产业链条，打造豫西南重要的生物药品和生物兽药基地；鼓励支持西施兰、树铭药业等辖区传统医药企业转型升级，挖掘生物药品和生物兽药新经济增长点。</w:t>
            </w:r>
          </w:p>
        </w:tc>
      </w:tr>
      <w:tr>
        <w:tblPrEx>
          <w:tblCellMar>
            <w:top w:w="0" w:type="dxa"/>
            <w:left w:w="108" w:type="dxa"/>
            <w:bottom w:w="0" w:type="dxa"/>
            <w:right w:w="108" w:type="dxa"/>
          </w:tblCellMar>
        </w:tblPrEx>
        <w:trPr>
          <w:trHeight w:val="3765"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特色产业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工程装备制造</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25亿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100亿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依托科研平台和龙头企业的优势资源，做优做精做大工程装备制造业，形成研发设计-关键零部件制造（轴承、动力电池、电气元件等）-系统总成制造（智能控制、液压传动等）-工程装备整机装配的全产业链，加快推进亚龙智能装备产业园建设，把卧龙区建成具较强竞争力、影响力的工程装备制造基地。</w:t>
            </w:r>
          </w:p>
        </w:tc>
      </w:tr>
      <w:tr>
        <w:tblPrEx>
          <w:tblCellMar>
            <w:top w:w="0" w:type="dxa"/>
            <w:left w:w="108" w:type="dxa"/>
            <w:bottom w:w="0" w:type="dxa"/>
            <w:right w:w="108" w:type="dxa"/>
          </w:tblCellMar>
        </w:tblPrEx>
        <w:trPr>
          <w:trHeight w:val="1137" w:hRule="atLeast"/>
        </w:trPr>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单位</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谋划产业</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目前产值</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十四五末产值</w:t>
            </w:r>
          </w:p>
        </w:tc>
        <w:tc>
          <w:tcPr>
            <w:tcW w:w="3260"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产业的发展思路</w:t>
            </w:r>
          </w:p>
        </w:tc>
      </w:tr>
      <w:tr>
        <w:tblPrEx>
          <w:tblCellMar>
            <w:top w:w="0" w:type="dxa"/>
            <w:left w:w="108" w:type="dxa"/>
            <w:bottom w:w="0" w:type="dxa"/>
            <w:right w:w="108" w:type="dxa"/>
          </w:tblCellMar>
        </w:tblPrEx>
        <w:trPr>
          <w:trHeight w:val="1962" w:hRule="atLeast"/>
        </w:trPr>
        <w:tc>
          <w:tcPr>
            <w:tcW w:w="100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宛城区</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主导产业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输变电装备制造业</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35.4亿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60亿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围绕“原材料-基础配套产品-设备制造-安装交付”产业链，开发高端产品、强化配套产品，发展输变电、变配电控制、输变电保护与监控装备等设备。</w:t>
            </w:r>
          </w:p>
        </w:tc>
      </w:tr>
      <w:tr>
        <w:tblPrEx>
          <w:tblCellMar>
            <w:top w:w="0" w:type="dxa"/>
            <w:left w:w="108" w:type="dxa"/>
            <w:bottom w:w="0" w:type="dxa"/>
            <w:right w:w="108" w:type="dxa"/>
          </w:tblCellMar>
        </w:tblPrEx>
        <w:trPr>
          <w:trHeight w:val="1905"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新兴产业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光电印刷新材料</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28.6亿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50亿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完善“树脂生产-柔性板材生产-印刷制版输出-产品包装印刷”产业链;打通PET树脂生产-PCB胶片生产-PCB工作片生产-电子线路板生产-电子产品制造产业链。</w:t>
            </w:r>
          </w:p>
        </w:tc>
      </w:tr>
      <w:tr>
        <w:tblPrEx>
          <w:tblCellMar>
            <w:top w:w="0" w:type="dxa"/>
            <w:left w:w="108" w:type="dxa"/>
            <w:bottom w:w="0" w:type="dxa"/>
            <w:right w:w="108" w:type="dxa"/>
          </w:tblCellMar>
        </w:tblPrEx>
        <w:trPr>
          <w:trHeight w:val="1710"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特色产业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功能性食品</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6.2亿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15亿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依托现有康复保健食品、中医药食品、营养食品等产业基础，打造原料收储-现代工艺加工-分拣包装-上市流通产业链条，积极培育功能性食品产业。</w:t>
            </w:r>
          </w:p>
        </w:tc>
      </w:tr>
      <w:tr>
        <w:tblPrEx>
          <w:tblCellMar>
            <w:top w:w="0" w:type="dxa"/>
            <w:left w:w="108" w:type="dxa"/>
            <w:bottom w:w="0" w:type="dxa"/>
            <w:right w:w="108" w:type="dxa"/>
          </w:tblCellMar>
        </w:tblPrEx>
        <w:trPr>
          <w:trHeight w:val="1881" w:hRule="atLeast"/>
        </w:trPr>
        <w:tc>
          <w:tcPr>
            <w:tcW w:w="100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新野县</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主导产业</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纺织服装</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100亿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200亿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以新纺公司为龙头，以华星科创、罗蒙服饰等为骨干，发展纺织业，引进染整印染项目，形成“原棉加工-纺纱-整浆-织布-面料-印染-服装”于一体的全产业链格局。</w:t>
            </w:r>
          </w:p>
        </w:tc>
      </w:tr>
      <w:tr>
        <w:tblPrEx>
          <w:tblCellMar>
            <w:top w:w="0" w:type="dxa"/>
            <w:left w:w="108" w:type="dxa"/>
            <w:bottom w:w="0" w:type="dxa"/>
            <w:right w:w="108" w:type="dxa"/>
          </w:tblCellMar>
        </w:tblPrEx>
        <w:trPr>
          <w:trHeight w:val="1556"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新兴产业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电子元器件</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15亿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100亿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以鼎泰高科、新正方电子、旭润光电、凯旋裕盛等企业为龙头，培育壮大电子元器件产业集群。</w:t>
            </w:r>
          </w:p>
        </w:tc>
      </w:tr>
      <w:tr>
        <w:tblPrEx>
          <w:tblCellMar>
            <w:top w:w="0" w:type="dxa"/>
            <w:left w:w="108" w:type="dxa"/>
            <w:bottom w:w="0" w:type="dxa"/>
            <w:right w:w="108" w:type="dxa"/>
          </w:tblCellMar>
        </w:tblPrEx>
        <w:trPr>
          <w:trHeight w:val="2340"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特色产业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智能玩具</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30亿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以打造“玩具之都”为目标，以明迪玩具、星梦科教等企业为龙头，积极引进玩具企业，带动配套相关企业落户新野，运用光学镜片、锂电等开发设计新型智能玩具，形成“设计-模具-注塑-组合-移印-包装-销售”的产业链条。</w:t>
            </w:r>
          </w:p>
        </w:tc>
      </w:tr>
      <w:tr>
        <w:tblPrEx>
          <w:tblCellMar>
            <w:top w:w="0" w:type="dxa"/>
            <w:left w:w="108" w:type="dxa"/>
            <w:bottom w:w="0" w:type="dxa"/>
            <w:right w:w="108" w:type="dxa"/>
          </w:tblCellMar>
        </w:tblPrEx>
        <w:trPr>
          <w:trHeight w:val="698" w:hRule="atLeast"/>
        </w:trPr>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单位</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谋划产业</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目前产值</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十四五末产值</w:t>
            </w:r>
          </w:p>
        </w:tc>
        <w:tc>
          <w:tcPr>
            <w:tcW w:w="3260"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产业的发展思路</w:t>
            </w:r>
          </w:p>
        </w:tc>
      </w:tr>
      <w:tr>
        <w:tblPrEx>
          <w:tblCellMar>
            <w:top w:w="0" w:type="dxa"/>
            <w:left w:w="108" w:type="dxa"/>
            <w:bottom w:w="0" w:type="dxa"/>
            <w:right w:w="108" w:type="dxa"/>
          </w:tblCellMar>
        </w:tblPrEx>
        <w:trPr>
          <w:trHeight w:val="2269" w:hRule="atLeast"/>
        </w:trPr>
        <w:tc>
          <w:tcPr>
            <w:tcW w:w="100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桐柏县</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主导产业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以碱硝为主的化工产业</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65亿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130亿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依托优势碱硝资源和现有产业基础，做大做强“天然碱卤—纯碱—精细化工—新型化工”“芒硝矿—元明粉—精细化工—新型化工”“感光材料—光磁记录材料—电子化学品”三个产业链条。</w:t>
            </w:r>
          </w:p>
        </w:tc>
      </w:tr>
      <w:tr>
        <w:tblPrEx>
          <w:tblCellMar>
            <w:top w:w="0" w:type="dxa"/>
            <w:left w:w="108" w:type="dxa"/>
            <w:bottom w:w="0" w:type="dxa"/>
            <w:right w:w="108" w:type="dxa"/>
          </w:tblCellMar>
        </w:tblPrEx>
        <w:trPr>
          <w:trHeight w:val="1983"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新兴产业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医药中间体</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20亿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250亿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rPr>
                <w:rFonts w:ascii="仿宋_GB2312" w:hAnsi="宋体" w:eastAsia="仿宋_GB2312" w:cs="宋体"/>
                <w:kern w:val="0"/>
                <w:szCs w:val="21"/>
              </w:rPr>
            </w:pPr>
            <w:r>
              <w:rPr>
                <w:rFonts w:hint="eastAsia" w:ascii="仿宋_GB2312" w:hAnsi="宋体" w:eastAsia="仿宋_GB2312" w:cs="宋体"/>
                <w:kern w:val="0"/>
                <w:szCs w:val="21"/>
              </w:rPr>
              <w:t>重点发展医药类高端原料药产品、农药中间体产品、生物发酵（酶法）产品等高科技、高附加值、低耗能的产品，做大做强“医药中间体—废硫酸/盐酸—新型化工产品”产业链。</w:t>
            </w:r>
          </w:p>
        </w:tc>
      </w:tr>
      <w:tr>
        <w:tblPrEx>
          <w:tblCellMar>
            <w:top w:w="0" w:type="dxa"/>
            <w:left w:w="108" w:type="dxa"/>
            <w:bottom w:w="0" w:type="dxa"/>
            <w:right w:w="108" w:type="dxa"/>
          </w:tblCellMar>
        </w:tblPrEx>
        <w:trPr>
          <w:trHeight w:val="1242"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特色产业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以茶、油为主的农副产品加工业</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20亿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200亿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依托现有龙头企业，聚焦茶叶、粮油等农副产品，不断完善产业链条，强化产业链的横向集聚。</w:t>
            </w:r>
          </w:p>
        </w:tc>
      </w:tr>
      <w:tr>
        <w:tblPrEx>
          <w:tblCellMar>
            <w:top w:w="0" w:type="dxa"/>
            <w:left w:w="108" w:type="dxa"/>
            <w:bottom w:w="0" w:type="dxa"/>
            <w:right w:w="108" w:type="dxa"/>
          </w:tblCellMar>
        </w:tblPrEx>
        <w:trPr>
          <w:trHeight w:val="2100" w:hRule="atLeast"/>
        </w:trPr>
        <w:tc>
          <w:tcPr>
            <w:tcW w:w="100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方城县</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主导产业</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轴承制造</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40亿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100亿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以高端、精密轴承为重点，用成品轴承带动轴承套圈、滚动体等高端、精密下游产业发展。以轴承为中心，向上游发展轴承原材料环节，向下游延伸发展机械设备制造环节。</w:t>
            </w:r>
          </w:p>
        </w:tc>
      </w:tr>
      <w:tr>
        <w:tblPrEx>
          <w:tblCellMar>
            <w:top w:w="0" w:type="dxa"/>
            <w:left w:w="108" w:type="dxa"/>
            <w:bottom w:w="0" w:type="dxa"/>
            <w:right w:w="108" w:type="dxa"/>
          </w:tblCellMar>
        </w:tblPrEx>
        <w:trPr>
          <w:trHeight w:val="2265"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新兴产业</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超硬材料</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30亿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100亿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围绕“超硬设备机械—金属触媒粉—人造金刚石—金刚石刀具磨具”产业链条，壮大龙头，扩大人造金刚石生产规模，膨胀下游企业规模，延伸发展其他非金属矿物制造业，建成国内以人造金刚石为主的超硬材料最大新兴产业集群。</w:t>
            </w:r>
          </w:p>
        </w:tc>
      </w:tr>
      <w:tr>
        <w:tblPrEx>
          <w:tblCellMar>
            <w:top w:w="0" w:type="dxa"/>
            <w:left w:w="108" w:type="dxa"/>
            <w:bottom w:w="0" w:type="dxa"/>
            <w:right w:w="108" w:type="dxa"/>
          </w:tblCellMar>
        </w:tblPrEx>
        <w:trPr>
          <w:trHeight w:val="1832"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特色产业</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生物动保</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5亿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50亿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规划建设生物动保产业园，重点发展动物用中草药、抗生素、疫苗、饲料药物等动保产品。抓住郑州周边兽药生产企业产业转移机遇，围绕兽用药品制造招引项目。</w:t>
            </w:r>
          </w:p>
        </w:tc>
      </w:tr>
      <w:tr>
        <w:tblPrEx>
          <w:tblCellMar>
            <w:top w:w="0" w:type="dxa"/>
            <w:left w:w="108" w:type="dxa"/>
            <w:bottom w:w="0" w:type="dxa"/>
            <w:right w:w="108" w:type="dxa"/>
          </w:tblCellMar>
        </w:tblPrEx>
        <w:trPr>
          <w:trHeight w:val="780" w:hRule="atLeast"/>
        </w:trPr>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单位</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谋划产业</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目前产值</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十四五末产值</w:t>
            </w:r>
          </w:p>
        </w:tc>
        <w:tc>
          <w:tcPr>
            <w:tcW w:w="3260"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产业的发展思路</w:t>
            </w:r>
          </w:p>
        </w:tc>
      </w:tr>
      <w:tr>
        <w:tblPrEx>
          <w:tblCellMar>
            <w:top w:w="0" w:type="dxa"/>
            <w:left w:w="108" w:type="dxa"/>
            <w:bottom w:w="0" w:type="dxa"/>
            <w:right w:w="108" w:type="dxa"/>
          </w:tblCellMar>
        </w:tblPrEx>
        <w:trPr>
          <w:trHeight w:val="2027" w:hRule="atLeast"/>
        </w:trPr>
        <w:tc>
          <w:tcPr>
            <w:tcW w:w="100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唐河县</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主导产业</w:t>
            </w:r>
          </w:p>
        </w:tc>
        <w:tc>
          <w:tcPr>
            <w:tcW w:w="1134" w:type="dxa"/>
            <w:tcBorders>
              <w:top w:val="nil"/>
              <w:left w:val="nil"/>
              <w:bottom w:val="nil"/>
              <w:right w:val="nil"/>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农牧机械为主的专用机械制造</w:t>
            </w:r>
          </w:p>
        </w:tc>
        <w:tc>
          <w:tcPr>
            <w:tcW w:w="11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100亿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200亿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依托现有“装备零部件—关键配件—整体设备制造”产业链，大力引进农、牧专用机械制造入驻企业，形成高性能化、智能化、集成化的高端农、牧专用机械制造链。</w:t>
            </w:r>
          </w:p>
        </w:tc>
      </w:tr>
      <w:tr>
        <w:tblPrEx>
          <w:tblCellMar>
            <w:top w:w="0" w:type="dxa"/>
            <w:left w:w="108" w:type="dxa"/>
            <w:bottom w:w="0" w:type="dxa"/>
            <w:right w:w="108" w:type="dxa"/>
          </w:tblCellMar>
        </w:tblPrEx>
        <w:trPr>
          <w:trHeight w:val="1560"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新兴产业</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新型电子元器件</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27亿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200亿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到2025年，产业集聚区新型电子元器件及设备制造企业达到70家，力争实现由电子元器件配件到成品的完备产业链。</w:t>
            </w:r>
          </w:p>
        </w:tc>
      </w:tr>
      <w:tr>
        <w:tblPrEx>
          <w:tblCellMar>
            <w:top w:w="0" w:type="dxa"/>
            <w:left w:w="108" w:type="dxa"/>
            <w:bottom w:w="0" w:type="dxa"/>
            <w:right w:w="108" w:type="dxa"/>
          </w:tblCellMar>
        </w:tblPrEx>
        <w:trPr>
          <w:trHeight w:val="1475"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特色产业</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粮油加工</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11亿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依托唐河农业大县、产粮大县优势，进一步完善“原料生产—初加工-深加工”的粮油加工产业链条。</w:t>
            </w:r>
          </w:p>
        </w:tc>
      </w:tr>
      <w:tr>
        <w:tblPrEx>
          <w:tblCellMar>
            <w:top w:w="0" w:type="dxa"/>
            <w:left w:w="108" w:type="dxa"/>
            <w:bottom w:w="0" w:type="dxa"/>
            <w:right w:w="108" w:type="dxa"/>
          </w:tblCellMar>
        </w:tblPrEx>
        <w:trPr>
          <w:trHeight w:val="2640" w:hRule="atLeast"/>
        </w:trPr>
        <w:tc>
          <w:tcPr>
            <w:tcW w:w="100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内乡县</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
                <w:bCs/>
                <w:kern w:val="0"/>
                <w:szCs w:val="21"/>
              </w:rPr>
            </w:pPr>
            <w:r>
              <w:rPr>
                <w:rFonts w:hint="eastAsia" w:ascii="仿宋_GB2312" w:hAnsi="宋体" w:eastAsia="仿宋_GB2312" w:cs="宋体"/>
                <w:b/>
                <w:bCs/>
                <w:kern w:val="0"/>
                <w:szCs w:val="21"/>
              </w:rPr>
              <w:t>主导产业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农牧装备制造</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14亿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300亿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利用牧原集团已成为全国养殖行业的头部企业优势，大力培育农牧装备制造产业，主要生产空气过滤器、饲喂系统、智能控制系统、畜禽特种运输车辆、饲料车、冷藏车、电动无人小车等智能化农牧装备，把内乡建成全国知名的农牧装备产业基地。</w:t>
            </w:r>
          </w:p>
        </w:tc>
      </w:tr>
      <w:tr>
        <w:tblPrEx>
          <w:tblCellMar>
            <w:top w:w="0" w:type="dxa"/>
            <w:left w:w="108" w:type="dxa"/>
            <w:bottom w:w="0" w:type="dxa"/>
            <w:right w:w="108" w:type="dxa"/>
          </w:tblCellMar>
        </w:tblPrEx>
        <w:trPr>
          <w:trHeight w:val="1830"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
                <w:bCs/>
                <w:kern w:val="0"/>
                <w:szCs w:val="21"/>
              </w:rPr>
            </w:pPr>
            <w:r>
              <w:rPr>
                <w:rFonts w:hint="eastAsia" w:ascii="仿宋_GB2312" w:hAnsi="宋体" w:eastAsia="仿宋_GB2312" w:cs="宋体"/>
                <w:b/>
                <w:bCs/>
                <w:kern w:val="0"/>
                <w:szCs w:val="21"/>
              </w:rPr>
              <w:t>新兴产业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绿色印刷包装新材料</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在建</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15亿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抓住央企混改重组机遇，促成东福印务与乐凯华光合资成立华福包装科技公司，建设华福包装科技产业园，主要生产绿色印刷包装材料。</w:t>
            </w:r>
          </w:p>
        </w:tc>
      </w:tr>
      <w:tr>
        <w:tblPrEx>
          <w:tblCellMar>
            <w:top w:w="0" w:type="dxa"/>
            <w:left w:w="108" w:type="dxa"/>
            <w:bottom w:w="0" w:type="dxa"/>
            <w:right w:w="108" w:type="dxa"/>
          </w:tblCellMar>
        </w:tblPrEx>
        <w:trPr>
          <w:trHeight w:val="2040"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b/>
                <w:bCs/>
                <w:kern w:val="0"/>
                <w:szCs w:val="21"/>
              </w:rPr>
            </w:pPr>
            <w:r>
              <w:rPr>
                <w:rFonts w:hint="eastAsia" w:ascii="仿宋_GB2312" w:hAnsi="宋体" w:eastAsia="仿宋_GB2312" w:cs="宋体"/>
                <w:b/>
                <w:bCs/>
                <w:kern w:val="0"/>
                <w:szCs w:val="21"/>
              </w:rPr>
              <w:t>特色产业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农副食品加工</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54 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400亿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规划占地2500亩的牧原国际食品产业园，吸引一批高低温肉食、中央厨房等肉食品加工和肝素钠提取等企业入驻。</w:t>
            </w:r>
          </w:p>
        </w:tc>
      </w:tr>
      <w:tr>
        <w:tblPrEx>
          <w:tblCellMar>
            <w:top w:w="0" w:type="dxa"/>
            <w:left w:w="108" w:type="dxa"/>
            <w:bottom w:w="0" w:type="dxa"/>
            <w:right w:w="108" w:type="dxa"/>
          </w:tblCellMar>
        </w:tblPrEx>
        <w:trPr>
          <w:trHeight w:val="1155" w:hRule="atLeast"/>
        </w:trPr>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单位</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谋划产业</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目前产值</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十四五末产值</w:t>
            </w:r>
          </w:p>
        </w:tc>
        <w:tc>
          <w:tcPr>
            <w:tcW w:w="3260"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产业的发展思路</w:t>
            </w:r>
          </w:p>
        </w:tc>
      </w:tr>
      <w:tr>
        <w:tblPrEx>
          <w:tblCellMar>
            <w:top w:w="0" w:type="dxa"/>
            <w:left w:w="108" w:type="dxa"/>
            <w:bottom w:w="0" w:type="dxa"/>
            <w:right w:w="108" w:type="dxa"/>
          </w:tblCellMar>
        </w:tblPrEx>
        <w:trPr>
          <w:trHeight w:val="1698" w:hRule="atLeast"/>
        </w:trPr>
        <w:tc>
          <w:tcPr>
            <w:tcW w:w="100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淅川县</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
                <w:bCs/>
                <w:kern w:val="0"/>
                <w:szCs w:val="21"/>
              </w:rPr>
            </w:pPr>
            <w:r>
              <w:rPr>
                <w:rFonts w:hint="eastAsia" w:ascii="仿宋_GB2312" w:hAnsi="宋体" w:eastAsia="仿宋_GB2312" w:cs="宋体"/>
                <w:b/>
                <w:bCs/>
                <w:kern w:val="0"/>
                <w:szCs w:val="21"/>
              </w:rPr>
              <w:t>主导产业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汽车零配件</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31.5亿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63亿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以淅减公司为龙头，以补齐汽车“智能悬架”系统核心供应链为中期目标，以形成整车“智能底盘系统”为长期目标，加大汽车零配件制造业引进力度，补齐产业链。</w:t>
            </w:r>
          </w:p>
        </w:tc>
      </w:tr>
      <w:tr>
        <w:tblPrEx>
          <w:tblCellMar>
            <w:top w:w="0" w:type="dxa"/>
            <w:left w:w="108" w:type="dxa"/>
            <w:bottom w:w="0" w:type="dxa"/>
            <w:right w:w="108" w:type="dxa"/>
          </w:tblCellMar>
        </w:tblPrEx>
        <w:trPr>
          <w:trHeight w:val="1665"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
                <w:bCs/>
                <w:kern w:val="0"/>
                <w:szCs w:val="21"/>
              </w:rPr>
            </w:pPr>
            <w:r>
              <w:rPr>
                <w:rFonts w:hint="eastAsia" w:ascii="仿宋_GB2312" w:hAnsi="宋体" w:eastAsia="仿宋_GB2312" w:cs="宋体"/>
                <w:b/>
                <w:bCs/>
                <w:kern w:val="0"/>
                <w:szCs w:val="21"/>
              </w:rPr>
              <w:t>新兴产业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现代中药</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19.5亿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39亿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加快推进福森医药健康文化产业园项目建设。以福森医药有限公司为龙头，通过现代中药研发，延链、补链，不断做大做强现代中药产业。</w:t>
            </w:r>
          </w:p>
        </w:tc>
      </w:tr>
      <w:tr>
        <w:tblPrEx>
          <w:tblCellMar>
            <w:top w:w="0" w:type="dxa"/>
            <w:left w:w="108" w:type="dxa"/>
            <w:bottom w:w="0" w:type="dxa"/>
            <w:right w:w="108" w:type="dxa"/>
          </w:tblCellMar>
        </w:tblPrEx>
        <w:trPr>
          <w:trHeight w:val="1693"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
                <w:bCs/>
                <w:kern w:val="0"/>
                <w:szCs w:val="21"/>
              </w:rPr>
            </w:pPr>
            <w:r>
              <w:rPr>
                <w:rFonts w:hint="eastAsia" w:ascii="仿宋_GB2312" w:hAnsi="宋体" w:eastAsia="仿宋_GB2312" w:cs="宋体"/>
                <w:b/>
                <w:bCs/>
                <w:kern w:val="0"/>
                <w:szCs w:val="21"/>
              </w:rPr>
              <w:t>特色产业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新型建材</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10亿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推进淅水新型建材产业园项目建设，按照“做大骨料、做细熟料、做优水泥、做强商混，拓展水泥+项目”发展思路，拉长拉宽产业链条。</w:t>
            </w:r>
          </w:p>
        </w:tc>
      </w:tr>
      <w:tr>
        <w:tblPrEx>
          <w:tblCellMar>
            <w:top w:w="0" w:type="dxa"/>
            <w:left w:w="108" w:type="dxa"/>
            <w:bottom w:w="0" w:type="dxa"/>
            <w:right w:w="108" w:type="dxa"/>
          </w:tblCellMar>
        </w:tblPrEx>
        <w:trPr>
          <w:trHeight w:val="1689" w:hRule="atLeast"/>
        </w:trPr>
        <w:tc>
          <w:tcPr>
            <w:tcW w:w="100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镇平县</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
                <w:bCs/>
                <w:kern w:val="0"/>
                <w:szCs w:val="21"/>
              </w:rPr>
            </w:pPr>
            <w:r>
              <w:rPr>
                <w:rFonts w:hint="eastAsia" w:ascii="仿宋_GB2312" w:hAnsi="宋体" w:eastAsia="仿宋_GB2312" w:cs="宋体"/>
                <w:b/>
                <w:bCs/>
                <w:kern w:val="0"/>
                <w:szCs w:val="21"/>
              </w:rPr>
              <w:t>主导产业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新型建材</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17.7亿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80亿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以建筑装配装饰一体化为发展方向，以绿色建材、装配建筑、智能卫浴、功能涂料等四类产品为支撑，加快形成水泥、涂料新型建材产业集群。</w:t>
            </w:r>
          </w:p>
        </w:tc>
      </w:tr>
      <w:tr>
        <w:tblPrEx>
          <w:tblCellMar>
            <w:top w:w="0" w:type="dxa"/>
            <w:left w:w="108" w:type="dxa"/>
            <w:bottom w:w="0" w:type="dxa"/>
            <w:right w:w="108" w:type="dxa"/>
          </w:tblCellMar>
        </w:tblPrEx>
        <w:trPr>
          <w:trHeight w:val="2550" w:hRule="atLeast"/>
        </w:trPr>
        <w:tc>
          <w:tcPr>
            <w:tcW w:w="1004"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
                <w:bCs/>
                <w:kern w:val="0"/>
                <w:szCs w:val="21"/>
              </w:rPr>
            </w:pPr>
            <w:r>
              <w:rPr>
                <w:rFonts w:hint="eastAsia" w:ascii="仿宋_GB2312" w:hAnsi="宋体" w:eastAsia="仿宋_GB2312" w:cs="宋体"/>
                <w:b/>
                <w:bCs/>
                <w:kern w:val="0"/>
                <w:szCs w:val="21"/>
              </w:rPr>
              <w:t>新兴产业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新型电子元器件及设备制造</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15.2亿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60亿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抢抓南阳光电产业有光缺电的“迎风口”以及湖北“汉襄随十”打造汽车产业集群的战略机遇，尽快形成“周边区域大产业”带动“镇平小产业”，以孵化器、加速器、标准化厂房为载体，大力引进高新技术企业，实现弯道超车。</w:t>
            </w:r>
          </w:p>
        </w:tc>
      </w:tr>
      <w:tr>
        <w:tblPrEx>
          <w:tblCellMar>
            <w:top w:w="0" w:type="dxa"/>
            <w:left w:w="108" w:type="dxa"/>
            <w:bottom w:w="0" w:type="dxa"/>
            <w:right w:w="108" w:type="dxa"/>
          </w:tblCellMar>
        </w:tblPrEx>
        <w:trPr>
          <w:trHeight w:val="1365" w:hRule="atLeast"/>
        </w:trPr>
        <w:tc>
          <w:tcPr>
            <w:tcW w:w="1004"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
                <w:bCs/>
                <w:kern w:val="0"/>
                <w:szCs w:val="21"/>
              </w:rPr>
            </w:pPr>
            <w:r>
              <w:rPr>
                <w:rFonts w:hint="eastAsia" w:ascii="仿宋_GB2312" w:hAnsi="宋体" w:eastAsia="仿宋_GB2312" w:cs="宋体"/>
                <w:b/>
                <w:bCs/>
                <w:kern w:val="0"/>
                <w:szCs w:val="21"/>
              </w:rPr>
              <w:t>特色产业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面制品加工</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12.6亿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60亿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以想念食品为龙头，以创建国家级三产融合发展示范园为契机，以“一园、一区、八基地”为依托，打造豫西南最大的粮食加工及食品生产加工基地，形成从农田到餐桌全产业链。</w:t>
            </w:r>
          </w:p>
        </w:tc>
      </w:tr>
      <w:tr>
        <w:tblPrEx>
          <w:tblCellMar>
            <w:top w:w="0" w:type="dxa"/>
            <w:left w:w="108" w:type="dxa"/>
            <w:bottom w:w="0" w:type="dxa"/>
            <w:right w:w="108" w:type="dxa"/>
          </w:tblCellMar>
        </w:tblPrEx>
        <w:trPr>
          <w:trHeight w:val="698" w:hRule="atLeast"/>
        </w:trPr>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单位</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谋划产业</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目前产值</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十四五末产值</w:t>
            </w:r>
          </w:p>
        </w:tc>
        <w:tc>
          <w:tcPr>
            <w:tcW w:w="3260"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产业的发展思路</w:t>
            </w:r>
          </w:p>
        </w:tc>
      </w:tr>
      <w:tr>
        <w:tblPrEx>
          <w:tblCellMar>
            <w:top w:w="0" w:type="dxa"/>
            <w:left w:w="108" w:type="dxa"/>
            <w:bottom w:w="0" w:type="dxa"/>
            <w:right w:w="108" w:type="dxa"/>
          </w:tblCellMar>
        </w:tblPrEx>
        <w:trPr>
          <w:trHeight w:val="1986" w:hRule="atLeast"/>
        </w:trPr>
        <w:tc>
          <w:tcPr>
            <w:tcW w:w="100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西峡县</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
                <w:bCs/>
                <w:kern w:val="0"/>
                <w:szCs w:val="21"/>
              </w:rPr>
            </w:pPr>
            <w:r>
              <w:rPr>
                <w:rFonts w:hint="eastAsia" w:ascii="仿宋_GB2312" w:hAnsi="宋体" w:eastAsia="仿宋_GB2312" w:cs="宋体"/>
                <w:b/>
                <w:bCs/>
                <w:kern w:val="0"/>
                <w:szCs w:val="21"/>
              </w:rPr>
              <w:t>主导产业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汽车零部件</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106.4亿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180亿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做深做强汽车水泵、进排气管、涡轮增压器壳体、新能源汽车电机等产品基础上，加大新能源汽车配套产品研发生产，使新能源汽车及配套产品成为汽车零部件产业新的增长点。</w:t>
            </w:r>
          </w:p>
        </w:tc>
      </w:tr>
      <w:tr>
        <w:tblPrEx>
          <w:tblCellMar>
            <w:top w:w="0" w:type="dxa"/>
            <w:left w:w="108" w:type="dxa"/>
            <w:bottom w:w="0" w:type="dxa"/>
            <w:right w:w="108" w:type="dxa"/>
          </w:tblCellMar>
        </w:tblPrEx>
        <w:trPr>
          <w:trHeight w:val="2250"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
                <w:bCs/>
                <w:kern w:val="0"/>
                <w:szCs w:val="21"/>
              </w:rPr>
            </w:pPr>
            <w:r>
              <w:rPr>
                <w:rFonts w:hint="eastAsia" w:ascii="仿宋_GB2312" w:hAnsi="宋体" w:eastAsia="仿宋_GB2312" w:cs="宋体"/>
                <w:b/>
                <w:bCs/>
                <w:kern w:val="0"/>
                <w:szCs w:val="21"/>
              </w:rPr>
              <w:t>新兴产业</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特钢产业</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240.25亿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400亿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上游产业：冶金辅助材料、炼钢装备、清洁煤生产、废钢回收利用；下游产业：特钢切割配送、钢构加工、高炉富余煤气发电、炼钢余热利用。“十四五”拉长特钢及上下游产业链条，发展壮大相关配套企业。</w:t>
            </w:r>
          </w:p>
        </w:tc>
      </w:tr>
      <w:tr>
        <w:tblPrEx>
          <w:tblCellMar>
            <w:top w:w="0" w:type="dxa"/>
            <w:left w:w="108" w:type="dxa"/>
            <w:bottom w:w="0" w:type="dxa"/>
            <w:right w:w="108" w:type="dxa"/>
          </w:tblCellMar>
        </w:tblPrEx>
        <w:trPr>
          <w:trHeight w:val="1709"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仿宋_GB2312" w:hAnsi="宋体" w:eastAsia="仿宋_GB2312" w:cs="宋体"/>
                <w:b/>
                <w:bCs/>
                <w:kern w:val="0"/>
                <w:szCs w:val="21"/>
              </w:rPr>
            </w:pPr>
            <w:r>
              <w:rPr>
                <w:rFonts w:hint="eastAsia" w:ascii="仿宋_GB2312" w:hAnsi="宋体" w:eastAsia="仿宋_GB2312" w:cs="宋体"/>
                <w:b/>
                <w:bCs/>
                <w:kern w:val="0"/>
                <w:szCs w:val="21"/>
              </w:rPr>
              <w:t>特色产业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食用菌、猕猴桃、山茱萸等为主的特色农产品加工</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90.6亿</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130亿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壮大以菌棒工厂化生产—食用菌、特色农产品标准化种植—精深加工—包装—电子商务、商贸流通为产业链的特色农产品产业。</w:t>
            </w:r>
          </w:p>
        </w:tc>
      </w:tr>
      <w:tr>
        <w:tblPrEx>
          <w:tblCellMar>
            <w:top w:w="0" w:type="dxa"/>
            <w:left w:w="108" w:type="dxa"/>
            <w:bottom w:w="0" w:type="dxa"/>
            <w:right w:w="108" w:type="dxa"/>
          </w:tblCellMar>
        </w:tblPrEx>
        <w:trPr>
          <w:trHeight w:val="2445" w:hRule="atLeast"/>
        </w:trPr>
        <w:tc>
          <w:tcPr>
            <w:tcW w:w="100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社旗县</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主导产业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以杂粮和肉食品为主的农副产品加工</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8亿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130亿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以壮大赊店老酒为重点，加快发展白酒产业；以牧原、正大肉食加工为重点，培育以畜禽饲料、兽医兽药生产—生猪、肉鸡养殖—畜禽屠宰及熟食品加工等为主的肉食品产业链条；以汇元特医食品为重点建设健康食品产业园。</w:t>
            </w:r>
          </w:p>
        </w:tc>
      </w:tr>
      <w:tr>
        <w:tblPrEx>
          <w:tblCellMar>
            <w:top w:w="0" w:type="dxa"/>
            <w:left w:w="108" w:type="dxa"/>
            <w:bottom w:w="0" w:type="dxa"/>
            <w:right w:w="108" w:type="dxa"/>
          </w:tblCellMar>
        </w:tblPrEx>
        <w:trPr>
          <w:trHeight w:val="1444"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新兴产业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节能建筑材料</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1.46亿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50亿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建设绿色建材产业园，通过“基金+项目”招商模式，招引一批以真空玻璃为核心材料的节能窗、节能幕墙生产企业入驻。</w:t>
            </w:r>
          </w:p>
        </w:tc>
      </w:tr>
      <w:tr>
        <w:tblPrEx>
          <w:tblCellMar>
            <w:top w:w="0" w:type="dxa"/>
            <w:left w:w="108" w:type="dxa"/>
            <w:bottom w:w="0" w:type="dxa"/>
            <w:right w:w="108" w:type="dxa"/>
          </w:tblCellMar>
        </w:tblPrEx>
        <w:trPr>
          <w:trHeight w:val="1830"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特色产业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汽车零部件制造</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11.67亿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50亿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以红阳精工和华纬弹簧为龙头，延长产业链条；规划建设的汽车配件产业园一期13栋标准化厂房已建成投用，正在积极与汽车配件相关企业洽谈。</w:t>
            </w:r>
          </w:p>
        </w:tc>
      </w:tr>
      <w:tr>
        <w:tblPrEx>
          <w:tblCellMar>
            <w:top w:w="0" w:type="dxa"/>
            <w:left w:w="108" w:type="dxa"/>
            <w:bottom w:w="0" w:type="dxa"/>
            <w:right w:w="108" w:type="dxa"/>
          </w:tblCellMar>
        </w:tblPrEx>
        <w:trPr>
          <w:trHeight w:val="990" w:hRule="atLeast"/>
        </w:trPr>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单位</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谋划产业</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目前产值</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十四五末产值</w:t>
            </w:r>
          </w:p>
        </w:tc>
        <w:tc>
          <w:tcPr>
            <w:tcW w:w="3260"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产业的发展思路</w:t>
            </w:r>
          </w:p>
        </w:tc>
      </w:tr>
      <w:tr>
        <w:tblPrEx>
          <w:tblCellMar>
            <w:top w:w="0" w:type="dxa"/>
            <w:left w:w="108" w:type="dxa"/>
            <w:bottom w:w="0" w:type="dxa"/>
            <w:right w:w="108" w:type="dxa"/>
          </w:tblCellMar>
        </w:tblPrEx>
        <w:trPr>
          <w:trHeight w:val="2116" w:hRule="atLeast"/>
        </w:trPr>
        <w:tc>
          <w:tcPr>
            <w:tcW w:w="100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南召县</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主导产业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新型建材</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10亿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80亿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依托已形成的从粉体生产到石木地板、墙板、油漆涂料、木塑门窗等市场终端产品完整产业链，借助立邦、三棵树、东方雨虹等行业龙头企业相继入驻的优势，实施延链补链强链。</w:t>
            </w:r>
          </w:p>
        </w:tc>
      </w:tr>
      <w:tr>
        <w:tblPrEx>
          <w:tblCellMar>
            <w:top w:w="0" w:type="dxa"/>
            <w:left w:w="108" w:type="dxa"/>
            <w:bottom w:w="0" w:type="dxa"/>
            <w:right w:w="108" w:type="dxa"/>
          </w:tblCellMar>
        </w:tblPrEx>
        <w:trPr>
          <w:trHeight w:val="1767"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新兴产业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现代中药</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30亿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依托中药材丰富的天然优势，在“中药材种植—中药材精深加工—中药提取”的产业链条上延链、补链。</w:t>
            </w:r>
          </w:p>
        </w:tc>
      </w:tr>
      <w:tr>
        <w:tblPrEx>
          <w:tblCellMar>
            <w:top w:w="0" w:type="dxa"/>
            <w:left w:w="108" w:type="dxa"/>
            <w:bottom w:w="0" w:type="dxa"/>
            <w:right w:w="108" w:type="dxa"/>
          </w:tblCellMar>
        </w:tblPrEx>
        <w:trPr>
          <w:trHeight w:val="2324" w:hRule="atLeast"/>
        </w:trPr>
        <w:tc>
          <w:tcPr>
            <w:tcW w:w="1004"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特色产业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先进铸造</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5亿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100亿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规划云铸产业园，发挥铸造生铁热铁水短流程工艺低成本优势，招引下游企业入驻。围绕云阳绿色冶铸一体化项目，利用天瑞集团与安钢集团合作技术优势，打造大型精品绿色铸造企业。</w:t>
            </w:r>
          </w:p>
        </w:tc>
      </w:tr>
      <w:tr>
        <w:tblPrEx>
          <w:tblCellMar>
            <w:top w:w="0" w:type="dxa"/>
            <w:left w:w="108" w:type="dxa"/>
            <w:bottom w:w="0" w:type="dxa"/>
            <w:right w:w="108" w:type="dxa"/>
          </w:tblCellMar>
        </w:tblPrEx>
        <w:trPr>
          <w:trHeight w:val="3330" w:hRule="atLeast"/>
        </w:trPr>
        <w:tc>
          <w:tcPr>
            <w:tcW w:w="100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官庄</w:t>
            </w:r>
          </w:p>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工区</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主导产业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原油加工及石油制品制造</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70亿</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150亿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形成以河南油田、康兴石化、大正石化、海达石油、石化运输为核心的石油开发生产体系；以能源化工、金马科技、中昊石油、四通、润弘、奥铠为核心的精细化工体系；以振兴油品、璋鑫化工，丰达环保为核心的危废无害化处理体系。</w:t>
            </w:r>
          </w:p>
        </w:tc>
      </w:tr>
      <w:tr>
        <w:tblPrEx>
          <w:tblCellMar>
            <w:top w:w="0" w:type="dxa"/>
            <w:left w:w="108" w:type="dxa"/>
            <w:bottom w:w="0" w:type="dxa"/>
            <w:right w:w="108" w:type="dxa"/>
          </w:tblCellMar>
        </w:tblPrEx>
        <w:trPr>
          <w:trHeight w:val="1995" w:hRule="atLeast"/>
        </w:trPr>
        <w:tc>
          <w:tcPr>
            <w:tcW w:w="1004"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新兴产业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化学药品原料药制造</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在建</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50亿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形成以普康恒旺药业、启泰制药为核心的化学药品和原料药制造体系，不断推动产业链上中下游集群发展，支持同类产品、同类企业集聚发展。</w:t>
            </w:r>
          </w:p>
        </w:tc>
      </w:tr>
      <w:tr>
        <w:tblPrEx>
          <w:tblCellMar>
            <w:top w:w="0" w:type="dxa"/>
            <w:left w:w="108" w:type="dxa"/>
            <w:bottom w:w="0" w:type="dxa"/>
            <w:right w:w="108" w:type="dxa"/>
          </w:tblCellMar>
        </w:tblPrEx>
        <w:trPr>
          <w:trHeight w:val="990" w:hRule="atLeast"/>
        </w:trPr>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单位</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谋划产业</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目前产值</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kern w:val="0"/>
                <w:szCs w:val="21"/>
              </w:rPr>
            </w:pPr>
            <w:r>
              <w:rPr>
                <w:rFonts w:hint="eastAsia" w:ascii="黑体" w:hAnsi="黑体" w:eastAsia="黑体" w:cs="宋体"/>
                <w:kern w:val="0"/>
                <w:szCs w:val="21"/>
              </w:rPr>
              <w:t>十四五末产值</w:t>
            </w:r>
          </w:p>
        </w:tc>
        <w:tc>
          <w:tcPr>
            <w:tcW w:w="3260"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黑体" w:hAnsi="黑体" w:eastAsia="黑体" w:cs="宋体"/>
                <w:kern w:val="0"/>
                <w:szCs w:val="21"/>
              </w:rPr>
            </w:pPr>
            <w:r>
              <w:rPr>
                <w:rFonts w:hint="eastAsia" w:ascii="黑体" w:hAnsi="黑体" w:eastAsia="黑体" w:cs="宋体"/>
                <w:kern w:val="0"/>
                <w:szCs w:val="21"/>
              </w:rPr>
              <w:t>产业的发展思路</w:t>
            </w:r>
          </w:p>
        </w:tc>
      </w:tr>
      <w:tr>
        <w:tblPrEx>
          <w:tblCellMar>
            <w:top w:w="0" w:type="dxa"/>
            <w:left w:w="108" w:type="dxa"/>
            <w:bottom w:w="0" w:type="dxa"/>
            <w:right w:w="108" w:type="dxa"/>
          </w:tblCellMar>
        </w:tblPrEx>
        <w:trPr>
          <w:trHeight w:val="1974" w:hRule="atLeast"/>
        </w:trPr>
        <w:tc>
          <w:tcPr>
            <w:tcW w:w="1004" w:type="dxa"/>
            <w:tcBorders>
              <w:top w:val="nil"/>
              <w:left w:val="single" w:color="auto" w:sz="4" w:space="0"/>
              <w:bottom w:val="nil"/>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鸭河</w:t>
            </w:r>
          </w:p>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工区</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主导产业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文旅康养</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在建</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200亿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打造“农耕观光、景区游玩、度假旅游、文化教育” “健康养老、医疗救援、医疗设备机械、医药生产”全产业链,成为南阳市、河南省乃至全国有影响力的文旅康养示范基地。</w:t>
            </w:r>
          </w:p>
        </w:tc>
      </w:tr>
      <w:tr>
        <w:tblPrEx>
          <w:tblCellMar>
            <w:top w:w="0" w:type="dxa"/>
            <w:left w:w="108" w:type="dxa"/>
            <w:bottom w:w="0" w:type="dxa"/>
            <w:right w:w="108" w:type="dxa"/>
          </w:tblCellMar>
        </w:tblPrEx>
        <w:trPr>
          <w:trHeight w:val="2526" w:hRule="atLeast"/>
        </w:trPr>
        <w:tc>
          <w:tcPr>
            <w:tcW w:w="100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示范区</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主导产业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现代商贸物流</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在建</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200亿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以集群化为目标，围绕企业商务办公需求和人群新型商贸消费两大业态，聚焦总部经济、现代金融和商贸物流等，强化领先型企业招引和多功能项目建设，打造中部领先的新型生态商务中心区。</w:t>
            </w:r>
          </w:p>
        </w:tc>
      </w:tr>
      <w:tr>
        <w:tblPrEx>
          <w:tblCellMar>
            <w:top w:w="0" w:type="dxa"/>
            <w:left w:w="108" w:type="dxa"/>
            <w:bottom w:w="0" w:type="dxa"/>
            <w:right w:w="108" w:type="dxa"/>
          </w:tblCellMar>
        </w:tblPrEx>
        <w:trPr>
          <w:trHeight w:val="1905" w:hRule="atLeast"/>
        </w:trPr>
        <w:tc>
          <w:tcPr>
            <w:tcW w:w="100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新兴产业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智能制造</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在建</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100亿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以链条化为重点，围绕重点行业“机器换人”推动特种机器人和智能装备等领域发展，强化大数据创新支撑，打造全市智能制造产业发展先行区。</w:t>
            </w:r>
          </w:p>
        </w:tc>
      </w:tr>
      <w:tr>
        <w:tblPrEx>
          <w:tblCellMar>
            <w:top w:w="0" w:type="dxa"/>
            <w:left w:w="108" w:type="dxa"/>
            <w:bottom w:w="0" w:type="dxa"/>
            <w:right w:w="108" w:type="dxa"/>
          </w:tblCellMar>
        </w:tblPrEx>
        <w:trPr>
          <w:trHeight w:val="2325" w:hRule="atLeast"/>
        </w:trPr>
        <w:tc>
          <w:tcPr>
            <w:tcW w:w="100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特色产业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中医药康养</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在建</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100亿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以仲景健康产业园为重点，培育医疗健康产业；发展文旅产业，推动文化与旅游产业融合，挖掘南阳文化资源、以花为媒、以水为媒，针对知名文化创意类企业开展招商，打造文化品牌。</w:t>
            </w:r>
          </w:p>
        </w:tc>
      </w:tr>
      <w:tr>
        <w:tblPrEx>
          <w:tblCellMar>
            <w:top w:w="0" w:type="dxa"/>
            <w:left w:w="108" w:type="dxa"/>
            <w:bottom w:w="0" w:type="dxa"/>
            <w:right w:w="108" w:type="dxa"/>
          </w:tblCellMar>
        </w:tblPrEx>
        <w:trPr>
          <w:trHeight w:val="2683" w:hRule="atLeast"/>
        </w:trPr>
        <w:tc>
          <w:tcPr>
            <w:tcW w:w="10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卧龙综保区</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主导产业</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农副产品进出口加工业</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在建</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300亿</w:t>
            </w:r>
          </w:p>
        </w:tc>
        <w:tc>
          <w:tcPr>
            <w:tcW w:w="3260" w:type="dxa"/>
            <w:tcBorders>
              <w:top w:val="single" w:color="auto" w:sz="4" w:space="0"/>
              <w:left w:val="nil"/>
              <w:bottom w:val="single" w:color="auto" w:sz="4" w:space="0"/>
              <w:right w:val="single" w:color="000000" w:sz="4" w:space="0"/>
            </w:tcBorders>
            <w:shd w:val="clear" w:color="auto" w:fill="auto"/>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建设小麦加工生产谷朊粉出口项目、引进台湾客商香菇产品深加工项目、美国MK国际集团进口肉食品加工国内分销项目、深圳伟业集团智慧冷链项目，形成农副产品进出口加工集群效应。</w:t>
            </w:r>
          </w:p>
        </w:tc>
      </w:tr>
      <w:bookmarkEnd w:id="8"/>
    </w:tbl>
    <w:p>
      <w:pPr>
        <w:spacing w:after="312" w:afterLines="100" w:line="540" w:lineRule="exact"/>
        <w:jc w:val="center"/>
        <w:rPr>
          <w:rFonts w:ascii="黑体" w:hAnsi="黑体" w:eastAsia="黑体" w:cs="仿宋_GB2312"/>
          <w:sz w:val="32"/>
          <w:szCs w:val="32"/>
        </w:rPr>
      </w:pPr>
      <w:r>
        <w:rPr>
          <w:rFonts w:hint="eastAsia" w:ascii="黑体" w:hAnsi="黑体" w:eastAsia="黑体" w:cs="仿宋_GB2312"/>
          <w:sz w:val="32"/>
          <w:szCs w:val="32"/>
        </w:rPr>
        <w:t>第十章  繁荣发展现代服务业</w:t>
      </w:r>
    </w:p>
    <w:p>
      <w:pPr>
        <w:pStyle w:val="20"/>
        <w:widowControl/>
        <w:spacing w:before="0" w:beforeAutospacing="0" w:after="312" w:afterLines="100" w:afterAutospacing="0"/>
        <w:ind w:firstLine="640"/>
        <w:jc w:val="both"/>
        <w:rPr>
          <w:rFonts w:ascii="仿宋_GB2312" w:hAnsi="仿宋" w:cs="仿宋"/>
          <w:sz w:val="32"/>
          <w:szCs w:val="32"/>
        </w:rPr>
      </w:pPr>
      <w:r>
        <w:rPr>
          <w:rFonts w:hint="eastAsia" w:ascii="仿宋_GB2312" w:hAnsi="仿宋_GB2312" w:cs="仿宋_GB2312"/>
          <w:sz w:val="32"/>
          <w:szCs w:val="32"/>
          <w:shd w:val="clear" w:color="auto" w:fill="FFFFFF"/>
        </w:rPr>
        <w:t>推进生产性服务业向专业化和价值链高端延伸，</w:t>
      </w:r>
      <w:r>
        <w:rPr>
          <w:rFonts w:hint="eastAsia" w:ascii="仿宋_GB2312" w:hAnsi="仿宋" w:cs="仿宋"/>
          <w:sz w:val="32"/>
          <w:szCs w:val="32"/>
        </w:rPr>
        <w:t>推动生活性服务业向高品质和多样化升级，形成布局合理、竞争力较强、产业层次较高的服务业发展新格局。</w:t>
      </w:r>
    </w:p>
    <w:p>
      <w:pPr>
        <w:spacing w:after="312" w:afterLines="100" w:line="540" w:lineRule="exact"/>
        <w:jc w:val="center"/>
        <w:rPr>
          <w:rFonts w:ascii="楷体_GB2312" w:hAnsi="仿宋" w:eastAsia="楷体_GB2312" w:cs="仿宋"/>
          <w:b/>
          <w:kern w:val="0"/>
          <w:sz w:val="32"/>
          <w:szCs w:val="32"/>
        </w:rPr>
      </w:pPr>
      <w:r>
        <w:rPr>
          <w:rFonts w:hint="eastAsia" w:ascii="楷体_GB2312" w:hAnsi="仿宋" w:eastAsia="楷体_GB2312" w:cs="仿宋"/>
          <w:b/>
          <w:kern w:val="0"/>
          <w:sz w:val="32"/>
          <w:szCs w:val="32"/>
        </w:rPr>
        <w:t>第一节  突出发展生产性服务业</w:t>
      </w:r>
    </w:p>
    <w:p>
      <w:pPr>
        <w:spacing w:line="600" w:lineRule="exact"/>
        <w:ind w:firstLine="640" w:firstLineChars="200"/>
        <w:rPr>
          <w:rFonts w:ascii="仿宋_GB2312" w:hAnsi="仿宋" w:eastAsia="仿宋_GB2312" w:cs="仿宋"/>
          <w:kern w:val="0"/>
          <w:sz w:val="32"/>
          <w:szCs w:val="32"/>
        </w:rPr>
      </w:pPr>
      <w:r>
        <w:rPr>
          <w:rFonts w:hint="eastAsia" w:ascii="仿宋_GB2312" w:hAnsi="仿宋" w:eastAsia="仿宋_GB2312" w:cs="仿宋"/>
          <w:kern w:val="0"/>
          <w:sz w:val="32"/>
          <w:szCs w:val="32"/>
        </w:rPr>
        <w:t>大力发展现代物流、现代金融、电子商务、商务服务，</w:t>
      </w:r>
      <w:r>
        <w:rPr>
          <w:rFonts w:hint="eastAsia" w:ascii="仿宋_GB2312" w:hAnsi="仿宋_GB2312" w:eastAsia="仿宋_GB2312" w:cs="仿宋_GB2312"/>
          <w:kern w:val="0"/>
          <w:sz w:val="32"/>
          <w:szCs w:val="32"/>
          <w:shd w:val="clear" w:color="auto" w:fill="FFFFFF"/>
        </w:rPr>
        <w:t>全面</w:t>
      </w:r>
      <w:r>
        <w:rPr>
          <w:rFonts w:ascii="仿宋_GB2312" w:hAnsi="仿宋_GB2312" w:eastAsia="仿宋_GB2312" w:cs="仿宋_GB2312"/>
          <w:kern w:val="0"/>
          <w:sz w:val="32"/>
          <w:szCs w:val="32"/>
          <w:shd w:val="clear" w:color="auto" w:fill="FFFFFF"/>
        </w:rPr>
        <w:t>承接复制</w:t>
      </w:r>
      <w:r>
        <w:rPr>
          <w:rFonts w:hint="eastAsia" w:ascii="仿宋_GB2312" w:hAnsi="仿宋_GB2312" w:eastAsia="仿宋_GB2312" w:cs="仿宋_GB2312"/>
          <w:kern w:val="0"/>
          <w:sz w:val="32"/>
          <w:szCs w:val="32"/>
          <w:shd w:val="clear" w:color="auto" w:fill="FFFFFF"/>
        </w:rPr>
        <w:t>郑洛新自创区优惠政策，培育发展一批生产性服务业企业，</w:t>
      </w:r>
      <w:r>
        <w:rPr>
          <w:rFonts w:ascii="仿宋_GB2312" w:hAnsi="仿宋_GB2312" w:eastAsia="仿宋_GB2312" w:cs="仿宋_GB2312"/>
          <w:kern w:val="0"/>
          <w:sz w:val="32"/>
          <w:szCs w:val="32"/>
          <w:shd w:val="clear" w:color="auto" w:fill="FFFFFF"/>
        </w:rPr>
        <w:t>建设一批具有影响力的生产性服务业</w:t>
      </w:r>
      <w:r>
        <w:rPr>
          <w:rFonts w:hint="eastAsia" w:ascii="仿宋_GB2312" w:hAnsi="仿宋_GB2312" w:eastAsia="仿宋_GB2312" w:cs="仿宋_GB2312"/>
          <w:kern w:val="0"/>
          <w:sz w:val="32"/>
          <w:szCs w:val="32"/>
          <w:shd w:val="clear" w:color="auto" w:fill="FFFFFF"/>
        </w:rPr>
        <w:t>专业</w:t>
      </w:r>
      <w:r>
        <w:rPr>
          <w:rFonts w:ascii="仿宋_GB2312" w:hAnsi="仿宋_GB2312" w:eastAsia="仿宋_GB2312" w:cs="仿宋_GB2312"/>
          <w:kern w:val="0"/>
          <w:sz w:val="32"/>
          <w:szCs w:val="32"/>
          <w:shd w:val="clear" w:color="auto" w:fill="FFFFFF"/>
        </w:rPr>
        <w:t>园区</w:t>
      </w:r>
      <w:r>
        <w:rPr>
          <w:rFonts w:hint="eastAsia" w:ascii="仿宋_GB2312" w:hAnsi="仿宋" w:eastAsia="仿宋_GB2312" w:cs="仿宋"/>
          <w:kern w:val="0"/>
          <w:sz w:val="32"/>
          <w:szCs w:val="32"/>
        </w:rPr>
        <w:t>。</w:t>
      </w:r>
    </w:p>
    <w:p>
      <w:pPr>
        <w:pStyle w:val="13"/>
        <w:overflowPunct w:val="0"/>
        <w:adjustRightInd w:val="0"/>
        <w:spacing w:line="600" w:lineRule="exact"/>
        <w:ind w:firstLine="643" w:firstLineChars="200"/>
        <w:rPr>
          <w:rFonts w:ascii="仿宋_GB2312" w:hAnsi="仿宋" w:eastAsia="仿宋_GB2312" w:cs="仿宋"/>
          <w:sz w:val="32"/>
          <w:szCs w:val="32"/>
        </w:rPr>
      </w:pPr>
      <w:r>
        <w:rPr>
          <w:rFonts w:hint="eastAsia" w:ascii="仿宋_GB2312" w:hAnsi="仿宋" w:eastAsia="仿宋_GB2312" w:cs="仿宋"/>
          <w:b/>
          <w:sz w:val="32"/>
          <w:szCs w:val="32"/>
        </w:rPr>
        <w:t>——现代物流。</w:t>
      </w:r>
      <w:r>
        <w:rPr>
          <w:rFonts w:ascii="仿宋_GB2312" w:hAnsi="仿宋_GB2312" w:eastAsia="仿宋_GB2312" w:cs="仿宋_GB2312"/>
          <w:sz w:val="32"/>
          <w:szCs w:val="32"/>
          <w:shd w:val="clear" w:color="auto" w:fill="FFFFFF"/>
        </w:rPr>
        <w:t>加快推进商贸服务型国家物流枢纽承载城市建设，提升物流业与制造业、商贸业联动发展水平</w:t>
      </w:r>
      <w:r>
        <w:rPr>
          <w:rFonts w:hint="eastAsia" w:ascii="仿宋_GB2312" w:hAnsi="仿宋_GB2312" w:eastAsia="仿宋_GB2312" w:cs="仿宋_GB2312"/>
          <w:sz w:val="32"/>
          <w:szCs w:val="32"/>
          <w:shd w:val="clear" w:color="auto" w:fill="FFFFFF"/>
        </w:rPr>
        <w:t>。</w:t>
      </w:r>
      <w:r>
        <w:rPr>
          <w:rFonts w:ascii="仿宋_GB2312" w:hAnsi="仿宋_GB2312" w:eastAsia="仿宋_GB2312" w:cs="仿宋_GB2312"/>
          <w:sz w:val="32"/>
          <w:szCs w:val="32"/>
          <w:shd w:val="clear" w:color="auto" w:fill="FFFFFF"/>
        </w:rPr>
        <w:t>优化物流空间布局，提速物流园区和信息平台建设。</w:t>
      </w:r>
      <w:r>
        <w:rPr>
          <w:rFonts w:hint="eastAsia" w:ascii="仿宋_GB2312" w:hAnsi="仿宋" w:eastAsia="仿宋_GB2312" w:cs="仿宋"/>
          <w:sz w:val="32"/>
          <w:szCs w:val="32"/>
        </w:rPr>
        <w:t>大力发展冷链、快递和电商物流，</w:t>
      </w:r>
      <w:r>
        <w:rPr>
          <w:rFonts w:ascii="仿宋_GB2312" w:hAnsi="仿宋_GB2312" w:eastAsia="仿宋_GB2312" w:cs="仿宋_GB2312"/>
          <w:sz w:val="32"/>
          <w:szCs w:val="32"/>
          <w:shd w:val="clear" w:color="auto" w:fill="FFFFFF"/>
        </w:rPr>
        <w:t>培育引进一批大型物流企业集团，</w:t>
      </w:r>
      <w:r>
        <w:rPr>
          <w:rFonts w:hint="eastAsia" w:ascii="仿宋_GB2312" w:hAnsi="仿宋" w:eastAsia="仿宋_GB2312" w:cs="仿宋"/>
          <w:sz w:val="32"/>
          <w:szCs w:val="32"/>
        </w:rPr>
        <w:t>推动南阳万邦冷链物流园等一批市县物流园建设。支持卧龙区现代物流园、唐河县临港物流园申报国家商贸服务型物流枢纽和省级区域性物流枢纽。支持邓州建设省级区域交通物流枢纽。加快南阳城区快递分拣配送中心和农村物流网络建设，推动物流基础设施互联互通，促进区域物流协调发展，打造</w:t>
      </w:r>
      <w:r>
        <w:rPr>
          <w:rFonts w:hint="eastAsia" w:ascii="仿宋_GB2312" w:hAnsi="仿宋_GB2312" w:eastAsia="仿宋_GB2312" w:cs="仿宋_GB2312"/>
          <w:sz w:val="32"/>
          <w:szCs w:val="32"/>
          <w:shd w:val="clear" w:color="auto" w:fill="FFFFFF"/>
        </w:rPr>
        <w:t>全国重要的现代</w:t>
      </w:r>
      <w:r>
        <w:rPr>
          <w:rFonts w:ascii="仿宋_GB2312" w:hAnsi="仿宋_GB2312" w:eastAsia="仿宋_GB2312" w:cs="仿宋_GB2312"/>
          <w:sz w:val="32"/>
          <w:szCs w:val="32"/>
          <w:shd w:val="clear" w:color="auto" w:fill="FFFFFF"/>
        </w:rPr>
        <w:t>物流中心</w:t>
      </w:r>
      <w:r>
        <w:rPr>
          <w:rFonts w:hint="eastAsia" w:ascii="仿宋_GB2312" w:hAnsi="仿宋" w:eastAsia="仿宋_GB2312" w:cs="仿宋"/>
          <w:sz w:val="32"/>
          <w:szCs w:val="32"/>
        </w:rPr>
        <w:t>。</w:t>
      </w:r>
    </w:p>
    <w:p>
      <w:pPr>
        <w:spacing w:line="600" w:lineRule="exact"/>
        <w:ind w:firstLine="643" w:firstLineChars="200"/>
        <w:rPr>
          <w:rFonts w:ascii="仿宋_GB2312" w:hAnsi="仿宋" w:eastAsia="仿宋_GB2312" w:cs="仿宋"/>
          <w:kern w:val="0"/>
          <w:sz w:val="32"/>
          <w:szCs w:val="32"/>
        </w:rPr>
      </w:pPr>
      <w:r>
        <w:rPr>
          <w:rFonts w:hint="eastAsia" w:ascii="仿宋_GB2312" w:hAnsi="仿宋" w:eastAsia="仿宋_GB2312"/>
          <w:b/>
          <w:sz w:val="32"/>
          <w:szCs w:val="32"/>
        </w:rPr>
        <w:t>——现代金融。</w:t>
      </w:r>
      <w:r>
        <w:rPr>
          <w:rFonts w:hint="eastAsia" w:ascii="仿宋_GB2312" w:hAnsi="仿宋" w:eastAsia="仿宋_GB2312" w:cs="仿宋"/>
          <w:kern w:val="0"/>
          <w:sz w:val="32"/>
          <w:szCs w:val="32"/>
        </w:rPr>
        <w:t>坚持以服务实体经济为导向，全面提升金融产业在经济中的比重，打造区域金融中心。加快现代金融服务体系建设，持续实施“招金入宛”工程，鼓励各类金融机构在宛设立分支机构，深化农信社、村镇银行等地方金融机构改革，支持设立财务公司、融资租赁、商业保理等地方金融组织，探索建立市级资产管理公司，推进金融集聚区建设，加快金融机构、金融资源、金融人才集聚。综合运用信贷、基金、股票、债券、保险等金融工具，实现金融与城市经营、产业发展、企业层面的良性循环。加强与国开行、进出口银行、农发行和大型保险公司等合作，争取更多开发性资金、政策性资金支持，大力吸引保险资金投入地方建设。积极开展数字金融、绿色金融、普惠金融、供应链金融、科技金融等业态创新。持续推动企业上市，新增上市企业10家以上，实现上市企业空白县市区清零。</w:t>
      </w:r>
    </w:p>
    <w:p>
      <w:pPr>
        <w:pStyle w:val="20"/>
        <w:widowControl/>
        <w:shd w:val="clear" w:color="auto" w:fill="FFFFFF"/>
        <w:spacing w:before="0" w:beforeAutospacing="0" w:after="0" w:afterAutospacing="0" w:line="540" w:lineRule="atLeast"/>
        <w:ind w:firstLine="643"/>
        <w:textAlignment w:val="top"/>
        <w:rPr>
          <w:rFonts w:ascii="仿宋_GB2312" w:hAnsi="仿宋_GB2312" w:cs="仿宋_GB2312"/>
          <w:sz w:val="32"/>
          <w:szCs w:val="32"/>
        </w:rPr>
      </w:pPr>
      <w:r>
        <w:rPr>
          <w:rFonts w:hint="eastAsia" w:ascii="仿宋_GB2312" w:hAnsi="仿宋" w:cs="仿宋"/>
          <w:b/>
          <w:sz w:val="32"/>
          <w:szCs w:val="32"/>
        </w:rPr>
        <w:t>——电子商务。</w:t>
      </w:r>
      <w:r>
        <w:rPr>
          <w:rFonts w:hint="eastAsia" w:ascii="仿宋_GB2312" w:hAnsi="仿宋_GB2312" w:cs="仿宋_GB2312"/>
          <w:sz w:val="32"/>
          <w:szCs w:val="32"/>
        </w:rPr>
        <w:t>以龙头企业培育和引进为重点，加快电子商务基地、基础设施和服务平台建设，着力营造电子商务发展环境。创新技术、商业模式，鼓励新业态、新模式发展，高质量发展电子商务经济，增强核心竞争力。扶持一批产业链带动作用明显的电子商务平台。加快推进中国（南阳）跨境电子商务综合试验区建设，建设线上综合服务平台和线下综合园区平台，实施跨境电商产业提升、市场主体培育、品牌塑造、人才培养四大行动，完善信息共享、物流支撑、金融服务、信用监管、统计监测和风险防控六大体系，培育一批跨境电商特色产业集群，建成在全国有一定影响力的新兴区域跨境电子商务中心。</w:t>
      </w:r>
    </w:p>
    <w:p>
      <w:pPr>
        <w:spacing w:after="312" w:afterLines="100" w:line="600" w:lineRule="exact"/>
        <w:ind w:firstLine="643" w:firstLineChars="200"/>
        <w:rPr>
          <w:rFonts w:ascii="仿宋_GB2312" w:hAnsi="仿宋" w:eastAsia="仿宋_GB2312" w:cs="仿宋"/>
          <w:kern w:val="0"/>
          <w:sz w:val="32"/>
          <w:szCs w:val="32"/>
        </w:rPr>
      </w:pPr>
      <w:r>
        <w:rPr>
          <w:rFonts w:hint="eastAsia" w:ascii="仿宋" w:hAnsi="仿宋" w:eastAsia="仿宋"/>
          <w:b/>
          <w:sz w:val="32"/>
          <w:szCs w:val="32"/>
        </w:rPr>
        <w:t>——商务服务。</w:t>
      </w:r>
      <w:r>
        <w:rPr>
          <w:rFonts w:hint="eastAsia" w:ascii="仿宋_GB2312" w:hAnsi="仿宋" w:eastAsia="仿宋_GB2312" w:cs="仿宋"/>
          <w:kern w:val="0"/>
          <w:sz w:val="32"/>
          <w:szCs w:val="32"/>
        </w:rPr>
        <w:t>坚持商务服务“专精特优”发展方向，依托南阳中心商务区，大力发展总部经济和楼宇经济，积极引进行业龙头企业建立地区性总部或功能性中心。支持县域商务中心区发展，引导县域龙头企业、旅游企业总部、金融保险分支机构等入驻，建设中小企业总部基地。积极发展会计、审计、法律、咨询、第三方检测等中介服务业。规划建设服务外包基地和服务贸易外贸园区，鼓励发展服务外包产业。建设豫西南月季花木交易中心等专业市场。研究推进东方时尚汽车文化园项目建设。加快会展中心建设，吸引国家级、区域性品牌展会落户，培育一批知名会展品牌，组织举办道地中药材、轴承系列、超硬材料、花卉苗木等全国性会展活动，建设具有较强影响力的区域性会展中心。</w:t>
      </w:r>
    </w:p>
    <w:p>
      <w:pPr>
        <w:spacing w:after="312" w:afterLines="100" w:line="610" w:lineRule="exact"/>
        <w:jc w:val="center"/>
        <w:rPr>
          <w:rFonts w:ascii="楷体_GB2312" w:hAnsi="仿宋" w:eastAsia="楷体_GB2312" w:cs="仿宋"/>
          <w:b/>
          <w:kern w:val="0"/>
          <w:sz w:val="32"/>
          <w:szCs w:val="32"/>
        </w:rPr>
      </w:pPr>
      <w:r>
        <w:rPr>
          <w:rFonts w:hint="eastAsia" w:ascii="楷体_GB2312" w:hAnsi="仿宋" w:eastAsia="楷体_GB2312" w:cs="仿宋"/>
          <w:b/>
          <w:kern w:val="0"/>
          <w:sz w:val="32"/>
          <w:szCs w:val="32"/>
        </w:rPr>
        <w:t>第二节  培育壮大生活性服务业</w:t>
      </w:r>
    </w:p>
    <w:p>
      <w:pPr>
        <w:spacing w:line="610" w:lineRule="exact"/>
        <w:ind w:firstLine="640" w:firstLineChars="200"/>
        <w:rPr>
          <w:rFonts w:ascii="仿宋_GB2312" w:hAnsi="仿宋" w:eastAsia="仿宋_GB2312" w:cs="仿宋"/>
          <w:kern w:val="0"/>
          <w:sz w:val="32"/>
          <w:szCs w:val="32"/>
        </w:rPr>
      </w:pPr>
      <w:r>
        <w:rPr>
          <w:rFonts w:hint="eastAsia" w:ascii="仿宋_GB2312" w:hAnsi="仿宋" w:eastAsia="仿宋_GB2312" w:cs="仿宋"/>
          <w:kern w:val="0"/>
          <w:sz w:val="32"/>
          <w:szCs w:val="32"/>
        </w:rPr>
        <w:t>重点发展文化旅游、现代商贸、健康养生养老、家政服务等生活性服务业，打造文化旅游、健康养生养老千亿级产业，</w:t>
      </w:r>
      <w:r>
        <w:rPr>
          <w:rFonts w:hint="eastAsia" w:ascii="Times New Roman" w:hAnsi="Times New Roman" w:eastAsia="仿宋_GB2312" w:cs="仿宋_GB2312"/>
          <w:sz w:val="32"/>
          <w:szCs w:val="32"/>
        </w:rPr>
        <w:t>建设国内知名生态文化旅游、健康养生养老目的地。</w:t>
      </w:r>
    </w:p>
    <w:p>
      <w:pPr>
        <w:spacing w:line="610" w:lineRule="exact"/>
        <w:ind w:firstLine="643" w:firstLineChars="200"/>
        <w:rPr>
          <w:rFonts w:ascii="仿宋_GB2312" w:hAnsi="仿宋" w:eastAsia="仿宋_GB2312" w:cs="仿宋"/>
          <w:kern w:val="0"/>
          <w:sz w:val="32"/>
          <w:szCs w:val="32"/>
        </w:rPr>
      </w:pPr>
      <w:r>
        <w:rPr>
          <w:rFonts w:hint="eastAsia" w:ascii="仿宋_GB2312" w:hAnsi="仿宋" w:eastAsia="仿宋_GB2312" w:cs="仿宋"/>
          <w:b/>
          <w:kern w:val="0"/>
          <w:sz w:val="32"/>
          <w:szCs w:val="32"/>
        </w:rPr>
        <w:t>——文化旅游。</w:t>
      </w:r>
      <w:r>
        <w:rPr>
          <w:rFonts w:hint="eastAsia" w:ascii="仿宋_GB2312" w:hAnsi="仿宋" w:eastAsia="仿宋_GB2312" w:cs="仿宋"/>
          <w:kern w:val="0"/>
          <w:sz w:val="32"/>
          <w:szCs w:val="32"/>
        </w:rPr>
        <w:t>充分发挥南阳国家级历史文化名城优势，以全域旅游为</w:t>
      </w:r>
      <w:r>
        <w:rPr>
          <w:rFonts w:hint="eastAsia" w:ascii="Times New Roman" w:hAnsi="Times New Roman" w:eastAsia="仿宋_GB2312" w:cs="仿宋_GB2312"/>
          <w:sz w:val="32"/>
          <w:szCs w:val="32"/>
        </w:rPr>
        <w:t>统领，以建设国内知名生态文化旅游目的地为目标，创新“全文旅”与“+文旅”两个理念，筑牢“文化（文物）、生态、康养”三大支撑，做好“文史、山水、源起、圣贤”四篇文章，打造“伏牛山、水源头（淮河源头、南水北调中线工程源头）、万里茶道、丝绸之路、红色旅游”五条精品旅游长线，打响老界岭国家旅游度假区龙头景区，抓好卧龙岗文化园创建国家5A级景区和南阳古城两大标志性工程，推进多个支撑项目建设，</w:t>
      </w:r>
      <w:r>
        <w:rPr>
          <w:rFonts w:hint="eastAsia" w:ascii="仿宋_GB2312" w:hAnsi="仿宋" w:eastAsia="仿宋_GB2312" w:cs="仿宋"/>
          <w:kern w:val="0"/>
          <w:sz w:val="32"/>
          <w:szCs w:val="32"/>
        </w:rPr>
        <w:t>构建“一心、两带、四区”旅游发展新格局。</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360" w:type="dxa"/>
            <w:shd w:val="clear" w:color="auto" w:fill="auto"/>
          </w:tcPr>
          <w:p>
            <w:pPr>
              <w:tabs>
                <w:tab w:val="center" w:pos="4153"/>
                <w:tab w:val="right" w:pos="8306"/>
              </w:tabs>
              <w:snapToGrid w:val="0"/>
              <w:spacing w:line="600" w:lineRule="exact"/>
              <w:jc w:val="center"/>
              <w:rPr>
                <w:rFonts w:ascii="黑体" w:hAnsi="黑体" w:eastAsia="黑体" w:cs="仿宋_GB2312"/>
                <w:bCs/>
                <w:sz w:val="30"/>
                <w:szCs w:val="30"/>
              </w:rPr>
            </w:pPr>
            <w:r>
              <w:rPr>
                <w:rFonts w:hint="eastAsia" w:ascii="黑体" w:hAnsi="黑体" w:eastAsia="黑体" w:cs="仿宋_GB2312"/>
                <w:bCs/>
                <w:sz w:val="30"/>
                <w:szCs w:val="30"/>
              </w:rPr>
              <w:t>专栏3：南阳“一心、两带、四区”文化旅游发展新格局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8360" w:type="dxa"/>
            <w:shd w:val="clear" w:color="auto" w:fill="auto"/>
          </w:tcPr>
          <w:p>
            <w:pPr>
              <w:spacing w:line="600" w:lineRule="exact"/>
              <w:ind w:firstLine="281" w:firstLineChars="100"/>
              <w:rPr>
                <w:rFonts w:ascii="仿宋_GB2312" w:hAnsi="仿宋" w:eastAsia="仿宋_GB2312" w:cs="仿宋"/>
                <w:sz w:val="28"/>
                <w:szCs w:val="28"/>
              </w:rPr>
            </w:pPr>
            <w:r>
              <w:rPr>
                <w:rFonts w:hint="eastAsia" w:ascii="仿宋_GB2312" w:hAnsi="仿宋" w:eastAsia="仿宋_GB2312" w:cs="仿宋"/>
                <w:b/>
                <w:bCs/>
                <w:sz w:val="28"/>
                <w:szCs w:val="28"/>
              </w:rPr>
              <w:t>“一心”即：</w:t>
            </w:r>
            <w:r>
              <w:rPr>
                <w:rFonts w:hint="eastAsia" w:ascii="仿宋_GB2312" w:hAnsi="仿宋" w:eastAsia="仿宋_GB2312" w:cs="仿宋"/>
                <w:sz w:val="28"/>
                <w:szCs w:val="28"/>
              </w:rPr>
              <w:t>南阳旅游中央活力城，开发卧龙岗、南阳古城、南阳府衙、医圣祠、张衡科技文化园、范蠡故里、白河国家湿地公园、独山森林公园、南阳月季、南阳玉雕等资源，构建两汉三国文化主题旅游线路。</w:t>
            </w:r>
          </w:p>
          <w:p>
            <w:pPr>
              <w:spacing w:line="600" w:lineRule="exact"/>
              <w:ind w:firstLine="562" w:firstLineChars="200"/>
              <w:rPr>
                <w:rFonts w:ascii="仿宋_GB2312" w:hAnsi="仿宋" w:eastAsia="仿宋_GB2312" w:cs="仿宋"/>
                <w:sz w:val="28"/>
                <w:szCs w:val="28"/>
              </w:rPr>
            </w:pPr>
            <w:r>
              <w:rPr>
                <w:rFonts w:hint="eastAsia" w:ascii="仿宋_GB2312" w:hAnsi="仿宋" w:eastAsia="仿宋_GB2312" w:cs="仿宋"/>
                <w:b/>
                <w:bCs/>
                <w:sz w:val="28"/>
                <w:szCs w:val="28"/>
              </w:rPr>
              <w:t>“两带”即:</w:t>
            </w:r>
            <w:r>
              <w:rPr>
                <w:rFonts w:hint="eastAsia" w:ascii="仿宋_GB2312" w:hAnsi="仿宋" w:eastAsia="仿宋_GB2312" w:cs="仿宋"/>
                <w:sz w:val="28"/>
                <w:szCs w:val="28"/>
              </w:rPr>
              <w:t>南水北调中线旅游带，推进渠首风光领略、移民文化体验、怀旧乡村追忆、独山生态花园、运河乡村人家、湖山生态度假、火烧博望原景重现、古代官衙驿站和古今水利工程对比等体验项目建设；万里茶道文化旅游带，串联茶道沿线景区、景点、乡村旅游资源，以赊店古镇为引擎，以唐河百里画廊和宛洛魅力古道为重点支撑，带动沿线产旅融合旅游项目发展。</w:t>
            </w:r>
          </w:p>
          <w:p>
            <w:pPr>
              <w:spacing w:line="600" w:lineRule="exact"/>
              <w:ind w:firstLine="562" w:firstLineChars="200"/>
              <w:rPr>
                <w:rFonts w:ascii="仿宋_GB2312"/>
              </w:rPr>
            </w:pPr>
            <w:r>
              <w:rPr>
                <w:rFonts w:hint="eastAsia" w:ascii="仿宋_GB2312" w:hAnsi="仿宋" w:eastAsia="仿宋_GB2312" w:cs="仿宋"/>
                <w:b/>
                <w:bCs/>
                <w:sz w:val="28"/>
                <w:szCs w:val="28"/>
              </w:rPr>
              <w:t>“四区”即：</w:t>
            </w:r>
            <w:r>
              <w:rPr>
                <w:rFonts w:hint="eastAsia" w:ascii="仿宋_GB2312" w:hAnsi="仿宋" w:eastAsia="仿宋_GB2312" w:cs="仿宋"/>
                <w:sz w:val="28"/>
                <w:szCs w:val="28"/>
              </w:rPr>
              <w:t>南阳历史文化旅游区，推进镇平玉文化旅游区、内乡县衙、新野三国文化旅游城、邓州花洲书院等项目建设。伏牛山生态度假旅游区，推进老界岭、宝天曼、五朵山、恐龙文化产业园、老君洞、西峡仲景养生小镇、方城七峰山-七十二潭旅游区、南召莲花温泉旅游度假区、西峡花香果海田园综合体、南召玉兰小镇、鸭河张衡航空文化小镇、京德啤酒小镇等项目建设，做优做精中医养生、温泉疗养等康养品牌。丹江湖水生态休闲旅游区，推进丹江湖旅游区、淅川县城、荆紫关古镇三大旅游组团建设，推进邓州杏山韩营渠首精神红色教育和渠首特色旅游小镇建设。桐柏山红色淮源旅游区，重点推进桐柏淮源景区、桐柏红叶景区、石柱山-九龙湖旅游区等项目建设。</w:t>
            </w:r>
          </w:p>
        </w:tc>
      </w:tr>
    </w:tbl>
    <w:p>
      <w:pPr>
        <w:spacing w:line="600" w:lineRule="exact"/>
        <w:ind w:firstLine="643" w:firstLineChars="200"/>
        <w:rPr>
          <w:rFonts w:ascii="仿宋_GB2312" w:hAnsi="仿宋" w:eastAsia="仿宋_GB2312" w:cs="仿宋"/>
          <w:b/>
          <w:kern w:val="0"/>
          <w:sz w:val="32"/>
          <w:szCs w:val="32"/>
        </w:rPr>
      </w:pPr>
      <w:bookmarkStart w:id="10" w:name="_Toc464135008"/>
      <w:bookmarkStart w:id="11" w:name="_Toc457057240"/>
    </w:p>
    <w:p>
      <w:pPr>
        <w:spacing w:line="600" w:lineRule="exact"/>
        <w:ind w:firstLine="643" w:firstLineChars="200"/>
        <w:rPr>
          <w:rFonts w:ascii="仿宋_GB2312" w:hAnsi="仿宋" w:eastAsia="仿宋_GB2312" w:cs="仿宋"/>
          <w:sz w:val="32"/>
          <w:szCs w:val="32"/>
        </w:rPr>
      </w:pPr>
      <w:r>
        <w:rPr>
          <w:rFonts w:hint="eastAsia" w:ascii="仿宋_GB2312" w:hAnsi="仿宋" w:eastAsia="仿宋_GB2312" w:cs="仿宋"/>
          <w:b/>
          <w:kern w:val="0"/>
          <w:sz w:val="32"/>
          <w:szCs w:val="32"/>
        </w:rPr>
        <w:t>——现代商贸。</w:t>
      </w:r>
      <w:r>
        <w:rPr>
          <w:rFonts w:hint="eastAsia" w:ascii="仿宋_GB2312" w:hAnsi="仿宋" w:eastAsia="仿宋_GB2312" w:cs="仿宋"/>
          <w:sz w:val="32"/>
          <w:szCs w:val="32"/>
        </w:rPr>
        <w:t>按照城中大商场、城内大商圈、城外大市场的基本思路，规划建设现代商贸中心。加快新城区商圈培育引导，建设集购物、餐饮、休闲、娱乐、体验等功能于一体的现代品质型城市商业综合体。应用现代经营理念和信息技术，加快改造提升老城区商业，采用连锁经营、快递配送、线上线下等先进模式，发展大超市、专卖店、连锁经营店等业态。县城加快建设一批商贸中心，改造提升现有农产品交易等市场。支持餐饮业品牌战略，大力发展地方特色小吃，培育地方特色餐饮品牌和老字号餐饮企业，加快发展一批星级酒店和经济型连锁酒店。</w:t>
      </w:r>
    </w:p>
    <w:p>
      <w:pPr>
        <w:spacing w:line="600" w:lineRule="exact"/>
        <w:ind w:firstLine="643" w:firstLineChars="200"/>
        <w:rPr>
          <w:rFonts w:ascii="仿宋_GB2312" w:hAnsi="仿宋" w:eastAsia="仿宋_GB2312" w:cs="仿宋"/>
          <w:sz w:val="32"/>
          <w:szCs w:val="32"/>
        </w:rPr>
      </w:pPr>
      <w:r>
        <w:rPr>
          <w:rFonts w:hint="eastAsia" w:ascii="仿宋_GB2312" w:hAnsi="仿宋" w:eastAsia="仿宋_GB2312" w:cs="仿宋"/>
          <w:b/>
          <w:kern w:val="0"/>
          <w:sz w:val="32"/>
          <w:szCs w:val="32"/>
        </w:rPr>
        <w:t>——健康养生养老。</w:t>
      </w:r>
      <w:r>
        <w:rPr>
          <w:rFonts w:hint="eastAsia" w:ascii="仿宋_GB2312" w:hAnsi="仿宋" w:eastAsia="仿宋_GB2312" w:cs="仿宋"/>
          <w:sz w:val="32"/>
          <w:szCs w:val="32"/>
        </w:rPr>
        <w:t>发挥南阳独特的自然资源和仲景文化优势，加快实施张仲景健康城、仲景文化品牌铸造工程，推进县市区中医院提质升级，培育壮大康养龙头企业，打响“中医圣地、养生之城”品牌。按照文旅、中医药等优势资源和康养产业共享客源、共同促进、产业融合的发展思路，统筹城乡、区域康养产业资源配置，深入挖掘各县市区特色，培养一批不同定位的产业集群和知名品牌，运用物联网、互联网、智能呼叫等信息技术，创新“平台+服务+康养+终端”的智慧康养服务模式，打造以文旅康养和中医药康养为主导，以数字康养为支撑，以特色康养产业为亮点的产业体系。组建产业发展平台，推动康养产业科技研发、成果推广应用，引进高端人才，完善产业人才培养机制，形成全产业、全域型康养产业网络结构。大力发展“候鸟型养老”“生态度假基地养老”“农家体验养老”等新型养老发展模式，建成区域一流、全国知名的健康养生之都。</w:t>
      </w:r>
    </w:p>
    <w:p>
      <w:pPr>
        <w:spacing w:after="312" w:afterLines="100" w:line="600" w:lineRule="exact"/>
        <w:ind w:firstLine="643" w:firstLineChars="200"/>
        <w:rPr>
          <w:rFonts w:ascii="仿宋" w:hAnsi="仿宋" w:eastAsia="仿宋"/>
          <w:sz w:val="32"/>
          <w:szCs w:val="32"/>
        </w:rPr>
      </w:pPr>
      <w:r>
        <w:rPr>
          <w:rFonts w:hint="eastAsia" w:ascii="仿宋_GB2312" w:hAnsi="仿宋" w:eastAsia="仿宋_GB2312" w:cs="仿宋"/>
          <w:b/>
          <w:kern w:val="0"/>
          <w:sz w:val="32"/>
          <w:szCs w:val="32"/>
        </w:rPr>
        <w:t>——家政服务。</w:t>
      </w:r>
      <w:r>
        <w:rPr>
          <w:rFonts w:hint="eastAsia" w:ascii="仿宋_GB2312" w:hAnsi="仿宋" w:eastAsia="仿宋_GB2312" w:cs="仿宋"/>
          <w:kern w:val="0"/>
          <w:sz w:val="32"/>
          <w:szCs w:val="32"/>
        </w:rPr>
        <w:t>以建设省级家政服务业提质扩容试点城市为引领，实施家政服务业提升行动，推动家政企业做大做强</w:t>
      </w:r>
      <w:r>
        <w:rPr>
          <w:rFonts w:ascii="仿宋_GB2312" w:hAnsi="仿宋" w:eastAsia="仿宋_GB2312" w:cs="仿宋"/>
          <w:kern w:val="0"/>
          <w:sz w:val="32"/>
          <w:szCs w:val="32"/>
        </w:rPr>
        <w:t>,</w:t>
      </w:r>
      <w:r>
        <w:rPr>
          <w:rFonts w:hint="eastAsia" w:ascii="仿宋_GB2312" w:hAnsi="仿宋" w:eastAsia="仿宋_GB2312" w:cs="仿宋"/>
          <w:kern w:val="0"/>
          <w:sz w:val="32"/>
          <w:szCs w:val="32"/>
        </w:rPr>
        <w:t>推广运作规范的家政企业发展成功经验和员工制发展模式，鼓励家政企业规模化、连锁化、品牌化发展。健全职业培训制度，大力提升职业化水平，依托现有职业院校、职业技能培训机构，增设家政服务相关专业和培训项目，完善家政服务产教融合实训基地建设。建立完善家政企业和从业人员信用记录和信用档案，规范家政服务标准，提升家政服务水平。</w:t>
      </w:r>
    </w:p>
    <w:bookmarkEnd w:id="10"/>
    <w:bookmarkEnd w:id="11"/>
    <w:p>
      <w:pPr>
        <w:spacing w:after="156" w:afterLines="50"/>
        <w:jc w:val="center"/>
        <w:rPr>
          <w:rFonts w:ascii="黑体" w:hAnsi="黑体" w:eastAsia="黑体"/>
          <w:bCs/>
          <w:sz w:val="32"/>
          <w:szCs w:val="32"/>
        </w:rPr>
      </w:pPr>
      <w:r>
        <w:rPr>
          <w:rFonts w:hint="eastAsia" w:ascii="黑体" w:hAnsi="黑体" w:eastAsia="黑体"/>
          <w:bCs/>
          <w:sz w:val="32"/>
          <w:szCs w:val="32"/>
        </w:rPr>
        <w:t>第十一章  加快建设数字南阳</w:t>
      </w:r>
    </w:p>
    <w:p>
      <w:pPr>
        <w:spacing w:after="312" w:afterLines="100"/>
        <w:ind w:firstLine="640" w:firstLineChars="200"/>
        <w:rPr>
          <w:rFonts w:ascii="仿宋_GB2312" w:hAnsi="仿宋_GB2312" w:eastAsia="仿宋_GB2312" w:cs="仿宋_GB2312"/>
          <w:sz w:val="32"/>
          <w:szCs w:val="32"/>
        </w:rPr>
      </w:pPr>
      <w:r>
        <w:rPr>
          <w:rFonts w:hint="eastAsia" w:ascii="仿宋_GB2312" w:hAnsi="仿宋" w:eastAsia="仿宋_GB2312" w:cs="仿宋"/>
          <w:kern w:val="0"/>
          <w:sz w:val="32"/>
          <w:szCs w:val="32"/>
        </w:rPr>
        <w:t>推动数字产业化和产业数字化，促进数字经济和实体经济深度融合，催生新产业新业态新模式</w:t>
      </w:r>
      <w:r>
        <w:rPr>
          <w:rFonts w:hint="eastAsia" w:ascii="仿宋_GB2312" w:hAnsi="仿宋_GB2312" w:eastAsia="仿宋_GB2312" w:cs="仿宋_GB2312"/>
          <w:sz w:val="32"/>
          <w:szCs w:val="32"/>
        </w:rPr>
        <w:t>。</w:t>
      </w:r>
    </w:p>
    <w:p>
      <w:pPr>
        <w:spacing w:after="156" w:afterLines="50"/>
        <w:jc w:val="center"/>
        <w:rPr>
          <w:rFonts w:ascii="楷体_GB2312" w:hAnsi="仿宋_GB2312" w:eastAsia="楷体_GB2312" w:cs="仿宋_GB2312"/>
          <w:b/>
          <w:sz w:val="32"/>
          <w:szCs w:val="32"/>
        </w:rPr>
      </w:pPr>
      <w:r>
        <w:rPr>
          <w:rFonts w:hint="eastAsia" w:ascii="楷体_GB2312" w:hAnsi="仿宋_GB2312" w:eastAsia="楷体_GB2312" w:cs="仿宋_GB2312"/>
          <w:b/>
          <w:sz w:val="32"/>
          <w:szCs w:val="32"/>
        </w:rPr>
        <w:t>第一节  推进数字产业化发展</w:t>
      </w:r>
    </w:p>
    <w:p>
      <w:pPr>
        <w:spacing w:after="312" w:afterLines="100"/>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坚持以市场换产业，以资源汇项目，推动社会治理、农业农村、文化旅游等大数据产业的发展和应用。大力引进和培育大数据产业发展上下游企业，积极与数脑、数网、数纽、数链、数盾等独角兽企业沟通对接，助推我市特色大数据产业发展。加大对产业园政策支持力度，以中关村e谷（南阳）软件创新创业基地、白河大数据产业园等为载体，提升产业园数据汇聚、融合、处理、应用、交易、流通能力。紧盯新技术、新业态市场化发展方向，加快发展无人驾驶车载显示系统、安防系统、工业视觉系统、生物医疗检测设备和微显示投影设备、</w:t>
      </w:r>
      <w:r>
        <w:rPr>
          <w:rFonts w:ascii="仿宋_GB2312" w:hAnsi="仿宋_GB2312" w:eastAsia="仿宋_GB2312" w:cs="仿宋_GB2312"/>
          <w:sz w:val="32"/>
          <w:szCs w:val="32"/>
        </w:rPr>
        <w:t>LED</w:t>
      </w:r>
      <w:r>
        <w:rPr>
          <w:rFonts w:hint="eastAsia" w:ascii="仿宋_GB2312" w:hAnsi="仿宋_GB2312" w:eastAsia="仿宋_GB2312" w:cs="仿宋_GB2312"/>
          <w:sz w:val="32"/>
          <w:szCs w:val="32"/>
        </w:rPr>
        <w:t>显示及照明器件等高端产品。加快南阳柯丽尔智慧医疗产业园、卧龙综保区数字经济产业园建设。争取国家北斗导航位置服务河南分中心落户南阳。大力培育线上教育、互联网医疗、线上办公、数字化治理等线上服务新业态。推广线上线下融合服务，探索以物质生产资料数字化支撑共享共用，发展共享生活、共享生产、共享生产资料、数据要素流通等共享新模式。</w:t>
      </w:r>
    </w:p>
    <w:p>
      <w:pPr>
        <w:spacing w:after="312" w:afterLines="100"/>
        <w:jc w:val="center"/>
        <w:rPr>
          <w:rFonts w:ascii="楷体_GB2312" w:hAnsi="仿宋_GB2312" w:eastAsia="楷体_GB2312" w:cs="仿宋_GB2312"/>
          <w:b/>
          <w:sz w:val="32"/>
          <w:szCs w:val="32"/>
        </w:rPr>
      </w:pPr>
      <w:r>
        <w:rPr>
          <w:rFonts w:hint="eastAsia" w:ascii="楷体_GB2312" w:hAnsi="仿宋_GB2312" w:eastAsia="楷体_GB2312" w:cs="仿宋_GB2312"/>
          <w:b/>
          <w:sz w:val="32"/>
          <w:szCs w:val="32"/>
        </w:rPr>
        <w:t>第二节  推动产业数字化转型</w:t>
      </w:r>
    </w:p>
    <w:p>
      <w:pPr>
        <w:pStyle w:val="3"/>
        <w:keepNext w:val="0"/>
        <w:keepLines w:val="0"/>
        <w:spacing w:before="0" w:after="312" w:afterLines="100" w:line="620" w:lineRule="exact"/>
        <w:ind w:firstLine="640" w:firstLineChars="200"/>
        <w:rPr>
          <w:rFonts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拓展“数字+”“智能+”应用领域，推进企业“上云用数赋能”，打造“智能制造</w:t>
      </w:r>
      <w:r>
        <w:rPr>
          <w:rFonts w:ascii="仿宋_GB2312" w:hAnsi="仿宋_GB2312" w:eastAsia="仿宋_GB2312" w:cs="仿宋_GB2312"/>
          <w:b w:val="0"/>
          <w:bCs w:val="0"/>
          <w:kern w:val="2"/>
          <w:sz w:val="32"/>
          <w:szCs w:val="32"/>
        </w:rPr>
        <w:t>+</w:t>
      </w:r>
      <w:r>
        <w:rPr>
          <w:rFonts w:hint="eastAsia" w:ascii="仿宋_GB2312" w:hAnsi="仿宋_GB2312" w:eastAsia="仿宋_GB2312" w:cs="仿宋_GB2312"/>
          <w:b w:val="0"/>
          <w:bCs w:val="0"/>
          <w:kern w:val="2"/>
          <w:sz w:val="32"/>
          <w:szCs w:val="32"/>
        </w:rPr>
        <w:t>智能服务”全产业链，助推传统制造产业改造升级。加快高档数控机床、工业机器人、增材制造装备、智能传感与控制装备、智能检测与装配装备、智能物流与仓储装备等关键技术装备在生产过程的集成应用。加强5G、大数据、云计算、物联网、区块链等技术应用，发展数字农业、智慧物流，打造数字化转型企业标杆和典型应用场景。</w:t>
      </w:r>
    </w:p>
    <w:p>
      <w:pPr>
        <w:spacing w:after="312" w:afterLines="100" w:line="620" w:lineRule="exact"/>
        <w:jc w:val="center"/>
        <w:rPr>
          <w:rFonts w:ascii="楷体_GB2312" w:hAnsi="仿宋_GB2312" w:eastAsia="楷体_GB2312" w:cs="仿宋_GB2312"/>
          <w:b/>
          <w:kern w:val="0"/>
          <w:sz w:val="32"/>
          <w:szCs w:val="32"/>
          <w:shd w:val="clear" w:color="auto" w:fill="FFFFFF"/>
        </w:rPr>
      </w:pPr>
      <w:r>
        <w:rPr>
          <w:rFonts w:hint="eastAsia" w:ascii="楷体_GB2312" w:hAnsi="仿宋_GB2312" w:eastAsia="楷体_GB2312" w:cs="仿宋_GB2312"/>
          <w:b/>
          <w:kern w:val="0"/>
          <w:sz w:val="32"/>
          <w:szCs w:val="32"/>
          <w:shd w:val="clear" w:color="auto" w:fill="FFFFFF"/>
        </w:rPr>
        <w:t>第三节  加快数字政府建设</w:t>
      </w:r>
    </w:p>
    <w:p>
      <w:pPr>
        <w:spacing w:after="312" w:afterLines="100"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推动政务信息化共建共用，强化政务信息系统集约建设、整合优化和互联互通，推进跨层级、跨系统、跨部门、跨业务管理和服务精准高效协同。完善电子政务外网，推进云网整合，建成市数字政府云。提升一体化在线政务服务平台功能，加强政务服务移动端“宛美办”APP建设，打造“指尖政府”。推进政府管理服务数字化转型，强化数据驱动和整体协同，营造数字化发展生态，促进政府效能提升和数据资源价值实现。加强数据资源统一规范管理，扩大基础公共信息数据有序开放。构建数据安全综合防御体系，加强涉及国家利益、商业秘密、个人隐私的数据保护。建立健全适应数字化发展的监管服务体系，加强对数字化发展的规划引导、政策支撑和规范管理，营造审慎包容的数字化发展环境。鼓励发展数字经济新业态新模式，促进平台经济、共享经济健康发展。</w:t>
      </w:r>
    </w:p>
    <w:p>
      <w:pPr>
        <w:spacing w:after="312" w:afterLines="100" w:line="600" w:lineRule="exact"/>
        <w:jc w:val="center"/>
        <w:rPr>
          <w:rFonts w:ascii="楷体_GB2312" w:hAnsi="仿宋_GB2312" w:eastAsia="楷体_GB2312" w:cs="仿宋_GB2312"/>
          <w:b/>
          <w:kern w:val="0"/>
          <w:sz w:val="32"/>
          <w:szCs w:val="32"/>
          <w:shd w:val="clear" w:color="auto" w:fill="FFFFFF"/>
        </w:rPr>
      </w:pPr>
      <w:r>
        <w:rPr>
          <w:rFonts w:hint="eastAsia" w:ascii="楷体_GB2312" w:hAnsi="仿宋_GB2312" w:eastAsia="楷体_GB2312" w:cs="仿宋_GB2312"/>
          <w:b/>
          <w:kern w:val="0"/>
          <w:sz w:val="32"/>
          <w:szCs w:val="32"/>
          <w:shd w:val="clear" w:color="auto" w:fill="FFFFFF"/>
        </w:rPr>
        <w:t>第四节  加快新型智慧城市建设</w:t>
      </w:r>
    </w:p>
    <w:p>
      <w:pPr>
        <w:spacing w:after="312" w:afterLines="100" w:line="600" w:lineRule="exact"/>
        <w:jc w:val="left"/>
        <w:rPr>
          <w:rFonts w:ascii="仿宋_GB2312" w:hAnsi="仿宋" w:eastAsia="仿宋_GB2312" w:cs="仿宋"/>
          <w:sz w:val="32"/>
          <w:szCs w:val="32"/>
        </w:rPr>
      </w:pPr>
      <w:r>
        <w:rPr>
          <w:rFonts w:hint="eastAsia" w:ascii="仿宋_GB2312" w:hAnsi="仿宋_GB2312" w:eastAsia="仿宋_GB2312" w:cs="仿宋_GB2312"/>
          <w:sz w:val="32"/>
          <w:szCs w:val="32"/>
        </w:rPr>
        <w:t xml:space="preserve">    把社会应急、公共安全、政务服务管理、营商环境优化作为智慧城市建设的重点，优先建设智慧城市基础设施，同步开展前沿应用开发和建设。坚持市县一体统建为原则、特色应用为补充的指导思想，把县城纳入“智慧城市总体规划”，统一部署，统筹推进。</w:t>
      </w:r>
      <w:r>
        <w:rPr>
          <w:rFonts w:hint="eastAsia" w:ascii="仿宋_GB2312" w:hAnsi="仿宋" w:eastAsia="仿宋_GB2312" w:cs="仿宋"/>
          <w:sz w:val="32"/>
          <w:szCs w:val="32"/>
        </w:rPr>
        <w:t>建立健全大数据资产管理体系，推动全域智能化应用服务实时可见、即时可判、全域可控、全程可溯，打造集运行管理、决策指挥、交流展示为一体的智慧南阳调度中心。</w:t>
      </w:r>
      <w:r>
        <w:rPr>
          <w:rFonts w:hint="eastAsia" w:ascii="仿宋_GB2312" w:hAnsi="仿宋_GB2312" w:eastAsia="仿宋_GB2312" w:cs="仿宋_GB2312"/>
          <w:sz w:val="32"/>
          <w:szCs w:val="32"/>
        </w:rPr>
        <w:t>实施智慧公安、智慧安全、智慧应急、智慧消防、智慧交通、智慧城管、智慧监管等信息惠民工程</w:t>
      </w:r>
      <w:r>
        <w:rPr>
          <w:rFonts w:hint="eastAsia" w:ascii="仿宋_GB2312" w:hAnsi="仿宋" w:eastAsia="仿宋_GB2312" w:cs="仿宋"/>
          <w:sz w:val="32"/>
          <w:szCs w:val="32"/>
        </w:rPr>
        <w:t>。依托政务数据共享交换平台，接入全市各领域数据、视频、系统、热线服务电话等实时共享信息，实现城市运行管理实况实时更新、多维展现，有效提升城市运行监控预警、应急响应和跨领域协同能力。建设“城市门户APP”和城市一卡通。</w:t>
      </w:r>
    </w:p>
    <w:p>
      <w:pPr>
        <w:spacing w:after="312" w:afterLines="100" w:line="600" w:lineRule="exact"/>
        <w:jc w:val="center"/>
        <w:rPr>
          <w:rFonts w:ascii="黑体" w:hAnsi="黑体" w:eastAsia="黑体"/>
          <w:bCs/>
          <w:sz w:val="32"/>
          <w:szCs w:val="32"/>
        </w:rPr>
      </w:pPr>
      <w:r>
        <w:rPr>
          <w:rFonts w:hint="eastAsia" w:ascii="黑体" w:hAnsi="黑体" w:eastAsia="黑体"/>
          <w:bCs/>
          <w:sz w:val="32"/>
          <w:szCs w:val="32"/>
        </w:rPr>
        <w:t>第十二章 建设高能级产业载体</w:t>
      </w:r>
    </w:p>
    <w:p>
      <w:pPr>
        <w:spacing w:after="312" w:afterLines="100" w:line="610" w:lineRule="exact"/>
        <w:ind w:firstLine="640" w:firstLineChars="200"/>
        <w:rPr>
          <w:rFonts w:ascii="仿宋_GB2312" w:hAnsi="仿宋" w:eastAsia="仿宋_GB2312" w:cs="仿宋"/>
          <w:kern w:val="0"/>
          <w:sz w:val="32"/>
          <w:szCs w:val="32"/>
        </w:rPr>
      </w:pPr>
      <w:r>
        <w:rPr>
          <w:rFonts w:hint="eastAsia" w:ascii="仿宋_GB2312" w:hAnsi="仿宋" w:eastAsia="仿宋_GB2312" w:cs="仿宋"/>
          <w:kern w:val="0"/>
          <w:sz w:val="32"/>
          <w:szCs w:val="32"/>
        </w:rPr>
        <w:t>坚持改革创新、绿色集约、特色发展，增强产业集聚区和服务业“两区”综合载体功能，打造产业高质量发展和产城融合先行区。</w:t>
      </w:r>
    </w:p>
    <w:p>
      <w:pPr>
        <w:spacing w:after="312" w:afterLines="100" w:line="610" w:lineRule="exact"/>
        <w:jc w:val="center"/>
        <w:rPr>
          <w:rFonts w:ascii="楷体_GB2312" w:hAnsi="仿宋" w:eastAsia="楷体_GB2312" w:cs="仿宋"/>
          <w:b/>
          <w:kern w:val="0"/>
          <w:sz w:val="32"/>
          <w:szCs w:val="32"/>
        </w:rPr>
      </w:pPr>
      <w:r>
        <w:rPr>
          <w:rFonts w:hint="eastAsia" w:ascii="楷体_GB2312" w:hAnsi="仿宋" w:eastAsia="楷体_GB2312" w:cs="仿宋"/>
          <w:b/>
          <w:kern w:val="0"/>
          <w:sz w:val="32"/>
          <w:szCs w:val="32"/>
        </w:rPr>
        <w:t>第一节  全面推进产业集聚区“二次创业”</w:t>
      </w:r>
    </w:p>
    <w:p>
      <w:pPr>
        <w:spacing w:after="312" w:afterLines="100" w:line="61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推进产业集聚区体制机制创新，增强内生动力和发展活力。按照产业布局相对集中原则，围绕“主新特”产业，优化产业集聚区功能定位，在现有产业集聚区基础上谋划建设“主新特”专业园区，在中心城区规划建设现代中药、生物制品等一批产业专业园区。加大产业引育，完善产业配套，在产业集聚区布局一批技术研发转化、检验检测认证等产业平台。推进智能化示范园区建设。大力实施重点企业培育计划，设立产业发展基金，建设产业创新服务综合体，加快构建“创新平台</w:t>
      </w:r>
      <w:r>
        <w:rPr>
          <w:rFonts w:ascii="仿宋_GB2312" w:hAnsi="仿宋_GB2312" w:eastAsia="仿宋_GB2312" w:cs="仿宋_GB2312"/>
          <w:kern w:val="0"/>
          <w:sz w:val="32"/>
          <w:szCs w:val="32"/>
          <w:shd w:val="clear" w:color="auto" w:fill="FFFFFF"/>
        </w:rPr>
        <w:t>-孵化器-加速器-产业园区”一体的产业生态</w:t>
      </w:r>
      <w:r>
        <w:rPr>
          <w:rFonts w:hint="eastAsia" w:ascii="仿宋_GB2312" w:hAnsi="仿宋_GB2312" w:eastAsia="仿宋_GB2312" w:cs="仿宋_GB2312"/>
          <w:kern w:val="0"/>
          <w:sz w:val="32"/>
          <w:szCs w:val="32"/>
          <w:shd w:val="clear" w:color="auto" w:fill="FFFFFF"/>
        </w:rPr>
        <w:t>。以提升亩均收益为导向开展“百园增效”行动，健全闲置用地盘活利用和低效用地退出机制，结合产业集聚区企业分类综合评价结果，实施差异化资源要素配置政策，加快腾笼换鸟，提升产出效益水平。支持有条件的产业集聚区创建国家级、省级经济技术开发区。</w:t>
      </w:r>
    </w:p>
    <w:p>
      <w:pPr>
        <w:spacing w:after="312" w:afterLines="100" w:line="610" w:lineRule="exact"/>
        <w:jc w:val="center"/>
        <w:rPr>
          <w:rFonts w:ascii="楷体_GB2312" w:hAnsi="仿宋" w:eastAsia="楷体_GB2312" w:cs="仿宋"/>
          <w:b/>
          <w:kern w:val="0"/>
          <w:sz w:val="32"/>
          <w:szCs w:val="32"/>
        </w:rPr>
      </w:pPr>
      <w:r>
        <w:rPr>
          <w:rFonts w:hint="eastAsia" w:ascii="楷体_GB2312" w:hAnsi="仿宋" w:eastAsia="楷体_GB2312" w:cs="仿宋"/>
          <w:b/>
          <w:kern w:val="0"/>
          <w:sz w:val="32"/>
          <w:szCs w:val="32"/>
        </w:rPr>
        <w:t>第二节  加快服务业“两区”转型发展</w:t>
      </w:r>
    </w:p>
    <w:p>
      <w:pPr>
        <w:spacing w:after="312" w:afterLines="100" w:line="610" w:lineRule="exact"/>
        <w:ind w:firstLine="640" w:firstLineChars="200"/>
        <w:rPr>
          <w:rFonts w:ascii="仿宋_GB2312" w:hAnsi="仿宋" w:eastAsia="仿宋_GB2312" w:cs="仿宋"/>
          <w:kern w:val="0"/>
          <w:sz w:val="32"/>
          <w:szCs w:val="32"/>
        </w:rPr>
      </w:pPr>
      <w:r>
        <w:rPr>
          <w:rFonts w:hint="eastAsia" w:ascii="仿宋_GB2312" w:hAnsi="仿宋" w:eastAsia="仿宋_GB2312" w:cs="仿宋"/>
          <w:kern w:val="0"/>
          <w:sz w:val="32"/>
          <w:szCs w:val="32"/>
        </w:rPr>
        <w:t>优化商务中心区和服务业专业园区空间布局，精准产业定位，强化承载功能，推进创新型企业培育和重点项目建设，推动产业发展壮大。市商务中心区大力发展总部经济、电子商务、现代金融，推动各类商务服务机构集聚，形成一批区域高端商务服务平台。县商务中心区围绕产业升级，发展研发、设计、检测、投融资、人力资源等服务业，持续提升要素吸附和产业承载能力。强化现代物流、交易市场等生产性服务业与产业集聚区联动发展，推动公共平台升级、市场主体壮大、体制机制创新，形成产业特色鲜明、高端要素集聚、区域辐射能力强、配套功能完善的服务业专业园区。</w:t>
      </w:r>
    </w:p>
    <w:p>
      <w:pPr>
        <w:pStyle w:val="9"/>
        <w:spacing w:after="312" w:afterLines="100" w:line="600" w:lineRule="exact"/>
        <w:jc w:val="center"/>
        <w:rPr>
          <w:rFonts w:ascii="方正小标宋简体" w:hAnsi="黑体" w:eastAsia="方正小标宋简体"/>
          <w:sz w:val="32"/>
          <w:szCs w:val="32"/>
        </w:rPr>
      </w:pPr>
      <w:r>
        <w:rPr>
          <w:rFonts w:hint="eastAsia" w:ascii="方正小标宋简体" w:hAnsi="黑体" w:eastAsia="方正小标宋简体"/>
          <w:sz w:val="32"/>
          <w:szCs w:val="32"/>
        </w:rPr>
        <w:t>第四篇   全面实施乡村振兴战略，促进农业农村现代化</w:t>
      </w:r>
    </w:p>
    <w:p>
      <w:pPr>
        <w:spacing w:after="312" w:afterLines="100" w:line="610" w:lineRule="exact"/>
        <w:ind w:firstLine="640" w:firstLineChars="200"/>
        <w:rPr>
          <w:rFonts w:ascii="仿宋_GB2312" w:hAnsi="仿宋" w:eastAsia="仿宋_GB2312" w:cs="仿宋"/>
          <w:kern w:val="0"/>
          <w:sz w:val="32"/>
          <w:szCs w:val="32"/>
        </w:rPr>
      </w:pPr>
      <w:bookmarkStart w:id="12" w:name="_Toc27387681"/>
      <w:r>
        <w:rPr>
          <w:rFonts w:hint="eastAsia" w:ascii="仿宋_GB2312" w:hAnsi="仿宋" w:eastAsia="仿宋_GB2312" w:cs="仿宋"/>
          <w:kern w:val="0"/>
          <w:sz w:val="32"/>
          <w:szCs w:val="32"/>
        </w:rPr>
        <w:t>坚持农业农村优先发展，全面推进乡村振兴，强化以工补农、以城带乡，推动形成工农互促、城乡互补、协调发展、共同繁荣的新型工农城乡关系，加快农业农村现代化，建设现代农业强市。</w:t>
      </w:r>
    </w:p>
    <w:p>
      <w:pPr>
        <w:pStyle w:val="4"/>
        <w:spacing w:after="312" w:afterLines="100"/>
        <w:ind w:firstLine="0" w:firstLineChars="0"/>
        <w:jc w:val="center"/>
        <w:rPr>
          <w:rFonts w:ascii="黑体" w:hAnsi="黑体" w:cs="仿宋"/>
          <w:bCs/>
          <w:szCs w:val="32"/>
        </w:rPr>
      </w:pPr>
      <w:r>
        <w:rPr>
          <w:rFonts w:hint="eastAsia" w:ascii="黑体" w:hAnsi="黑体" w:cs="仿宋"/>
          <w:bCs/>
          <w:szCs w:val="32"/>
        </w:rPr>
        <w:t xml:space="preserve">第十三章  </w:t>
      </w:r>
      <w:bookmarkEnd w:id="12"/>
      <w:r>
        <w:rPr>
          <w:rFonts w:ascii="黑体" w:hAnsi="黑体" w:cs="楷体_GB2312"/>
          <w:bCs/>
          <w:szCs w:val="32"/>
        </w:rPr>
        <w:t>扛稳粮食安全政治责任</w:t>
      </w:r>
    </w:p>
    <w:p>
      <w:pPr>
        <w:pStyle w:val="4"/>
        <w:spacing w:after="312" w:afterLines="100"/>
        <w:ind w:firstLine="640"/>
        <w:jc w:val="both"/>
        <w:rPr>
          <w:rFonts w:ascii="仿宋_GB2312" w:hAnsi="仿宋" w:eastAsia="仿宋_GB2312" w:cs="仿宋"/>
          <w:b/>
          <w:szCs w:val="32"/>
        </w:rPr>
      </w:pPr>
      <w:r>
        <w:rPr>
          <w:rFonts w:hint="eastAsia" w:ascii="仿宋_GB2312" w:hAnsi="仿宋" w:eastAsia="仿宋_GB2312" w:cs="仿宋"/>
          <w:szCs w:val="32"/>
        </w:rPr>
        <w:t>把确保重要农产品特别是粮食供给作为乡村振兴的首要任务</w:t>
      </w:r>
      <w:r>
        <w:rPr>
          <w:rFonts w:hint="eastAsia" w:ascii="仿宋_GB2312" w:hAnsi="仿宋_GB2312" w:eastAsia="仿宋_GB2312" w:cs="仿宋_GB2312"/>
          <w:szCs w:val="32"/>
        </w:rPr>
        <w:t>，打造新时期国家粮食生产核心主产区，推动我市由粮食生产大市向粮食产业强市转变</w:t>
      </w:r>
      <w:r>
        <w:rPr>
          <w:rFonts w:hint="eastAsia" w:ascii="仿宋_GB2312" w:hAnsi="仿宋" w:eastAsia="仿宋_GB2312" w:cs="仿宋"/>
          <w:szCs w:val="32"/>
        </w:rPr>
        <w:t>。</w:t>
      </w:r>
    </w:p>
    <w:p>
      <w:pPr>
        <w:pStyle w:val="4"/>
        <w:spacing w:after="312" w:afterLines="100"/>
        <w:ind w:firstLine="0" w:firstLineChars="0"/>
        <w:jc w:val="center"/>
        <w:rPr>
          <w:rFonts w:ascii="楷体_GB2312" w:hAnsi="仿宋" w:eastAsia="楷体_GB2312" w:cs="仿宋"/>
          <w:b/>
          <w:szCs w:val="32"/>
        </w:rPr>
      </w:pPr>
      <w:r>
        <w:rPr>
          <w:rFonts w:hint="eastAsia" w:ascii="楷体_GB2312" w:hAnsi="仿宋" w:eastAsia="楷体_GB2312" w:cs="仿宋"/>
          <w:b/>
          <w:szCs w:val="32"/>
        </w:rPr>
        <w:t>第一节  加大耕地保护力度</w:t>
      </w:r>
    </w:p>
    <w:p>
      <w:pPr>
        <w:pStyle w:val="4"/>
        <w:tabs>
          <w:tab w:val="left" w:pos="312"/>
        </w:tabs>
        <w:spacing w:after="312" w:afterLines="100"/>
        <w:ind w:firstLine="627" w:firstLineChars="196"/>
        <w:jc w:val="both"/>
        <w:rPr>
          <w:rFonts w:ascii="仿宋_GB2312" w:hAnsi="仿宋_GB2312" w:eastAsia="仿宋_GB2312" w:cs="仿宋_GB2312"/>
          <w:szCs w:val="32"/>
        </w:rPr>
      </w:pPr>
      <w:r>
        <w:rPr>
          <w:rFonts w:hint="eastAsia" w:ascii="仿宋_GB2312" w:hAnsi="仿宋_GB2312" w:eastAsia="仿宋_GB2312" w:cs="仿宋_GB2312"/>
          <w:szCs w:val="32"/>
        </w:rPr>
        <w:t>探索推行“田长制”，落实最严格的耕地保护制度，采取“长牙齿”的硬措施，严守耕地红线，坚决制止耕地“非农化”、防止“非粮化”，确保全市耕地保有量在1283万亩以上，永久基本农田保护面积不低于1078万亩。加强耕地质量监测体系建设，完善耕地保护利益补偿机制，持续提升耕地质量。进一步完善土壤综合信息化平台和预警预测机制，及时反映耕地质量动态变化趋势。开展耕地质量定向培育，大力推广秸秆覆盖还田、增施有机肥、种植绿肥等地力提升技术模式，积极推广深耕深松等保护性耕作措施，推进农机农艺融合，着力改善土壤结构，提高耕地基础地力，提升耕地质量。</w:t>
      </w:r>
    </w:p>
    <w:p>
      <w:pPr>
        <w:pStyle w:val="4"/>
        <w:spacing w:after="312" w:afterLines="100"/>
        <w:ind w:firstLine="0" w:firstLineChars="0"/>
        <w:jc w:val="center"/>
        <w:rPr>
          <w:rFonts w:ascii="楷体_GB2312" w:hAnsi="仿宋" w:eastAsia="楷体_GB2312" w:cs="仿宋"/>
          <w:b/>
          <w:szCs w:val="32"/>
        </w:rPr>
      </w:pPr>
      <w:r>
        <w:rPr>
          <w:rFonts w:hint="eastAsia" w:ascii="楷体_GB2312" w:hAnsi="仿宋" w:eastAsia="楷体_GB2312" w:cs="仿宋"/>
          <w:b/>
          <w:szCs w:val="32"/>
        </w:rPr>
        <w:t>第二节  加快高标准农田建设</w:t>
      </w:r>
    </w:p>
    <w:p>
      <w:pPr>
        <w:pStyle w:val="4"/>
        <w:spacing w:after="312" w:afterLines="100"/>
        <w:ind w:firstLine="640"/>
        <w:jc w:val="both"/>
        <w:rPr>
          <w:rFonts w:ascii="仿宋_GB2312" w:hAnsi="仿宋" w:eastAsia="仿宋_GB2312" w:cs="仿宋"/>
          <w:szCs w:val="32"/>
        </w:rPr>
      </w:pPr>
      <w:r>
        <w:rPr>
          <w:rFonts w:hint="eastAsia" w:ascii="仿宋_GB2312" w:hAnsi="仿宋_GB2312" w:eastAsia="仿宋_GB2312" w:cs="仿宋_GB2312"/>
          <w:szCs w:val="32"/>
        </w:rPr>
        <w:t>深入实施“藏粮于地、藏粮于技”战略，加快推进高标准农田建设。加大农业水利设施建设力度，持续改善农田基础设施薄弱环节和灌排设施，构建大中小微结合、骨干和田间衔接、长期发挥效益的农田水利基础设施网络，推进智慧水利建设，发展高效节水灌溉，深化农业水价综合改革。</w:t>
      </w:r>
      <w:r>
        <w:rPr>
          <w:rFonts w:hint="eastAsia" w:ascii="仿宋_GB2312" w:hAnsi="仿宋" w:eastAsia="仿宋_GB2312" w:cs="仿宋"/>
          <w:szCs w:val="32"/>
        </w:rPr>
        <w:t>加强粮食生产功能区、重要农产品生产保护区和绿色农产品优势区建设。支持产粮大县开展高标准农田建设新增耕地指标跨区域调剂使用。</w:t>
      </w:r>
    </w:p>
    <w:p>
      <w:pPr>
        <w:pStyle w:val="4"/>
        <w:spacing w:after="312" w:afterLines="100"/>
        <w:ind w:firstLine="0" w:firstLineChars="0"/>
        <w:jc w:val="center"/>
        <w:rPr>
          <w:rFonts w:ascii="楷体_GB2312" w:hAnsi="仿宋" w:eastAsia="楷体_GB2312" w:cs="仿宋"/>
          <w:b/>
          <w:szCs w:val="32"/>
        </w:rPr>
      </w:pPr>
      <w:r>
        <w:rPr>
          <w:rFonts w:hint="eastAsia" w:ascii="楷体_GB2312" w:hAnsi="仿宋" w:eastAsia="楷体_GB2312" w:cs="仿宋"/>
          <w:b/>
          <w:szCs w:val="32"/>
        </w:rPr>
        <w:t>第三节  优化农业种植结构</w:t>
      </w:r>
    </w:p>
    <w:p>
      <w:pPr>
        <w:pStyle w:val="4"/>
        <w:spacing w:after="312" w:afterLines="100"/>
        <w:ind w:firstLine="640"/>
        <w:jc w:val="both"/>
        <w:rPr>
          <w:rFonts w:ascii="仿宋_GB2312" w:hAnsi="仿宋" w:eastAsia="仿宋_GB2312" w:cs="仿宋"/>
          <w:szCs w:val="32"/>
        </w:rPr>
      </w:pPr>
      <w:r>
        <w:rPr>
          <w:rFonts w:hint="eastAsia" w:ascii="仿宋_GB2312" w:hAnsi="仿宋_GB2312" w:eastAsia="仿宋_GB2312" w:cs="仿宋_GB2312"/>
          <w:szCs w:val="32"/>
        </w:rPr>
        <w:t>稳定粮食补贴、保险、奖励等支持政策，</w:t>
      </w:r>
      <w:r>
        <w:rPr>
          <w:rFonts w:hint="eastAsia" w:ascii="仿宋_GB2312" w:hAnsi="仿宋" w:eastAsia="仿宋_GB2312" w:cs="仿宋"/>
          <w:szCs w:val="32"/>
        </w:rPr>
        <w:t>引导种粮大户、家庭农场、农民合作社、龙头企业等新型农业经营主体发展。规模化发展优质中筋、强筋专用小麦，整建制推进小麦高产创建。调优玉米种植结构，适当压缩普通玉米面积，选择牛羊饲养基础好的县(市)，依托牛羊产业化龙头企业，扩大全株青贮玉米种植面积，推动牛羊饲养从籽粒饲喂向全株青贮饲喂适度转变，推广高赖氨酸玉米、高油玉米等加工专用品种。推广玉米大豆轮作、小麦大豆轮作或玉米大豆间作套种，推广种植优质高蛋白食用大豆，适当恢复大豆种植面积。开展杂粮杂豆适应性种植，扩大芝麻、红薯、绿豆等有区域特色的杂粮杂豆种植面积。</w:t>
      </w:r>
    </w:p>
    <w:p>
      <w:pPr>
        <w:pStyle w:val="4"/>
        <w:spacing w:after="312" w:afterLines="100"/>
        <w:ind w:firstLine="0" w:firstLineChars="0"/>
        <w:jc w:val="center"/>
        <w:rPr>
          <w:rFonts w:ascii="黑体" w:hAnsi="黑体" w:cs="仿宋"/>
          <w:bCs/>
          <w:szCs w:val="32"/>
        </w:rPr>
      </w:pPr>
      <w:r>
        <w:rPr>
          <w:rFonts w:hint="eastAsia" w:ascii="黑体" w:hAnsi="黑体" w:cs="仿宋"/>
          <w:bCs/>
          <w:szCs w:val="32"/>
        </w:rPr>
        <w:t>第十四章  提高农业质量效益和竞争力</w:t>
      </w:r>
    </w:p>
    <w:p>
      <w:pPr>
        <w:pStyle w:val="4"/>
        <w:spacing w:after="312" w:afterLines="100"/>
        <w:ind w:firstLine="640"/>
        <w:jc w:val="both"/>
        <w:rPr>
          <w:rFonts w:ascii="仿宋_GB2312" w:hAnsi="仿宋" w:eastAsia="仿宋_GB2312" w:cs="仿宋"/>
          <w:szCs w:val="32"/>
        </w:rPr>
      </w:pPr>
      <w:r>
        <w:rPr>
          <w:rFonts w:hint="eastAsia" w:ascii="仿宋_GB2312" w:hAnsi="仿宋" w:eastAsia="仿宋_GB2312" w:cs="仿宋"/>
          <w:szCs w:val="32"/>
        </w:rPr>
        <w:t>坚持绿色兴农、质量兴农、品牌强农，深入推进农业供给侧结构性改革，持续实施“三千四特”工程，推动农业高质量发展。</w:t>
      </w:r>
    </w:p>
    <w:p>
      <w:pPr>
        <w:pStyle w:val="4"/>
        <w:spacing w:after="312" w:afterLines="100"/>
        <w:ind w:firstLine="0" w:firstLineChars="0"/>
        <w:jc w:val="center"/>
        <w:rPr>
          <w:rFonts w:ascii="楷体_GB2312" w:hAnsi="仿宋" w:eastAsia="楷体_GB2312" w:cs="仿宋"/>
          <w:b/>
          <w:szCs w:val="32"/>
        </w:rPr>
      </w:pPr>
      <w:r>
        <w:rPr>
          <w:rFonts w:hint="eastAsia" w:ascii="楷体_GB2312" w:hAnsi="仿宋" w:eastAsia="楷体_GB2312" w:cs="仿宋"/>
          <w:b/>
          <w:szCs w:val="32"/>
        </w:rPr>
        <w:t>第一节  打造全国生猪全链条生产加工基地</w:t>
      </w:r>
    </w:p>
    <w:p>
      <w:pPr>
        <w:spacing w:after="312" w:afterLines="100" w:line="600" w:lineRule="exact"/>
        <w:ind w:firstLine="640" w:firstLineChars="200"/>
        <w:rPr>
          <w:rFonts w:ascii="仿宋_GB2312" w:eastAsia="仿宋_GB2312" w:cs="仿宋"/>
          <w:kern w:val="0"/>
          <w:sz w:val="32"/>
          <w:szCs w:val="32"/>
        </w:rPr>
      </w:pPr>
      <w:r>
        <w:rPr>
          <w:rFonts w:hint="eastAsia" w:ascii="仿宋_GB2312" w:hAnsi="仿宋_GB2312" w:eastAsia="仿宋_GB2312" w:cs="仿宋_GB2312"/>
          <w:sz w:val="32"/>
          <w:szCs w:val="32"/>
        </w:rPr>
        <w:t>抢抓生猪产业升级重大机遇，加快推进牧原集团在南阳市域内“百场千万”工程建设，配套建设饲料加工、生猪屠宰、食品加工、装备制造等项目，形成生猪养殖2000万头、产值1500亿元以上的肉食产业集群。以建设全球猪肉食品链链长为目标，加快发展生猪养殖上游的农牧装备产业和下游的肉食品加工产业，打通从饲料加工、种猪育种、养殖到生猪屠宰、肉食品加工以及配套的物流、冷链、金融等现代猪产业全链条各环节，建设食品产业园、养猪产业大数据云中心、农牧装备制造园、智能装备制造园、生物制品生产、疫病检测等产业园区、工程技术研究中心和重点实验室，将南阳建成全国最大的肉食品生产加工基地。</w:t>
      </w:r>
      <w:r>
        <w:rPr>
          <w:rFonts w:ascii="仿宋_GB2312" w:eastAsia="仿宋_GB2312" w:cs="仿宋"/>
          <w:kern w:val="0"/>
          <w:sz w:val="32"/>
          <w:szCs w:val="32"/>
        </w:rPr>
        <w:t xml:space="preserve"> </w:t>
      </w:r>
    </w:p>
    <w:p>
      <w:pPr>
        <w:pStyle w:val="4"/>
        <w:spacing w:after="312" w:afterLines="100"/>
        <w:ind w:firstLine="0" w:firstLineChars="0"/>
        <w:jc w:val="center"/>
        <w:rPr>
          <w:rFonts w:ascii="楷体_GB2312" w:hAnsi="仿宋" w:eastAsia="楷体_GB2312" w:cs="仿宋"/>
          <w:b/>
          <w:szCs w:val="32"/>
        </w:rPr>
      </w:pPr>
      <w:r>
        <w:rPr>
          <w:rFonts w:hint="eastAsia" w:ascii="楷体_GB2312" w:hAnsi="仿宋" w:eastAsia="楷体_GB2312" w:cs="仿宋"/>
          <w:b/>
          <w:szCs w:val="32"/>
        </w:rPr>
        <w:t>第二节  大力发展现代种业</w:t>
      </w:r>
    </w:p>
    <w:p>
      <w:pPr>
        <w:pStyle w:val="4"/>
        <w:tabs>
          <w:tab w:val="left" w:pos="312"/>
        </w:tabs>
        <w:spacing w:after="312" w:afterLines="100"/>
        <w:ind w:firstLine="627" w:firstLineChars="196"/>
        <w:jc w:val="both"/>
        <w:rPr>
          <w:rFonts w:ascii="宋体" w:hAnsi="宋体"/>
        </w:rPr>
      </w:pPr>
      <w:r>
        <w:rPr>
          <w:rFonts w:hint="eastAsia" w:ascii="仿宋_GB2312" w:hAnsi="仿宋" w:eastAsia="仿宋_GB2312" w:cs="仿宋"/>
          <w:szCs w:val="32"/>
        </w:rPr>
        <w:t>开展种业基础性、公益性科研推广平台建设，支持有条件的育繁推一体化种业企业建设育种研发实验室，加快国家农作物新品种区域试验站建设。支持市农科院、南阳农业职业学院等农业科研院所开展“四优”（优质小麦、优质花生、优质草畜、优质林果）和主要特色农产品新品种研发选育。拓展与西北农林科技大学合作成果，深化草腐菌、玉兰、月季科研合作。实施种业提升工程，开展农作物、畜禽、水产等资源保护和育种创新，推进南阳月季种质资源保护项目建设，加快邓州全国杂交小麦育种创新基地、唐河良种繁育基地、南召辛夷种质基因库、卧龙良种基因资源保护组培库、皮南牛新品种培育推广开发利用项目等建设，积极培育现代种业龙头企业，提升现代种业发展水平。</w:t>
      </w:r>
    </w:p>
    <w:p>
      <w:pPr>
        <w:pStyle w:val="4"/>
        <w:spacing w:after="312" w:afterLines="100"/>
        <w:ind w:firstLine="0" w:firstLineChars="0"/>
        <w:jc w:val="center"/>
        <w:rPr>
          <w:rFonts w:ascii="楷体_GB2312" w:hAnsi="仿宋" w:eastAsia="楷体_GB2312" w:cs="仿宋"/>
          <w:b/>
          <w:szCs w:val="32"/>
        </w:rPr>
      </w:pPr>
      <w:r>
        <w:rPr>
          <w:rFonts w:hint="eastAsia" w:ascii="楷体_GB2312" w:hAnsi="仿宋" w:eastAsia="楷体_GB2312" w:cs="仿宋"/>
          <w:b/>
          <w:szCs w:val="32"/>
        </w:rPr>
        <w:t>第三节   加快农村产业融合发展</w:t>
      </w:r>
    </w:p>
    <w:p>
      <w:pPr>
        <w:pStyle w:val="4"/>
        <w:tabs>
          <w:tab w:val="left" w:pos="312"/>
        </w:tabs>
        <w:spacing w:after="312" w:afterLines="100" w:line="580" w:lineRule="exact"/>
        <w:ind w:firstLine="627" w:firstLineChars="196"/>
        <w:jc w:val="both"/>
        <w:rPr>
          <w:rFonts w:ascii="仿宋_GB2312" w:hAnsi="仿宋_GB2312" w:eastAsia="仿宋_GB2312" w:cs="仿宋_GB2312"/>
          <w:szCs w:val="32"/>
        </w:rPr>
      </w:pPr>
      <w:r>
        <w:rPr>
          <w:rFonts w:hint="eastAsia" w:ascii="仿宋_GB2312" w:hAnsi="仿宋_GB2312" w:eastAsia="仿宋_GB2312" w:cs="仿宋_GB2312"/>
          <w:szCs w:val="32"/>
        </w:rPr>
        <w:t>推动农村一二三产业融合发展，延长农业产业链条，发展各具特色的现代乡村富民产业。巩固发展粮食、油料、畜牧、蔬菜四大基础产业，壮大提升食用菌、花卉苗木、中药材、林果四大特色产业。坚持“粮头食尾”“农头工尾”，大力发展农产品精深加工，扶持培育农业产业化龙头企业，延伸产业链、提升价值链、打造供应链，发展壮大肉、面、油、乳、酒、果蔬菌制品等产业集群。做大做强现代高效畜牧业。抓好长江（汉江）流域禁捕工作，促进水产健康养殖。加大科技投入和资金、人才支持力度，大力发展绿色有机农业，争创全国农产品质量安全市。做好商标、地理标识和气候好产品培育，积极推动优势产业纳入全省农产品品牌战略。加快现代化农业产业园建设，打造农业现代化示范区。做大做强月季产业，推进南阳月季博览园功能拓展和规模能级提升。丰富乡村经济业态，壮大休闲农业、乡村旅游、民宿经济等特色产业。加强农产品仓储保鲜和冷链物流设施建设。推动“农业+旅</w:t>
      </w:r>
      <w:r>
        <w:rPr>
          <w:rFonts w:ascii="仿宋_GB2312" w:hAnsi="仿宋_GB2312" w:eastAsia="仿宋_GB2312" w:cs="仿宋_GB2312"/>
          <w:szCs w:val="32"/>
        </w:rPr>
        <w:t>游”“农业+教育”“农业+文化”“农业+康养”深度融合</w:t>
      </w:r>
      <w:r>
        <w:rPr>
          <w:rFonts w:hint="eastAsia" w:ascii="仿宋_GB2312" w:hAnsi="仿宋_GB2312" w:eastAsia="仿宋_GB2312" w:cs="仿宋_GB2312"/>
          <w:szCs w:val="32"/>
        </w:rPr>
        <w:t>，拓展农民增收空间。支持邓州打造全域一二三产业融合发展示范区。</w:t>
      </w:r>
    </w:p>
    <w:p>
      <w:pPr>
        <w:pStyle w:val="4"/>
        <w:spacing w:after="312" w:afterLines="100" w:line="580" w:lineRule="exact"/>
        <w:ind w:firstLine="0" w:firstLineChars="0"/>
        <w:jc w:val="center"/>
        <w:rPr>
          <w:rFonts w:ascii="楷体_GB2312" w:hAnsi="仿宋" w:eastAsia="楷体_GB2312" w:cs="仿宋"/>
          <w:b/>
          <w:szCs w:val="32"/>
        </w:rPr>
      </w:pPr>
      <w:bookmarkStart w:id="13" w:name="_Toc27387682"/>
      <w:r>
        <w:rPr>
          <w:rFonts w:hint="eastAsia" w:ascii="楷体_GB2312" w:hAnsi="仿宋" w:eastAsia="楷体_GB2312" w:cs="仿宋"/>
          <w:b/>
          <w:szCs w:val="32"/>
        </w:rPr>
        <w:t>第四节  完善现代农业服务支撑体系</w:t>
      </w:r>
    </w:p>
    <w:p>
      <w:pPr>
        <w:pStyle w:val="4"/>
        <w:tabs>
          <w:tab w:val="left" w:pos="312"/>
        </w:tabs>
        <w:spacing w:after="312" w:afterLines="100" w:line="580" w:lineRule="exact"/>
        <w:ind w:firstLine="627" w:firstLineChars="196"/>
        <w:jc w:val="both"/>
        <w:rPr>
          <w:rFonts w:ascii="仿宋_GB2312" w:hAnsi="仿宋_GB2312" w:eastAsia="仿宋_GB2312" w:cs="仿宋_GB2312"/>
          <w:szCs w:val="32"/>
        </w:rPr>
      </w:pPr>
      <w:r>
        <w:rPr>
          <w:rFonts w:hint="eastAsia" w:ascii="仿宋_GB2312" w:hAnsi="仿宋_GB2312" w:eastAsia="仿宋_GB2312" w:cs="仿宋_GB2312"/>
          <w:szCs w:val="32"/>
        </w:rPr>
        <w:t>加强农技推广体系建设，健全农技推广投入、保障、激励和管理等机制，完善以市级农技推广机构为龙头、县级为骨干、乡镇为支撑、村级为补充的四级新型农业科技服务体系。推进农业机械化转型升级，实现主要作物生产全程机械化，发展畜禽水产机械化养殖，系统推进设施农业和农产品初加工机械化。发展农机合作社等新型农机服务组织，推广“全程机械化+综合农事服务”社会化服务模式。加强动物疫病防控和农作物病虫害防治。建立健全农业信息化综合服务平台，打通农业科技信息服务“最后一公里”。推进智慧气象建设，健全农业气象灾害防治体系，强化现代气象为农服务。</w:t>
      </w:r>
    </w:p>
    <w:bookmarkEnd w:id="13"/>
    <w:p>
      <w:pPr>
        <w:pStyle w:val="4"/>
        <w:spacing w:after="312" w:afterLines="100" w:line="580" w:lineRule="exact"/>
        <w:ind w:firstLine="0" w:firstLineChars="0"/>
        <w:jc w:val="center"/>
        <w:rPr>
          <w:rFonts w:ascii="黑体" w:hAnsi="黑体" w:cs="仿宋"/>
          <w:szCs w:val="32"/>
        </w:rPr>
      </w:pPr>
      <w:bookmarkStart w:id="14" w:name="_Toc27387683"/>
      <w:r>
        <w:rPr>
          <w:rFonts w:hint="eastAsia" w:ascii="黑体" w:hAnsi="黑体" w:cs="仿宋"/>
          <w:szCs w:val="32"/>
        </w:rPr>
        <w:t xml:space="preserve">第十五章  </w:t>
      </w:r>
      <w:bookmarkEnd w:id="14"/>
      <w:r>
        <w:rPr>
          <w:rFonts w:hint="eastAsia" w:ascii="黑体" w:hAnsi="黑体" w:cs="仿宋"/>
          <w:szCs w:val="32"/>
        </w:rPr>
        <w:t>实施乡村建设行动</w:t>
      </w:r>
    </w:p>
    <w:p>
      <w:pPr>
        <w:pStyle w:val="4"/>
        <w:spacing w:after="312" w:afterLines="100"/>
        <w:ind w:firstLine="640"/>
        <w:rPr>
          <w:rFonts w:ascii="仿宋_GB2312" w:hAnsi="仿宋" w:eastAsia="仿宋_GB2312" w:cs="仿宋"/>
          <w:b/>
          <w:szCs w:val="32"/>
        </w:rPr>
      </w:pPr>
      <w:r>
        <w:rPr>
          <w:rFonts w:hint="eastAsia" w:ascii="仿宋_GB2312" w:hAnsi="仿宋" w:eastAsia="仿宋_GB2312" w:cs="仿宋"/>
          <w:szCs w:val="32"/>
        </w:rPr>
        <w:t>统筹县域城镇和村庄规划建设，一体推进乡村环境整治、设施改造、乡风塑造和治理创新，全面提升乡村生态宜居水平。</w:t>
      </w:r>
    </w:p>
    <w:p>
      <w:pPr>
        <w:pStyle w:val="4"/>
        <w:spacing w:after="312" w:afterLines="100"/>
        <w:ind w:firstLine="0" w:firstLineChars="0"/>
        <w:jc w:val="center"/>
        <w:rPr>
          <w:rFonts w:ascii="楷体_GB2312" w:hAnsi="仿宋" w:eastAsia="楷体_GB2312" w:cs="仿宋"/>
          <w:b/>
          <w:szCs w:val="32"/>
        </w:rPr>
      </w:pPr>
      <w:r>
        <w:rPr>
          <w:rFonts w:hint="eastAsia" w:ascii="楷体_GB2312" w:hAnsi="仿宋" w:eastAsia="楷体_GB2312" w:cs="仿宋"/>
          <w:b/>
          <w:szCs w:val="32"/>
        </w:rPr>
        <w:t>第一节  加快农村基础设施和公共服务设施建设</w:t>
      </w:r>
    </w:p>
    <w:p>
      <w:pPr>
        <w:pStyle w:val="4"/>
        <w:spacing w:after="312" w:afterLines="100"/>
        <w:ind w:firstLine="640"/>
        <w:jc w:val="both"/>
        <w:rPr>
          <w:rFonts w:ascii="仿宋_GB2312" w:hAnsi="仿宋" w:eastAsia="仿宋_GB2312" w:cs="仿宋"/>
          <w:szCs w:val="32"/>
        </w:rPr>
      </w:pPr>
      <w:r>
        <w:rPr>
          <w:rFonts w:hint="eastAsia" w:ascii="仿宋_GB2312" w:hAnsi="仿宋" w:eastAsia="仿宋_GB2312" w:cs="仿宋"/>
          <w:szCs w:val="32"/>
        </w:rPr>
        <w:t>统筹县乡国土空间规划编制，保障乡村用地合理空间和乡村产业发展用地。突出农村交通运输、能源保障、农村饮水、宽带网络等重点，加快补齐农村基础设施短板，逐步建立全域覆盖、普惠共享、城乡一体的基础设施服务网络。推进“四好农村路”建设工程，支持更多具备条件的县市区争创全国示范。实现乡镇建成区天然气主管网全覆盖，因地制宜推进分布式能源系统建设。实施农村饮水安全巩固提升行动，提高农村自来水供应保障能力。推进数字乡村建设，实施光纤到村工程，全面提供千兆光纤接入服务。加强乡村小规模学校和农村寄宿制学校建设。推动乡镇卫生院、村卫生室建设和服务能力全面达标，发展多种形式的乡镇养老服务机构。健全乡村公共文化体系，加强基层综合性文化服务中心建设，推动乡村健身设施全覆盖。</w:t>
      </w:r>
    </w:p>
    <w:p>
      <w:pPr>
        <w:pStyle w:val="4"/>
        <w:spacing w:after="312" w:afterLines="100"/>
        <w:ind w:firstLine="0" w:firstLineChars="0"/>
        <w:jc w:val="center"/>
        <w:rPr>
          <w:rFonts w:ascii="楷体_GB2312" w:hAnsi="仿宋" w:eastAsia="楷体_GB2312" w:cs="仿宋"/>
          <w:b/>
          <w:szCs w:val="32"/>
        </w:rPr>
      </w:pPr>
      <w:r>
        <w:rPr>
          <w:rFonts w:hint="eastAsia" w:ascii="楷体_GB2312" w:hAnsi="仿宋" w:eastAsia="楷体_GB2312" w:cs="仿宋"/>
          <w:b/>
          <w:szCs w:val="32"/>
        </w:rPr>
        <w:t>第二节  持续改善农村人居环境</w:t>
      </w:r>
    </w:p>
    <w:p>
      <w:pPr>
        <w:pStyle w:val="4"/>
        <w:spacing w:after="312" w:afterLines="100"/>
        <w:ind w:firstLine="640"/>
        <w:jc w:val="both"/>
        <w:rPr>
          <w:rFonts w:ascii="仿宋_GB2312" w:hAnsi="仿宋" w:eastAsia="仿宋_GB2312" w:cs="仿宋"/>
          <w:szCs w:val="32"/>
        </w:rPr>
      </w:pPr>
      <w:r>
        <w:rPr>
          <w:rFonts w:hint="eastAsia" w:ascii="仿宋_GB2312" w:hAnsi="仿宋" w:eastAsia="仿宋_GB2312" w:cs="仿宋"/>
          <w:szCs w:val="32"/>
        </w:rPr>
        <w:t>合理确定村庄布局分类，有序推进撤村并居。</w:t>
      </w:r>
      <w:bookmarkStart w:id="15" w:name="_Toc27387684"/>
      <w:r>
        <w:rPr>
          <w:rFonts w:hint="eastAsia" w:ascii="仿宋_GB2312" w:hAnsi="仿宋" w:eastAsia="仿宋_GB2312" w:cs="仿宋"/>
          <w:szCs w:val="32"/>
        </w:rPr>
        <w:t>持续推进农村人居环境整治提升行动，扎实开展“四美乡村”示范创建，深入实施村庄清洁和乡村绿化美化，整体提升村容村貌。实施农村坑塘综合整治。因地制宜推进农村“厕所革命”，实现农村卫生厕所基本普及、厕所粪污基本得到处理。全面推进农村生活垃圾治理，建立健全覆盖全域的市场化农村垃圾收运处置体系，鼓励有条件的地方加快推进农村生活垃圾分类。逐步推进农村生活污水治理，有效管控乱排乱放。推进现代宜居新农房建设，提升农房建设质量。加强乡村风貌引导，促进乡村形态与自然环境、传统文化相得益彰。实施历史文化名村名镇和传统村落、民居保护。</w:t>
      </w:r>
    </w:p>
    <w:p>
      <w:pPr>
        <w:pStyle w:val="4"/>
        <w:spacing w:after="312" w:afterLines="100"/>
        <w:ind w:firstLine="0" w:firstLineChars="0"/>
        <w:jc w:val="center"/>
        <w:rPr>
          <w:rFonts w:ascii="楷体_GB2312" w:hAnsi="仿宋" w:eastAsia="楷体_GB2312" w:cs="仿宋"/>
          <w:b/>
          <w:bCs/>
          <w:szCs w:val="32"/>
        </w:rPr>
      </w:pPr>
      <w:r>
        <w:rPr>
          <w:rFonts w:hint="eastAsia" w:ascii="楷体_GB2312" w:hAnsi="仿宋" w:eastAsia="楷体_GB2312" w:cs="仿宋"/>
          <w:b/>
          <w:bCs/>
          <w:szCs w:val="32"/>
        </w:rPr>
        <w:t>第三节  建设文明善治乡村</w:t>
      </w:r>
    </w:p>
    <w:p>
      <w:pPr>
        <w:pStyle w:val="4"/>
        <w:spacing w:after="312" w:afterLines="100"/>
        <w:ind w:firstLine="640"/>
        <w:jc w:val="both"/>
        <w:rPr>
          <w:rFonts w:ascii="仿宋_GB2312" w:hAnsi="仿宋" w:eastAsia="仿宋_GB2312" w:cs="仿宋"/>
          <w:szCs w:val="32"/>
        </w:rPr>
      </w:pPr>
      <w:r>
        <w:rPr>
          <w:rFonts w:hint="eastAsia" w:ascii="仿宋_GB2312" w:hAnsi="仿宋" w:eastAsia="仿宋_GB2312" w:cs="仿宋"/>
          <w:szCs w:val="32"/>
        </w:rPr>
        <w:t>坚持乡镇工作“三结合”，加强农村基层党组织建设，选优配强乡镇领导班子、村“两委”成员特别是村党支部书记，健全选派驻村第一书记长效机制，持续整顿软弱涣散村党组织。深化拓展“四议两公开”工作法，健全党组织领导下的村级议事协商制度，加强村级权力有效监督。加强农村思想道德建设，推动农村移风易俗，推动“一约四会”普遍覆盖，弘扬农村优秀文化，实现80%以上的乡镇和行政村达到县级以上文明村镇标准。加大高素质农民培养力度，提高农民科技文化水平。深入推进平安乡村建设，持续开展民主法治村镇示范创建。</w:t>
      </w:r>
    </w:p>
    <w:p>
      <w:pPr>
        <w:pStyle w:val="4"/>
        <w:spacing w:after="312" w:afterLines="100"/>
        <w:ind w:firstLine="0" w:firstLineChars="0"/>
        <w:jc w:val="center"/>
        <w:rPr>
          <w:rFonts w:ascii="黑体" w:hAnsi="黑体" w:cs="仿宋"/>
          <w:szCs w:val="32"/>
        </w:rPr>
      </w:pPr>
      <w:r>
        <w:rPr>
          <w:rFonts w:hint="eastAsia" w:ascii="黑体" w:hAnsi="黑体" w:cs="仿宋"/>
          <w:szCs w:val="32"/>
        </w:rPr>
        <w:t>第十六章  健全城乡融合发展机制</w:t>
      </w:r>
    </w:p>
    <w:p>
      <w:pPr>
        <w:pStyle w:val="4"/>
        <w:spacing w:after="312" w:afterLines="100"/>
        <w:ind w:firstLine="640"/>
        <w:jc w:val="both"/>
        <w:rPr>
          <w:rFonts w:ascii="仿宋_GB2312" w:hAnsi="仿宋" w:eastAsia="仿宋_GB2312" w:cs="仿宋"/>
          <w:szCs w:val="32"/>
        </w:rPr>
      </w:pPr>
      <w:r>
        <w:rPr>
          <w:rFonts w:hint="eastAsia" w:ascii="仿宋_GB2312" w:hAnsi="仿宋" w:eastAsia="仿宋_GB2312" w:cs="仿宋"/>
          <w:szCs w:val="32"/>
        </w:rPr>
        <w:t>坚持走城乡融合发展的乡村振兴之路，促进城乡要素自由流动、平等交换和公共资源合理配置，</w:t>
      </w:r>
      <w:r>
        <w:rPr>
          <w:rFonts w:hint="eastAsia" w:ascii="仿宋_GB2312" w:hAnsi="仿宋_GB2312" w:eastAsia="仿宋_GB2312" w:cs="仿宋_GB2312"/>
          <w:szCs w:val="32"/>
        </w:rPr>
        <w:t>增强农业农村发展活力</w:t>
      </w:r>
      <w:r>
        <w:rPr>
          <w:rFonts w:hint="eastAsia" w:ascii="仿宋_GB2312" w:hAnsi="仿宋" w:eastAsia="仿宋_GB2312" w:cs="仿宋"/>
          <w:szCs w:val="32"/>
        </w:rPr>
        <w:t>，缩小城乡发展差距和居民生活水平差距</w:t>
      </w:r>
      <w:r>
        <w:rPr>
          <w:rFonts w:hint="eastAsia" w:ascii="仿宋_GB2312" w:hAnsi="仿宋_GB2312" w:eastAsia="仿宋_GB2312" w:cs="仿宋_GB2312"/>
          <w:szCs w:val="32"/>
        </w:rPr>
        <w:t>。</w:t>
      </w:r>
    </w:p>
    <w:p>
      <w:pPr>
        <w:pStyle w:val="4"/>
        <w:spacing w:after="312" w:afterLines="100"/>
        <w:ind w:firstLine="0" w:firstLineChars="0"/>
        <w:jc w:val="center"/>
        <w:rPr>
          <w:rFonts w:ascii="楷体_GB2312" w:hAnsi="仿宋" w:eastAsia="楷体_GB2312" w:cs="仿宋"/>
          <w:b/>
          <w:szCs w:val="32"/>
        </w:rPr>
      </w:pPr>
      <w:r>
        <w:rPr>
          <w:rFonts w:hint="eastAsia" w:ascii="楷体_GB2312" w:hAnsi="仿宋" w:eastAsia="楷体_GB2312" w:cs="仿宋"/>
          <w:b/>
          <w:szCs w:val="32"/>
        </w:rPr>
        <w:t>第一节  深化农村改革</w:t>
      </w:r>
    </w:p>
    <w:p>
      <w:pPr>
        <w:pStyle w:val="4"/>
        <w:spacing w:after="312" w:afterLines="100"/>
        <w:ind w:firstLine="640"/>
        <w:jc w:val="both"/>
        <w:rPr>
          <w:rFonts w:ascii="仿宋_GB2312" w:hAnsi="仿宋" w:eastAsia="仿宋_GB2312" w:cs="仿宋"/>
          <w:szCs w:val="32"/>
        </w:rPr>
      </w:pPr>
      <w:r>
        <w:rPr>
          <w:rFonts w:hint="eastAsia" w:ascii="仿宋_GB2312" w:hAnsi="仿宋_GB2312" w:eastAsia="仿宋_GB2312" w:cs="仿宋_GB2312"/>
          <w:szCs w:val="32"/>
        </w:rPr>
        <w:t>巩固和完善农村基本经营制度，落实第二轮土地承包到期后再延长三十年政策，深化农村承包地“三权分置”改革。积极探索实施农村集体经营性建设用地入市制度。建立土地征收公共利益用地认定机制。探索宅基地所有权、资格权、使用权分置实现形式。推进房地一体的农村集体建设用地和宅基地使用权确权登记发证。加快培育农民合作社、家庭农场、农业产业化联合体，健全农业专业化社会化服务体系，发展多种形式适度规模经营，实现小农户和现代农业有机衔接。保障进城落户农民土地承包权、宅基地使用权、集体收益分配权，鼓励依法自愿有偿转让。深化农村集体产权制度改革，创新完善农村集体经济实现形式和运行机制，积极推进资源变资产、资金变股金、农民变股东。</w:t>
      </w:r>
    </w:p>
    <w:p>
      <w:pPr>
        <w:pStyle w:val="4"/>
        <w:spacing w:after="312" w:afterLines="100"/>
        <w:ind w:firstLine="0" w:firstLineChars="0"/>
        <w:jc w:val="center"/>
        <w:rPr>
          <w:rFonts w:ascii="楷体_GB2312" w:hAnsi="仿宋" w:eastAsia="楷体_GB2312" w:cs="仿宋"/>
          <w:b/>
          <w:szCs w:val="32"/>
        </w:rPr>
      </w:pPr>
      <w:r>
        <w:rPr>
          <w:rFonts w:hint="eastAsia" w:ascii="楷体_GB2312" w:hAnsi="仿宋" w:eastAsia="楷体_GB2312" w:cs="仿宋"/>
          <w:b/>
          <w:szCs w:val="32"/>
        </w:rPr>
        <w:t>第二节  加强农业农村发展要素保障</w:t>
      </w:r>
    </w:p>
    <w:p>
      <w:pPr>
        <w:pStyle w:val="4"/>
        <w:spacing w:after="312" w:afterLines="100" w:line="620" w:lineRule="exact"/>
        <w:ind w:firstLine="640"/>
        <w:rPr>
          <w:rFonts w:ascii="仿宋_GB2312" w:hAnsi="仿宋_GB2312" w:eastAsia="仿宋_GB2312" w:cs="仿宋_GB2312"/>
          <w:szCs w:val="32"/>
        </w:rPr>
      </w:pPr>
      <w:r>
        <w:rPr>
          <w:rFonts w:hint="eastAsia" w:ascii="仿宋_GB2312" w:hAnsi="仿宋" w:eastAsia="仿宋_GB2312" w:cs="仿宋"/>
          <w:szCs w:val="32"/>
        </w:rPr>
        <w:t>健全农业农村投入保障制度，完善落实各项财政支农惠农政策。健全吸引人才返乡入乡留乡机制，深入实施乡土人才联络回归工程，推进返乡创业示范项目建设，打通城乡人才交流通道。健全农村金融服务体系，提高普惠金融农村覆盖面。创新农村金融模式，建立县域金融机构服务“三农”激励约束机制。推进农业保险扩面增品提标，鼓励发展优势特色农产品保险。引导互联网借贷、移动支付、互联网理财等互联网金融在农村规范发展。推广农村承包土地经营权抵押贷款，探索开展农村宅基地抵押贷款。鼓励和引导工商资本发展农民参与度高、受益面广的乡村产业。深化供销合作社综合改革，完善服务农民生产生活综合平台功能。</w:t>
      </w:r>
    </w:p>
    <w:p>
      <w:pPr>
        <w:pStyle w:val="4"/>
        <w:spacing w:before="156" w:beforeLines="50" w:after="312" w:afterLines="100"/>
        <w:ind w:firstLine="0" w:firstLineChars="0"/>
        <w:jc w:val="center"/>
        <w:rPr>
          <w:rFonts w:ascii="黑体" w:hAnsi="黑体" w:cs="仿宋"/>
          <w:bCs/>
          <w:szCs w:val="32"/>
        </w:rPr>
      </w:pPr>
      <w:r>
        <w:rPr>
          <w:rFonts w:hint="eastAsia" w:ascii="黑体" w:hAnsi="黑体" w:cs="仿宋"/>
          <w:bCs/>
          <w:szCs w:val="32"/>
        </w:rPr>
        <w:t>第十七章 实现巩固拓展脱贫攻坚成果同乡村振兴有效衔接</w:t>
      </w:r>
    </w:p>
    <w:p>
      <w:pPr>
        <w:pStyle w:val="4"/>
        <w:spacing w:after="312" w:afterLines="100"/>
        <w:ind w:firstLine="640"/>
        <w:jc w:val="both"/>
        <w:rPr>
          <w:rFonts w:ascii="仿宋_GB2312" w:hAnsi="仿宋_GB2312" w:eastAsia="仿宋_GB2312" w:cs="仿宋_GB2312"/>
          <w:szCs w:val="32"/>
        </w:rPr>
      </w:pPr>
      <w:r>
        <w:rPr>
          <w:rFonts w:hint="eastAsia" w:ascii="仿宋_GB2312" w:hAnsi="仿宋_GB2312" w:eastAsia="仿宋_GB2312" w:cs="仿宋_GB2312"/>
          <w:szCs w:val="32"/>
        </w:rPr>
        <w:t>推动减贫战略和工作体系平稳转型，严格落实“四个不摘”要求，建立健全巩固脱贫攻坚成果长效机制，保持过渡期间主要帮扶政策总体稳定。健全防止返贫动态监测和帮扶机制，确保已脱贫人口不返贫、易致贫人口不入贫。持续抓好产业帮扶、就业帮扶、易地扶贫搬迁后续帮扶工作，持续开展消费帮扶。加强扶贫项目资金资产管理和监督。推动特色产业可持续发展。健全农村社会保障和救助制度，巩固提升农村特困群体“四集中”、防贫堵贫保险等兜底保障成效，实现应保尽保、应兜尽兜。做好脱贫人口稳岗就业，加强扶志扶智，加大职业培训和劳务输出力度，优化公益岗位政策。积极推广以工代赈方式，加大以工代赈投入，扩大实施范围和受益对象。在脱贫县集中支持一批乡村振兴重点帮扶乡镇，增强其巩固脱贫成果及内生发展动力。充分运用脱贫攻坚成功经验推动乡村振兴，实现脱贫攻坚与乡村振兴在规划、政策、产业、组织和人才等方面有效衔接。</w:t>
      </w:r>
    </w:p>
    <w:bookmarkEnd w:id="15"/>
    <w:tbl>
      <w:tblPr>
        <w:tblStyle w:val="23"/>
        <w:tblW w:w="83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9" w:hRule="atLeast"/>
          <w:jc w:val="center"/>
        </w:trPr>
        <w:tc>
          <w:tcPr>
            <w:tcW w:w="8387" w:type="dxa"/>
            <w:vAlign w:val="center"/>
          </w:tcPr>
          <w:p>
            <w:pPr>
              <w:adjustRightInd w:val="0"/>
              <w:snapToGrid w:val="0"/>
              <w:spacing w:line="600" w:lineRule="exact"/>
              <w:jc w:val="center"/>
              <w:rPr>
                <w:rFonts w:ascii="黑体" w:hAnsi="黑体" w:eastAsia="黑体"/>
                <w:sz w:val="30"/>
                <w:szCs w:val="30"/>
              </w:rPr>
            </w:pPr>
            <w:r>
              <w:rPr>
                <w:rFonts w:hint="eastAsia" w:ascii="黑体" w:hAnsi="黑体" w:eastAsia="黑体"/>
                <w:bCs/>
                <w:sz w:val="30"/>
                <w:szCs w:val="30"/>
              </w:rPr>
              <w:t>专栏4：乡村振兴重大工程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387" w:type="dxa"/>
            <w:vAlign w:val="center"/>
          </w:tcPr>
          <w:p>
            <w:pPr>
              <w:pStyle w:val="55"/>
              <w:spacing w:line="480" w:lineRule="exact"/>
              <w:ind w:firstLine="562"/>
              <w:rPr>
                <w:rFonts w:ascii="仿宋_GB2312" w:eastAsia="仿宋_GB2312"/>
                <w:bCs/>
                <w:sz w:val="28"/>
                <w:szCs w:val="28"/>
              </w:rPr>
            </w:pPr>
            <w:r>
              <w:rPr>
                <w:rFonts w:hint="eastAsia" w:ascii="仿宋_GB2312" w:eastAsia="仿宋_GB2312"/>
                <w:b/>
                <w:bCs/>
                <w:sz w:val="28"/>
                <w:szCs w:val="28"/>
              </w:rPr>
              <w:t>1.现代农业八大产业化集群。</w:t>
            </w:r>
            <w:r>
              <w:rPr>
                <w:rFonts w:hint="eastAsia" w:ascii="仿宋_GB2312" w:eastAsia="仿宋_GB2312"/>
                <w:bCs/>
                <w:sz w:val="28"/>
                <w:szCs w:val="28"/>
              </w:rPr>
              <w:t>抓好以牧原生猪为龙头，正大食品、黄志牧业、东嘉农牧、科尔沁肉牛、丰园禽业、众益食业等为骨干的肉食产业化集群；以想念面业为龙头，曹氏百川、久友面粉、三源粮油、吉祥结粮油等为支撑的粮食产业化集群；以仲景香菇酱为龙头，家家宝食品、百菌园生态农业、九顺达实业、康润源食品等为支撑的食用菌产业化集群；以宛西制药为龙头，福森药业、国医仲景艾草、芝元堂药业等为支撑的中药材产业化集群；以南阳月季基地为龙头，新艺木业、锦天园林、东方茧丝绸、丹峰山茶叶、昌宇农林等为支撑的林产品产业集群；以恒利康为龙头，果然风情、满义农业、三乐元仁和康源等为支撑的果蔬产业化集群；以三色鸽为龙头，盛全农牧、新太阳乳业、健羊牧业等为支撑的乳制品产业化集群；以赊店老酒为龙头，南召武士特酿、养生殿酒业、邓州光照酒业、新野龙潭黄酒为支撑的酒业产业集群。</w:t>
            </w:r>
          </w:p>
          <w:p>
            <w:pPr>
              <w:pStyle w:val="55"/>
              <w:spacing w:line="480" w:lineRule="exact"/>
              <w:ind w:firstLine="562"/>
              <w:rPr>
                <w:rFonts w:ascii="仿宋_GB2312" w:eastAsia="仿宋_GB2312"/>
                <w:bCs/>
                <w:sz w:val="28"/>
                <w:szCs w:val="28"/>
              </w:rPr>
            </w:pPr>
            <w:r>
              <w:rPr>
                <w:rFonts w:hint="eastAsia" w:ascii="仿宋_GB2312" w:eastAsia="仿宋_GB2312"/>
                <w:b/>
                <w:bCs/>
                <w:sz w:val="28"/>
                <w:szCs w:val="28"/>
              </w:rPr>
              <w:t>2.五大新型业态。</w:t>
            </w:r>
            <w:r>
              <w:rPr>
                <w:rFonts w:hint="eastAsia" w:ascii="仿宋_GB2312" w:eastAsia="仿宋_GB2312"/>
                <w:bCs/>
                <w:sz w:val="28"/>
                <w:szCs w:val="28"/>
              </w:rPr>
              <w:t>培育休闲旅游、文化体验、康养农业、创意农业、农村电商等新业态，推动农业与旅游、文化、教育、医疗、养老等产业深度融合。</w:t>
            </w:r>
          </w:p>
          <w:p>
            <w:pPr>
              <w:pStyle w:val="55"/>
              <w:spacing w:line="480" w:lineRule="exact"/>
              <w:ind w:firstLine="562"/>
              <w:rPr>
                <w:rFonts w:ascii="仿宋_GB2312" w:eastAsia="仿宋_GB2312"/>
                <w:bCs/>
              </w:rPr>
            </w:pPr>
            <w:r>
              <w:rPr>
                <w:rFonts w:hint="eastAsia" w:ascii="仿宋_GB2312" w:eastAsia="仿宋_GB2312"/>
                <w:b/>
                <w:bCs/>
                <w:sz w:val="28"/>
                <w:szCs w:val="28"/>
              </w:rPr>
              <w:t>3.农村人居环境整治。</w:t>
            </w:r>
            <w:r>
              <w:rPr>
                <w:rFonts w:hint="eastAsia" w:ascii="仿宋_GB2312" w:eastAsia="仿宋_GB2312"/>
                <w:bCs/>
                <w:sz w:val="28"/>
                <w:szCs w:val="28"/>
              </w:rPr>
              <w:t>规划建设一批静脉产业园，扩大垃圾集中焚烧处理能力。推进垃圾源头分类减量和资源化利用，开展农村生活垃圾分类试点。推动厕所进院入室。推进乡镇污水处理厂及配套管网建设，推行农村污水处理统一规划、统一建设、统一管理，逐步推广“1”个管控运营中心和城市、乡镇、农村社区、行政村、居民点“5”级污水处理的“1+5”城乡污水处理运营管理模式。</w:t>
            </w:r>
          </w:p>
        </w:tc>
      </w:tr>
    </w:tbl>
    <w:p>
      <w:pPr>
        <w:pStyle w:val="9"/>
        <w:spacing w:after="0" w:line="62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第五篇  加强现代化基础设施体系建设，增强区域</w:t>
      </w:r>
    </w:p>
    <w:p>
      <w:pPr>
        <w:pStyle w:val="9"/>
        <w:spacing w:after="0" w:line="62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综合竞争优势</w:t>
      </w:r>
    </w:p>
    <w:p>
      <w:pPr>
        <w:snapToGrid w:val="0"/>
        <w:spacing w:before="312" w:beforeLines="100" w:after="312" w:afterLines="100" w:line="620" w:lineRule="exact"/>
        <w:ind w:firstLine="641"/>
        <w:rPr>
          <w:rFonts w:ascii="仿宋_GB2312" w:eastAsia="仿宋_GB2312" w:cs="仿宋_GB2312"/>
          <w:kern w:val="0"/>
          <w:sz w:val="32"/>
          <w:szCs w:val="32"/>
          <w:shd w:val="clear" w:color="auto" w:fill="FFFFFF"/>
        </w:rPr>
      </w:pPr>
      <w:r>
        <w:rPr>
          <w:rFonts w:hint="eastAsia" w:ascii="仿宋_GB2312" w:eastAsia="仿宋_GB2312" w:cs="仿宋_GB2312"/>
          <w:kern w:val="0"/>
          <w:sz w:val="32"/>
          <w:szCs w:val="32"/>
          <w:shd w:val="clear" w:color="auto" w:fill="FFFFFF"/>
        </w:rPr>
        <w:t>坚持适度超前、整体优化、协同融合，持续强化现代交通、能源、水利、信息网络等基础设施建设，</w:t>
      </w:r>
      <w:r>
        <w:rPr>
          <w:rFonts w:hint="eastAsia" w:ascii="仿宋_GB2312" w:hAnsi="仿宋_GB2312" w:eastAsia="仿宋_GB2312" w:cs="仿宋_GB2312"/>
          <w:sz w:val="32"/>
          <w:szCs w:val="32"/>
        </w:rPr>
        <w:t>构建系统完备、高效实用、智能绿色、安全可靠的现代化基础设施体系</w:t>
      </w:r>
      <w:r>
        <w:rPr>
          <w:rFonts w:hint="eastAsia" w:ascii="仿宋_GB2312" w:eastAsia="仿宋_GB2312"/>
          <w:sz w:val="32"/>
          <w:szCs w:val="32"/>
        </w:rPr>
        <w:t>。</w:t>
      </w:r>
    </w:p>
    <w:p>
      <w:pPr>
        <w:widowControl/>
        <w:shd w:val="clear" w:color="auto" w:fill="FFFFFF"/>
        <w:snapToGrid w:val="0"/>
        <w:spacing w:after="312" w:afterLines="100" w:line="620" w:lineRule="exact"/>
        <w:jc w:val="center"/>
        <w:rPr>
          <w:rFonts w:ascii="黑体" w:hAnsi="黑体" w:eastAsia="黑体" w:cs="黑体"/>
          <w:bCs/>
          <w:kern w:val="0"/>
          <w:sz w:val="32"/>
          <w:szCs w:val="32"/>
        </w:rPr>
      </w:pPr>
      <w:r>
        <w:rPr>
          <w:rFonts w:hint="eastAsia" w:ascii="黑体" w:hAnsi="黑体" w:eastAsia="黑体" w:cs="黑体"/>
          <w:bCs/>
          <w:kern w:val="0"/>
          <w:sz w:val="32"/>
          <w:szCs w:val="32"/>
        </w:rPr>
        <w:t>第十八章  加快全国性综合交通枢纽建设</w:t>
      </w:r>
    </w:p>
    <w:p>
      <w:pPr>
        <w:widowControl/>
        <w:shd w:val="clear" w:color="auto" w:fill="FFFFFF"/>
        <w:snapToGrid w:val="0"/>
        <w:spacing w:after="312" w:afterLines="100"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统筹“空铁公水”四位一体建设，</w:t>
      </w:r>
      <w:r>
        <w:rPr>
          <w:rFonts w:hint="eastAsia" w:ascii="仿宋_GB2312" w:hAnsi="仿宋_GB2312" w:eastAsia="仿宋_GB2312" w:cs="仿宋_GB2312"/>
          <w:kern w:val="0"/>
          <w:sz w:val="32"/>
          <w:szCs w:val="32"/>
        </w:rPr>
        <w:t>建立适应全国性综合交通枢纽的规划、投资、管理体制机制，</w:t>
      </w:r>
      <w:r>
        <w:rPr>
          <w:rFonts w:hint="eastAsia" w:ascii="仿宋_GB2312" w:hAnsi="仿宋_GB2312" w:eastAsia="仿宋_GB2312" w:cs="仿宋_GB2312"/>
          <w:sz w:val="32"/>
          <w:szCs w:val="32"/>
        </w:rPr>
        <w:t>着力构建布局合理、功能完善、内捷外畅、安全高效的现代交通体系。</w:t>
      </w:r>
    </w:p>
    <w:p>
      <w:pPr>
        <w:widowControl/>
        <w:shd w:val="clear" w:color="auto" w:fill="FFFFFF"/>
        <w:snapToGrid w:val="0"/>
        <w:spacing w:after="312" w:afterLines="100" w:line="620" w:lineRule="exact"/>
        <w:jc w:val="center"/>
        <w:rPr>
          <w:rFonts w:ascii="楷体_GB2312" w:hAnsi="仿宋" w:eastAsia="楷体_GB2312"/>
          <w:b/>
          <w:sz w:val="32"/>
          <w:szCs w:val="32"/>
        </w:rPr>
      </w:pPr>
      <w:r>
        <w:rPr>
          <w:rFonts w:hint="eastAsia" w:ascii="楷体_GB2312" w:hAnsi="仿宋" w:eastAsia="楷体_GB2312"/>
          <w:b/>
          <w:sz w:val="32"/>
          <w:szCs w:val="32"/>
        </w:rPr>
        <w:t>第一节  积极推进航空网建设</w:t>
      </w:r>
    </w:p>
    <w:p>
      <w:pPr>
        <w:spacing w:after="312" w:afterLines="100"/>
        <w:ind w:firstLine="643"/>
        <w:rPr>
          <w:rFonts w:ascii="仿宋_GB2312" w:hAnsi="仿宋_GB2312" w:eastAsia="仿宋_GB2312" w:cs="仿宋_GB2312"/>
          <w:sz w:val="32"/>
          <w:szCs w:val="32"/>
        </w:rPr>
      </w:pPr>
      <w:r>
        <w:rPr>
          <w:rFonts w:hint="eastAsia" w:ascii="仿宋_GB2312" w:hAnsi="仿宋_GB2312" w:eastAsia="仿宋_GB2312" w:cs="仿宋_GB2312"/>
          <w:sz w:val="32"/>
          <w:szCs w:val="32"/>
        </w:rPr>
        <w:t>争取南阳机场迁建项目纳入国家民航“十四五”发展规划并开工建设，打造集人流、物流为一体的国际航空港，规划建设空港经济区。不断完善航空运输网络，加密覆盖京津冀、长三角、粤港澳、成渝城市群主要城市的航线网络布局。申请开放航空口岸，力争开通国际（地区）航线航班。到2025年旅客吞吐量力争突破300万人次。加快通用航空产业发展，推进南阳通用航空产业群项目，规划建设鸭河、镇平等通用机场，大力发展配套产业，因地制宜拓展通航+运营、通航+旅游、通航+制造、通航+物流等功能模块。</w:t>
      </w:r>
    </w:p>
    <w:p>
      <w:pPr>
        <w:widowControl/>
        <w:shd w:val="clear" w:color="auto" w:fill="FFFFFF"/>
        <w:snapToGrid w:val="0"/>
        <w:spacing w:after="312" w:afterLines="100" w:line="600" w:lineRule="exact"/>
        <w:jc w:val="center"/>
        <w:rPr>
          <w:rFonts w:ascii="楷体_GB2312" w:hAnsi="仿宋" w:eastAsia="楷体_GB2312"/>
          <w:b/>
          <w:sz w:val="32"/>
          <w:szCs w:val="32"/>
        </w:rPr>
      </w:pPr>
      <w:r>
        <w:rPr>
          <w:rFonts w:hint="eastAsia" w:ascii="楷体_GB2312" w:hAnsi="仿宋" w:eastAsia="楷体_GB2312"/>
          <w:b/>
          <w:sz w:val="32"/>
          <w:szCs w:val="32"/>
        </w:rPr>
        <w:t>第二节  全面推进铁路网建设</w:t>
      </w:r>
    </w:p>
    <w:p>
      <w:pPr>
        <w:spacing w:after="312" w:afterLines="100"/>
        <w:ind w:firstLine="643"/>
        <w:rPr>
          <w:rFonts w:ascii="仿宋_GB2312" w:hAnsi="仿宋_GB2312" w:eastAsia="仿宋_GB2312" w:cs="仿宋_GB2312"/>
          <w:sz w:val="32"/>
          <w:szCs w:val="32"/>
        </w:rPr>
      </w:pPr>
      <w:r>
        <w:rPr>
          <w:rFonts w:hint="eastAsia" w:ascii="仿宋_GB2312" w:hAnsi="仿宋_GB2312" w:eastAsia="仿宋_GB2312" w:cs="仿宋_GB2312"/>
          <w:sz w:val="32"/>
          <w:szCs w:val="32"/>
        </w:rPr>
        <w:t>完善南阳国家级综合运输通道高铁功能、强化与周边区域高铁互联互通。争取合西高铁南阳至信阳至六安段进入国家铁路“十四五”发展规划并开工建设，构筑南阳东向高铁通道。谋划南阳至商洛高铁，形成与关中平原城市群的快速通道，带动沿线城镇及旅游产业发展。争取呼南高铁豫西通道洛阳至南阳段进入国家相关规划，形成二湛运输通道的高铁主通道。积极争取南阳至驻马店至阜阳、南阳至十堰高铁进入国家相关规划、实现与周边相邻地市高铁直连。开展洛阳经南阳至十堰、南阳至山东济宁、焦作月山经南阳至湖北随州等铁路项目规划研究。建成南阳东站动车运用设施，强化南阳高铁客运始发终到功能。建成铁路二级物流基地，提升铁路货运能力。规划研究镇平至中心城区至南阳东站至新机场至唐河复航码头至桐柏淮源轨道交通。实施铁路专用线进企入园工程，打通铁路运输“最后一公里”。谋划途经主要旅游景点的轨道交通环线、中心城区轨道交通项目。</w:t>
      </w:r>
    </w:p>
    <w:p>
      <w:pPr>
        <w:widowControl/>
        <w:shd w:val="clear" w:color="auto" w:fill="FFFFFF"/>
        <w:snapToGrid w:val="0"/>
        <w:spacing w:after="312" w:afterLines="100" w:line="600" w:lineRule="exact"/>
        <w:jc w:val="center"/>
        <w:rPr>
          <w:rFonts w:ascii="楷体_GB2312" w:hAnsi="黑体" w:eastAsia="楷体_GB2312"/>
          <w:b/>
          <w:sz w:val="32"/>
          <w:szCs w:val="32"/>
        </w:rPr>
      </w:pPr>
      <w:r>
        <w:rPr>
          <w:rFonts w:hint="eastAsia" w:ascii="楷体_GB2312" w:hAnsi="黑体" w:eastAsia="楷体_GB2312"/>
          <w:b/>
          <w:sz w:val="32"/>
          <w:szCs w:val="32"/>
        </w:rPr>
        <w:t>第三节  强力推进公路网建设</w:t>
      </w:r>
    </w:p>
    <w:p>
      <w:pPr>
        <w:widowControl/>
        <w:shd w:val="clear" w:color="auto" w:fill="FFFFFF"/>
        <w:snapToGrid w:val="0"/>
        <w:spacing w:after="312" w:afterLines="100"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强化高速公路在交通运输中的支撑作用，完成郑西高速栾川至双龙段等续建项目，尽快启动实施渑淅、焦唐、南邓等高速公路建设，加快推动中心城区沪陕高速与S228等7个高速出入口建设，实现高速公路内联外通、互联互通、快联快通。改建新建中心城区环线道路、中心城区与组团城市间快速路和市域内主要运输大通道，不断完善国省道公路骨架网，升级改建交通拥堵路段和穿越城区段，消除等外干线路段</w:t>
      </w:r>
      <w:bookmarkStart w:id="16" w:name="_Hlk58945129"/>
      <w:r>
        <w:rPr>
          <w:rFonts w:hint="eastAsia" w:ascii="仿宋_GB2312" w:hAnsi="仿宋_GB2312" w:eastAsia="仿宋_GB2312" w:cs="仿宋_GB2312"/>
          <w:sz w:val="32"/>
          <w:szCs w:val="32"/>
        </w:rPr>
        <w:t>，国省道路网全部达到二级及以上公路标准</w:t>
      </w:r>
      <w:bookmarkEnd w:id="16"/>
      <w:r>
        <w:rPr>
          <w:rFonts w:hint="eastAsia" w:ascii="仿宋_GB2312" w:hAnsi="仿宋_GB2312" w:eastAsia="仿宋_GB2312" w:cs="仿宋_GB2312"/>
          <w:sz w:val="32"/>
          <w:szCs w:val="32"/>
        </w:rPr>
        <w:t>，构建规模适度、结构合理、功能完善、覆盖广泛、衔接顺畅、服务高效的普通国省干线公路网。加快南阳综合客运枢纽站建设和县市区客运站升级改造，构建综合化、公交化和城乡客运一体化的换乘体系。</w:t>
      </w:r>
    </w:p>
    <w:p>
      <w:pPr>
        <w:widowControl/>
        <w:shd w:val="clear" w:color="auto" w:fill="FFFFFF"/>
        <w:snapToGrid w:val="0"/>
        <w:spacing w:after="312" w:afterLines="100" w:line="600" w:lineRule="exact"/>
        <w:jc w:val="center"/>
        <w:rPr>
          <w:rFonts w:ascii="楷体_GB2312" w:hAnsi="仿宋" w:eastAsia="楷体_GB2312"/>
          <w:b/>
          <w:sz w:val="32"/>
          <w:szCs w:val="32"/>
        </w:rPr>
      </w:pPr>
      <w:r>
        <w:rPr>
          <w:rFonts w:hint="eastAsia" w:ascii="楷体_GB2312" w:hAnsi="仿宋" w:eastAsia="楷体_GB2312"/>
          <w:b/>
          <w:sz w:val="32"/>
          <w:szCs w:val="32"/>
        </w:rPr>
        <w:t>第四节  加快构建畅通高效水运通道</w:t>
      </w:r>
    </w:p>
    <w:p>
      <w:pPr>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加快推进重要水运工程建设，谋划推进以唐河为骨干，白河、湍河、丹江为支线，唐沙运河为联络线，向南接入汉江，通达长江干线，向北接入沙颍河，通达淮河干线的“一干三支一联”内河航道网。加快唐河航运一期、二期工程建设，打造起于南阳，经唐河、汉江至长江的全新水运通道。开展白河、湍河航道工程前期研究工作，做好唐沙运河线位空间预留，统筹预控跨航、涉航相关设施建设标准。加快推动唐河港区、社旗港区集装箱码头等配套设施建设，统筹推进桥梁等碍航设施改造。</w:t>
      </w:r>
    </w:p>
    <w:tbl>
      <w:tblPr>
        <w:tblStyle w:val="23"/>
        <w:tblpPr w:leftFromText="180" w:rightFromText="180" w:vertAnchor="text" w:horzAnchor="margin" w:tblpXSpec="center" w:tblpY="2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504" w:type="dxa"/>
            <w:vAlign w:val="center"/>
          </w:tcPr>
          <w:p>
            <w:pPr>
              <w:adjustRightInd w:val="0"/>
              <w:snapToGrid w:val="0"/>
              <w:spacing w:line="600" w:lineRule="exact"/>
              <w:jc w:val="center"/>
              <w:rPr>
                <w:rFonts w:ascii="黑体" w:hAnsi="黑体" w:eastAsia="黑体"/>
                <w:bCs/>
                <w:sz w:val="30"/>
                <w:szCs w:val="30"/>
              </w:rPr>
            </w:pPr>
            <w:r>
              <w:rPr>
                <w:rFonts w:hint="eastAsia" w:ascii="黑体" w:hAnsi="黑体" w:eastAsia="黑体"/>
                <w:bCs/>
                <w:sz w:val="30"/>
                <w:szCs w:val="30"/>
              </w:rPr>
              <w:t>专栏5：交通基础设施</w:t>
            </w:r>
            <w:r>
              <w:rPr>
                <w:rFonts w:ascii="黑体" w:hAnsi="黑体" w:eastAsia="黑体"/>
                <w:bCs/>
                <w:sz w:val="30"/>
                <w:szCs w:val="30"/>
              </w:rPr>
              <w:t>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8504" w:type="dxa"/>
            <w:vAlign w:val="center"/>
          </w:tcPr>
          <w:p>
            <w:pPr>
              <w:spacing w:line="500" w:lineRule="exact"/>
              <w:ind w:firstLine="562" w:firstLineChars="200"/>
              <w:rPr>
                <w:rFonts w:ascii="仿宋_GB2312" w:eastAsia="仿宋_GB2312"/>
                <w:sz w:val="28"/>
                <w:szCs w:val="28"/>
              </w:rPr>
            </w:pPr>
            <w:r>
              <w:rPr>
                <w:rFonts w:hint="eastAsia"/>
                <w:b/>
                <w:sz w:val="28"/>
                <w:szCs w:val="28"/>
              </w:rPr>
              <w:t>1.铁路专用线项目。</w:t>
            </w:r>
            <w:r>
              <w:rPr>
                <w:rFonts w:hint="eastAsia" w:ascii="仿宋_GB2312" w:eastAsia="仿宋_GB2312"/>
                <w:sz w:val="28"/>
                <w:szCs w:val="28"/>
              </w:rPr>
              <w:t>续建中誉国信内乡煤炭储备基地铁路专用线；积极推进西峡公铁联运物流园专用线、南阳港唐河临港物流园铁路专用线、内乡牧原智慧物流园铁路专用线、南召中铁路港物流园铁路专用线、卧龙综合保税区国际陆港铁路专用线、镇平县产业集聚区铁路专用线、南阳静脉产业园铁路专用线、邓州现代物流园铁路专用线、新野县工业园区铁路专用线、方城县铁路货运专用线、方城中南公司铁路专用线规划建设。</w:t>
            </w:r>
          </w:p>
          <w:p>
            <w:pPr>
              <w:spacing w:line="500" w:lineRule="exact"/>
              <w:ind w:firstLine="562" w:firstLineChars="200"/>
              <w:rPr>
                <w:rFonts w:ascii="仿宋_GB2312" w:eastAsia="仿宋_GB2312"/>
                <w:b/>
                <w:sz w:val="28"/>
                <w:szCs w:val="28"/>
              </w:rPr>
            </w:pPr>
            <w:r>
              <w:rPr>
                <w:rFonts w:hint="eastAsia"/>
                <w:b/>
                <w:sz w:val="28"/>
                <w:szCs w:val="28"/>
              </w:rPr>
              <w:t>2.高速公路。</w:t>
            </w:r>
            <w:r>
              <w:rPr>
                <w:rFonts w:hint="eastAsia" w:ascii="仿宋_GB2312" w:eastAsia="仿宋_GB2312"/>
                <w:b/>
                <w:sz w:val="28"/>
                <w:szCs w:val="28"/>
              </w:rPr>
              <w:t>续建项目：</w:t>
            </w:r>
            <w:r>
              <w:rPr>
                <w:rFonts w:hint="eastAsia" w:ascii="仿宋_GB2312" w:eastAsia="仿宋_GB2312"/>
                <w:bCs/>
                <w:sz w:val="28"/>
                <w:szCs w:val="28"/>
              </w:rPr>
              <w:t>郑州至西峡高速公路栾川至双龙段和双龙至西峡段、渑池至淅川高速公路西峡至淅川段。</w:t>
            </w:r>
            <w:r>
              <w:rPr>
                <w:rFonts w:hint="eastAsia" w:ascii="仿宋_GB2312" w:eastAsia="仿宋_GB2312"/>
                <w:b/>
                <w:sz w:val="28"/>
                <w:szCs w:val="28"/>
              </w:rPr>
              <w:t>新建项目</w:t>
            </w:r>
            <w:r>
              <w:rPr>
                <w:rFonts w:hint="eastAsia" w:ascii="仿宋_GB2312" w:eastAsia="仿宋_GB2312"/>
                <w:sz w:val="28"/>
                <w:szCs w:val="28"/>
              </w:rPr>
              <w:t>：</w:t>
            </w:r>
            <w:r>
              <w:rPr>
                <w:rFonts w:hint="eastAsia" w:ascii="仿宋_GB2312" w:eastAsia="仿宋_GB2312"/>
                <w:bCs/>
                <w:sz w:val="28"/>
                <w:szCs w:val="28"/>
              </w:rPr>
              <w:t>开工建设南阳至邓州高速公路、渑池至淅川高速公路淅川至省界段、焦作至唐河高速公路汝州至方城段和方城至唐河段。</w:t>
            </w:r>
            <w:r>
              <w:rPr>
                <w:rFonts w:hint="eastAsia" w:ascii="仿宋_GB2312" w:eastAsia="仿宋_GB2312"/>
                <w:b/>
                <w:sz w:val="28"/>
                <w:szCs w:val="28"/>
              </w:rPr>
              <w:t>新增高速出入口：</w:t>
            </w:r>
            <w:r>
              <w:rPr>
                <w:rFonts w:hint="eastAsia" w:ascii="仿宋_GB2312" w:eastAsia="仿宋_GB2312"/>
                <w:sz w:val="28"/>
                <w:szCs w:val="28"/>
              </w:rPr>
              <w:t>中心城区新增沪陕高速与S228出口立交、沪陕高速与白河大道出口立交、二广高速与S329出口立交、二广高速与S237出口立交、商南高速与龙翔路出口立交、兰南高速与S330出口立交、二广高速与王安路出口立交。</w:t>
            </w:r>
          </w:p>
          <w:p>
            <w:pPr>
              <w:spacing w:line="500" w:lineRule="exact"/>
              <w:ind w:firstLine="551" w:firstLineChars="196"/>
              <w:jc w:val="left"/>
              <w:rPr>
                <w:rFonts w:ascii="仿宋_GB2312" w:eastAsia="仿宋_GB2312"/>
                <w:b/>
                <w:sz w:val="28"/>
                <w:szCs w:val="28"/>
              </w:rPr>
            </w:pPr>
            <w:r>
              <w:rPr>
                <w:rFonts w:hint="eastAsia"/>
                <w:b/>
                <w:sz w:val="28"/>
                <w:szCs w:val="28"/>
              </w:rPr>
              <w:t>3.干线公路。</w:t>
            </w:r>
            <w:r>
              <w:rPr>
                <w:rFonts w:hint="eastAsia" w:ascii="仿宋_GB2312" w:eastAsia="仿宋_GB2312"/>
                <w:b/>
                <w:sz w:val="28"/>
                <w:szCs w:val="28"/>
              </w:rPr>
              <w:t>贯通主干公路项目：</w:t>
            </w:r>
            <w:r>
              <w:rPr>
                <w:rFonts w:hint="eastAsia" w:ascii="仿宋_GB2312" w:eastAsia="仿宋_GB2312"/>
                <w:sz w:val="28"/>
                <w:szCs w:val="28"/>
              </w:rPr>
              <w:t>改建G312线、S103线、S234线、S237线、S239线、S243线、S239线等干线公路。</w:t>
            </w:r>
            <w:r>
              <w:rPr>
                <w:rFonts w:hint="eastAsia" w:ascii="仿宋_GB2312" w:eastAsia="仿宋_GB2312"/>
                <w:b/>
                <w:sz w:val="28"/>
                <w:szCs w:val="28"/>
              </w:rPr>
              <w:t>城区环线公路项目：</w:t>
            </w:r>
            <w:r>
              <w:rPr>
                <w:rFonts w:hint="eastAsia" w:ascii="仿宋_GB2312" w:eastAsia="仿宋_GB2312"/>
                <w:sz w:val="28"/>
                <w:szCs w:val="28"/>
              </w:rPr>
              <w:t>改建中心城区、新野、镇平、淅川、方城、南召、西峡、唐河、桐柏等县城区干线公路。</w:t>
            </w:r>
            <w:r>
              <w:rPr>
                <w:rFonts w:hint="eastAsia" w:ascii="仿宋_GB2312" w:eastAsia="仿宋_GB2312"/>
                <w:b/>
                <w:sz w:val="28"/>
                <w:szCs w:val="28"/>
              </w:rPr>
              <w:t>节点畅通公路项目</w:t>
            </w:r>
            <w:r>
              <w:rPr>
                <w:rFonts w:hint="eastAsia" w:ascii="仿宋_GB2312" w:eastAsia="仿宋_GB2312"/>
                <w:sz w:val="28"/>
                <w:szCs w:val="28"/>
              </w:rPr>
              <w:t>：升级改造G234、G328、G345、S228、S231、S237、S330、S334、S240、G207等国省道连接重要节点道路。</w:t>
            </w:r>
            <w:r>
              <w:rPr>
                <w:rFonts w:hint="eastAsia" w:ascii="仿宋_GB2312" w:eastAsia="仿宋_GB2312"/>
                <w:b/>
                <w:sz w:val="28"/>
                <w:szCs w:val="28"/>
              </w:rPr>
              <w:t>试点旅游路、生态路和品质路</w:t>
            </w:r>
            <w:r>
              <w:rPr>
                <w:rFonts w:hint="eastAsia" w:ascii="仿宋_GB2312" w:eastAsia="仿宋_GB2312"/>
                <w:sz w:val="28"/>
                <w:szCs w:val="28"/>
              </w:rPr>
              <w:t>：改建S239、S243、S328、S328、S331、S333、S527、</w:t>
            </w:r>
            <w:r>
              <w:rPr>
                <w:rFonts w:ascii="仿宋_GB2312" w:eastAsia="仿宋_GB2312"/>
                <w:sz w:val="28"/>
                <w:szCs w:val="28"/>
              </w:rPr>
              <w:t>S103</w:t>
            </w:r>
            <w:r>
              <w:rPr>
                <w:rFonts w:hint="eastAsia" w:ascii="仿宋_GB2312" w:eastAsia="仿宋_GB2312"/>
                <w:sz w:val="28"/>
                <w:szCs w:val="28"/>
              </w:rPr>
              <w:t>等与景区连接道路。</w:t>
            </w:r>
            <w:r>
              <w:rPr>
                <w:rFonts w:hint="eastAsia" w:ascii="仿宋_GB2312" w:eastAsia="仿宋_GB2312"/>
                <w:b/>
                <w:sz w:val="28"/>
                <w:szCs w:val="28"/>
              </w:rPr>
              <w:t>改建瓶颈公路项目：</w:t>
            </w:r>
            <w:r>
              <w:rPr>
                <w:rFonts w:hint="eastAsia" w:ascii="仿宋_GB2312" w:eastAsia="仿宋_GB2312"/>
                <w:sz w:val="28"/>
                <w:szCs w:val="28"/>
              </w:rPr>
              <w:t>改建S328线、S526线、S531线、S331线“通而不畅”路段。</w:t>
            </w:r>
          </w:p>
          <w:p>
            <w:pPr>
              <w:spacing w:line="500" w:lineRule="exact"/>
              <w:ind w:firstLine="551" w:firstLineChars="196"/>
              <w:rPr>
                <w:b/>
              </w:rPr>
            </w:pPr>
            <w:r>
              <w:rPr>
                <w:rFonts w:hint="eastAsia"/>
                <w:b/>
                <w:sz w:val="28"/>
                <w:szCs w:val="28"/>
              </w:rPr>
              <w:t>4.场站建设。</w:t>
            </w:r>
            <w:r>
              <w:rPr>
                <w:rFonts w:hint="eastAsia" w:ascii="仿宋_GB2312" w:eastAsia="仿宋_GB2312"/>
                <w:b/>
                <w:sz w:val="28"/>
                <w:szCs w:val="28"/>
              </w:rPr>
              <w:t>综合枢纽站：</w:t>
            </w:r>
            <w:r>
              <w:rPr>
                <w:rFonts w:hint="eastAsia" w:ascii="仿宋_GB2312" w:eastAsia="仿宋_GB2312"/>
                <w:sz w:val="28"/>
                <w:szCs w:val="28"/>
              </w:rPr>
              <w:t>建设郑渝高铁南阳高铁客运枢纽站和方城县高铁公交客运枢纽站。</w:t>
            </w:r>
            <w:r>
              <w:rPr>
                <w:rFonts w:hint="eastAsia" w:ascii="仿宋_GB2312" w:eastAsia="仿宋_GB2312"/>
                <w:b/>
                <w:sz w:val="28"/>
                <w:szCs w:val="28"/>
              </w:rPr>
              <w:t>客运场站</w:t>
            </w:r>
            <w:r>
              <w:rPr>
                <w:rFonts w:hint="eastAsia" w:ascii="仿宋_GB2312" w:eastAsia="仿宋_GB2312"/>
                <w:sz w:val="28"/>
                <w:szCs w:val="28"/>
              </w:rPr>
              <w:t>：新建和续建镇平石佛寺玉雕湾客运站、内乡菊潭东客运站、内乡县顺通客运西站、淅川县金竹河旅游客运站、西峡县太平镇旅游客运站、西峡县城乡联营客运站、新野县客运站、南召县城区客运北站等客运站。</w:t>
            </w:r>
            <w:r>
              <w:rPr>
                <w:rFonts w:hint="eastAsia" w:ascii="仿宋_GB2312" w:eastAsia="仿宋_GB2312"/>
                <w:b/>
                <w:sz w:val="28"/>
                <w:szCs w:val="28"/>
              </w:rPr>
              <w:t>物流园区</w:t>
            </w:r>
            <w:r>
              <w:rPr>
                <w:rFonts w:hint="eastAsia" w:ascii="仿宋_GB2312" w:eastAsia="仿宋_GB2312"/>
                <w:sz w:val="28"/>
                <w:szCs w:val="28"/>
              </w:rPr>
              <w:t>：新建南阳国际陆港物流园区、宛运物流园区、内乡牧原智慧物流园、内乡煤贸物流园、内乡农村快递物流园、淅川城北综合物流园、淅川畅通物流中心、西峡公铁联运物流园、新野龙潭临港物流园、新野王庄临港物流园、唐河临港物流园区、安棚铁路货运物流园、南阳港社旗临港物流园区、方城高铁站区综合物流园、南阳豫南年中转300万吨粮食现代物流园等。</w:t>
            </w:r>
            <w:r>
              <w:rPr>
                <w:rFonts w:hint="eastAsia" w:ascii="仿宋_GB2312" w:eastAsia="仿宋_GB2312"/>
                <w:b/>
                <w:sz w:val="28"/>
                <w:szCs w:val="28"/>
              </w:rPr>
              <w:t>公交场站：</w:t>
            </w:r>
            <w:r>
              <w:rPr>
                <w:rFonts w:hint="eastAsia" w:ascii="仿宋_GB2312" w:eastAsia="仿宋_GB2312"/>
                <w:sz w:val="28"/>
                <w:szCs w:val="28"/>
              </w:rPr>
              <w:t>规划建设方庄、东环路、中关村、南阳汽车北站等公交综合停保场。</w:t>
            </w:r>
          </w:p>
        </w:tc>
      </w:tr>
    </w:tbl>
    <w:p>
      <w:pPr>
        <w:spacing w:line="560" w:lineRule="exact"/>
        <w:jc w:val="center"/>
        <w:rPr>
          <w:rFonts w:ascii="楷体_GB2312" w:hAnsi="楷体" w:eastAsia="楷体_GB2312" w:cs="仿宋_GB2312"/>
          <w:b/>
          <w:kern w:val="0"/>
          <w:sz w:val="32"/>
          <w:szCs w:val="32"/>
          <w:shd w:val="clear" w:color="auto" w:fill="FFFFFF"/>
        </w:rPr>
      </w:pPr>
    </w:p>
    <w:p>
      <w:pPr>
        <w:spacing w:after="312" w:afterLines="100" w:line="560" w:lineRule="exact"/>
        <w:jc w:val="center"/>
        <w:rPr>
          <w:rFonts w:ascii="黑体" w:hAnsi="黑体" w:eastAsia="黑体" w:cs="仿宋_GB2312"/>
          <w:bCs/>
          <w:kern w:val="0"/>
          <w:sz w:val="32"/>
          <w:szCs w:val="32"/>
          <w:shd w:val="clear" w:color="auto" w:fill="FFFFFF"/>
        </w:rPr>
      </w:pPr>
      <w:r>
        <w:rPr>
          <w:rFonts w:hint="eastAsia" w:ascii="黑体" w:hAnsi="黑体" w:eastAsia="黑体" w:cs="仿宋_GB2312"/>
          <w:bCs/>
          <w:kern w:val="0"/>
          <w:sz w:val="32"/>
          <w:szCs w:val="32"/>
          <w:shd w:val="clear" w:color="auto" w:fill="FFFFFF"/>
        </w:rPr>
        <w:t>第十九章  加快建设能源支撑体系</w:t>
      </w:r>
    </w:p>
    <w:p>
      <w:pPr>
        <w:spacing w:after="312" w:afterLines="100"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推动传统能源清洁高效利用，加快油气储备设施和油气管道建设，优化电力生产和输送通道布局，增强能源保障能力，构建清洁低碳、安全高效的能源支撑系统。</w:t>
      </w:r>
    </w:p>
    <w:p>
      <w:pPr>
        <w:spacing w:after="312" w:afterLines="100" w:line="600" w:lineRule="exact"/>
        <w:jc w:val="center"/>
        <w:rPr>
          <w:rFonts w:ascii="楷体_GB2312" w:hAnsi="仿宋_GB2312" w:eastAsia="楷体_GB2312" w:cs="仿宋_GB2312"/>
          <w:b/>
          <w:sz w:val="32"/>
          <w:szCs w:val="32"/>
        </w:rPr>
      </w:pPr>
      <w:r>
        <w:rPr>
          <w:rFonts w:hint="eastAsia" w:ascii="楷体_GB2312" w:hAnsi="仿宋" w:eastAsia="楷体_GB2312"/>
          <w:b/>
          <w:sz w:val="32"/>
          <w:szCs w:val="32"/>
        </w:rPr>
        <w:t xml:space="preserve">第一节   </w:t>
      </w:r>
      <w:r>
        <w:rPr>
          <w:rFonts w:hint="eastAsia" w:ascii="楷体_GB2312" w:hAnsi="仿宋_GB2312" w:eastAsia="楷体_GB2312" w:cs="仿宋_GB2312"/>
          <w:b/>
          <w:sz w:val="32"/>
          <w:szCs w:val="32"/>
        </w:rPr>
        <w:t>完善能源输配网络</w:t>
      </w:r>
    </w:p>
    <w:p>
      <w:pPr>
        <w:spacing w:after="312" w:afterLines="100"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统筹各电压等级电网协调发展，推进智能高效、区域平衡、输配衔接的坚强电网建设，形成以500kV变电站为中心的中部区域、南部区域、西部区域三大区域核心环网，建成全国重要的区域性电力联网枢纽。推进城镇和农村电网提档升级。积极促进新能源并网消纳。提升电网整体保障能力，提高供电可靠性,改善用电质量。加快“气化南阳”县县通管道建设，实现市域天然气管道全覆盖。加强天然气储气能力建设，试点推进分布式项目建设。加快推进西气东输三线中线河南段等天然气外引通道、县县通管道及互联互通管道等重点工程建设，实现天然气多气源供应。</w:t>
      </w:r>
    </w:p>
    <w:p>
      <w:pPr>
        <w:spacing w:after="312" w:afterLines="100" w:line="600" w:lineRule="exact"/>
        <w:jc w:val="center"/>
        <w:rPr>
          <w:rFonts w:ascii="楷体_GB2312" w:hAnsi="仿宋" w:eastAsia="楷体_GB2312" w:cs="仿宋_GB2312"/>
          <w:b/>
          <w:bCs/>
          <w:kern w:val="0"/>
          <w:sz w:val="32"/>
          <w:szCs w:val="32"/>
          <w:shd w:val="clear" w:color="auto" w:fill="FFFFFF"/>
        </w:rPr>
      </w:pPr>
      <w:r>
        <w:rPr>
          <w:rFonts w:hint="eastAsia" w:ascii="楷体_GB2312" w:hAnsi="仿宋_GB2312" w:eastAsia="楷体_GB2312" w:cs="仿宋_GB2312"/>
          <w:b/>
          <w:sz w:val="32"/>
          <w:szCs w:val="32"/>
        </w:rPr>
        <w:t xml:space="preserve">第二节  </w:t>
      </w:r>
      <w:r>
        <w:rPr>
          <w:rFonts w:hint="eastAsia" w:ascii="楷体_GB2312" w:hAnsi="仿宋" w:eastAsia="楷体_GB2312" w:cs="仿宋_GB2312"/>
          <w:b/>
          <w:bCs/>
          <w:kern w:val="0"/>
          <w:sz w:val="32"/>
          <w:szCs w:val="32"/>
          <w:shd w:val="clear" w:color="auto" w:fill="FFFFFF"/>
        </w:rPr>
        <w:t xml:space="preserve"> 提升能源生产储备能力</w:t>
      </w:r>
    </w:p>
    <w:p>
      <w:pPr>
        <w:spacing w:after="312" w:afterLines="100"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国投内乡电厂一期建成投产，开工建设内乡煤电运一体化煤炭储配中心二期工程。建设豫西南</w:t>
      </w:r>
      <w:r>
        <w:rPr>
          <w:rFonts w:ascii="仿宋_GB2312" w:hAnsi="仿宋_GB2312" w:eastAsia="仿宋_GB2312" w:cs="仿宋_GB2312"/>
          <w:sz w:val="32"/>
          <w:szCs w:val="32"/>
        </w:rPr>
        <w:t>LNG</w:t>
      </w:r>
      <w:r>
        <w:rPr>
          <w:rFonts w:hint="eastAsia" w:ascii="仿宋_GB2312" w:hAnsi="仿宋_GB2312" w:eastAsia="仿宋_GB2312" w:cs="仿宋_GB2312"/>
          <w:sz w:val="32"/>
          <w:szCs w:val="32"/>
        </w:rPr>
        <w:t>储配中心二期及连接线管道工程。争取新增火电装机指标，布局建设大型绿色煤电机组。淘汰落后产能，提高煤电能效指标。做好鸭电二期、内乡电厂等大机组供热改造，就近为地方供热，有条件的产业集聚区实现集中供热。</w:t>
      </w:r>
    </w:p>
    <w:tbl>
      <w:tblPr>
        <w:tblStyle w:val="23"/>
        <w:tblW w:w="8946" w:type="dxa"/>
        <w:tblInd w:w="0" w:type="dxa"/>
        <w:tblLayout w:type="fixed"/>
        <w:tblCellMar>
          <w:top w:w="0" w:type="dxa"/>
          <w:left w:w="108" w:type="dxa"/>
          <w:bottom w:w="0" w:type="dxa"/>
          <w:right w:w="108" w:type="dxa"/>
        </w:tblCellMar>
      </w:tblPr>
      <w:tblGrid>
        <w:gridCol w:w="8946"/>
      </w:tblGrid>
      <w:tr>
        <w:tblPrEx>
          <w:tblCellMar>
            <w:top w:w="0" w:type="dxa"/>
            <w:left w:w="108" w:type="dxa"/>
            <w:bottom w:w="0" w:type="dxa"/>
            <w:right w:w="108" w:type="dxa"/>
          </w:tblCellMar>
        </w:tblPrEx>
        <w:tc>
          <w:tcPr>
            <w:tcW w:w="8946" w:type="dxa"/>
            <w:tcBorders>
              <w:top w:val="single" w:color="auto" w:sz="4" w:space="0"/>
              <w:left w:val="single" w:color="auto" w:sz="4" w:space="0"/>
              <w:bottom w:val="single" w:color="auto" w:sz="4" w:space="0"/>
              <w:right w:val="single" w:color="auto" w:sz="4" w:space="0"/>
            </w:tcBorders>
          </w:tcPr>
          <w:p>
            <w:pPr>
              <w:adjustRightInd w:val="0"/>
              <w:snapToGrid w:val="0"/>
              <w:spacing w:line="600" w:lineRule="exact"/>
              <w:jc w:val="center"/>
              <w:rPr>
                <w:rFonts w:ascii="仿宋_GB2312" w:eastAsia="仿宋_GB2312" w:cs="仿宋_GB2312"/>
                <w:b/>
                <w:kern w:val="0"/>
                <w:sz w:val="30"/>
                <w:szCs w:val="30"/>
                <w:shd w:val="clear" w:color="auto" w:fill="FFFFFF"/>
              </w:rPr>
            </w:pPr>
            <w:r>
              <w:rPr>
                <w:rFonts w:hint="eastAsia" w:ascii="黑体" w:hAnsi="黑体" w:eastAsia="黑体"/>
                <w:bCs/>
                <w:sz w:val="30"/>
                <w:szCs w:val="30"/>
              </w:rPr>
              <w:t xml:space="preserve"> 专栏6：能源支撑保障重点工程</w:t>
            </w:r>
          </w:p>
        </w:tc>
      </w:tr>
      <w:tr>
        <w:tblPrEx>
          <w:tblCellMar>
            <w:top w:w="0" w:type="dxa"/>
            <w:left w:w="108" w:type="dxa"/>
            <w:bottom w:w="0" w:type="dxa"/>
            <w:right w:w="108" w:type="dxa"/>
          </w:tblCellMar>
        </w:tblPrEx>
        <w:trPr>
          <w:trHeight w:val="1266" w:hRule="atLeast"/>
        </w:trPr>
        <w:tc>
          <w:tcPr>
            <w:tcW w:w="8946" w:type="dxa"/>
            <w:tcBorders>
              <w:top w:val="single" w:color="auto" w:sz="4" w:space="0"/>
              <w:left w:val="single" w:color="auto" w:sz="4" w:space="0"/>
              <w:bottom w:val="single" w:color="auto" w:sz="4" w:space="0"/>
              <w:right w:val="single" w:color="auto" w:sz="4" w:space="0"/>
            </w:tcBorders>
          </w:tcPr>
          <w:p>
            <w:pPr>
              <w:spacing w:line="500" w:lineRule="exact"/>
              <w:ind w:firstLine="551" w:firstLineChars="196"/>
              <w:rPr>
                <w:rFonts w:ascii="仿宋_GB2312" w:hAnsi="仿宋" w:eastAsia="仿宋_GB2312" w:cs="仿宋_GB2312"/>
                <w:kern w:val="0"/>
                <w:sz w:val="28"/>
                <w:szCs w:val="28"/>
                <w:shd w:val="clear" w:color="auto" w:fill="FFFFFF"/>
              </w:rPr>
            </w:pPr>
            <w:r>
              <w:rPr>
                <w:rFonts w:hint="eastAsia" w:ascii="仿宋_GB2312" w:eastAsia="仿宋_GB2312" w:hAnsiTheme="majorEastAsia"/>
                <w:b/>
                <w:sz w:val="28"/>
                <w:szCs w:val="28"/>
              </w:rPr>
              <w:t>1.超低排放煤电项目。</w:t>
            </w:r>
            <w:r>
              <w:rPr>
                <w:rFonts w:hint="eastAsia" w:ascii="仿宋_GB2312" w:hAnsi="仿宋" w:eastAsia="仿宋_GB2312" w:cs="仿宋_GB2312"/>
                <w:kern w:val="0"/>
                <w:sz w:val="28"/>
                <w:szCs w:val="28"/>
                <w:shd w:val="clear" w:color="auto" w:fill="FFFFFF"/>
              </w:rPr>
              <w:t>建成内乡煤电运一体化2</w:t>
            </w:r>
            <w:r>
              <w:rPr>
                <w:rFonts w:hint="eastAsia" w:ascii="仿宋_GB2312" w:hAnsi="仿宋" w:eastAsia="仿宋_GB2312" w:cs="Arial"/>
                <w:kern w:val="0"/>
                <w:sz w:val="28"/>
                <w:szCs w:val="28"/>
                <w:shd w:val="clear" w:color="auto" w:fill="FFFFFF"/>
              </w:rPr>
              <w:t>×</w:t>
            </w:r>
            <w:r>
              <w:rPr>
                <w:rFonts w:hint="eastAsia" w:ascii="仿宋_GB2312" w:hAnsi="仿宋" w:eastAsia="仿宋_GB2312" w:cs="仿宋_GB2312"/>
                <w:kern w:val="0"/>
                <w:sz w:val="28"/>
                <w:szCs w:val="28"/>
                <w:shd w:val="clear" w:color="auto" w:fill="FFFFFF"/>
              </w:rPr>
              <w:t>100万千瓦电厂项目，力争南阳新增200万火电装机列入国家和省级专项规划。</w:t>
            </w:r>
          </w:p>
          <w:p>
            <w:pPr>
              <w:spacing w:line="500" w:lineRule="exact"/>
              <w:ind w:firstLine="551" w:firstLineChars="196"/>
              <w:rPr>
                <w:rFonts w:ascii="仿宋_GB2312" w:hAnsi="仿宋" w:eastAsia="仿宋_GB2312" w:cs="仿宋_GB2312"/>
                <w:kern w:val="0"/>
                <w:sz w:val="28"/>
                <w:szCs w:val="28"/>
                <w:shd w:val="clear" w:color="auto" w:fill="FFFFFF"/>
              </w:rPr>
            </w:pPr>
            <w:r>
              <w:rPr>
                <w:rFonts w:hint="eastAsia" w:ascii="仿宋_GB2312" w:eastAsia="仿宋_GB2312" w:hAnsiTheme="majorEastAsia"/>
                <w:b/>
                <w:sz w:val="28"/>
                <w:szCs w:val="28"/>
              </w:rPr>
              <w:t>2.区域性天然气输配中心。</w:t>
            </w:r>
            <w:r>
              <w:rPr>
                <w:rFonts w:hint="eastAsia" w:ascii="仿宋_GB2312" w:hAnsi="仿宋" w:eastAsia="仿宋_GB2312" w:cs="仿宋_GB2312"/>
                <w:kern w:val="0"/>
                <w:sz w:val="28"/>
                <w:szCs w:val="28"/>
                <w:shd w:val="clear" w:color="auto" w:fill="FFFFFF"/>
              </w:rPr>
              <w:t>建设镇平-邓州，镇平-内乡-西峡，淅川等县县通天然气管道项目，推进西气东输三线中线河南段、商南-西峡等天然气外引通道项目建设。</w:t>
            </w:r>
          </w:p>
          <w:p>
            <w:pPr>
              <w:spacing w:line="500" w:lineRule="exact"/>
              <w:ind w:firstLine="551" w:firstLineChars="196"/>
              <w:rPr>
                <w:rFonts w:ascii="仿宋_GB2312" w:hAnsi="仿宋" w:eastAsia="仿宋_GB2312" w:cs="仿宋_GB2312"/>
                <w:kern w:val="0"/>
                <w:sz w:val="28"/>
                <w:szCs w:val="28"/>
                <w:shd w:val="clear" w:color="auto" w:fill="FFFFFF"/>
              </w:rPr>
            </w:pPr>
            <w:r>
              <w:rPr>
                <w:rFonts w:hint="eastAsia" w:ascii="仿宋_GB2312" w:eastAsia="仿宋_GB2312" w:hAnsiTheme="majorEastAsia"/>
                <w:b/>
                <w:sz w:val="28"/>
                <w:szCs w:val="28"/>
              </w:rPr>
              <w:t>3.煤炭储配中心。</w:t>
            </w:r>
            <w:r>
              <w:rPr>
                <w:rFonts w:hint="eastAsia" w:ascii="仿宋_GB2312" w:hAnsi="仿宋" w:eastAsia="仿宋_GB2312" w:cs="仿宋_GB2312"/>
                <w:kern w:val="0"/>
                <w:sz w:val="28"/>
                <w:szCs w:val="28"/>
                <w:shd w:val="clear" w:color="auto" w:fill="FFFFFF"/>
              </w:rPr>
              <w:t>建设内乡煤电运一体化煤炭储配中心二期工程、西峡公铁联运物流园煤炭储备项目。</w:t>
            </w:r>
          </w:p>
          <w:p>
            <w:pPr>
              <w:spacing w:line="500" w:lineRule="exact"/>
              <w:ind w:firstLine="551" w:firstLineChars="196"/>
              <w:rPr>
                <w:rFonts w:ascii="仿宋_GB2312" w:hAnsi="仿宋" w:eastAsia="仿宋_GB2312" w:cs="仿宋_GB2312"/>
                <w:kern w:val="0"/>
                <w:sz w:val="28"/>
                <w:szCs w:val="28"/>
                <w:shd w:val="clear" w:color="auto" w:fill="FFFFFF"/>
              </w:rPr>
            </w:pPr>
            <w:r>
              <w:rPr>
                <w:rFonts w:hint="eastAsia" w:ascii="仿宋_GB2312" w:eastAsia="仿宋_GB2312" w:hAnsiTheme="majorEastAsia"/>
                <w:b/>
                <w:sz w:val="28"/>
                <w:szCs w:val="28"/>
              </w:rPr>
              <w:t>4.电网工程。</w:t>
            </w:r>
            <w:r>
              <w:rPr>
                <w:rFonts w:hint="eastAsia" w:ascii="仿宋_GB2312" w:hAnsi="仿宋" w:eastAsia="仿宋_GB2312" w:cs="仿宋_GB2312"/>
                <w:kern w:val="0"/>
                <w:sz w:val="28"/>
                <w:szCs w:val="28"/>
                <w:shd w:val="clear" w:color="auto" w:fill="FFFFFF"/>
              </w:rPr>
              <w:t>扩建玉都500kV输变电工程；新建12座220kV变电站，增容扩建得胜、磙子沟等8座变电站，新增主变容量3540MVA；新建110kV石桥、长江等43座变电站，扩建甘霖、祥和等24座变电站，新增变电容量3493MVA。</w:t>
            </w:r>
          </w:p>
        </w:tc>
      </w:tr>
    </w:tbl>
    <w:p>
      <w:pPr>
        <w:spacing w:after="312" w:afterLines="100" w:line="400" w:lineRule="exact"/>
        <w:ind w:firstLine="643" w:firstLineChars="200"/>
        <w:jc w:val="center"/>
        <w:rPr>
          <w:rFonts w:ascii="楷体_GB2312" w:hAnsi="仿宋_GB2312" w:eastAsia="楷体_GB2312" w:cs="仿宋_GB2312"/>
          <w:b/>
          <w:sz w:val="32"/>
          <w:szCs w:val="32"/>
        </w:rPr>
      </w:pPr>
    </w:p>
    <w:p>
      <w:pPr>
        <w:spacing w:after="312" w:afterLines="100" w:line="550" w:lineRule="exact"/>
        <w:jc w:val="center"/>
        <w:rPr>
          <w:rFonts w:ascii="黑体" w:hAnsi="黑体" w:eastAsia="黑体" w:cs="仿宋_GB2312"/>
          <w:bCs/>
          <w:sz w:val="32"/>
          <w:szCs w:val="32"/>
        </w:rPr>
      </w:pPr>
      <w:r>
        <w:rPr>
          <w:rFonts w:hint="eastAsia" w:ascii="黑体" w:hAnsi="黑体" w:eastAsia="黑体" w:cs="仿宋_GB2312"/>
          <w:bCs/>
          <w:sz w:val="32"/>
          <w:szCs w:val="32"/>
        </w:rPr>
        <w:t>第二十章  加快水利基础设施建设</w:t>
      </w:r>
    </w:p>
    <w:p>
      <w:pPr>
        <w:spacing w:after="312" w:afterLines="100"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深入实施四水同治，以雨水洪水资源化、南水北调配水科学化、水库供水最优化、水资源配置均衡化为重点，持续提升水资源配置、水生态修复、水环境治理、水灾害防治能力。统筹推进重大水利工程和民生水利工程建设，构建“系统完善、丰枯调剂、循环畅通、多源互补、安全高效、清水绿岸”的现代化水利网络体系。加快重要支流治理和大中型水库工程建设，实施大中型灌区续建配套与现代化改造、病险水库（水闸）除险加固工程。持续推进唐白河治理、淅川丹江鄂豫河段防洪等治理工程，建成内乡北湾水库，新建方城汉山、西峡湾潭等大中型水库，开展南水北调调蓄工程前期工作。完善城市防洪工程，强化涝区治理，开展山洪灾害防治。完善灌排体系，加快推进重点灌区建设，大力发展节水灌溉，以小型农田水利为重点加强农田水利建设力度，着力推进粮食主产区等重点地区应急抗旱水源建设。创新农田水利设施建设体制机制。</w:t>
      </w:r>
    </w:p>
    <w:tbl>
      <w:tblPr>
        <w:tblStyle w:val="23"/>
        <w:tblW w:w="5000" w:type="pct"/>
        <w:tblInd w:w="0" w:type="dxa"/>
        <w:tblLayout w:type="autofit"/>
        <w:tblCellMar>
          <w:top w:w="0" w:type="dxa"/>
          <w:left w:w="108" w:type="dxa"/>
          <w:bottom w:w="0" w:type="dxa"/>
          <w:right w:w="108" w:type="dxa"/>
        </w:tblCellMar>
      </w:tblPr>
      <w:tblGrid>
        <w:gridCol w:w="8890"/>
      </w:tblGrid>
      <w:tr>
        <w:tc>
          <w:tcPr>
            <w:tcW w:w="5000" w:type="pct"/>
            <w:tcBorders>
              <w:top w:val="single" w:color="auto" w:sz="4" w:space="0"/>
              <w:left w:val="single" w:color="auto" w:sz="4" w:space="0"/>
              <w:bottom w:val="single" w:color="auto" w:sz="4" w:space="0"/>
              <w:right w:val="single" w:color="auto" w:sz="4" w:space="0"/>
            </w:tcBorders>
          </w:tcPr>
          <w:p>
            <w:pPr>
              <w:adjustRightInd w:val="0"/>
              <w:snapToGrid w:val="0"/>
              <w:spacing w:line="600" w:lineRule="exact"/>
              <w:jc w:val="center"/>
              <w:rPr>
                <w:rFonts w:ascii="仿宋_GB2312" w:eastAsia="仿宋_GB2312" w:cs="仿宋_GB2312"/>
                <w:b/>
                <w:kern w:val="0"/>
                <w:sz w:val="30"/>
                <w:szCs w:val="30"/>
                <w:shd w:val="clear" w:color="auto" w:fill="FFFFFF"/>
              </w:rPr>
            </w:pPr>
            <w:r>
              <w:rPr>
                <w:rFonts w:hint="eastAsia" w:ascii="黑体" w:hAnsi="黑体" w:eastAsia="黑体"/>
                <w:bCs/>
                <w:sz w:val="30"/>
                <w:szCs w:val="30"/>
              </w:rPr>
              <w:t>专栏7：水利重点工程</w:t>
            </w:r>
          </w:p>
        </w:tc>
      </w:tr>
      <w:tr>
        <w:tc>
          <w:tcPr>
            <w:tcW w:w="5000" w:type="pct"/>
            <w:tcBorders>
              <w:top w:val="single" w:color="auto" w:sz="4" w:space="0"/>
              <w:left w:val="single" w:color="auto" w:sz="4" w:space="0"/>
              <w:bottom w:val="single" w:color="auto" w:sz="4" w:space="0"/>
              <w:right w:val="single" w:color="auto" w:sz="4" w:space="0"/>
            </w:tcBorders>
          </w:tcPr>
          <w:p>
            <w:pPr>
              <w:spacing w:line="500" w:lineRule="exact"/>
              <w:ind w:firstLine="551" w:firstLineChars="196"/>
              <w:jc w:val="left"/>
              <w:rPr>
                <w:rFonts w:ascii="仿宋_GB2312" w:hAnsi="仿宋" w:eastAsia="仿宋_GB2312"/>
                <w:sz w:val="28"/>
                <w:szCs w:val="28"/>
              </w:rPr>
            </w:pPr>
            <w:r>
              <w:rPr>
                <w:rFonts w:hint="eastAsia" w:ascii="仿宋_GB2312" w:hAnsi="仿宋" w:eastAsia="仿宋_GB2312"/>
                <w:b/>
                <w:sz w:val="28"/>
                <w:szCs w:val="28"/>
              </w:rPr>
              <w:t>1.供水安全工程。</w:t>
            </w:r>
            <w:r>
              <w:rPr>
                <w:rFonts w:hint="eastAsia" w:ascii="仿宋_GB2312" w:hAnsi="仿宋" w:eastAsia="仿宋_GB2312"/>
                <w:sz w:val="28"/>
                <w:szCs w:val="28"/>
              </w:rPr>
              <w:t>新建汉山大型水库1座；新建及续建内乡县北湾水库(在建)、西峡县湾潭水库、桐柏县李家畈水库；实施鸭河口水库清淤扩容工程、南阳市中心城区上游水系连通工程；适时启动南水北调方城县贾河调蓄工程、南阳市鸭河口水库调蓄工程前期工作。</w:t>
            </w:r>
          </w:p>
          <w:p>
            <w:pPr>
              <w:spacing w:line="500" w:lineRule="exact"/>
              <w:ind w:firstLine="551" w:firstLineChars="196"/>
              <w:rPr>
                <w:rFonts w:ascii="仿宋_GB2312" w:hAnsi="仿宋" w:eastAsia="仿宋_GB2312"/>
                <w:sz w:val="28"/>
                <w:szCs w:val="28"/>
              </w:rPr>
            </w:pPr>
            <w:r>
              <w:rPr>
                <w:rFonts w:hint="eastAsia" w:ascii="仿宋_GB2312" w:hAnsi="仿宋" w:eastAsia="仿宋_GB2312"/>
                <w:b/>
                <w:sz w:val="28"/>
                <w:szCs w:val="28"/>
              </w:rPr>
              <w:t>2.农村水利工程。</w:t>
            </w:r>
            <w:r>
              <w:rPr>
                <w:rFonts w:hint="eastAsia" w:ascii="仿宋_GB2312" w:hAnsi="仿宋" w:eastAsia="仿宋_GB2312"/>
                <w:sz w:val="28"/>
                <w:szCs w:val="28"/>
              </w:rPr>
              <w:t>规划实施鸭河口灌区、赵湾灌区、虎山灌区等大中型灌区续建配套与现代化改造工程;推进卧龙区水系连通工程建设；规划实施淅川县、唐河县、社旗县、镇平县、官庄工区等5处农村水系综合整治项目；规划实施新野县、内乡县、淅川县、唐河县、卧龙区等5处城乡供水一体化工程；规划实施西峡、南召、内乡、浙川等县4处抗旱应急水源工程。</w:t>
            </w:r>
          </w:p>
          <w:p>
            <w:pPr>
              <w:pStyle w:val="16"/>
              <w:spacing w:line="500" w:lineRule="exact"/>
              <w:ind w:firstLine="551" w:firstLineChars="196"/>
              <w:jc w:val="left"/>
              <w:rPr>
                <w:rFonts w:ascii="仿宋_GB2312" w:hAnsi="仿宋" w:eastAsia="仿宋_GB2312"/>
                <w:b w:val="0"/>
                <w:bCs w:val="0"/>
                <w:kern w:val="2"/>
                <w:sz w:val="28"/>
                <w:szCs w:val="28"/>
              </w:rPr>
            </w:pPr>
            <w:r>
              <w:rPr>
                <w:rFonts w:hint="eastAsia" w:ascii="仿宋_GB2312" w:hAnsi="仿宋" w:eastAsia="仿宋_GB2312"/>
                <w:bCs w:val="0"/>
                <w:kern w:val="2"/>
                <w:sz w:val="28"/>
                <w:szCs w:val="28"/>
              </w:rPr>
              <w:t>3.防洪安全工程。</w:t>
            </w:r>
            <w:r>
              <w:rPr>
                <w:rFonts w:hint="eastAsia" w:ascii="仿宋_GB2312" w:hAnsi="仿宋" w:eastAsia="仿宋_GB2312"/>
                <w:b w:val="0"/>
                <w:bCs w:val="0"/>
                <w:kern w:val="2"/>
                <w:sz w:val="28"/>
                <w:szCs w:val="28"/>
              </w:rPr>
              <w:t>实施丹江鄂豫河段防洪治理(河南段)、唐白河干流防洪治理、中心城区内河上游水环境综合治理工程。</w:t>
            </w:r>
          </w:p>
          <w:p>
            <w:pPr>
              <w:spacing w:line="400" w:lineRule="exact"/>
              <w:ind w:firstLine="470" w:firstLineChars="196"/>
              <w:jc w:val="left"/>
              <w:rPr>
                <w:rFonts w:ascii="仿宋_GB2312" w:hAnsi="仿宋" w:eastAsia="仿宋_GB2312"/>
                <w:sz w:val="24"/>
                <w:szCs w:val="24"/>
              </w:rPr>
            </w:pPr>
          </w:p>
        </w:tc>
      </w:tr>
    </w:tbl>
    <w:p>
      <w:pPr>
        <w:spacing w:line="400" w:lineRule="exact"/>
        <w:jc w:val="center"/>
        <w:rPr>
          <w:rFonts w:ascii="楷体_GB2312" w:hAnsi="楷体" w:eastAsia="楷体_GB2312" w:cs="仿宋_GB2312"/>
          <w:b/>
          <w:kern w:val="0"/>
          <w:sz w:val="32"/>
          <w:szCs w:val="32"/>
          <w:shd w:val="clear" w:color="auto" w:fill="FFFFFF"/>
        </w:rPr>
      </w:pPr>
    </w:p>
    <w:p>
      <w:pPr>
        <w:spacing w:after="312" w:afterLines="100" w:line="400" w:lineRule="exact"/>
        <w:jc w:val="center"/>
        <w:rPr>
          <w:rFonts w:ascii="黑体" w:hAnsi="黑体" w:eastAsia="黑体" w:cs="仿宋_GB2312"/>
          <w:bCs/>
          <w:kern w:val="0"/>
          <w:sz w:val="32"/>
          <w:szCs w:val="32"/>
          <w:shd w:val="clear" w:color="auto" w:fill="FFFFFF"/>
        </w:rPr>
      </w:pPr>
      <w:r>
        <w:rPr>
          <w:rFonts w:hint="eastAsia" w:ascii="黑体" w:hAnsi="黑体" w:eastAsia="黑体" w:cs="仿宋_GB2312"/>
          <w:bCs/>
          <w:kern w:val="0"/>
          <w:sz w:val="32"/>
          <w:szCs w:val="32"/>
          <w:shd w:val="clear" w:color="auto" w:fill="FFFFFF"/>
        </w:rPr>
        <w:t>第二十一章  加快全域信息基础设施建设</w:t>
      </w:r>
    </w:p>
    <w:p>
      <w:pPr>
        <w:spacing w:after="312" w:afterLines="100" w:line="600" w:lineRule="exact"/>
        <w:ind w:firstLine="640" w:firstLineChars="200"/>
        <w:rPr>
          <w:rFonts w:ascii="仿宋_GB2312" w:hAnsi="仿宋_GB2312" w:eastAsia="仿宋_GB2312" w:cs="仿宋_GB2312"/>
          <w:kern w:val="0"/>
          <w:sz w:val="32"/>
          <w:szCs w:val="32"/>
          <w:shd w:val="clear" w:color="auto" w:fill="FFFFFF"/>
        </w:rPr>
      </w:pPr>
      <w:r>
        <w:rPr>
          <w:rFonts w:ascii="仿宋_GB2312" w:hAnsi="仿宋_GB2312" w:eastAsia="仿宋_GB2312" w:cs="仿宋_GB2312"/>
          <w:kern w:val="0"/>
          <w:sz w:val="32"/>
          <w:szCs w:val="32"/>
          <w:shd w:val="clear" w:color="auto" w:fill="FFFFFF"/>
        </w:rPr>
        <w:t>以提高全市信息化水平为</w:t>
      </w:r>
      <w:r>
        <w:rPr>
          <w:rFonts w:hint="eastAsia" w:ascii="仿宋_GB2312" w:hAnsi="仿宋_GB2312" w:eastAsia="仿宋_GB2312" w:cs="仿宋_GB2312"/>
          <w:kern w:val="0"/>
          <w:sz w:val="32"/>
          <w:szCs w:val="32"/>
          <w:shd w:val="clear" w:color="auto" w:fill="FFFFFF"/>
        </w:rPr>
        <w:t>出发点</w:t>
      </w:r>
      <w:r>
        <w:rPr>
          <w:rFonts w:ascii="仿宋_GB2312" w:hAnsi="仿宋_GB2312" w:eastAsia="仿宋_GB2312" w:cs="仿宋_GB2312"/>
          <w:kern w:val="0"/>
          <w:sz w:val="32"/>
          <w:szCs w:val="32"/>
          <w:shd w:val="clear" w:color="auto" w:fill="FFFFFF"/>
        </w:rPr>
        <w:t>，以服务群众生活、助力企业生产为</w:t>
      </w:r>
      <w:r>
        <w:rPr>
          <w:rFonts w:hint="eastAsia" w:ascii="仿宋_GB2312" w:hAnsi="仿宋_GB2312" w:eastAsia="仿宋_GB2312" w:cs="仿宋_GB2312"/>
          <w:kern w:val="0"/>
          <w:sz w:val="32"/>
          <w:szCs w:val="32"/>
          <w:shd w:val="clear" w:color="auto" w:fill="FFFFFF"/>
        </w:rPr>
        <w:t>落脚点</w:t>
      </w:r>
      <w:r>
        <w:rPr>
          <w:rFonts w:ascii="仿宋_GB2312" w:hAnsi="仿宋_GB2312" w:eastAsia="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扩大无线</w:t>
      </w:r>
      <w:r>
        <w:rPr>
          <w:rFonts w:ascii="仿宋_GB2312" w:hAnsi="仿宋_GB2312" w:eastAsia="仿宋_GB2312" w:cs="仿宋_GB2312"/>
          <w:kern w:val="0"/>
          <w:sz w:val="32"/>
          <w:szCs w:val="32"/>
          <w:shd w:val="clear" w:color="auto" w:fill="FFFFFF"/>
        </w:rPr>
        <w:t>网络覆盖</w:t>
      </w:r>
      <w:r>
        <w:rPr>
          <w:rFonts w:hint="eastAsia" w:ascii="仿宋_GB2312" w:hAnsi="仿宋_GB2312" w:eastAsia="仿宋_GB2312" w:cs="仿宋_GB2312"/>
          <w:kern w:val="0"/>
          <w:sz w:val="32"/>
          <w:szCs w:val="32"/>
          <w:shd w:val="clear" w:color="auto" w:fill="FFFFFF"/>
        </w:rPr>
        <w:t>范围，推行商务楼宇宽带整治，加快融合基础设施建设。</w:t>
      </w:r>
    </w:p>
    <w:p>
      <w:pPr>
        <w:spacing w:after="312" w:afterLines="100" w:line="600" w:lineRule="exact"/>
        <w:jc w:val="center"/>
        <w:rPr>
          <w:rFonts w:ascii="楷体_GB2312" w:hAnsi="仿宋_GB2312" w:eastAsia="楷体_GB2312" w:cs="仿宋_GB2312"/>
          <w:b/>
          <w:kern w:val="0"/>
          <w:sz w:val="32"/>
          <w:szCs w:val="32"/>
          <w:shd w:val="clear" w:color="auto" w:fill="FFFFFF"/>
        </w:rPr>
      </w:pPr>
      <w:r>
        <w:rPr>
          <w:rFonts w:hint="eastAsia" w:ascii="楷体_GB2312" w:hAnsi="仿宋_GB2312" w:eastAsia="楷体_GB2312" w:cs="仿宋_GB2312"/>
          <w:b/>
          <w:kern w:val="0"/>
          <w:sz w:val="32"/>
          <w:szCs w:val="32"/>
          <w:shd w:val="clear" w:color="auto" w:fill="FFFFFF"/>
        </w:rPr>
        <w:t xml:space="preserve">第一节  </w:t>
      </w:r>
      <w:r>
        <w:rPr>
          <w:rFonts w:hint="eastAsia" w:ascii="楷体_GB2312" w:hAnsi="楷体" w:eastAsia="楷体_GB2312" w:cs="楷体"/>
          <w:b/>
          <w:sz w:val="32"/>
          <w:szCs w:val="32"/>
        </w:rPr>
        <w:t>提高信息网络覆盖率和网络质量</w:t>
      </w:r>
    </w:p>
    <w:p>
      <w:pPr>
        <w:spacing w:after="312" w:afterLines="100" w:line="60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实施新一代信息网络建设和新型计算基础设施建设工程，系统布局引领未来的新型基础设施。推进“全光网南阳”全面升级，构建覆盖全市的高速光纤宽带网络，提升固定宽带家庭和移动宽带用户普及率，实现偏远地区网络深度全覆盖。加快</w:t>
      </w:r>
      <w:r>
        <w:rPr>
          <w:rFonts w:ascii="仿宋_GB2312" w:hAnsi="仿宋_GB2312" w:eastAsia="仿宋_GB2312" w:cs="仿宋_GB2312"/>
          <w:kern w:val="0"/>
          <w:sz w:val="32"/>
          <w:szCs w:val="32"/>
          <w:shd w:val="clear" w:color="auto" w:fill="FFFFFF"/>
        </w:rPr>
        <w:t>5G基础网络布局，</w:t>
      </w:r>
      <w:r>
        <w:rPr>
          <w:rFonts w:hint="eastAsia" w:ascii="仿宋_GB2312" w:hAnsi="仿宋_GB2312" w:eastAsia="仿宋_GB2312" w:cs="仿宋_GB2312"/>
          <w:kern w:val="0"/>
          <w:sz w:val="32"/>
          <w:szCs w:val="32"/>
          <w:shd w:val="clear" w:color="auto" w:fill="FFFFFF"/>
        </w:rPr>
        <w:t>实现乡镇以上区域</w:t>
      </w:r>
      <w:r>
        <w:rPr>
          <w:rFonts w:ascii="仿宋_GB2312" w:hAnsi="仿宋_GB2312" w:eastAsia="仿宋_GB2312" w:cs="仿宋_GB2312"/>
          <w:kern w:val="0"/>
          <w:sz w:val="32"/>
          <w:szCs w:val="32"/>
          <w:shd w:val="clear" w:color="auto" w:fill="FFFFFF"/>
        </w:rPr>
        <w:t>5G</w:t>
      </w:r>
      <w:r>
        <w:rPr>
          <w:rFonts w:hint="eastAsia" w:ascii="仿宋_GB2312" w:hAnsi="仿宋_GB2312" w:eastAsia="仿宋_GB2312" w:cs="仿宋_GB2312"/>
          <w:kern w:val="0"/>
          <w:sz w:val="32"/>
          <w:szCs w:val="32"/>
          <w:shd w:val="clear" w:color="auto" w:fill="FFFFFF"/>
        </w:rPr>
        <w:t>全</w:t>
      </w:r>
      <w:r>
        <w:rPr>
          <w:rFonts w:ascii="仿宋_GB2312" w:hAnsi="仿宋_GB2312" w:eastAsia="仿宋_GB2312" w:cs="仿宋_GB2312"/>
          <w:kern w:val="0"/>
          <w:sz w:val="32"/>
          <w:szCs w:val="32"/>
          <w:shd w:val="clear" w:color="auto" w:fill="FFFFFF"/>
        </w:rPr>
        <w:t>覆盖。</w:t>
      </w:r>
      <w:r>
        <w:rPr>
          <w:rFonts w:hint="eastAsia" w:ascii="仿宋_GB2312" w:hAnsi="仿宋_GB2312" w:eastAsia="仿宋_GB2312" w:cs="仿宋_GB2312"/>
          <w:kern w:val="0"/>
          <w:sz w:val="32"/>
          <w:szCs w:val="32"/>
          <w:shd w:val="clear" w:color="auto" w:fill="FFFFFF"/>
        </w:rPr>
        <w:t>加快工业互联网和大数据中心建设。构建全时空、立体化网络安全态势感知系统和智能化市域互联网管控系统，完善关键信息基础设施等级保护制度，全面提升网络信息安全水平。</w:t>
      </w:r>
    </w:p>
    <w:p>
      <w:pPr>
        <w:spacing w:after="312" w:afterLines="100" w:line="600" w:lineRule="exact"/>
        <w:jc w:val="center"/>
        <w:rPr>
          <w:rFonts w:ascii="楷体_GB2312" w:hAnsi="楷体" w:eastAsia="楷体_GB2312" w:cs="楷体"/>
          <w:b/>
          <w:sz w:val="32"/>
          <w:szCs w:val="32"/>
        </w:rPr>
      </w:pPr>
      <w:r>
        <w:rPr>
          <w:rFonts w:hint="eastAsia" w:ascii="楷体_GB2312" w:hAnsi="楷体" w:eastAsia="楷体_GB2312" w:cs="楷体"/>
          <w:b/>
          <w:sz w:val="32"/>
          <w:szCs w:val="32"/>
        </w:rPr>
        <w:t>第二节   加快构建融合基础设施</w:t>
      </w:r>
    </w:p>
    <w:p>
      <w:pPr>
        <w:spacing w:after="312" w:afterLines="100" w:line="60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推动传统基础设施数字化改造，提升智慧化管理和运营水平。加快交通基础设施智能化升级，建设智慧枢纽、智慧公路、推进重要路段和节点交通感知网络覆盖，开展车路协同网络推广。推动“5G+北斗卫星”高精度定位及高分卫星遥感技术应用，开展多途综合服务。建设智慧能源基础设施，加快电网基础设施智能化改造、智能微电网和充电桩建设，强化电力、天燃气、热力等能源网络信息系统互联互通和数据共享。</w:t>
      </w:r>
    </w:p>
    <w:p>
      <w:pPr>
        <w:pStyle w:val="4"/>
        <w:ind w:firstLine="0" w:firstLineChars="0"/>
        <w:jc w:val="center"/>
        <w:rPr>
          <w:rFonts w:ascii="方正小标宋简体" w:hAnsi="黑体" w:eastAsia="方正小标宋简体" w:cs="仿宋"/>
          <w:szCs w:val="32"/>
        </w:rPr>
      </w:pPr>
      <w:r>
        <w:rPr>
          <w:rFonts w:hint="eastAsia" w:ascii="方正小标宋简体" w:hAnsi="黑体" w:eastAsia="方正小标宋简体"/>
          <w:szCs w:val="32"/>
        </w:rPr>
        <w:t xml:space="preserve">第六篇  </w:t>
      </w:r>
      <w:r>
        <w:rPr>
          <w:rFonts w:hint="eastAsia" w:ascii="方正小标宋简体" w:hAnsi="黑体" w:eastAsia="方正小标宋简体" w:cs="仿宋"/>
          <w:szCs w:val="32"/>
        </w:rPr>
        <w:t>突出核心带动全域联动，推进新型城镇化</w:t>
      </w:r>
    </w:p>
    <w:p>
      <w:pPr>
        <w:pStyle w:val="4"/>
        <w:spacing w:after="156" w:afterLines="50"/>
        <w:ind w:firstLine="0" w:firstLineChars="0"/>
        <w:jc w:val="center"/>
        <w:rPr>
          <w:rFonts w:ascii="方正小标宋简体" w:hAnsi="黑体" w:eastAsia="方正小标宋简体" w:cs="仿宋"/>
          <w:szCs w:val="32"/>
        </w:rPr>
      </w:pPr>
      <w:r>
        <w:rPr>
          <w:rFonts w:hint="eastAsia" w:ascii="方正小标宋简体" w:hAnsi="黑体" w:eastAsia="方正小标宋简体" w:cs="仿宋"/>
          <w:szCs w:val="32"/>
        </w:rPr>
        <w:t>和区域协调发展</w:t>
      </w:r>
    </w:p>
    <w:p>
      <w:pPr>
        <w:pStyle w:val="4"/>
        <w:spacing w:after="312" w:afterLines="100"/>
        <w:ind w:firstLine="640"/>
        <w:jc w:val="both"/>
        <w:rPr>
          <w:rFonts w:ascii="仿宋_GB2312" w:hAnsi="仿宋" w:eastAsia="仿宋_GB2312" w:cs="仿宋"/>
          <w:szCs w:val="32"/>
        </w:rPr>
      </w:pPr>
      <w:bookmarkStart w:id="17" w:name="_Toc27387649"/>
      <w:r>
        <w:rPr>
          <w:rFonts w:hint="eastAsia" w:ascii="仿宋_GB2312" w:hAnsi="仿宋" w:eastAsia="仿宋_GB2312" w:cs="仿宋"/>
          <w:szCs w:val="32"/>
        </w:rPr>
        <w:t>深入落实主体功能区战略，优化空间布局，完善综合配套，提高城市品位，提升城市能级，全面增强城市综合承载力和可持续发展能力，扎实推进以人为核心的新型城镇化。</w:t>
      </w:r>
    </w:p>
    <w:p>
      <w:pPr>
        <w:pStyle w:val="4"/>
        <w:spacing w:after="312" w:afterLines="100"/>
        <w:ind w:firstLine="0" w:firstLineChars="0"/>
        <w:jc w:val="center"/>
        <w:rPr>
          <w:rFonts w:ascii="黑体" w:hAnsi="黑体"/>
          <w:bCs/>
        </w:rPr>
      </w:pPr>
      <w:r>
        <w:rPr>
          <w:rFonts w:hint="eastAsia" w:ascii="黑体" w:hAnsi="黑体"/>
          <w:bCs/>
        </w:rPr>
        <w:t>第二十二章  优化发展空间布局</w:t>
      </w:r>
      <w:bookmarkEnd w:id="17"/>
    </w:p>
    <w:p>
      <w:pPr>
        <w:spacing w:after="312" w:afterLines="100"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立足大城市发展定位，统筹区域协调发展，突出“核心带动、县域支撑、城乡融合”，构建“一主一副、两圈两极”的空间格局。以卧龙区、宛城区、高新区、城乡一体化示范区、卧龙综保区为依托，全力打造中心城区都市区。支持邓州市建设市域副中心城市，打造丹江口库区区域中心城市。加速推进中心城区与官庄工区、鸭河工区、镇平县、社旗县、唐河县快速通道建设，打造中心城区一体化发展圈，构建以方城县、南召县、内乡县、新野县为主体的中心城区紧密协作圈，培育西峡-淅川和桐柏县两大绿色发展增长极。以快速通道、轻轨云轨、区域间长途公交化等为突破口，加快形成交通一体、产业连接、服务共享、全域联动的发展格局。</w:t>
      </w:r>
    </w:p>
    <w:p>
      <w:pPr>
        <w:pStyle w:val="4"/>
        <w:spacing w:after="312" w:afterLines="100"/>
        <w:ind w:firstLine="0" w:firstLineChars="0"/>
        <w:jc w:val="center"/>
        <w:rPr>
          <w:rFonts w:ascii="黑体" w:hAnsi="黑体"/>
          <w:bCs/>
        </w:rPr>
      </w:pPr>
      <w:bookmarkStart w:id="18" w:name="_Toc27387650"/>
      <w:r>
        <w:rPr>
          <w:rFonts w:hint="eastAsia" w:ascii="黑体" w:hAnsi="黑体"/>
          <w:bCs/>
        </w:rPr>
        <w:t>第二十三章 做大做强中心城区</w:t>
      </w:r>
      <w:bookmarkEnd w:id="18"/>
    </w:p>
    <w:p>
      <w:pPr>
        <w:spacing w:after="312" w:afterLines="100"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制定中心城区发展规划，积极争取扩大中心城区发展空间，进一步优化城市布局形态，完善公共服务和市政基础设施建设，增强城市服务功能，提升中心城区辐射带动能力。新城区围绕“满城绿色半城水，宜居宜业活力城”目标，加快高端业态培育和基础设施、公共服务建设，完成南阳月季园二期、白河湿地公园、景观水系等工程建设，加快建设商务中心区、商业综合体，大力发展智能制造、总部经济、现代金融、数字经济、现代商贸物流、康养文旅等高端产业，成为新兴区域经济中心的核心区。稳步推进老城区改造完善、功能疏解、品质提升，加快城中村改造和老旧小区改造提升步伐。加大中心城区历史文化资源开发利用力度，全面开放“三馆一院”，倾力打造“四圣”文化园，规划建设汉文化主题街区、百里奚文化园，整修名人故居等人文景观，强化黄山遗址保护，加快南阳古城保护利用步伐，增强中心城区文化影响力。实施南阳动植物园搬迁项目。推动南阳高新区扩区放权，支持高新区与唐河等县探索飞地经济、伙伴园区合作模式，建设千亿级高新技术产业园区。支持官庄工区以石油化工为重点、鸭河工区以文旅康养为重点，提速提质发展。规划建设西部卧龙综保区产业配套区、王村铁路物流园区、西北部麒麟湖健康养生片区、东北部南阳大学城、东部高铁片区、东南部新机场航空港经济区、南部农产品物流片区等功能区，拓展中心城区发展空间，实现组团发展。实施中心城区畅通工程，优先发展城市公共交通，加快构建“高架</w:t>
      </w:r>
      <w:r>
        <w:rPr>
          <w:rFonts w:ascii="仿宋_GB2312" w:hAnsi="仿宋_GB2312" w:eastAsia="仿宋_GB2312" w:cs="仿宋_GB2312"/>
          <w:sz w:val="32"/>
          <w:szCs w:val="32"/>
        </w:rPr>
        <w:t>+隧道+快速路+外环路”的城市交通网络，提升内城交通快捷度便利度。</w:t>
      </w:r>
    </w:p>
    <w:p>
      <w:pPr>
        <w:pStyle w:val="20"/>
        <w:shd w:val="clear" w:color="auto" w:fill="FFFFFF"/>
        <w:snapToGrid w:val="0"/>
        <w:spacing w:before="0" w:beforeAutospacing="0" w:after="312" w:afterLines="100" w:afterAutospacing="0"/>
        <w:ind w:firstLine="0" w:firstLineChars="0"/>
        <w:jc w:val="center"/>
        <w:textAlignment w:val="baseline"/>
        <w:rPr>
          <w:rFonts w:ascii="黑体" w:hAnsi="黑体" w:eastAsia="黑体" w:cs="楷体"/>
          <w:bCs/>
          <w:sz w:val="32"/>
          <w:szCs w:val="32"/>
        </w:rPr>
      </w:pPr>
      <w:bookmarkStart w:id="19" w:name="_Toc27387677"/>
      <w:bookmarkStart w:id="20" w:name="_Toc27387678"/>
      <w:r>
        <w:rPr>
          <w:rFonts w:hint="eastAsia" w:ascii="黑体" w:hAnsi="黑体" w:eastAsia="黑体" w:cs="楷体"/>
          <w:bCs/>
          <w:sz w:val="32"/>
          <w:szCs w:val="32"/>
        </w:rPr>
        <w:t xml:space="preserve">第二十四章  </w:t>
      </w:r>
      <w:bookmarkEnd w:id="19"/>
      <w:r>
        <w:rPr>
          <w:rFonts w:hint="eastAsia" w:ascii="黑体" w:hAnsi="黑体" w:eastAsia="黑体" w:cs="楷体"/>
          <w:bCs/>
          <w:sz w:val="32"/>
          <w:szCs w:val="32"/>
        </w:rPr>
        <w:t>深入落实县域治理“三起来”</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深入开展县域治理“三起来”示范创建，打造一批产业先进、充满活力、城乡繁荣、生态优美、人民富裕的强县，形成一批特色突出、竞相发展的增长板块，力争更多县（市）进入全省</w:t>
      </w:r>
      <w:r>
        <w:rPr>
          <w:rFonts w:ascii="仿宋_GB2312" w:hAnsi="仿宋_GB2312" w:eastAsia="仿宋_GB2312" w:cs="仿宋_GB2312"/>
          <w:sz w:val="32"/>
          <w:szCs w:val="32"/>
        </w:rPr>
        <w:t>20强、30强</w:t>
      </w:r>
      <w:r>
        <w:rPr>
          <w:rFonts w:hint="eastAsia" w:ascii="仿宋_GB2312" w:hAnsi="仿宋_GB2312" w:eastAsia="仿宋_GB2312" w:cs="仿宋_GB2312"/>
          <w:sz w:val="32"/>
          <w:szCs w:val="32"/>
        </w:rPr>
        <w:t>。</w:t>
      </w:r>
    </w:p>
    <w:p>
      <w:pPr>
        <w:pStyle w:val="20"/>
        <w:shd w:val="clear" w:color="auto" w:fill="FFFFFF"/>
        <w:spacing w:beforeAutospacing="0" w:after="312" w:afterLines="100" w:afterAutospacing="0"/>
        <w:ind w:firstLine="0" w:firstLineChars="0"/>
        <w:jc w:val="center"/>
        <w:textAlignment w:val="baseline"/>
        <w:rPr>
          <w:rFonts w:ascii="楷体_GB2312" w:hAnsi="仿宋" w:eastAsia="楷体_GB2312" w:cs="仿宋"/>
          <w:b/>
          <w:sz w:val="32"/>
          <w:szCs w:val="32"/>
        </w:rPr>
      </w:pPr>
      <w:r>
        <w:rPr>
          <w:rFonts w:hint="eastAsia" w:ascii="楷体_GB2312" w:hAnsi="仿宋" w:eastAsia="楷体_GB2312" w:cs="仿宋"/>
          <w:b/>
          <w:sz w:val="32"/>
          <w:szCs w:val="32"/>
        </w:rPr>
        <w:t>第一节  夯实强县富民的产业支撑</w:t>
      </w:r>
    </w:p>
    <w:p>
      <w:pPr>
        <w:spacing w:after="312" w:afterLines="100"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立足区位特点、资源禀赋、产业基础等条件，分类推动工业基础较好、农业优势明显、生态功能突出的县（市）错位发展，形成各具特色的高质量发展路子。推动工业基础较好的县（市）突出转型提质、壮大优势产业集群；推动农业优势明显的县（市）突出特色高效、稳固粮食生产能力、发展特色产业集群；推动生态功能突出的县（市）强化生态环境保护、发展资源环境可承载的适宜产业。建立统筹规划、联动推进的市域产业集群培育机制，推进各县（市）融入中心城市产业链供应链，发挥产业集聚区、服务业“两区”等载体作用，加强主导产业转型升级、加快新兴产业培育壮大、推动特色产业做优做强。加快县域高效农业发展，完善现代农产品加工产业链和特色优势农产品供应链。</w:t>
      </w:r>
    </w:p>
    <w:p>
      <w:pPr>
        <w:pStyle w:val="20"/>
        <w:shd w:val="clear" w:color="auto" w:fill="FFFFFF"/>
        <w:spacing w:beforeAutospacing="0" w:after="312" w:afterLines="100" w:afterAutospacing="0"/>
        <w:ind w:firstLine="0" w:firstLineChars="0"/>
        <w:jc w:val="center"/>
        <w:textAlignment w:val="baseline"/>
        <w:rPr>
          <w:rFonts w:ascii="楷体_GB2312" w:hAnsi="仿宋" w:eastAsia="楷体_GB2312" w:cs="仿宋"/>
          <w:b/>
          <w:sz w:val="32"/>
          <w:szCs w:val="32"/>
        </w:rPr>
      </w:pPr>
      <w:r>
        <w:rPr>
          <w:rFonts w:hint="eastAsia" w:ascii="楷体_GB2312" w:hAnsi="仿宋" w:eastAsia="楷体_GB2312" w:cs="仿宋"/>
          <w:b/>
          <w:sz w:val="32"/>
          <w:szCs w:val="32"/>
        </w:rPr>
        <w:t>第二节  深化县域改革发展</w:t>
      </w:r>
    </w:p>
    <w:p>
      <w:pPr>
        <w:spacing w:after="312" w:afterLines="100"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以推动城乡要素自由流动、平等交换和公共资源合理配置为重点，全面深化县域改革，破解关键瓶颈制约，不断释放改革红利和发展动力。健全要素市场运行机制，拓展公共资源交易平台覆盖范围，推动城乡土地、人力资源、技术、信息等要素市场发展。建立城市人才入乡激励机制，制定财政、金融、社会保障等激励政策。建立工商资本入乡促进机制，引导工商资本为城乡融合发展提供资金、产业、技术等支持。支持有条件的县撤县设市。</w:t>
      </w:r>
    </w:p>
    <w:p>
      <w:pPr>
        <w:pStyle w:val="20"/>
        <w:shd w:val="clear" w:color="auto" w:fill="FFFFFF"/>
        <w:spacing w:beforeAutospacing="0" w:after="312" w:afterLines="100" w:afterAutospacing="0"/>
        <w:ind w:firstLine="0" w:firstLineChars="0"/>
        <w:jc w:val="center"/>
        <w:textAlignment w:val="baseline"/>
        <w:rPr>
          <w:rFonts w:ascii="楷体_GB2312" w:hAnsi="仿宋" w:eastAsia="楷体_GB2312" w:cs="仿宋"/>
          <w:b/>
          <w:sz w:val="32"/>
          <w:szCs w:val="32"/>
        </w:rPr>
      </w:pPr>
      <w:r>
        <w:rPr>
          <w:rFonts w:hint="eastAsia" w:ascii="楷体_GB2312" w:hAnsi="仿宋" w:eastAsia="楷体_GB2312" w:cs="仿宋"/>
          <w:b/>
          <w:sz w:val="32"/>
          <w:szCs w:val="32"/>
        </w:rPr>
        <w:t>第三节  推进基础设施和公共服务城乡贯通</w:t>
      </w:r>
    </w:p>
    <w:p>
      <w:pPr>
        <w:spacing w:after="312" w:afterLines="100"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融合实施百城建设提质工程和文明城市创建。以县域为整体，统筹规划市政公用设施，推动向城市郊区乡村和规模较大中心镇延伸。推动城乡路网一体规划设计，畅通城乡交通运输连接，推进串联县城的交通环线、旅游专线，加快实现城乡道路客运一体化。统筹规划城乡污染物收运处置体系，因地制宜统筹处理城乡垃圾污水。强化县城综合服务能力，加强乡镇公共服务功能，把乡镇建成服务农民的区域中心。优化县域内公共服务资源配置，推行县域内教师医生交流轮岗模式，推进义务教育学校教师“县管校聘”。</w:t>
      </w:r>
    </w:p>
    <w:p>
      <w:pPr>
        <w:spacing w:after="312" w:afterLines="100" w:line="600" w:lineRule="exact"/>
        <w:jc w:val="center"/>
        <w:rPr>
          <w:rFonts w:ascii="黑体" w:hAnsi="黑体" w:eastAsia="黑体"/>
          <w:bCs/>
          <w:sz w:val="32"/>
          <w:szCs w:val="32"/>
        </w:rPr>
      </w:pPr>
      <w:r>
        <w:rPr>
          <w:rFonts w:hint="eastAsia" w:ascii="黑体" w:hAnsi="黑体" w:eastAsia="黑体"/>
          <w:bCs/>
          <w:sz w:val="32"/>
          <w:szCs w:val="32"/>
        </w:rPr>
        <w:t>第二十五章  提高城镇化发展质量</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践行“人民城市人民建,人民城市为人民”理念,统筹城市规划、建设、管理,打造宜居韧性城市,提高城市治理水平，健全农业转移人口市民化机制,使城市成为人民群众高品质生活的空间。</w:t>
      </w:r>
    </w:p>
    <w:p>
      <w:pPr>
        <w:spacing w:after="312" w:afterLines="100"/>
        <w:jc w:val="center"/>
        <w:rPr>
          <w:rFonts w:ascii="楷体_GB2312" w:hAnsi="仿宋_GB2312" w:eastAsia="楷体_GB2312" w:cs="仿宋_GB2312"/>
          <w:b/>
          <w:bCs/>
          <w:sz w:val="32"/>
          <w:szCs w:val="32"/>
        </w:rPr>
      </w:pPr>
      <w:r>
        <w:rPr>
          <w:rFonts w:hint="eastAsia" w:ascii="楷体_GB2312" w:hAnsi="仿宋_GB2312" w:eastAsia="楷体_GB2312" w:cs="仿宋_GB2312"/>
          <w:b/>
          <w:bCs/>
          <w:sz w:val="32"/>
          <w:szCs w:val="32"/>
        </w:rPr>
        <w:t>第一节  加快农业转移人口市民化</w:t>
      </w:r>
    </w:p>
    <w:p>
      <w:pPr>
        <w:spacing w:after="312" w:afterLines="10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深化户籍制度改革,健全农业转移人口市民化机制，放开城镇落户限制，试行以经常居住地登记户口制度。推进城镇基本公共服务常住人口全覆盖,提高居住证持有人城镇义务教育、住房保障等服务的实际享有水平。完善财政转移支付和城镇新增建设用地规模与农业转移人口市民化挂钩政策,争取上级对保障性住房投资补助和建设用地的支持。根据人口流动实际,调整人口流入流出地区教师、医生等编制定额。</w:t>
      </w:r>
    </w:p>
    <w:bookmarkEnd w:id="20"/>
    <w:p>
      <w:pPr>
        <w:spacing w:after="312" w:afterLines="100"/>
        <w:jc w:val="center"/>
        <w:rPr>
          <w:rFonts w:ascii="楷体_GB2312" w:hAnsi="仿宋_GB2312" w:eastAsia="楷体_GB2312" w:cs="仿宋_GB2312"/>
          <w:b/>
          <w:bCs/>
          <w:sz w:val="32"/>
          <w:szCs w:val="32"/>
        </w:rPr>
      </w:pPr>
      <w:r>
        <w:rPr>
          <w:rFonts w:hint="eastAsia" w:ascii="楷体_GB2312" w:hAnsi="仿宋_GB2312" w:eastAsia="楷体_GB2312" w:cs="仿宋_GB2312"/>
          <w:b/>
          <w:bCs/>
          <w:sz w:val="32"/>
          <w:szCs w:val="32"/>
        </w:rPr>
        <w:t>第二节  实施城市更新行动</w:t>
      </w:r>
    </w:p>
    <w:p>
      <w:pPr>
        <w:spacing w:after="312" w:afterLines="100" w:line="600" w:lineRule="exact"/>
        <w:ind w:firstLine="640" w:firstLineChars="200"/>
        <w:rPr>
          <w:rFonts w:ascii="楷体_GB2312" w:hAnsi="仿宋_GB2312" w:eastAsia="楷体_GB2312" w:cs="仿宋_GB2312"/>
          <w:sz w:val="32"/>
          <w:szCs w:val="32"/>
        </w:rPr>
      </w:pPr>
      <w:r>
        <w:rPr>
          <w:rFonts w:hint="eastAsia" w:ascii="仿宋_GB2312" w:hAnsi="仿宋_GB2312" w:eastAsia="仿宋_GB2312" w:cs="仿宋_GB2312"/>
          <w:sz w:val="32"/>
          <w:szCs w:val="32"/>
        </w:rPr>
        <w:t>统筹新城区开发和老城区改造,推进市政基础设施提质升级和智能化改造,完善公共服务和便民设施,提升城市品质。加强城镇老旧小区改造和社区建设,改造提升老旧厂区、老旧街区和城中村等存量片区。实施南阳宛都老工业区工业遗产保护利用工程。优化城市路网结构,完善多层次、多元化的城市公共交通系统,加强自行车道、步行道等慢行网络和重点区域停车、智能充电设施建设，推进城市交通拥堵综合治理,持续开展绿色交通示范城市创建。因地制宜建设城市生态湿地、郊野公园、口袋公园等公共绿地,构建城区绿色生活圈、环城生态防护圈、城外绿色屏障带和城市通风廊道。加强城市重要基础设施安全管理，推动城市防洪排涝设施建设和水系生态修复，建设海绵城市。</w:t>
      </w:r>
    </w:p>
    <w:p>
      <w:pPr>
        <w:spacing w:after="312" w:afterLines="100"/>
        <w:jc w:val="center"/>
        <w:rPr>
          <w:rFonts w:ascii="楷体_GB2312" w:hAnsi="仿宋_GB2312" w:eastAsia="楷体_GB2312" w:cs="仿宋_GB2312"/>
          <w:b/>
          <w:bCs/>
          <w:sz w:val="32"/>
          <w:szCs w:val="32"/>
        </w:rPr>
      </w:pPr>
      <w:r>
        <w:rPr>
          <w:rFonts w:hint="eastAsia" w:ascii="楷体_GB2312" w:hAnsi="仿宋_GB2312" w:eastAsia="楷体_GB2312" w:cs="仿宋_GB2312"/>
          <w:b/>
          <w:bCs/>
          <w:sz w:val="32"/>
          <w:szCs w:val="32"/>
        </w:rPr>
        <w:t>第三节  提高城市治理水平</w:t>
      </w:r>
    </w:p>
    <w:p>
      <w:pPr>
        <w:spacing w:after="312" w:afterLines="100"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完善城市规划引导约束机制,合理确定城市规模、人口密度、空间结构、开发强度,加强各类规划信息互联互通和归集共享。推进城镇建设用地集约高效利用和立体开发,新建住宅试点推广街区制。高水平开展城市设计,优化塑造城市风貌,加强历史建筑和历史文化街区保护,延续城市文脉。开展城市体检,前瞻布局城市生命线系统、应急救灾和物资储备系统,加强城市应急备用水源、消防设施和应急避难设施建设,完善重要区位人防工程,强化重要基础设施全生命周期维护管理和人口密集场所安全监管,提高城市抗风险能力。加强物业服务监管,提升物业服务水平。</w:t>
      </w:r>
    </w:p>
    <w:p>
      <w:pPr>
        <w:spacing w:after="312" w:afterLines="100"/>
        <w:jc w:val="center"/>
        <w:rPr>
          <w:rFonts w:ascii="楷体_GB2312" w:hAnsi="仿宋_GB2312" w:eastAsia="楷体_GB2312" w:cs="仿宋_GB2312"/>
          <w:b/>
          <w:bCs/>
          <w:sz w:val="32"/>
          <w:szCs w:val="32"/>
        </w:rPr>
      </w:pPr>
      <w:r>
        <w:rPr>
          <w:rFonts w:hint="eastAsia" w:ascii="楷体_GB2312" w:hAnsi="仿宋_GB2312" w:eastAsia="楷体_GB2312" w:cs="仿宋_GB2312"/>
          <w:b/>
          <w:bCs/>
          <w:sz w:val="32"/>
          <w:szCs w:val="32"/>
        </w:rPr>
        <w:t>第四节  完善住房市场体系和保障体系</w:t>
      </w:r>
    </w:p>
    <w:p>
      <w:pPr>
        <w:spacing w:after="312" w:afterLines="10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坚持房子是用来住的、不是用来炒的定位,加快建立多主体供给、多渠道保障、租购并举的住房制度,多途径解决困难群众和新市民、青年人住房问题。全面贯彻房地产市场长效机制。强化城市住房政府主体责任,建立住房和用地联动机制,加强房地产金融调控,稳定地价、房价和预期。扩大保障性租赁住房供给,加快建设共有产权住房和人才公寓,大力发展二手房市场和住房租赁市场，有效盘活存量住房资源,完善长租房政策,加强住房租赁市场监管。科学制定土地储备供应计划,单列租赁住房用地计划,探索利用集体建设用地和企事业单位自有闲置土地建设租赁住房,逐步推动租购住房在享受公共服务上具有同等权利。</w:t>
      </w:r>
    </w:p>
    <w:p>
      <w:pPr>
        <w:spacing w:after="312" w:afterLines="100" w:line="600" w:lineRule="exact"/>
        <w:jc w:val="center"/>
        <w:rPr>
          <w:rFonts w:ascii="方正小标宋简体" w:hAnsi="黑体" w:eastAsia="方正小标宋简体"/>
          <w:sz w:val="32"/>
          <w:szCs w:val="32"/>
        </w:rPr>
      </w:pPr>
      <w:r>
        <w:rPr>
          <w:rFonts w:hint="eastAsia" w:ascii="黑体" w:hAnsi="黑体" w:eastAsia="黑体"/>
          <w:sz w:val="32"/>
          <w:szCs w:val="32"/>
        </w:rPr>
        <w:t xml:space="preserve">  </w:t>
      </w:r>
      <w:r>
        <w:rPr>
          <w:rFonts w:hint="eastAsia" w:ascii="方正小标宋简体" w:hAnsi="黑体" w:eastAsia="方正小标宋简体"/>
          <w:sz w:val="32"/>
          <w:szCs w:val="32"/>
        </w:rPr>
        <w:t>第七篇</w:t>
      </w:r>
      <w:bookmarkStart w:id="21" w:name="_Hlk59010780"/>
      <w:bookmarkStart w:id="22" w:name="_Hlk58712149"/>
      <w:r>
        <w:rPr>
          <w:rFonts w:hint="eastAsia" w:ascii="方正小标宋简体" w:hAnsi="黑体" w:eastAsia="方正小标宋简体"/>
          <w:sz w:val="32"/>
          <w:szCs w:val="32"/>
        </w:rPr>
        <w:t xml:space="preserve">   实施扩大内需战略，积极融入新发展格局</w:t>
      </w:r>
    </w:p>
    <w:bookmarkEnd w:id="21"/>
    <w:p>
      <w:pPr>
        <w:spacing w:after="312" w:afterLines="100" w:line="600" w:lineRule="exact"/>
        <w:ind w:firstLine="640" w:firstLineChars="200"/>
        <w:jc w:val="left"/>
        <w:rPr>
          <w:rFonts w:ascii="仿宋_GB2312" w:hAnsi="仿宋_GB2312" w:eastAsia="仿宋_GB2312" w:cs="仿宋_GB2312"/>
          <w:sz w:val="32"/>
          <w:szCs w:val="32"/>
        </w:rPr>
      </w:pPr>
      <w:bookmarkStart w:id="23" w:name="_Hlk59017441"/>
      <w:r>
        <w:rPr>
          <w:rFonts w:hint="eastAsia" w:ascii="仿宋_GB2312" w:hAnsi="仿宋_GB2312" w:eastAsia="仿宋_GB2312" w:cs="仿宋_GB2312"/>
          <w:sz w:val="32"/>
          <w:szCs w:val="32"/>
        </w:rPr>
        <w:t>把实施扩大内需战略同深化供给侧结构性改革有机结合起来，顺应消费升级新趋势，创造消费增长新热点，积极拓展投资空间，畅通内外循环通道，不断放大市场优势，成为服务新发展格局的重要链接。</w:t>
      </w:r>
    </w:p>
    <w:p>
      <w:pPr>
        <w:spacing w:after="312" w:afterLines="100" w:line="600" w:lineRule="exact"/>
        <w:jc w:val="center"/>
        <w:rPr>
          <w:rFonts w:ascii="黑体" w:hAnsi="黑体" w:eastAsia="黑体"/>
          <w:bCs/>
          <w:sz w:val="32"/>
          <w:szCs w:val="32"/>
        </w:rPr>
      </w:pPr>
      <w:r>
        <w:rPr>
          <w:rFonts w:hint="eastAsia" w:ascii="黑体" w:hAnsi="黑体" w:eastAsia="黑体"/>
          <w:bCs/>
          <w:sz w:val="32"/>
          <w:szCs w:val="32"/>
        </w:rPr>
        <w:t>第二十六章 着力畅通经济循环</w:t>
      </w:r>
    </w:p>
    <w:p>
      <w:pPr>
        <w:spacing w:after="312" w:afterLines="100"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发挥内需市场、产业基础和</w:t>
      </w:r>
      <w:r>
        <w:rPr>
          <w:rFonts w:hint="eastAsia" w:ascii="仿宋_GB2312" w:eastAsia="仿宋_GB2312"/>
          <w:sz w:val="32"/>
          <w:szCs w:val="32"/>
        </w:rPr>
        <w:t>地处</w:t>
      </w:r>
      <w:r>
        <w:rPr>
          <w:rFonts w:hint="eastAsia" w:ascii="仿宋_GB2312" w:hAnsi="仿宋_GB2312" w:eastAsia="仿宋_GB2312" w:cs="仿宋_GB2312"/>
          <w:sz w:val="32"/>
          <w:szCs w:val="32"/>
        </w:rPr>
        <w:t>郑州、武汉、西安</w:t>
      </w:r>
      <w:r>
        <w:rPr>
          <w:rFonts w:hint="eastAsia" w:ascii="仿宋_GB2312" w:eastAsia="仿宋_GB2312"/>
          <w:sz w:val="32"/>
          <w:szCs w:val="32"/>
        </w:rPr>
        <w:t>“三大都市圈”结合部的区位优势，积极融入全国统一大市场，贯通生产、分配、流通、消费各环节，促进经济循环流转和产业关联畅通。</w:t>
      </w:r>
    </w:p>
    <w:p>
      <w:pPr>
        <w:spacing w:after="312" w:afterLines="100" w:line="600" w:lineRule="exact"/>
        <w:jc w:val="center"/>
        <w:rPr>
          <w:rFonts w:ascii="楷体_GB2312" w:hAnsi="仿宋_GB2312" w:eastAsia="楷体_GB2312" w:cs="仿宋_GB2312"/>
          <w:b/>
          <w:sz w:val="32"/>
          <w:szCs w:val="32"/>
        </w:rPr>
      </w:pPr>
    </w:p>
    <w:p>
      <w:pPr>
        <w:spacing w:after="312" w:afterLines="100" w:line="600" w:lineRule="exact"/>
        <w:jc w:val="center"/>
        <w:rPr>
          <w:rFonts w:ascii="楷体_GB2312" w:hAnsi="仿宋" w:eastAsia="楷体_GB2312"/>
          <w:b/>
          <w:sz w:val="32"/>
          <w:szCs w:val="32"/>
        </w:rPr>
      </w:pPr>
      <w:r>
        <w:rPr>
          <w:rFonts w:hint="eastAsia" w:ascii="楷体_GB2312" w:hAnsi="仿宋_GB2312" w:eastAsia="楷体_GB2312" w:cs="仿宋_GB2312"/>
          <w:b/>
          <w:sz w:val="32"/>
          <w:szCs w:val="32"/>
        </w:rPr>
        <w:t>第一</w:t>
      </w:r>
      <w:r>
        <w:rPr>
          <w:rFonts w:hint="eastAsia" w:ascii="楷体_GB2312" w:hAnsi="仿宋" w:eastAsia="楷体_GB2312"/>
          <w:b/>
          <w:sz w:val="32"/>
          <w:szCs w:val="32"/>
        </w:rPr>
        <w:t>节  构建开放融合的大市场大流通</w:t>
      </w:r>
    </w:p>
    <w:p>
      <w:pPr>
        <w:spacing w:after="312" w:afterLines="100"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发挥南阳区位优势，加强国内外市场联接，促进市场结构优化、功能完善、业态创新，推动大市场、大流通建设。充分利用全国骨干流通大通道体系和全国区域流通节点城市规划布局优势，加强与郑州、武汉、西安、重庆等流通节点城市链接与合作，通过共建共享大型流通设施，实现功能衔接、优势互补，把南阳建设成为区域经济流通的重要节点。推进城乡流通网络一体化，统筹规划城乡商业网点功能布局，提升农产品进城和工业品下乡双向流通效率。利用好国内国际两个市场两种资源，培育一批经营模式、交易模式与国际接轨的商品交易市场，发展一批连接国内外市场、运行规范有序的跨境电子商务综合服务平台，打造内外融合发展的流通网络。</w:t>
      </w:r>
    </w:p>
    <w:p>
      <w:pPr>
        <w:spacing w:after="312" w:afterLines="100" w:line="600" w:lineRule="exact"/>
        <w:jc w:val="center"/>
        <w:rPr>
          <w:rFonts w:ascii="楷体_GB2312" w:hAnsi="Times New Roman" w:eastAsia="楷体_GB2312"/>
          <w:b/>
          <w:bCs/>
          <w:sz w:val="32"/>
          <w:szCs w:val="32"/>
        </w:rPr>
      </w:pPr>
      <w:r>
        <w:rPr>
          <w:rFonts w:hint="eastAsia" w:ascii="楷体_GB2312" w:hAnsi="Times New Roman" w:eastAsia="楷体_GB2312"/>
          <w:b/>
          <w:bCs/>
          <w:sz w:val="32"/>
          <w:szCs w:val="32"/>
        </w:rPr>
        <w:t>第二节  健全流通体制机制</w:t>
      </w:r>
    </w:p>
    <w:p>
      <w:pPr>
        <w:spacing w:after="312" w:afterLines="100"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破除妨碍生产要素市场化配置和商品服务流通的体制机制障碍，降低全社会交易成本。坚持需求牵引供给、供给创造需求，畅通供给与需求互促共进、投资与消费良性互动的高效循环。依托千万人口市场优势，加大促消费扩投资政策支持，充分释放需求潜力。依托产业门类齐全优势，深化供给侧结构性改革，增强供给适配性，打通传统市场和网上市场通道，推动上下游、产供销有效衔接。完善促进要素市场化配置体制机制，引进和培育具有较强流通能力的市场主体，加快建设现代流通体系。</w:t>
      </w:r>
    </w:p>
    <w:p>
      <w:pPr>
        <w:spacing w:after="312" w:afterLines="100" w:line="600" w:lineRule="exact"/>
        <w:jc w:val="center"/>
        <w:rPr>
          <w:rFonts w:ascii="黑体" w:hAnsi="黑体" w:eastAsia="黑体"/>
          <w:bCs/>
          <w:sz w:val="32"/>
          <w:szCs w:val="32"/>
        </w:rPr>
      </w:pPr>
      <w:r>
        <w:rPr>
          <w:rFonts w:hint="eastAsia" w:ascii="黑体" w:hAnsi="黑体" w:eastAsia="黑体" w:cs="仿宋_GB2312"/>
          <w:bCs/>
          <w:sz w:val="32"/>
          <w:szCs w:val="32"/>
        </w:rPr>
        <w:t>第二十七章</w:t>
      </w:r>
      <w:r>
        <w:rPr>
          <w:rFonts w:hint="eastAsia" w:ascii="黑体" w:hAnsi="黑体" w:eastAsia="黑体"/>
          <w:bCs/>
          <w:sz w:val="32"/>
          <w:szCs w:val="32"/>
        </w:rPr>
        <w:t xml:space="preserve">  积极扩大有效投资</w:t>
      </w:r>
    </w:p>
    <w:p>
      <w:pPr>
        <w:spacing w:after="312" w:afterLines="100"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优化投资结构，</w:t>
      </w:r>
      <w:r>
        <w:rPr>
          <w:rFonts w:hint="eastAsia" w:ascii="仿宋_GB2312" w:hAnsi="黑体" w:eastAsia="仿宋_GB2312" w:cs="仿宋_GB2312"/>
          <w:sz w:val="32"/>
          <w:szCs w:val="32"/>
        </w:rPr>
        <w:t>深化投融资体制改革，加强发展规划、产业政策、行业准入标准对投资活动的引导，激发民间投资活力，</w:t>
      </w:r>
      <w:r>
        <w:rPr>
          <w:rFonts w:hint="eastAsia" w:ascii="仿宋_GB2312" w:hAnsi="仿宋_GB2312" w:eastAsia="仿宋_GB2312" w:cs="仿宋_GB2312"/>
          <w:sz w:val="32"/>
          <w:szCs w:val="32"/>
        </w:rPr>
        <w:t>加快补齐发展短板，保持投资合理稳定增长。</w:t>
      </w:r>
    </w:p>
    <w:p>
      <w:pPr>
        <w:spacing w:after="312" w:afterLines="100" w:line="600" w:lineRule="exact"/>
        <w:jc w:val="center"/>
        <w:rPr>
          <w:rFonts w:ascii="楷体_GB2312" w:hAnsi="仿宋_GB2312" w:eastAsia="楷体_GB2312" w:cs="仿宋_GB2312"/>
          <w:b/>
          <w:sz w:val="32"/>
          <w:szCs w:val="32"/>
        </w:rPr>
      </w:pPr>
      <w:r>
        <w:rPr>
          <w:rFonts w:hint="eastAsia" w:ascii="楷体_GB2312" w:hAnsi="仿宋_GB2312" w:eastAsia="楷体_GB2312" w:cs="仿宋_GB2312"/>
          <w:b/>
          <w:sz w:val="32"/>
          <w:szCs w:val="32"/>
        </w:rPr>
        <w:t>第一节  优化投资结构和方向</w:t>
      </w:r>
    </w:p>
    <w:p>
      <w:pPr>
        <w:spacing w:after="312" w:afterLines="100"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加强传统基础设施和新型基础设施投资，持续扩大实体经济投资尤其是工业投资，促进传统产业改造升级，扩大战略新兴产业投资。加大基础设施、市政工程、农业农村、公共安全、生态环保、公共卫生、物资储备、防灾救灾、民生保障等领域投资力度。推进新型基础设施、新型城镇化、交通水利能源等重大工程建设。深入推进投资审批体制改革，健全</w:t>
      </w:r>
      <w:r>
        <w:rPr>
          <w:rFonts w:hint="eastAsia" w:ascii="仿宋_GB2312" w:hAnsi="黑体" w:eastAsia="仿宋_GB2312" w:cs="仿宋_GB2312"/>
          <w:sz w:val="32"/>
          <w:szCs w:val="32"/>
        </w:rPr>
        <w:t>土地、能源、环境容量、资金等要素跟着项目走的综合协调保</w:t>
      </w:r>
      <w:r>
        <w:rPr>
          <w:rFonts w:hint="eastAsia" w:ascii="仿宋_GB2312" w:hAnsi="仿宋_GB2312" w:eastAsia="仿宋_GB2312" w:cs="仿宋_GB2312"/>
          <w:sz w:val="32"/>
          <w:szCs w:val="32"/>
        </w:rPr>
        <w:t>障机制，统筹谋划实施一批促消费、惠民生、调结构、增后劲的重大项目，积极推行“拿地即开工”。加强政府投资统筹管理，优化政府投资方向，创新政府投资方式，发挥政府投资撬动作用，规范有序推进政府和社会资本合作模式，积极盘活存量优质资产，形成良性投资循环。拓展技术、人力资本等</w:t>
      </w:r>
      <w:r>
        <w:rPr>
          <w:rFonts w:hint="eastAsia" w:ascii="仿宋_GB2312" w:hAnsi="黑体" w:eastAsia="仿宋_GB2312" w:cs="仿宋_GB2312"/>
          <w:sz w:val="32"/>
          <w:szCs w:val="32"/>
        </w:rPr>
        <w:t>要素投入，推广股权、债券、融资租赁等融资模式，</w:t>
      </w:r>
      <w:r>
        <w:rPr>
          <w:rFonts w:hint="eastAsia" w:ascii="仿宋_GB2312" w:hAnsi="仿宋_GB2312" w:eastAsia="仿宋_GB2312" w:cs="仿宋_GB2312"/>
          <w:sz w:val="32"/>
          <w:szCs w:val="32"/>
        </w:rPr>
        <w:t>形成市场主导的投资内生增长机制。</w:t>
      </w:r>
    </w:p>
    <w:p>
      <w:pPr>
        <w:spacing w:after="312" w:afterLines="100" w:line="600" w:lineRule="exact"/>
        <w:jc w:val="center"/>
        <w:rPr>
          <w:rFonts w:ascii="楷体_GB2312" w:hAnsi="仿宋_GB2312" w:eastAsia="楷体_GB2312" w:cs="仿宋_GB2312"/>
          <w:sz w:val="32"/>
          <w:szCs w:val="32"/>
        </w:rPr>
      </w:pPr>
      <w:bookmarkStart w:id="24" w:name="_Toc57642450"/>
      <w:bookmarkStart w:id="25" w:name="_Toc13901"/>
      <w:r>
        <w:rPr>
          <w:rFonts w:hint="eastAsia" w:ascii="楷体_GB2312" w:hAnsi="仿宋_GB2312" w:eastAsia="楷体_GB2312" w:cs="仿宋_GB2312"/>
          <w:b/>
          <w:sz w:val="32"/>
          <w:szCs w:val="32"/>
        </w:rPr>
        <w:t>第二节 激发民间投资活力</w:t>
      </w:r>
      <w:bookmarkEnd w:id="24"/>
      <w:bookmarkEnd w:id="25"/>
    </w:p>
    <w:p>
      <w:pPr>
        <w:spacing w:after="312" w:afterLines="100" w:line="600" w:lineRule="exact"/>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扩大民间投资领域，建立健全市场化合理回报机制，以基础设施、社会事业等领域为重点，放宽民间投资准入门槛，在行业准入、资质标准、招投标等方面对各类性质企业一视同仁，进一步激发民间投资活力。</w:t>
      </w:r>
      <w:r>
        <w:rPr>
          <w:rFonts w:hint="eastAsia" w:ascii="仿宋_GB2312" w:hAnsi="黑体" w:eastAsia="仿宋_GB2312" w:cs="仿宋_GB2312"/>
          <w:sz w:val="32"/>
          <w:szCs w:val="32"/>
        </w:rPr>
        <w:t>强化规划政策引导，及时向社会发布产业政策、行业准入标准等信息，健全向民间资本推介项目长效机制。落实国家税收优惠政策,简化办理程序,优化纳税服务。支持有市场、有前景、守信用的暂时困难民营企业脱困发展。</w:t>
      </w:r>
      <w:r>
        <w:rPr>
          <w:rFonts w:hint="eastAsia" w:ascii="仿宋_GB2312" w:hAnsi="仿宋_GB2312" w:eastAsia="仿宋_GB2312" w:cs="仿宋_GB2312"/>
          <w:sz w:val="32"/>
          <w:szCs w:val="32"/>
        </w:rPr>
        <w:t>深化投融资体制改革，推动投资项目管理重心由事前审批向事前政策引导、事中事后监管约束和过程服务转变。</w:t>
      </w:r>
      <w:r>
        <w:rPr>
          <w:rFonts w:ascii="仿宋_GB2312" w:hAnsi="仿宋_GB2312" w:eastAsia="仿宋_GB2312" w:cs="仿宋_GB2312"/>
          <w:sz w:val="32"/>
          <w:szCs w:val="32"/>
        </w:rPr>
        <w:t>支持具备条件的建筑、交通、水利施工企业申请国际工程承包资质，承接境外工程项目。</w:t>
      </w:r>
      <w:r>
        <w:rPr>
          <w:rFonts w:hint="eastAsia" w:ascii="仿宋_GB2312" w:hAnsi="仿宋_GB2312" w:eastAsia="仿宋_GB2312" w:cs="仿宋_GB2312"/>
          <w:sz w:val="32"/>
          <w:szCs w:val="32"/>
        </w:rPr>
        <w:t xml:space="preserve">                                                                                                                                                                                                                                                                                                                                                                                 </w:t>
      </w:r>
    </w:p>
    <w:p>
      <w:pPr>
        <w:spacing w:after="312" w:afterLines="100" w:line="600" w:lineRule="exact"/>
        <w:jc w:val="center"/>
        <w:rPr>
          <w:rFonts w:ascii="黑体" w:hAnsi="黑体" w:eastAsia="黑体"/>
          <w:bCs/>
          <w:sz w:val="32"/>
          <w:szCs w:val="32"/>
        </w:rPr>
      </w:pPr>
      <w:r>
        <w:tab/>
      </w:r>
      <w:r>
        <w:rPr>
          <w:rFonts w:hint="eastAsia" w:ascii="黑体" w:hAnsi="黑体" w:eastAsia="黑体"/>
          <w:bCs/>
          <w:sz w:val="32"/>
          <w:szCs w:val="32"/>
        </w:rPr>
        <w:t>第二十八章  加快消费扩容提质</w:t>
      </w:r>
    </w:p>
    <w:p>
      <w:pPr>
        <w:spacing w:after="312" w:afterLines="100" w:line="580" w:lineRule="exact"/>
        <w:ind w:firstLine="640" w:firstLineChars="200"/>
        <w:rPr>
          <w:rFonts w:ascii="仿宋_GB2312" w:hAnsi="黑体" w:eastAsia="仿宋_GB2312" w:cs="仿宋_GB2312"/>
          <w:sz w:val="32"/>
          <w:szCs w:val="32"/>
        </w:rPr>
      </w:pPr>
      <w:r>
        <w:rPr>
          <w:rFonts w:hint="eastAsia" w:ascii="仿宋_GB2312" w:hAnsi="黑体" w:eastAsia="仿宋_GB2312" w:cs="仿宋_GB2312"/>
          <w:sz w:val="32"/>
          <w:szCs w:val="32"/>
        </w:rPr>
        <w:t>充分发挥消费对经济发展的基础性作用，提高居民收入水平和消费能力，改善消费环境、促进消费升级、扩大消费市场，最大限度释放消费潜力。</w:t>
      </w:r>
    </w:p>
    <w:p>
      <w:pPr>
        <w:spacing w:after="312" w:afterLines="100" w:line="600" w:lineRule="exact"/>
        <w:jc w:val="center"/>
        <w:rPr>
          <w:rFonts w:ascii="楷体_GB2312" w:hAnsi="仿宋" w:eastAsia="楷体_GB2312"/>
          <w:b/>
          <w:sz w:val="32"/>
          <w:szCs w:val="32"/>
        </w:rPr>
      </w:pPr>
      <w:r>
        <w:rPr>
          <w:rFonts w:hint="eastAsia" w:ascii="楷体_GB2312" w:hAnsi="仿宋_GB2312" w:eastAsia="楷体_GB2312" w:cs="仿宋_GB2312"/>
          <w:b/>
          <w:sz w:val="32"/>
          <w:szCs w:val="32"/>
        </w:rPr>
        <w:t>第一节  促进消费升级</w:t>
      </w:r>
    </w:p>
    <w:p>
      <w:pPr>
        <w:spacing w:after="312" w:afterLines="100"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顺应消费数字化、品质化、个性化、多元化趋势，提升传统消费，培育新型消费，适度增加公共消费，培育区域消费中心和特色消费中心。加强消费品和服务质量标准建设，以质量品牌为重点，深入实施“同线同标同质”工程，促进消费向绿色、健康、安全发展，建设品牌强市。拓展丰富消费场景，完善“互联网</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消费”生态体系，大力发展夜经济、假日经济和旅游经济，鼓励发展首店经济、小店经济等业态模式，促进供需在更高水平上良性循环。推动传统零售服务和渠道电商资源整合，加快建设智慧商超、智慧街区、智慧商圈和智慧体验馆，大力发展无接触配送、无人零售、直播电商等消费新方式。积极培育信息、时尚、体验等新兴消费热点。拓展城乡消费市场，激发农村消费潜力。鼓励老旧机动车、电器提前报废更新，促进汽车、家电等大宗消费，推动住房消费健康发展。发展服务消费，放宽服务消费领域市场准入。</w:t>
      </w:r>
    </w:p>
    <w:p>
      <w:pPr>
        <w:spacing w:after="312" w:afterLines="100" w:line="600" w:lineRule="exact"/>
        <w:jc w:val="center"/>
        <w:rPr>
          <w:rFonts w:ascii="楷体_GB2312" w:hAnsi="仿宋" w:eastAsia="楷体_GB2312"/>
          <w:b/>
          <w:sz w:val="32"/>
          <w:szCs w:val="32"/>
        </w:rPr>
      </w:pPr>
      <w:r>
        <w:rPr>
          <w:rFonts w:hint="eastAsia" w:ascii="楷体_GB2312" w:hAnsi="仿宋" w:eastAsia="楷体_GB2312"/>
          <w:b/>
          <w:sz w:val="32"/>
          <w:szCs w:val="32"/>
        </w:rPr>
        <w:t>第二节 改善消费环境</w:t>
      </w:r>
    </w:p>
    <w:p>
      <w:pPr>
        <w:spacing w:after="312" w:afterLines="100"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完善促进消费体制机制，强化消费者权益保护，营造放心消费环境。优化市域商业网点布局，建设多层次、特色化区域商圈和商业街区。推动汽车等消费品由购买管理向使用管理转变。完善新能源汽车在城市建成区减免停车费、便利通行等支持政策。支持具备条件的景区建设自驾车、旅居车营地，鼓励发展租赁式公寓、精品民宿等旅游短租服务。完善重点消费品废旧回收循环利用体系，规范发展汽车、家电、电子产品回收利用产业。健全农村流通网络，扩大电商、快递、品牌商超农村覆盖面，打通农村消费“最后一公里”。强化市场秩序监管，严厉打击各种侵犯知识产权和制售伪劣商品等违法犯罪活动，完善产品质量安全追溯和服务责任追溯机制，加强消费领域信用建设，畅通消费者维权渠道。鼓励消费金融创新，规范发展消费信贷，创新网上消费信贷监管模式。</w:t>
      </w:r>
    </w:p>
    <w:p>
      <w:pPr>
        <w:spacing w:after="312" w:afterLines="100" w:line="580" w:lineRule="exact"/>
        <w:jc w:val="center"/>
        <w:rPr>
          <w:rFonts w:ascii="楷体_GB2312" w:hAnsi="仿宋" w:eastAsia="楷体_GB2312"/>
          <w:b/>
          <w:sz w:val="32"/>
          <w:szCs w:val="32"/>
        </w:rPr>
      </w:pPr>
      <w:r>
        <w:rPr>
          <w:rFonts w:hint="eastAsia" w:ascii="楷体_GB2312" w:hAnsi="仿宋" w:eastAsia="楷体_GB2312"/>
          <w:b/>
          <w:sz w:val="32"/>
          <w:szCs w:val="32"/>
        </w:rPr>
        <w:t>第三节 提升消费能力</w:t>
      </w:r>
    </w:p>
    <w:p>
      <w:pPr>
        <w:spacing w:after="312" w:afterLines="100"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施中等收入群体培育战略，完善落实收入分配制度，提高劳动报酬在初次分配中的比重。提高高校毕业生就业质量，拓宽技术工人上升通道，实施高素质农民培育计划，完善小微创业者和低收入群体扶持政策。拓宽低收入群体增收渠道，完善企业最低工资保障制度，促进农民工资性、经营性、财产性、转移性收入稳定增长。完善公务员工资正常增长机制，深化事业单位工资制度改革，提高技能人才和专业技术人员工资水平。完善以家庭为单位的福利支持政策，减轻家庭支出负担。</w:t>
      </w:r>
      <w:bookmarkEnd w:id="23"/>
      <w:r>
        <w:rPr>
          <w:rFonts w:hint="eastAsia" w:ascii="仿宋_GB2312" w:hAnsi="仿宋_GB2312" w:eastAsia="仿宋_GB2312" w:cs="仿宋_GB2312"/>
          <w:sz w:val="32"/>
          <w:szCs w:val="32"/>
        </w:rPr>
        <w:t>落实带薪休假制度，扩大节假日消费。</w:t>
      </w:r>
    </w:p>
    <w:p>
      <w:pPr>
        <w:spacing w:line="580" w:lineRule="exact"/>
        <w:jc w:val="center"/>
        <w:rPr>
          <w:rFonts w:ascii="方正小标宋简体" w:hAnsi="黑体" w:eastAsia="方正小标宋简体"/>
          <w:sz w:val="32"/>
          <w:szCs w:val="32"/>
        </w:rPr>
      </w:pPr>
      <w:r>
        <w:rPr>
          <w:rFonts w:hint="eastAsia" w:ascii="方正小标宋简体" w:hAnsi="黑体" w:eastAsia="方正小标宋简体"/>
          <w:sz w:val="32"/>
          <w:szCs w:val="32"/>
        </w:rPr>
        <w:t>第八篇  全面深化改革，加快构建充满活力的</w:t>
      </w:r>
    </w:p>
    <w:p>
      <w:pPr>
        <w:spacing w:after="312" w:afterLines="100" w:line="580" w:lineRule="exact"/>
        <w:jc w:val="center"/>
        <w:rPr>
          <w:rFonts w:ascii="方正小标宋简体" w:hAnsi="黑体" w:eastAsia="方正小标宋简体"/>
          <w:sz w:val="32"/>
          <w:szCs w:val="32"/>
        </w:rPr>
      </w:pPr>
      <w:r>
        <w:rPr>
          <w:rFonts w:hint="eastAsia" w:ascii="方正小标宋简体" w:hAnsi="黑体" w:eastAsia="方正小标宋简体"/>
          <w:sz w:val="32"/>
          <w:szCs w:val="32"/>
        </w:rPr>
        <w:t>市场经济体制机制</w:t>
      </w:r>
    </w:p>
    <w:p>
      <w:pPr>
        <w:spacing w:after="312" w:afterLines="100"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全面推进市场化改革，强化改革举措系统集成、协同高效，充分发挥市场在资源配置中的决定性作用，更好发挥政府作用，推动有效市场和有为政府更好结合。</w:t>
      </w:r>
    </w:p>
    <w:p>
      <w:pPr>
        <w:spacing w:after="312" w:afterLines="100" w:line="580" w:lineRule="exact"/>
        <w:jc w:val="center"/>
        <w:rPr>
          <w:rFonts w:ascii="黑体" w:hAnsi="黑体" w:eastAsia="黑体"/>
          <w:bCs/>
          <w:sz w:val="32"/>
          <w:szCs w:val="32"/>
        </w:rPr>
      </w:pPr>
      <w:bookmarkStart w:id="26" w:name="_Hlk59028111"/>
      <w:r>
        <w:rPr>
          <w:rFonts w:hint="eastAsia" w:ascii="黑体" w:hAnsi="黑体" w:eastAsia="黑体"/>
          <w:bCs/>
          <w:sz w:val="32"/>
          <w:szCs w:val="32"/>
        </w:rPr>
        <w:t>第二十九章 提升政府治理能力</w:t>
      </w:r>
    </w:p>
    <w:p>
      <w:pPr>
        <w:spacing w:after="312" w:afterLines="100" w:line="600" w:lineRule="exact"/>
        <w:ind w:firstLine="640" w:firstLineChars="200"/>
        <w:rPr>
          <w:rFonts w:ascii="仿宋_GB2312" w:hAnsi="黑体" w:eastAsia="仿宋_GB2312" w:cs="仿宋_GB2312"/>
          <w:sz w:val="32"/>
          <w:szCs w:val="32"/>
        </w:rPr>
      </w:pPr>
      <w:r>
        <w:rPr>
          <w:rFonts w:hint="eastAsia" w:ascii="仿宋_GB2312" w:hAnsi="黑体" w:eastAsia="仿宋_GB2312" w:cs="仿宋_GB2312"/>
          <w:sz w:val="32"/>
          <w:szCs w:val="32"/>
        </w:rPr>
        <w:t>加快转变政府职能，持续优化营商环境，创新行政管理，优化服务方式，提高行政效能，增强治理能力。</w:t>
      </w:r>
    </w:p>
    <w:p>
      <w:pPr>
        <w:widowControl/>
        <w:numPr>
          <w:ilvl w:val="255"/>
          <w:numId w:val="0"/>
        </w:numPr>
        <w:spacing w:after="312" w:afterLines="100" w:line="600" w:lineRule="exact"/>
        <w:jc w:val="center"/>
        <w:rPr>
          <w:rFonts w:ascii="楷体_GB2312" w:hAnsi="仿宋" w:eastAsia="楷体_GB2312"/>
          <w:b/>
          <w:sz w:val="32"/>
          <w:szCs w:val="32"/>
        </w:rPr>
      </w:pPr>
      <w:r>
        <w:rPr>
          <w:rFonts w:hint="eastAsia" w:ascii="楷体_GB2312" w:hAnsi="仿宋" w:eastAsia="楷体_GB2312"/>
          <w:b/>
          <w:sz w:val="32"/>
          <w:szCs w:val="32"/>
        </w:rPr>
        <w:t>第一节  加强宏观经济调控</w:t>
      </w:r>
    </w:p>
    <w:p>
      <w:pPr>
        <w:widowControl/>
        <w:numPr>
          <w:ilvl w:val="255"/>
          <w:numId w:val="0"/>
        </w:numPr>
        <w:spacing w:after="312" w:afterLines="100" w:line="600" w:lineRule="exact"/>
        <w:ind w:firstLine="640" w:firstLineChars="200"/>
        <w:rPr>
          <w:rFonts w:ascii="仿宋_GB2312" w:hAnsi="黑体" w:eastAsia="仿宋_GB2312" w:cs="仿宋_GB2312"/>
          <w:sz w:val="32"/>
          <w:szCs w:val="32"/>
        </w:rPr>
      </w:pPr>
      <w:r>
        <w:rPr>
          <w:rFonts w:hint="eastAsia" w:ascii="仿宋_GB2312" w:hAnsi="黑体" w:eastAsia="仿宋_GB2312" w:cs="仿宋_GB2312"/>
          <w:sz w:val="32"/>
          <w:szCs w:val="32"/>
        </w:rPr>
        <w:t>贯彻落实国家、省宏观调控政策，健全规划引导和就业、产业、投资、消费、环保等政策协同发力的调节机制。注重处理好政府和市场、短期和长期的关系，统筹稳增长、促改革、调结构、惠民生、防风险、保稳定，保持经济运行在合理区间。坚持问题导向和目标导向，增强宏观经济调节的前瞻性、针对性和有效性，更好发挥政策组合效应，提高精准性和有效性，增强经济抵御风险能力。充分利用现代技术手段，加强经济监测分析，推进统计现代化改革，创新统计制度和方法，健全宏观经济政策和市场信息权威发布机制，建设经济运行监测分析平台。</w:t>
      </w:r>
    </w:p>
    <w:p>
      <w:pPr>
        <w:spacing w:after="312" w:afterLines="100" w:line="600" w:lineRule="exact"/>
        <w:jc w:val="center"/>
        <w:rPr>
          <w:rFonts w:ascii="楷体_GB2312" w:hAnsi="仿宋" w:eastAsia="楷体_GB2312"/>
          <w:b/>
          <w:sz w:val="32"/>
          <w:szCs w:val="32"/>
        </w:rPr>
      </w:pPr>
      <w:r>
        <w:rPr>
          <w:rFonts w:hint="eastAsia" w:ascii="楷体_GB2312" w:hAnsi="仿宋" w:eastAsia="楷体_GB2312"/>
          <w:b/>
          <w:sz w:val="32"/>
          <w:szCs w:val="32"/>
        </w:rPr>
        <w:t>第二节  打造一流营商环境</w:t>
      </w:r>
    </w:p>
    <w:bookmarkEnd w:id="26"/>
    <w:p>
      <w:pPr>
        <w:spacing w:after="312" w:afterLines="100" w:line="600" w:lineRule="exact"/>
        <w:ind w:firstLine="640" w:firstLineChars="200"/>
        <w:rPr>
          <w:rFonts w:ascii="楷体" w:hAnsi="楷体" w:eastAsia="楷体"/>
          <w:b/>
          <w:sz w:val="32"/>
          <w:szCs w:val="32"/>
        </w:rPr>
      </w:pPr>
      <w:r>
        <w:rPr>
          <w:rFonts w:hint="eastAsia" w:ascii="仿宋_GB2312" w:hAnsi="仿宋_GB2312" w:eastAsia="仿宋_GB2312" w:cs="仿宋_GB2312"/>
          <w:sz w:val="32"/>
          <w:szCs w:val="32"/>
        </w:rPr>
        <w:t>加快转变政府职能，建设职责明确、依法行政的政府治理体系。全面落实《河南省优化营商环境条例》。纵深推进“放管服”改革，加快政务数据联通共享，全面实行政府权责清单制度。深化政务公开，持续做好政务服务标准化和政务流程再造，进一步精简行政审批事项，全面推行“一件事一次办”,探索以投资项目告知承诺制为核心的极简审批。深化“证照分离”“照后减证”等商事制度改革，完善便利各类市场主体的注册经营、扶持政策享受、注销退出等机制。实施涉企经营许可事项清单管理，强化事中事后监管，完善跨领域跨部门协同监管机制，全面推行“双随机、一公开”监管，加强“互联网+监管”应用。强化</w:t>
      </w:r>
      <w:r>
        <w:rPr>
          <w:rFonts w:ascii="仿宋_GB2312" w:hAnsi="仿宋_GB2312" w:eastAsia="仿宋_GB2312" w:cs="仿宋_GB2312"/>
          <w:sz w:val="32"/>
          <w:szCs w:val="32"/>
        </w:rPr>
        <w:t>营商环境评价</w:t>
      </w:r>
      <w:r>
        <w:rPr>
          <w:rFonts w:hint="eastAsia" w:ascii="仿宋_GB2312" w:hAnsi="仿宋_GB2312" w:eastAsia="仿宋_GB2312" w:cs="仿宋_GB2312"/>
          <w:sz w:val="32"/>
          <w:szCs w:val="32"/>
        </w:rPr>
        <w:t>结果运用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着力打造一流的</w:t>
      </w:r>
      <w:r>
        <w:rPr>
          <w:rFonts w:ascii="仿宋_GB2312" w:hAnsi="仿宋_GB2312" w:eastAsia="仿宋_GB2312" w:cs="仿宋_GB2312"/>
          <w:sz w:val="32"/>
          <w:szCs w:val="32"/>
        </w:rPr>
        <w:t>市场化法治化国际化营商环境。</w:t>
      </w:r>
    </w:p>
    <w:p>
      <w:pPr>
        <w:spacing w:after="312" w:afterLines="100" w:line="600" w:lineRule="exact"/>
        <w:jc w:val="center"/>
        <w:rPr>
          <w:rFonts w:ascii="楷体_GB2312" w:hAnsi="仿宋_GB2312" w:eastAsia="楷体_GB2312" w:cs="仿宋_GB2312"/>
          <w:b/>
          <w:sz w:val="32"/>
          <w:szCs w:val="32"/>
        </w:rPr>
      </w:pPr>
      <w:r>
        <w:rPr>
          <w:rFonts w:hint="eastAsia" w:ascii="楷体_GB2312" w:hAnsi="仿宋_GB2312" w:eastAsia="楷体_GB2312" w:cs="仿宋_GB2312"/>
          <w:b/>
          <w:sz w:val="32"/>
          <w:szCs w:val="32"/>
        </w:rPr>
        <w:t>第三节  深化地方财税体制改革</w:t>
      </w:r>
    </w:p>
    <w:p>
      <w:pPr>
        <w:widowControl/>
        <w:numPr>
          <w:ilvl w:val="255"/>
          <w:numId w:val="0"/>
        </w:numPr>
        <w:spacing w:after="312" w:afterLines="100" w:line="600" w:lineRule="exact"/>
        <w:ind w:firstLine="640" w:firstLineChars="200"/>
        <w:rPr>
          <w:rFonts w:ascii="仿宋_GB2312" w:hAnsi="黑体" w:eastAsia="仿宋_GB2312" w:cs="仿宋_GB2312"/>
          <w:sz w:val="32"/>
          <w:szCs w:val="32"/>
        </w:rPr>
      </w:pPr>
      <w:r>
        <w:rPr>
          <w:rFonts w:hint="eastAsia" w:ascii="仿宋_GB2312" w:hAnsi="仿宋_GB2312" w:eastAsia="仿宋_GB2312" w:cs="仿宋_GB2312"/>
          <w:sz w:val="32"/>
          <w:szCs w:val="32"/>
        </w:rPr>
        <w:t>加强财政资源统筹，加强中期财政规划管理，增强重大决策部署财力保障。深化预算管理制度改革，完善政府预算体系，推进零基预算和财政支出标准化，强化预算约束和绩效管理。健全市县两级财政管理体制，增强基层公共服务保障能力。推进综合治税，深化税收征管制度改革，统筹推进非税收入改革。完善政府债务管理及风险预警机制</w:t>
      </w:r>
      <w:r>
        <w:rPr>
          <w:rFonts w:hint="eastAsia" w:ascii="仿宋_GB2312" w:hAnsi="黑体" w:eastAsia="仿宋_GB2312" w:cs="仿宋_GB2312"/>
          <w:sz w:val="32"/>
          <w:szCs w:val="32"/>
        </w:rPr>
        <w:t>。强化审计职能，实现审计全覆盖，开展常态化“经济体检”。</w:t>
      </w:r>
    </w:p>
    <w:p>
      <w:pPr>
        <w:spacing w:after="312" w:afterLines="100" w:line="600" w:lineRule="exact"/>
        <w:jc w:val="center"/>
        <w:rPr>
          <w:rFonts w:ascii="楷体_GB2312" w:hAnsi="仿宋_GB2312" w:eastAsia="楷体_GB2312" w:cs="仿宋_GB2312"/>
          <w:b/>
          <w:sz w:val="32"/>
          <w:szCs w:val="32"/>
        </w:rPr>
      </w:pPr>
      <w:r>
        <w:rPr>
          <w:rFonts w:hint="eastAsia" w:ascii="楷体_GB2312" w:hAnsi="仿宋_GB2312" w:eastAsia="楷体_GB2312" w:cs="仿宋_GB2312"/>
          <w:b/>
          <w:sz w:val="32"/>
          <w:szCs w:val="32"/>
        </w:rPr>
        <w:t>第四节  加快社会信用体系建设</w:t>
      </w:r>
    </w:p>
    <w:p>
      <w:pPr>
        <w:spacing w:after="312" w:afterLines="100" w:line="600" w:lineRule="exact"/>
        <w:ind w:firstLine="640" w:firstLineChars="200"/>
        <w:rPr>
          <w:rFonts w:ascii="仿宋_GB2312" w:hAnsi="仿宋_GB2312" w:eastAsia="仿宋_GB2312" w:cs="仿宋_GB2312"/>
          <w:sz w:val="32"/>
          <w:szCs w:val="32"/>
        </w:rPr>
      </w:pPr>
      <w:r>
        <w:rPr>
          <w:rFonts w:hint="eastAsia" w:ascii="仿宋_GB2312" w:hAnsi="黑体" w:eastAsia="仿宋_GB2312" w:cs="仿宋_GB2312"/>
          <w:bCs/>
          <w:sz w:val="32"/>
          <w:szCs w:val="32"/>
        </w:rPr>
        <w:t>全面落实《河南省社会信用条例》，完善配套政策措施和地方信用标准规范。推进政务诚信监测治理，建立健全政府诚信履约和失信责任追究制度。</w:t>
      </w:r>
      <w:r>
        <w:rPr>
          <w:rFonts w:hint="eastAsia" w:ascii="仿宋_GB2312" w:hAnsi="仿宋_GB2312" w:eastAsia="仿宋_GB2312" w:cs="仿宋_GB2312"/>
          <w:sz w:val="32"/>
          <w:szCs w:val="32"/>
        </w:rPr>
        <w:t>加强公共信用信息归集共享，推动基础性信用信息查询服务便利化。推广以信用为基础的新型监管，完善信用承诺制度，全面建立市场主体信用记录，开展市场主体公共信用综合评价和分级分类监管。完善实施守信联合激励和失信联合惩戒，健全信用修复机制。推进征信平台建设，加快培育征信、信用评级等信用服务机构。深入推进社会信用体系与大数据融合发展。推动信用惠民便企，大力推广“信易贷”，支持信用融资发展，推动“信易租”“信易行”等创新应用，激励市民和市场主体守信行为。加强涉企政务数据与金融机构共享，助力中小微企业信用融资。广泛开展信用宣传，宣扬诚信文化，组织诚信教育，全面提升社会诚信意识。加快国家社会信用体系示范区创建。</w:t>
      </w:r>
    </w:p>
    <w:p>
      <w:pPr>
        <w:spacing w:after="312" w:afterLines="100" w:line="600" w:lineRule="exact"/>
        <w:jc w:val="center"/>
        <w:rPr>
          <w:rFonts w:ascii="黑体" w:hAnsi="黑体" w:eastAsia="黑体" w:cs="仿宋_GB2312"/>
          <w:bCs/>
          <w:sz w:val="32"/>
          <w:szCs w:val="32"/>
        </w:rPr>
      </w:pPr>
      <w:r>
        <w:rPr>
          <w:rFonts w:hint="eastAsia" w:ascii="黑体" w:hAnsi="黑体" w:eastAsia="黑体"/>
          <w:bCs/>
          <w:sz w:val="32"/>
          <w:szCs w:val="32"/>
        </w:rPr>
        <w:t>第三十章  激发市场主体活力</w:t>
      </w:r>
    </w:p>
    <w:p>
      <w:pPr>
        <w:spacing w:after="312" w:afterLines="100" w:line="600" w:lineRule="exact"/>
        <w:ind w:firstLine="640" w:firstLineChars="200"/>
        <w:rPr>
          <w:rFonts w:ascii="仿宋_GB2312" w:hAnsi="仿宋_GB2312" w:eastAsia="仿宋_GB2312" w:cs="仿宋_GB2312"/>
          <w:sz w:val="32"/>
          <w:szCs w:val="32"/>
        </w:rPr>
      </w:pPr>
      <w:r>
        <w:rPr>
          <w:rFonts w:hint="eastAsia" w:ascii="仿宋_GB2312" w:hAnsi="黑体" w:eastAsia="仿宋_GB2312" w:cs="仿宋_GB2312"/>
          <w:bCs/>
          <w:sz w:val="32"/>
          <w:szCs w:val="32"/>
        </w:rPr>
        <w:t>加快推进政府投融资平台改革，促进民营企业健康发展，构建亲清政商关系，促进企业活力提升。</w:t>
      </w:r>
      <w:bookmarkStart w:id="27" w:name="_Toc19498"/>
      <w:bookmarkStart w:id="28" w:name="_Toc57642471"/>
    </w:p>
    <w:p>
      <w:pPr>
        <w:spacing w:after="312" w:afterLines="100" w:line="600" w:lineRule="exact"/>
        <w:jc w:val="center"/>
        <w:rPr>
          <w:rFonts w:ascii="楷体_GB2312" w:hAnsi="仿宋_GB2312" w:eastAsia="楷体_GB2312" w:cs="仿宋_GB2312"/>
          <w:b/>
          <w:sz w:val="32"/>
          <w:szCs w:val="32"/>
        </w:rPr>
      </w:pPr>
      <w:r>
        <w:rPr>
          <w:rFonts w:hint="eastAsia" w:ascii="楷体_GB2312" w:hAnsi="仿宋_GB2312" w:eastAsia="楷体_GB2312" w:cs="仿宋_GB2312"/>
          <w:b/>
          <w:sz w:val="32"/>
          <w:szCs w:val="32"/>
        </w:rPr>
        <w:t>第一节  深化政府投融资平台公司市场化改革</w:t>
      </w:r>
    </w:p>
    <w:p>
      <w:pPr>
        <w:spacing w:after="312" w:afterLines="100" w:line="600" w:lineRule="exact"/>
        <w:ind w:firstLine="640" w:firstLineChars="200"/>
        <w:rPr>
          <w:rFonts w:ascii="仿宋_GB2312" w:hAnsi="黑体" w:eastAsia="仿宋_GB2312" w:cs="仿宋_GB2312"/>
          <w:bCs/>
          <w:sz w:val="32"/>
          <w:szCs w:val="32"/>
        </w:rPr>
      </w:pPr>
      <w:r>
        <w:rPr>
          <w:rFonts w:hint="eastAsia" w:ascii="仿宋_GB2312" w:hAnsi="黑体" w:eastAsia="仿宋_GB2312" w:cs="仿宋_GB2312"/>
          <w:bCs/>
          <w:sz w:val="32"/>
          <w:szCs w:val="32"/>
        </w:rPr>
        <w:t>按照政府引导、平台自主、市场化运营的原则，</w:t>
      </w:r>
      <w:r>
        <w:rPr>
          <w:rFonts w:hint="eastAsia" w:ascii="仿宋_GB2312" w:hAnsi="仿宋_GB2312" w:eastAsia="仿宋_GB2312" w:cs="仿宋_GB2312"/>
          <w:sz w:val="32"/>
          <w:szCs w:val="32"/>
        </w:rPr>
        <w:t>推进政府投融资平台公司市场化改革和转型，</w:t>
      </w:r>
      <w:r>
        <w:rPr>
          <w:rFonts w:hint="eastAsia" w:ascii="仿宋_GB2312" w:hAnsi="黑体" w:eastAsia="仿宋_GB2312" w:cs="仿宋_GB2312"/>
          <w:bCs/>
          <w:sz w:val="32"/>
          <w:szCs w:val="32"/>
        </w:rPr>
        <w:t>着力提升平台“注”“融”“投”“管”能力。注入优质资产，扩充资本规模；创新融资方式，提升发展活力；拓宽投资领域，增强造血功能；强化监管考评，保障平台良性运转，推动市级平台进一步做大做优做强。</w:t>
      </w:r>
      <w:r>
        <w:rPr>
          <w:rFonts w:hint="eastAsia" w:ascii="仿宋_GB2312" w:hAnsi="仿宋_GB2312" w:eastAsia="仿宋_GB2312" w:cs="仿宋_GB2312"/>
          <w:sz w:val="32"/>
          <w:szCs w:val="32"/>
        </w:rPr>
        <w:t>加快推进政府资金基金化改革，做大做强政府基金。</w:t>
      </w:r>
      <w:r>
        <w:rPr>
          <w:rFonts w:hint="eastAsia" w:ascii="仿宋_GB2312" w:hAnsi="黑体" w:eastAsia="仿宋_GB2312" w:cs="仿宋_GB2312"/>
          <w:bCs/>
          <w:sz w:val="32"/>
          <w:szCs w:val="32"/>
        </w:rPr>
        <w:t>发挥投融资对产业培育、城市建设、社会事业等支撑撬动作用</w:t>
      </w:r>
      <w:r>
        <w:rPr>
          <w:rFonts w:ascii="仿宋_GB2312" w:hAnsi="黑体" w:eastAsia="仿宋_GB2312" w:cs="仿宋_GB2312"/>
          <w:bCs/>
          <w:sz w:val="32"/>
          <w:szCs w:val="32"/>
        </w:rPr>
        <w:t>。</w:t>
      </w:r>
    </w:p>
    <w:p>
      <w:pPr>
        <w:spacing w:after="312" w:afterLines="100" w:line="600" w:lineRule="exact"/>
        <w:jc w:val="center"/>
        <w:rPr>
          <w:rFonts w:ascii="楷体_GB2312" w:hAnsi="仿宋_GB2312" w:eastAsia="楷体_GB2312" w:cs="仿宋_GB2312"/>
          <w:sz w:val="32"/>
          <w:szCs w:val="32"/>
        </w:rPr>
      </w:pPr>
      <w:r>
        <w:rPr>
          <w:rFonts w:hint="eastAsia" w:ascii="楷体_GB2312" w:hAnsi="仿宋_GB2312" w:eastAsia="楷体_GB2312" w:cs="仿宋_GB2312"/>
          <w:b/>
          <w:sz w:val="32"/>
          <w:szCs w:val="32"/>
        </w:rPr>
        <w:t>第二节  促进民营企业健康发展</w:t>
      </w:r>
      <w:bookmarkEnd w:id="27"/>
      <w:bookmarkEnd w:id="28"/>
    </w:p>
    <w:p>
      <w:pPr>
        <w:spacing w:after="312" w:afterLines="100" w:line="600" w:lineRule="exact"/>
        <w:ind w:firstLine="640" w:firstLineChars="200"/>
        <w:rPr>
          <w:rFonts w:ascii="仿宋_GB2312" w:hAnsi="黑体" w:eastAsia="仿宋_GB2312" w:cs="仿宋_GB2312"/>
          <w:bCs/>
          <w:sz w:val="32"/>
          <w:szCs w:val="32"/>
        </w:rPr>
      </w:pPr>
      <w:r>
        <w:rPr>
          <w:rFonts w:hint="eastAsia" w:ascii="仿宋_GB2312" w:hAnsi="黑体" w:eastAsia="仿宋_GB2312" w:cs="仿宋_GB2312"/>
          <w:bCs/>
          <w:sz w:val="32"/>
          <w:szCs w:val="32"/>
        </w:rPr>
        <w:t>优化民营经济发展环境，促进民营企业健康发展，培育更多充满活力的市场主体。完善支持民营企业创新发展政策体系，依法保护民营企业产权和企业家权益，破除制约民营企业发展的各种壁垒，落实减税降费各项政策。强化金融支持，降低企业用能用地和融资成本，减轻民营企业负担。健全民营企业融资增信和直接融资支持制度，增加面向小微企业和民营企业的金融服务供给。大力营造企业家健康成长环境，更好发挥企业家作用。</w:t>
      </w:r>
    </w:p>
    <w:p>
      <w:pPr>
        <w:spacing w:after="312" w:afterLines="100" w:line="600" w:lineRule="exact"/>
        <w:jc w:val="center"/>
        <w:rPr>
          <w:rFonts w:ascii="楷体_GB2312" w:hAnsi="仿宋_GB2312" w:eastAsia="楷体_GB2312" w:cs="仿宋_GB2312"/>
          <w:b/>
          <w:sz w:val="32"/>
          <w:szCs w:val="32"/>
        </w:rPr>
      </w:pPr>
      <w:r>
        <w:rPr>
          <w:rFonts w:hint="eastAsia" w:ascii="楷体_GB2312" w:hAnsi="仿宋_GB2312" w:eastAsia="楷体_GB2312" w:cs="仿宋_GB2312"/>
          <w:b/>
          <w:sz w:val="32"/>
          <w:szCs w:val="32"/>
        </w:rPr>
        <w:t>第三节  构建新型亲清政商关系</w:t>
      </w:r>
    </w:p>
    <w:p>
      <w:pPr>
        <w:spacing w:after="312" w:afterLines="100" w:line="62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畅通企业家意见诉求通道，建立规范化政企沟通渠道，健全政府重大经济决策主动向企业家问计求策和意见处理反馈机制。加强涉企政策宣传解读和执行监督，健全评估调整程序，合理设置缓冲过渡期。完善企业全生命周期服务模式和服务链条，推广首席服务员、企业服务日、企业家恳谈日等制度。规范党政领导干部与民营经济人士联系交往，坚持正面清单引导与负面清单约束并重，构建“亲”而有度、“清”而有为的政商关系。</w:t>
      </w:r>
    </w:p>
    <w:p>
      <w:pPr>
        <w:spacing w:after="312" w:afterLines="100" w:line="620" w:lineRule="exact"/>
        <w:jc w:val="center"/>
        <w:rPr>
          <w:rFonts w:ascii="黑体" w:hAnsi="黑体" w:eastAsia="黑体"/>
          <w:bCs/>
          <w:sz w:val="32"/>
          <w:szCs w:val="32"/>
        </w:rPr>
      </w:pPr>
      <w:r>
        <w:rPr>
          <w:rFonts w:hint="eastAsia" w:ascii="黑体" w:hAnsi="黑体" w:eastAsia="黑体"/>
          <w:bCs/>
          <w:sz w:val="32"/>
          <w:szCs w:val="32"/>
        </w:rPr>
        <w:t>第</w:t>
      </w:r>
      <w:bookmarkStart w:id="29" w:name="_Hlk59027038"/>
      <w:r>
        <w:rPr>
          <w:rFonts w:hint="eastAsia" w:ascii="黑体" w:hAnsi="黑体" w:eastAsia="黑体"/>
          <w:bCs/>
          <w:sz w:val="32"/>
          <w:szCs w:val="32"/>
        </w:rPr>
        <w:t>三十一章  完善要素市场化配置</w:t>
      </w:r>
      <w:bookmarkEnd w:id="29"/>
    </w:p>
    <w:p>
      <w:pPr>
        <w:spacing w:after="312" w:afterLines="100" w:line="620" w:lineRule="exact"/>
        <w:ind w:firstLine="640" w:firstLineChars="200"/>
        <w:jc w:val="left"/>
        <w:rPr>
          <w:rFonts w:ascii="仿宋_GB2312" w:hAnsi="黑体" w:eastAsia="仿宋_GB2312" w:cs="仿宋_GB2312"/>
          <w:sz w:val="32"/>
          <w:szCs w:val="32"/>
        </w:rPr>
      </w:pPr>
      <w:r>
        <w:rPr>
          <w:rFonts w:hint="eastAsia" w:ascii="仿宋_GB2312" w:hAnsi="黑体" w:eastAsia="仿宋_GB2312" w:cs="仿宋_GB2312"/>
          <w:sz w:val="32"/>
          <w:szCs w:val="32"/>
        </w:rPr>
        <w:t>深化要素市场化配置改革，完善主要由市场决定要素价格机制和统一开放的要素市场。</w:t>
      </w:r>
    </w:p>
    <w:p>
      <w:pPr>
        <w:spacing w:after="312" w:afterLines="100" w:line="620" w:lineRule="exact"/>
        <w:jc w:val="center"/>
        <w:rPr>
          <w:rFonts w:ascii="楷体_GB2312" w:eastAsia="楷体_GB2312"/>
          <w:b/>
          <w:sz w:val="32"/>
          <w:szCs w:val="32"/>
        </w:rPr>
      </w:pPr>
      <w:r>
        <w:rPr>
          <w:rFonts w:hint="eastAsia" w:ascii="楷体_GB2312" w:eastAsia="楷体_GB2312"/>
          <w:b/>
          <w:sz w:val="32"/>
          <w:szCs w:val="32"/>
        </w:rPr>
        <w:t>第一节  建设统一开放的要素市场</w:t>
      </w:r>
    </w:p>
    <w:p>
      <w:pPr>
        <w:spacing w:after="312" w:afterLines="100" w:line="620" w:lineRule="exact"/>
        <w:ind w:firstLine="63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推进土地、劳动力、资本、技术、数据等要素市场化改革，健全市场体系制度基础，坚持平等进入，</w:t>
      </w:r>
      <w:bookmarkStart w:id="30" w:name="_Hlk59027345"/>
      <w:r>
        <w:rPr>
          <w:rFonts w:hint="eastAsia" w:ascii="仿宋_GB2312" w:hAnsi="仿宋_GB2312" w:eastAsia="仿宋_GB2312" w:cs="仿宋_GB2312"/>
          <w:sz w:val="32"/>
          <w:szCs w:val="32"/>
        </w:rPr>
        <w:t>扩大要素市场化配置范围，提高资源配置效率和全要素生产率。</w:t>
      </w:r>
      <w:bookmarkEnd w:id="30"/>
      <w:bookmarkStart w:id="31" w:name="_Hlk59027562"/>
      <w:r>
        <w:rPr>
          <w:rFonts w:hint="eastAsia" w:ascii="仿宋_GB2312" w:hAnsi="仿宋_GB2312" w:eastAsia="仿宋_GB2312" w:cs="仿宋_GB2312"/>
          <w:sz w:val="32"/>
          <w:szCs w:val="32"/>
        </w:rPr>
        <w:t>深化中心城区土地管理“六统一”，加快建设城乡统一的建设用地市场，创新存量土地和低效用地盘活利用机制，完善“标准地”制度，探索增加混合产业用地供给。加快建立协调衔接的劳动力、人才流动政策体系和交流合作机制，</w:t>
      </w:r>
      <w:bookmarkEnd w:id="31"/>
      <w:r>
        <w:rPr>
          <w:rFonts w:hint="eastAsia" w:ascii="仿宋_GB2312" w:hAnsi="仿宋_GB2312" w:eastAsia="仿宋_GB2312" w:cs="仿宋_GB2312"/>
          <w:sz w:val="32"/>
          <w:szCs w:val="32"/>
        </w:rPr>
        <w:t>引导劳动力要素合理畅通有序流动。深化金融供给侧结构性改革，健全地方金融监管机制。</w:t>
      </w:r>
      <w:bookmarkStart w:id="32" w:name="_Hlk59027809"/>
      <w:r>
        <w:rPr>
          <w:rFonts w:hint="eastAsia" w:ascii="仿宋_GB2312" w:hAnsi="仿宋_GB2312" w:eastAsia="仿宋_GB2312" w:cs="仿宋_GB2312"/>
          <w:sz w:val="32"/>
          <w:szCs w:val="32"/>
        </w:rPr>
        <w:t>加快发展技术要素市场，推动科技成果资本化，推进优势产业领域自主知识产权市场化运营。</w:t>
      </w:r>
      <w:bookmarkEnd w:id="32"/>
    </w:p>
    <w:p>
      <w:pPr>
        <w:spacing w:after="312" w:afterLines="100" w:line="580" w:lineRule="exact"/>
        <w:jc w:val="center"/>
        <w:rPr>
          <w:rFonts w:ascii="楷体_GB2312" w:hAnsi="仿宋_GB2312" w:eastAsia="楷体_GB2312" w:cs="仿宋_GB2312"/>
          <w:b/>
          <w:sz w:val="32"/>
          <w:szCs w:val="32"/>
        </w:rPr>
      </w:pPr>
      <w:r>
        <w:rPr>
          <w:rFonts w:hint="eastAsia" w:ascii="楷体_GB2312" w:hAnsi="仿宋_GB2312" w:eastAsia="楷体_GB2312" w:cs="仿宋_GB2312"/>
          <w:b/>
          <w:sz w:val="32"/>
          <w:szCs w:val="32"/>
        </w:rPr>
        <w:t>第二节 加快要素价格市场化改革</w:t>
      </w:r>
    </w:p>
    <w:p>
      <w:pPr>
        <w:spacing w:after="312" w:afterLines="100" w:line="5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完善主要由市场决定要素价格机制，推动政府定价机制由制定具体价格水平向制定定价规则转变，引导市场主体依法合理行使要素定价自主权。</w:t>
      </w:r>
      <w:r>
        <w:rPr>
          <w:rFonts w:hint="eastAsia" w:ascii="仿宋_GB2312" w:hAnsi="黑体" w:eastAsia="仿宋_GB2312" w:cs="仿宋_GB2312"/>
          <w:sz w:val="32"/>
          <w:szCs w:val="32"/>
        </w:rPr>
        <w:t>健全最低工资标准调整、工资集体协商和企业薪酬调查制度。</w:t>
      </w:r>
      <w:r>
        <w:rPr>
          <w:rFonts w:hint="eastAsia" w:ascii="仿宋_GB2312" w:hAnsi="仿宋_GB2312" w:eastAsia="仿宋_GB2312" w:cs="仿宋_GB2312"/>
          <w:sz w:val="32"/>
          <w:szCs w:val="32"/>
        </w:rPr>
        <w:t>健全各类要素市场化交易平台，完善要素交易规则和服务，增强要素应急配置能力。</w:t>
      </w:r>
      <w:r>
        <w:rPr>
          <w:rFonts w:hint="eastAsia" w:ascii="仿宋_GB2312" w:hAnsi="黑体" w:eastAsia="仿宋_GB2312" w:cs="仿宋_GB2312"/>
          <w:sz w:val="32"/>
          <w:szCs w:val="32"/>
        </w:rPr>
        <w:t>健全生产要素由市场评价贡献、按贡献决定报酬的机制。着重保护劳动所得，增加劳动者特别是一线劳动者劳动报酬。</w:t>
      </w:r>
    </w:p>
    <w:p>
      <w:pPr>
        <w:spacing w:after="312" w:afterLines="100" w:line="580" w:lineRule="exact"/>
        <w:jc w:val="center"/>
        <w:rPr>
          <w:rFonts w:ascii="楷体_GB2312" w:hAnsi="仿宋_GB2312" w:eastAsia="楷体_GB2312" w:cs="仿宋_GB2312"/>
          <w:b/>
          <w:sz w:val="32"/>
          <w:szCs w:val="32"/>
        </w:rPr>
      </w:pPr>
      <w:r>
        <w:rPr>
          <w:rFonts w:hint="eastAsia" w:ascii="楷体_GB2312" w:hAnsi="仿宋_GB2312" w:eastAsia="楷体_GB2312" w:cs="仿宋_GB2312"/>
          <w:b/>
          <w:sz w:val="32"/>
          <w:szCs w:val="32"/>
        </w:rPr>
        <w:t>第三节  加强公共资源交易管理</w:t>
      </w:r>
    </w:p>
    <w:p>
      <w:pPr>
        <w:spacing w:after="312" w:afterLines="100" w:line="580" w:lineRule="exact"/>
        <w:ind w:firstLine="640" w:firstLineChars="200"/>
        <w:rPr>
          <w:rFonts w:ascii="仿宋_GB2312" w:eastAsia="仿宋_GB2312"/>
          <w:sz w:val="32"/>
          <w:szCs w:val="32"/>
        </w:rPr>
      </w:pPr>
      <w:r>
        <w:rPr>
          <w:rFonts w:hint="eastAsia" w:ascii="仿宋_GB2312" w:eastAsia="仿宋_GB2312"/>
          <w:sz w:val="32"/>
          <w:szCs w:val="32"/>
        </w:rPr>
        <w:t>深化公共资源交易领域改革，着力提高公共资源交易活动规范化、便利性和透明度。推进交易全过程电子化和不见面开标，精简进场手续，优化交易流程，实现交易活动高效规范。探索电子保函“全链条”应用，推广标后金融服务，提升服务实效、降低交易成本。加快公共资源交易平台整合共享，拓展交易、服务功能，推动远程异地评标常态化。创新交易监管方式、完善交易监管制度，形成全过程全覆盖的公共资源交易监管体系。</w:t>
      </w:r>
    </w:p>
    <w:p>
      <w:pPr>
        <w:spacing w:after="312" w:afterLines="100" w:line="580" w:lineRule="exact"/>
        <w:jc w:val="center"/>
        <w:rPr>
          <w:rFonts w:ascii="方正小标宋简体" w:hAnsi="黑体" w:eastAsia="方正小标宋简体"/>
          <w:sz w:val="32"/>
          <w:szCs w:val="32"/>
        </w:rPr>
      </w:pPr>
      <w:r>
        <w:rPr>
          <w:rFonts w:hint="eastAsia" w:ascii="方正小标宋简体" w:hAnsi="黑体" w:eastAsia="方正小标宋简体"/>
          <w:sz w:val="32"/>
          <w:szCs w:val="32"/>
        </w:rPr>
        <w:t>第九篇</w:t>
      </w:r>
      <w:bookmarkStart w:id="33" w:name="_Hlk59029643"/>
      <w:r>
        <w:rPr>
          <w:rFonts w:hint="eastAsia" w:ascii="方正小标宋简体" w:hAnsi="黑体" w:eastAsia="方正小标宋简体"/>
          <w:sz w:val="32"/>
          <w:szCs w:val="32"/>
        </w:rPr>
        <w:t xml:space="preserve">  构筑高层次开放平台，</w:t>
      </w:r>
      <w:bookmarkEnd w:id="33"/>
      <w:bookmarkStart w:id="34" w:name="_Toc439969463"/>
      <w:bookmarkStart w:id="35" w:name="_Toc450810618"/>
      <w:bookmarkStart w:id="36" w:name="_Toc452298417"/>
      <w:r>
        <w:rPr>
          <w:rFonts w:hint="eastAsia" w:ascii="方正小标宋简体" w:hAnsi="黑体" w:eastAsia="方正小标宋简体"/>
          <w:sz w:val="32"/>
          <w:szCs w:val="32"/>
        </w:rPr>
        <w:t>建设区域开放高地</w:t>
      </w:r>
    </w:p>
    <w:p>
      <w:pPr>
        <w:spacing w:after="312" w:afterLines="100" w:line="600" w:lineRule="exact"/>
        <w:ind w:firstLine="640" w:firstLineChars="200"/>
        <w:rPr>
          <w:rFonts w:ascii="仿宋_GB2312" w:hAnsi="仿宋_GB2312" w:eastAsia="仿宋_GB2312" w:cs="仿宋_GB2312"/>
          <w:sz w:val="32"/>
          <w:szCs w:val="32"/>
        </w:rPr>
      </w:pPr>
      <w:bookmarkStart w:id="37" w:name="_Hlk59030225"/>
      <w:r>
        <w:rPr>
          <w:rFonts w:hint="eastAsia" w:ascii="仿宋_GB2312" w:hAnsi="仿宋_GB2312" w:eastAsia="仿宋_GB2312" w:cs="仿宋_GB2312"/>
          <w:sz w:val="32"/>
          <w:szCs w:val="32"/>
        </w:rPr>
        <w:t>坚持开放带动，积极参与全国、全省经济发展布局调整、格局重构，推动开放载体集中布局、集聚发展，承接产业转移，推动更高水平、更宽领域、更大规模对外开放。</w:t>
      </w:r>
    </w:p>
    <w:p>
      <w:pPr>
        <w:spacing w:after="312" w:afterLines="100" w:line="600" w:lineRule="exact"/>
        <w:jc w:val="center"/>
        <w:rPr>
          <w:rFonts w:ascii="黑体" w:hAnsi="黑体" w:eastAsia="黑体"/>
          <w:sz w:val="32"/>
          <w:szCs w:val="32"/>
        </w:rPr>
      </w:pPr>
      <w:r>
        <w:rPr>
          <w:rFonts w:hint="eastAsia" w:ascii="黑体" w:hAnsi="黑体" w:eastAsia="黑体"/>
          <w:sz w:val="32"/>
          <w:szCs w:val="32"/>
        </w:rPr>
        <w:t xml:space="preserve">第三十二章  </w:t>
      </w:r>
      <w:bookmarkEnd w:id="34"/>
      <w:bookmarkEnd w:id="35"/>
      <w:bookmarkEnd w:id="36"/>
      <w:r>
        <w:rPr>
          <w:rFonts w:hint="eastAsia" w:ascii="黑体" w:hAnsi="黑体" w:eastAsia="黑体"/>
          <w:sz w:val="32"/>
          <w:szCs w:val="32"/>
        </w:rPr>
        <w:t>加强开放载体建设</w:t>
      </w:r>
    </w:p>
    <w:p>
      <w:pPr>
        <w:spacing w:after="312" w:afterLines="100"/>
        <w:ind w:firstLine="480" w:firstLineChars="150"/>
        <w:rPr>
          <w:rFonts w:ascii="仿宋_GB2312" w:hAnsi="黑体" w:eastAsia="仿宋_GB2312" w:cs="仿宋_GB2312"/>
          <w:sz w:val="32"/>
          <w:szCs w:val="32"/>
        </w:rPr>
      </w:pPr>
      <w:r>
        <w:rPr>
          <w:rFonts w:hint="eastAsia" w:ascii="仿宋_GB2312" w:hAnsi="黑体" w:eastAsia="仿宋_GB2312" w:cs="仿宋_GB2312"/>
          <w:sz w:val="32"/>
          <w:szCs w:val="32"/>
        </w:rPr>
        <w:t>提升开放服务平台能级，放大各类开放平台联动集成效应，构建开放流通体系，推进全方位、多层次、多元化开放合作，全面提升开放水平。</w:t>
      </w:r>
    </w:p>
    <w:bookmarkEnd w:id="37"/>
    <w:p>
      <w:pPr>
        <w:spacing w:after="312" w:afterLines="100" w:line="600" w:lineRule="exact"/>
        <w:jc w:val="center"/>
        <w:rPr>
          <w:rFonts w:ascii="楷体_GB2312" w:hAnsi="楷体" w:eastAsia="楷体_GB2312"/>
          <w:b/>
          <w:bCs/>
          <w:sz w:val="32"/>
          <w:szCs w:val="32"/>
        </w:rPr>
      </w:pPr>
      <w:bookmarkStart w:id="38" w:name="_Hlk59030243"/>
      <w:r>
        <w:rPr>
          <w:rFonts w:hint="eastAsia" w:ascii="楷体_GB2312" w:hAnsi="楷体" w:eastAsia="楷体_GB2312"/>
          <w:b/>
          <w:bCs/>
          <w:sz w:val="32"/>
          <w:szCs w:val="32"/>
        </w:rPr>
        <w:t>第一节  加快构建开放流通体系</w:t>
      </w:r>
    </w:p>
    <w:p>
      <w:pPr>
        <w:spacing w:after="312" w:afterLines="100" w:line="600" w:lineRule="exact"/>
        <w:ind w:firstLine="627" w:firstLineChars="196"/>
        <w:rPr>
          <w:rFonts w:ascii="仿宋_GB2312" w:hAnsi="楷体" w:eastAsia="仿宋_GB2312"/>
          <w:bCs/>
          <w:sz w:val="32"/>
          <w:szCs w:val="32"/>
        </w:rPr>
      </w:pPr>
      <w:r>
        <w:rPr>
          <w:rFonts w:hint="eastAsia" w:ascii="仿宋_GB2312" w:hAnsi="仿宋_GB2312" w:eastAsia="仿宋_GB2312" w:cs="仿宋_GB2312"/>
          <w:sz w:val="32"/>
          <w:szCs w:val="32"/>
        </w:rPr>
        <w:t>加快建设国家级跨境电子商务综合试验区和零售进口试点城市，培育跨境电商特色产业集群和产业园区，完善跨境电商产业链和生态圈，建成区域进出口商品分拨集散和消费中心。</w:t>
      </w:r>
      <w:r>
        <w:rPr>
          <w:rFonts w:hint="eastAsia" w:ascii="仿宋_GB2312" w:hAnsi="楷体" w:eastAsia="仿宋_GB2312"/>
          <w:bCs/>
          <w:sz w:val="32"/>
          <w:szCs w:val="32"/>
        </w:rPr>
        <w:t>积极申建南阳机场航空口岸，强化南阳机场与国内外主要枢纽机场战略合作，发展全货机航班，建成连接国内主要经济体的航空运输网络，拓展连接日韩及东南亚等国家航空运输通道。力争打通卧龙综保区货物经北京、上海等机场转运出口的航空物流通道，增加中欧班列、南阳</w:t>
      </w:r>
      <w:r>
        <w:rPr>
          <w:rFonts w:ascii="仿宋_GB2312" w:hAnsi="楷体" w:eastAsia="仿宋_GB2312"/>
          <w:bCs/>
          <w:sz w:val="32"/>
          <w:szCs w:val="32"/>
        </w:rPr>
        <w:t>-</w:t>
      </w:r>
      <w:r>
        <w:rPr>
          <w:rFonts w:hint="eastAsia" w:ascii="仿宋_GB2312" w:hAnsi="楷体" w:eastAsia="仿宋_GB2312"/>
          <w:bCs/>
          <w:sz w:val="32"/>
          <w:szCs w:val="32"/>
        </w:rPr>
        <w:t>宁波、南阳</w:t>
      </w:r>
      <w:r>
        <w:rPr>
          <w:rFonts w:ascii="仿宋_GB2312" w:hAnsi="楷体" w:eastAsia="仿宋_GB2312"/>
          <w:bCs/>
          <w:sz w:val="32"/>
          <w:szCs w:val="32"/>
        </w:rPr>
        <w:t>-</w:t>
      </w:r>
      <w:r>
        <w:rPr>
          <w:rFonts w:hint="eastAsia" w:ascii="仿宋_GB2312" w:hAnsi="楷体" w:eastAsia="仿宋_GB2312"/>
          <w:bCs/>
          <w:sz w:val="32"/>
          <w:szCs w:val="32"/>
        </w:rPr>
        <w:t>青岛、南阳</w:t>
      </w:r>
      <w:r>
        <w:rPr>
          <w:rFonts w:ascii="仿宋_GB2312" w:hAnsi="楷体" w:eastAsia="仿宋_GB2312"/>
          <w:bCs/>
          <w:sz w:val="32"/>
          <w:szCs w:val="32"/>
        </w:rPr>
        <w:t>-</w:t>
      </w:r>
      <w:r>
        <w:rPr>
          <w:rFonts w:hint="eastAsia" w:ascii="仿宋_GB2312" w:hAnsi="楷体" w:eastAsia="仿宋_GB2312"/>
          <w:bCs/>
          <w:sz w:val="32"/>
          <w:szCs w:val="32"/>
        </w:rPr>
        <w:t>连云港等多港口海铁联运班列开行频次，稳步拓展海铁联运线路，打造覆盖豫西南、连接国内主要经济区、联通“一带一路”沿线国家的综合交通物流枢纽。</w:t>
      </w:r>
      <w:r>
        <w:rPr>
          <w:rFonts w:hint="eastAsia" w:ascii="仿宋_GB2312" w:hAnsi="仿宋_GB2312" w:eastAsia="仿宋_GB2312" w:cs="仿宋_GB2312"/>
          <w:sz w:val="32"/>
          <w:szCs w:val="32"/>
        </w:rPr>
        <w:t>引导优势外贸产业转型升级，申建粮食、肉类等各类海关指定监管场地，申建食用菌市场采购贸易方式试点。</w:t>
      </w:r>
      <w:r>
        <w:rPr>
          <w:rFonts w:hint="eastAsia" w:ascii="仿宋_GB2312" w:hAnsi="楷体" w:eastAsia="仿宋_GB2312"/>
          <w:bCs/>
          <w:sz w:val="32"/>
          <w:szCs w:val="32"/>
        </w:rPr>
        <w:t>实施铁路专用线及口岸作业区建设,加快大宗商贸物流园区建设。</w:t>
      </w:r>
    </w:p>
    <w:p>
      <w:pPr>
        <w:spacing w:after="312" w:afterLines="100" w:line="600" w:lineRule="exact"/>
        <w:jc w:val="center"/>
        <w:rPr>
          <w:rFonts w:ascii="楷体_GB2312" w:hAnsi="楷体" w:eastAsia="楷体_GB2312"/>
          <w:b/>
          <w:bCs/>
          <w:sz w:val="32"/>
          <w:szCs w:val="32"/>
        </w:rPr>
      </w:pPr>
      <w:r>
        <w:rPr>
          <w:rFonts w:hint="eastAsia" w:ascii="楷体_GB2312" w:hAnsi="楷体" w:eastAsia="楷体_GB2312"/>
          <w:b/>
          <w:bCs/>
          <w:sz w:val="32"/>
          <w:szCs w:val="32"/>
        </w:rPr>
        <w:t>第二节  加快推进南阳国际陆港建设</w:t>
      </w:r>
    </w:p>
    <w:p>
      <w:pPr>
        <w:spacing w:after="312" w:afterLines="100"/>
        <w:ind w:firstLine="640" w:firstLineChars="200"/>
        <w:rPr>
          <w:rFonts w:ascii="仿宋" w:hAnsi="仿宋" w:eastAsia="仿宋" w:cs="仿宋"/>
          <w:sz w:val="28"/>
          <w:szCs w:val="28"/>
        </w:rPr>
      </w:pPr>
      <w:r>
        <w:rPr>
          <w:rFonts w:hint="eastAsia" w:ascii="仿宋_GB2312" w:hAnsi="楷体" w:eastAsia="仿宋_GB2312"/>
          <w:bCs/>
          <w:sz w:val="32"/>
          <w:szCs w:val="32"/>
        </w:rPr>
        <w:t>依托卧龙综保区、铁路二级物流基地，高标准规划建设南阳国际陆港。积极稳妥推进卧龙综保区体制机制改革，推行“管委会+公司”发展模式，破除发展障碍。加快卧龙综保区</w:t>
      </w:r>
      <w:r>
        <w:rPr>
          <w:rFonts w:hint="eastAsia" w:ascii="仿宋_GB2312" w:hAnsi="仿宋_GB2312" w:eastAsia="仿宋_GB2312" w:cs="仿宋_GB2312"/>
          <w:sz w:val="32"/>
          <w:szCs w:val="32"/>
        </w:rPr>
        <w:t>申建河南自贸区联动发展区，打造全市开放型经济新引擎</w:t>
      </w:r>
      <w:r>
        <w:rPr>
          <w:rFonts w:hint="eastAsia" w:ascii="仿宋_GB2312" w:hAnsi="楷体" w:eastAsia="仿宋_GB2312"/>
          <w:bCs/>
          <w:sz w:val="32"/>
          <w:szCs w:val="32"/>
        </w:rPr>
        <w:t>。围绕跨境电商、食品加工、建筑新材料、数字经济等产业，加快规划一批产业园区，</w:t>
      </w:r>
      <w:r>
        <w:rPr>
          <w:rFonts w:hint="eastAsia" w:ascii="仿宋_GB2312" w:hAnsi="仿宋_GB2312" w:eastAsia="仿宋_GB2312" w:cs="仿宋_GB2312"/>
          <w:sz w:val="32"/>
          <w:szCs w:val="32"/>
        </w:rPr>
        <w:t>争取引进中科遥感和北斗应用、新能源汽车</w:t>
      </w:r>
      <w:r>
        <w:rPr>
          <w:rFonts w:hint="eastAsia" w:ascii="仿宋_GB2312" w:eastAsia="仿宋_GB2312"/>
          <w:sz w:val="32"/>
          <w:szCs w:val="32"/>
        </w:rPr>
        <w:t>及总</w:t>
      </w:r>
      <w:r>
        <w:rPr>
          <w:rFonts w:hint="eastAsia" w:ascii="仿宋_GB2312" w:hAnsi="仿宋_GB2312" w:eastAsia="仿宋_GB2312" w:cs="仿宋_GB2312"/>
          <w:sz w:val="32"/>
          <w:szCs w:val="32"/>
        </w:rPr>
        <w:t>成制造、新型真空玻璃制造、军民融合等项目，形成具有较强竞争力的产业集群。</w:t>
      </w:r>
    </w:p>
    <w:bookmarkEnd w:id="38"/>
    <w:p>
      <w:pPr>
        <w:spacing w:after="312" w:afterLines="100" w:line="600" w:lineRule="exact"/>
        <w:jc w:val="center"/>
        <w:rPr>
          <w:rFonts w:ascii="黑体" w:hAnsi="黑体" w:eastAsia="黑体" w:cs="仿宋_GB2312"/>
          <w:bCs/>
          <w:sz w:val="32"/>
          <w:szCs w:val="32"/>
        </w:rPr>
      </w:pPr>
      <w:r>
        <w:rPr>
          <w:rFonts w:hint="eastAsia" w:ascii="黑体" w:hAnsi="黑体" w:eastAsia="黑体"/>
          <w:bCs/>
          <w:sz w:val="30"/>
          <w:szCs w:val="30"/>
        </w:rPr>
        <w:t xml:space="preserve">第三十三章   </w:t>
      </w:r>
      <w:bookmarkStart w:id="39" w:name="_Hlk59030756"/>
      <w:r>
        <w:rPr>
          <w:rFonts w:hint="eastAsia" w:ascii="黑体" w:hAnsi="黑体" w:eastAsia="黑体" w:cs="仿宋_GB2312"/>
          <w:bCs/>
          <w:sz w:val="32"/>
          <w:szCs w:val="32"/>
        </w:rPr>
        <w:t>构建开放招商新格局</w:t>
      </w:r>
    </w:p>
    <w:bookmarkEnd w:id="39"/>
    <w:p>
      <w:pPr>
        <w:spacing w:after="312" w:afterLines="100" w:line="600" w:lineRule="exact"/>
        <w:ind w:firstLine="600"/>
        <w:rPr>
          <w:rFonts w:ascii="仿宋_GB2312" w:hAnsi="仿宋_GB2312" w:eastAsia="仿宋_GB2312" w:cs="仿宋_GB2312"/>
          <w:sz w:val="32"/>
          <w:szCs w:val="32"/>
        </w:rPr>
      </w:pPr>
      <w:bookmarkStart w:id="40" w:name="_Hlk59030814"/>
      <w:r>
        <w:rPr>
          <w:rFonts w:hint="eastAsia" w:ascii="仿宋_GB2312" w:hAnsi="仿宋_GB2312" w:eastAsia="仿宋_GB2312" w:cs="仿宋_GB2312"/>
          <w:sz w:val="32"/>
          <w:szCs w:val="32"/>
        </w:rPr>
        <w:t>推动实施“招商引资招才引智一号工程”，创新精准招商模式，形成多领域、全覆盖、辐射性招商局面。</w:t>
      </w:r>
    </w:p>
    <w:bookmarkEnd w:id="40"/>
    <w:p>
      <w:pPr>
        <w:spacing w:after="312" w:afterLines="100" w:line="600" w:lineRule="exact"/>
        <w:jc w:val="center"/>
        <w:rPr>
          <w:rFonts w:ascii="楷体_GB2312" w:hAnsi="仿宋_GB2312" w:eastAsia="楷体_GB2312" w:cs="仿宋_GB2312"/>
          <w:b/>
          <w:sz w:val="32"/>
          <w:szCs w:val="32"/>
        </w:rPr>
      </w:pPr>
      <w:r>
        <w:rPr>
          <w:rFonts w:hint="eastAsia" w:ascii="楷体_GB2312" w:hAnsi="仿宋_GB2312" w:eastAsia="楷体_GB2312" w:cs="仿宋_GB2312"/>
          <w:b/>
          <w:sz w:val="32"/>
          <w:szCs w:val="32"/>
        </w:rPr>
        <w:t>第一节  强化精准招商</w:t>
      </w:r>
    </w:p>
    <w:p>
      <w:pPr>
        <w:spacing w:after="312" w:afterLines="100" w:line="600" w:lineRule="exact"/>
        <w:ind w:firstLine="600"/>
        <w:rPr>
          <w:rFonts w:ascii="仿宋_GB2312" w:hAnsi="仿宋_GB2312" w:eastAsia="仿宋_GB2312" w:cs="仿宋_GB2312"/>
          <w:sz w:val="32"/>
          <w:szCs w:val="32"/>
        </w:rPr>
      </w:pPr>
      <w:bookmarkStart w:id="41" w:name="_Hlk59030845"/>
      <w:r>
        <w:rPr>
          <w:rFonts w:hint="eastAsia" w:ascii="仿宋_GB2312" w:hAnsi="仿宋_GB2312" w:eastAsia="仿宋_GB2312" w:cs="仿宋_GB2312"/>
          <w:sz w:val="32"/>
          <w:szCs w:val="32"/>
        </w:rPr>
        <w:t>坚持招大引强、招强引优，立足产业延链补链，绘制产业链图谱和产业链招商行动路线图，推动招商引资精准升级。紧扣千百亿产业集群和重大基础设施支撑项目，锁定</w:t>
      </w:r>
      <w:r>
        <w:rPr>
          <w:rFonts w:ascii="仿宋_GB2312" w:hAnsi="仿宋_GB2312" w:eastAsia="仿宋_GB2312" w:cs="仿宋_GB2312"/>
          <w:sz w:val="32"/>
          <w:szCs w:val="32"/>
        </w:rPr>
        <w:t>500</w:t>
      </w:r>
      <w:r>
        <w:rPr>
          <w:rFonts w:hint="eastAsia" w:ascii="仿宋_GB2312" w:hAnsi="仿宋_GB2312" w:eastAsia="仿宋_GB2312" w:cs="仿宋_GB2312"/>
          <w:sz w:val="32"/>
          <w:szCs w:val="32"/>
        </w:rPr>
        <w:t>强及其关联企业，集中招引落户一批具有支撑性、引领性、带动性的大企业、大集团、大项目。丰富招商引资模式，鼓励园区招商，用活资本招商，做精节会招商、驻地招商、回归创业、委托招商，探索开展股权招商、</w:t>
      </w:r>
      <w:r>
        <w:rPr>
          <w:rFonts w:hint="eastAsia" w:ascii="仿宋_GB2312" w:hAnsi="仿宋_GB2312" w:eastAsia="仿宋_GB2312" w:cs="仿宋_GB2312"/>
          <w:spacing w:val="8"/>
          <w:sz w:val="32"/>
          <w:szCs w:val="32"/>
          <w:shd w:val="clear" w:color="auto" w:fill="FFFFFF"/>
        </w:rPr>
        <w:t>“头部企业”招商、核心节点企业招商、产业集群招商、众创孵化招商、“技术团队+资本+项目”招商、云招商</w:t>
      </w:r>
      <w:r>
        <w:rPr>
          <w:rFonts w:hint="eastAsia" w:ascii="仿宋_GB2312" w:hAnsi="仿宋_GB2312" w:eastAsia="仿宋_GB2312" w:cs="仿宋_GB2312"/>
          <w:sz w:val="32"/>
          <w:szCs w:val="32"/>
        </w:rPr>
        <w:t>，促进产业链延伸、拉长，把区位资源优势转化为经济优势。</w:t>
      </w:r>
    </w:p>
    <w:p>
      <w:pPr>
        <w:spacing w:after="312" w:afterLines="100" w:line="600" w:lineRule="exact"/>
        <w:jc w:val="center"/>
        <w:rPr>
          <w:rFonts w:ascii="楷体_GB2312" w:hAnsi="仿宋" w:eastAsia="楷体_GB2312"/>
          <w:b/>
          <w:sz w:val="32"/>
          <w:szCs w:val="32"/>
        </w:rPr>
      </w:pPr>
      <w:r>
        <w:rPr>
          <w:rFonts w:hint="eastAsia" w:ascii="楷体_GB2312" w:hAnsi="仿宋" w:eastAsia="楷体_GB2312"/>
          <w:b/>
          <w:sz w:val="32"/>
          <w:szCs w:val="32"/>
        </w:rPr>
        <w:t>第二节  推动区域合作招商</w:t>
      </w:r>
    </w:p>
    <w:p>
      <w:pPr>
        <w:spacing w:after="312" w:afterLines="100" w:line="600" w:lineRule="exact"/>
        <w:ind w:firstLine="600"/>
        <w:rPr>
          <w:rFonts w:ascii="仿宋_GB2312" w:hAnsi="仿宋_GB2312" w:eastAsia="仿宋_GB2312" w:cs="仿宋_GB2312"/>
          <w:sz w:val="32"/>
          <w:szCs w:val="32"/>
        </w:rPr>
      </w:pPr>
      <w:r>
        <w:rPr>
          <w:rFonts w:hint="eastAsia" w:ascii="仿宋_GB2312" w:hAnsi="仿宋_GB2312" w:eastAsia="仿宋_GB2312" w:cs="仿宋_GB2312"/>
          <w:sz w:val="32"/>
          <w:szCs w:val="32"/>
        </w:rPr>
        <w:t>建立县（市）产业规划沟通协调机制，以产业集聚区、服务业“两区”等为主体发展飞地经济，共建合作示范产业园区，探索收益分享机制。开展区域性产业合作，组建联合招商联盟、联合采购联盟，成立产业园区联盟。积极承接以京、津、沪、杭、广、深等发达地区产业转移，深化与长三角、珠三角、粤港澳大湾区合作。探索在境外设立工商中心，加强与领军型跨国公司企业及行业领军企业总部交流，促进双向投资贸易合作。</w:t>
      </w:r>
    </w:p>
    <w:p>
      <w:pPr>
        <w:spacing w:after="312" w:afterLines="100" w:line="600" w:lineRule="exact"/>
        <w:jc w:val="center"/>
        <w:rPr>
          <w:rFonts w:ascii="楷体_GB2312" w:hAnsi="仿宋" w:eastAsia="楷体_GB2312"/>
          <w:b/>
          <w:sz w:val="32"/>
          <w:szCs w:val="32"/>
        </w:rPr>
      </w:pPr>
      <w:r>
        <w:rPr>
          <w:rFonts w:hint="eastAsia" w:ascii="楷体_GB2312" w:hAnsi="仿宋" w:eastAsia="楷体_GB2312"/>
          <w:b/>
          <w:sz w:val="32"/>
          <w:szCs w:val="32"/>
        </w:rPr>
        <w:t>第三节  创新招商引资机制</w:t>
      </w:r>
    </w:p>
    <w:p>
      <w:pPr>
        <w:spacing w:after="312" w:afterLines="100" w:line="600" w:lineRule="exact"/>
        <w:ind w:firstLine="600"/>
        <w:rPr>
          <w:rFonts w:ascii="仿宋_GB2312" w:hAnsi="仿宋_GB2312" w:eastAsia="仿宋_GB2312" w:cs="仿宋_GB2312"/>
          <w:sz w:val="32"/>
          <w:szCs w:val="32"/>
        </w:rPr>
      </w:pPr>
      <w:r>
        <w:rPr>
          <w:rFonts w:hint="eastAsia" w:ascii="仿宋_GB2312" w:hAnsi="仿宋_GB2312" w:eastAsia="仿宋_GB2312" w:cs="仿宋_GB2312"/>
          <w:sz w:val="32"/>
          <w:szCs w:val="32"/>
        </w:rPr>
        <w:t>制定社会化专业招商促进办法，鼓励社会力量发展专业化招商公司，建立“招商局+专业化公司”互为补充的运行模式，实行从招商洽谈到项目落地、从投产运营到后续服务“一条龙”招商服务模式。集成创新招商优惠政策，简化企业入区程序，对入驻企业提供手续代办等一站式服务。推动县（市）间投资数据共享，促进科创资源自由流动。推动企业、工商信息数据共享，便于企业上下游对接和金融机构精准放贷。建立健全招商引资奖励政策，对工作业绩突出的招商引资部门予以绩效奖金上浮奖励。</w:t>
      </w:r>
    </w:p>
    <w:bookmarkEnd w:id="41"/>
    <w:p>
      <w:pPr>
        <w:spacing w:after="312" w:afterLines="100" w:line="600" w:lineRule="exact"/>
        <w:jc w:val="center"/>
        <w:rPr>
          <w:rFonts w:ascii="黑体" w:hAnsi="黑体" w:eastAsia="黑体"/>
          <w:bCs/>
          <w:sz w:val="32"/>
          <w:szCs w:val="32"/>
        </w:rPr>
      </w:pPr>
      <w:r>
        <w:rPr>
          <w:rFonts w:hint="eastAsia" w:ascii="黑体" w:hAnsi="黑体" w:eastAsia="黑体"/>
          <w:bCs/>
          <w:sz w:val="32"/>
          <w:szCs w:val="32"/>
        </w:rPr>
        <w:t>第三十四章   拓展开放合作空间</w:t>
      </w:r>
    </w:p>
    <w:p>
      <w:pPr>
        <w:spacing w:after="312" w:afterLines="100" w:line="600" w:lineRule="exact"/>
        <w:ind w:firstLine="63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积极参与全省“四路”协同和国家级开放平台联动发展，深度融入“一带一路”建设，密切京宛合作，主动融入长江经济带、汉江生态经济带、淮河生态经济带、黄河流域生态保护和高质量发展等国家重大战略。</w:t>
      </w:r>
    </w:p>
    <w:p>
      <w:pPr>
        <w:spacing w:after="312" w:afterLines="100" w:line="600" w:lineRule="exact"/>
        <w:jc w:val="center"/>
        <w:rPr>
          <w:rFonts w:ascii="楷体_GB2312" w:hAnsi="仿宋" w:eastAsia="楷体_GB2312"/>
          <w:b/>
          <w:sz w:val="32"/>
          <w:szCs w:val="32"/>
        </w:rPr>
      </w:pPr>
      <w:r>
        <w:rPr>
          <w:rFonts w:hint="eastAsia" w:ascii="楷体_GB2312" w:hAnsi="仿宋" w:eastAsia="楷体_GB2312"/>
          <w:b/>
          <w:sz w:val="32"/>
          <w:szCs w:val="32"/>
        </w:rPr>
        <w:t>第一节   积极融入“一带一路”建设</w:t>
      </w:r>
    </w:p>
    <w:p>
      <w:pPr>
        <w:spacing w:after="312" w:afterLines="100" w:line="600" w:lineRule="exact"/>
        <w:ind w:firstLine="600"/>
        <w:rPr>
          <w:rFonts w:ascii="仿宋_GB2312" w:hAnsi="仿宋_GB2312" w:eastAsia="仿宋_GB2312" w:cs="仿宋_GB2312"/>
          <w:sz w:val="32"/>
          <w:szCs w:val="32"/>
        </w:rPr>
      </w:pPr>
      <w:r>
        <w:rPr>
          <w:rFonts w:hint="eastAsia" w:ascii="仿宋_GB2312" w:hAnsi="仿宋_GB2312" w:eastAsia="仿宋_GB2312" w:cs="仿宋_GB2312"/>
          <w:sz w:val="32"/>
          <w:szCs w:val="32"/>
        </w:rPr>
        <w:t>深化与</w:t>
      </w:r>
      <w:r>
        <w:rPr>
          <w:rFonts w:hint="eastAsia" w:ascii="仿宋_GB2312" w:hAnsi="仿宋" w:eastAsia="仿宋_GB2312"/>
          <w:bCs/>
          <w:sz w:val="32"/>
          <w:szCs w:val="32"/>
        </w:rPr>
        <w:t>“</w:t>
      </w:r>
      <w:r>
        <w:rPr>
          <w:rFonts w:hint="eastAsia" w:ascii="仿宋_GB2312" w:hAnsi="仿宋_GB2312" w:eastAsia="仿宋_GB2312" w:cs="仿宋_GB2312"/>
          <w:sz w:val="32"/>
          <w:szCs w:val="32"/>
        </w:rPr>
        <w:t>一带一路”沿线重点国家和地区在产能、经贸、技术、中医药、旅游等方面合作，支持境外经贸合作园区建设，实现经贸跨国联动。充分发挥“走出去”龙头企业带动作用，推动优势企业承揽海外工程，带动设备和技术出口，加大与俄罗斯、中亚及欧洲各国产能合作，建立生产研发基地、营销网络和战略资源渠道。推动纺织、建材、装备制造、汽车零部件、机电等产业开展境外投资合作，支持有实力的企业积极参与境外矿产、农业等资源开发。支持南阳高等院校吸收外国留学人员，与国外机构开展合作办学。推动劳务外派，拓展外派劳务市场。积极融入丝绸之路文化之旅，弘扬丝路文化、万里茶道文化、南阳汉文化，带动南阳全面开放。</w:t>
      </w:r>
    </w:p>
    <w:p>
      <w:pPr>
        <w:spacing w:after="312" w:afterLines="100" w:line="600" w:lineRule="exact"/>
        <w:jc w:val="center"/>
        <w:rPr>
          <w:rFonts w:ascii="楷体_GB2312" w:hAnsi="仿宋" w:eastAsia="楷体_GB2312"/>
          <w:b/>
          <w:sz w:val="32"/>
          <w:szCs w:val="32"/>
        </w:rPr>
      </w:pPr>
      <w:r>
        <w:rPr>
          <w:rFonts w:hint="eastAsia" w:ascii="楷体_GB2312" w:hAnsi="仿宋" w:eastAsia="楷体_GB2312"/>
          <w:b/>
          <w:sz w:val="32"/>
          <w:szCs w:val="32"/>
        </w:rPr>
        <w:t>第二节  深化京宛对口协作</w:t>
      </w:r>
    </w:p>
    <w:p>
      <w:pPr>
        <w:spacing w:after="312" w:afterLines="100" w:line="600" w:lineRule="exact"/>
        <w:ind w:firstLine="600"/>
        <w:rPr>
          <w:rFonts w:ascii="仿宋_GB2312" w:hAnsi="仿宋_GB2312" w:eastAsia="仿宋_GB2312" w:cs="仿宋_GB2312"/>
          <w:sz w:val="32"/>
          <w:szCs w:val="32"/>
        </w:rPr>
      </w:pPr>
      <w:r>
        <w:rPr>
          <w:rFonts w:hint="eastAsia" w:ascii="仿宋_GB2312" w:hAnsi="仿宋_GB2312" w:eastAsia="仿宋_GB2312" w:cs="仿宋_GB2312"/>
          <w:sz w:val="32"/>
          <w:szCs w:val="32"/>
        </w:rPr>
        <w:t>精准对接北京非首都功能疏解，积极承接北京产业转移。深入落实京宛战略合作框架协议，加强交流对接，推动与中关村、首创、北控等驻京企业合作项目建设。拓展有机农产品进京种类和渠道，巩固扩大南阳农产品在京市场占有率，打造北京重要的农产品供应基地。建立完善“共塑市场、互送客源、同步宣传”旅游合作机制，打造南水北调精品旅游线路，建成北京市民旅游目的地。积极对接北京教育、科技资源，争取在宛设立分校和科技孵化园，打造北京科技成果南阳转化基地。加强南阳三甲医院与北京知名医院在远程会诊、人才培养、基础设施等方面协作，实现北京优质医疗资源共享。深入开展干部交流互访活动，增加互派干部的人数和频次，充分发挥挂职干部的纽带作用助推产业合作。结合乡村振兴战略，实施京宛对口协作援助项目。</w:t>
      </w:r>
    </w:p>
    <w:p>
      <w:pPr>
        <w:spacing w:after="312" w:afterLines="100" w:line="600" w:lineRule="exact"/>
        <w:jc w:val="center"/>
        <w:rPr>
          <w:rFonts w:ascii="楷体_GB2312" w:hAnsi="仿宋" w:eastAsia="楷体_GB2312"/>
          <w:b/>
          <w:sz w:val="32"/>
          <w:szCs w:val="32"/>
        </w:rPr>
      </w:pPr>
      <w:r>
        <w:rPr>
          <w:rFonts w:hint="eastAsia" w:ascii="楷体_GB2312" w:hAnsi="仿宋" w:eastAsia="楷体_GB2312"/>
          <w:b/>
          <w:sz w:val="32"/>
          <w:szCs w:val="32"/>
        </w:rPr>
        <w:t>第三节  主动融入区域重大战略</w:t>
      </w:r>
    </w:p>
    <w:p>
      <w:pPr>
        <w:spacing w:after="312" w:afterLines="100" w:line="600" w:lineRule="exact"/>
        <w:ind w:firstLine="600"/>
        <w:rPr>
          <w:rFonts w:ascii="仿宋_GB2312" w:hAnsi="仿宋_GB2312" w:eastAsia="仿宋_GB2312" w:cs="仿宋_GB2312"/>
          <w:sz w:val="32"/>
          <w:szCs w:val="32"/>
        </w:rPr>
      </w:pPr>
      <w:r>
        <w:rPr>
          <w:rFonts w:hint="eastAsia" w:ascii="仿宋_GB2312" w:hAnsi="仿宋_GB2312" w:eastAsia="仿宋_GB2312" w:cs="仿宋_GB2312"/>
          <w:sz w:val="32"/>
          <w:szCs w:val="32"/>
        </w:rPr>
        <w:t>以淮河生态经济带为纽带，依托合西高铁通道和淮河水运通道，创新与长三角地区跨省域对接合作机制，提升承接产业转移能力、积极融入长三角地区产业链供应链，构建东向开放新的产业带。加强与汉江生态经济带、淮河生态经济带区域合作联动发展，推动建立省际协商合作机制，在基础设施、产业发展、生态建设等方面全方位合作，打造面向长三角地区、融入长江经济带的先行区。推动我市在汉江生态经济带建设中成为国家战略水资源保障区、绿色发展先行区、省际毗邻地区联动发展实验区。加强淮河源头生态保护，建设沿淮生态经济走廊，充分利用淮河源头特殊地标位置，提升淮源品牌，加快淮河源头生态经济发展。抢抓大别山革命老区振兴重大机遇，全面提升革命老区基础设施建设水平，把唐河、桐柏建成全国重要的粮食生产和特色农产品加工基地、全国重要的生态旅游目的地。积极融入黄河流域生态保护和高质量发展重大战略，借势推动重大项目建设。</w:t>
      </w:r>
    </w:p>
    <w:p>
      <w:pPr>
        <w:pStyle w:val="20"/>
        <w:spacing w:before="0" w:beforeAutospacing="0" w:afterAutospacing="0" w:line="560" w:lineRule="exact"/>
        <w:ind w:firstLine="0" w:firstLineChars="0"/>
        <w:jc w:val="center"/>
        <w:textAlignment w:val="baseline"/>
        <w:rPr>
          <w:rFonts w:ascii="方正小标宋简体" w:hAnsi="黑体" w:eastAsia="方正小标宋简体"/>
          <w:sz w:val="32"/>
          <w:szCs w:val="32"/>
        </w:rPr>
      </w:pPr>
      <w:r>
        <w:rPr>
          <w:rFonts w:hint="eastAsia" w:ascii="方正小标宋简体" w:hAnsi="黑体" w:eastAsia="方正小标宋简体" w:cs="黑体"/>
          <w:sz w:val="32"/>
          <w:szCs w:val="32"/>
        </w:rPr>
        <w:t>第十篇  繁荣发展文化事业和文化产业，</w:t>
      </w:r>
      <w:r>
        <w:rPr>
          <w:rFonts w:hint="eastAsia" w:ascii="方正小标宋简体" w:hAnsi="黑体" w:eastAsia="方正小标宋简体"/>
          <w:sz w:val="32"/>
          <w:szCs w:val="32"/>
        </w:rPr>
        <w:t>建设</w:t>
      </w:r>
    </w:p>
    <w:p>
      <w:pPr>
        <w:pStyle w:val="20"/>
        <w:spacing w:before="0" w:beforeAutospacing="0" w:afterAutospacing="0" w:line="560" w:lineRule="exact"/>
        <w:ind w:firstLine="0" w:firstLineChars="0"/>
        <w:jc w:val="center"/>
        <w:textAlignment w:val="baseline"/>
        <w:rPr>
          <w:rFonts w:ascii="方正小标宋简体" w:hAnsi="黑体" w:eastAsia="方正小标宋简体"/>
          <w:sz w:val="32"/>
          <w:szCs w:val="32"/>
        </w:rPr>
      </w:pPr>
      <w:r>
        <w:rPr>
          <w:rFonts w:hint="eastAsia" w:ascii="方正小标宋简体" w:hAnsi="黑体" w:eastAsia="方正小标宋简体"/>
          <w:sz w:val="32"/>
          <w:szCs w:val="32"/>
        </w:rPr>
        <w:t>区域文化高地</w:t>
      </w:r>
    </w:p>
    <w:bookmarkEnd w:id="22"/>
    <w:p>
      <w:pPr>
        <w:autoSpaceDE w:val="0"/>
        <w:autoSpaceDN w:val="0"/>
        <w:spacing w:before="312" w:beforeLines="100" w:after="312" w:afterLines="100" w:line="600" w:lineRule="exact"/>
        <w:ind w:firstLine="640" w:firstLineChars="200"/>
        <w:rPr>
          <w:rFonts w:ascii="楷体_GB2312" w:hAnsi="仿宋" w:eastAsia="楷体_GB2312" w:cs="仿宋"/>
          <w:b/>
          <w:kern w:val="0"/>
          <w:sz w:val="32"/>
          <w:szCs w:val="32"/>
        </w:rPr>
      </w:pPr>
      <w:bookmarkStart w:id="42" w:name="_Toc439969445"/>
      <w:bookmarkStart w:id="43" w:name="_Toc452298399"/>
      <w:bookmarkStart w:id="44" w:name="_Toc450810600"/>
      <w:r>
        <w:rPr>
          <w:rFonts w:hint="eastAsia" w:ascii="仿宋_GB2312" w:eastAsia="仿宋_GB2312" w:cs="宋体"/>
          <w:bCs/>
          <w:kern w:val="0"/>
          <w:sz w:val="32"/>
          <w:szCs w:val="32"/>
        </w:rPr>
        <w:t>牢牢把握社会主义先进文化前进方向，坚持马克思主义在意识形态领域指导地位，坚定文化自信，围绕举旗帜、聚民心、育新人、兴文化、展形象使命任务，加强社会主义精神文明建设，丰富群众精神世界，增强人民精神力量。</w:t>
      </w:r>
    </w:p>
    <w:p>
      <w:pPr>
        <w:autoSpaceDE w:val="0"/>
        <w:autoSpaceDN w:val="0"/>
        <w:spacing w:after="312" w:afterLines="100" w:line="600" w:lineRule="exact"/>
        <w:jc w:val="center"/>
        <w:rPr>
          <w:rFonts w:ascii="黑体" w:hAnsi="黑体" w:eastAsia="黑体" w:cs="宋体"/>
          <w:kern w:val="0"/>
          <w:sz w:val="32"/>
          <w:szCs w:val="32"/>
        </w:rPr>
      </w:pPr>
      <w:r>
        <w:rPr>
          <w:rFonts w:hint="eastAsia" w:ascii="黑体" w:hAnsi="黑体" w:eastAsia="黑体" w:cs="Adobe 楷体 Std R"/>
          <w:sz w:val="32"/>
          <w:szCs w:val="32"/>
        </w:rPr>
        <w:t>第三十五章  提高</w:t>
      </w:r>
      <w:bookmarkEnd w:id="42"/>
      <w:bookmarkEnd w:id="43"/>
      <w:bookmarkEnd w:id="44"/>
      <w:r>
        <w:rPr>
          <w:rFonts w:hint="eastAsia" w:ascii="黑体" w:hAnsi="黑体" w:eastAsia="黑体" w:cs="Adobe 楷体 Std R"/>
          <w:sz w:val="32"/>
          <w:szCs w:val="32"/>
        </w:rPr>
        <w:t>社会文明程度</w:t>
      </w:r>
    </w:p>
    <w:p>
      <w:pPr>
        <w:autoSpaceDE w:val="0"/>
        <w:autoSpaceDN w:val="0"/>
        <w:spacing w:after="312" w:afterLines="100" w:line="600" w:lineRule="exact"/>
        <w:ind w:firstLine="640" w:firstLineChars="200"/>
        <w:jc w:val="left"/>
        <w:rPr>
          <w:rFonts w:ascii="仿宋_GB2312" w:hAnsi="新宋体" w:eastAsia="仿宋_GB2312"/>
          <w:sz w:val="32"/>
          <w:szCs w:val="32"/>
        </w:rPr>
      </w:pPr>
      <w:bookmarkStart w:id="45" w:name="_Hlk58713253"/>
      <w:r>
        <w:rPr>
          <w:rFonts w:hint="eastAsia" w:ascii="仿宋_GB2312" w:hAnsi="新宋体" w:eastAsia="仿宋_GB2312"/>
          <w:sz w:val="32"/>
          <w:szCs w:val="32"/>
        </w:rPr>
        <w:t>以社会主义核心价值观为引领，以德育人、以文化人，全面提高公民素质和社会文明程度，</w:t>
      </w:r>
      <w:r>
        <w:rPr>
          <w:rFonts w:hint="eastAsia" w:ascii="仿宋_GB2312" w:hAnsi="仿宋_GB2312" w:eastAsia="仿宋_GB2312" w:cs="仿宋_GB2312"/>
          <w:sz w:val="32"/>
          <w:szCs w:val="32"/>
        </w:rPr>
        <w:t>推动形成适应新时代要求的思想观念、精神面貌、文明风尚、行为规范。</w:t>
      </w:r>
      <w:bookmarkEnd w:id="45"/>
    </w:p>
    <w:p>
      <w:pPr>
        <w:autoSpaceDE w:val="0"/>
        <w:autoSpaceDN w:val="0"/>
        <w:spacing w:after="312" w:afterLines="100" w:line="600" w:lineRule="exact"/>
        <w:jc w:val="center"/>
        <w:rPr>
          <w:rFonts w:ascii="楷体_GB2312" w:hAnsi="新宋体" w:eastAsia="楷体_GB2312"/>
          <w:sz w:val="32"/>
          <w:szCs w:val="32"/>
        </w:rPr>
      </w:pPr>
      <w:r>
        <w:rPr>
          <w:rFonts w:hint="eastAsia" w:ascii="楷体_GB2312" w:hAnsi="新宋体" w:eastAsia="楷体_GB2312"/>
          <w:b/>
          <w:bCs/>
          <w:sz w:val="32"/>
          <w:szCs w:val="32"/>
        </w:rPr>
        <w:t>第一节  加强理想信念教育</w:t>
      </w:r>
    </w:p>
    <w:p>
      <w:pPr>
        <w:autoSpaceDE w:val="0"/>
        <w:autoSpaceDN w:val="0"/>
        <w:spacing w:after="312" w:afterLines="100" w:line="600" w:lineRule="exact"/>
        <w:ind w:firstLine="640" w:firstLineChars="200"/>
        <w:rPr>
          <w:rFonts w:ascii="仿宋_GB2312" w:hAnsi="新宋体" w:eastAsia="仿宋_GB2312"/>
          <w:sz w:val="32"/>
          <w:szCs w:val="32"/>
        </w:rPr>
      </w:pPr>
      <w:r>
        <w:rPr>
          <w:rFonts w:hint="eastAsia" w:ascii="仿宋_GB2312" w:hAnsi="仿宋_GB2312" w:eastAsia="仿宋_GB2312" w:cs="仿宋_GB2312"/>
          <w:sz w:val="32"/>
          <w:szCs w:val="32"/>
        </w:rPr>
        <w:t>深入开展习近平新时代中国特色社会主义思想学习教育，健全用党的创新理论武装全党、教育人民工作体系。</w:t>
      </w:r>
      <w:bookmarkStart w:id="46" w:name="_Hlk58713287"/>
      <w:r>
        <w:rPr>
          <w:rFonts w:hint="eastAsia" w:ascii="仿宋_GB2312" w:hAnsi="仿宋_GB2312" w:eastAsia="仿宋_GB2312" w:cs="仿宋_GB2312"/>
          <w:sz w:val="32"/>
          <w:szCs w:val="32"/>
        </w:rPr>
        <w:t>推动理想信念教育常态化、制度化，加强党史、新中国史、改革开放史、社会主义发展史教育，加强爱国主义、集体主义、社会主义教育，传承红色基因，弘扬南水北调移民精神。加强和改进新时代思想政治工作，强化对青少年的思想政治引领。</w:t>
      </w:r>
    </w:p>
    <w:bookmarkEnd w:id="46"/>
    <w:p>
      <w:pPr>
        <w:autoSpaceDE w:val="0"/>
        <w:autoSpaceDN w:val="0"/>
        <w:spacing w:after="312" w:afterLines="100" w:line="600" w:lineRule="exact"/>
        <w:jc w:val="center"/>
        <w:rPr>
          <w:rFonts w:ascii="楷体_GB2312" w:hAnsi="新宋体" w:eastAsia="楷体_GB2312"/>
          <w:b/>
          <w:sz w:val="32"/>
          <w:szCs w:val="32"/>
        </w:rPr>
      </w:pPr>
      <w:r>
        <w:rPr>
          <w:rFonts w:hint="eastAsia" w:ascii="楷体_GB2312" w:hAnsi="新宋体" w:eastAsia="楷体_GB2312"/>
          <w:b/>
          <w:sz w:val="32"/>
          <w:szCs w:val="32"/>
        </w:rPr>
        <w:t>第二节  加强思想道德建设</w:t>
      </w:r>
    </w:p>
    <w:p>
      <w:pPr>
        <w:spacing w:after="312" w:afterLines="100"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强化教育引导，创新方式方法，健全制度保障，推动践行社会主义核心价值观。</w:t>
      </w:r>
      <w:r>
        <w:rPr>
          <w:rFonts w:hint="eastAsia" w:ascii="仿宋_GB2312" w:hAnsi="仿宋_GB2312" w:eastAsia="仿宋_GB2312" w:cs="仿宋_GB2312"/>
          <w:sz w:val="32"/>
          <w:szCs w:val="32"/>
        </w:rPr>
        <w:t>弘扬诚信文化，推进诚信建设。</w:t>
      </w:r>
      <w:bookmarkStart w:id="47" w:name="_Hlk58713354"/>
      <w:r>
        <w:rPr>
          <w:rFonts w:hint="eastAsia" w:ascii="仿宋_GB2312" w:hAnsi="仿宋_GB2312" w:eastAsia="仿宋_GB2312" w:cs="仿宋_GB2312"/>
          <w:sz w:val="32"/>
          <w:szCs w:val="32"/>
        </w:rPr>
        <w:t>大力实施文明创建工程，深化群众性精神文明创建，拓展新时代文明实践中心建设。加强家庭、家教、家风建设。提倡艰苦奋斗、勤俭节约，开展以劳动创造幸福为主题的宣传教育。健全志愿服务体系，广泛开展志愿服务关爱行动。</w:t>
      </w:r>
      <w:r>
        <w:rPr>
          <w:rFonts w:hint="eastAsia" w:ascii="仿宋_GB2312" w:hAnsi="宋体" w:eastAsia="仿宋_GB2312"/>
          <w:sz w:val="32"/>
          <w:szCs w:val="32"/>
        </w:rPr>
        <w:t>大力倡导“做文明人、办文明事”，</w:t>
      </w:r>
      <w:r>
        <w:rPr>
          <w:rFonts w:hint="eastAsia" w:ascii="仿宋_GB2312" w:eastAsia="仿宋_GB2312"/>
          <w:sz w:val="32"/>
          <w:szCs w:val="32"/>
        </w:rPr>
        <w:t>不断提升公民文明素质和城市文明程度，</w:t>
      </w:r>
      <w:r>
        <w:rPr>
          <w:rFonts w:hint="eastAsia" w:ascii="仿宋_GB2312" w:hAnsi="仿宋_GB2312" w:eastAsia="仿宋_GB2312" w:cs="仿宋_GB2312"/>
          <w:sz w:val="32"/>
          <w:szCs w:val="32"/>
        </w:rPr>
        <w:t>推动形成适应新时代要求的行为规范和人文氛围。</w:t>
      </w:r>
      <w:bookmarkStart w:id="48" w:name="_Toc452298400"/>
      <w:bookmarkStart w:id="49" w:name="_Toc450810601"/>
      <w:bookmarkStart w:id="50" w:name="_Toc439969446"/>
    </w:p>
    <w:bookmarkEnd w:id="47"/>
    <w:p>
      <w:pPr>
        <w:spacing w:after="312" w:afterLines="100" w:line="600" w:lineRule="exact"/>
        <w:jc w:val="center"/>
        <w:rPr>
          <w:rFonts w:ascii="楷体_GB2312" w:hAnsi="宋体" w:eastAsia="楷体_GB2312"/>
          <w:b/>
          <w:sz w:val="32"/>
          <w:szCs w:val="32"/>
        </w:rPr>
      </w:pPr>
      <w:r>
        <w:rPr>
          <w:rFonts w:hint="eastAsia" w:ascii="楷体_GB2312" w:hAnsi="宋体" w:eastAsia="楷体_GB2312"/>
          <w:b/>
          <w:sz w:val="32"/>
          <w:szCs w:val="32"/>
        </w:rPr>
        <w:t>第三节  巩固壮大主流思想舆论</w:t>
      </w:r>
    </w:p>
    <w:p>
      <w:pPr>
        <w:spacing w:after="312" w:afterLines="100" w:line="600" w:lineRule="exact"/>
        <w:ind w:firstLine="640" w:firstLineChars="200"/>
        <w:jc w:val="left"/>
        <w:rPr>
          <w:rFonts w:ascii="仿宋_GB2312" w:hAnsi="宋体" w:eastAsia="仿宋_GB2312"/>
          <w:b/>
          <w:sz w:val="32"/>
          <w:szCs w:val="32"/>
        </w:rPr>
      </w:pPr>
      <w:r>
        <w:rPr>
          <w:rFonts w:hint="eastAsia" w:ascii="仿宋_GB2312" w:hAnsi="仿宋_GB2312" w:eastAsia="仿宋_GB2312" w:cs="仿宋_GB2312"/>
          <w:sz w:val="32"/>
          <w:szCs w:val="32"/>
        </w:rPr>
        <w:t>推进马克思主义理论研究和建设工程，加强高校马克思主义重点学科建设。坚持和落实党管媒体原则，牢牢把握正确舆论导向，实施全媒体传播工程，常态化开展重大主题宣传。推进媒体深度融合，做强新型主流媒体，建强用好市级融媒体中心，统筹推进市县两级融媒体中心建设发展。建立健全优质网络内容生产体系、网络正能量传播体系、网络综合治理体系，发展积极健康的网络文化，加强青少年网络文明建设，</w:t>
      </w:r>
    </w:p>
    <w:p>
      <w:pPr>
        <w:spacing w:after="312" w:afterLines="100" w:line="600" w:lineRule="exact"/>
        <w:jc w:val="center"/>
        <w:rPr>
          <w:rFonts w:ascii="楷体_GB2312" w:hAnsi="宋体" w:eastAsia="楷体_GB2312"/>
          <w:b/>
          <w:sz w:val="32"/>
          <w:szCs w:val="32"/>
        </w:rPr>
      </w:pPr>
      <w:r>
        <w:rPr>
          <w:rFonts w:hint="eastAsia" w:ascii="楷体_GB2312" w:hAnsi="宋体" w:eastAsia="楷体_GB2312"/>
          <w:b/>
          <w:sz w:val="32"/>
          <w:szCs w:val="32"/>
        </w:rPr>
        <w:t>第四节  加强全民国防教育</w:t>
      </w:r>
    </w:p>
    <w:p>
      <w:pPr>
        <w:spacing w:after="312" w:afterLines="100" w:line="600" w:lineRule="exact"/>
        <w:ind w:firstLine="640" w:firstLineChars="200"/>
        <w:rPr>
          <w:rFonts w:ascii="仿宋_GB2312" w:eastAsia="仿宋_GB2312" w:cs="宋体"/>
          <w:bCs/>
          <w:kern w:val="0"/>
          <w:sz w:val="32"/>
          <w:szCs w:val="32"/>
        </w:rPr>
      </w:pPr>
      <w:bookmarkStart w:id="51" w:name="_Hlk58713543"/>
      <w:r>
        <w:rPr>
          <w:rFonts w:hint="eastAsia" w:ascii="仿宋_GB2312" w:hAnsi="宋体" w:eastAsia="仿宋_GB2312"/>
          <w:sz w:val="32"/>
          <w:szCs w:val="32"/>
        </w:rPr>
        <w:t>弘扬爱国主义精神，普及国防教育，使全民增强国防观念，掌握必要的国防知识和军事技能，自觉履行国防义务，关心、支持、参与国防建设，营造人人重视国防、关心和支持国防的良好氛围。加强国防教育基础设施建设，建成南阳全民国防教育基地，为人民群众接受国防教育、军事训练和社会教育实践活动提供场所保障。</w:t>
      </w:r>
    </w:p>
    <w:bookmarkEnd w:id="51"/>
    <w:p>
      <w:pPr>
        <w:autoSpaceDE w:val="0"/>
        <w:autoSpaceDN w:val="0"/>
        <w:spacing w:after="312" w:afterLines="100" w:line="600" w:lineRule="exact"/>
        <w:jc w:val="center"/>
        <w:rPr>
          <w:rFonts w:ascii="黑体" w:hAnsi="黑体" w:eastAsia="黑体"/>
          <w:bCs/>
          <w:sz w:val="32"/>
          <w:szCs w:val="32"/>
        </w:rPr>
      </w:pPr>
      <w:r>
        <w:rPr>
          <w:rFonts w:hint="eastAsia" w:ascii="黑体" w:hAnsi="黑体" w:eastAsia="黑体"/>
          <w:bCs/>
          <w:sz w:val="32"/>
          <w:szCs w:val="32"/>
        </w:rPr>
        <w:t xml:space="preserve">第三十六章  </w:t>
      </w:r>
      <w:bookmarkStart w:id="52" w:name="_Hlk58713643"/>
      <w:r>
        <w:rPr>
          <w:rFonts w:hint="eastAsia" w:ascii="黑体" w:hAnsi="黑体" w:eastAsia="黑体"/>
          <w:bCs/>
          <w:sz w:val="32"/>
          <w:szCs w:val="32"/>
        </w:rPr>
        <w:t>丰富文化产品和服务</w:t>
      </w:r>
      <w:bookmarkEnd w:id="48"/>
      <w:bookmarkEnd w:id="49"/>
      <w:bookmarkEnd w:id="50"/>
    </w:p>
    <w:p>
      <w:pPr>
        <w:autoSpaceDE w:val="0"/>
        <w:autoSpaceDN w:val="0"/>
        <w:spacing w:after="312" w:afterLines="100" w:line="600" w:lineRule="exact"/>
        <w:ind w:firstLine="640" w:firstLineChars="200"/>
        <w:rPr>
          <w:rFonts w:ascii="仿宋_GB2312" w:hAnsi="新宋体" w:eastAsia="仿宋_GB2312"/>
          <w:sz w:val="32"/>
          <w:szCs w:val="32"/>
        </w:rPr>
      </w:pPr>
      <w:r>
        <w:rPr>
          <w:rFonts w:hint="eastAsia" w:ascii="仿宋_GB2312" w:hAnsi="新宋体" w:eastAsia="仿宋_GB2312"/>
          <w:sz w:val="32"/>
          <w:szCs w:val="32"/>
        </w:rPr>
        <w:t>推进文化事业和文化产业协调发展，完善公共文化服务体系、文化产业体系、文化市场体系，为人民提供昂扬向上、丰富多彩的精神食粮。</w:t>
      </w:r>
    </w:p>
    <w:p>
      <w:pPr>
        <w:autoSpaceDE w:val="0"/>
        <w:autoSpaceDN w:val="0"/>
        <w:spacing w:after="312" w:afterLines="100" w:line="600" w:lineRule="exact"/>
        <w:jc w:val="center"/>
        <w:rPr>
          <w:rFonts w:ascii="楷体_GB2312" w:hAnsi="新宋体" w:eastAsia="楷体_GB2312"/>
          <w:b/>
          <w:sz w:val="32"/>
          <w:szCs w:val="32"/>
        </w:rPr>
      </w:pPr>
      <w:r>
        <w:rPr>
          <w:rFonts w:hint="eastAsia" w:ascii="楷体_GB2312" w:hAnsi="新宋体" w:eastAsia="楷体_GB2312"/>
          <w:b/>
          <w:sz w:val="32"/>
          <w:szCs w:val="32"/>
        </w:rPr>
        <w:t>第一节   提升公共文化发展水平</w:t>
      </w:r>
    </w:p>
    <w:p>
      <w:pPr>
        <w:autoSpaceDE w:val="0"/>
        <w:autoSpaceDN w:val="0"/>
        <w:spacing w:after="312" w:afterLines="100" w:line="60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全面繁荣新闻出版、广播影视、文学艺术、哲学社会科学事业。发展壮大以南阳作家群为代表的文艺家群体，不断推出反映时代新气象、讴歌人民新创造、具有南阳地域特色的精品力作。推进城乡公共文化服务体系一体建设，创新实施文化惠民工程，广泛开展群众性、娱乐性、健康性文化活动，推动公共文化数字化建设，加快建设书香南阳、学习型社会。大力弘扬红色文化，联动建设楚长城、长征等国家文化公园，建成红二十五军鏖战独树镇长征文化教育基地，改造提升桐柏叶家大庄革命纪念馆，建设南水北调移民博物馆。提升中心城区历史文化资源开发利用水平。</w:t>
      </w:r>
      <w:r>
        <w:rPr>
          <w:rFonts w:hint="eastAsia" w:ascii="仿宋_GB2312" w:eastAsia="仿宋_GB2312"/>
          <w:sz w:val="32"/>
          <w:szCs w:val="32"/>
        </w:rPr>
        <w:t>规划建设文化综合体，整合基层宣传文化、党员教育、科学普及、体育健身等资源，推动县（市）图书馆、文化馆、博物馆达标提升，基本实现行政村综合性文化服务中心全覆盖。引导和鼓励社会力量通过多种形式参与公共文化服务，培育文化非盈利组织。</w:t>
      </w:r>
    </w:p>
    <w:p>
      <w:pPr>
        <w:autoSpaceDE w:val="0"/>
        <w:autoSpaceDN w:val="0"/>
        <w:spacing w:after="312" w:afterLines="100" w:line="600" w:lineRule="exact"/>
        <w:jc w:val="center"/>
        <w:rPr>
          <w:rFonts w:ascii="楷体_GB2312" w:hAnsi="新宋体" w:eastAsia="楷体_GB2312"/>
          <w:b/>
          <w:sz w:val="32"/>
          <w:szCs w:val="32"/>
        </w:rPr>
      </w:pPr>
      <w:r>
        <w:rPr>
          <w:rFonts w:hint="eastAsia" w:ascii="楷体_GB2312" w:hAnsi="新宋体" w:eastAsia="楷体_GB2312"/>
          <w:b/>
          <w:sz w:val="32"/>
          <w:szCs w:val="32"/>
        </w:rPr>
        <w:t>第二节 加快发展文化产业</w:t>
      </w:r>
    </w:p>
    <w:p>
      <w:pPr>
        <w:autoSpaceDE w:val="0"/>
        <w:autoSpaceDN w:val="0"/>
        <w:spacing w:after="312" w:afterLines="100" w:line="600" w:lineRule="exact"/>
        <w:ind w:firstLine="640" w:firstLineChars="200"/>
        <w:rPr>
          <w:rFonts w:ascii="仿宋_GB2312" w:eastAsia="仿宋_GB2312"/>
          <w:sz w:val="32"/>
          <w:szCs w:val="32"/>
        </w:rPr>
      </w:pPr>
      <w:r>
        <w:rPr>
          <w:rFonts w:hint="eastAsia" w:ascii="仿宋_GB2312" w:eastAsia="仿宋_GB2312"/>
          <w:sz w:val="32"/>
          <w:szCs w:val="32"/>
        </w:rPr>
        <w:t>实施文化产业数字化工程，加快发展新型文化企业、文化业态、文化消费模式，壮大数字创意、网络视听、数字出版、数字娱乐、线上演播等产业。加快提升超高清电视节目制播能力，推进电视频道高清化改造，推进沉浸式视频、云转播等应用。实施文化品牌工程，打造一批有影响力、代表性的文化品牌。创新文化产业项目和园区建设经营机制，</w:t>
      </w:r>
      <w:bookmarkEnd w:id="52"/>
      <w:bookmarkStart w:id="53" w:name="_Toc439969447"/>
      <w:bookmarkStart w:id="54" w:name="_Toc450810602"/>
      <w:bookmarkStart w:id="55" w:name="_Toc452298401"/>
      <w:r>
        <w:rPr>
          <w:rFonts w:hint="eastAsia" w:ascii="仿宋_GB2312" w:eastAsia="仿宋_GB2312"/>
          <w:sz w:val="32"/>
          <w:szCs w:val="32"/>
        </w:rPr>
        <w:t>推动文化产业园区建设，加快发展新型文化企业、文化业态、文化消费模式，健全文化市场体系，扩大优质文化产品供给。深化文化体制改革，推动文化产业与科技、金融、贸易、教育、体育等产业融合创新发展，增强文化发展活力。鼓励利用老旧厂房、工业遗址、商业楼宇等区域，建设文化创意园（空间）、城市文化旅游综合体。</w:t>
      </w:r>
    </w:p>
    <w:p>
      <w:pPr>
        <w:autoSpaceDE w:val="0"/>
        <w:autoSpaceDN w:val="0"/>
        <w:spacing w:after="312" w:afterLines="100" w:line="600" w:lineRule="exact"/>
        <w:jc w:val="center"/>
        <w:rPr>
          <w:rFonts w:ascii="黑体" w:hAnsi="黑体" w:eastAsia="黑体"/>
          <w:bCs/>
          <w:sz w:val="32"/>
          <w:szCs w:val="32"/>
        </w:rPr>
      </w:pPr>
      <w:r>
        <w:rPr>
          <w:rFonts w:hint="eastAsia" w:ascii="黑体" w:hAnsi="黑体" w:eastAsia="黑体"/>
          <w:bCs/>
          <w:sz w:val="32"/>
          <w:szCs w:val="32"/>
        </w:rPr>
        <w:t>第三十七章  保护传承弘扬南阳文化</w:t>
      </w:r>
      <w:bookmarkEnd w:id="53"/>
      <w:bookmarkEnd w:id="54"/>
      <w:bookmarkEnd w:id="55"/>
    </w:p>
    <w:p>
      <w:pPr>
        <w:autoSpaceDE w:val="0"/>
        <w:autoSpaceDN w:val="0"/>
        <w:spacing w:after="312" w:afterLines="100" w:line="600" w:lineRule="exact"/>
        <w:ind w:firstLine="480" w:firstLineChars="150"/>
        <w:jc w:val="left"/>
        <w:rPr>
          <w:rFonts w:ascii="楷体" w:hAnsi="楷体" w:eastAsia="楷体"/>
          <w:b/>
          <w:sz w:val="32"/>
          <w:szCs w:val="32"/>
        </w:rPr>
      </w:pPr>
      <w:r>
        <w:rPr>
          <w:rFonts w:hint="eastAsia" w:ascii="仿宋_GB2312" w:hAnsi="仿宋_GB2312" w:eastAsia="仿宋_GB2312" w:cs="仿宋_GB2312"/>
          <w:sz w:val="32"/>
          <w:szCs w:val="32"/>
        </w:rPr>
        <w:t>加强南阳人文历史资源挖掘、保护和利用，深入挖掘南阳文化精神内涵和价值，讲好新时代南阳故事，增强南阳文化影响力。</w:t>
      </w:r>
    </w:p>
    <w:p>
      <w:pPr>
        <w:autoSpaceDE w:val="0"/>
        <w:autoSpaceDN w:val="0"/>
        <w:spacing w:after="312" w:afterLines="100" w:line="600" w:lineRule="exact"/>
        <w:jc w:val="center"/>
        <w:rPr>
          <w:rFonts w:ascii="楷体_GB2312" w:hAnsi="宋体" w:eastAsia="楷体_GB2312"/>
          <w:b/>
          <w:sz w:val="32"/>
          <w:szCs w:val="32"/>
        </w:rPr>
      </w:pPr>
      <w:r>
        <w:rPr>
          <w:rFonts w:hint="eastAsia" w:ascii="楷体_GB2312" w:hAnsi="宋体" w:eastAsia="楷体_GB2312"/>
          <w:b/>
          <w:sz w:val="32"/>
          <w:szCs w:val="32"/>
        </w:rPr>
        <w:t>第一节   加强文化遗产保护传承创新</w:t>
      </w:r>
    </w:p>
    <w:p>
      <w:pPr>
        <w:autoSpaceDE w:val="0"/>
        <w:autoSpaceDN w:val="0"/>
        <w:spacing w:after="312" w:afterLines="100"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研究制定保护南阳特色传统文化的有效机制，推进文化典籍数字化和整理出版。加强非物质文化遗产开发、保护与传承，完善非物质文化遗产名录，建立保护制度和保护体系。振兴镇平玉雕、方城石猴、南阳烙画、邓州邓瓷、辛店毛笔制作等传统工艺，传承发展板头曲、大调曲、三弦书等传统音乐曲艺，增强南阳“中国曲艺之乡”的影响。加强文物和历史文化遗址保护利用，加强国家级重点文物保护单位、历史文化名城名镇名村、历史建筑保护，加大</w:t>
      </w:r>
      <w:r>
        <w:fldChar w:fldCharType="begin"/>
      </w:r>
      <w:r>
        <w:instrText xml:space="preserve"> HYPERLINK "http://baike.baidu.com/view/11090.htm" \t "_blank" </w:instrText>
      </w:r>
      <w:r>
        <w:fldChar w:fldCharType="separate"/>
      </w:r>
      <w:r>
        <w:rPr>
          <w:rFonts w:hint="eastAsia" w:ascii="仿宋_GB2312" w:hAnsi="宋体" w:eastAsia="仿宋_GB2312"/>
          <w:sz w:val="32"/>
          <w:szCs w:val="32"/>
        </w:rPr>
        <w:t>非物质文化遗产</w:t>
      </w:r>
      <w:r>
        <w:rPr>
          <w:rFonts w:hint="eastAsia" w:ascii="仿宋_GB2312" w:hAnsi="宋体" w:eastAsia="仿宋_GB2312"/>
          <w:sz w:val="32"/>
          <w:szCs w:val="32"/>
        </w:rPr>
        <w:fldChar w:fldCharType="end"/>
      </w:r>
      <w:r>
        <w:rPr>
          <w:rFonts w:hint="eastAsia" w:ascii="仿宋_GB2312" w:hAnsi="宋体" w:eastAsia="仿宋_GB2312"/>
          <w:sz w:val="32"/>
          <w:szCs w:val="32"/>
        </w:rPr>
        <w:t>保护传承，建设非物质文化遗产传习展示馆，积极参与万里茶道等申报世界文化遗产。优化推进博物馆体系建设，加强馆藏文物保护修复，推进文物资源数字化建设，夯实文物保护科技支撑。</w:t>
      </w:r>
    </w:p>
    <w:p>
      <w:pPr>
        <w:autoSpaceDE w:val="0"/>
        <w:autoSpaceDN w:val="0"/>
        <w:spacing w:after="312" w:afterLines="100" w:line="600" w:lineRule="exact"/>
        <w:jc w:val="center"/>
        <w:rPr>
          <w:rFonts w:ascii="楷体_GB2312" w:hAnsi="宋体" w:eastAsia="楷体_GB2312"/>
          <w:b/>
          <w:sz w:val="32"/>
          <w:szCs w:val="32"/>
        </w:rPr>
      </w:pPr>
      <w:r>
        <w:rPr>
          <w:rFonts w:hint="eastAsia" w:ascii="楷体_GB2312" w:hAnsi="宋体" w:eastAsia="楷体_GB2312"/>
          <w:b/>
          <w:sz w:val="32"/>
          <w:szCs w:val="32"/>
        </w:rPr>
        <w:t>第二节 增强南阳文化影响力</w:t>
      </w:r>
    </w:p>
    <w:p>
      <w:pPr>
        <w:autoSpaceDE w:val="0"/>
        <w:autoSpaceDN w:val="0"/>
        <w:spacing w:after="312" w:afterLines="100" w:line="600" w:lineRule="exact"/>
        <w:ind w:firstLine="640" w:firstLineChars="200"/>
        <w:rPr>
          <w:rFonts w:ascii="仿宋_GB2312" w:hAnsi="仿宋_GB2312" w:eastAsia="仿宋_GB2312" w:cs="仿宋_GB2312"/>
          <w:sz w:val="32"/>
          <w:szCs w:val="32"/>
        </w:rPr>
      </w:pPr>
      <w:r>
        <w:rPr>
          <w:rFonts w:hint="eastAsia" w:ascii="仿宋_GB2312" w:eastAsia="仿宋_GB2312" w:cs="宋体"/>
          <w:bCs/>
          <w:kern w:val="0"/>
          <w:sz w:val="32"/>
          <w:szCs w:val="32"/>
        </w:rPr>
        <w:t>发挥南阳文化资源优势，开展多层次、广领域的国内外文化传播交流贸易。办好张仲景医药文化节、玉文化博览会、月季博览会等重大活动，</w:t>
      </w:r>
      <w:r>
        <w:rPr>
          <w:rFonts w:hint="eastAsia" w:ascii="仿宋_GB2312" w:hAnsi="宋体" w:eastAsia="仿宋_GB2312"/>
          <w:sz w:val="32"/>
          <w:szCs w:val="32"/>
        </w:rPr>
        <w:t>鼓励举办体现民族、民俗、民间特色的各类群众文化活动，</w:t>
      </w:r>
      <w:r>
        <w:rPr>
          <w:rFonts w:hint="eastAsia" w:ascii="仿宋_GB2312" w:eastAsia="仿宋_GB2312" w:cs="宋体"/>
          <w:bCs/>
          <w:kern w:val="0"/>
          <w:sz w:val="32"/>
          <w:szCs w:val="32"/>
        </w:rPr>
        <w:t>宣传展示南阳文化风采</w:t>
      </w:r>
      <w:r>
        <w:rPr>
          <w:rFonts w:hint="eastAsia" w:ascii="仿宋_GB2312" w:hAnsi="宋体" w:eastAsia="仿宋_GB2312"/>
          <w:sz w:val="32"/>
          <w:szCs w:val="32"/>
        </w:rPr>
        <w:t>。</w:t>
      </w:r>
      <w:r>
        <w:rPr>
          <w:rFonts w:hint="eastAsia" w:ascii="仿宋_GB2312" w:hAnsi="仿宋_GB2312" w:eastAsia="仿宋_GB2312" w:cs="仿宋_GB2312"/>
          <w:sz w:val="32"/>
          <w:szCs w:val="32"/>
        </w:rPr>
        <w:t>打响汉文化、中医药文化、官德文化、“四圣”文化、玉文化、商埠文化等文化品牌。加大南阳文化网络传播力度。</w:t>
      </w:r>
      <w:r>
        <w:rPr>
          <w:rFonts w:hint="eastAsia" w:ascii="仿宋_GB2312" w:eastAsia="仿宋_GB2312" w:cs="宋体"/>
          <w:bCs/>
          <w:kern w:val="0"/>
          <w:sz w:val="32"/>
          <w:szCs w:val="32"/>
        </w:rPr>
        <w:t>建立南阳文化“走出去”机制，推进国际国内文化交流、文</w:t>
      </w:r>
      <w:r>
        <w:rPr>
          <w:rFonts w:hint="eastAsia" w:ascii="仿宋_GB2312" w:hAnsi="仿宋_GB2312" w:eastAsia="仿宋_GB2312" w:cs="仿宋_GB2312"/>
          <w:sz w:val="32"/>
          <w:szCs w:val="32"/>
        </w:rPr>
        <w:t>化传播、文化贸易，</w:t>
      </w:r>
      <w:r>
        <w:rPr>
          <w:rFonts w:hint="eastAsia" w:ascii="仿宋_GB2312" w:eastAsia="仿宋_GB2312" w:cs="宋体"/>
          <w:bCs/>
          <w:kern w:val="0"/>
          <w:sz w:val="32"/>
          <w:szCs w:val="32"/>
        </w:rPr>
        <w:t>塑好南阳形象，</w:t>
      </w:r>
      <w:r>
        <w:rPr>
          <w:rFonts w:hint="eastAsia" w:ascii="仿宋_GB2312" w:hAnsi="仿宋_GB2312" w:eastAsia="仿宋_GB2312" w:cs="仿宋_GB2312"/>
          <w:sz w:val="32"/>
          <w:szCs w:val="32"/>
        </w:rPr>
        <w:t>唱响南阳文化。</w:t>
      </w:r>
    </w:p>
    <w:tbl>
      <w:tblPr>
        <w:tblStyle w:val="23"/>
        <w:tblpPr w:leftFromText="180" w:rightFromText="180" w:vertAnchor="text" w:horzAnchor="margin" w:tblpY="103"/>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748" w:type="dxa"/>
            <w:vAlign w:val="center"/>
          </w:tcPr>
          <w:p>
            <w:pPr>
              <w:spacing w:line="600" w:lineRule="exact"/>
              <w:ind w:firstLine="300" w:firstLineChars="100"/>
              <w:jc w:val="center"/>
              <w:rPr>
                <w:rFonts w:ascii="黑体" w:hAnsi="黑体" w:eastAsia="黑体" w:cs="宋体"/>
                <w:bCs/>
                <w:kern w:val="0"/>
                <w:sz w:val="30"/>
                <w:szCs w:val="30"/>
              </w:rPr>
            </w:pPr>
            <w:r>
              <w:rPr>
                <w:rFonts w:hint="eastAsia" w:ascii="黑体" w:hAnsi="黑体" w:eastAsia="黑体" w:cs="宋体"/>
                <w:bCs/>
                <w:kern w:val="0"/>
                <w:sz w:val="30"/>
                <w:szCs w:val="30"/>
              </w:rPr>
              <w:t>专栏8：文化发展重点工程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748" w:type="dxa"/>
          </w:tcPr>
          <w:p>
            <w:pPr>
              <w:spacing w:line="500" w:lineRule="exact"/>
              <w:ind w:firstLine="562" w:firstLineChars="200"/>
              <w:rPr>
                <w:rFonts w:ascii="Times New Roman" w:hAnsi="Times New Roman" w:eastAsia="仿宋_GB2312" w:cs="仿宋"/>
                <w:kern w:val="0"/>
                <w:sz w:val="28"/>
                <w:szCs w:val="28"/>
              </w:rPr>
            </w:pPr>
            <w:r>
              <w:rPr>
                <w:rFonts w:hint="eastAsia" w:ascii="仿宋_GB2312" w:hAnsi="宋体" w:eastAsia="仿宋_GB2312" w:cs="宋体"/>
                <w:b/>
                <w:bCs/>
                <w:kern w:val="0"/>
                <w:sz w:val="28"/>
                <w:szCs w:val="28"/>
              </w:rPr>
              <w:t>1.文化遗产保护传承创新：</w:t>
            </w:r>
            <w:r>
              <w:rPr>
                <w:rFonts w:hint="eastAsia" w:ascii="仿宋_GB2312" w:eastAsia="仿宋_GB2312"/>
                <w:sz w:val="28"/>
                <w:szCs w:val="28"/>
              </w:rPr>
              <w:t>实施</w:t>
            </w:r>
            <w:r>
              <w:rPr>
                <w:rFonts w:hint="eastAsia" w:ascii="Times New Roman" w:hAnsi="Times New Roman" w:eastAsia="仿宋_GB2312" w:cs="仿宋"/>
                <w:kern w:val="0"/>
                <w:sz w:val="28"/>
                <w:szCs w:val="28"/>
              </w:rPr>
              <w:t>黄山遗址公园、不见冢遗址公园、汉代冶铁遗址公园、汉代宛城遗址公园、方城县博望镇三国文化遗址公园、邓州八里岗仰韶文化遗址公园等项目建设。</w:t>
            </w:r>
          </w:p>
          <w:p>
            <w:pPr>
              <w:spacing w:line="500" w:lineRule="exact"/>
              <w:ind w:firstLine="562" w:firstLineChars="200"/>
              <w:rPr>
                <w:rFonts w:ascii="仿宋_GB2312" w:eastAsia="仿宋_GB2312"/>
                <w:sz w:val="28"/>
                <w:szCs w:val="28"/>
              </w:rPr>
            </w:pPr>
            <w:r>
              <w:rPr>
                <w:rFonts w:hint="eastAsia" w:ascii="仿宋_GB2312" w:hAnsi="宋体" w:eastAsia="仿宋_GB2312" w:cs="宋体"/>
                <w:b/>
                <w:bCs/>
                <w:kern w:val="0"/>
                <w:sz w:val="28"/>
                <w:szCs w:val="28"/>
              </w:rPr>
              <w:t>2.南阳古城保护利用工程：</w:t>
            </w:r>
            <w:r>
              <w:rPr>
                <w:rFonts w:hint="eastAsia" w:ascii="仿宋_GB2312" w:eastAsia="仿宋_GB2312"/>
                <w:sz w:val="28"/>
                <w:szCs w:val="28"/>
              </w:rPr>
              <w:t>以汉文化为底色，发掘建设王莽铸币厂遗址博物馆，保护整修明远顶、望仙台高台遗址，建设汉宛城城墙遗址公园，建设瓦房庄汉代冶铁博物馆。以梅花城为底版，建设南寨墙遗址公园。以明清古城风格为主调，打造“一城两府三环线四门七馆十大院”。“一城”：清代梅花城规划控制。“两府”：南阳府衙、王府山提升修复。“三环线”：民主街至解放路至联合街至人民路旅游环线、城墙贯通环线、护城河生态修复环线。“四门”：</w:t>
            </w:r>
            <w:r>
              <w:rPr>
                <w:rFonts w:hint="eastAsia" w:ascii="仿宋" w:hAnsi="仿宋" w:eastAsia="仿宋" w:cs="微软雅黑"/>
                <w:sz w:val="28"/>
                <w:szCs w:val="28"/>
              </w:rPr>
              <w:t>淯</w:t>
            </w:r>
            <w:r>
              <w:rPr>
                <w:rFonts w:hint="eastAsia" w:ascii="仿宋_GB2312" w:eastAsia="仿宋_GB2312"/>
                <w:sz w:val="28"/>
                <w:szCs w:val="28"/>
              </w:rPr>
              <w:t>阳门、延曦门、博望门、永安门复建。“七馆”：王莽铸币博物馆、县文庙儒学博物馆、镇台衙门博物馆、察院廉政文化博物馆、张嘉谋故居博物馆、董作宾故居博物馆、孙家楼红色革命博物馆。“十大院”：沿十大坑塘区域打造具有地方特色的民俗院落。</w:t>
            </w:r>
          </w:p>
          <w:p>
            <w:pPr>
              <w:spacing w:line="500" w:lineRule="exact"/>
              <w:ind w:firstLine="551" w:firstLineChars="196"/>
              <w:rPr>
                <w:rFonts w:ascii="仿宋_GB2312" w:eastAsia="仿宋_GB2312"/>
              </w:rPr>
            </w:pPr>
            <w:r>
              <w:rPr>
                <w:rFonts w:hint="eastAsia" w:ascii="仿宋_GB2312" w:hAnsi="宋体" w:eastAsia="仿宋_GB2312" w:cs="宋体"/>
                <w:b/>
                <w:bCs/>
                <w:kern w:val="0"/>
                <w:sz w:val="28"/>
                <w:szCs w:val="28"/>
              </w:rPr>
              <w:t>3.白河文化带：</w:t>
            </w:r>
            <w:r>
              <w:rPr>
                <w:rFonts w:hint="eastAsia" w:ascii="仿宋_GB2312" w:eastAsia="仿宋_GB2312"/>
                <w:sz w:val="28"/>
                <w:szCs w:val="28"/>
              </w:rPr>
              <w:t>依托白河两岸地理位置优越、生态自然环境良好、文化资源富集的有利条件，打造集旅游与休闲、历史文化鉴赏、湿地游赏、生态保护与修复、体育健身为主要功能的大型生态文化公园。</w:t>
            </w:r>
          </w:p>
        </w:tc>
      </w:tr>
    </w:tbl>
    <w:p>
      <w:pPr>
        <w:spacing w:line="600" w:lineRule="exact"/>
        <w:jc w:val="center"/>
        <w:rPr>
          <w:rFonts w:ascii="方正小标宋简体" w:hAnsi="黑体" w:eastAsia="方正小标宋简体"/>
          <w:sz w:val="32"/>
          <w:szCs w:val="32"/>
        </w:rPr>
      </w:pPr>
    </w:p>
    <w:p>
      <w:pPr>
        <w:spacing w:line="600" w:lineRule="exact"/>
        <w:jc w:val="center"/>
        <w:rPr>
          <w:rFonts w:ascii="方正小标宋简体" w:hAnsi="黑体" w:eastAsia="方正小标宋简体"/>
          <w:sz w:val="32"/>
          <w:szCs w:val="32"/>
        </w:rPr>
      </w:pPr>
      <w:r>
        <w:rPr>
          <w:rFonts w:hint="eastAsia" w:ascii="方正小标宋简体" w:hAnsi="黑体" w:eastAsia="方正小标宋简体"/>
          <w:sz w:val="32"/>
          <w:szCs w:val="32"/>
        </w:rPr>
        <w:t xml:space="preserve">第十一篇  </w:t>
      </w:r>
      <w:bookmarkStart w:id="56" w:name="_Toc436470238"/>
      <w:bookmarkStart w:id="57" w:name="_Toc436469622"/>
      <w:bookmarkStart w:id="58" w:name="_Toc436398353"/>
      <w:bookmarkStart w:id="59" w:name="_Toc436386158"/>
      <w:bookmarkStart w:id="60" w:name="_Toc436469949"/>
      <w:bookmarkStart w:id="61" w:name="_Toc436386055"/>
      <w:r>
        <w:rPr>
          <w:rFonts w:hint="eastAsia" w:ascii="方正小标宋简体" w:hAnsi="黑体" w:eastAsia="方正小标宋简体"/>
          <w:sz w:val="32"/>
          <w:szCs w:val="32"/>
        </w:rPr>
        <w:t>践行绿水青山就是金山银山理念，建设</w:t>
      </w:r>
    </w:p>
    <w:p>
      <w:pPr>
        <w:spacing w:line="600" w:lineRule="exact"/>
        <w:jc w:val="center"/>
        <w:rPr>
          <w:rFonts w:ascii="方正小标宋简体" w:hAnsi="黑体" w:eastAsia="方正小标宋简体"/>
          <w:sz w:val="32"/>
          <w:szCs w:val="32"/>
        </w:rPr>
      </w:pPr>
      <w:r>
        <w:rPr>
          <w:rFonts w:hint="eastAsia" w:ascii="方正小标宋简体" w:hAnsi="黑体" w:eastAsia="方正小标宋简体"/>
          <w:sz w:val="32"/>
          <w:szCs w:val="32"/>
        </w:rPr>
        <w:t>区域生态高地</w:t>
      </w:r>
    </w:p>
    <w:p>
      <w:pPr>
        <w:spacing w:before="312" w:beforeLines="100" w:after="312" w:afterLines="100" w:line="600" w:lineRule="exact"/>
        <w:ind w:firstLine="640" w:firstLineChars="200"/>
        <w:rPr>
          <w:rFonts w:ascii="仿宋_GB2312" w:hAnsi="仿宋_GB2312" w:eastAsia="仿宋_GB2312" w:cs="仿宋_GB2312"/>
          <w:sz w:val="32"/>
          <w:szCs w:val="32"/>
        </w:rPr>
      </w:pPr>
      <w:bookmarkStart w:id="62" w:name="_Toc437542622"/>
      <w:bookmarkStart w:id="63" w:name="_Toc439969449"/>
      <w:bookmarkStart w:id="64" w:name="_Toc437539364"/>
      <w:bookmarkStart w:id="65" w:name="_Toc438382451"/>
      <w:bookmarkStart w:id="66" w:name="_Toc450810604"/>
      <w:bookmarkStart w:id="67" w:name="_Toc437539471"/>
      <w:bookmarkStart w:id="68" w:name="_Toc452298403"/>
      <w:r>
        <w:rPr>
          <w:rFonts w:hint="eastAsia" w:ascii="仿宋_GB2312" w:hAnsi="仿宋_GB2312" w:eastAsia="仿宋_GB2312" w:cs="仿宋_GB2312"/>
          <w:sz w:val="32"/>
          <w:szCs w:val="32"/>
        </w:rPr>
        <w:t>深入践行习近平生态文明思想，坚持生态优先、绿色发展，推进生态保护系统化、环境治理精细化、资源利用高效化，加快构建现代环境治理体系，推动经济社会发展绿色转型，建设天蓝地绿水秀的美丽南阳。</w:t>
      </w:r>
    </w:p>
    <w:p>
      <w:pPr>
        <w:spacing w:after="156" w:afterLines="50" w:line="600" w:lineRule="exact"/>
        <w:jc w:val="center"/>
        <w:rPr>
          <w:rFonts w:ascii="黑体" w:hAnsi="黑体" w:eastAsia="黑体"/>
          <w:bCs/>
          <w:sz w:val="32"/>
          <w:szCs w:val="32"/>
        </w:rPr>
      </w:pPr>
      <w:r>
        <w:rPr>
          <w:rFonts w:hint="eastAsia" w:ascii="黑体" w:hAnsi="黑体" w:eastAsia="黑体" w:cs="楷体"/>
          <w:bCs/>
          <w:sz w:val="32"/>
          <w:szCs w:val="32"/>
        </w:rPr>
        <w:t>第三十八章</w:t>
      </w:r>
      <w:bookmarkEnd w:id="56"/>
      <w:bookmarkEnd w:id="57"/>
      <w:bookmarkEnd w:id="58"/>
      <w:bookmarkEnd w:id="59"/>
      <w:bookmarkEnd w:id="60"/>
      <w:bookmarkEnd w:id="61"/>
      <w:bookmarkEnd w:id="62"/>
      <w:bookmarkEnd w:id="63"/>
      <w:bookmarkEnd w:id="64"/>
      <w:bookmarkEnd w:id="65"/>
      <w:bookmarkEnd w:id="66"/>
      <w:bookmarkEnd w:id="67"/>
      <w:bookmarkEnd w:id="68"/>
      <w:bookmarkStart w:id="69" w:name="_Hlk58741259"/>
      <w:r>
        <w:rPr>
          <w:rFonts w:hint="eastAsia" w:ascii="黑体" w:hAnsi="黑体" w:eastAsia="黑体" w:cs="楷体"/>
          <w:bCs/>
          <w:sz w:val="32"/>
          <w:szCs w:val="32"/>
        </w:rPr>
        <w:t xml:space="preserve"> 加强生态系统建设和保护</w:t>
      </w:r>
    </w:p>
    <w:p>
      <w:pPr>
        <w:spacing w:after="312" w:afterLines="100"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加快森林、湿地、流域、农田和城市生态系统建设，统筹推进山水林田湖草生态保护修复，加强南水北调中线水源地保护，推进主要河（湖）、交通干线廊道绿化工程，完善自然保护地、生态保护红线监管制度，打造多级生态发展体系。</w:t>
      </w:r>
    </w:p>
    <w:p>
      <w:pPr>
        <w:spacing w:after="312" w:afterLines="100" w:line="600" w:lineRule="exact"/>
        <w:jc w:val="center"/>
        <w:rPr>
          <w:rFonts w:ascii="楷体_GB2312" w:hAnsi="仿宋" w:eastAsia="楷体_GB2312"/>
          <w:b/>
          <w:sz w:val="32"/>
          <w:szCs w:val="32"/>
        </w:rPr>
      </w:pPr>
      <w:r>
        <w:rPr>
          <w:rFonts w:hint="eastAsia" w:ascii="楷体_GB2312" w:hAnsi="仿宋" w:eastAsia="楷体_GB2312"/>
          <w:b/>
          <w:sz w:val="32"/>
          <w:szCs w:val="32"/>
        </w:rPr>
        <w:t>第一节  加强南水北调中线水源地保护</w:t>
      </w:r>
      <w:bookmarkStart w:id="70" w:name="_Toc43471232"/>
    </w:p>
    <w:bookmarkEnd w:id="70"/>
    <w:p>
      <w:pPr>
        <w:spacing w:after="312" w:afterLines="100"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强化丹江口库区及上游水污染防治和水土保持，推进工业污染、城镇生活污染、农业农村污染治理，提高水环境质量，确保南水北调中线水质常年稳定保持在Ⅱ类以上水平。落实最严格水资源管理制度，完善水资源调度体系。以南水北调渠首取水口为核心，按照保护区等级划分制定相应风险管控措施，对流域内危库、险库，以及有毒有害重金属、氰化物等含量较高的尾矿库开展防范治理，制定危险化学品运输等高风险源管控与应急措施，制定完备的水污染事件应急响应和处置措施，提升监测和应急能力。规划建设南水北调中线工程水源地空天地潜一体可视化监测监控系统，完善水质监测与预报预警功能，实现数据集成共享。</w:t>
      </w:r>
    </w:p>
    <w:p>
      <w:pPr>
        <w:spacing w:after="312" w:afterLines="100" w:line="600" w:lineRule="exact"/>
        <w:jc w:val="center"/>
        <w:rPr>
          <w:rFonts w:ascii="楷体_GB2312" w:hAnsi="仿宋" w:eastAsia="楷体_GB2312"/>
          <w:b/>
          <w:sz w:val="32"/>
          <w:szCs w:val="32"/>
        </w:rPr>
      </w:pPr>
      <w:r>
        <w:rPr>
          <w:rFonts w:hint="eastAsia" w:ascii="楷体_GB2312" w:hAnsi="楷体_GB2312" w:eastAsia="楷体_GB2312" w:cs="楷体_GB2312"/>
          <w:b/>
          <w:bCs/>
          <w:sz w:val="32"/>
          <w:szCs w:val="32"/>
        </w:rPr>
        <w:t>第二节  加强水生态保护建设</w:t>
      </w:r>
    </w:p>
    <w:p>
      <w:pPr>
        <w:spacing w:after="312" w:afterLines="100"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以“扩充水源、提升水量、改善水质、扩大水面”为目标，统筹推进丹江、唐河、白河、淮河、湍河、刁河、灌河等主要河流的生态水系建设。推进河湖库水系连通，建立气象预报与科学蓄水联动机制，加强智慧水务管理。推进重要河流生态涵养区建设，做好空中云水资源开发，加强重要湿地保护，整合湿地资源，采取水量调度、生态补水等措施确保湿地生态用水，设立湿地自然保护区、湿地公园。实施河湖基本生态水量调度，维护河湖健康生命。持续实施中心城区水系连通补源工程，稳步推进县乡水生态文明体系建设，打造一批“水美乡村”。</w:t>
      </w:r>
    </w:p>
    <w:p>
      <w:pPr>
        <w:spacing w:before="156" w:beforeLines="50" w:after="312" w:afterLines="100" w:line="600" w:lineRule="exact"/>
        <w:jc w:val="center"/>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第三节  加强森林生态保护建设</w:t>
      </w:r>
    </w:p>
    <w:p>
      <w:pPr>
        <w:spacing w:after="312" w:afterLines="100" w:line="60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加大秦岭-伏牛山、桐柏山-大别山生物多样性保护优先区生态环保力度，加强野生动植物保护管理，系统推进自然保护区、森林公园、地质公园等自然保护地建设，构筑安全稳固的生态屏障。推行林长制，</w:t>
      </w:r>
      <w:r>
        <w:rPr>
          <w:rFonts w:hint="eastAsia" w:ascii="仿宋_GB2312" w:hAnsi="仿宋_GB2312" w:eastAsia="仿宋_GB2312" w:cs="仿宋_GB2312"/>
          <w:sz w:val="32"/>
          <w:szCs w:val="32"/>
        </w:rPr>
        <w:t>严格保护林地资源，分级分类进行林地用途管制，严格控制林地转化为其他用途土地。实施新一轮退耕还林。加快实施高速、国道、铁路、南水北调沿线等主要廊道绿化工程，同步推进重要支流、省县道等廊道绿化工程。</w:t>
      </w:r>
      <w:r>
        <w:rPr>
          <w:rFonts w:hint="eastAsia" w:ascii="仿宋_GB2312" w:eastAsia="仿宋_GB2312"/>
          <w:sz w:val="32"/>
          <w:szCs w:val="32"/>
        </w:rPr>
        <w:t>深入开展森林城市、森林乡村创建活动，打造山区森林化、平原林网化、城市园林化、乡村林果化、廊道林荫化、庭院花园化的绿化格局，建设森林南阳。加快推进伏牛山自然保护地保护修复及监测体系建设</w:t>
      </w:r>
      <w:r>
        <w:rPr>
          <w:rFonts w:hint="eastAsia" w:ascii="仿宋_GB2312" w:hAnsi="仿宋_GB2312" w:eastAsia="仿宋_GB2312" w:cs="仿宋_GB2312"/>
          <w:sz w:val="32"/>
          <w:szCs w:val="32"/>
        </w:rPr>
        <w:t>。</w:t>
      </w:r>
      <w:r>
        <w:rPr>
          <w:rFonts w:hint="eastAsia" w:ascii="仿宋_GB2312" w:eastAsia="仿宋_GB2312"/>
          <w:sz w:val="32"/>
          <w:szCs w:val="32"/>
        </w:rPr>
        <w:t>加快绿色矿山建设步伐，建立最严格的矿山准入和退出机制。</w:t>
      </w:r>
    </w:p>
    <w:bookmarkEnd w:id="69"/>
    <w:p>
      <w:pPr>
        <w:pStyle w:val="4"/>
        <w:spacing w:after="312" w:afterLines="100"/>
        <w:ind w:firstLine="0" w:firstLineChars="0"/>
        <w:jc w:val="center"/>
        <w:rPr>
          <w:rFonts w:ascii="黑体" w:hAnsi="黑体"/>
          <w:bCs/>
          <w:szCs w:val="32"/>
        </w:rPr>
      </w:pPr>
      <w:bookmarkStart w:id="71" w:name="_Toc27387689"/>
      <w:r>
        <w:rPr>
          <w:rFonts w:hint="eastAsia" w:ascii="黑体" w:hAnsi="黑体"/>
          <w:bCs/>
          <w:szCs w:val="32"/>
        </w:rPr>
        <w:t xml:space="preserve">第三十九章  </w:t>
      </w:r>
      <w:bookmarkEnd w:id="71"/>
      <w:bookmarkStart w:id="72" w:name="_Hlk58742076"/>
      <w:r>
        <w:rPr>
          <w:rFonts w:hint="eastAsia" w:ascii="黑体" w:hAnsi="黑体"/>
          <w:bCs/>
          <w:szCs w:val="32"/>
        </w:rPr>
        <w:t>持续改善环境质量</w:t>
      </w:r>
    </w:p>
    <w:p>
      <w:pPr>
        <w:spacing w:after="312" w:afterLines="100" w:line="600" w:lineRule="exact"/>
        <w:ind w:firstLine="640" w:firstLineChars="200"/>
        <w:rPr>
          <w:rFonts w:ascii="仿宋_GB2312" w:eastAsia="仿宋_GB2312"/>
          <w:sz w:val="32"/>
          <w:szCs w:val="32"/>
        </w:rPr>
      </w:pPr>
      <w:bookmarkStart w:id="73" w:name="_Hlk58742704"/>
      <w:r>
        <w:rPr>
          <w:rFonts w:hint="eastAsia" w:ascii="仿宋_GB2312" w:eastAsia="仿宋_GB2312"/>
          <w:sz w:val="32"/>
          <w:szCs w:val="32"/>
        </w:rPr>
        <w:t>坚持源头严控、过程严管、末端严治，深入打好污染防治攻坚战，遏制增量、消化存量、恢复生态，实现人与自然和谐发展。</w:t>
      </w:r>
    </w:p>
    <w:bookmarkEnd w:id="73"/>
    <w:p>
      <w:pPr>
        <w:pStyle w:val="4"/>
        <w:spacing w:after="312" w:afterLines="100"/>
        <w:ind w:firstLine="0" w:firstLineChars="0"/>
        <w:jc w:val="center"/>
        <w:rPr>
          <w:rFonts w:ascii="楷体_GB2312" w:hAnsi="仿宋" w:eastAsia="楷体_GB2312"/>
          <w:b/>
          <w:szCs w:val="32"/>
        </w:rPr>
      </w:pPr>
      <w:r>
        <w:rPr>
          <w:rFonts w:hint="eastAsia" w:ascii="楷体_GB2312" w:hAnsi="仿宋" w:eastAsia="楷体_GB2312"/>
          <w:b/>
          <w:szCs w:val="32"/>
        </w:rPr>
        <w:t>第一节   加强大气污染防治</w:t>
      </w:r>
    </w:p>
    <w:p>
      <w:pPr>
        <w:pStyle w:val="4"/>
        <w:spacing w:after="312" w:afterLines="100"/>
        <w:ind w:firstLine="640"/>
        <w:rPr>
          <w:rFonts w:ascii="仿宋_GB2312" w:eastAsia="仿宋_GB2312"/>
          <w:szCs w:val="32"/>
        </w:rPr>
      </w:pPr>
      <w:r>
        <w:rPr>
          <w:rFonts w:hint="eastAsia" w:ascii="仿宋_GB2312" w:eastAsia="仿宋_GB2312"/>
          <w:szCs w:val="32"/>
        </w:rPr>
        <w:t>深入推进大气污染防治攻坚战，突出抓好工业企业、扬尘、汽车尾气等多污染源综合防控，</w:t>
      </w:r>
      <w:r>
        <w:rPr>
          <w:rFonts w:hint="eastAsia" w:ascii="仿宋_GB2312" w:hAnsi="仿宋_GB2312" w:eastAsia="仿宋_GB2312" w:cs="仿宋_GB2312"/>
          <w:szCs w:val="32"/>
        </w:rPr>
        <w:t>加强细颗粒物和臭氧协同控制，基本消除重污染天气</w:t>
      </w:r>
      <w:r>
        <w:rPr>
          <w:rFonts w:hint="eastAsia" w:ascii="仿宋_GB2312" w:eastAsia="仿宋_GB2312"/>
          <w:szCs w:val="32"/>
        </w:rPr>
        <w:t>。推动城市社会生活源和扬尘大气污染防治，开展城区餐饮业油烟污染综合整治，推进餐饮服务经营场所安装高效油烟净化设施，严禁露天烧烤，严禁在城区、城郊焚烧和燃烧各种产生烟尘、有毒有害恶臭或强烈异味气体的物质。加强工地扬尘环境监管，积极推进绿色施工。加强农村面源污染综合整治，减少农业源氨挥发。大力发展绿色交通，实施城市交通公交优先发展战略，积极推广纯电动等新能源汽车。</w:t>
      </w:r>
    </w:p>
    <w:p>
      <w:pPr>
        <w:pStyle w:val="4"/>
        <w:spacing w:after="312" w:afterLines="100"/>
        <w:ind w:firstLine="0" w:firstLineChars="0"/>
        <w:jc w:val="center"/>
        <w:rPr>
          <w:rFonts w:ascii="楷体_GB2312" w:hAnsi="仿宋" w:eastAsia="楷体_GB2312"/>
          <w:b/>
          <w:szCs w:val="32"/>
        </w:rPr>
      </w:pPr>
      <w:r>
        <w:rPr>
          <w:rFonts w:hint="eastAsia" w:ascii="楷体_GB2312" w:hAnsi="仿宋" w:eastAsia="楷体_GB2312"/>
          <w:b/>
          <w:szCs w:val="32"/>
        </w:rPr>
        <w:t>第二节  加强水污染防治</w:t>
      </w:r>
    </w:p>
    <w:p>
      <w:pPr>
        <w:pStyle w:val="4"/>
        <w:spacing w:after="312" w:afterLines="100"/>
        <w:ind w:firstLine="640"/>
        <w:rPr>
          <w:rFonts w:ascii="仿宋_GB2312" w:eastAsia="仿宋_GB2312"/>
          <w:szCs w:val="32"/>
        </w:rPr>
      </w:pPr>
      <w:r>
        <w:rPr>
          <w:rFonts w:hint="eastAsia" w:ascii="仿宋_GB2312" w:eastAsia="仿宋_GB2312"/>
          <w:szCs w:val="32"/>
        </w:rPr>
        <w:t>深化河长制“四制四化”模式和“河长</w:t>
      </w:r>
      <w:r>
        <w:rPr>
          <w:rFonts w:ascii="仿宋_GB2312" w:eastAsia="仿宋_GB2312"/>
          <w:szCs w:val="32"/>
        </w:rPr>
        <w:t>+</w:t>
      </w:r>
      <w:r>
        <w:rPr>
          <w:rFonts w:hint="eastAsia" w:ascii="仿宋_GB2312" w:eastAsia="仿宋_GB2312"/>
          <w:szCs w:val="32"/>
        </w:rPr>
        <w:t>检察长</w:t>
      </w:r>
      <w:r>
        <w:rPr>
          <w:rFonts w:ascii="仿宋_GB2312" w:eastAsia="仿宋_GB2312"/>
          <w:szCs w:val="32"/>
        </w:rPr>
        <w:t>+</w:t>
      </w:r>
      <w:r>
        <w:rPr>
          <w:rFonts w:hint="eastAsia" w:ascii="仿宋_GB2312" w:eastAsia="仿宋_GB2312"/>
          <w:szCs w:val="32"/>
        </w:rPr>
        <w:t>警长”制改革，持续开展河湖“清四乱”专项行动。完善河湖控制单元达标管理体系，消减水污染物排放总量，稳定消除劣V类水体。加强城市河道截污管网配套、排污口整治和清淤疏浚，推进城镇污水管网全覆盖，消除城市建成区黑臭水体。加大集中式饮用水水源地保护管理力度，清理整治保护区内污染源，加强饮用水水源地环境风险防范和应急预警，建立跨区域和上下游沟通联动机制，防范突发性水污染事件。推进水污染物减排，完善流域内环境保护基础设施，加强污水处理厂及配套管网建设和维护，推进沿河乡镇生活污水治理设施建设，健全乡镇集中污水处理设施运行经费保障和收费运营机制。</w:t>
      </w:r>
    </w:p>
    <w:p>
      <w:pPr>
        <w:pStyle w:val="4"/>
        <w:spacing w:after="312" w:afterLines="100"/>
        <w:ind w:firstLine="0" w:firstLineChars="0"/>
        <w:jc w:val="center"/>
        <w:rPr>
          <w:rFonts w:ascii="楷体_GB2312" w:hAnsi="仿宋" w:eastAsia="楷体_GB2312"/>
          <w:b/>
          <w:szCs w:val="32"/>
        </w:rPr>
      </w:pPr>
      <w:r>
        <w:rPr>
          <w:rFonts w:hint="eastAsia" w:ascii="楷体_GB2312" w:hAnsi="仿宋" w:eastAsia="楷体_GB2312"/>
          <w:b/>
          <w:szCs w:val="32"/>
        </w:rPr>
        <w:t>第三节  加强土壤污染防治</w:t>
      </w:r>
    </w:p>
    <w:p>
      <w:pPr>
        <w:pStyle w:val="4"/>
        <w:spacing w:after="312" w:afterLines="100"/>
        <w:ind w:firstLine="640"/>
        <w:rPr>
          <w:rFonts w:ascii="仿宋_GB2312" w:eastAsia="仿宋_GB2312"/>
          <w:szCs w:val="32"/>
        </w:rPr>
      </w:pPr>
      <w:r>
        <w:rPr>
          <w:rFonts w:hint="eastAsia" w:ascii="仿宋_GB2312" w:eastAsia="仿宋_GB2312"/>
          <w:szCs w:val="32"/>
        </w:rPr>
        <w:t>严格农用地土壤分类管理和监测监控，以典型工矿企业周边农区、污水灌区、城市郊区、高集约化蔬菜基地、南水北调中线工程水源地及输水干渠沿线为重点区域，制定土壤污染治理与修复规划，采取农艺调控、退耕还林还草、用途管制等措施，开展受污染农用地治理与修复。探索建立土壤污染源头预防、风险管控、治理与修复、动态监管等土壤质量防控体系。推进化肥农药减量增效行动，建立健全秸杆、畜禽粪污等农业废弃物处理处置和资源化利用体系。严格建设用地土壤污染风险管控，强化建设用地准入管理，依法依规更新污染地块名录，建设用地土壤污染风险管控和修复名录，加强对暂不开发利用地块风险管控。加强白色污染治理，推广使用聚乳酸等生物降解材料制品。严格危险化学品生产企业管理、加强危险废物、医疗废物收集处理、核与辐射安全监管，重视新污染物治理，全面实行排污许可制。加强地下水污染防治、地下水污染源头预防和管控，保障地下水型饮用水水源环境安全。</w:t>
      </w:r>
    </w:p>
    <w:bookmarkEnd w:id="72"/>
    <w:p>
      <w:pPr>
        <w:pStyle w:val="4"/>
        <w:spacing w:after="312" w:afterLines="100"/>
        <w:ind w:firstLine="0" w:firstLineChars="0"/>
        <w:jc w:val="center"/>
        <w:rPr>
          <w:rFonts w:ascii="黑体" w:hAnsi="黑体"/>
          <w:bCs/>
          <w:szCs w:val="32"/>
        </w:rPr>
      </w:pPr>
      <w:r>
        <w:rPr>
          <w:rFonts w:hint="eastAsia" w:ascii="黑体" w:hAnsi="黑体"/>
          <w:bCs/>
          <w:szCs w:val="32"/>
        </w:rPr>
        <w:t xml:space="preserve">第四十章   </w:t>
      </w:r>
      <w:bookmarkStart w:id="74" w:name="_Hlk58742915"/>
      <w:r>
        <w:rPr>
          <w:rFonts w:hint="eastAsia" w:ascii="黑体" w:hAnsi="黑体"/>
          <w:bCs/>
          <w:szCs w:val="32"/>
        </w:rPr>
        <w:t>促进资源节约循环利用</w:t>
      </w:r>
    </w:p>
    <w:p>
      <w:pPr>
        <w:pStyle w:val="4"/>
        <w:spacing w:after="312" w:afterLines="100"/>
        <w:ind w:firstLine="640"/>
        <w:rPr>
          <w:rFonts w:ascii="仿宋_GB2312" w:eastAsia="仿宋_GB2312"/>
          <w:szCs w:val="32"/>
        </w:rPr>
      </w:pPr>
      <w:r>
        <w:rPr>
          <w:rFonts w:hint="eastAsia" w:ascii="仿宋_GB2312" w:eastAsia="仿宋_GB2312"/>
          <w:szCs w:val="32"/>
        </w:rPr>
        <w:t>加强资源节约全过程管理，强化指标约束，优化产业结构、能源结构、运输结构、用地结构和农业投入结构，打造绿色低碳循环发展的经济体系。大幅度降低能源、水、土地和矿产资源消耗强度。</w:t>
      </w:r>
    </w:p>
    <w:p>
      <w:pPr>
        <w:pStyle w:val="4"/>
        <w:spacing w:after="312" w:afterLines="100"/>
        <w:ind w:firstLine="0" w:firstLineChars="0"/>
        <w:jc w:val="center"/>
        <w:rPr>
          <w:rFonts w:ascii="楷体_GB2312" w:eastAsia="楷体_GB2312"/>
          <w:b/>
          <w:bCs/>
          <w:szCs w:val="32"/>
        </w:rPr>
      </w:pPr>
      <w:r>
        <w:rPr>
          <w:rFonts w:hint="eastAsia" w:ascii="楷体_GB2312" w:eastAsia="楷体_GB2312"/>
          <w:b/>
          <w:bCs/>
          <w:szCs w:val="32"/>
        </w:rPr>
        <w:t>第一节  提高资源利用效率</w:t>
      </w:r>
    </w:p>
    <w:p>
      <w:pPr>
        <w:pStyle w:val="4"/>
        <w:spacing w:after="312" w:afterLines="100"/>
        <w:ind w:firstLine="640"/>
        <w:jc w:val="both"/>
        <w:rPr>
          <w:rFonts w:ascii="仿宋_GB2312" w:eastAsia="仿宋_GB2312"/>
          <w:szCs w:val="32"/>
        </w:rPr>
      </w:pPr>
      <w:r>
        <w:rPr>
          <w:rFonts w:hint="eastAsia" w:ascii="仿宋_GB2312" w:eastAsia="仿宋_GB2312"/>
          <w:szCs w:val="32"/>
        </w:rPr>
        <w:t>完善能源消费强度控制和总量弹性控制制度，全面推动能源节约。落实绿色产业指导目录，大力发展节能环保、清洁能源及低耗水产业。实施节能低碳行动，强化重点耗能行业和重点用能单位节能管理。实施绿色建筑行动，执行绿色建筑标准，推广建筑工业化模式。严格水资源消费总量和强度双控，加快农业、工业、城镇供水管网节水改造，推广节水技术和高效节水产品，加快推进雨水、再生水等非常规水利用。调整建设用地结构，推进城镇低效用地再开发和工矿废弃地复垦，严格控制农村集体建设用地规模。推广应用节地技术和模式，推进建设用地多功能开发、地上地下立体开发综合利用。实施矿产资源节约与综合利用先进技术推广示范工程，提高矿产资源开采回采率、选矿回收率和综合利用率。健全自然资源资产产权制度，推动生态产品价值实现，推进市场化、多元化生态补偿，全面提高资源利用效率。</w:t>
      </w:r>
    </w:p>
    <w:p>
      <w:pPr>
        <w:pStyle w:val="4"/>
        <w:spacing w:after="312" w:afterLines="100"/>
        <w:ind w:firstLine="0" w:firstLineChars="0"/>
        <w:jc w:val="center"/>
        <w:rPr>
          <w:rFonts w:ascii="楷体_GB2312" w:hAnsi="仿宋_GB2312" w:eastAsia="楷体_GB2312" w:cs="仿宋_GB2312"/>
          <w:b/>
          <w:szCs w:val="32"/>
        </w:rPr>
      </w:pPr>
      <w:r>
        <w:rPr>
          <w:rFonts w:hint="eastAsia" w:ascii="楷体_GB2312" w:hAnsi="仿宋_GB2312" w:eastAsia="楷体_GB2312" w:cs="仿宋_GB2312"/>
          <w:b/>
          <w:szCs w:val="32"/>
        </w:rPr>
        <w:t>第二节  大力发展低碳循环经济</w:t>
      </w:r>
    </w:p>
    <w:p>
      <w:pPr>
        <w:pStyle w:val="4"/>
        <w:spacing w:after="312" w:afterLines="100"/>
        <w:ind w:firstLine="640"/>
        <w:jc w:val="both"/>
        <w:rPr>
          <w:rFonts w:ascii="仿宋_GB2312" w:eastAsia="仿宋_GB2312"/>
          <w:szCs w:val="32"/>
        </w:rPr>
      </w:pPr>
      <w:r>
        <w:rPr>
          <w:rFonts w:hint="eastAsia" w:ascii="仿宋_GB2312" w:eastAsia="仿宋_GB2312"/>
          <w:szCs w:val="32"/>
        </w:rPr>
        <w:t>按照“资源-产品-废弃物-再生资源”循环利用模式，采用资源节约替代、循环利用、零排放等技术，提高资源综合利用水平。完善循环经济产业链，推动静脉产业园提质发展，加快构建废旧物资循环利用体系，以产业集聚区为重点，强化不同行业间和上下游企业间原料产品互供、能源资源协同利用，推广使用再生产品和再生原料，加强企业、园区、城市间能源资源等设施共建共享。充分利用清洁发展机制和合同能源管理，推进工业、建筑、公共机构等节能工程建设，推广使用高效节能产品和节水器具。制定二〇三〇年前碳排放达峰行动方案，加快低碳技术引进、研发、示范和产业化步伐，增加森林、土壤、绿地、湿地等固碳水平，鼓励企业开展低碳体系、低碳产品认证试点，开展碳捕捉和封存技术新模式，加强碳减排统计、核查、监管等基础能力建设，逐步降低碳排放强度，力争如期实现碳中和刚性目标。</w:t>
      </w:r>
    </w:p>
    <w:p>
      <w:pPr>
        <w:spacing w:after="312" w:afterLines="100" w:line="600" w:lineRule="exact"/>
        <w:jc w:val="center"/>
        <w:rPr>
          <w:rFonts w:ascii="楷体_GB2312" w:hAnsi="仿宋_GB2312" w:eastAsia="楷体_GB2312" w:cs="仿宋_GB2312"/>
          <w:b/>
          <w:kern w:val="0"/>
          <w:sz w:val="32"/>
          <w:szCs w:val="32"/>
        </w:rPr>
      </w:pPr>
      <w:r>
        <w:rPr>
          <w:rFonts w:hint="eastAsia" w:ascii="楷体_GB2312" w:hAnsi="仿宋_GB2312" w:eastAsia="楷体_GB2312" w:cs="仿宋_GB2312"/>
          <w:b/>
          <w:kern w:val="0"/>
          <w:sz w:val="32"/>
          <w:szCs w:val="32"/>
        </w:rPr>
        <w:t>第三节  培育绿色生活方式</w:t>
      </w:r>
    </w:p>
    <w:p>
      <w:pPr>
        <w:pStyle w:val="4"/>
        <w:spacing w:after="312" w:afterLines="100"/>
        <w:ind w:firstLine="640"/>
        <w:rPr>
          <w:rFonts w:ascii="仿宋_GB2312" w:eastAsia="仿宋_GB2312"/>
          <w:szCs w:val="32"/>
        </w:rPr>
      </w:pPr>
      <w:r>
        <w:rPr>
          <w:rFonts w:hint="eastAsia" w:ascii="仿宋_GB2312" w:eastAsia="仿宋_GB2312"/>
          <w:szCs w:val="32"/>
        </w:rPr>
        <w:t>积极开展绿色消费行动，引导居民选择原生态、低污染、低消耗绿色产品，引导企业选择必需型、健康型、生态化生产消费方式，逐步形成科学合理的消费结构。加强生态文明宣传教育，开展世界环境日、世界水日、节能宣传月等主题宣传，发布生活方式绿色化指南，引导公众积极践行绿色简约生活和低碳休闲模式。倡导文明用餐、节俭消费，坚决制止餐饮浪费行为。推行垃圾分类和减量化、资源化，建立健全分类收运、回收和处理体系。</w:t>
      </w:r>
      <w:bookmarkStart w:id="75" w:name="_Toc27387690"/>
      <w:r>
        <w:rPr>
          <w:rFonts w:hint="eastAsia" w:ascii="仿宋_GB2312" w:eastAsia="仿宋_GB2312"/>
          <w:szCs w:val="32"/>
        </w:rPr>
        <w:t>鼓励绿色产品消费，扩大政府绿色采购规模。</w:t>
      </w:r>
    </w:p>
    <w:bookmarkEnd w:id="74"/>
    <w:p>
      <w:pPr>
        <w:spacing w:after="312" w:afterLines="100" w:line="600" w:lineRule="exact"/>
        <w:jc w:val="center"/>
        <w:rPr>
          <w:rFonts w:ascii="楷体_GB2312" w:hAnsi="仿宋" w:eastAsia="楷体_GB2312"/>
          <w:b/>
          <w:sz w:val="32"/>
          <w:szCs w:val="32"/>
        </w:rPr>
      </w:pPr>
      <w:bookmarkStart w:id="76" w:name="_Hlk58743681"/>
      <w:r>
        <w:rPr>
          <w:rFonts w:hint="eastAsia" w:ascii="楷体_GB2312" w:hAnsi="仿宋" w:eastAsia="楷体_GB2312"/>
          <w:b/>
          <w:sz w:val="32"/>
          <w:szCs w:val="32"/>
        </w:rPr>
        <w:t>第四节 健全绿色发展政策</w:t>
      </w:r>
      <w:bookmarkEnd w:id="75"/>
    </w:p>
    <w:p>
      <w:pPr>
        <w:spacing w:after="312" w:afterLines="100" w:line="600" w:lineRule="exact"/>
        <w:ind w:firstLine="640" w:firstLineChars="200"/>
        <w:jc w:val="left"/>
        <w:rPr>
          <w:rFonts w:ascii="仿宋_GB2312" w:hAnsi="Times New Roman" w:eastAsia="仿宋_GB2312"/>
          <w:kern w:val="0"/>
          <w:sz w:val="32"/>
          <w:szCs w:val="32"/>
        </w:rPr>
      </w:pPr>
      <w:r>
        <w:rPr>
          <w:rFonts w:hint="eastAsia" w:ascii="仿宋_GB2312" w:hAnsi="Times New Roman" w:eastAsia="仿宋_GB2312"/>
          <w:kern w:val="0"/>
          <w:sz w:val="32"/>
          <w:szCs w:val="32"/>
        </w:rPr>
        <w:t>建立健全资源有偿使用制度和市场化、多元化补偿机制，实施更加严格的生态环境损害赔偿制度。完善实施差别化电价、峰谷分时电价和居民用水、电、气阶梯价格政策，全面推行城镇非居民用水超定额累进加价政策，有序放开具备竞争条件的上网电价和公益性以外的销售电价、非居民用天然气价格，推进居民供热分户计量改造和按用热量计价收费制度。完善污水、垃圾、危险废物处理收费政策和收费标准动态调整机制。推行合同能源管理、环境污染第三方治理以及排污权和水权交易等市场化机制，引入社会资本参与建设环境保护重点工程。</w:t>
      </w:r>
      <w:bookmarkEnd w:id="76"/>
      <w:bookmarkStart w:id="77" w:name="_Hlk59031308"/>
    </w:p>
    <w:tbl>
      <w:tblPr>
        <w:tblStyle w:val="23"/>
        <w:tblpPr w:leftFromText="180" w:rightFromText="180" w:vertAnchor="text" w:horzAnchor="margin" w:tblpY="10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0" w:type="auto"/>
            <w:vAlign w:val="center"/>
          </w:tcPr>
          <w:p>
            <w:pPr>
              <w:spacing w:line="600" w:lineRule="exact"/>
              <w:ind w:firstLine="300" w:firstLineChars="100"/>
              <w:jc w:val="center"/>
              <w:rPr>
                <w:rFonts w:ascii="黑体" w:hAnsi="黑体" w:eastAsia="黑体" w:cs="宋体"/>
                <w:bCs/>
                <w:kern w:val="0"/>
                <w:sz w:val="30"/>
                <w:szCs w:val="30"/>
              </w:rPr>
            </w:pPr>
            <w:r>
              <w:rPr>
                <w:rFonts w:hint="eastAsia" w:ascii="黑体" w:hAnsi="黑体" w:eastAsia="黑体" w:cs="宋体"/>
                <w:bCs/>
                <w:kern w:val="0"/>
                <w:sz w:val="30"/>
                <w:szCs w:val="30"/>
              </w:rPr>
              <w:t>专栏9：生态文明建设重点工程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0" w:type="auto"/>
          </w:tcPr>
          <w:p>
            <w:pPr>
              <w:spacing w:line="500" w:lineRule="exact"/>
              <w:ind w:firstLine="562" w:firstLineChars="200"/>
              <w:rPr>
                <w:rFonts w:ascii="楷体_GB2312" w:hAnsi="宋体" w:eastAsia="楷体_GB2312" w:cs="宋体"/>
                <w:b/>
                <w:bCs/>
                <w:kern w:val="0"/>
                <w:sz w:val="28"/>
                <w:szCs w:val="28"/>
              </w:rPr>
            </w:pPr>
            <w:r>
              <w:rPr>
                <w:rFonts w:hint="eastAsia" w:ascii="楷体_GB2312" w:hAnsi="宋体" w:eastAsia="楷体_GB2312" w:cs="宋体"/>
                <w:b/>
                <w:bCs/>
                <w:kern w:val="0"/>
                <w:sz w:val="28"/>
                <w:szCs w:val="28"/>
              </w:rPr>
              <w:t>1.生态空间建设工程</w:t>
            </w:r>
          </w:p>
          <w:p>
            <w:pPr>
              <w:spacing w:line="500" w:lineRule="exact"/>
              <w:ind w:firstLine="562" w:firstLineChars="200"/>
              <w:rPr>
                <w:rFonts w:ascii="仿宋_GB2312" w:eastAsia="仿宋_GB2312"/>
                <w:sz w:val="28"/>
                <w:szCs w:val="28"/>
              </w:rPr>
            </w:pPr>
            <w:r>
              <w:rPr>
                <w:rFonts w:hint="eastAsia" w:ascii="仿宋_GB2312" w:hAnsi="宋体" w:eastAsia="仿宋_GB2312" w:cs="宋体"/>
                <w:b/>
                <w:bCs/>
                <w:kern w:val="0"/>
                <w:sz w:val="28"/>
                <w:szCs w:val="28"/>
              </w:rPr>
              <w:t>重点生态功能区建设工程：</w:t>
            </w:r>
            <w:r>
              <w:rPr>
                <w:rFonts w:hint="eastAsia" w:ascii="仿宋_GB2312" w:eastAsia="仿宋_GB2312"/>
                <w:sz w:val="28"/>
                <w:szCs w:val="28"/>
              </w:rPr>
              <w:t>按照山区造林、通道造林、城镇绿化的方式，打造“一核三区一网多点”的生态空间格局，包括国储林项目、森林河南生态建设工程等。</w:t>
            </w:r>
          </w:p>
          <w:p>
            <w:pPr>
              <w:spacing w:line="500" w:lineRule="exact"/>
              <w:ind w:firstLine="562" w:firstLineChars="200"/>
              <w:rPr>
                <w:rFonts w:ascii="仿宋_GB2312" w:eastAsia="仿宋_GB2312"/>
                <w:sz w:val="28"/>
                <w:szCs w:val="28"/>
              </w:rPr>
            </w:pPr>
            <w:r>
              <w:rPr>
                <w:rFonts w:hint="eastAsia" w:ascii="仿宋_GB2312" w:hAnsi="宋体" w:eastAsia="仿宋_GB2312" w:cs="宋体"/>
                <w:b/>
                <w:bCs/>
                <w:kern w:val="0"/>
                <w:sz w:val="28"/>
                <w:szCs w:val="28"/>
              </w:rPr>
              <w:t>生态红线区综合整治工程：</w:t>
            </w:r>
            <w:r>
              <w:rPr>
                <w:rFonts w:hint="eastAsia" w:ascii="仿宋_GB2312" w:eastAsia="仿宋_GB2312"/>
                <w:sz w:val="28"/>
                <w:szCs w:val="28"/>
              </w:rPr>
              <w:t>对生态红线区域进行综合整治，逐步拆除红线区内违法建筑，加强红线区日常监察执法，严格保护生态红线。</w:t>
            </w:r>
          </w:p>
          <w:p>
            <w:pPr>
              <w:spacing w:line="500" w:lineRule="exact"/>
              <w:ind w:firstLine="562" w:firstLineChars="200"/>
              <w:rPr>
                <w:rFonts w:ascii="仿宋_GB2312" w:eastAsia="仿宋_GB2312"/>
                <w:sz w:val="28"/>
                <w:szCs w:val="28"/>
              </w:rPr>
            </w:pPr>
            <w:r>
              <w:rPr>
                <w:rFonts w:hint="eastAsia" w:ascii="仿宋_GB2312" w:hAnsi="宋体" w:eastAsia="仿宋_GB2312" w:cs="宋体"/>
                <w:b/>
                <w:bCs/>
                <w:kern w:val="0"/>
                <w:sz w:val="28"/>
                <w:szCs w:val="28"/>
              </w:rPr>
              <w:t>水域岸线规划建设：</w:t>
            </w:r>
            <w:r>
              <w:rPr>
                <w:rFonts w:hint="eastAsia" w:ascii="仿宋_GB2312" w:eastAsia="仿宋_GB2312"/>
                <w:sz w:val="28"/>
                <w:szCs w:val="28"/>
              </w:rPr>
              <w:t>开展淮河、白河、丹江、唐河等河道岸线保护与利用规划编制；依法划定河湖水域岸线管理保护范围及其范围内水利工程管理保护边界，明确河湖水域岸线管理保护界限、空间坐标。</w:t>
            </w:r>
          </w:p>
          <w:p>
            <w:pPr>
              <w:spacing w:line="500" w:lineRule="exact"/>
              <w:ind w:firstLine="562" w:firstLineChars="200"/>
              <w:rPr>
                <w:rFonts w:ascii="仿宋_GB2312" w:eastAsia="仿宋_GB2312"/>
                <w:sz w:val="28"/>
                <w:szCs w:val="28"/>
              </w:rPr>
            </w:pPr>
            <w:r>
              <w:rPr>
                <w:rFonts w:hint="eastAsia" w:ascii="仿宋_GB2312" w:hAnsi="宋体" w:eastAsia="仿宋_GB2312" w:cs="宋体"/>
                <w:b/>
                <w:bCs/>
                <w:kern w:val="0"/>
                <w:sz w:val="28"/>
                <w:szCs w:val="28"/>
              </w:rPr>
              <w:t>河流湖库生态廊道建设工程：</w:t>
            </w:r>
            <w:r>
              <w:rPr>
                <w:rFonts w:hint="eastAsia" w:ascii="仿宋_GB2312" w:eastAsia="仿宋_GB2312"/>
                <w:sz w:val="28"/>
                <w:szCs w:val="28"/>
              </w:rPr>
              <w:t>重点加快市内主要河流水系生态廊道建设和硬质生态护岸改造，加强河流两岸生态用地和河道管制，保障河流洪水调蓄、水质维护等功能，维持河流生态系统健康稳定。</w:t>
            </w:r>
          </w:p>
          <w:p>
            <w:pPr>
              <w:spacing w:line="500" w:lineRule="exact"/>
              <w:ind w:firstLine="562" w:firstLineChars="200"/>
              <w:rPr>
                <w:rFonts w:ascii="仿宋_GB2312" w:eastAsia="仿宋_GB2312"/>
                <w:sz w:val="28"/>
                <w:szCs w:val="28"/>
              </w:rPr>
            </w:pPr>
            <w:r>
              <w:rPr>
                <w:rFonts w:hint="eastAsia" w:ascii="仿宋_GB2312" w:hAnsi="宋体" w:eastAsia="仿宋_GB2312" w:cs="宋体"/>
                <w:b/>
                <w:bCs/>
                <w:kern w:val="0"/>
                <w:sz w:val="28"/>
                <w:szCs w:val="28"/>
              </w:rPr>
              <w:t>自然资源管理系统建设：</w:t>
            </w:r>
            <w:r>
              <w:rPr>
                <w:rFonts w:hint="eastAsia" w:ascii="仿宋_GB2312" w:eastAsia="仿宋_GB2312"/>
                <w:sz w:val="28"/>
                <w:szCs w:val="28"/>
              </w:rPr>
              <w:t>整合山水林田湖草等资源，建设统一的自然资源管理系统，形成界址清晰、权责明确的自然资源信息和管控平台。</w:t>
            </w:r>
          </w:p>
          <w:p>
            <w:pPr>
              <w:spacing w:line="500" w:lineRule="exact"/>
              <w:ind w:firstLine="562" w:firstLineChars="200"/>
              <w:rPr>
                <w:rFonts w:ascii="仿宋_GB2312" w:eastAsia="仿宋_GB2312"/>
                <w:sz w:val="28"/>
                <w:szCs w:val="28"/>
              </w:rPr>
            </w:pPr>
            <w:r>
              <w:rPr>
                <w:rFonts w:hint="eastAsia" w:ascii="仿宋_GB2312" w:hAnsi="宋体" w:eastAsia="仿宋_GB2312" w:cs="宋体"/>
                <w:b/>
                <w:bCs/>
                <w:kern w:val="0"/>
                <w:sz w:val="28"/>
                <w:szCs w:val="28"/>
              </w:rPr>
              <w:t>水土流失治理项目：</w:t>
            </w:r>
            <w:r>
              <w:rPr>
                <w:rFonts w:hint="eastAsia" w:ascii="仿宋_GB2312" w:eastAsia="仿宋_GB2312"/>
                <w:sz w:val="28"/>
                <w:szCs w:val="28"/>
              </w:rPr>
              <w:t>积极开展水土流失形成机制及治理技术研究。采取工程和生物措施并举手段，实施小流域综合治理，大力推进流域水土保持综合防治。</w:t>
            </w:r>
          </w:p>
          <w:p>
            <w:pPr>
              <w:spacing w:line="500" w:lineRule="exact"/>
              <w:ind w:firstLine="562" w:firstLineChars="200"/>
              <w:rPr>
                <w:rFonts w:ascii="楷体_GB2312" w:hAnsi="宋体" w:eastAsia="楷体_GB2312" w:cs="宋体"/>
                <w:b/>
                <w:bCs/>
                <w:kern w:val="0"/>
                <w:sz w:val="28"/>
                <w:szCs w:val="28"/>
              </w:rPr>
            </w:pPr>
            <w:r>
              <w:rPr>
                <w:rFonts w:hint="eastAsia" w:ascii="楷体_GB2312" w:hAnsi="宋体" w:eastAsia="楷体_GB2312" w:cs="宋体"/>
                <w:b/>
                <w:bCs/>
                <w:kern w:val="0"/>
                <w:sz w:val="28"/>
                <w:szCs w:val="28"/>
              </w:rPr>
              <w:t>2.生态安全工程</w:t>
            </w:r>
          </w:p>
          <w:p>
            <w:pPr>
              <w:spacing w:line="500" w:lineRule="exact"/>
              <w:ind w:firstLine="562" w:firstLineChars="200"/>
              <w:rPr>
                <w:rFonts w:ascii="仿宋_GB2312" w:eastAsia="仿宋_GB2312"/>
                <w:sz w:val="28"/>
                <w:szCs w:val="28"/>
              </w:rPr>
            </w:pPr>
            <w:r>
              <w:rPr>
                <w:rFonts w:hint="eastAsia" w:ascii="仿宋_GB2312" w:hAnsi="宋体" w:eastAsia="仿宋_GB2312" w:cs="宋体"/>
                <w:b/>
                <w:bCs/>
                <w:kern w:val="0"/>
                <w:sz w:val="28"/>
                <w:szCs w:val="28"/>
              </w:rPr>
              <w:t>生态环境信息系统和平台建设：</w:t>
            </w:r>
            <w:r>
              <w:rPr>
                <w:rFonts w:hint="eastAsia" w:ascii="仿宋_GB2312" w:eastAsia="仿宋_GB2312"/>
                <w:sz w:val="28"/>
                <w:szCs w:val="28"/>
              </w:rPr>
              <w:t>利用物联网、云计算等智能化技术手段，将环保感知数据、业务数据、空间地理信息数据、视频数据等集中整合与交互共享，建设“南阳市生态环境信息系统”，构建“南阳市生态文明建设信息平台”，作为全市生态文明建设的权威信息发布中枢。</w:t>
            </w:r>
          </w:p>
          <w:p>
            <w:pPr>
              <w:spacing w:line="500" w:lineRule="exact"/>
              <w:ind w:firstLine="562" w:firstLineChars="200"/>
              <w:rPr>
                <w:rFonts w:ascii="仿宋_GB2312" w:eastAsia="仿宋_GB2312"/>
                <w:sz w:val="28"/>
                <w:szCs w:val="28"/>
              </w:rPr>
            </w:pPr>
            <w:r>
              <w:rPr>
                <w:rFonts w:hint="eastAsia" w:ascii="仿宋_GB2312" w:hAnsi="宋体" w:eastAsia="仿宋_GB2312" w:cs="宋体"/>
                <w:b/>
                <w:bCs/>
                <w:kern w:val="0"/>
                <w:sz w:val="28"/>
                <w:szCs w:val="28"/>
              </w:rPr>
              <w:t>大气环境监测和应急预警能力建设：</w:t>
            </w:r>
            <w:r>
              <w:rPr>
                <w:rFonts w:hint="eastAsia" w:ascii="仿宋_GB2312" w:eastAsia="仿宋_GB2312"/>
                <w:sz w:val="28"/>
                <w:szCs w:val="28"/>
              </w:rPr>
              <w:t>构建覆盖城乡的全方位、多层次、广覆盖的大气环境监测网络，重点加大对细颗粒物（PM</w:t>
            </w:r>
            <w:r>
              <w:rPr>
                <w:rFonts w:hint="eastAsia" w:ascii="仿宋_GB2312" w:eastAsia="仿宋_GB2312"/>
                <w:sz w:val="28"/>
                <w:szCs w:val="28"/>
                <w:vertAlign w:val="subscript"/>
              </w:rPr>
              <w:t>2.5</w:t>
            </w:r>
            <w:r>
              <w:rPr>
                <w:rFonts w:hint="eastAsia" w:ascii="仿宋_GB2312" w:eastAsia="仿宋_GB2312"/>
                <w:sz w:val="28"/>
                <w:szCs w:val="28"/>
              </w:rPr>
              <w:t>）、灰霾、挥发性有机物等主要大气污染物的自动化监测网络建设。</w:t>
            </w:r>
          </w:p>
          <w:p>
            <w:pPr>
              <w:spacing w:line="500" w:lineRule="exact"/>
              <w:ind w:firstLine="562" w:firstLineChars="200"/>
              <w:rPr>
                <w:rFonts w:ascii="仿宋_GB2312" w:eastAsia="仿宋_GB2312"/>
                <w:sz w:val="28"/>
                <w:szCs w:val="28"/>
              </w:rPr>
            </w:pPr>
            <w:r>
              <w:rPr>
                <w:rFonts w:hint="eastAsia" w:ascii="仿宋_GB2312" w:hAnsi="宋体" w:eastAsia="仿宋_GB2312" w:cs="宋体"/>
                <w:b/>
                <w:bCs/>
                <w:kern w:val="0"/>
                <w:sz w:val="28"/>
                <w:szCs w:val="28"/>
              </w:rPr>
              <w:t>水生态保护与修复工程：</w:t>
            </w:r>
            <w:r>
              <w:rPr>
                <w:rFonts w:hint="eastAsia" w:ascii="仿宋_GB2312" w:eastAsia="仿宋_GB2312"/>
                <w:sz w:val="28"/>
                <w:szCs w:val="28"/>
              </w:rPr>
              <w:t>加强淮河流域、唐白河流域、中心城区内河等重点流域水生态环境功能区管理，推进重点流域沿线企业清洁生产改造及工业、城镇生活和农业水污染综合治理；推进地下水污染防治，建立健全地下水环境监管体系。</w:t>
            </w:r>
          </w:p>
          <w:p>
            <w:pPr>
              <w:spacing w:line="500" w:lineRule="exact"/>
              <w:ind w:firstLine="562" w:firstLineChars="200"/>
              <w:rPr>
                <w:rFonts w:ascii="仿宋_GB2312" w:eastAsia="仿宋_GB2312"/>
                <w:sz w:val="28"/>
                <w:szCs w:val="28"/>
              </w:rPr>
            </w:pPr>
            <w:r>
              <w:rPr>
                <w:rFonts w:hint="eastAsia" w:ascii="仿宋_GB2312" w:hAnsi="宋体" w:eastAsia="仿宋_GB2312" w:cs="宋体"/>
                <w:b/>
                <w:bCs/>
                <w:kern w:val="0"/>
                <w:sz w:val="28"/>
                <w:szCs w:val="28"/>
              </w:rPr>
              <w:t>污水收集管网和污水处理站建设：</w:t>
            </w:r>
            <w:r>
              <w:rPr>
                <w:rFonts w:hint="eastAsia" w:ascii="仿宋_GB2312" w:eastAsia="仿宋_GB2312"/>
                <w:sz w:val="28"/>
                <w:szCs w:val="28"/>
              </w:rPr>
              <w:t>推进城市、建制村镇和工业园区污水收集管网和污水处理设施建设。</w:t>
            </w:r>
          </w:p>
          <w:p>
            <w:pPr>
              <w:spacing w:line="500" w:lineRule="exact"/>
              <w:ind w:firstLine="562" w:firstLineChars="200"/>
              <w:rPr>
                <w:rFonts w:ascii="仿宋_GB2312" w:eastAsia="仿宋_GB2312"/>
                <w:sz w:val="28"/>
                <w:szCs w:val="28"/>
              </w:rPr>
            </w:pPr>
            <w:r>
              <w:rPr>
                <w:rFonts w:hint="eastAsia" w:ascii="仿宋_GB2312" w:hAnsi="宋体" w:eastAsia="仿宋_GB2312" w:cs="宋体"/>
                <w:b/>
                <w:bCs/>
                <w:kern w:val="0"/>
                <w:sz w:val="28"/>
                <w:szCs w:val="28"/>
              </w:rPr>
              <w:t>森林城市建设项目：</w:t>
            </w:r>
            <w:r>
              <w:rPr>
                <w:rFonts w:hint="eastAsia" w:ascii="仿宋_GB2312" w:eastAsia="仿宋_GB2312"/>
                <w:sz w:val="28"/>
                <w:szCs w:val="28"/>
              </w:rPr>
              <w:t>加强城市公园、街头绿地、林荫景观街道、绿道、森林单位、林荫停车场建设，提高有机地表覆盖物水平。</w:t>
            </w:r>
          </w:p>
          <w:p>
            <w:pPr>
              <w:spacing w:line="500" w:lineRule="exact"/>
              <w:ind w:firstLine="562" w:firstLineChars="200"/>
              <w:rPr>
                <w:rFonts w:ascii="仿宋_GB2312" w:eastAsia="仿宋_GB2312"/>
                <w:sz w:val="28"/>
                <w:szCs w:val="28"/>
              </w:rPr>
            </w:pPr>
            <w:r>
              <w:rPr>
                <w:rFonts w:hint="eastAsia" w:ascii="仿宋_GB2312" w:hAnsi="宋体" w:eastAsia="仿宋_GB2312" w:cs="宋体"/>
                <w:b/>
                <w:bCs/>
                <w:kern w:val="0"/>
                <w:sz w:val="28"/>
                <w:szCs w:val="28"/>
              </w:rPr>
              <w:t>村镇公共游憩地建设项目：</w:t>
            </w:r>
            <w:r>
              <w:rPr>
                <w:rFonts w:hint="eastAsia" w:ascii="仿宋_GB2312" w:eastAsia="仿宋_GB2312"/>
                <w:sz w:val="28"/>
                <w:szCs w:val="28"/>
              </w:rPr>
              <w:t>在全市393个村镇开展公共游憩地建设，增加围村林种植面积，完善乡村道路林网络，改善林地景观布局。</w:t>
            </w:r>
          </w:p>
          <w:p>
            <w:pPr>
              <w:spacing w:line="500" w:lineRule="exact"/>
              <w:ind w:firstLine="562" w:firstLineChars="200"/>
              <w:rPr>
                <w:rFonts w:ascii="仿宋_GB2312" w:eastAsia="仿宋_GB2312"/>
                <w:sz w:val="28"/>
                <w:szCs w:val="28"/>
              </w:rPr>
            </w:pPr>
            <w:r>
              <w:rPr>
                <w:rFonts w:hint="eastAsia" w:ascii="仿宋_GB2312" w:hAnsi="宋体" w:eastAsia="仿宋_GB2312" w:cs="宋体"/>
                <w:b/>
                <w:bCs/>
                <w:kern w:val="0"/>
                <w:sz w:val="28"/>
                <w:szCs w:val="28"/>
              </w:rPr>
              <w:t>湿地公园建设项目：</w:t>
            </w:r>
            <w:r>
              <w:rPr>
                <w:rFonts w:hint="eastAsia" w:ascii="仿宋_GB2312" w:eastAsia="仿宋_GB2312"/>
                <w:sz w:val="28"/>
                <w:szCs w:val="28"/>
              </w:rPr>
              <w:t>沿白河、唐河、湍河等重要水系，选择湿地资源丰富地区，建设湿地公园，配套生态保护和公共基础设施。</w:t>
            </w:r>
          </w:p>
          <w:p>
            <w:pPr>
              <w:spacing w:line="500" w:lineRule="exact"/>
              <w:ind w:firstLine="562" w:firstLineChars="200"/>
              <w:rPr>
                <w:rFonts w:ascii="楷体_GB2312" w:hAnsi="宋体" w:eastAsia="楷体_GB2312" w:cs="宋体"/>
                <w:b/>
                <w:bCs/>
                <w:kern w:val="0"/>
                <w:sz w:val="28"/>
                <w:szCs w:val="28"/>
              </w:rPr>
            </w:pPr>
            <w:r>
              <w:rPr>
                <w:rFonts w:hint="eastAsia" w:ascii="楷体_GB2312" w:hAnsi="宋体" w:eastAsia="楷体_GB2312" w:cs="宋体"/>
                <w:b/>
                <w:bCs/>
                <w:kern w:val="0"/>
                <w:sz w:val="28"/>
                <w:szCs w:val="28"/>
              </w:rPr>
              <w:t>3.生态生活工程</w:t>
            </w:r>
          </w:p>
          <w:p>
            <w:pPr>
              <w:spacing w:line="500" w:lineRule="exact"/>
              <w:ind w:firstLine="562" w:firstLineChars="200"/>
              <w:rPr>
                <w:rFonts w:ascii="仿宋_GB2312" w:eastAsia="仿宋_GB2312"/>
                <w:sz w:val="28"/>
                <w:szCs w:val="28"/>
              </w:rPr>
            </w:pPr>
            <w:r>
              <w:rPr>
                <w:rFonts w:hint="eastAsia" w:ascii="仿宋_GB2312" w:hAnsi="宋体" w:eastAsia="仿宋_GB2312" w:cs="宋体"/>
                <w:b/>
                <w:bCs/>
                <w:kern w:val="0"/>
                <w:sz w:val="28"/>
                <w:szCs w:val="28"/>
              </w:rPr>
              <w:t>城区绿化改造提升项目：</w:t>
            </w:r>
            <w:r>
              <w:rPr>
                <w:rFonts w:hint="eastAsia" w:ascii="仿宋_GB2312" w:eastAsia="仿宋_GB2312"/>
                <w:sz w:val="28"/>
                <w:szCs w:val="28"/>
              </w:rPr>
              <w:t>提升城区内河绿化景观带、道路沿线绿化带和社区、街头绿化点，完善城市绿地空间格局；继续开展“拆墙透绿”工程，推动绿地共建共享。</w:t>
            </w:r>
          </w:p>
          <w:p>
            <w:pPr>
              <w:spacing w:line="500" w:lineRule="exact"/>
              <w:ind w:firstLine="562" w:firstLineChars="200"/>
              <w:rPr>
                <w:rFonts w:ascii="仿宋_GB2312" w:eastAsia="仿宋_GB2312"/>
                <w:sz w:val="28"/>
                <w:szCs w:val="28"/>
              </w:rPr>
            </w:pPr>
            <w:r>
              <w:rPr>
                <w:rFonts w:hint="eastAsia" w:ascii="仿宋_GB2312" w:hAnsi="宋体" w:eastAsia="仿宋_GB2312" w:cs="宋体"/>
                <w:b/>
                <w:bCs/>
                <w:kern w:val="0"/>
                <w:sz w:val="28"/>
                <w:szCs w:val="28"/>
              </w:rPr>
              <w:t>新能源公共交通系统构建：</w:t>
            </w:r>
            <w:r>
              <w:rPr>
                <w:rFonts w:hint="eastAsia" w:ascii="仿宋_GB2312" w:eastAsia="仿宋_GB2312"/>
                <w:sz w:val="28"/>
                <w:szCs w:val="28"/>
              </w:rPr>
              <w:t>推动充电桩建设、车站和线路改造等。</w:t>
            </w:r>
          </w:p>
          <w:p>
            <w:pPr>
              <w:spacing w:line="500" w:lineRule="exact"/>
              <w:ind w:firstLine="562" w:firstLineChars="200"/>
              <w:rPr>
                <w:rFonts w:ascii="仿宋_GB2312" w:eastAsia="仿宋_GB2312"/>
                <w:sz w:val="28"/>
                <w:szCs w:val="28"/>
              </w:rPr>
            </w:pPr>
            <w:r>
              <w:rPr>
                <w:rFonts w:hint="eastAsia" w:ascii="仿宋_GB2312" w:hAnsi="宋体" w:eastAsia="仿宋_GB2312" w:cs="宋体"/>
                <w:b/>
                <w:bCs/>
                <w:kern w:val="0"/>
                <w:sz w:val="28"/>
                <w:szCs w:val="28"/>
              </w:rPr>
              <w:t>非机动车道和人行道改造：</w:t>
            </w:r>
            <w:r>
              <w:rPr>
                <w:rFonts w:hint="eastAsia" w:ascii="仿宋_GB2312" w:eastAsia="仿宋_GB2312"/>
                <w:sz w:val="28"/>
                <w:szCs w:val="28"/>
              </w:rPr>
              <w:t>建设并规范自行车道，改造人行道，提高出行舒适性。</w:t>
            </w:r>
          </w:p>
          <w:p>
            <w:pPr>
              <w:spacing w:line="500" w:lineRule="exact"/>
              <w:ind w:firstLine="562" w:firstLineChars="200"/>
              <w:rPr>
                <w:rFonts w:ascii="仿宋_GB2312" w:eastAsia="仿宋_GB2312"/>
                <w:sz w:val="28"/>
                <w:szCs w:val="28"/>
              </w:rPr>
            </w:pPr>
            <w:r>
              <w:rPr>
                <w:rFonts w:hint="eastAsia" w:ascii="仿宋_GB2312" w:hAnsi="宋体" w:eastAsia="仿宋_GB2312" w:cs="宋体"/>
                <w:b/>
                <w:bCs/>
                <w:kern w:val="0"/>
                <w:sz w:val="28"/>
                <w:szCs w:val="28"/>
              </w:rPr>
              <w:t>农村环境综合整治基础设施建设：</w:t>
            </w:r>
            <w:r>
              <w:rPr>
                <w:rFonts w:hint="eastAsia" w:ascii="仿宋_GB2312" w:eastAsia="仿宋_GB2312"/>
                <w:sz w:val="28"/>
                <w:szCs w:val="28"/>
              </w:rPr>
              <w:t>采用整村整治策略，实施“空心村”整治、自来水入户、垃圾收集回收与处理、污水汇集与治理、清洁能源入户、景观设计等工程。</w:t>
            </w:r>
          </w:p>
          <w:p>
            <w:pPr>
              <w:pStyle w:val="2"/>
              <w:spacing w:before="0" w:after="0" w:line="500" w:lineRule="exact"/>
              <w:jc w:val="both"/>
            </w:pPr>
            <w:r>
              <w:rPr>
                <w:rFonts w:hint="eastAsia" w:ascii="仿宋_GB2312" w:hAnsi="宋体" w:eastAsia="仿宋_GB2312" w:cs="宋体"/>
                <w:b/>
                <w:bCs/>
                <w:kern w:val="0"/>
                <w:sz w:val="28"/>
                <w:szCs w:val="28"/>
              </w:rPr>
              <w:t xml:space="preserve">    生活垃圾分类和资源化利用：</w:t>
            </w:r>
            <w:r>
              <w:rPr>
                <w:rFonts w:hint="eastAsia" w:ascii="仿宋_GB2312" w:hAnsi="Calibri" w:eastAsia="仿宋_GB2312"/>
                <w:sz w:val="28"/>
                <w:szCs w:val="28"/>
              </w:rPr>
              <w:t>宣传推广可持续生活方式，减少垃圾排放；在城区所有小区、公共场地、机构按需要普及垃圾分类系统，强化垃圾分类习惯；探索建设纸类、玻璃类、金属类及电子垃圾回收资源化利用体系；推进餐厨垃圾处理场建设。</w:t>
            </w:r>
          </w:p>
        </w:tc>
      </w:tr>
    </w:tbl>
    <w:p>
      <w:pPr>
        <w:spacing w:after="312" w:afterLines="100" w:line="600" w:lineRule="exact"/>
        <w:jc w:val="center"/>
        <w:rPr>
          <w:rFonts w:ascii="方正小标宋简体" w:hAnsi="黑体" w:eastAsia="方正小标宋简体" w:cs="黑体"/>
          <w:sz w:val="32"/>
          <w:szCs w:val="32"/>
        </w:rPr>
      </w:pPr>
      <w:r>
        <w:rPr>
          <w:rFonts w:hint="eastAsia" w:ascii="方正小标宋简体" w:hAnsi="黑体" w:eastAsia="方正小标宋简体" w:cs="黑体"/>
          <w:sz w:val="32"/>
          <w:szCs w:val="32"/>
        </w:rPr>
        <w:t>第十二篇  提升人力资本素质，促进人的全面发展</w:t>
      </w:r>
    </w:p>
    <w:bookmarkEnd w:id="77"/>
    <w:p>
      <w:pPr>
        <w:spacing w:after="312" w:afterLines="100" w:line="600" w:lineRule="exact"/>
        <w:ind w:firstLine="640" w:firstLineChars="200"/>
        <w:rPr>
          <w:rFonts w:ascii="仿宋_GB2312" w:hAnsi="Times New Roman" w:eastAsia="仿宋_GB2312"/>
          <w:kern w:val="0"/>
          <w:sz w:val="32"/>
          <w:szCs w:val="32"/>
        </w:rPr>
      </w:pPr>
      <w:bookmarkStart w:id="78" w:name="_Hlk59032856"/>
      <w:r>
        <w:rPr>
          <w:rFonts w:hint="eastAsia" w:ascii="仿宋_GB2312" w:hAnsi="Times New Roman" w:eastAsia="仿宋_GB2312"/>
          <w:kern w:val="0"/>
          <w:sz w:val="32"/>
          <w:szCs w:val="32"/>
        </w:rPr>
        <w:t>把提升人力资本素质放在突出重要位置，构建高质量的教育体系和全方位全周期的健康体系，促进人口长期均衡发展和人的全面发展，最大限度释放人力资本红利。</w:t>
      </w:r>
    </w:p>
    <w:p>
      <w:pPr>
        <w:pStyle w:val="4"/>
        <w:spacing w:after="312" w:afterLines="100"/>
        <w:ind w:firstLine="0" w:firstLineChars="0"/>
        <w:jc w:val="center"/>
        <w:rPr>
          <w:rFonts w:ascii="黑体" w:hAnsi="黑体"/>
          <w:szCs w:val="32"/>
        </w:rPr>
      </w:pPr>
      <w:r>
        <w:rPr>
          <w:rFonts w:hint="eastAsia" w:ascii="黑体" w:hAnsi="黑体"/>
          <w:szCs w:val="32"/>
        </w:rPr>
        <w:t>第四十一章</w:t>
      </w:r>
      <w:bookmarkStart w:id="79" w:name="_Toc27387695"/>
      <w:r>
        <w:rPr>
          <w:rFonts w:hint="eastAsia" w:ascii="黑体" w:hAnsi="黑体"/>
          <w:szCs w:val="32"/>
        </w:rPr>
        <w:t xml:space="preserve">  </w:t>
      </w:r>
      <w:bookmarkEnd w:id="79"/>
      <w:bookmarkStart w:id="80" w:name="_Hlk59034272"/>
      <w:r>
        <w:rPr>
          <w:rFonts w:hint="eastAsia" w:ascii="黑体" w:hAnsi="黑体"/>
          <w:szCs w:val="32"/>
        </w:rPr>
        <w:t>建设高质量教育体系</w:t>
      </w:r>
    </w:p>
    <w:bookmarkEnd w:id="80"/>
    <w:p>
      <w:pPr>
        <w:spacing w:after="312" w:afterLines="100" w:line="600" w:lineRule="exact"/>
        <w:ind w:firstLine="640" w:firstLineChars="200"/>
        <w:jc w:val="left"/>
        <w:rPr>
          <w:rFonts w:ascii="仿宋_GB2312" w:hAnsi="Times New Roman" w:eastAsia="仿宋_GB2312"/>
          <w:kern w:val="0"/>
          <w:sz w:val="32"/>
          <w:szCs w:val="32"/>
        </w:rPr>
      </w:pPr>
      <w:bookmarkStart w:id="81" w:name="_Toc490695952"/>
      <w:r>
        <w:rPr>
          <w:rFonts w:hint="eastAsia" w:ascii="仿宋_GB2312" w:hAnsi="Times New Roman" w:eastAsia="仿宋_GB2312"/>
          <w:kern w:val="0"/>
          <w:sz w:val="32"/>
          <w:szCs w:val="32"/>
        </w:rPr>
        <w:t>实施教育强市战略，</w:t>
      </w:r>
      <w:r>
        <w:rPr>
          <w:rFonts w:ascii="仿宋_GB2312" w:hAnsi="Times New Roman" w:eastAsia="仿宋_GB2312"/>
          <w:kern w:val="0"/>
          <w:sz w:val="32"/>
          <w:szCs w:val="32"/>
        </w:rPr>
        <w:t>全面贯彻党的教育方针，落实立德树人根本任务，</w:t>
      </w:r>
      <w:r>
        <w:rPr>
          <w:rFonts w:hint="eastAsia" w:ascii="仿宋_GB2312" w:hAnsi="Times New Roman" w:eastAsia="仿宋_GB2312"/>
          <w:kern w:val="0"/>
          <w:sz w:val="32"/>
          <w:szCs w:val="32"/>
        </w:rPr>
        <w:t>加大教育投入，落实本级财政法定增长</w:t>
      </w:r>
      <w:r>
        <w:rPr>
          <w:rFonts w:ascii="仿宋_GB2312" w:hAnsi="Times New Roman" w:eastAsia="仿宋_GB2312"/>
          <w:kern w:val="0"/>
          <w:sz w:val="32"/>
          <w:szCs w:val="32"/>
        </w:rPr>
        <w:t>，</w:t>
      </w:r>
      <w:r>
        <w:rPr>
          <w:rFonts w:hint="eastAsia" w:ascii="仿宋_GB2312" w:hAnsi="Times New Roman" w:eastAsia="仿宋_GB2312"/>
          <w:kern w:val="0"/>
          <w:sz w:val="32"/>
          <w:szCs w:val="32"/>
        </w:rPr>
        <w:t>促进</w:t>
      </w:r>
      <w:r>
        <w:rPr>
          <w:rFonts w:ascii="仿宋_GB2312" w:hAnsi="Times New Roman" w:eastAsia="仿宋_GB2312"/>
          <w:kern w:val="0"/>
          <w:sz w:val="32"/>
          <w:szCs w:val="32"/>
        </w:rPr>
        <w:t>教育公平</w:t>
      </w:r>
      <w:r>
        <w:rPr>
          <w:rFonts w:hint="eastAsia" w:ascii="仿宋_GB2312" w:hAnsi="Times New Roman" w:eastAsia="仿宋_GB2312"/>
          <w:kern w:val="0"/>
          <w:sz w:val="32"/>
          <w:szCs w:val="32"/>
        </w:rPr>
        <w:t>，提升教师能力素质和待遇，努力办好人民满意的教育，</w:t>
      </w:r>
      <w:r>
        <w:rPr>
          <w:rFonts w:ascii="仿宋_GB2312" w:hAnsi="Times New Roman" w:eastAsia="仿宋_GB2312"/>
          <w:kern w:val="0"/>
          <w:sz w:val="32"/>
          <w:szCs w:val="32"/>
        </w:rPr>
        <w:t>为现代化建设提供人才支撑</w:t>
      </w:r>
      <w:r>
        <w:rPr>
          <w:rFonts w:hint="eastAsia" w:ascii="仿宋_GB2312" w:hAnsi="Times New Roman" w:eastAsia="仿宋_GB2312"/>
          <w:kern w:val="0"/>
          <w:sz w:val="32"/>
          <w:szCs w:val="32"/>
        </w:rPr>
        <w:t>。</w:t>
      </w:r>
    </w:p>
    <w:p>
      <w:pPr>
        <w:spacing w:after="312" w:afterLines="100"/>
        <w:jc w:val="center"/>
        <w:outlineLvl w:val="2"/>
        <w:rPr>
          <w:rFonts w:ascii="楷体_GB2312" w:hAnsi="黑体" w:eastAsia="楷体_GB2312" w:cs="仿宋_GB2312"/>
          <w:b/>
          <w:sz w:val="32"/>
          <w:szCs w:val="32"/>
        </w:rPr>
      </w:pPr>
      <w:r>
        <w:rPr>
          <w:rFonts w:hint="eastAsia" w:ascii="楷体_GB2312" w:hAnsi="黑体" w:eastAsia="楷体_GB2312" w:cs="仿宋_GB2312"/>
          <w:b/>
          <w:sz w:val="32"/>
          <w:szCs w:val="32"/>
        </w:rPr>
        <w:t>第一节  巩固提高基础教育水平</w:t>
      </w:r>
    </w:p>
    <w:p>
      <w:pPr>
        <w:spacing w:after="312" w:afterLines="100" w:line="600" w:lineRule="exact"/>
        <w:ind w:firstLine="640" w:firstLineChars="200"/>
        <w:jc w:val="left"/>
        <w:rPr>
          <w:rFonts w:ascii="仿宋_GB2312" w:hAnsi="Times New Roman" w:eastAsia="仿宋_GB2312"/>
          <w:kern w:val="0"/>
          <w:sz w:val="32"/>
          <w:szCs w:val="32"/>
        </w:rPr>
      </w:pPr>
      <w:r>
        <w:rPr>
          <w:rFonts w:hint="eastAsia" w:ascii="仿宋_GB2312" w:hAnsi="Times New Roman" w:eastAsia="仿宋_GB2312"/>
          <w:kern w:val="0"/>
          <w:sz w:val="32"/>
          <w:szCs w:val="32"/>
        </w:rPr>
        <w:t>强化基础教育在国民教育体系中的基础性、先导性地位，巩固义务教育均衡发展成果，提高学前教育、高中教育普及程度。落实教师常态化补进机制，按照教育需求和编制标准，足额配置中小学教师。大力推进完全学校建设发展，建成南阳一中新校区，优化整合中心城区教育资源。落实普惠性学前教育资源扩容计划，推进学前教育普惠优质发展，合理规划幼儿园布局，加强人口聚集区幼儿园建设，满足适龄儿童入园需求。推动城乡义务教育优质均衡发展，教育投入继续向农村困难地区和薄弱环节倾斜，实施“教育数字基建”工程。全面消除大班额。完成普通高中消除大班额和高中阶段教育普及攻坚计划，推动普通高中多样化特色化发展。将进城务工人员随迁子女义务教育纳入公共教育服务体系，落实以流入地为主、以公办学校为主的“两为主”政策，保障进城务工人员随迁子女接受义务教育权利。</w:t>
      </w:r>
    </w:p>
    <w:p>
      <w:pPr>
        <w:spacing w:after="312" w:afterLines="100"/>
        <w:jc w:val="center"/>
        <w:outlineLvl w:val="2"/>
        <w:rPr>
          <w:rFonts w:ascii="楷体_GB2312" w:hAnsi="仿宋_GB2312" w:eastAsia="楷体_GB2312" w:cs="仿宋_GB2312"/>
          <w:b/>
          <w:sz w:val="32"/>
          <w:szCs w:val="32"/>
        </w:rPr>
      </w:pPr>
      <w:r>
        <w:rPr>
          <w:rFonts w:hint="eastAsia" w:ascii="楷体_GB2312" w:hAnsi="仿宋_GB2312" w:eastAsia="楷体_GB2312" w:cs="仿宋_GB2312"/>
          <w:b/>
          <w:sz w:val="32"/>
          <w:szCs w:val="32"/>
        </w:rPr>
        <w:t>第二节  推进现代职业教育高质量发展</w:t>
      </w:r>
    </w:p>
    <w:p>
      <w:pPr>
        <w:spacing w:line="600" w:lineRule="exact"/>
        <w:ind w:firstLine="640" w:firstLineChars="200"/>
        <w:rPr>
          <w:rFonts w:ascii="仿宋_GB2312" w:hAnsi="Times New Roman" w:eastAsia="仿宋_GB2312"/>
          <w:kern w:val="0"/>
          <w:sz w:val="32"/>
          <w:szCs w:val="32"/>
        </w:rPr>
      </w:pPr>
      <w:r>
        <w:rPr>
          <w:rFonts w:hint="eastAsia" w:ascii="仿宋_GB2312" w:hAnsi="Times New Roman" w:eastAsia="仿宋_GB2312"/>
          <w:kern w:val="0"/>
          <w:sz w:val="32"/>
          <w:szCs w:val="32"/>
        </w:rPr>
        <w:t>贯彻落实国家职业教育改革实施方案，深化职普融通、产教融合、校企合作，完善现代职业教育和培训体系，提升办学质量和层次，打造一批高水平职业院校和高水平专业群。以高质量建设南阳高教园区为载体，合理布局入驻高教园区的普通高校和职业院校。开展省、市级产教融合建设试点，争取一批职业院校、企业成为国家职业教育“十百千”产教融合试点。支持企业深度参与职业教育人才培养全过程，大力推行 “订单式”、现代学徒制、企业新型学徒制等培养模式。实施中等职业学校达标建设工程，推动全市中等职业学校基本办学条件达到国家规定标准。落实职业院校实施学历教育与培训并举的法定职责，面向在校学生和全体社会成员广泛开展职业培训。完善特殊教育和专门教育保障机制。支持和规范民办教育发展，规范校外培训机构。推进高等职业学校高质量发展，重点建设1-2所优质高等职业院校，培养服务区域发展的高素质技术技能人才。推动河南经济管理学校升专，筹建南阳工业职业学院、南阳工艺美术职业技术学院。</w:t>
      </w:r>
    </w:p>
    <w:p>
      <w:pPr>
        <w:ind w:firstLine="640" w:firstLineChars="200"/>
        <w:outlineLvl w:val="2"/>
        <w:rPr>
          <w:rFonts w:ascii="楷体_GB2312" w:hAnsi="仿宋_GB2312" w:eastAsia="楷体_GB2312" w:cs="仿宋_GB2312"/>
          <w:sz w:val="32"/>
          <w:szCs w:val="32"/>
        </w:rPr>
      </w:pPr>
    </w:p>
    <w:p>
      <w:pPr>
        <w:spacing w:after="312" w:afterLines="100"/>
        <w:jc w:val="center"/>
        <w:outlineLvl w:val="2"/>
        <w:rPr>
          <w:rFonts w:ascii="楷体_GB2312" w:hAnsi="仿宋_GB2312" w:eastAsia="楷体_GB2312" w:cs="仿宋_GB2312"/>
          <w:b/>
          <w:sz w:val="32"/>
          <w:szCs w:val="32"/>
        </w:rPr>
      </w:pPr>
      <w:r>
        <w:rPr>
          <w:rFonts w:hint="eastAsia" w:ascii="楷体_GB2312" w:hAnsi="仿宋_GB2312" w:eastAsia="楷体_GB2312" w:cs="仿宋_GB2312"/>
          <w:b/>
          <w:sz w:val="32"/>
          <w:szCs w:val="32"/>
        </w:rPr>
        <w:t>第三节  推进高等教育内涵式发展</w:t>
      </w:r>
    </w:p>
    <w:p>
      <w:pPr>
        <w:spacing w:after="312" w:afterLines="100" w:line="600" w:lineRule="exact"/>
        <w:ind w:firstLine="640" w:firstLineChars="200"/>
        <w:rPr>
          <w:rFonts w:ascii="仿宋_GB2312" w:hAnsi="Times New Roman" w:eastAsia="仿宋_GB2312"/>
          <w:kern w:val="0"/>
          <w:sz w:val="32"/>
          <w:szCs w:val="32"/>
        </w:rPr>
      </w:pPr>
      <w:r>
        <w:rPr>
          <w:rFonts w:hint="eastAsia" w:ascii="仿宋_GB2312" w:hAnsi="Times New Roman" w:eastAsia="仿宋_GB2312"/>
          <w:kern w:val="0"/>
          <w:sz w:val="32"/>
          <w:szCs w:val="32"/>
        </w:rPr>
        <w:t>以建设高水平人才培养体系为核心，以 “高等教育特色发展行动计划”为抓手，引导高校科学定位、突出特色、对标一流，全面提升高等教育人才培养、科学研究、社会服务、文化传承创新和国际交流的能力水平。完成张仲景国医大学恢复重建，打造国内一流的中医药科研教育高等学府。实施高水平应用型本科高校建设工程，加强南阳师范学院、南阳理工学院应用技术类型本科院校内涵建设，提升服务区域产业发展能力。实施南阳师范学院硕士重点建设单位提升工程，培育一批硕士学位授权点。力争2022年前南阳理工学院获批硕士学位授权点。争取南阳农业职业学院、南阳职业学院、河南工业职业技术学院、南阳科技职业学院升本。规划建设南阳大学城。</w:t>
      </w:r>
    </w:p>
    <w:p>
      <w:pPr>
        <w:spacing w:after="312" w:afterLines="100" w:line="600" w:lineRule="exact"/>
        <w:jc w:val="center"/>
        <w:rPr>
          <w:rFonts w:ascii="黑体" w:hAnsi="黑体" w:eastAsia="黑体"/>
          <w:sz w:val="32"/>
          <w:szCs w:val="32"/>
        </w:rPr>
      </w:pPr>
      <w:bookmarkStart w:id="82" w:name="_Toc27387696"/>
      <w:r>
        <w:rPr>
          <w:rFonts w:hint="eastAsia" w:ascii="黑体" w:hAnsi="黑体" w:eastAsia="黑体"/>
          <w:sz w:val="32"/>
          <w:szCs w:val="32"/>
        </w:rPr>
        <w:t>第四十二章</w:t>
      </w:r>
      <w:bookmarkEnd w:id="81"/>
      <w:bookmarkEnd w:id="82"/>
      <w:r>
        <w:rPr>
          <w:rFonts w:hint="eastAsia" w:ascii="黑体" w:hAnsi="黑体" w:eastAsia="黑体"/>
          <w:sz w:val="32"/>
          <w:szCs w:val="32"/>
        </w:rPr>
        <w:t xml:space="preserve">   全面推进健康南阳建设</w:t>
      </w:r>
    </w:p>
    <w:p>
      <w:pPr>
        <w:spacing w:after="312" w:afterLines="100" w:line="600" w:lineRule="exact"/>
        <w:ind w:firstLine="640" w:firstLineChars="200"/>
        <w:rPr>
          <w:rFonts w:ascii="仿宋_GB2312" w:hAnsi="Times New Roman" w:eastAsia="仿宋_GB2312"/>
          <w:kern w:val="0"/>
          <w:sz w:val="32"/>
          <w:szCs w:val="32"/>
        </w:rPr>
      </w:pPr>
      <w:r>
        <w:rPr>
          <w:rFonts w:hint="eastAsia" w:ascii="仿宋_GB2312" w:hAnsi="Times New Roman" w:eastAsia="仿宋_GB2312"/>
          <w:kern w:val="0"/>
          <w:sz w:val="32"/>
          <w:szCs w:val="32"/>
        </w:rPr>
        <w:t>按照保基本、强基层、建机制要求，完善基本医疗卫生制度，推进“健康南阳”建设。</w:t>
      </w:r>
    </w:p>
    <w:p>
      <w:pPr>
        <w:spacing w:after="312" w:afterLines="100" w:line="600" w:lineRule="exact"/>
        <w:jc w:val="center"/>
        <w:rPr>
          <w:rFonts w:ascii="楷体_GB2312" w:hAnsi="仿宋_GB2312" w:eastAsia="楷体_GB2312" w:cs="仿宋_GB2312"/>
          <w:b/>
          <w:sz w:val="32"/>
          <w:szCs w:val="32"/>
        </w:rPr>
      </w:pPr>
      <w:r>
        <w:rPr>
          <w:rFonts w:hint="eastAsia" w:ascii="楷体_GB2312" w:hAnsi="仿宋_GB2312" w:eastAsia="楷体_GB2312" w:cs="仿宋_GB2312"/>
          <w:b/>
          <w:sz w:val="32"/>
          <w:szCs w:val="32"/>
        </w:rPr>
        <w:t>第一节   完善医疗卫生服务体系</w:t>
      </w:r>
    </w:p>
    <w:p>
      <w:pPr>
        <w:spacing w:after="312" w:afterLines="100" w:line="600" w:lineRule="exact"/>
        <w:ind w:firstLine="640" w:firstLineChars="200"/>
        <w:rPr>
          <w:rFonts w:ascii="仿宋_GB2312" w:hAnsi="Times New Roman" w:eastAsia="仿宋_GB2312"/>
          <w:kern w:val="0"/>
          <w:sz w:val="32"/>
          <w:szCs w:val="32"/>
        </w:rPr>
      </w:pPr>
      <w:r>
        <w:rPr>
          <w:rFonts w:hint="eastAsia" w:ascii="仿宋_GB2312" w:hAnsi="Times New Roman" w:eastAsia="仿宋_GB2312"/>
          <w:kern w:val="0"/>
          <w:sz w:val="32"/>
          <w:szCs w:val="32"/>
        </w:rPr>
        <w:t>建立稳定的公共卫生事业投入机制。改革疾病预防控制体系，强化监测预警、风险评估、流行病学调查、检验检测、应急处置等职能，加强疾控机构标准化建设。完善传染病疫情和突发公共卫生事件监测系统，加强检测网络和能力建设。加大重大疫情应急物资储备、技术储备和产能储备，完善突发公共卫生事件应对预案和应急指挥体系。加快张仲景国医大学、张仲景中医药文化博物馆、市中心医院、中医院、传染病医院、妇幼保健院、中国中医博物院、中国中医科学院分院、紧急救援中心、疾控中心、应急医疗物资储备中心等“一校一馆六院三中心”建设，建成投用市中心医院新院区、市中医院新院区、市骨科医院新院区、市口腔医院新院区、市眼科医院新院区、市精神病院三期工程。办好县级综合医院、中医院和妇幼保健院“三所医院”，全部达到二级甲等水平，部分达到三级医院标准。加快推动乡镇、村（社区）医疗卫生机构服务能力达标升级。着力补齐城镇社区居家养老和农村养老服务短板，逐步建成以居家为基础、社区为依托、机构为补充、医养相结合的养老服务体系。</w:t>
      </w:r>
    </w:p>
    <w:p>
      <w:pPr>
        <w:spacing w:after="312" w:afterLines="100" w:line="600" w:lineRule="exact"/>
        <w:jc w:val="center"/>
        <w:rPr>
          <w:rFonts w:ascii="楷体_GB2312" w:hAnsi="仿宋_GB2312" w:eastAsia="楷体_GB2312" w:cs="仿宋_GB2312"/>
          <w:b/>
          <w:sz w:val="32"/>
          <w:szCs w:val="32"/>
        </w:rPr>
      </w:pPr>
      <w:r>
        <w:rPr>
          <w:rFonts w:hint="eastAsia" w:ascii="楷体_GB2312" w:hAnsi="仿宋_GB2312" w:eastAsia="楷体_GB2312" w:cs="仿宋_GB2312"/>
          <w:b/>
          <w:sz w:val="32"/>
          <w:szCs w:val="32"/>
        </w:rPr>
        <w:t>第二节  促进中医药传承创新</w:t>
      </w:r>
    </w:p>
    <w:p>
      <w:pPr>
        <w:spacing w:after="312" w:afterLines="100" w:line="600" w:lineRule="exact"/>
        <w:ind w:firstLine="640" w:firstLineChars="200"/>
        <w:rPr>
          <w:rFonts w:ascii="仿宋_GB2312" w:hAnsi="Times New Roman" w:eastAsia="仿宋_GB2312"/>
          <w:kern w:val="0"/>
          <w:sz w:val="32"/>
          <w:szCs w:val="32"/>
        </w:rPr>
      </w:pPr>
      <w:r>
        <w:rPr>
          <w:rFonts w:hint="eastAsia" w:ascii="仿宋_GB2312" w:hAnsi="Times New Roman" w:eastAsia="仿宋_GB2312"/>
          <w:kern w:val="0"/>
          <w:sz w:val="32"/>
          <w:szCs w:val="32"/>
        </w:rPr>
        <w:t>发挥“中医祖庭、医圣故里”独特优势，深入实施中医药强市战略，深化国家中医药综合改革试验区建设，创建全国基层中医药工作示范市，建设现代中医药优势产业走廊。争取设立南阳市国家中医药传承创新中心，依托复建的张仲景国医大学，筹建“中国中医科学院大学”，建设南阳中医药研究院，并作为“中国中医科学院南阳分院”。高标准建设张仲景国医大学附属中医院，建成国内一流的中医诊疗机构。规划建设国家中医药博物馆医圣馆（或仲景馆、南阳馆）。继续办好张仲景医药文化节、仲景论坛和艾产业大会。加快完成张仲景文化园、产业园、健康园建设。做大做强中医药骨干企业，规划建设中医药产业孵化中心，大力开展新型制剂、中药饮片、配方颗粒和中药鲜药饮片研发，加快中医药标准化建设，打造全国中医药创新成果转化基地。实施“中医药</w:t>
      </w:r>
      <w:r>
        <w:rPr>
          <w:rFonts w:ascii="仿宋_GB2312" w:hAnsi="Times New Roman" w:eastAsia="仿宋_GB2312"/>
          <w:kern w:val="0"/>
          <w:sz w:val="32"/>
          <w:szCs w:val="32"/>
        </w:rPr>
        <w:t>+</w:t>
      </w:r>
      <w:r>
        <w:rPr>
          <w:rFonts w:hint="eastAsia" w:ascii="仿宋_GB2312" w:hAnsi="Times New Roman" w:eastAsia="仿宋_GB2312"/>
          <w:kern w:val="0"/>
          <w:sz w:val="32"/>
          <w:szCs w:val="32"/>
        </w:rPr>
        <w:t>”工程，提升“八大宛药”规模品质，建设一批标准化中药材种植基地、中药材商贸物流基地、医养结合基地、中医药健康旅游基地。</w:t>
      </w:r>
    </w:p>
    <w:p>
      <w:pPr>
        <w:spacing w:after="312" w:afterLines="100" w:line="600" w:lineRule="exact"/>
        <w:jc w:val="center"/>
        <w:rPr>
          <w:rFonts w:ascii="楷体_GB2312" w:hAnsi="仿宋_GB2312" w:eastAsia="楷体_GB2312" w:cs="仿宋_GB2312"/>
          <w:b/>
          <w:sz w:val="32"/>
          <w:szCs w:val="32"/>
        </w:rPr>
      </w:pPr>
      <w:r>
        <w:rPr>
          <w:rFonts w:hint="eastAsia" w:ascii="楷体_GB2312" w:hAnsi="仿宋_GB2312" w:eastAsia="楷体_GB2312" w:cs="仿宋_GB2312"/>
          <w:b/>
          <w:sz w:val="32"/>
          <w:szCs w:val="32"/>
        </w:rPr>
        <w:t>第三节   深化医药卫生体制改革</w:t>
      </w:r>
    </w:p>
    <w:p>
      <w:pPr>
        <w:spacing w:after="312" w:afterLines="100" w:line="600" w:lineRule="exact"/>
        <w:ind w:firstLine="640" w:firstLineChars="200"/>
        <w:rPr>
          <w:rFonts w:ascii="仿宋_GB2312" w:hAnsi="Times New Roman" w:eastAsia="仿宋_GB2312"/>
          <w:kern w:val="0"/>
          <w:sz w:val="32"/>
          <w:szCs w:val="32"/>
        </w:rPr>
      </w:pPr>
      <w:r>
        <w:rPr>
          <w:rFonts w:hint="eastAsia" w:ascii="仿宋_GB2312" w:hAnsi="Times New Roman" w:eastAsia="仿宋_GB2312"/>
          <w:kern w:val="0"/>
          <w:sz w:val="32"/>
          <w:szCs w:val="32"/>
        </w:rPr>
        <w:t>巩固完善基本药物制度，深化药品生产流通领域改革，理顺医药价格机制，提高药品供应保障能力。坚持公益性定位，加强公立医院建设和管理考核，完善医疗、医保、医药联动机制，构建公益性、可持续性的运行新机制。加强县域紧密型医联体、医共体建设，构建覆盖全民、布局合理、分工协作的医疗服务新体系，形成基层首诊、双向转诊、分级诊疗的就医新格局，做实家庭医生签约服务。保障基层医务人员薪酬待遇，推进村医“乡聘村用”和养老保障政策完善。落实医师多点执业，深化医保支付方式改革，促进社会办医规范发展。完善信息化保障体制机制，加快市级区域大健康数据中心建设，推进互联网医院建设，促进优质医疗资源下沉，开展“互联网+医疗健康”便民服务。</w:t>
      </w:r>
    </w:p>
    <w:p>
      <w:pPr>
        <w:spacing w:after="312" w:afterLines="100" w:line="600" w:lineRule="exact"/>
        <w:jc w:val="center"/>
        <w:rPr>
          <w:rFonts w:ascii="楷体_GB2312" w:hAnsi="黑体" w:eastAsia="楷体_GB2312"/>
          <w:b/>
          <w:sz w:val="32"/>
          <w:szCs w:val="32"/>
        </w:rPr>
      </w:pPr>
      <w:r>
        <w:rPr>
          <w:rFonts w:hint="eastAsia" w:ascii="楷体_GB2312" w:hAnsi="黑体" w:eastAsia="楷体_GB2312"/>
          <w:b/>
          <w:sz w:val="32"/>
          <w:szCs w:val="32"/>
        </w:rPr>
        <w:t>第四节  提高全民健康素养</w:t>
      </w:r>
    </w:p>
    <w:p>
      <w:pPr>
        <w:spacing w:after="312" w:afterLines="100" w:line="600" w:lineRule="exact"/>
        <w:ind w:firstLine="640" w:firstLineChars="200"/>
        <w:rPr>
          <w:rFonts w:ascii="仿宋_GB2312" w:hAnsi="Times New Roman" w:eastAsia="仿宋_GB2312"/>
          <w:kern w:val="0"/>
          <w:sz w:val="32"/>
          <w:szCs w:val="32"/>
        </w:rPr>
      </w:pPr>
      <w:r>
        <w:rPr>
          <w:rFonts w:hint="eastAsia" w:ascii="仿宋_GB2312" w:hAnsi="Times New Roman" w:eastAsia="仿宋_GB2312"/>
          <w:kern w:val="0"/>
          <w:sz w:val="32"/>
          <w:szCs w:val="32"/>
        </w:rPr>
        <w:t>深入开展爱国卫生运动，加强卫生健康知识普及。加强营养和膳食指导，推进“三减三健”和控烟限酒行动。加强公共体育设施和全民健身公共服务体系建设，建成城市社区10分钟健身圈。开展更加广泛的全民健身活动，提高全民健康素质。抓好体育场馆的综合有效利用，鼓励社会资本参与公共体育设施的建设运营。加大公共体育场馆和设施免费或低收费向社会开放力度。丰富体育赛事活动，积极承接和举办重大体育赛事，促进全民健身与竞技体育全面发展。积极培育和引导体育消费，推动体育产业与健康养老、文化旅游等相关产业的融合发展。</w:t>
      </w:r>
    </w:p>
    <w:p>
      <w:pPr>
        <w:spacing w:after="312" w:afterLines="100" w:line="600" w:lineRule="exact"/>
        <w:jc w:val="center"/>
        <w:rPr>
          <w:rFonts w:ascii="楷体_GB2312" w:eastAsia="楷体_GB2312"/>
          <w:b/>
          <w:sz w:val="32"/>
          <w:szCs w:val="32"/>
        </w:rPr>
      </w:pPr>
      <w:r>
        <w:rPr>
          <w:rFonts w:hint="eastAsia" w:ascii="楷体_GB2312" w:eastAsia="楷体_GB2312"/>
          <w:b/>
          <w:sz w:val="32"/>
          <w:szCs w:val="32"/>
        </w:rPr>
        <w:t>第五节  保障食品药品安全</w:t>
      </w:r>
    </w:p>
    <w:p>
      <w:pPr>
        <w:spacing w:after="312" w:afterLines="100" w:line="600" w:lineRule="exact"/>
        <w:ind w:firstLine="640" w:firstLineChars="200"/>
        <w:rPr>
          <w:rFonts w:ascii="仿宋_GB2312" w:hAnsi="Times New Roman" w:eastAsia="仿宋_GB2312"/>
          <w:kern w:val="0"/>
          <w:sz w:val="32"/>
          <w:szCs w:val="32"/>
        </w:rPr>
      </w:pPr>
      <w:r>
        <w:rPr>
          <w:rFonts w:hint="eastAsia" w:ascii="仿宋_GB2312" w:hAnsi="Times New Roman" w:eastAsia="仿宋_GB2312"/>
          <w:kern w:val="0"/>
          <w:sz w:val="32"/>
          <w:szCs w:val="32"/>
        </w:rPr>
        <w:t>加强和改进食品药品等质量安全监管，严厉打击制售有毒有害食品、假劣药品的违法犯罪活动，健全严密高效、社会共治的食品药品质量安全治理体系，创建国家食品安全示范城市。深入实施食品安全战略，严格食品安全标准，加强食品全链条质量安全监管，推进食品安全放心工程建设攻坚行动，加大重点领域食品安全问题联合整治力度，保障食品安全。严防严控药品安全风险，规范药品研制生产流通和使用。加大农村食品药品安全治理力度。完善对网络销售食品药品的监管。加强食品药品安全风险监测、抽检和监管执法，强化快速通报和快速反应。</w:t>
      </w:r>
    </w:p>
    <w:p>
      <w:pPr>
        <w:spacing w:after="312" w:afterLines="100" w:line="600" w:lineRule="exact"/>
        <w:jc w:val="center"/>
        <w:rPr>
          <w:rFonts w:ascii="黑体" w:hAnsi="黑体" w:eastAsia="黑体"/>
          <w:sz w:val="32"/>
          <w:szCs w:val="32"/>
        </w:rPr>
      </w:pPr>
      <w:r>
        <w:rPr>
          <w:rFonts w:hint="eastAsia" w:ascii="黑体" w:hAnsi="黑体" w:eastAsia="黑体"/>
          <w:sz w:val="32"/>
          <w:szCs w:val="32"/>
        </w:rPr>
        <w:t>第四十三章  积极应对人口老龄化</w:t>
      </w:r>
    </w:p>
    <w:p>
      <w:pPr>
        <w:spacing w:after="312" w:afterLines="100" w:line="600" w:lineRule="exact"/>
        <w:ind w:firstLine="640" w:firstLineChars="200"/>
        <w:rPr>
          <w:rFonts w:ascii="仿宋_GB2312" w:hAnsi="Times New Roman" w:eastAsia="仿宋_GB2312"/>
          <w:kern w:val="0"/>
          <w:sz w:val="32"/>
          <w:szCs w:val="32"/>
        </w:rPr>
      </w:pPr>
      <w:r>
        <w:rPr>
          <w:rFonts w:hint="eastAsia" w:ascii="仿宋_GB2312" w:hAnsi="Times New Roman" w:eastAsia="仿宋_GB2312"/>
          <w:kern w:val="0"/>
          <w:sz w:val="32"/>
          <w:szCs w:val="32"/>
        </w:rPr>
        <w:t>落实积极应对人口老龄化国家战略，以“一老一小”为重点完善人口服务体系，塑造支撑高质量发展的人口总量势能、结构红利和素质资本叠加优势。</w:t>
      </w:r>
    </w:p>
    <w:p>
      <w:pPr>
        <w:spacing w:after="312" w:afterLines="100" w:line="600" w:lineRule="exact"/>
        <w:jc w:val="center"/>
        <w:rPr>
          <w:rFonts w:ascii="楷体_GB2312" w:eastAsia="楷体_GB2312"/>
          <w:b/>
          <w:sz w:val="32"/>
          <w:szCs w:val="32"/>
        </w:rPr>
      </w:pPr>
      <w:r>
        <w:rPr>
          <w:rFonts w:hint="eastAsia" w:ascii="楷体_GB2312" w:eastAsia="楷体_GB2312"/>
          <w:b/>
          <w:sz w:val="32"/>
          <w:szCs w:val="32"/>
        </w:rPr>
        <w:t>第一节  推动实现适度生育水平</w:t>
      </w:r>
    </w:p>
    <w:p>
      <w:pPr>
        <w:spacing w:after="312" w:afterLines="100" w:line="600" w:lineRule="exact"/>
        <w:ind w:firstLine="640" w:firstLineChars="200"/>
        <w:rPr>
          <w:rFonts w:ascii="仿宋_GB2312" w:hAnsi="Times New Roman" w:eastAsia="仿宋_GB2312"/>
          <w:kern w:val="0"/>
          <w:sz w:val="32"/>
          <w:szCs w:val="32"/>
        </w:rPr>
      </w:pPr>
      <w:r>
        <w:rPr>
          <w:rFonts w:hint="eastAsia" w:ascii="仿宋_GB2312" w:hAnsi="Times New Roman" w:eastAsia="仿宋_GB2312"/>
          <w:kern w:val="0"/>
          <w:sz w:val="32"/>
          <w:szCs w:val="32"/>
        </w:rPr>
        <w:t>落实国家生育政策，增强生育政策包容性，降低生育、养育、教育成本，引导生育水平提升并稳定在适度区间。提高优生优育服务水平，全面开展产前筛查和新生儿疾病筛查，加强出生缺陷综合防治和危重孕产、新生儿救治保障。全面落实产假政策，探索实施父母带薪育儿假，完善家庭婴幼儿早期发展指导支持体系。建立健全计划生育特殊困难家庭全方位帮扶保障机制。发展普惠托育服务体系，推进城乡社区婴幼儿照护服务设施建设，支持企事业单位和社会团体等社会力量提供普惠托育服务，鼓励幼儿园发展托幼一体化服务。加强婴幼儿照护服务主体培育和规范管理，提高从业人员素质。</w:t>
      </w:r>
    </w:p>
    <w:p>
      <w:pPr>
        <w:spacing w:after="312" w:afterLines="100" w:line="600" w:lineRule="exact"/>
        <w:jc w:val="center"/>
        <w:rPr>
          <w:rFonts w:ascii="楷体_GB2312" w:eastAsia="楷体_GB2312"/>
          <w:b/>
          <w:sz w:val="32"/>
          <w:szCs w:val="32"/>
        </w:rPr>
      </w:pPr>
      <w:r>
        <w:rPr>
          <w:rFonts w:hint="eastAsia" w:ascii="楷体_GB2312" w:eastAsia="楷体_GB2312"/>
          <w:b/>
          <w:sz w:val="32"/>
          <w:szCs w:val="32"/>
        </w:rPr>
        <w:t>第二节  完善养老服务体系</w:t>
      </w:r>
    </w:p>
    <w:p>
      <w:pPr>
        <w:spacing w:after="312" w:afterLines="100" w:line="600" w:lineRule="exact"/>
        <w:ind w:firstLine="640" w:firstLineChars="200"/>
        <w:rPr>
          <w:rFonts w:ascii="仿宋_GB2312" w:hAnsi="Times New Roman" w:eastAsia="仿宋_GB2312"/>
          <w:kern w:val="0"/>
          <w:sz w:val="32"/>
          <w:szCs w:val="32"/>
        </w:rPr>
      </w:pPr>
      <w:r>
        <w:rPr>
          <w:rFonts w:hint="eastAsia" w:ascii="仿宋_GB2312" w:hAnsi="Times New Roman" w:eastAsia="仿宋_GB2312"/>
          <w:kern w:val="0"/>
          <w:sz w:val="32"/>
          <w:szCs w:val="32"/>
        </w:rPr>
        <w:t>加大政策支持，加大财政投入，科学规划布局，加快养老设施建设。支持家庭承担养老功能，落实独生子女护理假政策，建立父母随子女异地养老定居、医疗转诊绿色通道机制。加快布局建设日间照料机构等社区养老服务设施，积极发展社区嵌入式养老和互助性养老。发展普惠型养老服务，深化公办养老机构改革，完善公建民营管理机制，扩大养老机构护理型床位供给。完善农村养老服务网络，改造提升特困人员供养服务设施。积极发展医养结合机构，加强养老服务机构质量安全、运营秩序等监管，提高养老护理人员规模和素质。开展居家、社区和公共设施适老化建设改造，推进老年大学县级全覆盖，注重消除老年“数字鸿沟”。加强老年人权益保障，建设老年友好型社会。</w:t>
      </w:r>
    </w:p>
    <w:p>
      <w:pPr>
        <w:spacing w:after="312" w:afterLines="100" w:line="600" w:lineRule="exact"/>
        <w:jc w:val="center"/>
        <w:rPr>
          <w:rFonts w:ascii="楷体_GB2312" w:eastAsia="楷体_GB2312"/>
          <w:b/>
          <w:sz w:val="32"/>
          <w:szCs w:val="32"/>
        </w:rPr>
      </w:pPr>
      <w:r>
        <w:rPr>
          <w:rFonts w:hint="eastAsia" w:ascii="楷体_GB2312" w:eastAsia="楷体_GB2312"/>
          <w:b/>
          <w:sz w:val="32"/>
          <w:szCs w:val="32"/>
        </w:rPr>
        <w:t>第三节  发展银发经济</w:t>
      </w:r>
    </w:p>
    <w:p>
      <w:pPr>
        <w:spacing w:after="312" w:afterLines="100" w:line="600" w:lineRule="exact"/>
        <w:ind w:firstLine="640" w:firstLineChars="200"/>
        <w:rPr>
          <w:rFonts w:ascii="仿宋_GB2312" w:hAnsi="Times New Roman" w:eastAsia="仿宋_GB2312"/>
          <w:kern w:val="0"/>
          <w:sz w:val="32"/>
          <w:szCs w:val="32"/>
        </w:rPr>
      </w:pPr>
      <w:r>
        <w:rPr>
          <w:rFonts w:hint="eastAsia" w:ascii="仿宋_GB2312" w:hAnsi="Times New Roman" w:eastAsia="仿宋_GB2312"/>
          <w:kern w:val="0"/>
          <w:sz w:val="32"/>
          <w:szCs w:val="32"/>
        </w:rPr>
        <w:t>积极开发老龄人力资源，倡导终身发展理念，支持老年人力所能及发光发热、老有所为。健全配套政策措施，支持大龄劳动者和老年人就业创业。积极研发推广适老用品、老年功能代偿和辅助产品、智慧养老产品，丰富适老性金融产品和服务，促进银发经济全链条发展。广泛宣传老干部、老战士、老专家、老教师、老模范等离退休老同志先进事迹和崇高精神，支持更多老同志在关心下一代等方面发挥特长和优势。</w:t>
      </w:r>
    </w:p>
    <w:tbl>
      <w:tblPr>
        <w:tblStyle w:val="23"/>
        <w:tblpPr w:leftFromText="180" w:rightFromText="180" w:vertAnchor="text" w:horzAnchor="margin" w:tblpY="103"/>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748" w:type="dxa"/>
            <w:vAlign w:val="center"/>
          </w:tcPr>
          <w:p>
            <w:pPr>
              <w:spacing w:line="600" w:lineRule="exact"/>
              <w:ind w:firstLine="300" w:firstLineChars="100"/>
              <w:jc w:val="center"/>
              <w:rPr>
                <w:rFonts w:ascii="黑体" w:hAnsi="黑体" w:eastAsia="黑体" w:cs="宋体"/>
                <w:bCs/>
                <w:kern w:val="0"/>
                <w:sz w:val="30"/>
                <w:szCs w:val="30"/>
              </w:rPr>
            </w:pPr>
            <w:r>
              <w:rPr>
                <w:rFonts w:hint="eastAsia" w:ascii="黑体" w:hAnsi="黑体" w:eastAsia="黑体" w:cs="宋体"/>
                <w:bCs/>
                <w:kern w:val="0"/>
                <w:sz w:val="30"/>
                <w:szCs w:val="30"/>
              </w:rPr>
              <w:t>专栏10：养老服务重点项目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748" w:type="dxa"/>
          </w:tcPr>
          <w:p>
            <w:pPr>
              <w:spacing w:line="460" w:lineRule="exact"/>
              <w:ind w:firstLine="548" w:firstLineChars="196"/>
              <w:rPr>
                <w:rFonts w:ascii="仿宋_GB2312" w:eastAsia="仿宋_GB2312"/>
                <w:sz w:val="28"/>
                <w:szCs w:val="28"/>
              </w:rPr>
            </w:pPr>
            <w:r>
              <w:rPr>
                <w:rFonts w:hint="eastAsia" w:ascii="仿宋_GB2312" w:eastAsia="仿宋_GB2312"/>
                <w:sz w:val="28"/>
                <w:szCs w:val="28"/>
              </w:rPr>
              <w:t>1.新建宛城区、卧龙区、新野县、西峡县、方城县、桐柏县、社旗县、内乡县、南召县、淅川县、镇平县、西峡县、高新区、城乡化一体示范区、官庄工区、鸭河工区等16个县级特困供养服务设施（敬老院）项目。</w:t>
            </w:r>
          </w:p>
          <w:p>
            <w:pPr>
              <w:spacing w:line="460" w:lineRule="exact"/>
              <w:ind w:firstLine="548" w:firstLineChars="196"/>
              <w:rPr>
                <w:rFonts w:ascii="仿宋_GB2312" w:eastAsia="仿宋_GB2312"/>
                <w:sz w:val="28"/>
                <w:szCs w:val="28"/>
              </w:rPr>
            </w:pPr>
            <w:r>
              <w:rPr>
                <w:rFonts w:hint="eastAsia" w:ascii="仿宋_GB2312" w:eastAsia="仿宋_GB2312"/>
                <w:sz w:val="28"/>
                <w:szCs w:val="28"/>
              </w:rPr>
              <w:t>2.新建38个城镇街道综合性养老服务中心。</w:t>
            </w:r>
          </w:p>
          <w:p>
            <w:pPr>
              <w:spacing w:line="460" w:lineRule="exact"/>
              <w:ind w:firstLine="548" w:firstLineChars="196"/>
              <w:rPr>
                <w:rFonts w:ascii="仿宋_GB2312" w:eastAsia="仿宋_GB2312"/>
                <w:sz w:val="28"/>
                <w:szCs w:val="28"/>
              </w:rPr>
            </w:pPr>
            <w:r>
              <w:rPr>
                <w:rFonts w:hint="eastAsia" w:ascii="仿宋_GB2312" w:eastAsia="仿宋_GB2312"/>
                <w:sz w:val="28"/>
                <w:szCs w:val="28"/>
              </w:rPr>
              <w:t>3.新建148个城市老年人日间照料中心。</w:t>
            </w:r>
          </w:p>
          <w:p>
            <w:pPr>
              <w:spacing w:line="460" w:lineRule="exact"/>
              <w:ind w:firstLine="548" w:firstLineChars="196"/>
              <w:rPr>
                <w:rFonts w:ascii="仿宋_GB2312" w:eastAsia="仿宋_GB2312"/>
                <w:sz w:val="28"/>
                <w:szCs w:val="28"/>
              </w:rPr>
            </w:pPr>
            <w:r>
              <w:rPr>
                <w:rFonts w:hint="eastAsia" w:ascii="仿宋_GB2312" w:eastAsia="仿宋_GB2312"/>
                <w:sz w:val="28"/>
                <w:szCs w:val="28"/>
              </w:rPr>
              <w:t>4.新建2500个左右农村幸福院（互助家园）。</w:t>
            </w:r>
          </w:p>
          <w:p>
            <w:pPr>
              <w:spacing w:line="460" w:lineRule="exact"/>
              <w:ind w:firstLine="548" w:firstLineChars="196"/>
              <w:rPr>
                <w:rFonts w:ascii="仿宋_GB2312" w:eastAsia="仿宋_GB2312"/>
                <w:sz w:val="28"/>
                <w:szCs w:val="28"/>
              </w:rPr>
            </w:pPr>
            <w:r>
              <w:rPr>
                <w:rFonts w:hint="eastAsia" w:ascii="仿宋_GB2312" w:eastAsia="仿宋_GB2312"/>
                <w:sz w:val="28"/>
                <w:szCs w:val="28"/>
              </w:rPr>
              <w:t>5.市级福利园区项目。在市西北部卧龙区靳岗街道办事处与谢庄镇交界处，规划建设集儿童福利、残疾人福利、养老和救助等功能为一体的 “六院三站一中心”综合性福利园区。</w:t>
            </w:r>
          </w:p>
          <w:p>
            <w:pPr>
              <w:spacing w:line="460" w:lineRule="exact"/>
              <w:ind w:firstLine="548" w:firstLineChars="196"/>
              <w:rPr>
                <w:rFonts w:ascii="仿宋_GB2312" w:eastAsia="仿宋_GB2312"/>
                <w:sz w:val="28"/>
                <w:szCs w:val="28"/>
              </w:rPr>
            </w:pPr>
            <w:r>
              <w:rPr>
                <w:rFonts w:hint="eastAsia" w:ascii="仿宋_GB2312" w:eastAsia="仿宋_GB2312"/>
                <w:sz w:val="28"/>
                <w:szCs w:val="28"/>
              </w:rPr>
              <w:t>6.康养中心项目。在城乡一体化示范区健康养生城范围内，建设集残疾人康养、假肢站、特困人员疗养中心、救助物资站为一体的南阳市康养中心。</w:t>
            </w:r>
          </w:p>
          <w:p>
            <w:pPr>
              <w:spacing w:line="460" w:lineRule="exact"/>
              <w:ind w:firstLine="548" w:firstLineChars="196"/>
              <w:rPr>
                <w:rFonts w:ascii="仿宋_GB2312" w:eastAsia="仿宋_GB2312"/>
                <w:sz w:val="28"/>
                <w:szCs w:val="28"/>
              </w:rPr>
            </w:pPr>
            <w:r>
              <w:rPr>
                <w:rFonts w:hint="eastAsia" w:ascii="仿宋_GB2312" w:eastAsia="仿宋_GB2312"/>
                <w:sz w:val="28"/>
                <w:szCs w:val="28"/>
              </w:rPr>
              <w:t>7.筹划中原长寿城项目。</w:t>
            </w:r>
          </w:p>
        </w:tc>
      </w:tr>
    </w:tbl>
    <w:p>
      <w:pPr>
        <w:spacing w:after="312" w:afterLines="100" w:line="600" w:lineRule="exact"/>
        <w:jc w:val="center"/>
        <w:rPr>
          <w:rFonts w:ascii="方正小标宋简体" w:hAnsi="黑体" w:eastAsia="方正小标宋简体" w:cs="黑体"/>
          <w:sz w:val="32"/>
          <w:szCs w:val="32"/>
        </w:rPr>
      </w:pPr>
      <w:r>
        <w:rPr>
          <w:rFonts w:hint="eastAsia" w:ascii="方正小标宋简体" w:hAnsi="黑体" w:eastAsia="方正小标宋简体" w:cs="黑体"/>
          <w:sz w:val="32"/>
          <w:szCs w:val="32"/>
        </w:rPr>
        <w:t>第十三篇  增进民生福祉，建设幸福美好家园</w:t>
      </w:r>
    </w:p>
    <w:bookmarkEnd w:id="78"/>
    <w:p>
      <w:pPr>
        <w:spacing w:after="312" w:afterLines="100" w:line="600" w:lineRule="exact"/>
        <w:ind w:firstLine="640" w:firstLineChars="200"/>
        <w:jc w:val="left"/>
        <w:rPr>
          <w:rFonts w:ascii="仿宋_GB2312" w:hAnsi="Times New Roman" w:eastAsia="仿宋_GB2312"/>
          <w:kern w:val="0"/>
          <w:sz w:val="32"/>
          <w:szCs w:val="32"/>
        </w:rPr>
      </w:pPr>
      <w:bookmarkStart w:id="83" w:name="_Hlk59033019"/>
      <w:r>
        <w:rPr>
          <w:rFonts w:hint="eastAsia" w:ascii="仿宋_GB2312" w:hAnsi="Times New Roman" w:eastAsia="仿宋_GB2312"/>
          <w:kern w:val="0"/>
          <w:sz w:val="32"/>
          <w:szCs w:val="32"/>
        </w:rPr>
        <w:t>坚持把实现好、维护好、发展好最广大人民根本利益作为发展的出发点和落脚点，尽力而为、量力而行，健全基本公共服务体系，完善共建共治共享的社会治理制度，扎实推动共同富裕，不断增强人民群众获得感、幸福感、安全感。</w:t>
      </w:r>
    </w:p>
    <w:bookmarkEnd w:id="83"/>
    <w:p>
      <w:pPr>
        <w:pStyle w:val="4"/>
        <w:spacing w:after="312" w:afterLines="100"/>
        <w:ind w:firstLine="0" w:firstLineChars="0"/>
        <w:jc w:val="center"/>
        <w:rPr>
          <w:rFonts w:ascii="黑体" w:hAnsi="黑体"/>
          <w:szCs w:val="32"/>
        </w:rPr>
      </w:pPr>
      <w:bookmarkStart w:id="84" w:name="_Toc27387694"/>
      <w:bookmarkStart w:id="85" w:name="_Toc490695950"/>
      <w:bookmarkStart w:id="86" w:name="_Toc27387692"/>
      <w:bookmarkStart w:id="87" w:name="_Toc490695948"/>
      <w:r>
        <w:rPr>
          <w:rFonts w:hint="eastAsia" w:ascii="黑体" w:hAnsi="黑体"/>
          <w:szCs w:val="32"/>
        </w:rPr>
        <w:t>第四十四章  改善人民生活品质</w:t>
      </w:r>
    </w:p>
    <w:p>
      <w:pPr>
        <w:spacing w:after="312" w:afterLines="100" w:line="600" w:lineRule="exact"/>
        <w:ind w:firstLine="640" w:firstLineChars="200"/>
        <w:jc w:val="left"/>
        <w:rPr>
          <w:rFonts w:ascii="仿宋_GB2312" w:hAnsi="Times New Roman" w:eastAsia="仿宋_GB2312"/>
          <w:kern w:val="0"/>
          <w:sz w:val="32"/>
          <w:szCs w:val="32"/>
        </w:rPr>
      </w:pPr>
      <w:r>
        <w:rPr>
          <w:rFonts w:hint="eastAsia" w:ascii="仿宋_GB2312" w:hAnsi="Times New Roman" w:eastAsia="仿宋_GB2312"/>
          <w:kern w:val="0"/>
          <w:sz w:val="32"/>
          <w:szCs w:val="32"/>
        </w:rPr>
        <w:t>千万百计稳定和扩大就业，不断增加居民收入，努力改善人民生活品质。</w:t>
      </w:r>
    </w:p>
    <w:bookmarkEnd w:id="84"/>
    <w:bookmarkEnd w:id="85"/>
    <w:p>
      <w:pPr>
        <w:pStyle w:val="4"/>
        <w:spacing w:after="312" w:afterLines="100"/>
        <w:ind w:firstLine="0" w:firstLineChars="0"/>
        <w:jc w:val="center"/>
        <w:rPr>
          <w:rFonts w:ascii="楷体_GB2312" w:hAnsi="楷体" w:eastAsia="楷体_GB2312"/>
          <w:b/>
          <w:szCs w:val="32"/>
        </w:rPr>
      </w:pPr>
      <w:bookmarkStart w:id="88" w:name="_Hlk59033067"/>
      <w:r>
        <w:rPr>
          <w:rFonts w:hint="eastAsia" w:ascii="楷体_GB2312" w:hAnsi="楷体" w:eastAsia="楷体_GB2312"/>
          <w:b/>
          <w:szCs w:val="32"/>
        </w:rPr>
        <w:t xml:space="preserve"> 第一节  优化收入分配结构</w:t>
      </w:r>
    </w:p>
    <w:p>
      <w:pPr>
        <w:spacing w:after="312" w:afterLines="100" w:line="600" w:lineRule="exact"/>
        <w:ind w:firstLine="640" w:firstLineChars="200"/>
        <w:jc w:val="left"/>
        <w:rPr>
          <w:rFonts w:ascii="仿宋_GB2312" w:hAnsi="Times New Roman" w:eastAsia="仿宋_GB2312"/>
          <w:kern w:val="0"/>
          <w:sz w:val="32"/>
          <w:szCs w:val="32"/>
        </w:rPr>
      </w:pPr>
      <w:r>
        <w:rPr>
          <w:rFonts w:hint="eastAsia" w:ascii="仿宋_GB2312" w:hAnsi="Times New Roman" w:eastAsia="仿宋_GB2312"/>
          <w:kern w:val="0"/>
          <w:sz w:val="32"/>
          <w:szCs w:val="32"/>
        </w:rPr>
        <w:t>坚持按劳分配为主体、多种分配方式并存，提高劳动报酬在初次分配中的比重，健全工资合理增长机制，提高低收入群体收入，扩大中等收入群体。完善按要素分配政策制度，健全各类生产要素由市场决定报酬的机制，探索通过土地、资本等要素使用权、收益权增加中低收入群体要素收入。多渠道增加城乡居民财产性收入，进一步缩小城乡居民收入差距。实施扩大中等收入群体行动计划，以大中专院校毕业生、技能型劳动者、农民工为重点，不断提高中等收入人群比重。完善再分配机制，加大税收、社保、转移支付等调节力度和精准性，合理调节过高收入，取缔非法收入。发挥第三次分配作用，发展慈善事业，改善收入和财富分配格局。加大低收入困难户帮扶力度，确保低收入群体收入增长高于居民收入平均增长水平。</w:t>
      </w:r>
    </w:p>
    <w:bookmarkEnd w:id="88"/>
    <w:p>
      <w:pPr>
        <w:pStyle w:val="4"/>
        <w:spacing w:after="312" w:afterLines="100"/>
        <w:ind w:firstLine="0" w:firstLineChars="0"/>
        <w:jc w:val="center"/>
        <w:rPr>
          <w:rFonts w:ascii="楷体_GB2312" w:hAnsi="楷体" w:eastAsia="楷体_GB2312"/>
          <w:b/>
        </w:rPr>
      </w:pPr>
      <w:r>
        <w:rPr>
          <w:rFonts w:hint="eastAsia" w:ascii="楷体_GB2312" w:hAnsi="楷体" w:eastAsia="楷体_GB2312"/>
          <w:b/>
        </w:rPr>
        <w:t xml:space="preserve">第二节  </w:t>
      </w:r>
      <w:bookmarkStart w:id="89" w:name="_Hlk59033434"/>
      <w:r>
        <w:rPr>
          <w:rFonts w:hint="eastAsia" w:ascii="楷体_GB2312" w:hAnsi="楷体" w:eastAsia="楷体_GB2312"/>
          <w:b/>
        </w:rPr>
        <w:t>千方百计扩大就业</w:t>
      </w:r>
      <w:bookmarkEnd w:id="86"/>
      <w:bookmarkEnd w:id="87"/>
    </w:p>
    <w:p>
      <w:pPr>
        <w:spacing w:after="312" w:afterLines="100" w:line="600" w:lineRule="exact"/>
        <w:ind w:firstLine="640" w:firstLineChars="200"/>
        <w:jc w:val="left"/>
        <w:rPr>
          <w:rFonts w:ascii="仿宋_GB2312" w:hAnsi="Times New Roman" w:eastAsia="仿宋_GB2312"/>
          <w:kern w:val="0"/>
          <w:sz w:val="32"/>
          <w:szCs w:val="32"/>
        </w:rPr>
      </w:pPr>
      <w:r>
        <w:rPr>
          <w:rFonts w:hint="eastAsia" w:ascii="仿宋_GB2312" w:hAnsi="Times New Roman" w:eastAsia="仿宋_GB2312"/>
          <w:kern w:val="0"/>
          <w:sz w:val="32"/>
          <w:szCs w:val="32"/>
        </w:rPr>
        <w:t>坚持经济发展就业导向，建立城乡统筹、部门联动、政策支持、社会参与和服务多样的创业带动就业机制，扩大就业容量，提升就业质量，促进充分就业。推动农民工、退役军人、高校毕业生、下岗转岗职工、就业困难人员等群体创业就业。健全残疾人、零就业家庭人员、最低生活保障家庭人群、大龄低技能劳动者等就业困难群体援助制度，加强公益性岗位开发和托底安置。</w:t>
      </w:r>
      <w:bookmarkEnd w:id="89"/>
      <w:bookmarkStart w:id="90" w:name="_Toc490695949"/>
      <w:bookmarkStart w:id="91" w:name="_Toc27387693"/>
      <w:r>
        <w:rPr>
          <w:rFonts w:hint="eastAsia" w:ascii="仿宋_GB2312" w:hAnsi="Times New Roman" w:eastAsia="仿宋_GB2312"/>
          <w:kern w:val="0"/>
          <w:sz w:val="32"/>
          <w:szCs w:val="32"/>
        </w:rPr>
        <w:t>完善公共就业创业服务体系，健全终身职业技能培训制度，实施就业技能培训和岗位技能提升培训专项行动，不断提高城乡劳动者就业能力和职业转换能力。健全劳动关系协商机制，引导企业改善用工环境，加强企业民主管理制度建设，依法保障职工基本权益。坚决解决拖欠农民工工资问题，构建和谐劳动关系。</w:t>
      </w:r>
    </w:p>
    <w:p>
      <w:pPr>
        <w:spacing w:after="312" w:afterLines="100" w:line="600" w:lineRule="exact"/>
        <w:jc w:val="center"/>
        <w:rPr>
          <w:rFonts w:ascii="黑体" w:hAnsi="黑体" w:eastAsia="黑体"/>
          <w:sz w:val="32"/>
          <w:szCs w:val="32"/>
        </w:rPr>
      </w:pPr>
      <w:r>
        <w:rPr>
          <w:rFonts w:hint="eastAsia" w:ascii="黑体" w:hAnsi="黑体" w:eastAsia="黑体"/>
          <w:sz w:val="32"/>
          <w:szCs w:val="32"/>
        </w:rPr>
        <w:t>第</w:t>
      </w:r>
      <w:bookmarkStart w:id="92" w:name="_Hlk59033647"/>
      <w:r>
        <w:rPr>
          <w:rFonts w:hint="eastAsia" w:ascii="黑体" w:hAnsi="黑体" w:eastAsia="黑体"/>
          <w:sz w:val="32"/>
          <w:szCs w:val="32"/>
        </w:rPr>
        <w:t>四十五章  健全多层次社会保障体系</w:t>
      </w:r>
      <w:bookmarkEnd w:id="90"/>
      <w:bookmarkEnd w:id="91"/>
    </w:p>
    <w:p>
      <w:pPr>
        <w:spacing w:after="312" w:afterLines="100" w:line="600" w:lineRule="exact"/>
        <w:ind w:firstLine="640" w:firstLineChars="200"/>
        <w:jc w:val="left"/>
        <w:rPr>
          <w:rFonts w:ascii="仿宋_GB2312" w:hAnsi="Times New Roman" w:eastAsia="仿宋_GB2312"/>
          <w:kern w:val="0"/>
          <w:sz w:val="32"/>
          <w:szCs w:val="32"/>
        </w:rPr>
      </w:pPr>
      <w:r>
        <w:rPr>
          <w:rFonts w:hint="eastAsia" w:ascii="仿宋_GB2312" w:hAnsi="Times New Roman" w:eastAsia="仿宋_GB2312"/>
          <w:kern w:val="0"/>
          <w:sz w:val="32"/>
          <w:szCs w:val="32"/>
        </w:rPr>
        <w:t>健全覆盖全民、统筹城乡、公平统一、可持续的多层次社会保障体系。</w:t>
      </w:r>
    </w:p>
    <w:p>
      <w:pPr>
        <w:spacing w:after="312" w:afterLines="100" w:line="600" w:lineRule="exact"/>
        <w:jc w:val="center"/>
        <w:rPr>
          <w:rFonts w:ascii="楷体_GB2312" w:hAnsi="仿宋_GB2312" w:eastAsia="楷体_GB2312" w:cs="仿宋_GB2312"/>
          <w:b/>
          <w:sz w:val="32"/>
          <w:szCs w:val="32"/>
        </w:rPr>
      </w:pPr>
      <w:r>
        <w:rPr>
          <w:rFonts w:hint="eastAsia" w:ascii="楷体_GB2312" w:hAnsi="仿宋_GB2312" w:eastAsia="楷体_GB2312" w:cs="仿宋_GB2312"/>
          <w:b/>
          <w:sz w:val="32"/>
          <w:szCs w:val="32"/>
        </w:rPr>
        <w:t>第一节  完善社会保险制度</w:t>
      </w:r>
    </w:p>
    <w:p>
      <w:pPr>
        <w:spacing w:after="312" w:afterLines="100" w:line="600" w:lineRule="exact"/>
        <w:ind w:firstLine="640" w:firstLineChars="200"/>
        <w:jc w:val="left"/>
        <w:rPr>
          <w:rFonts w:ascii="仿宋_GB2312" w:hAnsi="Times New Roman" w:eastAsia="仿宋_GB2312"/>
          <w:kern w:val="0"/>
          <w:sz w:val="32"/>
          <w:szCs w:val="32"/>
        </w:rPr>
      </w:pPr>
      <w:r>
        <w:rPr>
          <w:rFonts w:hint="eastAsia" w:ascii="仿宋_GB2312" w:hAnsi="Times New Roman" w:eastAsia="仿宋_GB2312"/>
          <w:kern w:val="0"/>
          <w:sz w:val="32"/>
          <w:szCs w:val="32"/>
        </w:rPr>
        <w:t>落实基本医疗、失业保险、工伤保险省级统筹。建立退休人员基本养老金合理调整机制，调整完善养老金计发基数。完善养老保险转移接续机制，建立健全城乡居民养老保险参保人员丧葬补助和高龄补贴制度。发展多层次、多支柱养老保险体系，完善企业年金、职业年金制度，推动养老保险第三支柱发展。完善失业保险调剂制度。建立预防、补偿、康复“三位一体”工伤保险制度体系。实行医疗保障待遇清单制度，完善基本医疗保险门诊共济保障机制，健全重大疾病医疗保险和救助制度。完善生育保险政策。推行以按照病种付费为主的多元复合式医保支付方式，按规定将符合条件的互联网医疗服务纳入医保支付范围，落实异地就医结算。完善灵活就业人员参保政策，实现社会保险法定人群全覆盖。加强社会保险经办服务体系建设，推进社会保险经办服务市县乡村全覆盖，构建全市统一的“规范化、标准化、信息化”社会保险公共服务平台，实现与全国统一社会保险公共服务平台的无缝对接和互联互通。</w:t>
      </w:r>
    </w:p>
    <w:p>
      <w:pPr>
        <w:spacing w:after="312" w:afterLines="100" w:line="600" w:lineRule="exact"/>
        <w:ind w:firstLine="643" w:firstLineChars="200"/>
        <w:jc w:val="center"/>
        <w:rPr>
          <w:rFonts w:ascii="楷体_GB2312" w:hAnsi="仿宋_GB2312" w:eastAsia="楷体_GB2312" w:cs="仿宋_GB2312"/>
          <w:b/>
          <w:sz w:val="32"/>
          <w:szCs w:val="32"/>
        </w:rPr>
      </w:pPr>
      <w:r>
        <w:rPr>
          <w:rFonts w:hint="eastAsia" w:ascii="楷体_GB2312" w:hAnsi="仿宋_GB2312" w:eastAsia="楷体_GB2312" w:cs="仿宋_GB2312"/>
          <w:b/>
          <w:sz w:val="32"/>
          <w:szCs w:val="32"/>
        </w:rPr>
        <w:t>第二节  健全社会救助和社会福利制度</w:t>
      </w:r>
    </w:p>
    <w:p>
      <w:pPr>
        <w:spacing w:after="312" w:afterLines="100" w:line="600" w:lineRule="exact"/>
        <w:ind w:firstLine="640" w:firstLineChars="200"/>
        <w:jc w:val="left"/>
        <w:rPr>
          <w:rFonts w:ascii="仿宋_GB2312" w:hAnsi="Times New Roman" w:eastAsia="仿宋_GB2312"/>
          <w:kern w:val="0"/>
          <w:sz w:val="32"/>
          <w:szCs w:val="32"/>
        </w:rPr>
      </w:pPr>
      <w:r>
        <w:rPr>
          <w:rFonts w:hint="eastAsia" w:ascii="仿宋_GB2312" w:hAnsi="Times New Roman" w:eastAsia="仿宋_GB2312"/>
          <w:kern w:val="0"/>
          <w:sz w:val="32"/>
          <w:szCs w:val="32"/>
        </w:rPr>
        <w:t>以最低生活保障、特困人员救助供养为基础，以专项救助为支撑，急难救助为辅助，社会力量参与为补充，健全分层分类救助体系。建立健全“四集中”工作长效机制，巩固发展“四集中”兜底保障成果。健全老年人、残疾人关爱服务体系，做好生活无着落流浪乞讨人员救助，完善帮扶残疾人、孤儿等社会福利制度。完善基本生活救助制度，健全救助保障标准与物价上涨挂钩联动机制。完善提升“政福保”“政康保”保障水平，在试点基础上，探索建立“防贫保”。加快精神卫生社会福利机构建设。推动殡仪馆、城市公益性公墓等殡葬设施县市区全覆盖，推动乡镇示范性农村公益性公墓建设，大力推行文明治丧和生态殡葬。</w:t>
      </w:r>
    </w:p>
    <w:p>
      <w:pPr>
        <w:spacing w:after="312" w:afterLines="100" w:line="600" w:lineRule="exact"/>
        <w:ind w:firstLine="643" w:firstLineChars="200"/>
        <w:jc w:val="center"/>
        <w:rPr>
          <w:rFonts w:ascii="楷体_GB2312" w:hAnsi="仿宋_GB2312" w:eastAsia="楷体_GB2312" w:cs="仿宋_GB2312"/>
          <w:b/>
          <w:sz w:val="32"/>
          <w:szCs w:val="32"/>
        </w:rPr>
      </w:pPr>
      <w:r>
        <w:rPr>
          <w:rFonts w:hint="eastAsia" w:ascii="楷体_GB2312" w:hAnsi="仿宋_GB2312" w:eastAsia="楷体_GB2312" w:cs="仿宋_GB2312"/>
          <w:b/>
          <w:sz w:val="32"/>
          <w:szCs w:val="32"/>
        </w:rPr>
        <w:t>第三节  加强退役军人服务保障</w:t>
      </w:r>
    </w:p>
    <w:p>
      <w:pPr>
        <w:spacing w:after="312" w:afterLines="100" w:line="600" w:lineRule="exact"/>
        <w:ind w:firstLine="640" w:firstLineChars="200"/>
        <w:jc w:val="left"/>
        <w:rPr>
          <w:rFonts w:ascii="仿宋_GB2312" w:hAnsi="Times New Roman" w:eastAsia="仿宋_GB2312"/>
          <w:kern w:val="0"/>
          <w:sz w:val="32"/>
          <w:szCs w:val="32"/>
        </w:rPr>
      </w:pPr>
      <w:r>
        <w:rPr>
          <w:rFonts w:hint="eastAsia" w:ascii="仿宋_GB2312" w:hAnsi="Times New Roman" w:eastAsia="仿宋_GB2312"/>
          <w:kern w:val="0"/>
          <w:sz w:val="32"/>
          <w:szCs w:val="32"/>
        </w:rPr>
        <w:t>健全退役军人工作体系和保障制度，依法维护军人军属合法权益。加强退役军人安置保障，实施</w:t>
      </w:r>
      <w:r>
        <w:rPr>
          <w:rFonts w:ascii="仿宋_GB2312" w:hAnsi="Times New Roman" w:eastAsia="仿宋_GB2312"/>
          <w:kern w:val="0"/>
          <w:sz w:val="32"/>
          <w:szCs w:val="32"/>
        </w:rPr>
        <w:t>军转干部、退役士兵</w:t>
      </w:r>
      <w:r>
        <w:rPr>
          <w:rFonts w:hint="eastAsia" w:ascii="仿宋_GB2312" w:hAnsi="Times New Roman" w:eastAsia="仿宋_GB2312"/>
          <w:kern w:val="0"/>
          <w:sz w:val="32"/>
          <w:szCs w:val="32"/>
        </w:rPr>
        <w:t>“</w:t>
      </w:r>
      <w:r>
        <w:rPr>
          <w:rFonts w:ascii="仿宋_GB2312" w:hAnsi="Times New Roman" w:eastAsia="仿宋_GB2312"/>
          <w:kern w:val="0"/>
          <w:sz w:val="32"/>
          <w:szCs w:val="32"/>
        </w:rPr>
        <w:t>阳光安置</w:t>
      </w:r>
      <w:r>
        <w:rPr>
          <w:rFonts w:hint="eastAsia" w:ascii="仿宋_GB2312" w:hAnsi="Times New Roman" w:eastAsia="仿宋_GB2312"/>
          <w:kern w:val="0"/>
          <w:sz w:val="32"/>
          <w:szCs w:val="32"/>
        </w:rPr>
        <w:t>”</w:t>
      </w:r>
      <w:r>
        <w:rPr>
          <w:rFonts w:ascii="仿宋_GB2312" w:hAnsi="Times New Roman" w:eastAsia="仿宋_GB2312"/>
          <w:kern w:val="0"/>
          <w:sz w:val="32"/>
          <w:szCs w:val="32"/>
        </w:rPr>
        <w:t>和</w:t>
      </w:r>
      <w:r>
        <w:rPr>
          <w:rFonts w:hint="eastAsia" w:ascii="仿宋_GB2312" w:hAnsi="Times New Roman" w:eastAsia="仿宋_GB2312"/>
          <w:kern w:val="0"/>
          <w:sz w:val="32"/>
          <w:szCs w:val="32"/>
        </w:rPr>
        <w:t>“</w:t>
      </w:r>
      <w:r>
        <w:rPr>
          <w:rFonts w:ascii="仿宋_GB2312" w:hAnsi="Times New Roman" w:eastAsia="仿宋_GB2312"/>
          <w:kern w:val="0"/>
          <w:sz w:val="32"/>
          <w:szCs w:val="32"/>
        </w:rPr>
        <w:t>直通车</w:t>
      </w:r>
      <w:r>
        <w:rPr>
          <w:rFonts w:hint="eastAsia" w:ascii="仿宋_GB2312" w:hAnsi="Times New Roman" w:eastAsia="仿宋_GB2312"/>
          <w:kern w:val="0"/>
          <w:sz w:val="32"/>
          <w:szCs w:val="32"/>
        </w:rPr>
        <w:t>”</w:t>
      </w:r>
      <w:r>
        <w:rPr>
          <w:rFonts w:ascii="仿宋_GB2312" w:hAnsi="Times New Roman" w:eastAsia="仿宋_GB2312"/>
          <w:kern w:val="0"/>
          <w:sz w:val="32"/>
          <w:szCs w:val="32"/>
        </w:rPr>
        <w:t>式安置</w:t>
      </w:r>
      <w:r>
        <w:rPr>
          <w:rFonts w:hint="eastAsia" w:ascii="仿宋_GB2312" w:hAnsi="Times New Roman" w:eastAsia="仿宋_GB2312"/>
          <w:kern w:val="0"/>
          <w:sz w:val="32"/>
          <w:szCs w:val="32"/>
        </w:rPr>
        <w:t>，建设南阳军创小镇，打造集退役军人就业、创业、居住、生活、教育、医疗、养老等一站式综合服务区。实施退役军人适应性培训、职业培训和军人终身职业教育，落实鼓励企业吸纳录用退役军人等政策，提升就业安置质量。建立健全新型待遇保障体系，做好优抚褒扬工作，落实优抚对象待遇。</w:t>
      </w:r>
      <w:r>
        <w:rPr>
          <w:rFonts w:ascii="仿宋_GB2312" w:hAnsi="Times New Roman" w:eastAsia="仿宋_GB2312"/>
          <w:kern w:val="0"/>
          <w:sz w:val="32"/>
          <w:szCs w:val="32"/>
        </w:rPr>
        <w:t>改进</w:t>
      </w:r>
      <w:r>
        <w:rPr>
          <w:rFonts w:hint="eastAsia" w:ascii="仿宋_GB2312" w:hAnsi="Times New Roman" w:eastAsia="仿宋_GB2312"/>
          <w:kern w:val="0"/>
          <w:sz w:val="32"/>
          <w:szCs w:val="32"/>
        </w:rPr>
        <w:t>离退休军人</w:t>
      </w:r>
      <w:r>
        <w:rPr>
          <w:rFonts w:ascii="仿宋_GB2312" w:hAnsi="Times New Roman" w:eastAsia="仿宋_GB2312"/>
          <w:kern w:val="0"/>
          <w:sz w:val="32"/>
          <w:szCs w:val="32"/>
        </w:rPr>
        <w:t>和伤病残</w:t>
      </w:r>
      <w:r>
        <w:rPr>
          <w:rFonts w:hint="eastAsia" w:ascii="仿宋_GB2312" w:hAnsi="Times New Roman" w:eastAsia="仿宋_GB2312"/>
          <w:kern w:val="0"/>
          <w:sz w:val="32"/>
          <w:szCs w:val="32"/>
        </w:rPr>
        <w:t>退役军人</w:t>
      </w:r>
      <w:r>
        <w:rPr>
          <w:rFonts w:ascii="仿宋_GB2312" w:hAnsi="Times New Roman" w:eastAsia="仿宋_GB2312"/>
          <w:kern w:val="0"/>
          <w:sz w:val="32"/>
          <w:szCs w:val="32"/>
        </w:rPr>
        <w:t>移交安置办法，实现</w:t>
      </w:r>
      <w:r>
        <w:rPr>
          <w:rFonts w:hint="eastAsia" w:ascii="仿宋_GB2312" w:hAnsi="Times New Roman" w:eastAsia="仿宋_GB2312"/>
          <w:kern w:val="0"/>
          <w:sz w:val="32"/>
          <w:szCs w:val="32"/>
        </w:rPr>
        <w:t>“</w:t>
      </w:r>
      <w:r>
        <w:rPr>
          <w:rFonts w:ascii="仿宋_GB2312" w:hAnsi="Times New Roman" w:eastAsia="仿宋_GB2312"/>
          <w:kern w:val="0"/>
          <w:sz w:val="32"/>
          <w:szCs w:val="32"/>
        </w:rPr>
        <w:t>即退即审、即审即接、即接即保障</w:t>
      </w:r>
      <w:r>
        <w:rPr>
          <w:rFonts w:hint="eastAsia" w:ascii="仿宋_GB2312" w:hAnsi="Times New Roman" w:eastAsia="仿宋_GB2312"/>
          <w:kern w:val="0"/>
          <w:sz w:val="32"/>
          <w:szCs w:val="32"/>
        </w:rPr>
        <w:t>”</w:t>
      </w:r>
      <w:r>
        <w:rPr>
          <w:rFonts w:ascii="仿宋_GB2312" w:hAnsi="Times New Roman" w:eastAsia="仿宋_GB2312"/>
          <w:kern w:val="0"/>
          <w:sz w:val="32"/>
          <w:szCs w:val="32"/>
        </w:rPr>
        <w:t>；</w:t>
      </w:r>
      <w:r>
        <w:rPr>
          <w:rFonts w:hint="eastAsia" w:ascii="仿宋_GB2312" w:hAnsi="Times New Roman" w:eastAsia="仿宋_GB2312"/>
          <w:kern w:val="0"/>
          <w:sz w:val="32"/>
          <w:szCs w:val="32"/>
        </w:rPr>
        <w:t>完善离退休军人</w:t>
      </w:r>
      <w:r>
        <w:rPr>
          <w:rFonts w:ascii="仿宋_GB2312" w:hAnsi="Times New Roman" w:eastAsia="仿宋_GB2312"/>
          <w:kern w:val="0"/>
          <w:sz w:val="32"/>
          <w:szCs w:val="32"/>
        </w:rPr>
        <w:t>待遇政策调整机制。</w:t>
      </w:r>
      <w:r>
        <w:rPr>
          <w:rFonts w:hint="eastAsia" w:ascii="仿宋_GB2312" w:hAnsi="Times New Roman" w:eastAsia="仿宋_GB2312"/>
          <w:kern w:val="0"/>
          <w:sz w:val="32"/>
          <w:szCs w:val="32"/>
        </w:rPr>
        <w:t>提升优抚医院、光荣院、军供站、军人公墓等建设服务水平，完成市级烈士陵园迁建，加强烈士纪念设施保护管理，改造提升县级烈士纪念设施。成立“南阳市退役军人关爱基金会”，规范基金运行监管。建立退役军人信息化综合管理平台，系统推进“退役军人+互联网”服务。深入推进“双拥”共建，巩固拓展“双拥”模范城市创建成果，促进军政军民团结。</w:t>
      </w:r>
    </w:p>
    <w:p>
      <w:pPr>
        <w:spacing w:after="312" w:afterLines="100" w:line="600" w:lineRule="exact"/>
        <w:ind w:firstLine="643" w:firstLineChars="200"/>
        <w:jc w:val="center"/>
        <w:rPr>
          <w:rFonts w:ascii="楷体_GB2312" w:hAnsi="仿宋_GB2312" w:eastAsia="楷体_GB2312" w:cs="仿宋_GB2312"/>
          <w:b/>
          <w:sz w:val="32"/>
          <w:szCs w:val="32"/>
        </w:rPr>
      </w:pPr>
      <w:r>
        <w:rPr>
          <w:rFonts w:hint="eastAsia" w:ascii="楷体_GB2312" w:hAnsi="仿宋_GB2312" w:eastAsia="楷体_GB2312" w:cs="仿宋_GB2312"/>
          <w:b/>
          <w:sz w:val="32"/>
          <w:szCs w:val="32"/>
        </w:rPr>
        <w:t>第四节  提升残疾人福利水平和助残服务能力</w:t>
      </w:r>
    </w:p>
    <w:p>
      <w:pPr>
        <w:spacing w:after="312" w:afterLines="100" w:line="600" w:lineRule="exact"/>
        <w:ind w:firstLine="640" w:firstLineChars="200"/>
        <w:jc w:val="left"/>
        <w:rPr>
          <w:rFonts w:ascii="仿宋_GB2312" w:hAnsi="Times New Roman" w:eastAsia="仿宋_GB2312"/>
          <w:kern w:val="0"/>
          <w:sz w:val="32"/>
          <w:szCs w:val="32"/>
        </w:rPr>
      </w:pPr>
      <w:r>
        <w:rPr>
          <w:rFonts w:hint="eastAsia" w:ascii="仿宋_GB2312" w:hAnsi="Times New Roman" w:eastAsia="仿宋_GB2312"/>
          <w:kern w:val="0"/>
          <w:sz w:val="32"/>
          <w:szCs w:val="32"/>
        </w:rPr>
        <w:t>健全残疾人社会福利和帮扶制度，推进残疾人服务设施和综合服务体系建设，加强残疾人公共服务监管，促进残疾人融合发展。加强残疾人劳动权益和职业技能培训，扶持残疾人自主创业。推进适龄残疾儿童和少年教育全覆盖，提高残疾人教育普及水平和教育质量。促进康复服务市场化发展，</w:t>
      </w:r>
      <w:r>
        <w:rPr>
          <w:rFonts w:hint="eastAsia" w:ascii="仿宋_GB2312" w:hAnsi="仿宋_GB2312" w:eastAsia="仿宋_GB2312" w:cs="仿宋_GB2312"/>
          <w:sz w:val="32"/>
          <w:szCs w:val="32"/>
        </w:rPr>
        <w:t>培育壮大康复辅助器具产业，建设辐射带动周边省市的康复辅助器具配置服务体系，推进康复辅助器具产业与养老、助残、医疗、健康业态融合发展，</w:t>
      </w:r>
      <w:r>
        <w:rPr>
          <w:rFonts w:hint="eastAsia" w:ascii="仿宋_GB2312" w:hAnsi="Times New Roman" w:eastAsia="仿宋_GB2312"/>
          <w:kern w:val="0"/>
          <w:sz w:val="32"/>
          <w:szCs w:val="32"/>
        </w:rPr>
        <w:t>提高康复辅助器具适配率。</w:t>
      </w:r>
      <w:r>
        <w:rPr>
          <w:rFonts w:hint="eastAsia" w:ascii="仿宋_GB2312" w:hAnsi="仿宋_GB2312" w:eastAsia="仿宋_GB2312" w:cs="仿宋_GB2312"/>
          <w:sz w:val="32"/>
          <w:szCs w:val="32"/>
        </w:rPr>
        <w:t>创建康复辅助器具产业国家综合创新试点城市。</w:t>
      </w:r>
      <w:r>
        <w:rPr>
          <w:rFonts w:hint="eastAsia" w:ascii="仿宋_GB2312" w:hAnsi="Times New Roman" w:eastAsia="仿宋_GB2312"/>
          <w:kern w:val="0"/>
          <w:sz w:val="32"/>
          <w:szCs w:val="32"/>
        </w:rPr>
        <w:t>完善无障碍环境建设和维护政策，支持困难残疾人家庭无障碍设施改造。健全残疾人“两项补贴”制度，提升精神障碍群体社区康复服务水平。</w:t>
      </w:r>
    </w:p>
    <w:bookmarkEnd w:id="92"/>
    <w:p>
      <w:pPr>
        <w:spacing w:after="312" w:afterLines="100" w:line="600" w:lineRule="exact"/>
        <w:jc w:val="center"/>
        <w:rPr>
          <w:rFonts w:ascii="黑体" w:hAnsi="黑体" w:eastAsia="黑体"/>
          <w:sz w:val="32"/>
          <w:szCs w:val="32"/>
        </w:rPr>
      </w:pPr>
      <w:bookmarkStart w:id="93" w:name="_Hlk59034822"/>
      <w:r>
        <w:rPr>
          <w:rFonts w:hint="eastAsia" w:ascii="黑体" w:hAnsi="黑体" w:eastAsia="黑体"/>
          <w:sz w:val="32"/>
          <w:szCs w:val="32"/>
        </w:rPr>
        <w:t>第四十六章  促进妇女儿童和青年全面发展</w:t>
      </w:r>
    </w:p>
    <w:p>
      <w:pPr>
        <w:spacing w:after="312" w:afterLines="100" w:line="600" w:lineRule="exact"/>
        <w:ind w:firstLine="640" w:firstLineChars="200"/>
        <w:rPr>
          <w:rFonts w:ascii="仿宋_GB2312" w:hAnsi="Times New Roman" w:eastAsia="仿宋_GB2312"/>
          <w:kern w:val="0"/>
          <w:sz w:val="32"/>
          <w:szCs w:val="32"/>
        </w:rPr>
      </w:pPr>
      <w:r>
        <w:rPr>
          <w:rFonts w:hint="eastAsia" w:ascii="仿宋_GB2312" w:hAnsi="Times New Roman" w:eastAsia="仿宋_GB2312"/>
          <w:kern w:val="0"/>
          <w:sz w:val="32"/>
          <w:szCs w:val="32"/>
        </w:rPr>
        <w:t>坚持男女平等基本国策，完善妇女、儿童和青年发展政策体系，加强家庭、家教、家风建设。</w:t>
      </w:r>
    </w:p>
    <w:p>
      <w:pPr>
        <w:spacing w:after="312" w:afterLines="100" w:line="600" w:lineRule="exact"/>
        <w:jc w:val="center"/>
        <w:rPr>
          <w:rFonts w:ascii="楷体_GB2312" w:eastAsia="楷体_GB2312"/>
          <w:b/>
          <w:sz w:val="32"/>
          <w:szCs w:val="32"/>
        </w:rPr>
      </w:pPr>
      <w:r>
        <w:rPr>
          <w:rFonts w:hint="eastAsia" w:ascii="楷体_GB2312" w:eastAsia="楷体_GB2312"/>
          <w:b/>
          <w:sz w:val="32"/>
          <w:szCs w:val="32"/>
        </w:rPr>
        <w:t>第一节  保障妇女合法权益</w:t>
      </w:r>
    </w:p>
    <w:p>
      <w:pPr>
        <w:spacing w:after="312" w:afterLines="100" w:line="600" w:lineRule="exact"/>
        <w:ind w:firstLine="640" w:firstLineChars="200"/>
        <w:rPr>
          <w:rFonts w:ascii="仿宋_GB2312" w:hAnsi="Times New Roman" w:eastAsia="仿宋_GB2312"/>
          <w:kern w:val="0"/>
          <w:sz w:val="32"/>
          <w:szCs w:val="32"/>
        </w:rPr>
      </w:pPr>
      <w:r>
        <w:rPr>
          <w:rFonts w:hint="eastAsia" w:ascii="仿宋_GB2312" w:hAnsi="Times New Roman" w:eastAsia="仿宋_GB2312"/>
          <w:kern w:val="0"/>
          <w:sz w:val="32"/>
          <w:szCs w:val="32"/>
        </w:rPr>
        <w:t>实施妇女发展规划，持续改善妇女发展环境，依法保障妇女平等获得就学、就业、婚姻财产、参与社会事务和民主管理等权利，全面消除性别歧视，提升妇女依法维权能力。完善城乡生育津补贴制度，切实保障妇女职工生育权益和母婴权益，扩大母婴室覆盖区域。推广“一站式”服务模式，提高妇女保健、婚前保健、孕产保健等健康服务水平，加强妇女常见病筛查和早诊早治，建立健全农村妇女宫颈癌和乳腺癌综合防治体系。加强农村留守妇女关爱服务和特殊困难妇女群众民生保障。引导妇女自尊自信自立自强，开展富有女性特色的建功立业活动，拓宽妇女就业渠道，组织动员妇女走在时代前列。</w:t>
      </w:r>
    </w:p>
    <w:p>
      <w:pPr>
        <w:spacing w:after="312" w:afterLines="100" w:line="600" w:lineRule="exact"/>
        <w:jc w:val="center"/>
        <w:rPr>
          <w:rFonts w:ascii="楷体_GB2312" w:eastAsia="楷体_GB2312"/>
          <w:b/>
          <w:sz w:val="32"/>
          <w:szCs w:val="32"/>
        </w:rPr>
      </w:pPr>
      <w:r>
        <w:rPr>
          <w:rFonts w:hint="eastAsia" w:ascii="楷体_GB2312" w:eastAsia="楷体_GB2312"/>
          <w:b/>
          <w:sz w:val="32"/>
          <w:szCs w:val="32"/>
        </w:rPr>
        <w:t>第二节  健全儿童关爱服务体系</w:t>
      </w:r>
    </w:p>
    <w:p>
      <w:pPr>
        <w:spacing w:after="312" w:afterLines="100" w:line="600" w:lineRule="exact"/>
        <w:ind w:firstLine="640" w:firstLineChars="200"/>
        <w:rPr>
          <w:rFonts w:ascii="仿宋_GB2312" w:hAnsi="Times New Roman" w:eastAsia="仿宋_GB2312"/>
          <w:kern w:val="0"/>
          <w:sz w:val="32"/>
          <w:szCs w:val="32"/>
        </w:rPr>
      </w:pPr>
      <w:r>
        <w:rPr>
          <w:rFonts w:hint="eastAsia" w:ascii="仿宋_GB2312" w:hAnsi="Times New Roman" w:eastAsia="仿宋_GB2312"/>
          <w:kern w:val="0"/>
          <w:sz w:val="32"/>
          <w:szCs w:val="32"/>
        </w:rPr>
        <w:t>实施儿童发展规划，完善促进儿童优先发展和全面发展的制度体系，保障儿童生存、发展、受保护和参与的权利。实施学龄前儿童营养改善计划，加强儿童营养及食品用品质量安全保障，有效控制儿童肥胖和近视，预防和控制儿童疾病。</w:t>
      </w:r>
      <w:r>
        <w:rPr>
          <w:rFonts w:hint="eastAsia" w:ascii="仿宋_GB2312" w:hAnsi="仿宋_GB2312" w:eastAsia="仿宋_GB2312" w:cs="仿宋_GB2312"/>
          <w:sz w:val="32"/>
          <w:szCs w:val="32"/>
          <w:shd w:val="clear" w:color="auto" w:fill="FFFFFF"/>
        </w:rPr>
        <w:t>建立未成年人保护工作协调机制，统筹推进未成年人保护工作。</w:t>
      </w:r>
      <w:r>
        <w:rPr>
          <w:rFonts w:hint="eastAsia" w:ascii="仿宋_GB2312" w:hAnsi="仿宋_GB2312" w:eastAsia="仿宋_GB2312" w:cs="仿宋_GB2312"/>
          <w:sz w:val="32"/>
          <w:szCs w:val="32"/>
        </w:rPr>
        <w:t>加强困境儿童分类保障和农村留守儿童关爱服务，健全孤儿、事实无人抚养儿童社会福利制度。加强未成年人救助保护机构建设，推进未成年人救助保护机构转型升级，提升关爱服务能力。优化儿童福利机构区域布局，推动区域性集中养育，实现集中养育机构养育、康复、教育、医疗、社会工作一体化高质量发展。加快儿童之家和儿童心理公共服务体系建设。</w:t>
      </w:r>
      <w:r>
        <w:rPr>
          <w:rFonts w:hint="eastAsia" w:ascii="仿宋_GB2312" w:hAnsi="Times New Roman" w:eastAsia="仿宋_GB2312"/>
          <w:kern w:val="0"/>
          <w:sz w:val="32"/>
          <w:szCs w:val="32"/>
        </w:rPr>
        <w:t>预防和控制儿童伤害，严厉打击危害儿童身心健康的违法犯罪行为。健全未成年人网络保护综合治理机制。加强中小学生欺凌和暴力防治，预防未成年人犯罪。</w:t>
      </w:r>
    </w:p>
    <w:p>
      <w:pPr>
        <w:spacing w:after="312" w:afterLines="100" w:line="600" w:lineRule="exact"/>
        <w:jc w:val="center"/>
        <w:rPr>
          <w:rFonts w:ascii="楷体_GB2312" w:eastAsia="楷体_GB2312"/>
          <w:b/>
          <w:sz w:val="32"/>
          <w:szCs w:val="32"/>
        </w:rPr>
      </w:pPr>
      <w:r>
        <w:rPr>
          <w:rFonts w:hint="eastAsia" w:ascii="楷体_GB2312" w:eastAsia="楷体_GB2312"/>
          <w:b/>
          <w:sz w:val="32"/>
          <w:szCs w:val="32"/>
        </w:rPr>
        <w:t>第三节  完善青年发展政策体系</w:t>
      </w:r>
    </w:p>
    <w:p>
      <w:pPr>
        <w:spacing w:after="312" w:afterLines="100" w:line="600" w:lineRule="exact"/>
        <w:ind w:firstLine="640" w:firstLineChars="200"/>
        <w:rPr>
          <w:rFonts w:ascii="仿宋_GB2312" w:hAnsi="Times New Roman" w:eastAsia="仿宋_GB2312"/>
          <w:kern w:val="0"/>
          <w:sz w:val="32"/>
          <w:szCs w:val="32"/>
        </w:rPr>
      </w:pPr>
      <w:r>
        <w:rPr>
          <w:rFonts w:hint="eastAsia" w:ascii="仿宋_GB2312" w:hAnsi="Times New Roman" w:eastAsia="仿宋_GB2312"/>
          <w:kern w:val="0"/>
          <w:sz w:val="32"/>
          <w:szCs w:val="32"/>
        </w:rPr>
        <w:t xml:space="preserve">实施中长期青年发展规划，突出青年优先发展理念，优化青年成长环境，维护青年发展权益，促进青年全面发展。加强青年教育、就业、住房、婚恋等服务支持。全面建设青年友好型城市、青年发展型城市。加强青年理想信念教育，深入实施青年马克思主义者培训工程。引导青年有序参与政治生活和社会公共事务，引导青年踊跃投身创新实践，鼓励青年在经济社会发展中充分发挥生力军和突击队作用。加强青年社会组织培育，鼓励和支持青年参与社会实践和志愿服务。完善青年工作联席会议机制，健全青年发展状况监测评估体系。 </w:t>
      </w:r>
    </w:p>
    <w:p>
      <w:pPr>
        <w:spacing w:after="312" w:afterLines="100" w:line="600" w:lineRule="exact"/>
        <w:jc w:val="center"/>
        <w:rPr>
          <w:rFonts w:ascii="楷体_GB2312" w:eastAsia="楷体_GB2312"/>
          <w:b/>
          <w:sz w:val="32"/>
          <w:szCs w:val="32"/>
        </w:rPr>
      </w:pPr>
      <w:r>
        <w:rPr>
          <w:rFonts w:hint="eastAsia" w:ascii="楷体_GB2312" w:eastAsia="楷体_GB2312"/>
          <w:b/>
          <w:sz w:val="32"/>
          <w:szCs w:val="32"/>
        </w:rPr>
        <w:t>第四节  支持家庭发展</w:t>
      </w:r>
    </w:p>
    <w:p>
      <w:pPr>
        <w:spacing w:after="312" w:afterLines="100" w:line="600" w:lineRule="exact"/>
        <w:ind w:firstLine="640" w:firstLineChars="200"/>
        <w:rPr>
          <w:rFonts w:ascii="仿宋_GB2312" w:hAnsi="Times New Roman" w:eastAsia="仿宋_GB2312"/>
          <w:kern w:val="0"/>
          <w:sz w:val="32"/>
          <w:szCs w:val="32"/>
        </w:rPr>
      </w:pPr>
      <w:r>
        <w:rPr>
          <w:rFonts w:hint="eastAsia" w:ascii="仿宋_GB2312" w:hAnsi="Times New Roman" w:eastAsia="仿宋_GB2312"/>
          <w:kern w:val="0"/>
          <w:sz w:val="32"/>
          <w:szCs w:val="32"/>
        </w:rPr>
        <w:t>以建设文明家庭、实施科学家教、传承优良家风为重点，深入实施“家家幸福安康工程”，完善支持家庭发展的政策体系。倡导家庭责任共担，建设平等、和睦、文明的家庭关系。健全学校家庭社会协同育人机制。构建覆盖城乡的家庭教育指导服务体系，完善婚姻家庭纠纷预防化解机制，推进家庭教育指导服务中心、服务站点、信息化服务平台等建设。加强对困难家庭、失独家庭、单亲特困等特殊家庭的政策支持、救助和服务。推进家风家教示范基地建设，开展最美家庭推选宣传、弘扬好家风好家训。</w:t>
      </w:r>
    </w:p>
    <w:bookmarkEnd w:id="93"/>
    <w:p>
      <w:pPr>
        <w:overflowPunct w:val="0"/>
        <w:spacing w:line="600" w:lineRule="exact"/>
        <w:jc w:val="center"/>
        <w:rPr>
          <w:rFonts w:ascii="方正小标宋简体" w:hAnsi="黑体" w:eastAsia="方正小标宋简体"/>
          <w:sz w:val="32"/>
          <w:szCs w:val="32"/>
        </w:rPr>
      </w:pPr>
      <w:bookmarkStart w:id="94" w:name="_Toc27387697"/>
      <w:r>
        <w:rPr>
          <w:rFonts w:hint="eastAsia" w:ascii="方正小标宋简体" w:hAnsi="黑体" w:eastAsia="方正小标宋简体"/>
          <w:sz w:val="32"/>
          <w:szCs w:val="32"/>
        </w:rPr>
        <w:t>第十四篇  全面落实总体国家安全观，建设更高</w:t>
      </w:r>
    </w:p>
    <w:p>
      <w:pPr>
        <w:overflowPunct w:val="0"/>
        <w:spacing w:line="600" w:lineRule="exact"/>
        <w:jc w:val="center"/>
        <w:rPr>
          <w:rFonts w:ascii="方正小标宋简体" w:hAnsi="黑体" w:eastAsia="方正小标宋简体"/>
          <w:sz w:val="32"/>
          <w:szCs w:val="32"/>
        </w:rPr>
      </w:pPr>
      <w:r>
        <w:rPr>
          <w:rFonts w:hint="eastAsia" w:ascii="方正小标宋简体" w:hAnsi="黑体" w:eastAsia="方正小标宋简体"/>
          <w:sz w:val="32"/>
          <w:szCs w:val="32"/>
        </w:rPr>
        <w:t>水平的平安南阳</w:t>
      </w:r>
    </w:p>
    <w:p>
      <w:pPr>
        <w:spacing w:before="312" w:beforeLines="100" w:after="312" w:afterLines="100" w:line="600" w:lineRule="exact"/>
        <w:ind w:firstLine="641"/>
        <w:rPr>
          <w:rFonts w:ascii="仿宋_GB2312" w:hAnsi="Times New Roman" w:eastAsia="仿宋_GB2312"/>
          <w:kern w:val="0"/>
          <w:sz w:val="32"/>
          <w:szCs w:val="32"/>
        </w:rPr>
      </w:pPr>
      <w:r>
        <w:rPr>
          <w:rFonts w:hint="eastAsia" w:ascii="仿宋_GB2312" w:hAnsi="Times New Roman" w:eastAsia="仿宋_GB2312"/>
          <w:kern w:val="0"/>
          <w:sz w:val="32"/>
          <w:szCs w:val="32"/>
        </w:rPr>
        <w:t>贯彻国家安全战略，统筹传统安全和非传统安全，把安全发展贯穿全市经济社会发展各领域和全过程，着力防范和化解现代化进程中各种风险，筑牢安全防线。</w:t>
      </w:r>
    </w:p>
    <w:p>
      <w:pPr>
        <w:overflowPunct w:val="0"/>
        <w:spacing w:after="312" w:afterLines="100" w:line="600" w:lineRule="exact"/>
        <w:jc w:val="center"/>
        <w:rPr>
          <w:rFonts w:ascii="黑体" w:hAnsi="黑体" w:eastAsia="黑体"/>
          <w:sz w:val="32"/>
          <w:szCs w:val="32"/>
        </w:rPr>
      </w:pPr>
      <w:r>
        <w:rPr>
          <w:rFonts w:hint="eastAsia" w:ascii="黑体" w:hAnsi="黑体" w:eastAsia="黑体"/>
          <w:sz w:val="32"/>
          <w:szCs w:val="32"/>
        </w:rPr>
        <w:t>第四十七章  坚决维护政治安全</w:t>
      </w:r>
    </w:p>
    <w:p>
      <w:pPr>
        <w:spacing w:after="312" w:afterLines="100" w:line="570" w:lineRule="exact"/>
        <w:ind w:firstLine="640" w:firstLineChars="200"/>
        <w:rPr>
          <w:rFonts w:ascii="仿宋_GB2312" w:hAnsi="Times New Roman" w:eastAsia="仿宋_GB2312"/>
          <w:kern w:val="0"/>
          <w:sz w:val="32"/>
          <w:szCs w:val="32"/>
        </w:rPr>
      </w:pPr>
      <w:r>
        <w:rPr>
          <w:rFonts w:hint="eastAsia" w:ascii="仿宋_GB2312" w:hAnsi="Times New Roman" w:eastAsia="仿宋_GB2312"/>
          <w:kern w:val="0"/>
          <w:sz w:val="32"/>
          <w:szCs w:val="32"/>
        </w:rPr>
        <w:t>全面落实国家安全责任制，构建上下贯通的国家安全工作体系和责任体系。完善国家安全审查和监管机制，加强国家安全执法。坚定维护国家政权安全、制度安全、意识形态安全，守好维护政治安全生命线。严格落实意识形态工作责任制，加强各类阵地建设和管理，全面加强网络安全保障体系和能力建设。严密防范和坚决打击敌对势力渗透、破坏、颠覆和分裂活动。依法精准、常态长效推进反恐维稳工作，规划建设反恐训练基地和警察训练中心。坚决遏制非法宗教和邪教滋扰破坏活动。加强国家安全宣传教育，增强全民国家安全意识、保密意识和国防观念，巩固国家安全人民防线。</w:t>
      </w:r>
    </w:p>
    <w:p>
      <w:pPr>
        <w:overflowPunct w:val="0"/>
        <w:spacing w:after="312" w:afterLines="100" w:line="570" w:lineRule="exact"/>
        <w:jc w:val="center"/>
        <w:rPr>
          <w:rFonts w:ascii="黑体" w:hAnsi="黑体" w:eastAsia="黑体"/>
          <w:sz w:val="32"/>
          <w:szCs w:val="32"/>
        </w:rPr>
      </w:pPr>
      <w:r>
        <w:rPr>
          <w:rFonts w:hint="eastAsia" w:ascii="黑体" w:hAnsi="黑体" w:eastAsia="黑体"/>
          <w:sz w:val="32"/>
          <w:szCs w:val="32"/>
        </w:rPr>
        <w:t>第四十八章  坚决确保经济安全</w:t>
      </w:r>
    </w:p>
    <w:p>
      <w:pPr>
        <w:spacing w:after="312" w:afterLines="100" w:line="570" w:lineRule="exact"/>
        <w:ind w:firstLine="640" w:firstLineChars="200"/>
        <w:rPr>
          <w:rFonts w:ascii="仿宋_GB2312" w:hAnsi="Times New Roman" w:eastAsia="仿宋_GB2312"/>
          <w:kern w:val="0"/>
          <w:sz w:val="32"/>
          <w:szCs w:val="32"/>
        </w:rPr>
      </w:pPr>
      <w:r>
        <w:rPr>
          <w:rFonts w:hint="eastAsia" w:ascii="仿宋_GB2312" w:hAnsi="Times New Roman" w:eastAsia="仿宋_GB2312"/>
          <w:kern w:val="0"/>
          <w:sz w:val="32"/>
          <w:szCs w:val="32"/>
        </w:rPr>
        <w:t>加强经济安全风险预警、防控机制和能力建设。实施产业竞争力调查和评价，增强产业链供应链韧性。确保粮食安全，维护生态安全，维护水利、电力、供水、油气、交通、通信、网络等重要基础设施安全。维护新型领域安全，加强对新经济、新业态分析研究，提高对新型风险的识别、预警、防控能力。健全预防、预警、处置、问责制度机制，有效防范化解金融风险，对违法违规行为零容忍。健全执法、司法、法律服务衔接配套的综合保障体系，对涉及企业债务、企业破产等案件，灵活运用执法司法措施，帮助企业渡过难关。对涉众型经济犯罪，加强与金融机构、行业监管部门的协同配合，统筹推进打击违法和维护稳定工作，严防经济金融风险向政治社会领域传导。</w:t>
      </w:r>
    </w:p>
    <w:p>
      <w:pPr>
        <w:overflowPunct w:val="0"/>
        <w:spacing w:after="312" w:afterLines="100" w:line="570" w:lineRule="exact"/>
        <w:jc w:val="center"/>
        <w:rPr>
          <w:rFonts w:ascii="黑体" w:hAnsi="黑体" w:eastAsia="黑体"/>
          <w:sz w:val="32"/>
          <w:szCs w:val="32"/>
        </w:rPr>
      </w:pPr>
      <w:r>
        <w:rPr>
          <w:rFonts w:hint="eastAsia" w:ascii="黑体" w:hAnsi="黑体" w:eastAsia="黑体"/>
          <w:sz w:val="32"/>
          <w:szCs w:val="32"/>
        </w:rPr>
        <w:t>第四十九章  坚决保障人民生命安全</w:t>
      </w:r>
    </w:p>
    <w:p>
      <w:pPr>
        <w:overflowPunct w:val="0"/>
        <w:spacing w:after="312" w:afterLines="100" w:line="600" w:lineRule="exact"/>
        <w:ind w:firstLine="640" w:firstLineChars="200"/>
        <w:rPr>
          <w:rFonts w:ascii="仿宋_GB2312" w:eastAsia="仿宋_GB2312"/>
          <w:sz w:val="32"/>
          <w:szCs w:val="32"/>
        </w:rPr>
      </w:pPr>
      <w:r>
        <w:rPr>
          <w:rFonts w:hint="eastAsia" w:ascii="仿宋_GB2312" w:eastAsia="仿宋_GB2312"/>
          <w:sz w:val="32"/>
          <w:szCs w:val="32"/>
        </w:rPr>
        <w:t>坚持把保护人民生命安全放在第一位，健全隐患排查治理和风险防控体系，织密织牢维护公共安全的防护网和责任网，全面提高公共安全保障能力。完善和落实安全生产责任制，深入开展安全生产专项整治，加强安全生产监管执法，有效遏制危险化学品、矿山、建筑施工、交通、火灾等重特大安全事故。加强特种设备安全综合监督管理。强化生物安全保护，抓好动物疫病防控。加强对寄递物流、危</w:t>
      </w:r>
      <w:r>
        <w:rPr>
          <w:rFonts w:hint="eastAsia" w:ascii="仿宋_GB2312" w:eastAsia="仿宋_GB2312"/>
          <w:spacing w:val="6"/>
          <w:sz w:val="32"/>
          <w:szCs w:val="32"/>
        </w:rPr>
        <w:t>爆物品等行业监管。建立健全药品和疫苗全生命周期管理机制，健全质量标识和全程可追溯制度。加强生物安全风险防控。加强重点领域和高危行业从业人员安全教育，提高社会安全意</w:t>
      </w:r>
      <w:r>
        <w:rPr>
          <w:rFonts w:hint="eastAsia" w:ascii="仿宋_GB2312" w:eastAsia="仿宋_GB2312"/>
          <w:sz w:val="32"/>
          <w:szCs w:val="32"/>
        </w:rPr>
        <w:t>识。</w:t>
      </w:r>
    </w:p>
    <w:p>
      <w:pPr>
        <w:overflowPunct w:val="0"/>
        <w:spacing w:after="312" w:afterLines="100" w:line="600" w:lineRule="exact"/>
        <w:jc w:val="center"/>
        <w:rPr>
          <w:rFonts w:ascii="黑体" w:hAnsi="黑体" w:eastAsia="黑体"/>
          <w:sz w:val="32"/>
          <w:szCs w:val="32"/>
        </w:rPr>
      </w:pPr>
      <w:r>
        <w:rPr>
          <w:rFonts w:hint="eastAsia" w:ascii="黑体" w:hAnsi="黑体" w:eastAsia="黑体"/>
          <w:sz w:val="32"/>
          <w:szCs w:val="32"/>
        </w:rPr>
        <w:t>第五十章 坚决维护社会稳定和安全</w:t>
      </w:r>
    </w:p>
    <w:p>
      <w:pPr>
        <w:overflowPunct w:val="0"/>
        <w:spacing w:after="312" w:afterLines="100" w:line="600" w:lineRule="exact"/>
        <w:ind w:firstLine="640" w:firstLineChars="200"/>
        <w:rPr>
          <w:rFonts w:ascii="仿宋_GB2312" w:eastAsia="仿宋_GB2312"/>
          <w:sz w:val="32"/>
          <w:szCs w:val="32"/>
        </w:rPr>
      </w:pPr>
      <w:r>
        <w:rPr>
          <w:rFonts w:hint="eastAsia" w:ascii="仿宋_GB2312" w:eastAsia="仿宋_GB2312"/>
          <w:sz w:val="32"/>
          <w:szCs w:val="32"/>
        </w:rPr>
        <w:t>扎实推进市域社会治理现代化试点城市建设，提高社会治理现代化水平。完善共建共治共享的社会治理制度，健全党组织领导的自治、法治、德治相结合的城乡基层治理体系，发挥群团组织和社会组织在社会治理中的作用，建设社会治理共同体。加强城乡社区治理和服务体系建设，整合基层社会治理资源，构建网格化管理、精细化服务、信息化支撑、开放共享的基层管理服务平台，推进社会工作服务站乡镇（街道）全覆盖。坚持和发展新时代“枫桥经验”，加强信访矛盾源头防治，完善“一村（格）一警”、村（居）法律顾问长效机制，畅通和规范群众诉求表达、利益协调、权益保障通道，完善各类调解联动工作体系，推进信访制度改革措施落实，完善领导干部接访下访包案制度，把矛盾纠纷化解在基层、消除在萌芽状态。健全社会心理服务体系和危机干预机制。坚持专群结合、群防群治，深化平安创建活动，全面推进市县乡村四级综治中心标准化、实体化建设，深化“雪亮工程”建设，打造立体化、法治化、专业化、智能化的市域社会治安防控体系。坚决防范和打击新型网络犯罪，推动扫黑除恶斗争常态化，强化社会治安重点地区排查整治，保持社会大局安全稳定。</w:t>
      </w:r>
    </w:p>
    <w:p>
      <w:pPr>
        <w:overflowPunct w:val="0"/>
        <w:spacing w:after="312" w:afterLines="100" w:line="600" w:lineRule="exact"/>
        <w:jc w:val="center"/>
        <w:rPr>
          <w:rFonts w:ascii="黑体" w:hAnsi="黑体" w:eastAsia="黑体"/>
          <w:sz w:val="32"/>
          <w:szCs w:val="32"/>
        </w:rPr>
      </w:pPr>
      <w:r>
        <w:rPr>
          <w:rFonts w:hint="eastAsia" w:ascii="黑体" w:hAnsi="黑体" w:eastAsia="黑体"/>
          <w:sz w:val="32"/>
          <w:szCs w:val="32"/>
        </w:rPr>
        <w:t>第五十一章  健全现代应急管理体系</w:t>
      </w:r>
    </w:p>
    <w:p>
      <w:pPr>
        <w:overflowPunct w:val="0"/>
        <w:spacing w:after="312" w:afterLines="100" w:line="600" w:lineRule="exact"/>
        <w:ind w:firstLine="640" w:firstLineChars="200"/>
        <w:rPr>
          <w:rFonts w:ascii="仿宋_GB2312" w:eastAsia="仿宋_GB2312"/>
          <w:sz w:val="32"/>
          <w:szCs w:val="32"/>
        </w:rPr>
      </w:pPr>
      <w:r>
        <w:rPr>
          <w:rFonts w:hint="eastAsia" w:ascii="仿宋_GB2312" w:eastAsia="仿宋_GB2312"/>
          <w:sz w:val="32"/>
          <w:szCs w:val="32"/>
        </w:rPr>
        <w:t>深化应急管理体制改革，完善突发事件应急处置机制，健全分级响应和跨区域跨部门协同联动机制，构建主动保障型公共安全技术评价体系。健全自然灾害风险研判、隐患治理、监测预警和信息共享机制，加强自然灾害风险普查，加大发生机理研究，提升气象灾害、森林火灾、地质灾害、地震等自然灾害防范能力，实施公共基础设施和城市重要基础设施安全加固防护工程，完善全过程自然灾害救助制度。加强应急物资保障，加快应急救援基地、应急物资储备中心、消防训练基地、应急消防、气象科普教育基地建设。推进各行业系统消防管理标准化建设。统筹加强综合性消防救援队伍、行业专业救援队伍、社会化救援队伍建设。融合开展防灾减灾宣传教育，加强应急疏散演练。</w:t>
      </w:r>
    </w:p>
    <w:bookmarkEnd w:id="94"/>
    <w:p>
      <w:pPr>
        <w:pStyle w:val="4"/>
        <w:ind w:firstLine="0" w:firstLineChars="0"/>
        <w:jc w:val="center"/>
        <w:rPr>
          <w:rFonts w:ascii="方正小标宋简体" w:hAnsi="黑体" w:eastAsia="方正小标宋简体" w:cs="仿宋"/>
          <w:szCs w:val="32"/>
        </w:rPr>
      </w:pPr>
      <w:r>
        <w:rPr>
          <w:rFonts w:hint="eastAsia" w:ascii="方正小标宋简体" w:hAnsi="黑体" w:eastAsia="方正小标宋简体" w:cs="仿宋"/>
          <w:szCs w:val="32"/>
        </w:rPr>
        <w:t>第十五篇  加强社会主义民主法治建设，完善权力</w:t>
      </w:r>
    </w:p>
    <w:p>
      <w:pPr>
        <w:pStyle w:val="4"/>
        <w:ind w:firstLine="0" w:firstLineChars="0"/>
        <w:jc w:val="center"/>
        <w:rPr>
          <w:rFonts w:ascii="方正小标宋简体" w:hAnsi="黑体" w:eastAsia="方正小标宋简体" w:cs="仿宋"/>
          <w:szCs w:val="32"/>
        </w:rPr>
      </w:pPr>
      <w:r>
        <w:rPr>
          <w:rFonts w:hint="eastAsia" w:ascii="方正小标宋简体" w:hAnsi="黑体" w:eastAsia="方正小标宋简体" w:cs="仿宋"/>
          <w:szCs w:val="32"/>
        </w:rPr>
        <w:t>运行监督机制</w:t>
      </w:r>
    </w:p>
    <w:p>
      <w:pPr>
        <w:overflowPunct w:val="0"/>
        <w:spacing w:before="312" w:beforeLines="100" w:after="312" w:afterLines="100" w:line="600" w:lineRule="exact"/>
        <w:ind w:firstLine="640" w:firstLineChars="200"/>
        <w:rPr>
          <w:rFonts w:ascii="仿宋_GB2312" w:eastAsia="仿宋_GB2312"/>
          <w:sz w:val="32"/>
          <w:szCs w:val="32"/>
        </w:rPr>
      </w:pPr>
      <w:r>
        <w:rPr>
          <w:rFonts w:hint="eastAsia" w:ascii="仿宋_GB2312" w:eastAsia="仿宋_GB2312"/>
          <w:sz w:val="32"/>
          <w:szCs w:val="32"/>
        </w:rPr>
        <w:t>坚持中国共产党领导、人民当家做主、依法治国有机统一，坚定不移走中国特色社会主义政治发展道路，巩固和发展生动活泼、安定团结的政治局面。</w:t>
      </w:r>
    </w:p>
    <w:p>
      <w:pPr>
        <w:overflowPunct w:val="0"/>
        <w:spacing w:after="312" w:afterLines="100" w:line="600" w:lineRule="exact"/>
        <w:jc w:val="center"/>
        <w:rPr>
          <w:rFonts w:ascii="黑体" w:hAnsi="黑体" w:eastAsia="黑体"/>
          <w:sz w:val="32"/>
          <w:szCs w:val="32"/>
        </w:rPr>
      </w:pPr>
      <w:r>
        <w:rPr>
          <w:rFonts w:hint="eastAsia" w:ascii="黑体" w:hAnsi="黑体" w:eastAsia="黑体"/>
          <w:sz w:val="32"/>
          <w:szCs w:val="32"/>
        </w:rPr>
        <w:t>第五十二章  发展社会主义民主</w:t>
      </w:r>
    </w:p>
    <w:p>
      <w:pPr>
        <w:overflowPunct w:val="0"/>
        <w:spacing w:after="312" w:afterLines="100" w:line="600" w:lineRule="exact"/>
        <w:ind w:firstLine="640" w:firstLineChars="200"/>
        <w:rPr>
          <w:rFonts w:ascii="仿宋_GB2312" w:eastAsia="仿宋_GB2312"/>
          <w:sz w:val="32"/>
          <w:szCs w:val="32"/>
        </w:rPr>
      </w:pPr>
      <w:r>
        <w:rPr>
          <w:rFonts w:hint="eastAsia" w:ascii="仿宋_GB2312" w:eastAsia="仿宋_GB2312"/>
          <w:sz w:val="32"/>
          <w:szCs w:val="32"/>
        </w:rPr>
        <w:t>坚持和完善人民代表大会制度,构建市县人大“</w:t>
      </w:r>
      <w:r>
        <w:rPr>
          <w:rFonts w:ascii="仿宋_GB2312" w:eastAsia="仿宋_GB2312"/>
          <w:sz w:val="32"/>
          <w:szCs w:val="32"/>
        </w:rPr>
        <w:t>1+3</w:t>
      </w:r>
      <w:r>
        <w:rPr>
          <w:rFonts w:hint="eastAsia" w:ascii="仿宋_GB2312" w:eastAsia="仿宋_GB2312"/>
          <w:sz w:val="32"/>
          <w:szCs w:val="32"/>
        </w:rPr>
        <w:t>”基本履职新格局，加强人大对“一府一委两院”的监督,密切人大代表同人民群众的联系,保障人民依法通过各种途径和形式管理国家事务、管理经济文化事业、管理社会事务。坚持和完善中国共产党领导的多党合作和政治协商制度,构建“</w:t>
      </w:r>
      <w:r>
        <w:rPr>
          <w:rFonts w:ascii="仿宋_GB2312" w:eastAsia="仿宋_GB2312"/>
          <w:sz w:val="32"/>
          <w:szCs w:val="32"/>
        </w:rPr>
        <w:t>1+3+N</w:t>
      </w:r>
      <w:r>
        <w:rPr>
          <w:rFonts w:hint="eastAsia" w:ascii="仿宋_GB2312" w:eastAsia="仿宋_GB2312"/>
          <w:sz w:val="32"/>
          <w:szCs w:val="32"/>
        </w:rPr>
        <w:t>”</w:t>
      </w:r>
      <w:r>
        <w:rPr>
          <w:rFonts w:ascii="仿宋_GB2312" w:eastAsia="仿宋_GB2312"/>
          <w:sz w:val="32"/>
          <w:szCs w:val="32"/>
        </w:rPr>
        <w:t>新时代市县政协新格局，</w:t>
      </w:r>
      <w:r>
        <w:rPr>
          <w:rFonts w:hint="eastAsia" w:ascii="仿宋_GB2312" w:eastAsia="仿宋_GB2312"/>
          <w:sz w:val="32"/>
          <w:szCs w:val="32"/>
        </w:rPr>
        <w:t>加强人民政协专门协商机构建设,充分发挥民主党派、工商联和无党派人士作用,推进协商民主广泛、多层、制度化发展。全面贯彻党的民族政策,筑牢中华民族共同体意识。全面贯彻党的宗教工作基本方针,引导宗教与社会主义社会相适应。完善大统战工作格局，加强与民主党派和无党派人士的合作共事，加强对党外知识分子、非公有制经济人士、新的社会阶层人士的团结引导工作，广泛汇聚港澳台同胞、海外侨胞的智慧和力量，深入开展“同心联结”活动，巩固和发展大团结大联合局面。充分发挥工会、共青团、妇联等人民团体作用,全面贯彻党的侨务政策,做好新时代港澳和对台工作。</w:t>
      </w:r>
    </w:p>
    <w:p>
      <w:pPr>
        <w:spacing w:after="312" w:afterLines="100" w:line="600" w:lineRule="exact"/>
        <w:jc w:val="center"/>
        <w:rPr>
          <w:rFonts w:ascii="黑体" w:hAnsi="黑体" w:eastAsia="黑体" w:cs="楷体_GB2312"/>
          <w:bCs/>
          <w:kern w:val="0"/>
          <w:sz w:val="32"/>
          <w:szCs w:val="32"/>
        </w:rPr>
      </w:pPr>
      <w:r>
        <w:rPr>
          <w:rFonts w:hint="eastAsia" w:ascii="黑体" w:hAnsi="黑体" w:eastAsia="黑体" w:cs="楷体_GB2312"/>
          <w:bCs/>
          <w:kern w:val="0"/>
          <w:sz w:val="32"/>
          <w:szCs w:val="32"/>
        </w:rPr>
        <w:t>第五十三章  全面推进依法治市</w:t>
      </w:r>
    </w:p>
    <w:p>
      <w:pPr>
        <w:overflowPunct w:val="0"/>
        <w:spacing w:after="312" w:afterLines="100" w:line="600" w:lineRule="exact"/>
        <w:ind w:firstLine="640" w:firstLineChars="200"/>
        <w:rPr>
          <w:rFonts w:ascii="仿宋_GB2312" w:eastAsia="仿宋_GB2312"/>
          <w:sz w:val="32"/>
          <w:szCs w:val="32"/>
        </w:rPr>
      </w:pPr>
      <w:r>
        <w:rPr>
          <w:rFonts w:hint="eastAsia" w:ascii="仿宋_GB2312" w:eastAsia="仿宋_GB2312"/>
          <w:sz w:val="32"/>
          <w:szCs w:val="32"/>
        </w:rPr>
        <w:t>深入贯彻习近平法治思想,牢固树立尊崇宪法意识，一体推进法治南阳、法治政府、法治社会建设。完善依法治市工作推进机制,运用法治思维和法治方式深化改革、推动发展、化解矛盾、维护稳定、应对风险。加强重点领域、新兴领域地方立法,完善地方性法规规章体系。严格规范公正文明执法,深入推进服务型执法,规范执法自由裁量权,推进行政复议体制改革。深化司法责任制综合配套改革，加强司法制约监督，确保司法公正高效权威。弘扬社会主义法治精神，深入推进普法工作，提升全民法治意识和法治素养。加强青少年法治教育，营造尊法学法守法用法的社会风尚。深化公共法律服务体系建设，扩大法律援助范围。弘扬社会主义法治精神，有效发挥法治固根本、稳预期、利长远的保障作用。</w:t>
      </w:r>
    </w:p>
    <w:p>
      <w:pPr>
        <w:spacing w:after="312" w:afterLines="100" w:line="600" w:lineRule="exact"/>
        <w:jc w:val="center"/>
        <w:rPr>
          <w:rFonts w:ascii="黑体" w:hAnsi="黑体" w:eastAsia="黑体" w:cs="楷体_GB2312"/>
          <w:bCs/>
          <w:kern w:val="0"/>
          <w:sz w:val="32"/>
          <w:szCs w:val="32"/>
        </w:rPr>
      </w:pPr>
      <w:r>
        <w:rPr>
          <w:rFonts w:hint="eastAsia" w:ascii="黑体" w:hAnsi="黑体" w:eastAsia="黑体" w:cs="楷体_GB2312"/>
          <w:bCs/>
          <w:kern w:val="0"/>
          <w:sz w:val="32"/>
          <w:szCs w:val="32"/>
        </w:rPr>
        <w:t>第五十四章  完善权力运行制约和监督机制</w:t>
      </w:r>
    </w:p>
    <w:p>
      <w:pPr>
        <w:spacing w:after="312" w:afterLines="100" w:line="600" w:lineRule="exact"/>
        <w:ind w:firstLine="640" w:firstLineChars="200"/>
        <w:rPr>
          <w:rFonts w:ascii="方正小标宋简体" w:hAnsi="黑体" w:eastAsia="方正小标宋简体" w:cs="黑体"/>
          <w:sz w:val="32"/>
          <w:szCs w:val="32"/>
        </w:rPr>
      </w:pPr>
      <w:r>
        <w:rPr>
          <w:rFonts w:hint="eastAsia" w:ascii="仿宋_GB2312" w:eastAsia="仿宋_GB2312"/>
          <w:sz w:val="32"/>
          <w:szCs w:val="32"/>
        </w:rPr>
        <w:t>健全党统一领导、全面覆盖、权威高效的监督体系，强化对权力运行的制约和监督，完善监察权、审判权、检察权运行和监督机制。健全分事行权、分岗设权、分级授权、定期轮岗制度，完善党务、政务、司法和各领域办事公开制度，建立权力运行可查询、可追溯的反馈机制，完善全覆盖的制度执行监督机制。深化重点领域监督机制改革和制度建设，强化政治监督，深入推进纪律、监察、巡视、派驻等四项监督全覆盖，加强党内监督与人大、民主、行政、司法、审计、财会、统计、群众、舆论等监督统筹衔接，促进治理效能全面提升</w:t>
      </w:r>
      <w:r>
        <w:rPr>
          <w:rFonts w:hint="eastAsia" w:ascii="方正小标宋简体" w:hAnsi="黑体" w:eastAsia="方正小标宋简体" w:cs="黑体"/>
          <w:sz w:val="32"/>
          <w:szCs w:val="32"/>
        </w:rPr>
        <w:t>。</w:t>
      </w:r>
    </w:p>
    <w:p>
      <w:pPr>
        <w:spacing w:after="312" w:afterLines="100" w:line="600" w:lineRule="exact"/>
        <w:jc w:val="center"/>
        <w:rPr>
          <w:rFonts w:ascii="方正小标宋简体" w:hAnsi="黑体" w:eastAsia="方正小标宋简体" w:cs="黑体"/>
          <w:sz w:val="32"/>
          <w:szCs w:val="32"/>
        </w:rPr>
      </w:pPr>
      <w:r>
        <w:rPr>
          <w:rFonts w:hint="eastAsia" w:ascii="方正小标宋简体" w:hAnsi="黑体" w:eastAsia="方正小标宋简体" w:cs="黑体"/>
          <w:sz w:val="32"/>
          <w:szCs w:val="32"/>
        </w:rPr>
        <w:t>第十六篇  加强规划实施保障</w:t>
      </w:r>
    </w:p>
    <w:p>
      <w:pPr>
        <w:overflowPunct w:val="0"/>
        <w:spacing w:after="312" w:afterLines="100" w:line="600" w:lineRule="exact"/>
        <w:ind w:firstLine="640" w:firstLineChars="200"/>
        <w:rPr>
          <w:rFonts w:ascii="仿宋_GB2312" w:eastAsia="仿宋_GB2312"/>
          <w:sz w:val="32"/>
          <w:szCs w:val="32"/>
        </w:rPr>
      </w:pPr>
      <w:r>
        <w:rPr>
          <w:rFonts w:hint="eastAsia" w:ascii="仿宋_GB2312" w:eastAsia="仿宋_GB2312"/>
          <w:sz w:val="32"/>
          <w:szCs w:val="32"/>
        </w:rPr>
        <w:t>全面建设社会主义现代化南阳，关键在党。必须加强党的集中统一领导，抓实抓细党的建设高质量工作体系，持续营造学的氛围、干的氛围、严的氛围，更好地把方向、谋大局、定政策、促改革，更好地统一思想、凝聚共识，形成推动高质量发展的强大合力。</w:t>
      </w:r>
    </w:p>
    <w:p>
      <w:pPr>
        <w:spacing w:after="312" w:afterLines="100" w:line="600" w:lineRule="exact"/>
        <w:jc w:val="center"/>
        <w:rPr>
          <w:rFonts w:ascii="黑体" w:hAnsi="黑体" w:eastAsia="黑体" w:cs="楷体_GB2312"/>
          <w:bCs/>
          <w:kern w:val="0"/>
          <w:sz w:val="32"/>
          <w:szCs w:val="32"/>
        </w:rPr>
      </w:pPr>
      <w:r>
        <w:rPr>
          <w:rFonts w:hint="eastAsia" w:ascii="黑体" w:hAnsi="黑体" w:eastAsia="黑体" w:cs="楷体_GB2312"/>
          <w:bCs/>
          <w:kern w:val="0"/>
          <w:sz w:val="32"/>
          <w:szCs w:val="32"/>
        </w:rPr>
        <w:t>第五十五章 坚持和完善党领导经济社会发展的体制机制</w:t>
      </w:r>
    </w:p>
    <w:p>
      <w:pPr>
        <w:overflowPunct w:val="0"/>
        <w:spacing w:after="312" w:afterLines="100" w:line="600" w:lineRule="exact"/>
        <w:ind w:firstLine="640" w:firstLineChars="200"/>
        <w:rPr>
          <w:rFonts w:ascii="仿宋_GB2312" w:eastAsia="仿宋_GB2312"/>
          <w:sz w:val="32"/>
          <w:szCs w:val="32"/>
        </w:rPr>
      </w:pPr>
      <w:r>
        <w:rPr>
          <w:rFonts w:hint="eastAsia" w:ascii="仿宋_GB2312" w:eastAsia="仿宋_GB2312"/>
          <w:sz w:val="32"/>
          <w:szCs w:val="32"/>
        </w:rPr>
        <w:t>深入学习运用中国共产党一百年的宝贵经验，把党的领导贯穿到经济社会发展全过程、各方面，完善上下贯通、决策科学、执行高效的组织体系。强化党对经济工作的集中统一领导，健全党委议事协调机构谋大事抓大事机制，完善党委定期分析经济社会发展形势、研究经济社会发展战略和重大政策举措制度，加强全局性重大工作的过程监测和实时调度。建立健全推动高质量发展的指标体系、政策体系、标准体系、统计体系和绩效评价制度、政绩考核制度，强化跟踪督查、评估分析、结果运用，确保责任落实、措施落实、任务落实。</w:t>
      </w:r>
    </w:p>
    <w:p>
      <w:pPr>
        <w:spacing w:after="312" w:afterLines="100" w:line="600" w:lineRule="exact"/>
        <w:jc w:val="center"/>
        <w:rPr>
          <w:rFonts w:ascii="黑体" w:hAnsi="黑体" w:eastAsia="黑体" w:cs="楷体_GB2312"/>
          <w:bCs/>
          <w:kern w:val="0"/>
          <w:sz w:val="32"/>
          <w:szCs w:val="32"/>
        </w:rPr>
      </w:pPr>
      <w:r>
        <w:rPr>
          <w:rFonts w:hint="eastAsia" w:ascii="黑体" w:hAnsi="黑体" w:eastAsia="黑体" w:cs="楷体_GB2312"/>
          <w:bCs/>
          <w:kern w:val="0"/>
          <w:sz w:val="32"/>
          <w:szCs w:val="32"/>
        </w:rPr>
        <w:t>第五十六章  全面加强党的建设</w:t>
      </w:r>
    </w:p>
    <w:p>
      <w:pPr>
        <w:overflowPunct w:val="0"/>
        <w:spacing w:after="312" w:afterLines="100" w:line="600" w:lineRule="exact"/>
        <w:ind w:firstLine="640" w:firstLineChars="200"/>
        <w:rPr>
          <w:rFonts w:ascii="仿宋_GB2312" w:eastAsia="仿宋_GB2312"/>
          <w:sz w:val="32"/>
          <w:szCs w:val="32"/>
        </w:rPr>
      </w:pPr>
      <w:r>
        <w:rPr>
          <w:rFonts w:hint="eastAsia" w:ascii="仿宋_GB2312" w:eastAsia="仿宋_GB2312"/>
          <w:sz w:val="32"/>
          <w:szCs w:val="32"/>
        </w:rPr>
        <w:t>落实全面从严治党主体责任、监督责任，以政治建设为统领，加强根本建设、基础建设、长远建设，提高党的建设质量。巩固深化“不忘初心、牢记使命”主题教育成果，贯通运用“五种学习方式”，推动广大党员干部深入学习贯彻习近平新时代中国特色社会主义思想，增强“四个意识”、坚定“四个自信”、做到“两个维护”，确保习近平总书记重大要求和党中央、省委各项决策部署落到实处。贯彻新时代党的组织路线，坚持好干部标准，在马克思主义实践观和群众观的交叉点上识别选用干部，激励保护干部干事创业，推动各级党员干部加强思想淬炼、政治历练、实践锻炼、专业训练，大力建设高素质专业化干部队伍。持续大抓基层、大抓基础，强化带头人队伍建设，建强基层党组织。深化拓展全域党建，推动基层党建工作与中心工作互融共促。坚持严的主基调，锲而不舍落实中央八项规定精神，持续纠治形式主义、官僚主义，倡树“五比五不比”“五转五带头”，落实“三个一”工作机制，推动改进作风和基层减负常态化。加强政治监督，强化对公权力运行的制约和监督，深化“以案促改”，一体推进不敢腐、不能腐、不想腐，巩固发展风清气正的政治生态。</w:t>
      </w:r>
    </w:p>
    <w:p>
      <w:pPr>
        <w:spacing w:after="312" w:afterLines="100" w:line="600" w:lineRule="exact"/>
        <w:jc w:val="center"/>
        <w:rPr>
          <w:rFonts w:ascii="黑体" w:hAnsi="黑体" w:eastAsia="黑体" w:cs="楷体_GB2312"/>
          <w:bCs/>
          <w:kern w:val="0"/>
          <w:sz w:val="32"/>
          <w:szCs w:val="32"/>
        </w:rPr>
      </w:pPr>
      <w:r>
        <w:rPr>
          <w:rFonts w:hint="eastAsia" w:ascii="黑体" w:hAnsi="黑体" w:eastAsia="黑体" w:cs="楷体_GB2312"/>
          <w:bCs/>
          <w:kern w:val="0"/>
          <w:sz w:val="32"/>
          <w:szCs w:val="32"/>
        </w:rPr>
        <w:t>第五十七章  建立统一规划体系</w:t>
      </w:r>
    </w:p>
    <w:p>
      <w:pPr>
        <w:overflowPunct w:val="0"/>
        <w:spacing w:after="312" w:afterLines="100" w:line="600" w:lineRule="exact"/>
        <w:ind w:firstLine="640" w:firstLineChars="200"/>
        <w:rPr>
          <w:rFonts w:ascii="仿宋_GB2312" w:eastAsia="仿宋_GB2312"/>
          <w:sz w:val="32"/>
          <w:szCs w:val="32"/>
        </w:rPr>
      </w:pPr>
      <w:r>
        <w:rPr>
          <w:rFonts w:hint="eastAsia" w:ascii="仿宋_GB2312" w:eastAsia="仿宋_GB2312"/>
          <w:sz w:val="32"/>
          <w:szCs w:val="32"/>
        </w:rPr>
        <w:t>突出发展规划统领作用，强化国土空间规划的基础作用和专项规划、区域规划的支撑作用，健全规划目录清单、编制备案、衔接协调等管理制度。按照本规划明确的战略行动、重点举措、主要任务和市级国土空间规划确定的国土空间开发保护要求，制定实施重点区域规划、重点领域专项规划或实施方案，明确保障空间和细化落实时间表路线图。建设规划综合管理信息平台，将市级各类规划和县级发展规划纳入统一管理并进行衔接备案，确保各级各类规划与本规划在主要目标、发展方向、总体布局、重大政策、重大工程、风险防控等方面协调一致，形成贯彻落实合力。</w:t>
      </w:r>
    </w:p>
    <w:p>
      <w:pPr>
        <w:spacing w:after="312" w:afterLines="100" w:line="600" w:lineRule="exact"/>
        <w:jc w:val="center"/>
        <w:rPr>
          <w:rFonts w:ascii="黑体" w:hAnsi="黑体" w:eastAsia="黑体" w:cs="楷体_GB2312"/>
          <w:bCs/>
          <w:kern w:val="0"/>
          <w:sz w:val="32"/>
          <w:szCs w:val="32"/>
        </w:rPr>
      </w:pPr>
      <w:bookmarkStart w:id="95" w:name="_Toc452298451"/>
      <w:bookmarkStart w:id="96" w:name="_Toc450810652"/>
      <w:bookmarkStart w:id="97" w:name="_Toc439969497"/>
      <w:r>
        <w:rPr>
          <w:rFonts w:hint="eastAsia" w:ascii="黑体" w:hAnsi="黑体" w:eastAsia="黑体" w:cs="楷体_GB2312"/>
          <w:bCs/>
          <w:kern w:val="0"/>
          <w:sz w:val="32"/>
          <w:szCs w:val="32"/>
        </w:rPr>
        <w:t xml:space="preserve">第五十八章  </w:t>
      </w:r>
      <w:bookmarkEnd w:id="95"/>
      <w:bookmarkEnd w:id="96"/>
      <w:bookmarkEnd w:id="97"/>
      <w:r>
        <w:rPr>
          <w:rFonts w:hint="eastAsia" w:ascii="黑体" w:hAnsi="黑体" w:eastAsia="黑体" w:cs="楷体_GB2312"/>
          <w:bCs/>
          <w:kern w:val="0"/>
          <w:sz w:val="32"/>
          <w:szCs w:val="32"/>
        </w:rPr>
        <w:t>完善规划实施机制</w:t>
      </w:r>
    </w:p>
    <w:p>
      <w:pPr>
        <w:overflowPunct w:val="0"/>
        <w:spacing w:line="600" w:lineRule="exact"/>
        <w:ind w:firstLine="640" w:firstLineChars="200"/>
        <w:rPr>
          <w:rFonts w:ascii="仿宋_GB2312" w:eastAsia="仿宋_GB2312"/>
          <w:sz w:val="32"/>
          <w:szCs w:val="32"/>
        </w:rPr>
      </w:pPr>
      <w:r>
        <w:rPr>
          <w:rFonts w:hint="eastAsia" w:ascii="仿宋_GB2312" w:eastAsia="仿宋_GB2312"/>
          <w:sz w:val="32"/>
          <w:szCs w:val="32"/>
        </w:rPr>
        <w:t>制定本规划实施任务分工方案，细化落实规划实施责任，建立约束性指标和重大工程项目、重大政策、重大改革举措推进落实机制，加强综合督查和考核问责，确保如期完成。将本规划确定的主要指标分解纳入年度计划指标体系，设置年度目标并做好年度间综合平衡，合理确定年度工作重点。健全规划政策协调机制，加强中期财政规划和年度预算、政府投资、土地供应、融资配套、要素保障等政策与本规划实施的衔接协调，财政性资金和资源要素优先投向本规划确定的重大任务和重大工程项目。开展规划实施情况动态监测、中期评估和总结评估，依法向市人大常委会报告规划实施情况，自觉接受人大监督、审计监督、社会监督。</w:t>
      </w:r>
    </w:p>
    <w:p>
      <w:pPr>
        <w:overflowPunct w:val="0"/>
        <w:spacing w:line="600" w:lineRule="exact"/>
        <w:ind w:firstLine="640" w:firstLineChars="200"/>
        <w:rPr>
          <w:rFonts w:ascii="仿宋_GB2312" w:eastAsia="仿宋_GB2312"/>
          <w:sz w:val="32"/>
          <w:szCs w:val="32"/>
        </w:rPr>
      </w:pPr>
    </w:p>
    <w:p>
      <w:pPr>
        <w:overflowPunct w:val="0"/>
        <w:spacing w:line="600" w:lineRule="exact"/>
        <w:ind w:firstLine="640" w:firstLineChars="200"/>
        <w:rPr>
          <w:rFonts w:ascii="仿宋_GB2312" w:eastAsia="仿宋_GB2312"/>
          <w:sz w:val="32"/>
          <w:szCs w:val="32"/>
        </w:rPr>
      </w:pPr>
      <w:r>
        <w:rPr>
          <w:rFonts w:hint="eastAsia" w:ascii="仿宋_GB2312" w:eastAsia="仿宋_GB2312"/>
          <w:sz w:val="32"/>
          <w:szCs w:val="32"/>
        </w:rPr>
        <w:t>实现“十四五”规划和二〇三五年远景目标，</w:t>
      </w:r>
      <w:r>
        <w:rPr>
          <w:rFonts w:ascii="仿宋_GB2312" w:eastAsia="仿宋_GB2312"/>
          <w:sz w:val="32"/>
          <w:szCs w:val="32"/>
        </w:rPr>
        <w:t>任务艰巨</w:t>
      </w:r>
      <w:r>
        <w:rPr>
          <w:rFonts w:hint="eastAsia" w:ascii="仿宋_GB2312" w:eastAsia="仿宋_GB2312"/>
          <w:sz w:val="32"/>
          <w:szCs w:val="32"/>
        </w:rPr>
        <w:t>，使命光荣，责任重大。全市各级党组织和党员干部群众要紧密团结在以习近平同志为核心的党中央周围，用心工作、务实重干，乘势而上、奋勇争先，全力打造新兴区域经济中心，全面建设社会主义现代化南阳，为助力中原更加出彩而努力奋斗！</w:t>
      </w:r>
    </w:p>
    <w:sectPr>
      <w:footerReference r:id="rId5" w:type="default"/>
      <w:pgSz w:w="11906" w:h="16838"/>
      <w:pgMar w:top="2098" w:right="1474" w:bottom="1985" w:left="1588" w:header="851" w:footer="1162" w:gutter="170"/>
      <w:pgNumType w:start="2"/>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44692AA-0B43-4EF1-B789-E09E31914EE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BEBE2C6A-EEAE-403B-A917-EF22EFA04D89}"/>
  </w:font>
  <w:font w:name="Arial">
    <w:panose1 w:val="020B0604020202020204"/>
    <w:charset w:val="00"/>
    <w:family w:val="swiss"/>
    <w:pitch w:val="default"/>
    <w:sig w:usb0="E0002AFF" w:usb1="C0007843" w:usb2="00000009" w:usb3="00000000" w:csb0="400001FF" w:csb1="FFFF0000"/>
    <w:embedRegular r:id="rId3" w:fontKey="{8131509D-AA42-4938-B0AF-5683D3663765}"/>
  </w:font>
  <w:font w:name="仿宋_GB2312">
    <w:panose1 w:val="02010609030101010101"/>
    <w:charset w:val="86"/>
    <w:family w:val="modern"/>
    <w:pitch w:val="default"/>
    <w:sig w:usb0="00000000" w:usb1="00000000" w:usb2="00000000" w:usb3="00000000" w:csb0="00000000" w:csb1="00000000"/>
    <w:embedRegular r:id="rId4" w:fontKey="{8534FB4F-08BD-44AE-8869-7BC51E7BE9EF}"/>
  </w:font>
  <w:font w:name="Courier New">
    <w:panose1 w:val="02070309020205020404"/>
    <w:charset w:val="00"/>
    <w:family w:val="modern"/>
    <w:pitch w:val="default"/>
    <w:sig w:usb0="E0002AFF" w:usb1="C0007843" w:usb2="00000009" w:usb3="00000000" w:csb0="400001FF" w:csb1="FFFF0000"/>
  </w:font>
  <w:font w:name="楷体_GB2312">
    <w:panose1 w:val="02010609030101010101"/>
    <w:charset w:val="86"/>
    <w:family w:val="modern"/>
    <w:pitch w:val="default"/>
    <w:sig w:usb0="00000000" w:usb1="00000000" w:usb2="00000000" w:usb3="00000000" w:csb0="00000000" w:csb1="00000000"/>
    <w:embedRegular r:id="rId5" w:fontKey="{6572507B-8834-411C-AC16-0BA34C1F3E1F}"/>
  </w:font>
  <w:font w:name="仿宋">
    <w:panose1 w:val="02010609060101010101"/>
    <w:charset w:val="86"/>
    <w:family w:val="modern"/>
    <w:pitch w:val="default"/>
    <w:sig w:usb0="800002BF" w:usb1="38CF7CFA" w:usb2="00000016" w:usb3="00000000" w:csb0="00040001" w:csb1="00000000"/>
    <w:embedRegular r:id="rId6" w:fontKey="{CA7A6231-4A65-4363-B8CB-2A8B74C0B299}"/>
  </w:font>
  <w:font w:name="方正小标宋简体">
    <w:panose1 w:val="03000509000000000000"/>
    <w:charset w:val="86"/>
    <w:family w:val="script"/>
    <w:pitch w:val="default"/>
    <w:sig w:usb0="00000000" w:usb1="00000000" w:usb2="00000000" w:usb3="00000000" w:csb0="00000000" w:csb1="00000000"/>
    <w:embedRegular r:id="rId7" w:fontKey="{30CFC31E-8798-42C1-BABD-C18FA62A7F19}"/>
  </w:font>
  <w:font w:name="等线">
    <w:altName w:val="微软雅黑"/>
    <w:panose1 w:val="00000000000000000000"/>
    <w:charset w:val="86"/>
    <w:family w:val="auto"/>
    <w:pitch w:val="default"/>
    <w:sig w:usb0="00000000" w:usb1="00000000" w:usb2="00000016" w:usb3="00000000" w:csb0="0004000F" w:csb1="00000000"/>
    <w:embedRegular r:id="rId8" w:fontKey="{9F1B81FD-DCCE-442B-BF43-08426C76FEA6}"/>
  </w:font>
  <w:font w:name="微软雅黑">
    <w:panose1 w:val="020B0503020204020204"/>
    <w:charset w:val="86"/>
    <w:family w:val="auto"/>
    <w:pitch w:val="default"/>
    <w:sig w:usb0="80000287" w:usb1="280F3C52" w:usb2="00000016" w:usb3="00000000" w:csb0="0004001F" w:csb1="00000000"/>
    <w:embedRegular r:id="rId9" w:fontKey="{E06D16F3-E1FC-4A94-ACDE-A4767EAD3A95}"/>
  </w:font>
  <w:font w:name="楷体">
    <w:panose1 w:val="02010609060101010101"/>
    <w:charset w:val="86"/>
    <w:family w:val="modern"/>
    <w:pitch w:val="default"/>
    <w:sig w:usb0="800002BF" w:usb1="38CF7CFA" w:usb2="00000016" w:usb3="00000000" w:csb0="00040001" w:csb1="00000000"/>
    <w:embedRegular r:id="rId10" w:fontKey="{254ECF88-89F3-4EF4-BC7D-161A05F147B3}"/>
  </w:font>
  <w:font w:name="Adobe 楷体 Std R">
    <w:altName w:val="楷体_GB2312"/>
    <w:panose1 w:val="00000000000000000000"/>
    <w:charset w:val="86"/>
    <w:family w:val="auto"/>
    <w:pitch w:val="default"/>
    <w:sig w:usb0="00000000" w:usb1="00000000" w:usb2="00000010" w:usb3="00000000" w:csb0="00040000" w:csb1="00000000"/>
    <w:embedRegular r:id="rId11" w:fontKey="{282BB8D6-555D-484E-B187-8F556D223F53}"/>
  </w:font>
  <w:font w:name="新宋体">
    <w:panose1 w:val="02010609030101010101"/>
    <w:charset w:val="86"/>
    <w:family w:val="modern"/>
    <w:pitch w:val="default"/>
    <w:sig w:usb0="00000003" w:usb1="288F0000" w:usb2="00000006" w:usb3="00000000" w:csb0="00040001" w:csb1="00000000"/>
    <w:embedRegular r:id="rId12" w:fontKey="{B3C0F2FA-D54B-4B7C-9415-662A549A94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pict>
        <v:shape id="文本框 5" o:spid="_x0000_s3073" o:spt="202" type="#_x0000_t202" style="position:absolute;left:0pt;margin-top:0pt;height:144pt;width:144pt;mso-position-horizontal:outside;mso-position-horizontal-relative:margin;mso-wrap-style:non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OEywEAAG0DAAAOAAAAZHJzL2Uyb0RvYy54bWysU8GO0zAQvSPtP1i+b5ON1FWJ6q6A1a6Q&#10;ECAtfIDr2I0l22PZ3iblA+APOHHhznf1O3bsNF0EN8TFGXtm3rw3M1nfjNaQvQxRg2P0alFTIp2A&#10;Trsdo58/3V2uKImJu44bcJLRg4z0ZnPxYj34VjbQg+lkIAjiYjt4RvuUfFtVUfTS8rgALx06FQTL&#10;E17DruoCHxDdmqqp6+tqgND5AELGiK+3k5NuCr5SUqQPSkWZiGEUuaVyhnJu81lt1rzdBe57LU40&#10;+D+wsFw7LHqGuuWJk8eg/4KyWgSIoNJCgK1AKS1k0YBqruo/1Dz03MuiBZsT/blN8f/Bivf7j4Ho&#10;jtGGEsctjuj4/dvxx6/jz69kmdsz+Nhi1IPHuDS+hhHHPL9HfMyqRxVs/qIegn5s9OHcXDkmInLS&#10;qlmtanQJ9M0XxK+e032I6V6CJdlgNOD0SlP5/l1MU+gckqs5uNPGlAkaRwZGXy6bZUk4exDcOKyR&#10;RUxks5XG7XhStoXugMJwg7FgD+ELJQNuA6MO15US89Zhs/PizEaYje1scCcwkdFEyWS+SWXBMsXo&#10;Xz0mpFnY59JTvRMjnGnRf9q/vDS/30vU81+yeQIAAP//AwBQSwMEFAAGAAgAAAAhAAxK8O7WAAAA&#10;BQEAAA8AAABkcnMvZG93bnJldi54bWxMj0FrwzAMhe+D/gejwm6r0x62kMUppdBLb+vGYDc3VuMw&#10;Ww62myb/ftoYbBehxxNP36u3k3dixJj6QArWqwIEUhtMT52Ct9fDQwkiZU1Gu0CoYMYE22ZxV+vK&#10;hBu94HjKneAQSpVWYHMeKilTa9HrtAoDEnuXEL3OLGMnTdQ3DvdOboriUXrdE3+wesC9xfbzdPUK&#10;nqb3gEPCPX5cxjbafi7dcVbqfjntnkFknPLfMXzjMzo0zHQOVzJJOAVcJP9M9jZlyfL8u8imlv/p&#10;my8AAAD//wMAUEsBAi0AFAAGAAgAAAAhALaDOJL+AAAA4QEAABMAAAAAAAAAAAAAAAAAAAAAAFtD&#10;b250ZW50X1R5cGVzXS54bWxQSwECLQAUAAYACAAAACEAOP0h/9YAAACUAQAACwAAAAAAAAAAAAAA&#10;AAAvAQAAX3JlbHMvLnJlbHNQSwECLQAUAAYACAAAACEA05CDhMsBAABtAwAADgAAAAAAAAAAAAAA&#10;AAAuAgAAZHJzL2Uyb0RvYy54bWxQSwECLQAUAAYACAAAACEADErw7tYAAAAFAQAADwAAAAAAAAAA&#10;AAAAAAAlBAAAZHJzL2Rvd25yZXYueG1sUEsFBgAAAAAEAAQA8wAAACgFAAAAAA==&#10;">
          <v:path/>
          <v:fill on="f" focussize="0,0"/>
          <v:stroke on="f" joinstyle="miter"/>
          <v:imagedata o:title=""/>
          <o:lock v:ext="edit"/>
          <v:textbox inset="0mm,0mm,0mm,0mm" style="mso-fit-shape-to-text:t;">
            <w:txbxContent>
              <w:p>
                <w:pPr>
                  <w:pStyle w:val="13"/>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w:r>
    <w:r>
      <w:pict>
        <v:shape id="文本框 1025" o:spid="_x0000_s3074" o:spt="202" type="#_x0000_t202" style="position:absolute;left:0pt;margin-top:0pt;height:15.55pt;width:42.05pt;mso-position-horizontal:outside;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2s+xQEAAGEDAAAOAAAAZHJzL2Uyb0RvYy54bWysU82O0zAQviPxDpbvNEl/YDdqugJVi5AQ&#10;IC37AK5jN5Zsj2W7TfoC8AacuHDnufocO3abLuzeEJfJeGb8+ftmJsubwWiyFz4osA2tJiUlwnJo&#10;ld029P7r7asrSkJktmUarGjoQQR6s3r5Ytm7WkyhA90KTxDEhrp3De1idHVRBN4Jw8IEnLCYlOAN&#10;i3j026L1rEd0o4tpWb4uevCt88BFCBhdn5J0lfGlFDx+ljKISHRDkVvM1me7SbZYLVm99cx1ip9p&#10;sH9gYZiy+OgFas0iIzuvnkEZxT0EkHHCwRQgpeIia0A1VflEzV3HnMhasDnBXdoU/h8s/7T/4olq&#10;GzqjxDKDIzr++H78+fv46xupyukidah3ocbCO4elcXgHA056jAcMJuGD9CZ9URLBPPb6cOmvGCLh&#10;GFzM5uVsQQnHVHX9Zn6V0YvHy86H+F6AIclpqMfx5a6y/ccQkQiWjiXpLQu3Sus8Qm3/CmDhKSLy&#10;DpxvJx0nvsmLw2bIyi9aNtAeUGKP69BQi/tKif5gsdtpc0bHj85mdHbOq22HfKtMNri3u4jMMuH0&#10;0AkW2acDzjHrOO9cWpQ/z7nq8c9YPQAAAP//AwBQSwMEFAAGAAgAAAAhANk6w7DYAAAAAwEAAA8A&#10;AABkcnMvZG93bnJldi54bWxMj0FLxDAQhe/C/ocwC97ctCpaatNFFrx4c5UFb9lmtikmk5Jku+2/&#10;d/Sil4HHe7z3TbOdvRMTxjQEUlBuChBIXTAD9Qo+3l9uKhApazLaBUIFCybYtqurRtcmXOgNp33u&#10;BZdQqrUCm/NYS5k6i16nTRiR2DuF6HVmGXtpor5wuXfytigepNcD8YLVI+4sdl/7s1fwOB8Cjgl3&#10;+HmaumiHpXKvi1LX6/n5CUTGOf+F4Qef0aFlpmM4k0nCKeBH8u9lr7ovQRwV3JUlyLaR/9nbbwAA&#10;AP//AwBQSwECLQAUAAYACAAAACEAtoM4kv4AAADhAQAAEwAAAAAAAAAAAAAAAAAAAAAAW0NvbnRl&#10;bnRfVHlwZXNdLnhtbFBLAQItABQABgAIAAAAIQA4/SH/1gAAAJQBAAALAAAAAAAAAAAAAAAAAC8B&#10;AABfcmVscy8ucmVsc1BLAQItABQABgAIAAAAIQA5l2s+xQEAAGEDAAAOAAAAAAAAAAAAAAAAAC4C&#10;AABkcnMvZTJvRG9jLnhtbFBLAQItABQABgAIAAAAIQDZOsOw2AAAAAMBAAAPAAAAAAAAAAAAAAAA&#10;AB8EAABkcnMvZG93bnJldi54bWxQSwUGAAAAAAQABADzAAAAJAUAAAAA&#10;">
          <v:path/>
          <v:fill on="f" focussize="0,0"/>
          <v:stroke on="f" joinstyle="miter"/>
          <v:imagedata o:title=""/>
          <o:lock v:ext="edit"/>
          <v:textbox inset="0mm,0mm,0mm,0mm" style="mso-fit-shape-to-text:t;">
            <w:txbxContent>
              <w:p>
                <w:pPr>
                  <w:rPr>
                    <w:szCs w:val="24"/>
                  </w:rPr>
                </w:pPr>
              </w:p>
            </w:txbxContent>
          </v:textbox>
        </v:shape>
      </w:pict>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5808"/>
        <w:tab w:val="right" w:pos="8794"/>
      </w:tabs>
    </w:pPr>
    <w:r>
      <w:pict>
        <v:shape id="文本框 6" o:spid="_x0000_s3075" o:spt="202" type="#_x0000_t202" style="position:absolute;left:0pt;margin-top:0pt;height:144pt;width:144pt;mso-position-horizontal:outside;mso-position-horizontal-relative:margin;mso-wrap-style:none;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bSGzgEAAHQDAAAOAAAAZHJzL2Uyb0RvYy54bWysU8Fu1DAQvSP1Hyzfu0mjtlqi9VZA1QoJ&#10;AVLhA7yOvbFkeyzb3WT5APgDTly48137HR07my2CG+LijD0zb+a9maxuRmvIToaowTF6sagpkU5A&#10;p92W0c+f7s6XlMTEXccNOMnoXkZ6sz57sRp8KxvowXQyEARxsR08o31Kvq2qKHppeVyAlw6dCoLl&#10;Ca9hW3WBD4huTdXU9XU1QOh8ACFjxNfbyUnXBV8pKdIHpaJMxDCKvaVyhnJu8lmtV7zdBu57LY5t&#10;8H/ownLtsOgJ6pYnTh6D/gvKahEggkoLAbYCpbSQhQOyuaj/YPPQcy8LFxQn+pNM8f/Bive7j4Ho&#10;jtFLShy3OKLD92+HH78OP7+S6yzP4GOLUQ8e49L4GkYc8/we8TGzHlWw+Yt8CPpR6P1JXDkmInLS&#10;slkua3QJ9M0XxK+e032I6V6CJdlgNOD0iqh89y6mKXQOydUc3GljygSNIwOjL6+aq5Jw8iC4cVgj&#10;k5iazVYaN2Ph3MxENtDtkR8uMtbtIXyhZMClYNTh1lJi3jrUPO/PbITZ2MwGdwITGU2UTOabVPYs&#10;dxr9q8eE3RYSuYOp3rExHG2R4biGeXd+v5eo559l/QQAAP//AwBQSwMEFAAGAAgAAAAhAAxK8O7W&#10;AAAABQEAAA8AAABkcnMvZG93bnJldi54bWxMj0FrwzAMhe+D/gejwm6r0x62kMUppdBLb+vGYDc3&#10;VuMwWw62myb/ftoYbBehxxNP36u3k3dixJj6QArWqwIEUhtMT52Ct9fDQwkiZU1Gu0CoYMYE22Zx&#10;V+vKhBu94HjKneAQSpVWYHMeKilTa9HrtAoDEnuXEL3OLGMnTdQ3DvdOboriUXrdE3+wesC9xfbz&#10;dPUKnqb3gEPCPX5cxjbafi7dcVbqfjntnkFknPLfMXzjMzo0zHQOVzJJOAVcJP9M9jZlyfL8u8im&#10;lv/pmy8AAAD//wMAUEsBAi0AFAAGAAgAAAAhALaDOJL+AAAA4QEAABMAAAAAAAAAAAAAAAAAAAAA&#10;AFtDb250ZW50X1R5cGVzXS54bWxQSwECLQAUAAYACAAAACEAOP0h/9YAAACUAQAACwAAAAAAAAAA&#10;AAAAAAAvAQAAX3JlbHMvLnJlbHNQSwECLQAUAAYACAAAACEAlN20hs4BAAB0AwAADgAAAAAAAAAA&#10;AAAAAAAuAgAAZHJzL2Uyb0RvYy54bWxQSwECLQAUAAYACAAAACEADErw7tYAAAAFAQAADwAAAAAA&#10;AAAAAAAAAAAoBAAAZHJzL2Rvd25yZXYueG1sUEsFBgAAAAAEAAQA8wAAACsFAAAAAA==&#10;">
          <v:path/>
          <v:fill on="f" focussize="0,0"/>
          <v:stroke on="f" joinstyle="miter"/>
          <v:imagedata o:title=""/>
          <o:lock v:ext="edit"/>
          <v:textbox inset="0mm,0mm,0mm,0mm" style="mso-fit-shape-to-text:t;">
            <w:txbxContent>
              <w:p>
                <w:pPr>
                  <w:pStyle w:val="13"/>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45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w:r>
    <w:r>
      <w:pict>
        <v:shape id="文本框 1026" o:spid="_x0000_s3076" o:spt="202" type="#_x0000_t202" style="position:absolute;left:0pt;margin-top:0pt;height:28.4pt;width:42.05pt;mso-position-horizontal:outside;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0TaxAEAAGEDAAAOAAAAZHJzL2Uyb0RvYy54bWysU0tu2zAQ3RfIHQjuY8l2YgSC5SBBkKBA&#10;0RZIcgCaIi0C/GFIW/IF0ht01U33PZfP0SFtOb9dkA01nBnOvPdmNL/sjSYbAUE5W9PxqKREWO4a&#10;ZVc1fXy4Pb2gJERmG6adFTXdikAvFydf5p2vxMS1TjcCCBaxoep8TdsYfVUUgbfCsDByXlgMSgeG&#10;RbzCqmiAdVjd6GJSlrOic9B4cFyEgN6bfZAucn0pBY8/pAwiEl1TxBbzCflcprNYzFm1AuZbxQ8w&#10;2AdQGKYsNj2WumGRkTWod6WM4uCCk3HEnSmclIqLzAHZjMs3bO5b5kXmguIEf5QpfF5Z/n3zE4hq&#10;cHaUWGZwRLvfv3Z//u3+PpFxOZklhTofKky895ga+2vXp+yDP6AzEe8lmPRFSgTjqPX2qK/oI+Ho&#10;PJ+eldNzSjiGprNydpH1L54fewjxTjhDklFTwPFlVdnmW4jYEFOHlNTLululdR6htq8cmLj3iLwD&#10;h9eJxx5vsmK/7DPz6cBl6ZotUuxwHWpqcV8p0V8tqp02ZzBgMJaDsfagVi3iHWewwV+tIyLLgFOj&#10;fVlEny44x8zjsHNpUV7ec9bzn7H4DwAA//8DAFBLAwQUAAYACAAAACEAUQT5edgAAAADAQAADwAA&#10;AGRycy9kb3ducmV2LnhtbEyPwU7DMBBE70j9B2uRuFGnCEoU4lRVJS7cWhASNzfexhH2OrLdNPl7&#10;tlzgstJoRjNv683knRgxpj6QgtWyAIHUBtNTp+Dj/fW+BJGyJqNdIFQwY4JNs7ipdWXChfY4HnIn&#10;uIRSpRXYnIdKytRa9Dotw4DE3ilErzPL2EkT9YXLvZMPRbGWXvfEC1YPuLPYfh/OXsHz9BlwSLjD&#10;r9PYRtvPpXublbq7nbYvIDJO+S8MV3xGh4aZjuFMJgmngB/Jv5e98nEF4qjgaV2CbGr5n735AQAA&#10;//8DAFBLAQItABQABgAIAAAAIQC2gziS/gAAAOEBAAATAAAAAAAAAAAAAAAAAAAAAABbQ29udGVu&#10;dF9UeXBlc10ueG1sUEsBAi0AFAAGAAgAAAAhADj9If/WAAAAlAEAAAsAAAAAAAAAAAAAAAAALwEA&#10;AF9yZWxzLy5yZWxzUEsBAi0AFAAGAAgAAAAhAFVXRNrEAQAAYQMAAA4AAAAAAAAAAAAAAAAALgIA&#10;AGRycy9lMm9Eb2MueG1sUEsBAi0AFAAGAAgAAAAhAFEE+XnYAAAAAwEAAA8AAAAAAAAAAAAAAAAA&#10;HgQAAGRycy9kb3ducmV2LnhtbFBLBQYAAAAABAAEAPMAAAAjBQAAAAA=&#10;">
          <v:path/>
          <v:fill on="f" focussize="0,0"/>
          <v:stroke on="f" joinstyle="miter"/>
          <v:imagedata o:title=""/>
          <o:lock v:ext="edit"/>
          <v:textbox inset="0mm,0mm,0mm,0mm" style="mso-fit-shape-to-text:t;">
            <w:txbxContent>
              <w:p>
                <w:pPr>
                  <w:pStyle w:val="13"/>
                  <w:ind w:right="240"/>
                  <w:jc w:val="right"/>
                  <w:rPr>
                    <w:rFonts w:asciiTheme="minorEastAsia" w:hAnsiTheme="minorEastAsia" w:eastAsiaTheme="minorEastAsia" w:cstheme="minorEastAsia"/>
                    <w:sz w:val="24"/>
                    <w:szCs w:val="24"/>
                  </w:rPr>
                </w:pPr>
                <w:sdt>
                  <w:sdtPr>
                    <w:rPr>
                      <w:rFonts w:hint="eastAsia" w:asciiTheme="minorEastAsia" w:hAnsiTheme="minorEastAsia" w:eastAsiaTheme="minorEastAsia" w:cstheme="minorEastAsia"/>
                      <w:sz w:val="24"/>
                      <w:szCs w:val="24"/>
                    </w:rPr>
                    <w:id w:val="248353768"/>
                    <w:showingPlcHdr/>
                  </w:sdtPr>
                  <w:sdtEndPr>
                    <w:rPr>
                      <w:rFonts w:hint="eastAsia" w:asciiTheme="minorEastAsia" w:hAnsiTheme="minorEastAsia" w:eastAsiaTheme="minorEastAsia" w:cstheme="minorEastAsia"/>
                      <w:sz w:val="24"/>
                      <w:szCs w:val="24"/>
                    </w:rPr>
                  </w:sdtEndPr>
                  <w:sdtContent>
                    <w:r>
                      <w:rPr>
                        <w:rFonts w:asciiTheme="minorEastAsia" w:hAnsiTheme="minorEastAsia" w:eastAsiaTheme="minorEastAsia" w:cstheme="minorEastAsia"/>
                        <w:sz w:val="24"/>
                        <w:szCs w:val="24"/>
                      </w:rPr>
                      <w:t xml:space="preserve">     </w:t>
                    </w:r>
                  </w:sdtContent>
                </w:sdt>
              </w:p>
              <w:p/>
            </w:txbxContent>
          </v:textbox>
        </v:shape>
      </w:pict>
    </w:r>
    <w:r>
      <w:rPr>
        <w:rFonts w:hint="eastAsia"/>
      </w:rPr>
      <w:tab/>
    </w:r>
    <w:r>
      <w:rPr>
        <w:rFonts w:hint="eastAsia"/>
      </w:rPr>
      <w:tab/>
    </w:r>
    <w:r>
      <w:rPr>
        <w:rFonts w:hint="eastAsia"/>
      </w:rPr>
      <w:tab/>
    </w:r>
    <w:r>
      <w:rPr>
        <w:rFonts w:hint="eastAsia"/>
      </w:rPr>
      <w:tab/>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noLineBreaksAfter w:lang="zh-CN" w:val="$([{£¥·‘“〈《「『【〔〖〝﹙﹛﹝＄（．［｛￡￥"/>
  <w:noLineBreaksBefore w:lang="zh-CN" w:val="!%),.:;&gt;?]}¢¨°·ˇˉ―‖’”…‰′″›℃∶、。〃〉》」』】〕〗〞︶︺︾﹀﹄﹚﹜﹞！＂％＇），．：；？］｀｜｝～￠"/>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4043C3"/>
    <w:rsid w:val="00002726"/>
    <w:rsid w:val="000029D0"/>
    <w:rsid w:val="00003B0B"/>
    <w:rsid w:val="000050BD"/>
    <w:rsid w:val="000052D5"/>
    <w:rsid w:val="00006435"/>
    <w:rsid w:val="00007102"/>
    <w:rsid w:val="000074D6"/>
    <w:rsid w:val="000123FA"/>
    <w:rsid w:val="00012523"/>
    <w:rsid w:val="00013275"/>
    <w:rsid w:val="0001407D"/>
    <w:rsid w:val="00015444"/>
    <w:rsid w:val="000154F1"/>
    <w:rsid w:val="00016BF9"/>
    <w:rsid w:val="00020398"/>
    <w:rsid w:val="000204FE"/>
    <w:rsid w:val="000208F9"/>
    <w:rsid w:val="00023F31"/>
    <w:rsid w:val="00024073"/>
    <w:rsid w:val="00025BA2"/>
    <w:rsid w:val="00034068"/>
    <w:rsid w:val="00034417"/>
    <w:rsid w:val="000351B1"/>
    <w:rsid w:val="000351B4"/>
    <w:rsid w:val="00037060"/>
    <w:rsid w:val="00037C41"/>
    <w:rsid w:val="00040E72"/>
    <w:rsid w:val="00040F96"/>
    <w:rsid w:val="00051100"/>
    <w:rsid w:val="000513DD"/>
    <w:rsid w:val="0005363D"/>
    <w:rsid w:val="00054FC2"/>
    <w:rsid w:val="000552B3"/>
    <w:rsid w:val="00056A4F"/>
    <w:rsid w:val="000574E7"/>
    <w:rsid w:val="000622B8"/>
    <w:rsid w:val="00062C9E"/>
    <w:rsid w:val="00063340"/>
    <w:rsid w:val="00064105"/>
    <w:rsid w:val="00064D9D"/>
    <w:rsid w:val="00067690"/>
    <w:rsid w:val="000702F7"/>
    <w:rsid w:val="00070FE1"/>
    <w:rsid w:val="000739C9"/>
    <w:rsid w:val="000742FF"/>
    <w:rsid w:val="000748FB"/>
    <w:rsid w:val="00075CDE"/>
    <w:rsid w:val="00077918"/>
    <w:rsid w:val="00080A65"/>
    <w:rsid w:val="00081782"/>
    <w:rsid w:val="00081F4E"/>
    <w:rsid w:val="000829B9"/>
    <w:rsid w:val="00083657"/>
    <w:rsid w:val="00085FB2"/>
    <w:rsid w:val="000862B7"/>
    <w:rsid w:val="00086310"/>
    <w:rsid w:val="0009011A"/>
    <w:rsid w:val="00090BFE"/>
    <w:rsid w:val="0009247E"/>
    <w:rsid w:val="00092B98"/>
    <w:rsid w:val="00093BAE"/>
    <w:rsid w:val="000950E9"/>
    <w:rsid w:val="000961CA"/>
    <w:rsid w:val="000975BF"/>
    <w:rsid w:val="000A43D4"/>
    <w:rsid w:val="000A45CF"/>
    <w:rsid w:val="000A51CE"/>
    <w:rsid w:val="000A5565"/>
    <w:rsid w:val="000A65E1"/>
    <w:rsid w:val="000A7150"/>
    <w:rsid w:val="000A7A58"/>
    <w:rsid w:val="000A7B11"/>
    <w:rsid w:val="000A7ED1"/>
    <w:rsid w:val="000B1B68"/>
    <w:rsid w:val="000B711D"/>
    <w:rsid w:val="000C0F8A"/>
    <w:rsid w:val="000C1D49"/>
    <w:rsid w:val="000C279D"/>
    <w:rsid w:val="000C5DBC"/>
    <w:rsid w:val="000C7822"/>
    <w:rsid w:val="000D0028"/>
    <w:rsid w:val="000D151B"/>
    <w:rsid w:val="000D2955"/>
    <w:rsid w:val="000D316B"/>
    <w:rsid w:val="000D4504"/>
    <w:rsid w:val="000D5083"/>
    <w:rsid w:val="000D5606"/>
    <w:rsid w:val="000D7AAB"/>
    <w:rsid w:val="000E013F"/>
    <w:rsid w:val="000E131E"/>
    <w:rsid w:val="000E3F97"/>
    <w:rsid w:val="000E5744"/>
    <w:rsid w:val="000E7E4C"/>
    <w:rsid w:val="000F075C"/>
    <w:rsid w:val="000F19E2"/>
    <w:rsid w:val="000F2CC2"/>
    <w:rsid w:val="000F304A"/>
    <w:rsid w:val="000F33AD"/>
    <w:rsid w:val="000F3746"/>
    <w:rsid w:val="000F3D19"/>
    <w:rsid w:val="000F41A8"/>
    <w:rsid w:val="000F44CC"/>
    <w:rsid w:val="000F5101"/>
    <w:rsid w:val="000F51C3"/>
    <w:rsid w:val="000F70D6"/>
    <w:rsid w:val="001007F2"/>
    <w:rsid w:val="00102893"/>
    <w:rsid w:val="00102A58"/>
    <w:rsid w:val="00105BA9"/>
    <w:rsid w:val="00106B86"/>
    <w:rsid w:val="00110158"/>
    <w:rsid w:val="00110A13"/>
    <w:rsid w:val="00112FBD"/>
    <w:rsid w:val="00117FAC"/>
    <w:rsid w:val="00120E31"/>
    <w:rsid w:val="00121205"/>
    <w:rsid w:val="0012379D"/>
    <w:rsid w:val="001238F7"/>
    <w:rsid w:val="001241F9"/>
    <w:rsid w:val="0012475B"/>
    <w:rsid w:val="00124775"/>
    <w:rsid w:val="001250D5"/>
    <w:rsid w:val="001251FA"/>
    <w:rsid w:val="00125CAE"/>
    <w:rsid w:val="00125D26"/>
    <w:rsid w:val="00127499"/>
    <w:rsid w:val="0013249C"/>
    <w:rsid w:val="00134D4B"/>
    <w:rsid w:val="001403E0"/>
    <w:rsid w:val="00140469"/>
    <w:rsid w:val="001466F6"/>
    <w:rsid w:val="00147359"/>
    <w:rsid w:val="001479BB"/>
    <w:rsid w:val="0015085A"/>
    <w:rsid w:val="00150DCB"/>
    <w:rsid w:val="001529E7"/>
    <w:rsid w:val="0015441B"/>
    <w:rsid w:val="00155293"/>
    <w:rsid w:val="0015595A"/>
    <w:rsid w:val="001564BD"/>
    <w:rsid w:val="0015719E"/>
    <w:rsid w:val="00160432"/>
    <w:rsid w:val="001629FB"/>
    <w:rsid w:val="00162E10"/>
    <w:rsid w:val="00171716"/>
    <w:rsid w:val="001717DB"/>
    <w:rsid w:val="00172F33"/>
    <w:rsid w:val="00175259"/>
    <w:rsid w:val="00177686"/>
    <w:rsid w:val="00180B25"/>
    <w:rsid w:val="0018595B"/>
    <w:rsid w:val="00185990"/>
    <w:rsid w:val="001906EE"/>
    <w:rsid w:val="001947C6"/>
    <w:rsid w:val="001959F3"/>
    <w:rsid w:val="00195E84"/>
    <w:rsid w:val="00196566"/>
    <w:rsid w:val="00197FC1"/>
    <w:rsid w:val="001A365B"/>
    <w:rsid w:val="001A4B62"/>
    <w:rsid w:val="001A5D51"/>
    <w:rsid w:val="001A60F2"/>
    <w:rsid w:val="001A6732"/>
    <w:rsid w:val="001A6B3E"/>
    <w:rsid w:val="001B03A9"/>
    <w:rsid w:val="001B2350"/>
    <w:rsid w:val="001B461F"/>
    <w:rsid w:val="001B536B"/>
    <w:rsid w:val="001B57BE"/>
    <w:rsid w:val="001B58BF"/>
    <w:rsid w:val="001C02D9"/>
    <w:rsid w:val="001C0519"/>
    <w:rsid w:val="001C0EF7"/>
    <w:rsid w:val="001C35C2"/>
    <w:rsid w:val="001C4A82"/>
    <w:rsid w:val="001C6CBE"/>
    <w:rsid w:val="001D1A09"/>
    <w:rsid w:val="001D2C45"/>
    <w:rsid w:val="001D376E"/>
    <w:rsid w:val="001D42F4"/>
    <w:rsid w:val="001D66E0"/>
    <w:rsid w:val="001D694B"/>
    <w:rsid w:val="001D7156"/>
    <w:rsid w:val="001D7FEC"/>
    <w:rsid w:val="001E0DF2"/>
    <w:rsid w:val="001E3D2F"/>
    <w:rsid w:val="001E487F"/>
    <w:rsid w:val="001E574F"/>
    <w:rsid w:val="001E57D4"/>
    <w:rsid w:val="001E6BE1"/>
    <w:rsid w:val="001F4004"/>
    <w:rsid w:val="001F463E"/>
    <w:rsid w:val="001F6CAC"/>
    <w:rsid w:val="001F760F"/>
    <w:rsid w:val="00201458"/>
    <w:rsid w:val="00205CCA"/>
    <w:rsid w:val="00206037"/>
    <w:rsid w:val="00206407"/>
    <w:rsid w:val="0020677B"/>
    <w:rsid w:val="002072DF"/>
    <w:rsid w:val="00213B15"/>
    <w:rsid w:val="00214688"/>
    <w:rsid w:val="002153A5"/>
    <w:rsid w:val="002203DC"/>
    <w:rsid w:val="00223189"/>
    <w:rsid w:val="0022345D"/>
    <w:rsid w:val="00223E22"/>
    <w:rsid w:val="0022462C"/>
    <w:rsid w:val="00224979"/>
    <w:rsid w:val="00224A03"/>
    <w:rsid w:val="00224B51"/>
    <w:rsid w:val="00226567"/>
    <w:rsid w:val="00226C87"/>
    <w:rsid w:val="00227E1E"/>
    <w:rsid w:val="0023108A"/>
    <w:rsid w:val="00231409"/>
    <w:rsid w:val="002318B8"/>
    <w:rsid w:val="00231977"/>
    <w:rsid w:val="00231CEA"/>
    <w:rsid w:val="00232E3D"/>
    <w:rsid w:val="00233085"/>
    <w:rsid w:val="00233978"/>
    <w:rsid w:val="00234CD5"/>
    <w:rsid w:val="00234F24"/>
    <w:rsid w:val="00235635"/>
    <w:rsid w:val="00235887"/>
    <w:rsid w:val="002359D5"/>
    <w:rsid w:val="002402F0"/>
    <w:rsid w:val="00240746"/>
    <w:rsid w:val="00240FF9"/>
    <w:rsid w:val="00241AA7"/>
    <w:rsid w:val="00241C2A"/>
    <w:rsid w:val="0024630B"/>
    <w:rsid w:val="0024631E"/>
    <w:rsid w:val="00246EBB"/>
    <w:rsid w:val="002473EA"/>
    <w:rsid w:val="00247681"/>
    <w:rsid w:val="002477BB"/>
    <w:rsid w:val="0025181F"/>
    <w:rsid w:val="002562CB"/>
    <w:rsid w:val="00257ED2"/>
    <w:rsid w:val="0026171F"/>
    <w:rsid w:val="00261ECF"/>
    <w:rsid w:val="00262591"/>
    <w:rsid w:val="002631D3"/>
    <w:rsid w:val="00263C4E"/>
    <w:rsid w:val="00264AEC"/>
    <w:rsid w:val="0026566F"/>
    <w:rsid w:val="00266720"/>
    <w:rsid w:val="00266A85"/>
    <w:rsid w:val="00267046"/>
    <w:rsid w:val="00267205"/>
    <w:rsid w:val="002701E1"/>
    <w:rsid w:val="002715B4"/>
    <w:rsid w:val="00271E75"/>
    <w:rsid w:val="00273242"/>
    <w:rsid w:val="00274C03"/>
    <w:rsid w:val="0027591E"/>
    <w:rsid w:val="00276272"/>
    <w:rsid w:val="00277219"/>
    <w:rsid w:val="00283841"/>
    <w:rsid w:val="00283DFC"/>
    <w:rsid w:val="00284088"/>
    <w:rsid w:val="00285F82"/>
    <w:rsid w:val="00286931"/>
    <w:rsid w:val="00286987"/>
    <w:rsid w:val="00286D93"/>
    <w:rsid w:val="00286EA9"/>
    <w:rsid w:val="00287174"/>
    <w:rsid w:val="00291C9C"/>
    <w:rsid w:val="002933EE"/>
    <w:rsid w:val="00294779"/>
    <w:rsid w:val="00294A94"/>
    <w:rsid w:val="00295D16"/>
    <w:rsid w:val="00296F5F"/>
    <w:rsid w:val="002A0260"/>
    <w:rsid w:val="002A04E7"/>
    <w:rsid w:val="002A11D1"/>
    <w:rsid w:val="002B04B0"/>
    <w:rsid w:val="002B255E"/>
    <w:rsid w:val="002B3E37"/>
    <w:rsid w:val="002B500E"/>
    <w:rsid w:val="002B6E0D"/>
    <w:rsid w:val="002C0272"/>
    <w:rsid w:val="002C0D75"/>
    <w:rsid w:val="002C1119"/>
    <w:rsid w:val="002C20FC"/>
    <w:rsid w:val="002C3282"/>
    <w:rsid w:val="002C3483"/>
    <w:rsid w:val="002C361B"/>
    <w:rsid w:val="002C59A8"/>
    <w:rsid w:val="002C6D3A"/>
    <w:rsid w:val="002C7B60"/>
    <w:rsid w:val="002D21DC"/>
    <w:rsid w:val="002D359F"/>
    <w:rsid w:val="002D40DA"/>
    <w:rsid w:val="002D5331"/>
    <w:rsid w:val="002D7325"/>
    <w:rsid w:val="002E160F"/>
    <w:rsid w:val="002E5310"/>
    <w:rsid w:val="002E5329"/>
    <w:rsid w:val="002E55D1"/>
    <w:rsid w:val="002E594A"/>
    <w:rsid w:val="002E73F4"/>
    <w:rsid w:val="002F096A"/>
    <w:rsid w:val="002F098A"/>
    <w:rsid w:val="002F09B1"/>
    <w:rsid w:val="002F0B72"/>
    <w:rsid w:val="002F0BAC"/>
    <w:rsid w:val="002F3AA8"/>
    <w:rsid w:val="002F4125"/>
    <w:rsid w:val="002F42A3"/>
    <w:rsid w:val="002F536C"/>
    <w:rsid w:val="002F5D0F"/>
    <w:rsid w:val="002F700D"/>
    <w:rsid w:val="002F71F2"/>
    <w:rsid w:val="003029BD"/>
    <w:rsid w:val="00303972"/>
    <w:rsid w:val="003050F2"/>
    <w:rsid w:val="0030687E"/>
    <w:rsid w:val="00307160"/>
    <w:rsid w:val="003077B9"/>
    <w:rsid w:val="003077C6"/>
    <w:rsid w:val="00310F83"/>
    <w:rsid w:val="00311C54"/>
    <w:rsid w:val="00312043"/>
    <w:rsid w:val="00312441"/>
    <w:rsid w:val="003152DC"/>
    <w:rsid w:val="0032111A"/>
    <w:rsid w:val="00324852"/>
    <w:rsid w:val="00324C14"/>
    <w:rsid w:val="00325988"/>
    <w:rsid w:val="0033018B"/>
    <w:rsid w:val="003313A5"/>
    <w:rsid w:val="003316AF"/>
    <w:rsid w:val="00332250"/>
    <w:rsid w:val="00333BC4"/>
    <w:rsid w:val="00334493"/>
    <w:rsid w:val="00335B65"/>
    <w:rsid w:val="00336942"/>
    <w:rsid w:val="0033795E"/>
    <w:rsid w:val="003379FA"/>
    <w:rsid w:val="00341117"/>
    <w:rsid w:val="0034337A"/>
    <w:rsid w:val="00343E8E"/>
    <w:rsid w:val="003447F7"/>
    <w:rsid w:val="0034731F"/>
    <w:rsid w:val="003477A5"/>
    <w:rsid w:val="003478DE"/>
    <w:rsid w:val="00351AF4"/>
    <w:rsid w:val="00351D87"/>
    <w:rsid w:val="00351E70"/>
    <w:rsid w:val="00370A82"/>
    <w:rsid w:val="003713EE"/>
    <w:rsid w:val="0037162A"/>
    <w:rsid w:val="003718C7"/>
    <w:rsid w:val="0037307B"/>
    <w:rsid w:val="00373DEE"/>
    <w:rsid w:val="00374B48"/>
    <w:rsid w:val="0037565C"/>
    <w:rsid w:val="00377E0F"/>
    <w:rsid w:val="00380BB1"/>
    <w:rsid w:val="00383391"/>
    <w:rsid w:val="00385DEB"/>
    <w:rsid w:val="00386BA6"/>
    <w:rsid w:val="00387958"/>
    <w:rsid w:val="00390829"/>
    <w:rsid w:val="00394046"/>
    <w:rsid w:val="00396293"/>
    <w:rsid w:val="003975D6"/>
    <w:rsid w:val="003A082C"/>
    <w:rsid w:val="003A294A"/>
    <w:rsid w:val="003A3366"/>
    <w:rsid w:val="003A7534"/>
    <w:rsid w:val="003A798D"/>
    <w:rsid w:val="003B15E4"/>
    <w:rsid w:val="003B22A0"/>
    <w:rsid w:val="003B392B"/>
    <w:rsid w:val="003B680D"/>
    <w:rsid w:val="003B7A1B"/>
    <w:rsid w:val="003C0056"/>
    <w:rsid w:val="003C070E"/>
    <w:rsid w:val="003C0EF5"/>
    <w:rsid w:val="003C1AB0"/>
    <w:rsid w:val="003C263D"/>
    <w:rsid w:val="003C2898"/>
    <w:rsid w:val="003C2F41"/>
    <w:rsid w:val="003C4734"/>
    <w:rsid w:val="003C4764"/>
    <w:rsid w:val="003C5211"/>
    <w:rsid w:val="003C551B"/>
    <w:rsid w:val="003C6BAA"/>
    <w:rsid w:val="003C74B3"/>
    <w:rsid w:val="003E01D9"/>
    <w:rsid w:val="003E05A4"/>
    <w:rsid w:val="003E11B9"/>
    <w:rsid w:val="003E391F"/>
    <w:rsid w:val="003E51B5"/>
    <w:rsid w:val="003E5286"/>
    <w:rsid w:val="003E5ABE"/>
    <w:rsid w:val="003E5CC3"/>
    <w:rsid w:val="003E688C"/>
    <w:rsid w:val="003E6898"/>
    <w:rsid w:val="003E7616"/>
    <w:rsid w:val="003F12B9"/>
    <w:rsid w:val="003F17F3"/>
    <w:rsid w:val="003F2D22"/>
    <w:rsid w:val="003F3635"/>
    <w:rsid w:val="003F7289"/>
    <w:rsid w:val="004002D9"/>
    <w:rsid w:val="00401376"/>
    <w:rsid w:val="004032CF"/>
    <w:rsid w:val="004043C3"/>
    <w:rsid w:val="004052E3"/>
    <w:rsid w:val="00410058"/>
    <w:rsid w:val="00410C3E"/>
    <w:rsid w:val="00411485"/>
    <w:rsid w:val="00411958"/>
    <w:rsid w:val="00411DA1"/>
    <w:rsid w:val="00413389"/>
    <w:rsid w:val="00413B3B"/>
    <w:rsid w:val="00413E81"/>
    <w:rsid w:val="004147F0"/>
    <w:rsid w:val="00414A80"/>
    <w:rsid w:val="004150D2"/>
    <w:rsid w:val="00416DA0"/>
    <w:rsid w:val="00417104"/>
    <w:rsid w:val="00417428"/>
    <w:rsid w:val="004179E5"/>
    <w:rsid w:val="004211B4"/>
    <w:rsid w:val="0042164C"/>
    <w:rsid w:val="004247B1"/>
    <w:rsid w:val="00424828"/>
    <w:rsid w:val="0042535B"/>
    <w:rsid w:val="0042550B"/>
    <w:rsid w:val="00427DEE"/>
    <w:rsid w:val="004308C8"/>
    <w:rsid w:val="0043202E"/>
    <w:rsid w:val="00433E0F"/>
    <w:rsid w:val="0043439C"/>
    <w:rsid w:val="00434F7D"/>
    <w:rsid w:val="004355D3"/>
    <w:rsid w:val="00436F8C"/>
    <w:rsid w:val="00437588"/>
    <w:rsid w:val="00440372"/>
    <w:rsid w:val="00440568"/>
    <w:rsid w:val="00440C30"/>
    <w:rsid w:val="00440C6E"/>
    <w:rsid w:val="00443ECB"/>
    <w:rsid w:val="00444F34"/>
    <w:rsid w:val="00447E51"/>
    <w:rsid w:val="00450BA5"/>
    <w:rsid w:val="004534CF"/>
    <w:rsid w:val="00453549"/>
    <w:rsid w:val="004569C2"/>
    <w:rsid w:val="00456A7A"/>
    <w:rsid w:val="0045715E"/>
    <w:rsid w:val="00461BB3"/>
    <w:rsid w:val="00462BCF"/>
    <w:rsid w:val="00463ABD"/>
    <w:rsid w:val="0046447F"/>
    <w:rsid w:val="00464796"/>
    <w:rsid w:val="00464F64"/>
    <w:rsid w:val="00466568"/>
    <w:rsid w:val="004669CF"/>
    <w:rsid w:val="00466F61"/>
    <w:rsid w:val="0047168A"/>
    <w:rsid w:val="0047488F"/>
    <w:rsid w:val="00480849"/>
    <w:rsid w:val="00481862"/>
    <w:rsid w:val="00483AD9"/>
    <w:rsid w:val="0048610D"/>
    <w:rsid w:val="00486427"/>
    <w:rsid w:val="00490177"/>
    <w:rsid w:val="00494AB9"/>
    <w:rsid w:val="00495D6A"/>
    <w:rsid w:val="0049636A"/>
    <w:rsid w:val="004A0193"/>
    <w:rsid w:val="004A0A39"/>
    <w:rsid w:val="004A2D13"/>
    <w:rsid w:val="004A3463"/>
    <w:rsid w:val="004A3999"/>
    <w:rsid w:val="004A4991"/>
    <w:rsid w:val="004A4B80"/>
    <w:rsid w:val="004A5921"/>
    <w:rsid w:val="004A5FA4"/>
    <w:rsid w:val="004A63AA"/>
    <w:rsid w:val="004A6CE9"/>
    <w:rsid w:val="004A7043"/>
    <w:rsid w:val="004B04BC"/>
    <w:rsid w:val="004B0682"/>
    <w:rsid w:val="004B0F04"/>
    <w:rsid w:val="004B47D6"/>
    <w:rsid w:val="004B584F"/>
    <w:rsid w:val="004B6AF8"/>
    <w:rsid w:val="004B6B03"/>
    <w:rsid w:val="004B6E0B"/>
    <w:rsid w:val="004C0106"/>
    <w:rsid w:val="004C1FBA"/>
    <w:rsid w:val="004C286F"/>
    <w:rsid w:val="004C2EE3"/>
    <w:rsid w:val="004C34D2"/>
    <w:rsid w:val="004C50FA"/>
    <w:rsid w:val="004C5849"/>
    <w:rsid w:val="004C5D6F"/>
    <w:rsid w:val="004C642E"/>
    <w:rsid w:val="004C64FB"/>
    <w:rsid w:val="004C6EBB"/>
    <w:rsid w:val="004C76AF"/>
    <w:rsid w:val="004D1C03"/>
    <w:rsid w:val="004D3229"/>
    <w:rsid w:val="004D3619"/>
    <w:rsid w:val="004D5142"/>
    <w:rsid w:val="004D62E0"/>
    <w:rsid w:val="004E0947"/>
    <w:rsid w:val="004E2746"/>
    <w:rsid w:val="004E3411"/>
    <w:rsid w:val="004E5C4F"/>
    <w:rsid w:val="004E62A2"/>
    <w:rsid w:val="004E6801"/>
    <w:rsid w:val="004E7974"/>
    <w:rsid w:val="004E7E38"/>
    <w:rsid w:val="004F00C9"/>
    <w:rsid w:val="004F1E08"/>
    <w:rsid w:val="005017A8"/>
    <w:rsid w:val="00501809"/>
    <w:rsid w:val="00501D6D"/>
    <w:rsid w:val="005020AA"/>
    <w:rsid w:val="0050242D"/>
    <w:rsid w:val="00502735"/>
    <w:rsid w:val="00504606"/>
    <w:rsid w:val="00505176"/>
    <w:rsid w:val="0050565D"/>
    <w:rsid w:val="005105EA"/>
    <w:rsid w:val="0051289E"/>
    <w:rsid w:val="00514F55"/>
    <w:rsid w:val="005208AA"/>
    <w:rsid w:val="0052389B"/>
    <w:rsid w:val="0052443F"/>
    <w:rsid w:val="0052559B"/>
    <w:rsid w:val="00527D60"/>
    <w:rsid w:val="00530AF5"/>
    <w:rsid w:val="005316F4"/>
    <w:rsid w:val="00534499"/>
    <w:rsid w:val="005361D4"/>
    <w:rsid w:val="005373CC"/>
    <w:rsid w:val="00537661"/>
    <w:rsid w:val="00540721"/>
    <w:rsid w:val="00540DC3"/>
    <w:rsid w:val="00541423"/>
    <w:rsid w:val="005415C7"/>
    <w:rsid w:val="00543C0D"/>
    <w:rsid w:val="005440BC"/>
    <w:rsid w:val="00544642"/>
    <w:rsid w:val="00545E08"/>
    <w:rsid w:val="00547CD0"/>
    <w:rsid w:val="00547E35"/>
    <w:rsid w:val="00550EB1"/>
    <w:rsid w:val="00551CD7"/>
    <w:rsid w:val="00551F11"/>
    <w:rsid w:val="005532B3"/>
    <w:rsid w:val="00554267"/>
    <w:rsid w:val="00554675"/>
    <w:rsid w:val="005573E5"/>
    <w:rsid w:val="00557E04"/>
    <w:rsid w:val="0056231F"/>
    <w:rsid w:val="00563FD0"/>
    <w:rsid w:val="005645EA"/>
    <w:rsid w:val="00564E5D"/>
    <w:rsid w:val="005704E7"/>
    <w:rsid w:val="00571EAE"/>
    <w:rsid w:val="005721F2"/>
    <w:rsid w:val="0057377D"/>
    <w:rsid w:val="0057604D"/>
    <w:rsid w:val="005768DB"/>
    <w:rsid w:val="00576A20"/>
    <w:rsid w:val="00577D39"/>
    <w:rsid w:val="00582D1B"/>
    <w:rsid w:val="00586B37"/>
    <w:rsid w:val="005877D9"/>
    <w:rsid w:val="00591D82"/>
    <w:rsid w:val="005923AD"/>
    <w:rsid w:val="00592B09"/>
    <w:rsid w:val="00594B3C"/>
    <w:rsid w:val="00596C83"/>
    <w:rsid w:val="00597551"/>
    <w:rsid w:val="005A1776"/>
    <w:rsid w:val="005A2BD2"/>
    <w:rsid w:val="005A37B9"/>
    <w:rsid w:val="005A3B77"/>
    <w:rsid w:val="005A4034"/>
    <w:rsid w:val="005A6636"/>
    <w:rsid w:val="005A677E"/>
    <w:rsid w:val="005A7D15"/>
    <w:rsid w:val="005B08BC"/>
    <w:rsid w:val="005B1632"/>
    <w:rsid w:val="005B1CFD"/>
    <w:rsid w:val="005B379A"/>
    <w:rsid w:val="005B4180"/>
    <w:rsid w:val="005B5B06"/>
    <w:rsid w:val="005B6186"/>
    <w:rsid w:val="005B6B4D"/>
    <w:rsid w:val="005B75B3"/>
    <w:rsid w:val="005C03D1"/>
    <w:rsid w:val="005C2F31"/>
    <w:rsid w:val="005C4C4A"/>
    <w:rsid w:val="005D04F3"/>
    <w:rsid w:val="005D0712"/>
    <w:rsid w:val="005D08F8"/>
    <w:rsid w:val="005D3969"/>
    <w:rsid w:val="005D4A10"/>
    <w:rsid w:val="005D4D85"/>
    <w:rsid w:val="005D5E99"/>
    <w:rsid w:val="005D5F2B"/>
    <w:rsid w:val="005D6B9C"/>
    <w:rsid w:val="005D6DB7"/>
    <w:rsid w:val="005D6F8A"/>
    <w:rsid w:val="005E0A36"/>
    <w:rsid w:val="005E36DC"/>
    <w:rsid w:val="005E3E7B"/>
    <w:rsid w:val="005E496F"/>
    <w:rsid w:val="005E5D09"/>
    <w:rsid w:val="005E6753"/>
    <w:rsid w:val="005E6E9C"/>
    <w:rsid w:val="005E797F"/>
    <w:rsid w:val="005F0929"/>
    <w:rsid w:val="005F09BF"/>
    <w:rsid w:val="005F1933"/>
    <w:rsid w:val="005F2CF2"/>
    <w:rsid w:val="005F2F98"/>
    <w:rsid w:val="005F320A"/>
    <w:rsid w:val="005F3B03"/>
    <w:rsid w:val="005F77E1"/>
    <w:rsid w:val="006023BA"/>
    <w:rsid w:val="00602521"/>
    <w:rsid w:val="00602FAB"/>
    <w:rsid w:val="00603C2F"/>
    <w:rsid w:val="00604C78"/>
    <w:rsid w:val="00605104"/>
    <w:rsid w:val="006059AA"/>
    <w:rsid w:val="00607EBB"/>
    <w:rsid w:val="00611894"/>
    <w:rsid w:val="00611A87"/>
    <w:rsid w:val="0061228A"/>
    <w:rsid w:val="00612F02"/>
    <w:rsid w:val="00615866"/>
    <w:rsid w:val="006166C8"/>
    <w:rsid w:val="00617930"/>
    <w:rsid w:val="00620618"/>
    <w:rsid w:val="00623F94"/>
    <w:rsid w:val="00624CCB"/>
    <w:rsid w:val="00630F0E"/>
    <w:rsid w:val="006317A1"/>
    <w:rsid w:val="00631ED6"/>
    <w:rsid w:val="00634526"/>
    <w:rsid w:val="006351F1"/>
    <w:rsid w:val="00635FCD"/>
    <w:rsid w:val="00637823"/>
    <w:rsid w:val="00637BED"/>
    <w:rsid w:val="00637E49"/>
    <w:rsid w:val="00646695"/>
    <w:rsid w:val="006475EE"/>
    <w:rsid w:val="00647D1C"/>
    <w:rsid w:val="006520DF"/>
    <w:rsid w:val="00653069"/>
    <w:rsid w:val="0065463E"/>
    <w:rsid w:val="00657601"/>
    <w:rsid w:val="00660596"/>
    <w:rsid w:val="00665A64"/>
    <w:rsid w:val="00666C6D"/>
    <w:rsid w:val="006676F4"/>
    <w:rsid w:val="006700A1"/>
    <w:rsid w:val="00670EB7"/>
    <w:rsid w:val="0067115B"/>
    <w:rsid w:val="00671E33"/>
    <w:rsid w:val="00674176"/>
    <w:rsid w:val="006743B6"/>
    <w:rsid w:val="0067452B"/>
    <w:rsid w:val="00674DE8"/>
    <w:rsid w:val="00676A48"/>
    <w:rsid w:val="00677D16"/>
    <w:rsid w:val="0068236C"/>
    <w:rsid w:val="00684AB2"/>
    <w:rsid w:val="00690445"/>
    <w:rsid w:val="0069072F"/>
    <w:rsid w:val="00690DA7"/>
    <w:rsid w:val="006921EA"/>
    <w:rsid w:val="006936DA"/>
    <w:rsid w:val="00693AFB"/>
    <w:rsid w:val="00694C73"/>
    <w:rsid w:val="00695063"/>
    <w:rsid w:val="00695C2E"/>
    <w:rsid w:val="00695D14"/>
    <w:rsid w:val="00696AA3"/>
    <w:rsid w:val="006A06B6"/>
    <w:rsid w:val="006A1632"/>
    <w:rsid w:val="006A1F2E"/>
    <w:rsid w:val="006A2B50"/>
    <w:rsid w:val="006A3B17"/>
    <w:rsid w:val="006A4D78"/>
    <w:rsid w:val="006A7B36"/>
    <w:rsid w:val="006B062B"/>
    <w:rsid w:val="006B089B"/>
    <w:rsid w:val="006B09CE"/>
    <w:rsid w:val="006B18F2"/>
    <w:rsid w:val="006B3780"/>
    <w:rsid w:val="006B572D"/>
    <w:rsid w:val="006B5835"/>
    <w:rsid w:val="006B5B03"/>
    <w:rsid w:val="006B76F2"/>
    <w:rsid w:val="006C06B4"/>
    <w:rsid w:val="006C10D6"/>
    <w:rsid w:val="006C184E"/>
    <w:rsid w:val="006C2CB7"/>
    <w:rsid w:val="006C31D7"/>
    <w:rsid w:val="006C5168"/>
    <w:rsid w:val="006C5BBB"/>
    <w:rsid w:val="006D0A46"/>
    <w:rsid w:val="006D3162"/>
    <w:rsid w:val="006D3AC5"/>
    <w:rsid w:val="006D3D48"/>
    <w:rsid w:val="006D5585"/>
    <w:rsid w:val="006D60AB"/>
    <w:rsid w:val="006D671E"/>
    <w:rsid w:val="006D73C5"/>
    <w:rsid w:val="006D7D2D"/>
    <w:rsid w:val="006D7EE1"/>
    <w:rsid w:val="006E0489"/>
    <w:rsid w:val="006E2C01"/>
    <w:rsid w:val="006E2CF9"/>
    <w:rsid w:val="006E486B"/>
    <w:rsid w:val="006E4CC2"/>
    <w:rsid w:val="006E65CF"/>
    <w:rsid w:val="006E70EC"/>
    <w:rsid w:val="006E74EB"/>
    <w:rsid w:val="006E7DAB"/>
    <w:rsid w:val="006E7FD1"/>
    <w:rsid w:val="006F01B9"/>
    <w:rsid w:val="006F4A09"/>
    <w:rsid w:val="006F508F"/>
    <w:rsid w:val="006F57C0"/>
    <w:rsid w:val="006F62F1"/>
    <w:rsid w:val="006F663D"/>
    <w:rsid w:val="007013BB"/>
    <w:rsid w:val="00702135"/>
    <w:rsid w:val="00702D41"/>
    <w:rsid w:val="0070478B"/>
    <w:rsid w:val="00705A9A"/>
    <w:rsid w:val="00705FC4"/>
    <w:rsid w:val="00706513"/>
    <w:rsid w:val="00706F94"/>
    <w:rsid w:val="007079D9"/>
    <w:rsid w:val="00712103"/>
    <w:rsid w:val="00715106"/>
    <w:rsid w:val="007166CA"/>
    <w:rsid w:val="00720DC2"/>
    <w:rsid w:val="0072184A"/>
    <w:rsid w:val="00722A9C"/>
    <w:rsid w:val="00723008"/>
    <w:rsid w:val="0072317B"/>
    <w:rsid w:val="00723654"/>
    <w:rsid w:val="00723C69"/>
    <w:rsid w:val="00726A85"/>
    <w:rsid w:val="00727E73"/>
    <w:rsid w:val="007309B1"/>
    <w:rsid w:val="00732504"/>
    <w:rsid w:val="0073478B"/>
    <w:rsid w:val="007358D0"/>
    <w:rsid w:val="00736729"/>
    <w:rsid w:val="0074008E"/>
    <w:rsid w:val="0074205B"/>
    <w:rsid w:val="0074538A"/>
    <w:rsid w:val="0074732D"/>
    <w:rsid w:val="0075143D"/>
    <w:rsid w:val="007533C2"/>
    <w:rsid w:val="0075422D"/>
    <w:rsid w:val="00757507"/>
    <w:rsid w:val="00757792"/>
    <w:rsid w:val="00757B0A"/>
    <w:rsid w:val="007624BA"/>
    <w:rsid w:val="007642F6"/>
    <w:rsid w:val="00764C5A"/>
    <w:rsid w:val="007658B8"/>
    <w:rsid w:val="00766E90"/>
    <w:rsid w:val="00767886"/>
    <w:rsid w:val="00770E56"/>
    <w:rsid w:val="007729BF"/>
    <w:rsid w:val="00772AAA"/>
    <w:rsid w:val="007734D5"/>
    <w:rsid w:val="0077769C"/>
    <w:rsid w:val="00777CD8"/>
    <w:rsid w:val="00780531"/>
    <w:rsid w:val="00781F34"/>
    <w:rsid w:val="007827A1"/>
    <w:rsid w:val="007869AB"/>
    <w:rsid w:val="0079120C"/>
    <w:rsid w:val="00792B46"/>
    <w:rsid w:val="00792F5A"/>
    <w:rsid w:val="00795742"/>
    <w:rsid w:val="00796176"/>
    <w:rsid w:val="00796F26"/>
    <w:rsid w:val="007978DB"/>
    <w:rsid w:val="007A221E"/>
    <w:rsid w:val="007A454A"/>
    <w:rsid w:val="007A60D0"/>
    <w:rsid w:val="007A6D46"/>
    <w:rsid w:val="007A74F2"/>
    <w:rsid w:val="007A77B0"/>
    <w:rsid w:val="007A79D4"/>
    <w:rsid w:val="007B066E"/>
    <w:rsid w:val="007B192B"/>
    <w:rsid w:val="007B3197"/>
    <w:rsid w:val="007B44C7"/>
    <w:rsid w:val="007B516C"/>
    <w:rsid w:val="007B757A"/>
    <w:rsid w:val="007B7CC7"/>
    <w:rsid w:val="007C160F"/>
    <w:rsid w:val="007C37A3"/>
    <w:rsid w:val="007C3D9A"/>
    <w:rsid w:val="007C527F"/>
    <w:rsid w:val="007C7430"/>
    <w:rsid w:val="007C7EEF"/>
    <w:rsid w:val="007D16E4"/>
    <w:rsid w:val="007D244F"/>
    <w:rsid w:val="007D6601"/>
    <w:rsid w:val="007E1665"/>
    <w:rsid w:val="007E5814"/>
    <w:rsid w:val="007F311C"/>
    <w:rsid w:val="007F4F7A"/>
    <w:rsid w:val="007F63E9"/>
    <w:rsid w:val="007F6C15"/>
    <w:rsid w:val="008010B3"/>
    <w:rsid w:val="00803748"/>
    <w:rsid w:val="0080387E"/>
    <w:rsid w:val="00804F1B"/>
    <w:rsid w:val="008052CB"/>
    <w:rsid w:val="00805CDB"/>
    <w:rsid w:val="00805F9E"/>
    <w:rsid w:val="0080644B"/>
    <w:rsid w:val="008065E3"/>
    <w:rsid w:val="00806871"/>
    <w:rsid w:val="0080749E"/>
    <w:rsid w:val="00807A73"/>
    <w:rsid w:val="00807BC7"/>
    <w:rsid w:val="00810474"/>
    <w:rsid w:val="0081407C"/>
    <w:rsid w:val="0081417F"/>
    <w:rsid w:val="00814FA5"/>
    <w:rsid w:val="00815952"/>
    <w:rsid w:val="00816B36"/>
    <w:rsid w:val="00816E42"/>
    <w:rsid w:val="00817A07"/>
    <w:rsid w:val="00817E6E"/>
    <w:rsid w:val="00821C26"/>
    <w:rsid w:val="0082320B"/>
    <w:rsid w:val="00823B9E"/>
    <w:rsid w:val="00824032"/>
    <w:rsid w:val="0082415E"/>
    <w:rsid w:val="008273B1"/>
    <w:rsid w:val="00833C1A"/>
    <w:rsid w:val="00836E1D"/>
    <w:rsid w:val="00837D7E"/>
    <w:rsid w:val="00840843"/>
    <w:rsid w:val="00841BE1"/>
    <w:rsid w:val="00844193"/>
    <w:rsid w:val="00844CA4"/>
    <w:rsid w:val="008457D9"/>
    <w:rsid w:val="00846D47"/>
    <w:rsid w:val="00847264"/>
    <w:rsid w:val="008504EA"/>
    <w:rsid w:val="00853960"/>
    <w:rsid w:val="00853AAF"/>
    <w:rsid w:val="008543B0"/>
    <w:rsid w:val="00854C63"/>
    <w:rsid w:val="00854CC8"/>
    <w:rsid w:val="00857473"/>
    <w:rsid w:val="008608C6"/>
    <w:rsid w:val="0086090A"/>
    <w:rsid w:val="0086126B"/>
    <w:rsid w:val="008613BF"/>
    <w:rsid w:val="00864C4D"/>
    <w:rsid w:val="008723F2"/>
    <w:rsid w:val="00872B86"/>
    <w:rsid w:val="0087467F"/>
    <w:rsid w:val="008752A0"/>
    <w:rsid w:val="00875CE8"/>
    <w:rsid w:val="00876E1E"/>
    <w:rsid w:val="0087714C"/>
    <w:rsid w:val="00877311"/>
    <w:rsid w:val="00877E0B"/>
    <w:rsid w:val="00881E21"/>
    <w:rsid w:val="008823EA"/>
    <w:rsid w:val="00883232"/>
    <w:rsid w:val="008848CD"/>
    <w:rsid w:val="008858E8"/>
    <w:rsid w:val="00886809"/>
    <w:rsid w:val="008874C5"/>
    <w:rsid w:val="00891044"/>
    <w:rsid w:val="00891534"/>
    <w:rsid w:val="008942B3"/>
    <w:rsid w:val="00895156"/>
    <w:rsid w:val="0089646F"/>
    <w:rsid w:val="00896C46"/>
    <w:rsid w:val="008970B3"/>
    <w:rsid w:val="00897A3F"/>
    <w:rsid w:val="008A077E"/>
    <w:rsid w:val="008A07F9"/>
    <w:rsid w:val="008A1A5A"/>
    <w:rsid w:val="008A4706"/>
    <w:rsid w:val="008A58B7"/>
    <w:rsid w:val="008A7B23"/>
    <w:rsid w:val="008B06F9"/>
    <w:rsid w:val="008B0855"/>
    <w:rsid w:val="008B3079"/>
    <w:rsid w:val="008B311C"/>
    <w:rsid w:val="008B5047"/>
    <w:rsid w:val="008B54C3"/>
    <w:rsid w:val="008B6082"/>
    <w:rsid w:val="008C3836"/>
    <w:rsid w:val="008C59C6"/>
    <w:rsid w:val="008C5A33"/>
    <w:rsid w:val="008C669E"/>
    <w:rsid w:val="008D0CD0"/>
    <w:rsid w:val="008D16CD"/>
    <w:rsid w:val="008D239C"/>
    <w:rsid w:val="008D2402"/>
    <w:rsid w:val="008D463C"/>
    <w:rsid w:val="008D4F41"/>
    <w:rsid w:val="008D777E"/>
    <w:rsid w:val="008D77A8"/>
    <w:rsid w:val="008E0AB7"/>
    <w:rsid w:val="008E2DAA"/>
    <w:rsid w:val="008E46AB"/>
    <w:rsid w:val="008E5ADD"/>
    <w:rsid w:val="008E6DF0"/>
    <w:rsid w:val="008E775C"/>
    <w:rsid w:val="008F00F3"/>
    <w:rsid w:val="008F0405"/>
    <w:rsid w:val="008F1065"/>
    <w:rsid w:val="008F1877"/>
    <w:rsid w:val="008F3A30"/>
    <w:rsid w:val="008F3C33"/>
    <w:rsid w:val="008F3CCF"/>
    <w:rsid w:val="008F41FF"/>
    <w:rsid w:val="008F58A1"/>
    <w:rsid w:val="008F5947"/>
    <w:rsid w:val="008F5BD4"/>
    <w:rsid w:val="008F6607"/>
    <w:rsid w:val="008F798B"/>
    <w:rsid w:val="00900A71"/>
    <w:rsid w:val="0090246E"/>
    <w:rsid w:val="00903988"/>
    <w:rsid w:val="00904768"/>
    <w:rsid w:val="00910284"/>
    <w:rsid w:val="009110FC"/>
    <w:rsid w:val="00911B45"/>
    <w:rsid w:val="00914B38"/>
    <w:rsid w:val="00920114"/>
    <w:rsid w:val="009212DA"/>
    <w:rsid w:val="0092140C"/>
    <w:rsid w:val="009214AA"/>
    <w:rsid w:val="009228B8"/>
    <w:rsid w:val="009239E1"/>
    <w:rsid w:val="00924587"/>
    <w:rsid w:val="009248A5"/>
    <w:rsid w:val="009254B2"/>
    <w:rsid w:val="009257E1"/>
    <w:rsid w:val="00925A8F"/>
    <w:rsid w:val="00926049"/>
    <w:rsid w:val="009264CC"/>
    <w:rsid w:val="009304D2"/>
    <w:rsid w:val="0093077F"/>
    <w:rsid w:val="00930F09"/>
    <w:rsid w:val="009319CE"/>
    <w:rsid w:val="009339C1"/>
    <w:rsid w:val="00933E15"/>
    <w:rsid w:val="00934DE7"/>
    <w:rsid w:val="00934F38"/>
    <w:rsid w:val="009355E6"/>
    <w:rsid w:val="00935C91"/>
    <w:rsid w:val="00936520"/>
    <w:rsid w:val="00936C71"/>
    <w:rsid w:val="009370BC"/>
    <w:rsid w:val="00940B79"/>
    <w:rsid w:val="00940D33"/>
    <w:rsid w:val="00940EED"/>
    <w:rsid w:val="0094225E"/>
    <w:rsid w:val="00943500"/>
    <w:rsid w:val="009443CB"/>
    <w:rsid w:val="00945A4C"/>
    <w:rsid w:val="00945B12"/>
    <w:rsid w:val="00947CD4"/>
    <w:rsid w:val="0095099E"/>
    <w:rsid w:val="00950E54"/>
    <w:rsid w:val="009512A3"/>
    <w:rsid w:val="00951B8C"/>
    <w:rsid w:val="0095407A"/>
    <w:rsid w:val="0095450C"/>
    <w:rsid w:val="00955D2B"/>
    <w:rsid w:val="00955F67"/>
    <w:rsid w:val="00957B5F"/>
    <w:rsid w:val="0096185C"/>
    <w:rsid w:val="009618A1"/>
    <w:rsid w:val="00961A79"/>
    <w:rsid w:val="00962EC2"/>
    <w:rsid w:val="0096423A"/>
    <w:rsid w:val="00970B51"/>
    <w:rsid w:val="00972D22"/>
    <w:rsid w:val="00974C4E"/>
    <w:rsid w:val="00974E6B"/>
    <w:rsid w:val="009758FD"/>
    <w:rsid w:val="00977A92"/>
    <w:rsid w:val="00980957"/>
    <w:rsid w:val="009816C4"/>
    <w:rsid w:val="009826E6"/>
    <w:rsid w:val="009827EB"/>
    <w:rsid w:val="00983C38"/>
    <w:rsid w:val="0099187A"/>
    <w:rsid w:val="009919BB"/>
    <w:rsid w:val="00992E0F"/>
    <w:rsid w:val="00994047"/>
    <w:rsid w:val="009957CD"/>
    <w:rsid w:val="00996571"/>
    <w:rsid w:val="0099764B"/>
    <w:rsid w:val="009A17CD"/>
    <w:rsid w:val="009A1911"/>
    <w:rsid w:val="009A4598"/>
    <w:rsid w:val="009A7CFF"/>
    <w:rsid w:val="009B0C02"/>
    <w:rsid w:val="009B43D0"/>
    <w:rsid w:val="009C27DD"/>
    <w:rsid w:val="009C37CE"/>
    <w:rsid w:val="009C52DC"/>
    <w:rsid w:val="009C5CB2"/>
    <w:rsid w:val="009C6ECF"/>
    <w:rsid w:val="009C7472"/>
    <w:rsid w:val="009D003B"/>
    <w:rsid w:val="009D028C"/>
    <w:rsid w:val="009D0CF0"/>
    <w:rsid w:val="009D2A8D"/>
    <w:rsid w:val="009D76FD"/>
    <w:rsid w:val="009E24FC"/>
    <w:rsid w:val="009E2597"/>
    <w:rsid w:val="009E2ABA"/>
    <w:rsid w:val="009E3500"/>
    <w:rsid w:val="009E6CC1"/>
    <w:rsid w:val="009F28C1"/>
    <w:rsid w:val="009F6277"/>
    <w:rsid w:val="009F79D9"/>
    <w:rsid w:val="00A00156"/>
    <w:rsid w:val="00A00168"/>
    <w:rsid w:val="00A01417"/>
    <w:rsid w:val="00A01A7E"/>
    <w:rsid w:val="00A022EC"/>
    <w:rsid w:val="00A02CDA"/>
    <w:rsid w:val="00A03C54"/>
    <w:rsid w:val="00A065B9"/>
    <w:rsid w:val="00A072BD"/>
    <w:rsid w:val="00A07596"/>
    <w:rsid w:val="00A10844"/>
    <w:rsid w:val="00A115DB"/>
    <w:rsid w:val="00A126C7"/>
    <w:rsid w:val="00A1326A"/>
    <w:rsid w:val="00A1359E"/>
    <w:rsid w:val="00A14C2E"/>
    <w:rsid w:val="00A1578C"/>
    <w:rsid w:val="00A158B0"/>
    <w:rsid w:val="00A159BC"/>
    <w:rsid w:val="00A1652D"/>
    <w:rsid w:val="00A20185"/>
    <w:rsid w:val="00A26BFA"/>
    <w:rsid w:val="00A32FDE"/>
    <w:rsid w:val="00A33403"/>
    <w:rsid w:val="00A34494"/>
    <w:rsid w:val="00A35B25"/>
    <w:rsid w:val="00A4005A"/>
    <w:rsid w:val="00A40D5B"/>
    <w:rsid w:val="00A40EAA"/>
    <w:rsid w:val="00A416CF"/>
    <w:rsid w:val="00A41D0B"/>
    <w:rsid w:val="00A42795"/>
    <w:rsid w:val="00A44379"/>
    <w:rsid w:val="00A444B0"/>
    <w:rsid w:val="00A45CD8"/>
    <w:rsid w:val="00A45CED"/>
    <w:rsid w:val="00A51698"/>
    <w:rsid w:val="00A524AD"/>
    <w:rsid w:val="00A613B2"/>
    <w:rsid w:val="00A61652"/>
    <w:rsid w:val="00A6190D"/>
    <w:rsid w:val="00A61E69"/>
    <w:rsid w:val="00A625B1"/>
    <w:rsid w:val="00A663CF"/>
    <w:rsid w:val="00A6752B"/>
    <w:rsid w:val="00A67AC2"/>
    <w:rsid w:val="00A700AC"/>
    <w:rsid w:val="00A706A1"/>
    <w:rsid w:val="00A70729"/>
    <w:rsid w:val="00A719E8"/>
    <w:rsid w:val="00A72B56"/>
    <w:rsid w:val="00A72C02"/>
    <w:rsid w:val="00A72E56"/>
    <w:rsid w:val="00A736DA"/>
    <w:rsid w:val="00A75988"/>
    <w:rsid w:val="00A75CF6"/>
    <w:rsid w:val="00A76537"/>
    <w:rsid w:val="00A773FE"/>
    <w:rsid w:val="00A80981"/>
    <w:rsid w:val="00A833E5"/>
    <w:rsid w:val="00A84053"/>
    <w:rsid w:val="00A85A22"/>
    <w:rsid w:val="00A85B7B"/>
    <w:rsid w:val="00A866E8"/>
    <w:rsid w:val="00A9100C"/>
    <w:rsid w:val="00A91F44"/>
    <w:rsid w:val="00A94D1B"/>
    <w:rsid w:val="00A94EA7"/>
    <w:rsid w:val="00A95D2E"/>
    <w:rsid w:val="00AA0395"/>
    <w:rsid w:val="00AA06D8"/>
    <w:rsid w:val="00AA22F9"/>
    <w:rsid w:val="00AA29A0"/>
    <w:rsid w:val="00AA5596"/>
    <w:rsid w:val="00AB14D5"/>
    <w:rsid w:val="00AB172D"/>
    <w:rsid w:val="00AB2F4D"/>
    <w:rsid w:val="00AB38A0"/>
    <w:rsid w:val="00AB4B8A"/>
    <w:rsid w:val="00AB4CBF"/>
    <w:rsid w:val="00AB5262"/>
    <w:rsid w:val="00AB5522"/>
    <w:rsid w:val="00AB5835"/>
    <w:rsid w:val="00AB678E"/>
    <w:rsid w:val="00AB7898"/>
    <w:rsid w:val="00AB7E4D"/>
    <w:rsid w:val="00AC09BC"/>
    <w:rsid w:val="00AC0E58"/>
    <w:rsid w:val="00AC1099"/>
    <w:rsid w:val="00AC48AB"/>
    <w:rsid w:val="00AC4DB6"/>
    <w:rsid w:val="00AC6029"/>
    <w:rsid w:val="00AC69FD"/>
    <w:rsid w:val="00AD0DCD"/>
    <w:rsid w:val="00AD1DCF"/>
    <w:rsid w:val="00AD2E48"/>
    <w:rsid w:val="00AD36D7"/>
    <w:rsid w:val="00AD48FE"/>
    <w:rsid w:val="00AD72DD"/>
    <w:rsid w:val="00AE1128"/>
    <w:rsid w:val="00AE31F7"/>
    <w:rsid w:val="00AE342B"/>
    <w:rsid w:val="00AE37B0"/>
    <w:rsid w:val="00AE37F9"/>
    <w:rsid w:val="00AE5F79"/>
    <w:rsid w:val="00AE758B"/>
    <w:rsid w:val="00AF0587"/>
    <w:rsid w:val="00AF1E0C"/>
    <w:rsid w:val="00AF2209"/>
    <w:rsid w:val="00AF2EB8"/>
    <w:rsid w:val="00AF4D4B"/>
    <w:rsid w:val="00AF63A4"/>
    <w:rsid w:val="00B041A6"/>
    <w:rsid w:val="00B07841"/>
    <w:rsid w:val="00B07888"/>
    <w:rsid w:val="00B07BD8"/>
    <w:rsid w:val="00B1063F"/>
    <w:rsid w:val="00B110B6"/>
    <w:rsid w:val="00B11E1F"/>
    <w:rsid w:val="00B135F1"/>
    <w:rsid w:val="00B155A5"/>
    <w:rsid w:val="00B15B27"/>
    <w:rsid w:val="00B165F4"/>
    <w:rsid w:val="00B16F9E"/>
    <w:rsid w:val="00B1759C"/>
    <w:rsid w:val="00B20956"/>
    <w:rsid w:val="00B20F3C"/>
    <w:rsid w:val="00B21F1F"/>
    <w:rsid w:val="00B2342E"/>
    <w:rsid w:val="00B23815"/>
    <w:rsid w:val="00B25236"/>
    <w:rsid w:val="00B279A9"/>
    <w:rsid w:val="00B301D1"/>
    <w:rsid w:val="00B34C2E"/>
    <w:rsid w:val="00B3663E"/>
    <w:rsid w:val="00B36BD0"/>
    <w:rsid w:val="00B3710F"/>
    <w:rsid w:val="00B41683"/>
    <w:rsid w:val="00B4342C"/>
    <w:rsid w:val="00B4348C"/>
    <w:rsid w:val="00B43621"/>
    <w:rsid w:val="00B43A48"/>
    <w:rsid w:val="00B45AFC"/>
    <w:rsid w:val="00B45F29"/>
    <w:rsid w:val="00B46955"/>
    <w:rsid w:val="00B46F8B"/>
    <w:rsid w:val="00B47677"/>
    <w:rsid w:val="00B517B5"/>
    <w:rsid w:val="00B525B4"/>
    <w:rsid w:val="00B5428A"/>
    <w:rsid w:val="00B65F0F"/>
    <w:rsid w:val="00B665D3"/>
    <w:rsid w:val="00B66A73"/>
    <w:rsid w:val="00B6795B"/>
    <w:rsid w:val="00B70235"/>
    <w:rsid w:val="00B70B02"/>
    <w:rsid w:val="00B711D6"/>
    <w:rsid w:val="00B7183A"/>
    <w:rsid w:val="00B752D9"/>
    <w:rsid w:val="00B8007B"/>
    <w:rsid w:val="00B80687"/>
    <w:rsid w:val="00B816E6"/>
    <w:rsid w:val="00B81A44"/>
    <w:rsid w:val="00B81E91"/>
    <w:rsid w:val="00B827F7"/>
    <w:rsid w:val="00B830E9"/>
    <w:rsid w:val="00B872FE"/>
    <w:rsid w:val="00B91C4F"/>
    <w:rsid w:val="00B92785"/>
    <w:rsid w:val="00B95FBE"/>
    <w:rsid w:val="00B9685F"/>
    <w:rsid w:val="00B96C81"/>
    <w:rsid w:val="00B972E8"/>
    <w:rsid w:val="00B976B9"/>
    <w:rsid w:val="00B97A67"/>
    <w:rsid w:val="00BA0A70"/>
    <w:rsid w:val="00BA2617"/>
    <w:rsid w:val="00BA4150"/>
    <w:rsid w:val="00BA4D58"/>
    <w:rsid w:val="00BA5D9E"/>
    <w:rsid w:val="00BA7077"/>
    <w:rsid w:val="00BA7348"/>
    <w:rsid w:val="00BA7E1A"/>
    <w:rsid w:val="00BB05A0"/>
    <w:rsid w:val="00BB1848"/>
    <w:rsid w:val="00BB26C5"/>
    <w:rsid w:val="00BB4DBC"/>
    <w:rsid w:val="00BB4F59"/>
    <w:rsid w:val="00BB6261"/>
    <w:rsid w:val="00BB67EA"/>
    <w:rsid w:val="00BB7B0A"/>
    <w:rsid w:val="00BC0A01"/>
    <w:rsid w:val="00BC4B0A"/>
    <w:rsid w:val="00BC7EEF"/>
    <w:rsid w:val="00BD0013"/>
    <w:rsid w:val="00BD36CF"/>
    <w:rsid w:val="00BD4A10"/>
    <w:rsid w:val="00BD4B23"/>
    <w:rsid w:val="00BD4F69"/>
    <w:rsid w:val="00BD58A0"/>
    <w:rsid w:val="00BE0001"/>
    <w:rsid w:val="00BE0506"/>
    <w:rsid w:val="00BE0B47"/>
    <w:rsid w:val="00BE1ACF"/>
    <w:rsid w:val="00BE1B7C"/>
    <w:rsid w:val="00BE248A"/>
    <w:rsid w:val="00BE390E"/>
    <w:rsid w:val="00BE4425"/>
    <w:rsid w:val="00BE5294"/>
    <w:rsid w:val="00BE5711"/>
    <w:rsid w:val="00BE5761"/>
    <w:rsid w:val="00BE63C6"/>
    <w:rsid w:val="00BF1227"/>
    <w:rsid w:val="00BF2602"/>
    <w:rsid w:val="00BF3924"/>
    <w:rsid w:val="00BF4763"/>
    <w:rsid w:val="00BF6C76"/>
    <w:rsid w:val="00BF6D7E"/>
    <w:rsid w:val="00C04359"/>
    <w:rsid w:val="00C07173"/>
    <w:rsid w:val="00C07B5B"/>
    <w:rsid w:val="00C07E4E"/>
    <w:rsid w:val="00C10A35"/>
    <w:rsid w:val="00C12FA2"/>
    <w:rsid w:val="00C133E3"/>
    <w:rsid w:val="00C14399"/>
    <w:rsid w:val="00C17CC3"/>
    <w:rsid w:val="00C17E7E"/>
    <w:rsid w:val="00C212E0"/>
    <w:rsid w:val="00C2231A"/>
    <w:rsid w:val="00C24532"/>
    <w:rsid w:val="00C247DB"/>
    <w:rsid w:val="00C2636E"/>
    <w:rsid w:val="00C264DA"/>
    <w:rsid w:val="00C26AA5"/>
    <w:rsid w:val="00C26FD1"/>
    <w:rsid w:val="00C27911"/>
    <w:rsid w:val="00C3196A"/>
    <w:rsid w:val="00C326B8"/>
    <w:rsid w:val="00C3409C"/>
    <w:rsid w:val="00C36558"/>
    <w:rsid w:val="00C37611"/>
    <w:rsid w:val="00C40517"/>
    <w:rsid w:val="00C40820"/>
    <w:rsid w:val="00C40E14"/>
    <w:rsid w:val="00C41357"/>
    <w:rsid w:val="00C43819"/>
    <w:rsid w:val="00C44449"/>
    <w:rsid w:val="00C452C7"/>
    <w:rsid w:val="00C46497"/>
    <w:rsid w:val="00C500E9"/>
    <w:rsid w:val="00C5115E"/>
    <w:rsid w:val="00C53F00"/>
    <w:rsid w:val="00C557CE"/>
    <w:rsid w:val="00C5662F"/>
    <w:rsid w:val="00C60EFD"/>
    <w:rsid w:val="00C613A1"/>
    <w:rsid w:val="00C64973"/>
    <w:rsid w:val="00C65C02"/>
    <w:rsid w:val="00C6726D"/>
    <w:rsid w:val="00C67641"/>
    <w:rsid w:val="00C70DD9"/>
    <w:rsid w:val="00C71D39"/>
    <w:rsid w:val="00C74400"/>
    <w:rsid w:val="00C76B7E"/>
    <w:rsid w:val="00C76BBE"/>
    <w:rsid w:val="00C773A4"/>
    <w:rsid w:val="00C773B6"/>
    <w:rsid w:val="00C77EA2"/>
    <w:rsid w:val="00C81AA8"/>
    <w:rsid w:val="00C8282C"/>
    <w:rsid w:val="00C86D9B"/>
    <w:rsid w:val="00C87617"/>
    <w:rsid w:val="00C87FDA"/>
    <w:rsid w:val="00C90562"/>
    <w:rsid w:val="00C9076F"/>
    <w:rsid w:val="00C90D0E"/>
    <w:rsid w:val="00C90FE5"/>
    <w:rsid w:val="00C94B02"/>
    <w:rsid w:val="00CA0F90"/>
    <w:rsid w:val="00CA32B4"/>
    <w:rsid w:val="00CA5B6E"/>
    <w:rsid w:val="00CA6015"/>
    <w:rsid w:val="00CA69EE"/>
    <w:rsid w:val="00CB04B0"/>
    <w:rsid w:val="00CB1FF0"/>
    <w:rsid w:val="00CB21E7"/>
    <w:rsid w:val="00CB51AC"/>
    <w:rsid w:val="00CB68CF"/>
    <w:rsid w:val="00CB749F"/>
    <w:rsid w:val="00CB7885"/>
    <w:rsid w:val="00CC0B2C"/>
    <w:rsid w:val="00CC0C15"/>
    <w:rsid w:val="00CC3876"/>
    <w:rsid w:val="00CC489D"/>
    <w:rsid w:val="00CC4E82"/>
    <w:rsid w:val="00CC60CC"/>
    <w:rsid w:val="00CC6BC9"/>
    <w:rsid w:val="00CC6F35"/>
    <w:rsid w:val="00CC79FF"/>
    <w:rsid w:val="00CC7CC2"/>
    <w:rsid w:val="00CD2189"/>
    <w:rsid w:val="00CD4AF1"/>
    <w:rsid w:val="00CD6AF3"/>
    <w:rsid w:val="00CD7ACF"/>
    <w:rsid w:val="00CE0358"/>
    <w:rsid w:val="00CE0813"/>
    <w:rsid w:val="00CE2EEE"/>
    <w:rsid w:val="00CE498A"/>
    <w:rsid w:val="00CE5248"/>
    <w:rsid w:val="00CF0706"/>
    <w:rsid w:val="00CF197F"/>
    <w:rsid w:val="00CF223D"/>
    <w:rsid w:val="00CF4DA4"/>
    <w:rsid w:val="00CF5666"/>
    <w:rsid w:val="00D00FC3"/>
    <w:rsid w:val="00D01B06"/>
    <w:rsid w:val="00D01CBB"/>
    <w:rsid w:val="00D02249"/>
    <w:rsid w:val="00D036C7"/>
    <w:rsid w:val="00D042AA"/>
    <w:rsid w:val="00D0587C"/>
    <w:rsid w:val="00D05E36"/>
    <w:rsid w:val="00D07820"/>
    <w:rsid w:val="00D1237C"/>
    <w:rsid w:val="00D12932"/>
    <w:rsid w:val="00D13C74"/>
    <w:rsid w:val="00D13E03"/>
    <w:rsid w:val="00D16A77"/>
    <w:rsid w:val="00D22796"/>
    <w:rsid w:val="00D22D12"/>
    <w:rsid w:val="00D25621"/>
    <w:rsid w:val="00D2699F"/>
    <w:rsid w:val="00D30778"/>
    <w:rsid w:val="00D30904"/>
    <w:rsid w:val="00D311D7"/>
    <w:rsid w:val="00D337C6"/>
    <w:rsid w:val="00D33ADD"/>
    <w:rsid w:val="00D34447"/>
    <w:rsid w:val="00D34A53"/>
    <w:rsid w:val="00D35FBE"/>
    <w:rsid w:val="00D371FB"/>
    <w:rsid w:val="00D37A27"/>
    <w:rsid w:val="00D41FF0"/>
    <w:rsid w:val="00D42F8D"/>
    <w:rsid w:val="00D442E9"/>
    <w:rsid w:val="00D460E7"/>
    <w:rsid w:val="00D5021D"/>
    <w:rsid w:val="00D52A70"/>
    <w:rsid w:val="00D52F11"/>
    <w:rsid w:val="00D53474"/>
    <w:rsid w:val="00D53760"/>
    <w:rsid w:val="00D559E2"/>
    <w:rsid w:val="00D5712B"/>
    <w:rsid w:val="00D60E46"/>
    <w:rsid w:val="00D61DD5"/>
    <w:rsid w:val="00D61F35"/>
    <w:rsid w:val="00D64B1F"/>
    <w:rsid w:val="00D64CE5"/>
    <w:rsid w:val="00D6671A"/>
    <w:rsid w:val="00D670AD"/>
    <w:rsid w:val="00D67FEE"/>
    <w:rsid w:val="00D71535"/>
    <w:rsid w:val="00D72268"/>
    <w:rsid w:val="00D73204"/>
    <w:rsid w:val="00D747A5"/>
    <w:rsid w:val="00D75947"/>
    <w:rsid w:val="00D75DCD"/>
    <w:rsid w:val="00D7691E"/>
    <w:rsid w:val="00D83126"/>
    <w:rsid w:val="00D83273"/>
    <w:rsid w:val="00D83DFC"/>
    <w:rsid w:val="00D84863"/>
    <w:rsid w:val="00D85E4F"/>
    <w:rsid w:val="00D86098"/>
    <w:rsid w:val="00D86B33"/>
    <w:rsid w:val="00D86CC0"/>
    <w:rsid w:val="00D86CE7"/>
    <w:rsid w:val="00D87EBB"/>
    <w:rsid w:val="00D917F6"/>
    <w:rsid w:val="00D91D5C"/>
    <w:rsid w:val="00D92198"/>
    <w:rsid w:val="00D934C8"/>
    <w:rsid w:val="00D94097"/>
    <w:rsid w:val="00DA0DFA"/>
    <w:rsid w:val="00DA2D3D"/>
    <w:rsid w:val="00DA59CA"/>
    <w:rsid w:val="00DA660E"/>
    <w:rsid w:val="00DA7C67"/>
    <w:rsid w:val="00DB46F4"/>
    <w:rsid w:val="00DB70A1"/>
    <w:rsid w:val="00DC276D"/>
    <w:rsid w:val="00DC32E8"/>
    <w:rsid w:val="00DC4283"/>
    <w:rsid w:val="00DC4529"/>
    <w:rsid w:val="00DC4942"/>
    <w:rsid w:val="00DC4A9A"/>
    <w:rsid w:val="00DC5676"/>
    <w:rsid w:val="00DC5BBF"/>
    <w:rsid w:val="00DC5F42"/>
    <w:rsid w:val="00DC5FCE"/>
    <w:rsid w:val="00DC61BD"/>
    <w:rsid w:val="00DC671B"/>
    <w:rsid w:val="00DD0142"/>
    <w:rsid w:val="00DD1429"/>
    <w:rsid w:val="00DD1673"/>
    <w:rsid w:val="00DD1C84"/>
    <w:rsid w:val="00DD5E44"/>
    <w:rsid w:val="00DD66A6"/>
    <w:rsid w:val="00DD66F1"/>
    <w:rsid w:val="00DD6960"/>
    <w:rsid w:val="00DE20C3"/>
    <w:rsid w:val="00DE2934"/>
    <w:rsid w:val="00DE2EEE"/>
    <w:rsid w:val="00DE31B0"/>
    <w:rsid w:val="00DE3DBE"/>
    <w:rsid w:val="00DF1511"/>
    <w:rsid w:val="00DF1631"/>
    <w:rsid w:val="00DF21AF"/>
    <w:rsid w:val="00DF22A7"/>
    <w:rsid w:val="00DF73DB"/>
    <w:rsid w:val="00DF78F9"/>
    <w:rsid w:val="00E00EB6"/>
    <w:rsid w:val="00E0286E"/>
    <w:rsid w:val="00E03384"/>
    <w:rsid w:val="00E04509"/>
    <w:rsid w:val="00E04968"/>
    <w:rsid w:val="00E0558C"/>
    <w:rsid w:val="00E07277"/>
    <w:rsid w:val="00E1192F"/>
    <w:rsid w:val="00E11D31"/>
    <w:rsid w:val="00E129D4"/>
    <w:rsid w:val="00E134A0"/>
    <w:rsid w:val="00E14E4A"/>
    <w:rsid w:val="00E178E8"/>
    <w:rsid w:val="00E20684"/>
    <w:rsid w:val="00E21676"/>
    <w:rsid w:val="00E21726"/>
    <w:rsid w:val="00E23A22"/>
    <w:rsid w:val="00E2569F"/>
    <w:rsid w:val="00E25713"/>
    <w:rsid w:val="00E26417"/>
    <w:rsid w:val="00E26B82"/>
    <w:rsid w:val="00E314C5"/>
    <w:rsid w:val="00E31904"/>
    <w:rsid w:val="00E32697"/>
    <w:rsid w:val="00E33421"/>
    <w:rsid w:val="00E33747"/>
    <w:rsid w:val="00E401F0"/>
    <w:rsid w:val="00E40EB5"/>
    <w:rsid w:val="00E429AA"/>
    <w:rsid w:val="00E45E6C"/>
    <w:rsid w:val="00E46641"/>
    <w:rsid w:val="00E47690"/>
    <w:rsid w:val="00E51B1A"/>
    <w:rsid w:val="00E51C7C"/>
    <w:rsid w:val="00E54B9D"/>
    <w:rsid w:val="00E564DF"/>
    <w:rsid w:val="00E57DBD"/>
    <w:rsid w:val="00E6090F"/>
    <w:rsid w:val="00E61DDD"/>
    <w:rsid w:val="00E61F7C"/>
    <w:rsid w:val="00E621A5"/>
    <w:rsid w:val="00E621D9"/>
    <w:rsid w:val="00E62C40"/>
    <w:rsid w:val="00E63864"/>
    <w:rsid w:val="00E665E2"/>
    <w:rsid w:val="00E674C7"/>
    <w:rsid w:val="00E70789"/>
    <w:rsid w:val="00E707A7"/>
    <w:rsid w:val="00E715DA"/>
    <w:rsid w:val="00E73406"/>
    <w:rsid w:val="00E750BB"/>
    <w:rsid w:val="00E75994"/>
    <w:rsid w:val="00E7674E"/>
    <w:rsid w:val="00E77924"/>
    <w:rsid w:val="00E81DBC"/>
    <w:rsid w:val="00E82241"/>
    <w:rsid w:val="00E858E6"/>
    <w:rsid w:val="00E87004"/>
    <w:rsid w:val="00E87053"/>
    <w:rsid w:val="00E912EB"/>
    <w:rsid w:val="00E92FB7"/>
    <w:rsid w:val="00E963BC"/>
    <w:rsid w:val="00EA35D7"/>
    <w:rsid w:val="00EA38CB"/>
    <w:rsid w:val="00EA3A47"/>
    <w:rsid w:val="00EB02DF"/>
    <w:rsid w:val="00EB1818"/>
    <w:rsid w:val="00EB2D41"/>
    <w:rsid w:val="00EB595F"/>
    <w:rsid w:val="00EC1990"/>
    <w:rsid w:val="00EC6F36"/>
    <w:rsid w:val="00EC720B"/>
    <w:rsid w:val="00EC7533"/>
    <w:rsid w:val="00EC7588"/>
    <w:rsid w:val="00ED04C0"/>
    <w:rsid w:val="00ED190C"/>
    <w:rsid w:val="00ED32F5"/>
    <w:rsid w:val="00ED61A3"/>
    <w:rsid w:val="00EE02D2"/>
    <w:rsid w:val="00EE0BDC"/>
    <w:rsid w:val="00EE2AD8"/>
    <w:rsid w:val="00EE2C93"/>
    <w:rsid w:val="00EE312F"/>
    <w:rsid w:val="00EE5A12"/>
    <w:rsid w:val="00EE7D60"/>
    <w:rsid w:val="00EF10DA"/>
    <w:rsid w:val="00EF2760"/>
    <w:rsid w:val="00EF3CC6"/>
    <w:rsid w:val="00EF422E"/>
    <w:rsid w:val="00EF7FD0"/>
    <w:rsid w:val="00F0173F"/>
    <w:rsid w:val="00F02ADD"/>
    <w:rsid w:val="00F03789"/>
    <w:rsid w:val="00F06625"/>
    <w:rsid w:val="00F07DA9"/>
    <w:rsid w:val="00F106A3"/>
    <w:rsid w:val="00F127FC"/>
    <w:rsid w:val="00F1591C"/>
    <w:rsid w:val="00F15D52"/>
    <w:rsid w:val="00F23032"/>
    <w:rsid w:val="00F23B66"/>
    <w:rsid w:val="00F246C8"/>
    <w:rsid w:val="00F24AC0"/>
    <w:rsid w:val="00F262C4"/>
    <w:rsid w:val="00F2751B"/>
    <w:rsid w:val="00F30EFD"/>
    <w:rsid w:val="00F3126B"/>
    <w:rsid w:val="00F37FC4"/>
    <w:rsid w:val="00F406D2"/>
    <w:rsid w:val="00F40833"/>
    <w:rsid w:val="00F414E8"/>
    <w:rsid w:val="00F427D7"/>
    <w:rsid w:val="00F437BC"/>
    <w:rsid w:val="00F4659E"/>
    <w:rsid w:val="00F47DC7"/>
    <w:rsid w:val="00F50818"/>
    <w:rsid w:val="00F51215"/>
    <w:rsid w:val="00F516C1"/>
    <w:rsid w:val="00F52AF1"/>
    <w:rsid w:val="00F54005"/>
    <w:rsid w:val="00F5441C"/>
    <w:rsid w:val="00F54AF1"/>
    <w:rsid w:val="00F57984"/>
    <w:rsid w:val="00F6277C"/>
    <w:rsid w:val="00F63F8D"/>
    <w:rsid w:val="00F65A68"/>
    <w:rsid w:val="00F663A8"/>
    <w:rsid w:val="00F677C1"/>
    <w:rsid w:val="00F713CE"/>
    <w:rsid w:val="00F72135"/>
    <w:rsid w:val="00F72B24"/>
    <w:rsid w:val="00F77ABF"/>
    <w:rsid w:val="00F80A50"/>
    <w:rsid w:val="00F80F31"/>
    <w:rsid w:val="00F81DF4"/>
    <w:rsid w:val="00F8502F"/>
    <w:rsid w:val="00F87D75"/>
    <w:rsid w:val="00F9047B"/>
    <w:rsid w:val="00F90A02"/>
    <w:rsid w:val="00F925F0"/>
    <w:rsid w:val="00F92989"/>
    <w:rsid w:val="00F92E1F"/>
    <w:rsid w:val="00F94845"/>
    <w:rsid w:val="00F95CD4"/>
    <w:rsid w:val="00FA09AA"/>
    <w:rsid w:val="00FA13B7"/>
    <w:rsid w:val="00FA2313"/>
    <w:rsid w:val="00FA2D2F"/>
    <w:rsid w:val="00FA3E8C"/>
    <w:rsid w:val="00FA465B"/>
    <w:rsid w:val="00FA70C0"/>
    <w:rsid w:val="00FB2099"/>
    <w:rsid w:val="00FB3874"/>
    <w:rsid w:val="00FB4723"/>
    <w:rsid w:val="00FB4A14"/>
    <w:rsid w:val="00FB57EC"/>
    <w:rsid w:val="00FC2420"/>
    <w:rsid w:val="00FC2AD8"/>
    <w:rsid w:val="00FC52CC"/>
    <w:rsid w:val="00FC564D"/>
    <w:rsid w:val="00FC58E6"/>
    <w:rsid w:val="00FC69A0"/>
    <w:rsid w:val="00FD0A65"/>
    <w:rsid w:val="00FD0C4A"/>
    <w:rsid w:val="00FD2AC6"/>
    <w:rsid w:val="00FD66BC"/>
    <w:rsid w:val="00FD7AF4"/>
    <w:rsid w:val="00FE032F"/>
    <w:rsid w:val="00FE3153"/>
    <w:rsid w:val="00FE3B38"/>
    <w:rsid w:val="00FE3D93"/>
    <w:rsid w:val="00FE61C3"/>
    <w:rsid w:val="00FE7337"/>
    <w:rsid w:val="00FF01D4"/>
    <w:rsid w:val="00FF0277"/>
    <w:rsid w:val="00FF0AA8"/>
    <w:rsid w:val="00FF137C"/>
    <w:rsid w:val="00FF4226"/>
    <w:rsid w:val="00FF668C"/>
    <w:rsid w:val="01BB5A85"/>
    <w:rsid w:val="02686806"/>
    <w:rsid w:val="027B50A0"/>
    <w:rsid w:val="02C7302D"/>
    <w:rsid w:val="0342200B"/>
    <w:rsid w:val="03640E9D"/>
    <w:rsid w:val="03722274"/>
    <w:rsid w:val="03744542"/>
    <w:rsid w:val="03E76911"/>
    <w:rsid w:val="051E68A1"/>
    <w:rsid w:val="05714C10"/>
    <w:rsid w:val="07073D52"/>
    <w:rsid w:val="0AFA14D1"/>
    <w:rsid w:val="0B332074"/>
    <w:rsid w:val="0B3A5ACD"/>
    <w:rsid w:val="0B961514"/>
    <w:rsid w:val="0C1128A3"/>
    <w:rsid w:val="0D4914A4"/>
    <w:rsid w:val="0D996F3E"/>
    <w:rsid w:val="10942FF6"/>
    <w:rsid w:val="10FE1368"/>
    <w:rsid w:val="11E111CE"/>
    <w:rsid w:val="1259455B"/>
    <w:rsid w:val="130D3087"/>
    <w:rsid w:val="13A96C14"/>
    <w:rsid w:val="13E51370"/>
    <w:rsid w:val="141F0C14"/>
    <w:rsid w:val="148B34E6"/>
    <w:rsid w:val="14AC4917"/>
    <w:rsid w:val="14CC545C"/>
    <w:rsid w:val="15B72E4B"/>
    <w:rsid w:val="15F30343"/>
    <w:rsid w:val="16252E64"/>
    <w:rsid w:val="169E0176"/>
    <w:rsid w:val="17795F6E"/>
    <w:rsid w:val="180C14E2"/>
    <w:rsid w:val="180C1E0D"/>
    <w:rsid w:val="18BF5979"/>
    <w:rsid w:val="18C01B9C"/>
    <w:rsid w:val="18C777B9"/>
    <w:rsid w:val="19131DD5"/>
    <w:rsid w:val="196072B3"/>
    <w:rsid w:val="19AF2B9F"/>
    <w:rsid w:val="1A825815"/>
    <w:rsid w:val="1AB15CE6"/>
    <w:rsid w:val="1B1B26AB"/>
    <w:rsid w:val="1B7D74D2"/>
    <w:rsid w:val="1BA01071"/>
    <w:rsid w:val="1BB14FDE"/>
    <w:rsid w:val="1C1E6708"/>
    <w:rsid w:val="1D0E3FAC"/>
    <w:rsid w:val="1E9E71A0"/>
    <w:rsid w:val="1EE05694"/>
    <w:rsid w:val="1F24348F"/>
    <w:rsid w:val="1F6F7F80"/>
    <w:rsid w:val="1FE857BD"/>
    <w:rsid w:val="21704590"/>
    <w:rsid w:val="21DD5830"/>
    <w:rsid w:val="222600A3"/>
    <w:rsid w:val="22355779"/>
    <w:rsid w:val="224D3B40"/>
    <w:rsid w:val="22CE2001"/>
    <w:rsid w:val="22FC27D6"/>
    <w:rsid w:val="24A33C86"/>
    <w:rsid w:val="25591B79"/>
    <w:rsid w:val="25A9392B"/>
    <w:rsid w:val="25BF4F51"/>
    <w:rsid w:val="265F7AA7"/>
    <w:rsid w:val="27CE4BB2"/>
    <w:rsid w:val="27F63180"/>
    <w:rsid w:val="2AA65291"/>
    <w:rsid w:val="2BB71031"/>
    <w:rsid w:val="2C153557"/>
    <w:rsid w:val="2C5C0A04"/>
    <w:rsid w:val="2CB806F4"/>
    <w:rsid w:val="2D2E2412"/>
    <w:rsid w:val="2D8358B2"/>
    <w:rsid w:val="2F341C97"/>
    <w:rsid w:val="2F6D36AA"/>
    <w:rsid w:val="30111F50"/>
    <w:rsid w:val="30350F35"/>
    <w:rsid w:val="30517BE0"/>
    <w:rsid w:val="30657061"/>
    <w:rsid w:val="31874996"/>
    <w:rsid w:val="321B2E51"/>
    <w:rsid w:val="33156417"/>
    <w:rsid w:val="33563CA4"/>
    <w:rsid w:val="34091ED9"/>
    <w:rsid w:val="360207DB"/>
    <w:rsid w:val="3614359A"/>
    <w:rsid w:val="36CD6A8F"/>
    <w:rsid w:val="372C44F9"/>
    <w:rsid w:val="376405D6"/>
    <w:rsid w:val="37CC379C"/>
    <w:rsid w:val="38797524"/>
    <w:rsid w:val="398F32D6"/>
    <w:rsid w:val="3A4F0123"/>
    <w:rsid w:val="3A803AF9"/>
    <w:rsid w:val="3C4F43C5"/>
    <w:rsid w:val="3C540512"/>
    <w:rsid w:val="3CC25D3E"/>
    <w:rsid w:val="3CEB5E17"/>
    <w:rsid w:val="3EA11747"/>
    <w:rsid w:val="3F267BD3"/>
    <w:rsid w:val="406B24D2"/>
    <w:rsid w:val="41B53114"/>
    <w:rsid w:val="41CE2E80"/>
    <w:rsid w:val="42B35181"/>
    <w:rsid w:val="42D005D7"/>
    <w:rsid w:val="4493346B"/>
    <w:rsid w:val="44AE384F"/>
    <w:rsid w:val="4626745D"/>
    <w:rsid w:val="470B00A4"/>
    <w:rsid w:val="49D467BE"/>
    <w:rsid w:val="4AD8619D"/>
    <w:rsid w:val="4C32408A"/>
    <w:rsid w:val="4C6D6165"/>
    <w:rsid w:val="4CE057AC"/>
    <w:rsid w:val="4D9F41B5"/>
    <w:rsid w:val="4E66457E"/>
    <w:rsid w:val="4E851A0B"/>
    <w:rsid w:val="4E8C13CB"/>
    <w:rsid w:val="4F927CE8"/>
    <w:rsid w:val="500F1226"/>
    <w:rsid w:val="513B372E"/>
    <w:rsid w:val="51B424A4"/>
    <w:rsid w:val="5211562E"/>
    <w:rsid w:val="521A5F43"/>
    <w:rsid w:val="52400CF3"/>
    <w:rsid w:val="53197ECA"/>
    <w:rsid w:val="53797780"/>
    <w:rsid w:val="53916C26"/>
    <w:rsid w:val="53942320"/>
    <w:rsid w:val="55644609"/>
    <w:rsid w:val="56A3136E"/>
    <w:rsid w:val="57652115"/>
    <w:rsid w:val="57B874B9"/>
    <w:rsid w:val="58C35C9C"/>
    <w:rsid w:val="59FC30FC"/>
    <w:rsid w:val="5B1B6DDF"/>
    <w:rsid w:val="5B76039A"/>
    <w:rsid w:val="5C345867"/>
    <w:rsid w:val="5D276160"/>
    <w:rsid w:val="5D80285D"/>
    <w:rsid w:val="5E1E011C"/>
    <w:rsid w:val="5E2B10B8"/>
    <w:rsid w:val="5E326F94"/>
    <w:rsid w:val="5E427580"/>
    <w:rsid w:val="5E454DE9"/>
    <w:rsid w:val="5EBC1FB5"/>
    <w:rsid w:val="5ED62E3A"/>
    <w:rsid w:val="5F6440F7"/>
    <w:rsid w:val="62086A0D"/>
    <w:rsid w:val="62614710"/>
    <w:rsid w:val="642B7F09"/>
    <w:rsid w:val="64382BDC"/>
    <w:rsid w:val="65773EE7"/>
    <w:rsid w:val="66507D80"/>
    <w:rsid w:val="66715C80"/>
    <w:rsid w:val="66EF6D90"/>
    <w:rsid w:val="672D7459"/>
    <w:rsid w:val="67DD12A7"/>
    <w:rsid w:val="692E1830"/>
    <w:rsid w:val="69DF204A"/>
    <w:rsid w:val="6AFE42AB"/>
    <w:rsid w:val="6B00046A"/>
    <w:rsid w:val="6B806C30"/>
    <w:rsid w:val="6B913399"/>
    <w:rsid w:val="6BE21942"/>
    <w:rsid w:val="6C331FFA"/>
    <w:rsid w:val="6C37634D"/>
    <w:rsid w:val="6CAC7203"/>
    <w:rsid w:val="6D331D5B"/>
    <w:rsid w:val="6DA74A95"/>
    <w:rsid w:val="6EFF42D0"/>
    <w:rsid w:val="6F75543A"/>
    <w:rsid w:val="701822E7"/>
    <w:rsid w:val="726942FD"/>
    <w:rsid w:val="731D061E"/>
    <w:rsid w:val="7366359F"/>
    <w:rsid w:val="74A7562B"/>
    <w:rsid w:val="7720369A"/>
    <w:rsid w:val="77C13F28"/>
    <w:rsid w:val="784A79F9"/>
    <w:rsid w:val="78704543"/>
    <w:rsid w:val="791057A0"/>
    <w:rsid w:val="79A57144"/>
    <w:rsid w:val="7B305D90"/>
    <w:rsid w:val="7B4E602A"/>
    <w:rsid w:val="7BCA3328"/>
    <w:rsid w:val="7C0B6785"/>
    <w:rsid w:val="7CB91328"/>
    <w:rsid w:val="7D382507"/>
    <w:rsid w:val="7DE20876"/>
    <w:rsid w:val="7DEA50DF"/>
    <w:rsid w:val="7DEC5C03"/>
    <w:rsid w:val="7E4C231B"/>
    <w:rsid w:val="7E6E7B64"/>
    <w:rsid w:val="7EA73808"/>
    <w:rsid w:val="7EAA1018"/>
    <w:rsid w:val="7EF12635"/>
    <w:rsid w:val="7F096D22"/>
    <w:rsid w:val="7F724027"/>
    <w:rsid w:val="7FA91A73"/>
    <w:rsid w:val="7FB23D9D"/>
    <w:rsid w:val="7FD12402"/>
  </w:rsids>
  <m:mathPr>
    <m:mathFont m:val="Cambria Math"/>
    <m:brkBin m:val="before"/>
    <m:brkBinSub m:val="--"/>
    <m:smallFrac m:val="1"/>
    <m:dispDef/>
    <m:lMargin m:val="0"/>
    <m:rMargin m:val="0"/>
    <m:defJc m:val="centerGroup"/>
    <m:wrapIndent m:val="1440"/>
    <m:intLim m:val="subSup"/>
    <m:naryLim m:val="undOvr"/>
  </m:mathPr>
  <w:attachedSchema w:val="urn:schemas-microsoft-com:office:smarttags"/>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 w:semiHidden="0" w:name="heading 3" w:locked="1"/>
    <w:lsdException w:qFormat="1" w:unhideWhenUsed="0" w:uiPriority="99" w:semiHidden="0" w:name="heading 4" w:locked="1"/>
    <w:lsdException w:qFormat="1" w:unhideWhenUsed="0" w:uiPriority="99"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ocked="1"/>
    <w:lsdException w:qFormat="1" w:unhideWhenUsed="0" w:uiPriority="99" w:semiHidden="0" w:name="toc 2" w:locked="1"/>
    <w:lsdException w:qFormat="1" w:unhideWhenUsed="0" w:uiPriority="99" w:semiHidden="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ocked="1"/>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ocked="1"/>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31"/>
    <w:qFormat/>
    <w:locked/>
    <w:uiPriority w:val="99"/>
    <w:pPr>
      <w:keepNext/>
      <w:keepLines/>
      <w:spacing w:before="340" w:after="330" w:line="578" w:lineRule="auto"/>
      <w:outlineLvl w:val="0"/>
    </w:pPr>
    <w:rPr>
      <w:rFonts w:ascii="Times New Roman" w:hAnsi="Times New Roman"/>
      <w:b/>
      <w:bCs/>
      <w:kern w:val="44"/>
      <w:sz w:val="44"/>
      <w:szCs w:val="44"/>
    </w:rPr>
  </w:style>
  <w:style w:type="paragraph" w:styleId="4">
    <w:name w:val="heading 2"/>
    <w:basedOn w:val="1"/>
    <w:next w:val="1"/>
    <w:link w:val="32"/>
    <w:qFormat/>
    <w:locked/>
    <w:uiPriority w:val="99"/>
    <w:pPr>
      <w:spacing w:line="600" w:lineRule="exact"/>
      <w:ind w:firstLine="420" w:firstLineChars="200"/>
      <w:jc w:val="left"/>
      <w:outlineLvl w:val="1"/>
    </w:pPr>
    <w:rPr>
      <w:rFonts w:ascii="Times New Roman" w:hAnsi="Times New Roman" w:eastAsia="黑体"/>
      <w:kern w:val="0"/>
      <w:sz w:val="32"/>
      <w:szCs w:val="20"/>
    </w:rPr>
  </w:style>
  <w:style w:type="paragraph" w:styleId="5">
    <w:name w:val="heading 3"/>
    <w:basedOn w:val="1"/>
    <w:next w:val="1"/>
    <w:link w:val="36"/>
    <w:qFormat/>
    <w:locked/>
    <w:uiPriority w:val="9"/>
    <w:pPr>
      <w:keepNext/>
      <w:keepLines/>
      <w:spacing w:before="260" w:after="260" w:line="416" w:lineRule="auto"/>
      <w:outlineLvl w:val="2"/>
    </w:pPr>
    <w:rPr>
      <w:b/>
      <w:bCs/>
      <w:sz w:val="32"/>
      <w:szCs w:val="32"/>
    </w:rPr>
  </w:style>
  <w:style w:type="paragraph" w:styleId="6">
    <w:name w:val="heading 4"/>
    <w:basedOn w:val="1"/>
    <w:next w:val="1"/>
    <w:link w:val="34"/>
    <w:qFormat/>
    <w:locked/>
    <w:uiPriority w:val="99"/>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35"/>
    <w:qFormat/>
    <w:locked/>
    <w:uiPriority w:val="99"/>
    <w:pPr>
      <w:keepNext/>
      <w:keepLines/>
      <w:spacing w:before="280" w:after="290" w:line="376" w:lineRule="auto"/>
      <w:outlineLvl w:val="4"/>
    </w:pPr>
    <w:rPr>
      <w:rFonts w:ascii="Times New Roman" w:hAnsi="Times New Roman"/>
      <w:b/>
      <w:bCs/>
      <w:sz w:val="28"/>
      <w:szCs w:val="28"/>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2">
    <w:name w:val="Title"/>
    <w:basedOn w:val="1"/>
    <w:qFormat/>
    <w:locked/>
    <w:uiPriority w:val="10"/>
    <w:pPr>
      <w:spacing w:before="209" w:after="209" w:line="0" w:lineRule="atLeast"/>
      <w:jc w:val="center"/>
    </w:pPr>
    <w:rPr>
      <w:rFonts w:ascii="Arial" w:hAnsi="Arial" w:eastAsia="黑体"/>
      <w:sz w:val="52"/>
    </w:rPr>
  </w:style>
  <w:style w:type="paragraph" w:styleId="8">
    <w:name w:val="annotation text"/>
    <w:basedOn w:val="1"/>
    <w:link w:val="51"/>
    <w:semiHidden/>
    <w:unhideWhenUsed/>
    <w:qFormat/>
    <w:uiPriority w:val="99"/>
    <w:pPr>
      <w:jc w:val="left"/>
    </w:pPr>
  </w:style>
  <w:style w:type="paragraph" w:styleId="9">
    <w:name w:val="Body Text"/>
    <w:basedOn w:val="1"/>
    <w:link w:val="39"/>
    <w:qFormat/>
    <w:uiPriority w:val="99"/>
    <w:pPr>
      <w:spacing w:after="120"/>
    </w:pPr>
    <w:rPr>
      <w:kern w:val="0"/>
      <w:sz w:val="20"/>
      <w:szCs w:val="20"/>
    </w:rPr>
  </w:style>
  <w:style w:type="paragraph" w:styleId="10">
    <w:name w:val="toc 3"/>
    <w:basedOn w:val="1"/>
    <w:next w:val="1"/>
    <w:qFormat/>
    <w:locked/>
    <w:uiPriority w:val="99"/>
    <w:pPr>
      <w:ind w:left="840" w:leftChars="400"/>
    </w:pPr>
    <w:rPr>
      <w:rFonts w:ascii="Times New Roman" w:hAnsi="Times New Roman" w:eastAsia="仿宋_GB2312"/>
      <w:sz w:val="32"/>
      <w:szCs w:val="24"/>
    </w:rPr>
  </w:style>
  <w:style w:type="paragraph" w:styleId="11">
    <w:name w:val="Plain Text"/>
    <w:basedOn w:val="1"/>
    <w:link w:val="44"/>
    <w:qFormat/>
    <w:uiPriority w:val="99"/>
    <w:rPr>
      <w:rFonts w:ascii="宋体" w:hAnsi="Courier New"/>
      <w:szCs w:val="21"/>
    </w:rPr>
  </w:style>
  <w:style w:type="paragraph" w:styleId="12">
    <w:name w:val="Balloon Text"/>
    <w:basedOn w:val="1"/>
    <w:link w:val="43"/>
    <w:semiHidden/>
    <w:qFormat/>
    <w:uiPriority w:val="99"/>
    <w:rPr>
      <w:sz w:val="18"/>
      <w:szCs w:val="18"/>
    </w:rPr>
  </w:style>
  <w:style w:type="paragraph" w:styleId="13">
    <w:name w:val="footer"/>
    <w:basedOn w:val="1"/>
    <w:next w:val="1"/>
    <w:link w:val="38"/>
    <w:qFormat/>
    <w:uiPriority w:val="99"/>
    <w:pPr>
      <w:tabs>
        <w:tab w:val="center" w:pos="4153"/>
        <w:tab w:val="right" w:pos="8306"/>
      </w:tabs>
      <w:snapToGrid w:val="0"/>
      <w:jc w:val="left"/>
    </w:pPr>
    <w:rPr>
      <w:kern w:val="0"/>
      <w:sz w:val="18"/>
      <w:szCs w:val="18"/>
    </w:rPr>
  </w:style>
  <w:style w:type="paragraph" w:styleId="14">
    <w:name w:val="header"/>
    <w:basedOn w:val="1"/>
    <w:link w:val="37"/>
    <w:qFormat/>
    <w:uiPriority w:val="99"/>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qFormat/>
    <w:locked/>
    <w:uiPriority w:val="99"/>
    <w:rPr>
      <w:rFonts w:ascii="Times New Roman" w:hAnsi="Times New Roman"/>
      <w:b/>
      <w:sz w:val="32"/>
      <w:szCs w:val="24"/>
    </w:rPr>
  </w:style>
  <w:style w:type="paragraph" w:styleId="16">
    <w:name w:val="Subtitle"/>
    <w:basedOn w:val="1"/>
    <w:next w:val="1"/>
    <w:link w:val="60"/>
    <w:qFormat/>
    <w:locked/>
    <w:uiPriority w:val="11"/>
    <w:pPr>
      <w:outlineLvl w:val="2"/>
    </w:pPr>
    <w:rPr>
      <w:b/>
      <w:bCs/>
      <w:kern w:val="28"/>
      <w:szCs w:val="32"/>
    </w:rPr>
  </w:style>
  <w:style w:type="paragraph" w:styleId="17">
    <w:name w:val="toc 2"/>
    <w:basedOn w:val="1"/>
    <w:next w:val="1"/>
    <w:qFormat/>
    <w:locked/>
    <w:uiPriority w:val="99"/>
    <w:pPr>
      <w:ind w:left="420" w:leftChars="200"/>
    </w:pPr>
    <w:rPr>
      <w:rFonts w:ascii="Times New Roman" w:hAnsi="Times New Roman" w:eastAsia="楷体_GB2312"/>
      <w:b/>
      <w:sz w:val="32"/>
      <w:szCs w:val="24"/>
    </w:rPr>
  </w:style>
  <w:style w:type="paragraph" w:styleId="18">
    <w:name w:val="Body Text 2"/>
    <w:basedOn w:val="1"/>
    <w:link w:val="56"/>
    <w:semiHidden/>
    <w:unhideWhenUsed/>
    <w:qFormat/>
    <w:uiPriority w:val="99"/>
    <w:pPr>
      <w:spacing w:after="120" w:line="480" w:lineRule="auto"/>
    </w:pPr>
  </w:style>
  <w:style w:type="paragraph" w:styleId="19">
    <w:name w:val="HTML Preformatted"/>
    <w:basedOn w:val="1"/>
    <w:link w:val="42"/>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20">
    <w:name w:val="Normal (Web)"/>
    <w:basedOn w:val="1"/>
    <w:qFormat/>
    <w:uiPriority w:val="0"/>
    <w:pPr>
      <w:spacing w:before="100" w:beforeAutospacing="1" w:after="100" w:afterAutospacing="1" w:line="600" w:lineRule="exact"/>
      <w:ind w:firstLine="420" w:firstLineChars="200"/>
      <w:jc w:val="left"/>
    </w:pPr>
    <w:rPr>
      <w:rFonts w:ascii="Times New Roman" w:hAnsi="Times New Roman" w:eastAsia="仿宋_GB2312"/>
      <w:kern w:val="0"/>
      <w:sz w:val="24"/>
    </w:rPr>
  </w:style>
  <w:style w:type="paragraph" w:styleId="21">
    <w:name w:val="annotation subject"/>
    <w:basedOn w:val="8"/>
    <w:next w:val="8"/>
    <w:link w:val="52"/>
    <w:semiHidden/>
    <w:unhideWhenUsed/>
    <w:qFormat/>
    <w:uiPriority w:val="99"/>
    <w:rPr>
      <w:b/>
      <w:bCs/>
    </w:rPr>
  </w:style>
  <w:style w:type="paragraph" w:styleId="22">
    <w:name w:val="Body Text First Indent"/>
    <w:basedOn w:val="9"/>
    <w:link w:val="40"/>
    <w:qFormat/>
    <w:uiPriority w:val="99"/>
    <w:pPr>
      <w:spacing w:after="0"/>
      <w:ind w:firstLine="420" w:firstLineChars="100"/>
    </w:pPr>
  </w:style>
  <w:style w:type="table" w:styleId="24">
    <w:name w:val="Table Grid"/>
    <w:basedOn w:val="23"/>
    <w:qFormat/>
    <w:lock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page number"/>
    <w:basedOn w:val="25"/>
    <w:qFormat/>
    <w:uiPriority w:val="99"/>
    <w:rPr>
      <w:rFonts w:cs="Times New Roman"/>
    </w:rPr>
  </w:style>
  <w:style w:type="character" w:styleId="27">
    <w:name w:val="FollowedHyperlink"/>
    <w:basedOn w:val="25"/>
    <w:qFormat/>
    <w:uiPriority w:val="99"/>
    <w:rPr>
      <w:rFonts w:cs="Times New Roman"/>
      <w:color w:val="000080"/>
      <w:u w:val="single"/>
    </w:rPr>
  </w:style>
  <w:style w:type="character" w:styleId="28">
    <w:name w:val="Emphasis"/>
    <w:basedOn w:val="25"/>
    <w:qFormat/>
    <w:locked/>
    <w:uiPriority w:val="0"/>
    <w:rPr>
      <w:i/>
    </w:rPr>
  </w:style>
  <w:style w:type="character" w:styleId="29">
    <w:name w:val="Hyperlink"/>
    <w:basedOn w:val="25"/>
    <w:qFormat/>
    <w:uiPriority w:val="99"/>
    <w:rPr>
      <w:rFonts w:cs="Times New Roman"/>
      <w:color w:val="0000FF"/>
      <w:u w:val="single"/>
    </w:rPr>
  </w:style>
  <w:style w:type="character" w:styleId="30">
    <w:name w:val="annotation reference"/>
    <w:basedOn w:val="25"/>
    <w:semiHidden/>
    <w:unhideWhenUsed/>
    <w:qFormat/>
    <w:uiPriority w:val="99"/>
    <w:rPr>
      <w:sz w:val="21"/>
      <w:szCs w:val="21"/>
    </w:rPr>
  </w:style>
  <w:style w:type="character" w:customStyle="1" w:styleId="31">
    <w:name w:val="标题 1 Char"/>
    <w:basedOn w:val="25"/>
    <w:link w:val="3"/>
    <w:qFormat/>
    <w:locked/>
    <w:uiPriority w:val="99"/>
    <w:rPr>
      <w:rFonts w:ascii="Times New Roman" w:hAnsi="Times New Roman" w:cs="Times New Roman"/>
      <w:b/>
      <w:bCs/>
      <w:kern w:val="44"/>
      <w:sz w:val="44"/>
      <w:szCs w:val="44"/>
    </w:rPr>
  </w:style>
  <w:style w:type="character" w:customStyle="1" w:styleId="32">
    <w:name w:val="标题 2 Char"/>
    <w:basedOn w:val="25"/>
    <w:link w:val="4"/>
    <w:qFormat/>
    <w:locked/>
    <w:uiPriority w:val="99"/>
    <w:rPr>
      <w:rFonts w:ascii="Times New Roman" w:hAnsi="Times New Roman" w:eastAsia="黑体"/>
      <w:kern w:val="0"/>
      <w:sz w:val="20"/>
    </w:rPr>
  </w:style>
  <w:style w:type="character" w:customStyle="1" w:styleId="33">
    <w:name w:val="Heading 3 Char"/>
    <w:basedOn w:val="25"/>
    <w:qFormat/>
    <w:locked/>
    <w:uiPriority w:val="99"/>
    <w:rPr>
      <w:rFonts w:ascii="Calibri" w:hAnsi="Calibri" w:eastAsia="宋体" w:cs="Times New Roman"/>
      <w:b/>
      <w:bCs/>
      <w:kern w:val="2"/>
      <w:sz w:val="32"/>
      <w:szCs w:val="32"/>
    </w:rPr>
  </w:style>
  <w:style w:type="character" w:customStyle="1" w:styleId="34">
    <w:name w:val="标题 4 Char"/>
    <w:basedOn w:val="25"/>
    <w:link w:val="6"/>
    <w:qFormat/>
    <w:locked/>
    <w:uiPriority w:val="99"/>
    <w:rPr>
      <w:rFonts w:ascii="Arial" w:hAnsi="Arial" w:eastAsia="黑体" w:cs="Times New Roman"/>
      <w:b/>
      <w:bCs/>
      <w:kern w:val="2"/>
      <w:sz w:val="28"/>
      <w:szCs w:val="28"/>
    </w:rPr>
  </w:style>
  <w:style w:type="character" w:customStyle="1" w:styleId="35">
    <w:name w:val="标题 5 Char"/>
    <w:basedOn w:val="25"/>
    <w:link w:val="7"/>
    <w:qFormat/>
    <w:locked/>
    <w:uiPriority w:val="99"/>
    <w:rPr>
      <w:rFonts w:ascii="Times New Roman" w:hAnsi="Times New Roman" w:cs="Times New Roman"/>
      <w:b/>
      <w:bCs/>
      <w:kern w:val="2"/>
      <w:sz w:val="28"/>
      <w:szCs w:val="28"/>
    </w:rPr>
  </w:style>
  <w:style w:type="character" w:customStyle="1" w:styleId="36">
    <w:name w:val="标题 3 Char"/>
    <w:basedOn w:val="25"/>
    <w:link w:val="5"/>
    <w:qFormat/>
    <w:locked/>
    <w:uiPriority w:val="99"/>
    <w:rPr>
      <w:rFonts w:cs="Times New Roman"/>
      <w:b/>
      <w:bCs/>
      <w:kern w:val="2"/>
      <w:sz w:val="32"/>
      <w:szCs w:val="32"/>
    </w:rPr>
  </w:style>
  <w:style w:type="character" w:customStyle="1" w:styleId="37">
    <w:name w:val="页眉 Char"/>
    <w:basedOn w:val="25"/>
    <w:link w:val="14"/>
    <w:qFormat/>
    <w:locked/>
    <w:uiPriority w:val="99"/>
    <w:rPr>
      <w:sz w:val="18"/>
    </w:rPr>
  </w:style>
  <w:style w:type="character" w:customStyle="1" w:styleId="38">
    <w:name w:val="页脚 Char"/>
    <w:basedOn w:val="25"/>
    <w:link w:val="13"/>
    <w:qFormat/>
    <w:locked/>
    <w:uiPriority w:val="99"/>
    <w:rPr>
      <w:sz w:val="18"/>
    </w:rPr>
  </w:style>
  <w:style w:type="character" w:customStyle="1" w:styleId="39">
    <w:name w:val="正文文本 Char"/>
    <w:basedOn w:val="25"/>
    <w:link w:val="9"/>
    <w:qFormat/>
    <w:locked/>
    <w:uiPriority w:val="99"/>
  </w:style>
  <w:style w:type="character" w:customStyle="1" w:styleId="40">
    <w:name w:val="正文首行缩进 Char"/>
    <w:basedOn w:val="39"/>
    <w:link w:val="22"/>
    <w:qFormat/>
    <w:locked/>
    <w:uiPriority w:val="99"/>
    <w:rPr>
      <w:rFonts w:eastAsia="宋体"/>
    </w:rPr>
  </w:style>
  <w:style w:type="paragraph" w:styleId="41">
    <w:name w:val="List Paragraph"/>
    <w:basedOn w:val="1"/>
    <w:qFormat/>
    <w:uiPriority w:val="99"/>
    <w:pPr>
      <w:ind w:firstLine="420" w:firstLineChars="200"/>
    </w:pPr>
  </w:style>
  <w:style w:type="character" w:customStyle="1" w:styleId="42">
    <w:name w:val="HTML 预设格式 Char"/>
    <w:basedOn w:val="25"/>
    <w:link w:val="19"/>
    <w:qFormat/>
    <w:locked/>
    <w:uiPriority w:val="99"/>
    <w:rPr>
      <w:rFonts w:ascii="Courier New" w:hAnsi="Courier New"/>
      <w:sz w:val="20"/>
    </w:rPr>
  </w:style>
  <w:style w:type="character" w:customStyle="1" w:styleId="43">
    <w:name w:val="批注框文本 Char"/>
    <w:basedOn w:val="25"/>
    <w:link w:val="12"/>
    <w:semiHidden/>
    <w:qFormat/>
    <w:locked/>
    <w:uiPriority w:val="99"/>
    <w:rPr>
      <w:rFonts w:cs="Times New Roman"/>
      <w:kern w:val="2"/>
      <w:sz w:val="18"/>
      <w:szCs w:val="18"/>
    </w:rPr>
  </w:style>
  <w:style w:type="character" w:customStyle="1" w:styleId="44">
    <w:name w:val="纯文本 Char"/>
    <w:basedOn w:val="25"/>
    <w:link w:val="11"/>
    <w:qFormat/>
    <w:locked/>
    <w:uiPriority w:val="99"/>
    <w:rPr>
      <w:rFonts w:ascii="宋体" w:hAnsi="Courier New" w:cs="Times New Roman"/>
      <w:kern w:val="2"/>
      <w:sz w:val="21"/>
      <w:szCs w:val="21"/>
    </w:rPr>
  </w:style>
  <w:style w:type="character" w:customStyle="1" w:styleId="45">
    <w:name w:val="Char Char9"/>
    <w:basedOn w:val="25"/>
    <w:qFormat/>
    <w:uiPriority w:val="99"/>
    <w:rPr>
      <w:rFonts w:ascii="Arial" w:hAnsi="Arial" w:eastAsia="黑体" w:cs="Times New Roman"/>
      <w:b/>
      <w:bCs/>
      <w:kern w:val="2"/>
      <w:sz w:val="28"/>
      <w:szCs w:val="28"/>
      <w:lang w:val="en-US" w:eastAsia="zh-CN" w:bidi="ar-SA"/>
    </w:rPr>
  </w:style>
  <w:style w:type="paragraph" w:customStyle="1" w:styleId="46">
    <w:name w:val="Char"/>
    <w:basedOn w:val="1"/>
    <w:qFormat/>
    <w:uiPriority w:val="99"/>
    <w:pPr>
      <w:snapToGrid w:val="0"/>
      <w:spacing w:line="360" w:lineRule="auto"/>
      <w:ind w:firstLine="200" w:firstLineChars="200"/>
    </w:pPr>
    <w:rPr>
      <w:rFonts w:ascii="Times New Roman" w:hAnsi="Times New Roman" w:eastAsia="仿宋_GB2312"/>
      <w:sz w:val="24"/>
      <w:szCs w:val="24"/>
    </w:rPr>
  </w:style>
  <w:style w:type="paragraph" w:customStyle="1" w:styleId="47">
    <w:name w:val="p0"/>
    <w:basedOn w:val="1"/>
    <w:qFormat/>
    <w:uiPriority w:val="99"/>
    <w:pPr>
      <w:widowControl/>
    </w:pPr>
    <w:rPr>
      <w:rFonts w:ascii="Times New Roman" w:hAnsi="Times New Roman"/>
      <w:kern w:val="0"/>
      <w:szCs w:val="21"/>
    </w:rPr>
  </w:style>
  <w:style w:type="character" w:customStyle="1" w:styleId="48">
    <w:name w:val="NormalCharacter"/>
    <w:qFormat/>
    <w:uiPriority w:val="0"/>
  </w:style>
  <w:style w:type="paragraph" w:customStyle="1" w:styleId="49">
    <w:name w:val="Char Char1 Char Char"/>
    <w:basedOn w:val="1"/>
    <w:qFormat/>
    <w:uiPriority w:val="99"/>
    <w:rPr>
      <w:rFonts w:ascii="Times New Roman" w:hAnsi="Times New Roman"/>
      <w:szCs w:val="24"/>
    </w:rPr>
  </w:style>
  <w:style w:type="paragraph" w:customStyle="1" w:styleId="50">
    <w:name w:val="修订1"/>
    <w:hidden/>
    <w:unhideWhenUsed/>
    <w:qFormat/>
    <w:uiPriority w:val="99"/>
    <w:rPr>
      <w:rFonts w:ascii="Calibri" w:hAnsi="Calibri" w:eastAsia="宋体" w:cs="Times New Roman"/>
      <w:kern w:val="2"/>
      <w:sz w:val="21"/>
      <w:szCs w:val="22"/>
      <w:lang w:val="en-US" w:eastAsia="zh-CN" w:bidi="ar-SA"/>
    </w:rPr>
  </w:style>
  <w:style w:type="character" w:customStyle="1" w:styleId="51">
    <w:name w:val="批注文字 Char"/>
    <w:basedOn w:val="25"/>
    <w:link w:val="8"/>
    <w:semiHidden/>
    <w:qFormat/>
    <w:uiPriority w:val="99"/>
    <w:rPr>
      <w:rFonts w:ascii="Calibri" w:hAnsi="Calibri"/>
      <w:kern w:val="2"/>
      <w:sz w:val="21"/>
      <w:szCs w:val="22"/>
    </w:rPr>
  </w:style>
  <w:style w:type="character" w:customStyle="1" w:styleId="52">
    <w:name w:val="批注主题 Char"/>
    <w:basedOn w:val="51"/>
    <w:link w:val="21"/>
    <w:semiHidden/>
    <w:qFormat/>
    <w:uiPriority w:val="99"/>
    <w:rPr>
      <w:rFonts w:ascii="Calibri" w:hAnsi="Calibri"/>
      <w:b/>
      <w:bCs/>
      <w:kern w:val="2"/>
      <w:sz w:val="21"/>
      <w:szCs w:val="22"/>
    </w:rPr>
  </w:style>
  <w:style w:type="paragraph" w:customStyle="1" w:styleId="53">
    <w:name w:val="BodyText1I"/>
    <w:basedOn w:val="1"/>
    <w:next w:val="1"/>
    <w:qFormat/>
    <w:uiPriority w:val="0"/>
    <w:pPr>
      <w:ind w:firstLine="420" w:firstLineChars="100"/>
      <w:textAlignment w:val="baseline"/>
    </w:pPr>
    <w:rPr>
      <w:rFonts w:asciiTheme="minorHAnsi" w:hAnsiTheme="minorHAnsi" w:eastAsiaTheme="minorEastAsia" w:cstheme="minorBidi"/>
      <w:szCs w:val="24"/>
    </w:rPr>
  </w:style>
  <w:style w:type="character" w:customStyle="1" w:styleId="54">
    <w:name w:val="表格 Char Char"/>
    <w:link w:val="55"/>
    <w:qFormat/>
    <w:uiPriority w:val="0"/>
    <w:rPr>
      <w:rFonts w:eastAsia="仿宋" w:cs="宋体"/>
      <w:sz w:val="24"/>
      <w:szCs w:val="21"/>
    </w:rPr>
  </w:style>
  <w:style w:type="paragraph" w:customStyle="1" w:styleId="55">
    <w:name w:val="表格"/>
    <w:basedOn w:val="18"/>
    <w:next w:val="1"/>
    <w:link w:val="54"/>
    <w:qFormat/>
    <w:uiPriority w:val="0"/>
    <w:pPr>
      <w:widowControl/>
      <w:tabs>
        <w:tab w:val="left" w:pos="0"/>
      </w:tabs>
      <w:adjustRightInd w:val="0"/>
      <w:spacing w:after="0" w:line="360" w:lineRule="auto"/>
      <w:ind w:firstLine="560" w:firstLineChars="200"/>
      <w:jc w:val="left"/>
      <w:textAlignment w:val="center"/>
    </w:pPr>
    <w:rPr>
      <w:rFonts w:ascii="Times New Roman" w:hAnsi="Times New Roman" w:eastAsia="仿宋" w:cs="宋体"/>
      <w:kern w:val="0"/>
      <w:sz w:val="24"/>
      <w:szCs w:val="21"/>
    </w:rPr>
  </w:style>
  <w:style w:type="character" w:customStyle="1" w:styleId="56">
    <w:name w:val="正文文本 2 Char"/>
    <w:basedOn w:val="25"/>
    <w:link w:val="18"/>
    <w:semiHidden/>
    <w:qFormat/>
    <w:uiPriority w:val="99"/>
    <w:rPr>
      <w:rFonts w:ascii="Calibri" w:hAnsi="Calibri"/>
      <w:kern w:val="2"/>
      <w:sz w:val="21"/>
      <w:szCs w:val="22"/>
    </w:rPr>
  </w:style>
  <w:style w:type="character" w:customStyle="1" w:styleId="57">
    <w:name w:val="引用 Char"/>
    <w:qFormat/>
    <w:uiPriority w:val="0"/>
    <w:rPr>
      <w:i/>
      <w:iCs/>
      <w:color w:val="000000"/>
      <w:kern w:val="2"/>
      <w:sz w:val="28"/>
      <w:szCs w:val="24"/>
    </w:rPr>
  </w:style>
  <w:style w:type="paragraph" w:styleId="58">
    <w:name w:val="Quote"/>
    <w:basedOn w:val="1"/>
    <w:next w:val="1"/>
    <w:link w:val="59"/>
    <w:qFormat/>
    <w:uiPriority w:val="0"/>
    <w:pPr>
      <w:widowControl/>
      <w:spacing w:line="360" w:lineRule="auto"/>
      <w:jc w:val="left"/>
    </w:pPr>
    <w:rPr>
      <w:rFonts w:ascii="Times New Roman" w:hAnsi="Times New Roman"/>
      <w:i/>
      <w:iCs/>
      <w:color w:val="000000"/>
      <w:sz w:val="28"/>
      <w:szCs w:val="24"/>
    </w:rPr>
  </w:style>
  <w:style w:type="character" w:customStyle="1" w:styleId="59">
    <w:name w:val="引用 Char1"/>
    <w:basedOn w:val="25"/>
    <w:link w:val="58"/>
    <w:semiHidden/>
    <w:qFormat/>
    <w:uiPriority w:val="99"/>
    <w:rPr>
      <w:rFonts w:ascii="Calibri" w:hAnsi="Calibri"/>
      <w:i/>
      <w:iCs/>
      <w:color w:val="000000" w:themeColor="text1"/>
      <w:kern w:val="2"/>
      <w:sz w:val="21"/>
      <w:szCs w:val="22"/>
    </w:rPr>
  </w:style>
  <w:style w:type="character" w:customStyle="1" w:styleId="60">
    <w:name w:val="副标题 Char"/>
    <w:basedOn w:val="25"/>
    <w:link w:val="16"/>
    <w:qFormat/>
    <w:uiPriority w:val="11"/>
    <w:rPr>
      <w:b/>
      <w:bCs/>
      <w:kern w:val="28"/>
      <w:sz w:val="21"/>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3"/>
    <customShpInfo spid="_x0000_s3074"/>
    <customShpInfo spid="_x0000_s3075"/>
    <customShpInfo spid="_x0000_s307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7DF780-5BE4-477E-BA23-602A90D4EE70}">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149</Pages>
  <Words>12677</Words>
  <Characters>72265</Characters>
  <Lines>602</Lines>
  <Paragraphs>169</Paragraphs>
  <TotalTime>23</TotalTime>
  <ScaleCrop>false</ScaleCrop>
  <LinksUpToDate>false</LinksUpToDate>
  <CharactersWithSpaces>84773</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2021-06-30T23:48:00Z</dcterms:created>
  <dc:creator>rbp</dc:creator>
  <cp:lastModifiedBy>Administrator</cp:lastModifiedBy>
  <cp:lastPrinted>2021-06-29T11:06:00Z</cp:lastPrinted>
  <dcterms:modified xsi:type="dcterms:W3CDTF">2021-07-20T09:27:19Z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BC2FC7F5809446A293BEF293DDA1A16F</vt:lpwstr>
  </property>
</Properties>
</file>