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文星书宋" w:hAnsi="文星书宋" w:eastAsia="黑体" w:cs="楷体_GB2312"/>
          <w:sz w:val="32"/>
          <w:szCs w:val="32"/>
          <w:lang w:val="en-US" w:eastAsia="zh-CN"/>
        </w:rPr>
      </w:pPr>
    </w:p>
    <w:p>
      <w:pPr>
        <w:spacing w:line="560" w:lineRule="exact"/>
        <w:rPr>
          <w:rFonts w:hint="eastAsia" w:ascii="文星书宋" w:hAnsi="文星书宋" w:eastAsia="黑体" w:cs="楷体_GB2312"/>
          <w:sz w:val="32"/>
          <w:szCs w:val="32"/>
          <w:lang w:val="en-US" w:eastAsia="zh-CN"/>
        </w:rPr>
      </w:pPr>
    </w:p>
    <w:p>
      <w:pPr>
        <w:spacing w:line="500" w:lineRule="exact"/>
        <w:jc w:val="center"/>
        <w:rPr>
          <w:rFonts w:hint="eastAsia" w:ascii="文星书宋" w:hAnsi="文星书宋" w:eastAsia="方正小标宋_GBK"/>
          <w:sz w:val="44"/>
          <w:szCs w:val="44"/>
          <w:lang w:eastAsia="zh-CN"/>
        </w:rPr>
      </w:pPr>
      <w:r>
        <w:rPr>
          <w:rFonts w:hint="eastAsia" w:ascii="文星书宋" w:hAnsi="文星书宋" w:eastAsia="方正小标宋_GBK"/>
          <w:sz w:val="44"/>
          <w:szCs w:val="44"/>
        </w:rPr>
        <w:t>关于《</w:t>
      </w:r>
      <w:r>
        <w:rPr>
          <w:rFonts w:hint="eastAsia" w:ascii="文星书宋" w:hAnsi="文星书宋" w:eastAsia="方正小标宋_GBK"/>
          <w:sz w:val="44"/>
          <w:szCs w:val="44"/>
          <w:lang w:eastAsia="zh-CN"/>
        </w:rPr>
        <w:t>南阳市政务数据</w:t>
      </w:r>
      <w:r>
        <w:rPr>
          <w:rFonts w:hint="eastAsia" w:ascii="文星书宋" w:hAnsi="文星书宋" w:eastAsia="方正小标宋_GBK"/>
          <w:sz w:val="44"/>
          <w:szCs w:val="44"/>
          <w:lang w:val="en-US" w:eastAsia="zh-CN"/>
        </w:rPr>
        <w:t>共享</w:t>
      </w:r>
      <w:r>
        <w:rPr>
          <w:rFonts w:hint="eastAsia" w:ascii="文星书宋" w:hAnsi="文星书宋" w:eastAsia="方正小标宋_GBK"/>
          <w:sz w:val="44"/>
          <w:szCs w:val="44"/>
          <w:lang w:eastAsia="zh-CN"/>
        </w:rPr>
        <w:t>管理暂行办法</w:t>
      </w:r>
      <w:r>
        <w:rPr>
          <w:rFonts w:hint="eastAsia" w:ascii="文星书宋" w:hAnsi="文星书宋" w:eastAsia="方正小标宋_GBK"/>
          <w:sz w:val="44"/>
          <w:szCs w:val="44"/>
        </w:rPr>
        <w:t>》的</w:t>
      </w:r>
      <w:r>
        <w:rPr>
          <w:rFonts w:hint="eastAsia" w:ascii="文星书宋" w:hAnsi="文星书宋" w:eastAsia="方正小标宋_GBK"/>
          <w:sz w:val="44"/>
          <w:szCs w:val="44"/>
          <w:lang w:eastAsia="zh-CN"/>
        </w:rPr>
        <w:t>政策解读</w:t>
      </w:r>
    </w:p>
    <w:p>
      <w:pPr>
        <w:spacing w:line="500" w:lineRule="exact"/>
        <w:jc w:val="center"/>
        <w:rPr>
          <w:rFonts w:hint="eastAsia" w:ascii="文星书宋" w:hAnsi="文星书宋" w:eastAsia="方正小标宋_GBK"/>
          <w:sz w:val="44"/>
          <w:szCs w:val="44"/>
          <w:lang w:eastAsia="zh-CN"/>
        </w:rPr>
      </w:pPr>
    </w:p>
    <w:p>
      <w:pPr>
        <w:keepNext w:val="0"/>
        <w:keepLines w:val="0"/>
        <w:pageBreakBefore w:val="0"/>
        <w:kinsoku/>
        <w:wordWrap/>
        <w:overflowPunct/>
        <w:topLinePunct w:val="0"/>
        <w:autoSpaceDE/>
        <w:autoSpaceDN/>
        <w:bidi w:val="0"/>
        <w:adjustRightInd/>
        <w:spacing w:line="572" w:lineRule="exact"/>
        <w:ind w:firstLine="640" w:firstLineChars="200"/>
        <w:textAlignment w:val="auto"/>
        <w:rPr>
          <w:rFonts w:hint="eastAsia" w:ascii="文星书宋" w:hAnsi="文星书宋"/>
          <w:sz w:val="24"/>
        </w:rPr>
      </w:pPr>
      <w:r>
        <w:rPr>
          <w:rFonts w:hint="eastAsia" w:ascii="文星书宋" w:hAnsi="文星书宋" w:eastAsia="黑体"/>
        </w:rPr>
        <w:t>一、起草背景</w:t>
      </w:r>
    </w:p>
    <w:p>
      <w:pPr>
        <w:keepNext w:val="0"/>
        <w:keepLines w:val="0"/>
        <w:pageBreakBefore w:val="0"/>
        <w:kinsoku/>
        <w:wordWrap/>
        <w:overflowPunct/>
        <w:topLinePunct w:val="0"/>
        <w:autoSpaceDE/>
        <w:autoSpaceDN/>
        <w:bidi w:val="0"/>
        <w:adjustRightInd/>
        <w:spacing w:line="572" w:lineRule="exact"/>
        <w:ind w:firstLine="645"/>
        <w:textAlignment w:val="auto"/>
        <w:rPr>
          <w:rFonts w:hint="eastAsia" w:ascii="文星书宋" w:hAnsi="文星书宋" w:eastAsia="仿宋_GB2312"/>
          <w:lang w:val="en-US" w:eastAsia="zh-CN"/>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政务数据是支撑数字政府建设、</w:t>
      </w:r>
      <w:r>
        <w:rPr>
          <w:rFonts w:hint="eastAsia" w:ascii="仿宋_GB2312" w:hAnsi="仿宋_GB2312" w:eastAsia="仿宋_GB2312" w:cs="仿宋_GB2312"/>
          <w:sz w:val="32"/>
          <w:szCs w:val="32"/>
          <w:lang w:val="en-US" w:eastAsia="zh-CN"/>
        </w:rPr>
        <w:t>提升政府信息化治理能力和公共服务水平</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关键要素。截至目前，市政务数据共享平台已归集各类政务数据10.45亿条，庞大的数据既为政务服务和营商环境优化提供了有力的数据支撑，也为数据管理应用带来了挑战。为确保归集的数据可用、好用，政务工作人员敢用、愿用、会用，我市亟需出台相关规范性文件，</w:t>
      </w:r>
      <w:r>
        <w:rPr>
          <w:rFonts w:hint="eastAsia" w:ascii="仿宋_GB2312" w:eastAsia="仿宋_GB2312"/>
          <w:color w:val="auto"/>
          <w:spacing w:val="0"/>
          <w:sz w:val="32"/>
          <w:szCs w:val="32"/>
          <w:highlight w:val="none"/>
        </w:rPr>
        <w:t>规范和加强政务数据管理</w:t>
      </w:r>
      <w:r>
        <w:rPr>
          <w:rFonts w:hint="eastAsia" w:ascii="仿宋_GB2312" w:eastAsia="仿宋_GB2312"/>
          <w:color w:val="auto"/>
          <w:spacing w:val="0"/>
          <w:sz w:val="32"/>
          <w:szCs w:val="32"/>
          <w:highlight w:val="none"/>
          <w:lang w:eastAsia="zh-CN"/>
        </w:rPr>
        <w:t>，</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确保</w:t>
      </w:r>
      <w:r>
        <w:rPr>
          <w:rFonts w:hint="eastAsia" w:ascii="仿宋_GB2312" w:hAnsi="仿宋_GB2312" w:eastAsia="仿宋_GB2312" w:cs="仿宋_GB2312"/>
          <w:color w:val="auto"/>
          <w:spacing w:val="0"/>
          <w:sz w:val="32"/>
          <w:szCs w:val="32"/>
          <w:highlight w:val="none"/>
          <w:lang w:eastAsia="zh-CN"/>
        </w:rPr>
        <w:t>各</w:t>
      </w:r>
      <w:r>
        <w:rPr>
          <w:rFonts w:hint="eastAsia" w:ascii="仿宋_GB2312" w:hAnsi="仿宋_GB2312" w:eastAsia="仿宋_GB2312" w:cs="仿宋_GB2312"/>
          <w:color w:val="auto"/>
          <w:spacing w:val="0"/>
          <w:sz w:val="32"/>
          <w:szCs w:val="32"/>
          <w:highlight w:val="none"/>
          <w:lang w:val="en-US" w:eastAsia="zh-CN"/>
        </w:rPr>
        <w:t>单位</w:t>
      </w:r>
      <w:r>
        <w:rPr>
          <w:rFonts w:hint="eastAsia" w:ascii="仿宋_GB2312" w:hAnsi="仿宋_GB2312" w:eastAsia="仿宋_GB2312" w:cs="仿宋_GB2312"/>
          <w:color w:val="auto"/>
          <w:spacing w:val="0"/>
          <w:sz w:val="32"/>
          <w:szCs w:val="32"/>
          <w:highlight w:val="none"/>
        </w:rPr>
        <w:t>向市</w:t>
      </w:r>
      <w:r>
        <w:rPr>
          <w:rFonts w:hint="eastAsia" w:ascii="仿宋_GB2312" w:hAnsi="仿宋_GB2312" w:eastAsia="仿宋_GB2312" w:cs="仿宋_GB2312"/>
          <w:color w:val="auto"/>
          <w:spacing w:val="0"/>
          <w:sz w:val="32"/>
          <w:szCs w:val="32"/>
          <w:highlight w:val="none"/>
          <w:lang w:eastAsia="zh-CN"/>
        </w:rPr>
        <w:t>共享</w:t>
      </w:r>
      <w:r>
        <w:rPr>
          <w:rFonts w:hint="eastAsia" w:ascii="仿宋_GB2312" w:hAnsi="仿宋_GB2312" w:eastAsia="仿宋_GB2312" w:cs="仿宋_GB2312"/>
          <w:color w:val="auto"/>
          <w:spacing w:val="0"/>
          <w:sz w:val="32"/>
          <w:szCs w:val="32"/>
          <w:highlight w:val="none"/>
        </w:rPr>
        <w:t>平台实时、全量汇聚本单位业务数据</w:t>
      </w:r>
      <w:r>
        <w:rPr>
          <w:rFonts w:hint="eastAsia" w:ascii="仿宋_GB2312" w:hAnsi="仿宋_GB2312" w:eastAsia="仿宋_GB2312" w:cs="仿宋_GB2312"/>
          <w:i w:val="0"/>
          <w:iCs w:val="0"/>
          <w:caps w:val="0"/>
          <w:color w:val="auto"/>
          <w:spacing w:val="0"/>
          <w:sz w:val="32"/>
          <w:szCs w:val="32"/>
          <w:highlight w:val="none"/>
          <w:shd w:val="clear" w:fill="FFFFFF"/>
          <w:lang w:eastAsia="zh-CN"/>
        </w:rPr>
        <w:t>；明晰数据共享应用活动各环节参与部门的数据责任；强化电子证照、电子签章等电子材料法律效力；加强对各单位</w:t>
      </w:r>
      <w:r>
        <w:rPr>
          <w:rFonts w:hint="eastAsia" w:ascii="仿宋_GB2312" w:eastAsia="仿宋_GB2312"/>
          <w:color w:val="auto"/>
          <w:sz w:val="32"/>
          <w:szCs w:val="32"/>
          <w:highlight w:val="none"/>
        </w:rPr>
        <w:t>数据汇聚、共享、开放、应用、安全等工作情况</w:t>
      </w:r>
      <w:r>
        <w:rPr>
          <w:rFonts w:hint="eastAsia" w:ascii="仿宋_GB2312" w:eastAsia="仿宋_GB2312"/>
          <w:color w:val="auto"/>
          <w:sz w:val="32"/>
          <w:szCs w:val="32"/>
          <w:highlight w:val="none"/>
          <w:lang w:eastAsia="zh-CN"/>
        </w:rPr>
        <w:t>评价</w:t>
      </w:r>
      <w:r>
        <w:rPr>
          <w:rFonts w:hint="eastAsia" w:ascii="仿宋_GB2312" w:eastAsia="仿宋_GB2312"/>
          <w:color w:val="auto"/>
          <w:sz w:val="32"/>
          <w:szCs w:val="32"/>
          <w:highlight w:val="none"/>
        </w:rPr>
        <w:t>结果</w:t>
      </w:r>
      <w:r>
        <w:rPr>
          <w:rFonts w:hint="eastAsia" w:ascii="仿宋_GB2312" w:eastAsia="仿宋_GB2312"/>
          <w:color w:val="auto"/>
          <w:sz w:val="32"/>
          <w:szCs w:val="32"/>
          <w:highlight w:val="none"/>
          <w:lang w:eastAsia="zh-CN"/>
        </w:rPr>
        <w:t>运用。</w:t>
      </w:r>
    </w:p>
    <w:p>
      <w:pPr>
        <w:keepNext w:val="0"/>
        <w:keepLines w:val="0"/>
        <w:pageBreakBefore w:val="0"/>
        <w:numPr>
          <w:ilvl w:val="0"/>
          <w:numId w:val="1"/>
        </w:numPr>
        <w:kinsoku/>
        <w:wordWrap/>
        <w:overflowPunct/>
        <w:topLinePunct w:val="0"/>
        <w:autoSpaceDE/>
        <w:autoSpaceDN/>
        <w:bidi w:val="0"/>
        <w:adjustRightInd/>
        <w:spacing w:line="572" w:lineRule="exact"/>
        <w:ind w:firstLine="608" w:firstLineChars="200"/>
        <w:textAlignment w:val="auto"/>
        <w:rPr>
          <w:rFonts w:hint="eastAsia" w:ascii="文星书宋" w:hAnsi="文星书宋" w:eastAsia="黑体"/>
          <w:spacing w:val="-8"/>
        </w:rPr>
      </w:pPr>
      <w:r>
        <w:rPr>
          <w:rFonts w:hint="eastAsia" w:ascii="文星书宋" w:hAnsi="文星书宋" w:eastAsia="黑体"/>
          <w:spacing w:val="-8"/>
        </w:rPr>
        <w:t>起草依据</w:t>
      </w:r>
    </w:p>
    <w:p>
      <w:pPr>
        <w:keepNext w:val="0"/>
        <w:keepLines w:val="0"/>
        <w:pageBreakBefore w:val="0"/>
        <w:kinsoku/>
        <w:wordWrap/>
        <w:overflowPunct/>
        <w:topLinePunct w:val="0"/>
        <w:autoSpaceDE/>
        <w:autoSpaceDN/>
        <w:bidi w:val="0"/>
        <w:adjustRightInd/>
        <w:spacing w:line="572" w:lineRule="exact"/>
        <w:ind w:firstLine="645"/>
        <w:textAlignment w:val="auto"/>
        <w:rPr>
          <w:rFonts w:hint="default" w:ascii="文星书宋" w:hAnsi="文星书宋" w:eastAsia="黑体"/>
          <w:spacing w:val="-8"/>
          <w:lang w:val="en-US" w:eastAsia="zh-CN"/>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主要依据《中华人民共和国数据安全法》《中华人民共和国网络安全法》《河南省政务信息资源共享管理暂行办法》豫政办〔2018〕2号、《南阳市政务信息资源共享管理暂行办法》宛政办〔2018〕31号等有关规定，同时也参考了省内有关地市相关办法。</w:t>
      </w:r>
    </w:p>
    <w:p>
      <w:pPr>
        <w:keepNext w:val="0"/>
        <w:keepLines w:val="0"/>
        <w:pageBreakBefore w:val="0"/>
        <w:kinsoku/>
        <w:wordWrap/>
        <w:overflowPunct/>
        <w:topLinePunct w:val="0"/>
        <w:autoSpaceDE/>
        <w:autoSpaceDN/>
        <w:bidi w:val="0"/>
        <w:adjustRightInd/>
        <w:spacing w:line="572" w:lineRule="exact"/>
        <w:ind w:firstLine="640" w:firstLineChars="200"/>
        <w:textAlignment w:val="auto"/>
        <w:rPr>
          <w:rFonts w:hint="eastAsia" w:ascii="文星书宋" w:hAnsi="文星书宋" w:eastAsia="仿宋_GB2312"/>
          <w:b/>
        </w:rPr>
      </w:pPr>
      <w:r>
        <w:rPr>
          <w:rFonts w:hint="eastAsia" w:ascii="文星书宋" w:hAnsi="文星书宋" w:eastAsia="黑体"/>
        </w:rPr>
        <w:t>三、文件的基本结构和主要内容</w:t>
      </w:r>
    </w:p>
    <w:p>
      <w:pPr>
        <w:keepNext w:val="0"/>
        <w:keepLines w:val="0"/>
        <w:pageBreakBefore w:val="0"/>
        <w:kinsoku/>
        <w:wordWrap/>
        <w:overflowPunct/>
        <w:topLinePunct w:val="0"/>
        <w:autoSpaceDE/>
        <w:autoSpaceDN/>
        <w:bidi w:val="0"/>
        <w:adjustRightInd/>
        <w:spacing w:line="572" w:lineRule="exact"/>
        <w:ind w:firstLine="640" w:firstLineChars="200"/>
        <w:textAlignment w:val="auto"/>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办法共十二章七十三条，涉及职责分工、政务数据目录、政务数据采集、汇聚、共享、开放应用、安全、监督管理、数据纠错、责任追究等10大方面。</w:t>
      </w:r>
    </w:p>
    <w:p>
      <w:pPr>
        <w:keepNext w:val="0"/>
        <w:keepLines w:val="0"/>
        <w:pageBreakBefore w:val="0"/>
        <w:numPr>
          <w:ilvl w:val="0"/>
          <w:numId w:val="0"/>
        </w:numPr>
        <w:kinsoku/>
        <w:wordWrap/>
        <w:overflowPunct/>
        <w:topLinePunct w:val="0"/>
        <w:autoSpaceDE/>
        <w:autoSpaceDN/>
        <w:bidi w:val="0"/>
        <w:adjustRightInd/>
        <w:spacing w:line="572" w:lineRule="exact"/>
        <w:ind w:firstLine="640" w:firstLineChars="200"/>
        <w:textAlignment w:val="auto"/>
        <w:rPr>
          <w:rFonts w:hint="default"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第一章总则部分共十条。明确了办法编制目的意义，适用范围，政务数据、政务部门、数据共享等相关概念，数据权属、管理原则，数据管理责任主体，数据共享的基本方式、基本要求。</w:t>
      </w:r>
    </w:p>
    <w:p>
      <w:pPr>
        <w:keepNext w:val="0"/>
        <w:keepLines w:val="0"/>
        <w:pageBreakBefore w:val="0"/>
        <w:numPr>
          <w:ilvl w:val="0"/>
          <w:numId w:val="0"/>
        </w:numPr>
        <w:kinsoku/>
        <w:wordWrap/>
        <w:overflowPunct/>
        <w:topLinePunct w:val="0"/>
        <w:autoSpaceDE/>
        <w:autoSpaceDN/>
        <w:bidi w:val="0"/>
        <w:adjustRightInd/>
        <w:spacing w:line="572" w:lineRule="exact"/>
        <w:ind w:left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第二章职责分工部分共五条。明确了数据主管部门、数据</w:t>
      </w:r>
    </w:p>
    <w:p>
      <w:pPr>
        <w:keepNext w:val="0"/>
        <w:keepLines w:val="0"/>
        <w:pageBreakBefore w:val="0"/>
        <w:numPr>
          <w:ilvl w:val="0"/>
          <w:numId w:val="0"/>
        </w:numPr>
        <w:kinsoku/>
        <w:wordWrap/>
        <w:overflowPunct/>
        <w:topLinePunct w:val="0"/>
        <w:autoSpaceDE/>
        <w:autoSpaceDN/>
        <w:bidi w:val="0"/>
        <w:adjustRightInd/>
        <w:spacing w:line="572" w:lineRule="exact"/>
        <w:textAlignment w:val="auto"/>
        <w:rPr>
          <w:rFonts w:hint="default"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生产部门、数据应用部门和技术服务单位等数据共享管理参与方的职责分工。</w:t>
      </w:r>
      <w:bookmarkStart w:id="0" w:name="_GoBack"/>
      <w:bookmarkEnd w:id="0"/>
    </w:p>
    <w:p>
      <w:pPr>
        <w:keepNext w:val="0"/>
        <w:keepLines w:val="0"/>
        <w:pageBreakBefore w:val="0"/>
        <w:numPr>
          <w:ilvl w:val="0"/>
          <w:numId w:val="0"/>
        </w:numPr>
        <w:kinsoku/>
        <w:wordWrap/>
        <w:overflowPunct/>
        <w:topLinePunct w:val="0"/>
        <w:autoSpaceDE/>
        <w:autoSpaceDN/>
        <w:bidi w:val="0"/>
        <w:adjustRightInd/>
        <w:spacing w:line="572" w:lineRule="exact"/>
        <w:ind w:left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第三章政务数据目录部分共八条。明确了政务数据目录编</w:t>
      </w:r>
    </w:p>
    <w:p>
      <w:pPr>
        <w:keepNext w:val="0"/>
        <w:keepLines w:val="0"/>
        <w:pageBreakBefore w:val="0"/>
        <w:numPr>
          <w:ilvl w:val="0"/>
          <w:numId w:val="0"/>
        </w:numPr>
        <w:kinsoku/>
        <w:wordWrap/>
        <w:overflowPunct/>
        <w:topLinePunct w:val="0"/>
        <w:autoSpaceDE/>
        <w:autoSpaceDN/>
        <w:bidi w:val="0"/>
        <w:adjustRightInd/>
        <w:spacing w:line="572" w:lineRule="exact"/>
        <w:textAlignment w:val="auto"/>
        <w:rPr>
          <w:rFonts w:hint="default"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制意义，编制原则，编制方式，变更、应用要求。</w:t>
      </w:r>
    </w:p>
    <w:p>
      <w:pPr>
        <w:keepNext w:val="0"/>
        <w:keepLines w:val="0"/>
        <w:pageBreakBefore w:val="0"/>
        <w:numPr>
          <w:ilvl w:val="0"/>
          <w:numId w:val="0"/>
        </w:numPr>
        <w:kinsoku/>
        <w:wordWrap/>
        <w:overflowPunct/>
        <w:topLinePunct w:val="0"/>
        <w:autoSpaceDE/>
        <w:autoSpaceDN/>
        <w:bidi w:val="0"/>
        <w:adjustRightInd/>
        <w:spacing w:line="572" w:lineRule="exact"/>
        <w:ind w:left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第四章政务数据采集部分共四条。明确了数据生产部门开</w:t>
      </w:r>
    </w:p>
    <w:p>
      <w:pPr>
        <w:keepNext w:val="0"/>
        <w:keepLines w:val="0"/>
        <w:pageBreakBefore w:val="0"/>
        <w:numPr>
          <w:ilvl w:val="0"/>
          <w:numId w:val="0"/>
        </w:numPr>
        <w:kinsoku/>
        <w:wordWrap/>
        <w:overflowPunct/>
        <w:topLinePunct w:val="0"/>
        <w:autoSpaceDE/>
        <w:autoSpaceDN/>
        <w:bidi w:val="0"/>
        <w:adjustRightInd/>
        <w:spacing w:line="572" w:lineRule="exact"/>
        <w:textAlignment w:val="auto"/>
        <w:rPr>
          <w:rFonts w:hint="default"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展政务数据采集活动应当依据的原则、要求、责任。</w:t>
      </w:r>
    </w:p>
    <w:p>
      <w:pPr>
        <w:keepNext w:val="0"/>
        <w:keepLines w:val="0"/>
        <w:pageBreakBefore w:val="0"/>
        <w:numPr>
          <w:ilvl w:val="0"/>
          <w:numId w:val="0"/>
        </w:numPr>
        <w:kinsoku/>
        <w:wordWrap/>
        <w:overflowPunct/>
        <w:topLinePunct w:val="0"/>
        <w:autoSpaceDE/>
        <w:autoSpaceDN/>
        <w:bidi w:val="0"/>
        <w:adjustRightInd/>
        <w:spacing w:line="572" w:lineRule="exact"/>
        <w:ind w:left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第五章政务数据汇聚部分共六条。明确了数据主管部门和</w:t>
      </w:r>
    </w:p>
    <w:p>
      <w:pPr>
        <w:keepNext w:val="0"/>
        <w:keepLines w:val="0"/>
        <w:pageBreakBefore w:val="0"/>
        <w:numPr>
          <w:ilvl w:val="0"/>
          <w:numId w:val="0"/>
        </w:numPr>
        <w:kinsoku/>
        <w:wordWrap/>
        <w:overflowPunct/>
        <w:topLinePunct w:val="0"/>
        <w:autoSpaceDE/>
        <w:autoSpaceDN/>
        <w:bidi w:val="0"/>
        <w:adjustRightInd/>
        <w:spacing w:line="572" w:lineRule="exact"/>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相关政务部门进行数据汇聚活动的规范、方式和责任。</w:t>
      </w:r>
    </w:p>
    <w:p>
      <w:pPr>
        <w:keepNext w:val="0"/>
        <w:keepLines w:val="0"/>
        <w:pageBreakBefore w:val="0"/>
        <w:numPr>
          <w:ilvl w:val="0"/>
          <w:numId w:val="0"/>
        </w:numPr>
        <w:kinsoku/>
        <w:wordWrap/>
        <w:overflowPunct/>
        <w:topLinePunct w:val="0"/>
        <w:autoSpaceDE/>
        <w:autoSpaceDN/>
        <w:bidi w:val="0"/>
        <w:adjustRightInd/>
        <w:spacing w:line="572"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第六章政务数据共享部分共八条。明确了数据共享的途径、方式，数据的共享属性与类型划分，数据共享原则、电子数据的法律效力，数据共享协调机制。</w:t>
      </w:r>
    </w:p>
    <w:p>
      <w:pPr>
        <w:keepNext w:val="0"/>
        <w:keepLines w:val="0"/>
        <w:pageBreakBefore w:val="0"/>
        <w:numPr>
          <w:ilvl w:val="0"/>
          <w:numId w:val="0"/>
        </w:numPr>
        <w:kinsoku/>
        <w:wordWrap/>
        <w:overflowPunct/>
        <w:topLinePunct w:val="0"/>
        <w:autoSpaceDE/>
        <w:autoSpaceDN/>
        <w:bidi w:val="0"/>
        <w:adjustRightInd/>
        <w:spacing w:line="572"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第七章政务数据开放应用部分共九条。明确了数据开放应用原则、要求、流程。</w:t>
      </w:r>
    </w:p>
    <w:p>
      <w:pPr>
        <w:keepNext w:val="0"/>
        <w:keepLines w:val="0"/>
        <w:pageBreakBefore w:val="0"/>
        <w:numPr>
          <w:ilvl w:val="0"/>
          <w:numId w:val="0"/>
        </w:numPr>
        <w:kinsoku/>
        <w:wordWrap/>
        <w:overflowPunct/>
        <w:topLinePunct w:val="0"/>
        <w:autoSpaceDE/>
        <w:autoSpaceDN/>
        <w:bidi w:val="0"/>
        <w:adjustRightInd/>
        <w:spacing w:line="572" w:lineRule="exact"/>
        <w:ind w:left="640" w:leftChars="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第八章政务数据安全部分共七条。依据国家法律法规对数</w:t>
      </w:r>
    </w:p>
    <w:p>
      <w:pPr>
        <w:keepNext w:val="0"/>
        <w:keepLines w:val="0"/>
        <w:pageBreakBefore w:val="0"/>
        <w:numPr>
          <w:ilvl w:val="0"/>
          <w:numId w:val="0"/>
        </w:numPr>
        <w:kinsoku/>
        <w:wordWrap/>
        <w:overflowPunct/>
        <w:topLinePunct w:val="0"/>
        <w:autoSpaceDE/>
        <w:autoSpaceDN/>
        <w:bidi w:val="0"/>
        <w:adjustRightInd/>
        <w:spacing w:line="572" w:lineRule="exact"/>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据安全管理、分工、保障工作进一步规范。</w:t>
      </w:r>
    </w:p>
    <w:p>
      <w:pPr>
        <w:keepNext w:val="0"/>
        <w:keepLines w:val="0"/>
        <w:pageBreakBefore w:val="0"/>
        <w:numPr>
          <w:ilvl w:val="0"/>
          <w:numId w:val="0"/>
        </w:numPr>
        <w:kinsoku/>
        <w:wordWrap/>
        <w:overflowPunct/>
        <w:topLinePunct w:val="0"/>
        <w:autoSpaceDE/>
        <w:autoSpaceDN/>
        <w:bidi w:val="0"/>
        <w:adjustRightInd/>
        <w:spacing w:line="572" w:lineRule="exact"/>
        <w:ind w:left="640" w:leftChars="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第九章监督管理部分共六条。就数据汇聚共享应用监督管</w:t>
      </w:r>
    </w:p>
    <w:p>
      <w:pPr>
        <w:keepNext w:val="0"/>
        <w:keepLines w:val="0"/>
        <w:pageBreakBefore w:val="0"/>
        <w:numPr>
          <w:ilvl w:val="0"/>
          <w:numId w:val="0"/>
        </w:numPr>
        <w:kinsoku/>
        <w:wordWrap/>
        <w:overflowPunct/>
        <w:topLinePunct w:val="0"/>
        <w:autoSpaceDE/>
        <w:autoSpaceDN/>
        <w:bidi w:val="0"/>
        <w:adjustRightInd/>
        <w:spacing w:line="572" w:lineRule="exact"/>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理工作进行规范，主要是</w:t>
      </w:r>
      <w:r>
        <w:rPr>
          <w:rFonts w:hint="eastAsia" w:ascii="仿宋_GB2312" w:eastAsia="仿宋_GB2312"/>
          <w:color w:val="auto"/>
          <w:sz w:val="32"/>
          <w:szCs w:val="32"/>
          <w:highlight w:val="none"/>
        </w:rPr>
        <w:t>市</w:t>
      </w:r>
      <w:r>
        <w:rPr>
          <w:rFonts w:hint="eastAsia" w:ascii="仿宋_GB2312" w:eastAsia="仿宋_GB2312"/>
          <w:color w:val="auto"/>
          <w:sz w:val="32"/>
          <w:szCs w:val="32"/>
          <w:highlight w:val="none"/>
          <w:lang w:eastAsia="zh-CN"/>
        </w:rPr>
        <w:t>级</w:t>
      </w:r>
      <w:r>
        <w:rPr>
          <w:rFonts w:hint="eastAsia" w:ascii="仿宋_GB2312" w:eastAsia="仿宋_GB2312"/>
          <w:color w:val="auto"/>
          <w:sz w:val="32"/>
          <w:szCs w:val="32"/>
          <w:highlight w:val="none"/>
          <w:lang w:val="en-US" w:eastAsia="zh-CN"/>
        </w:rPr>
        <w:t>数据主管部门</w:t>
      </w:r>
      <w:r>
        <w:rPr>
          <w:rFonts w:hint="eastAsia" w:ascii="仿宋_GB2312" w:eastAsia="仿宋_GB2312"/>
          <w:color w:val="auto"/>
          <w:sz w:val="32"/>
          <w:szCs w:val="32"/>
          <w:highlight w:val="none"/>
        </w:rPr>
        <w:t>组织制定政务数据管理工作情况评价办法，会同相关部门每年对各县（市、区）人民政府、市级各政务部门政务数据汇聚、共享、开放、应用、安全等工作情况进行评价，评价结果作为市</w:t>
      </w:r>
      <w:r>
        <w:rPr>
          <w:rFonts w:hint="eastAsia" w:ascii="仿宋_GB2312" w:eastAsia="仿宋_GB2312"/>
          <w:color w:val="auto"/>
          <w:sz w:val="32"/>
          <w:szCs w:val="32"/>
          <w:highlight w:val="none"/>
          <w:lang w:eastAsia="zh-CN"/>
        </w:rPr>
        <w:t>级</w:t>
      </w:r>
      <w:r>
        <w:rPr>
          <w:rFonts w:hint="eastAsia" w:ascii="仿宋_GB2312" w:eastAsia="仿宋_GB2312"/>
          <w:color w:val="auto"/>
          <w:sz w:val="32"/>
          <w:szCs w:val="32"/>
          <w:highlight w:val="none"/>
        </w:rPr>
        <w:t>人民政府对各县（市、区）人民政府、市级各政务部门工作目标考核的重要依据。</w:t>
      </w:r>
    </w:p>
    <w:p>
      <w:pPr>
        <w:keepNext w:val="0"/>
        <w:keepLines w:val="0"/>
        <w:pageBreakBefore w:val="0"/>
        <w:numPr>
          <w:ilvl w:val="0"/>
          <w:numId w:val="0"/>
        </w:numPr>
        <w:kinsoku/>
        <w:wordWrap/>
        <w:overflowPunct/>
        <w:topLinePunct w:val="0"/>
        <w:autoSpaceDE/>
        <w:autoSpaceDN/>
        <w:bidi w:val="0"/>
        <w:adjustRightInd/>
        <w:spacing w:line="572"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第十章数据纠错部分共两条。主要明确了数据纠错机制，保障数据质量。</w:t>
      </w:r>
    </w:p>
    <w:p>
      <w:pPr>
        <w:keepNext w:val="0"/>
        <w:keepLines w:val="0"/>
        <w:pageBreakBefore w:val="0"/>
        <w:numPr>
          <w:ilvl w:val="0"/>
          <w:numId w:val="0"/>
        </w:numPr>
        <w:kinsoku/>
        <w:wordWrap/>
        <w:overflowPunct/>
        <w:topLinePunct w:val="0"/>
        <w:autoSpaceDE/>
        <w:autoSpaceDN/>
        <w:bidi w:val="0"/>
        <w:adjustRightInd/>
        <w:spacing w:line="572" w:lineRule="exact"/>
        <w:ind w:firstLine="640" w:firstLineChars="200"/>
        <w:textAlignment w:val="auto"/>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第十一章责任追究部分共四条。依次明确了数据生产部门、数据使用部门、数据主管部门在整个数据采集、汇聚、共享、开放全流程的责任，参与人员责任、容错免责情形等。</w:t>
      </w:r>
    </w:p>
    <w:p>
      <w:pPr>
        <w:keepNext w:val="0"/>
        <w:keepLines w:val="0"/>
        <w:pageBreakBefore w:val="0"/>
        <w:numPr>
          <w:ilvl w:val="0"/>
          <w:numId w:val="0"/>
        </w:numPr>
        <w:kinsoku/>
        <w:wordWrap/>
        <w:overflowPunct/>
        <w:topLinePunct w:val="0"/>
        <w:autoSpaceDE/>
        <w:autoSpaceDN/>
        <w:bidi w:val="0"/>
        <w:adjustRightInd/>
        <w:spacing w:line="572" w:lineRule="exact"/>
        <w:ind w:firstLine="640"/>
        <w:textAlignment w:val="auto"/>
        <w:rPr>
          <w:rFonts w:hint="eastAsia" w:ascii="仿宋_GB2312" w:eastAsia="仿宋_GB2312"/>
          <w:color w:val="auto"/>
          <w:spacing w:val="0"/>
          <w:sz w:val="32"/>
          <w:szCs w:val="32"/>
          <w:highlight w:val="none"/>
          <w:lang w:eastAsia="zh-CN"/>
        </w:rPr>
      </w:pP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第十二章附则部分共四条。主要就</w:t>
      </w:r>
      <w:r>
        <w:rPr>
          <w:rFonts w:hint="eastAsia" w:ascii="仿宋_GB2312" w:eastAsia="仿宋_GB2312"/>
          <w:color w:val="auto"/>
          <w:spacing w:val="0"/>
          <w:sz w:val="32"/>
          <w:szCs w:val="32"/>
          <w:highlight w:val="none"/>
        </w:rPr>
        <w:t>中央</w:t>
      </w:r>
      <w:r>
        <w:rPr>
          <w:rFonts w:hint="eastAsia" w:ascii="仿宋_GB2312" w:eastAsia="仿宋_GB2312"/>
          <w:color w:val="auto"/>
          <w:spacing w:val="0"/>
          <w:sz w:val="32"/>
          <w:szCs w:val="32"/>
          <w:highlight w:val="none"/>
          <w:lang w:val="en-US" w:eastAsia="zh-CN"/>
        </w:rPr>
        <w:t>国家行政机关</w:t>
      </w:r>
      <w:r>
        <w:rPr>
          <w:rFonts w:hint="eastAsia" w:ascii="仿宋_GB2312" w:eastAsia="仿宋_GB2312"/>
          <w:color w:val="auto"/>
          <w:spacing w:val="0"/>
          <w:sz w:val="32"/>
          <w:szCs w:val="32"/>
          <w:highlight w:val="none"/>
        </w:rPr>
        <w:t>、省在</w:t>
      </w:r>
      <w:r>
        <w:rPr>
          <w:rFonts w:hint="eastAsia" w:ascii="仿宋_GB2312" w:eastAsia="仿宋_GB2312"/>
          <w:color w:val="auto"/>
          <w:spacing w:val="0"/>
          <w:sz w:val="32"/>
          <w:szCs w:val="32"/>
          <w:highlight w:val="none"/>
          <w:lang w:eastAsia="zh-CN"/>
        </w:rPr>
        <w:t>南阳</w:t>
      </w:r>
      <w:r>
        <w:rPr>
          <w:rFonts w:hint="eastAsia" w:ascii="仿宋_GB2312" w:eastAsia="仿宋_GB2312"/>
          <w:color w:val="auto"/>
          <w:spacing w:val="0"/>
          <w:sz w:val="32"/>
          <w:szCs w:val="32"/>
          <w:highlight w:val="none"/>
        </w:rPr>
        <w:t>直属机构，审判机关，检察机关，社会团体，邮政、通信、供水、供电、供气、热力、民航、铁路、道路客运、公共资源交易等公用事业运营单位，在依法履行公共管理和服务职责过程中采集和产生的各类数据资源的管理</w:t>
      </w:r>
      <w:r>
        <w:rPr>
          <w:rFonts w:hint="eastAsia" w:ascii="仿宋_GB2312" w:eastAsia="仿宋_GB2312"/>
          <w:color w:val="auto"/>
          <w:spacing w:val="0"/>
          <w:sz w:val="32"/>
          <w:szCs w:val="32"/>
          <w:highlight w:val="none"/>
          <w:lang w:eastAsia="zh-CN"/>
        </w:rPr>
        <w:t>适用进行规定。</w:t>
      </w:r>
    </w:p>
    <w:p>
      <w:pPr>
        <w:numPr>
          <w:ilvl w:val="0"/>
          <w:numId w:val="0"/>
        </w:numPr>
        <w:ind w:leftChars="200"/>
        <w:rPr>
          <w:rFonts w:hint="eastAsia" w:ascii="文星书宋" w:hAnsi="文星书宋" w:eastAsia="黑体" w:cs="仿宋_GB2312"/>
          <w:lang w:eastAsia="zh-CN"/>
        </w:rPr>
      </w:pPr>
      <w:r>
        <w:rPr>
          <w:rFonts w:hint="eastAsia" w:ascii="文星书宋" w:hAnsi="文星书宋" w:eastAsia="黑体" w:cs="仿宋_GB2312"/>
          <w:lang w:eastAsia="zh-CN"/>
        </w:rPr>
        <w:t>四、出台意义</w:t>
      </w:r>
    </w:p>
    <w:p>
      <w:pPr>
        <w:keepNext w:val="0"/>
        <w:keepLines w:val="0"/>
        <w:pageBreakBefore w:val="0"/>
        <w:numPr>
          <w:ilvl w:val="0"/>
          <w:numId w:val="0"/>
        </w:numPr>
        <w:kinsoku/>
        <w:wordWrap/>
        <w:overflowPunct/>
        <w:topLinePunct w:val="0"/>
        <w:autoSpaceDE/>
        <w:autoSpaceDN/>
        <w:bidi w:val="0"/>
        <w:adjustRightInd/>
        <w:spacing w:line="572" w:lineRule="exact"/>
        <w:ind w:firstLine="640"/>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管理暂行办法》对我市政务数据共享提出了具体要求，明确了具体目标、责任和实施机构。对政务数据目录建设与更新、目录的分类与共享要求、政务数据共享交换平台建设、共享信息提供与使用、政务数据安全防护、政务数据归集共享工作的监督与保障等作出了明确规定。该办法的出台，将对全市政务数据归集共享起到指导性作用，有助于打破部门之间的“数据壁垒”，尽快实现“数据多跑路、群众少跑腿”的改革目标。</w:t>
      </w:r>
    </w:p>
    <w:p>
      <w:pPr>
        <w:numPr>
          <w:ilvl w:val="0"/>
          <w:numId w:val="0"/>
        </w:numPr>
        <w:ind w:leftChars="200"/>
        <w:rPr>
          <w:rFonts w:hint="eastAsia" w:ascii="仿宋_GB2312" w:hAnsi="仿宋_GB2312" w:eastAsia="仿宋_GB2312" w:cs="仿宋_GB2312"/>
          <w:b w:val="0"/>
          <w:bCs/>
          <w:lang w:eastAsia="zh-CN"/>
        </w:rPr>
      </w:pPr>
      <w:r>
        <w:rPr>
          <w:rFonts w:hint="eastAsia" w:ascii="文星书宋" w:hAnsi="文星书宋" w:eastAsia="仿宋_GB2312"/>
          <w:b/>
        </w:rPr>
        <w:t xml:space="preserve">                           </w:t>
      </w:r>
    </w:p>
    <w:p>
      <w:pPr>
        <w:ind w:firstLine="643" w:firstLineChars="200"/>
        <w:rPr>
          <w:rFonts w:hint="eastAsia" w:ascii="文星书宋" w:hAnsi="文星书宋"/>
        </w:rPr>
      </w:pPr>
      <w:r>
        <w:rPr>
          <w:rFonts w:hint="eastAsia" w:ascii="文星书宋" w:hAnsi="文星书宋" w:eastAsia="仿宋_GB2312"/>
          <w:b/>
        </w:rPr>
        <w:t xml:space="preserve">                               </w:t>
      </w:r>
    </w:p>
    <w:p>
      <w:pPr>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sectPr>
      <w:footerReference r:id="rId3" w:type="default"/>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仿宋 Std R">
    <w:altName w:val="仿宋"/>
    <w:panose1 w:val="00000000000000000000"/>
    <w:charset w:val="86"/>
    <w:family w:val="roman"/>
    <w:pitch w:val="default"/>
    <w:sig w:usb0="00000000" w:usb1="00000000" w:usb2="00000010" w:usb3="00000000" w:csb0="00060007"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文星书宋">
    <w:altName w:val="宋体"/>
    <w:panose1 w:val="02010604000101010101"/>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2778C"/>
    <w:multiLevelType w:val="singleLevel"/>
    <w:tmpl w:val="B2A277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74A6"/>
    <w:rsid w:val="00F83CA4"/>
    <w:rsid w:val="017F2DFC"/>
    <w:rsid w:val="01AF66C1"/>
    <w:rsid w:val="01FA2049"/>
    <w:rsid w:val="01FA5C8F"/>
    <w:rsid w:val="02A074A6"/>
    <w:rsid w:val="031B5D92"/>
    <w:rsid w:val="031E6A22"/>
    <w:rsid w:val="03571A50"/>
    <w:rsid w:val="039D18E6"/>
    <w:rsid w:val="03CF3A69"/>
    <w:rsid w:val="040F1CDA"/>
    <w:rsid w:val="0412696C"/>
    <w:rsid w:val="042A0B9B"/>
    <w:rsid w:val="044E0530"/>
    <w:rsid w:val="04A66020"/>
    <w:rsid w:val="05BB4193"/>
    <w:rsid w:val="05E40C54"/>
    <w:rsid w:val="06304419"/>
    <w:rsid w:val="06D20BEF"/>
    <w:rsid w:val="07E449D2"/>
    <w:rsid w:val="096C3E5F"/>
    <w:rsid w:val="0B226B74"/>
    <w:rsid w:val="0B5E2B76"/>
    <w:rsid w:val="0BFB3DC4"/>
    <w:rsid w:val="0C3A7BAB"/>
    <w:rsid w:val="0D6E6E8D"/>
    <w:rsid w:val="0DA96184"/>
    <w:rsid w:val="0DCA046B"/>
    <w:rsid w:val="0E4573B0"/>
    <w:rsid w:val="0EE20821"/>
    <w:rsid w:val="0F042E94"/>
    <w:rsid w:val="0FC1134D"/>
    <w:rsid w:val="10C13FDB"/>
    <w:rsid w:val="10E22147"/>
    <w:rsid w:val="1124317F"/>
    <w:rsid w:val="12897143"/>
    <w:rsid w:val="132C310B"/>
    <w:rsid w:val="13F90A3E"/>
    <w:rsid w:val="14031D9A"/>
    <w:rsid w:val="14337AFF"/>
    <w:rsid w:val="14E27BB1"/>
    <w:rsid w:val="150C0A61"/>
    <w:rsid w:val="1516768B"/>
    <w:rsid w:val="15901FD8"/>
    <w:rsid w:val="16996267"/>
    <w:rsid w:val="16E11692"/>
    <w:rsid w:val="183A46DC"/>
    <w:rsid w:val="18456E2D"/>
    <w:rsid w:val="186126B0"/>
    <w:rsid w:val="18B050DB"/>
    <w:rsid w:val="1907139F"/>
    <w:rsid w:val="19A04124"/>
    <w:rsid w:val="19F34283"/>
    <w:rsid w:val="1A6F069E"/>
    <w:rsid w:val="1A72438A"/>
    <w:rsid w:val="1AA82733"/>
    <w:rsid w:val="1AE06D4E"/>
    <w:rsid w:val="1B227450"/>
    <w:rsid w:val="1B601D8E"/>
    <w:rsid w:val="1B637238"/>
    <w:rsid w:val="1C737C2D"/>
    <w:rsid w:val="1C8B1E4B"/>
    <w:rsid w:val="1D3A1AC5"/>
    <w:rsid w:val="1D3E5BC1"/>
    <w:rsid w:val="1EC65B76"/>
    <w:rsid w:val="1EC740F2"/>
    <w:rsid w:val="1FE17541"/>
    <w:rsid w:val="21413C5B"/>
    <w:rsid w:val="21797E64"/>
    <w:rsid w:val="217D077C"/>
    <w:rsid w:val="223D3C33"/>
    <w:rsid w:val="22646584"/>
    <w:rsid w:val="226B40AF"/>
    <w:rsid w:val="234C7967"/>
    <w:rsid w:val="236E4181"/>
    <w:rsid w:val="248E349F"/>
    <w:rsid w:val="24C31097"/>
    <w:rsid w:val="25B37441"/>
    <w:rsid w:val="26AB009E"/>
    <w:rsid w:val="26CF30B7"/>
    <w:rsid w:val="278B575E"/>
    <w:rsid w:val="28207900"/>
    <w:rsid w:val="2821650E"/>
    <w:rsid w:val="28C3130C"/>
    <w:rsid w:val="28C945F3"/>
    <w:rsid w:val="28F27167"/>
    <w:rsid w:val="29060AC2"/>
    <w:rsid w:val="297463EF"/>
    <w:rsid w:val="29930EA8"/>
    <w:rsid w:val="29A347F4"/>
    <w:rsid w:val="2A3833D3"/>
    <w:rsid w:val="2B1565F6"/>
    <w:rsid w:val="2B2734FF"/>
    <w:rsid w:val="2BE41246"/>
    <w:rsid w:val="2C5A484D"/>
    <w:rsid w:val="2CBF5CFF"/>
    <w:rsid w:val="2CC43F04"/>
    <w:rsid w:val="2DD04498"/>
    <w:rsid w:val="2E1B32C4"/>
    <w:rsid w:val="2E801F26"/>
    <w:rsid w:val="2E877ADC"/>
    <w:rsid w:val="2F331C22"/>
    <w:rsid w:val="2F3824B8"/>
    <w:rsid w:val="2F7862BB"/>
    <w:rsid w:val="307C3E82"/>
    <w:rsid w:val="30B0762F"/>
    <w:rsid w:val="30EC2A7D"/>
    <w:rsid w:val="318841B3"/>
    <w:rsid w:val="32CB27A0"/>
    <w:rsid w:val="32E93A76"/>
    <w:rsid w:val="33402233"/>
    <w:rsid w:val="347C44BC"/>
    <w:rsid w:val="34C9153F"/>
    <w:rsid w:val="34E31DEA"/>
    <w:rsid w:val="35204BA0"/>
    <w:rsid w:val="357507A2"/>
    <w:rsid w:val="35B3015A"/>
    <w:rsid w:val="35D92C3A"/>
    <w:rsid w:val="36546339"/>
    <w:rsid w:val="366F154E"/>
    <w:rsid w:val="37705584"/>
    <w:rsid w:val="37E05CA0"/>
    <w:rsid w:val="3833363F"/>
    <w:rsid w:val="3886625D"/>
    <w:rsid w:val="38B03042"/>
    <w:rsid w:val="3A651C56"/>
    <w:rsid w:val="3AD30C9C"/>
    <w:rsid w:val="3ADE6936"/>
    <w:rsid w:val="3B2910D1"/>
    <w:rsid w:val="3B5D1497"/>
    <w:rsid w:val="3B9949DB"/>
    <w:rsid w:val="3E685BA1"/>
    <w:rsid w:val="3E8D5AD7"/>
    <w:rsid w:val="3EB74B3E"/>
    <w:rsid w:val="3EC96157"/>
    <w:rsid w:val="3F41740E"/>
    <w:rsid w:val="3F4F682C"/>
    <w:rsid w:val="3F5D6BF3"/>
    <w:rsid w:val="412F647D"/>
    <w:rsid w:val="41420BCD"/>
    <w:rsid w:val="414F3A01"/>
    <w:rsid w:val="417C1D63"/>
    <w:rsid w:val="420578AF"/>
    <w:rsid w:val="42223518"/>
    <w:rsid w:val="428211FE"/>
    <w:rsid w:val="43552658"/>
    <w:rsid w:val="441B7D8D"/>
    <w:rsid w:val="44402F89"/>
    <w:rsid w:val="448767DD"/>
    <w:rsid w:val="45AF7DBB"/>
    <w:rsid w:val="46966F6C"/>
    <w:rsid w:val="46C54379"/>
    <w:rsid w:val="4711775B"/>
    <w:rsid w:val="476151DB"/>
    <w:rsid w:val="491C0254"/>
    <w:rsid w:val="4AB67690"/>
    <w:rsid w:val="4B4E142B"/>
    <w:rsid w:val="4BB9613A"/>
    <w:rsid w:val="4C083F59"/>
    <w:rsid w:val="4C14142B"/>
    <w:rsid w:val="4C591142"/>
    <w:rsid w:val="4D070C32"/>
    <w:rsid w:val="4D4B09B1"/>
    <w:rsid w:val="4DA61497"/>
    <w:rsid w:val="4E142AFF"/>
    <w:rsid w:val="4FA9477D"/>
    <w:rsid w:val="50A602AB"/>
    <w:rsid w:val="50D44F13"/>
    <w:rsid w:val="52960810"/>
    <w:rsid w:val="52E65A9B"/>
    <w:rsid w:val="52ED2391"/>
    <w:rsid w:val="53491F06"/>
    <w:rsid w:val="534E0C4A"/>
    <w:rsid w:val="539C2DD7"/>
    <w:rsid w:val="53E3110D"/>
    <w:rsid w:val="54B75807"/>
    <w:rsid w:val="55976A87"/>
    <w:rsid w:val="559D7B75"/>
    <w:rsid w:val="56672E6C"/>
    <w:rsid w:val="5736603A"/>
    <w:rsid w:val="5794352B"/>
    <w:rsid w:val="58BD3C54"/>
    <w:rsid w:val="59BF287F"/>
    <w:rsid w:val="5A5E57B0"/>
    <w:rsid w:val="5A8343AD"/>
    <w:rsid w:val="5AA4399B"/>
    <w:rsid w:val="5B3D4D1B"/>
    <w:rsid w:val="5B4E298D"/>
    <w:rsid w:val="5B5123F4"/>
    <w:rsid w:val="5B7E6C70"/>
    <w:rsid w:val="5C477217"/>
    <w:rsid w:val="5CC97759"/>
    <w:rsid w:val="5D074304"/>
    <w:rsid w:val="5D7906D1"/>
    <w:rsid w:val="5EBB0F13"/>
    <w:rsid w:val="5F0C34CF"/>
    <w:rsid w:val="5FB44093"/>
    <w:rsid w:val="5FB52817"/>
    <w:rsid w:val="5FE37ABF"/>
    <w:rsid w:val="60D03E28"/>
    <w:rsid w:val="61037E81"/>
    <w:rsid w:val="610F5D29"/>
    <w:rsid w:val="61183C93"/>
    <w:rsid w:val="61783E5F"/>
    <w:rsid w:val="6210485C"/>
    <w:rsid w:val="626E1332"/>
    <w:rsid w:val="628F7C7B"/>
    <w:rsid w:val="62944F60"/>
    <w:rsid w:val="631531DA"/>
    <w:rsid w:val="63566AB5"/>
    <w:rsid w:val="638B17AF"/>
    <w:rsid w:val="638D56B0"/>
    <w:rsid w:val="63E042EB"/>
    <w:rsid w:val="642300B3"/>
    <w:rsid w:val="6488549A"/>
    <w:rsid w:val="64A21269"/>
    <w:rsid w:val="653F54B4"/>
    <w:rsid w:val="6548327F"/>
    <w:rsid w:val="65B440D4"/>
    <w:rsid w:val="65E620D2"/>
    <w:rsid w:val="66453EC5"/>
    <w:rsid w:val="666A5487"/>
    <w:rsid w:val="67AA14B9"/>
    <w:rsid w:val="69350BC1"/>
    <w:rsid w:val="6A1B4DD9"/>
    <w:rsid w:val="6AF12967"/>
    <w:rsid w:val="6B5446B2"/>
    <w:rsid w:val="6C3003F4"/>
    <w:rsid w:val="6DC84EEC"/>
    <w:rsid w:val="6E157829"/>
    <w:rsid w:val="6E234901"/>
    <w:rsid w:val="6EC47BF4"/>
    <w:rsid w:val="6EE64A3B"/>
    <w:rsid w:val="6F4B2A49"/>
    <w:rsid w:val="6F664D49"/>
    <w:rsid w:val="6FDA7083"/>
    <w:rsid w:val="715E451D"/>
    <w:rsid w:val="72320F35"/>
    <w:rsid w:val="7237345C"/>
    <w:rsid w:val="73211CC6"/>
    <w:rsid w:val="732E0EDE"/>
    <w:rsid w:val="7353032E"/>
    <w:rsid w:val="73813B4F"/>
    <w:rsid w:val="739353F1"/>
    <w:rsid w:val="73C27B7F"/>
    <w:rsid w:val="742276CB"/>
    <w:rsid w:val="74C77C38"/>
    <w:rsid w:val="758E3474"/>
    <w:rsid w:val="761D01A3"/>
    <w:rsid w:val="76785C6B"/>
    <w:rsid w:val="76A97B4E"/>
    <w:rsid w:val="776C265F"/>
    <w:rsid w:val="77CB0C35"/>
    <w:rsid w:val="78922509"/>
    <w:rsid w:val="789710A8"/>
    <w:rsid w:val="78B65ED3"/>
    <w:rsid w:val="79435FDA"/>
    <w:rsid w:val="79BA2438"/>
    <w:rsid w:val="7ADE0918"/>
    <w:rsid w:val="7BCF0769"/>
    <w:rsid w:val="7BF04D77"/>
    <w:rsid w:val="7C910524"/>
    <w:rsid w:val="7C96501D"/>
    <w:rsid w:val="7CB04EA5"/>
    <w:rsid w:val="7CE140AA"/>
    <w:rsid w:val="7CED5E0B"/>
    <w:rsid w:val="7D8F3B08"/>
    <w:rsid w:val="7D971D86"/>
    <w:rsid w:val="7E0A7C9F"/>
    <w:rsid w:val="7E5145AB"/>
    <w:rsid w:val="7EF0159C"/>
    <w:rsid w:val="7F0B70B9"/>
    <w:rsid w:val="7FC3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dobe 仿宋 Std R" w:hAnsi="Adobe 仿宋 Std R" w:eastAsia="文星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 w:type="character" w:styleId="7">
    <w:name w:val="Hyperlink"/>
    <w:basedOn w:val="5"/>
    <w:qFormat/>
    <w:uiPriority w:val="0"/>
    <w:rPr>
      <w:color w:val="0000FF"/>
      <w:u w:val="single"/>
    </w:r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2021-08-01T01:46:00Z</dcterms:created>
  <dc:creator>Administrator</dc:creator>
  <cp:lastModifiedBy>微风</cp:lastModifiedBy>
  <cp:lastPrinted>2021-12-22T02:36:46Z</cp:lastPrinted>
  <dcterms:modified xsi:type="dcterms:W3CDTF">2021-12-22T02:37:21Z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069AA24659E54C9BB2BFC76F3CE2551A</vt:lpwstr>
  </property>
  <property fmtid="{D5CDD505-2E9C-101B-9397-08002B2CF9AE}" pid="4" name="KSOSaveFontToCloudKey">
    <vt:lpwstr>1124899482_btnclosed</vt:lpwstr>
  </property>
</Properties>
</file>