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黑体" w:hAnsi="黑体" w:eastAsia="黑体" w:cs="黑体"/>
          <w:color w:val="000000"/>
          <w:shd w:val="clear" w:color="auto" w:fill="FFFFFF"/>
        </w:rPr>
      </w:pPr>
      <w:r>
        <w:rPr>
          <w:rFonts w:hint="eastAsia" w:ascii="黑体" w:hAnsi="黑体" w:eastAsia="黑体" w:cs="黑体"/>
          <w:color w:val="000000"/>
          <w:shd w:val="clear" w:color="auto" w:fill="FFFFFF"/>
        </w:rPr>
        <w:t>附  件</w:t>
      </w:r>
    </w:p>
    <w:p>
      <w:pPr>
        <w:widowControl/>
        <w:jc w:val="center"/>
        <w:rPr>
          <w:rFonts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南阳市取消、下放和承接的行政许可事项目录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1418"/>
        <w:gridCol w:w="992"/>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34" w:type="dxa"/>
            <w:noWrap w:val="0"/>
            <w:vAlign w:val="center"/>
          </w:tcPr>
          <w:p>
            <w:pPr>
              <w:widowControl/>
              <w:spacing w:line="280" w:lineRule="exact"/>
              <w:jc w:val="center"/>
              <w:rPr>
                <w:rFonts w:ascii="黑体" w:hAnsi="黑体" w:eastAsia="黑体" w:cs="黑体"/>
                <w:color w:val="000000"/>
                <w:sz w:val="28"/>
                <w:szCs w:val="28"/>
                <w:lang w:bidi="ar"/>
              </w:rPr>
            </w:pPr>
            <w:r>
              <w:rPr>
                <w:rFonts w:hint="eastAsia" w:ascii="黑体" w:hAnsi="黑体" w:eastAsia="黑体" w:cs="黑体"/>
                <w:color w:val="000000"/>
                <w:sz w:val="28"/>
                <w:szCs w:val="28"/>
                <w:lang w:bidi="ar"/>
              </w:rPr>
              <w:t>序号</w:t>
            </w:r>
          </w:p>
        </w:tc>
        <w:tc>
          <w:tcPr>
            <w:tcW w:w="1984" w:type="dxa"/>
            <w:noWrap w:val="0"/>
            <w:vAlign w:val="center"/>
          </w:tcPr>
          <w:p>
            <w:pPr>
              <w:widowControl/>
              <w:spacing w:line="280" w:lineRule="exact"/>
              <w:jc w:val="center"/>
              <w:rPr>
                <w:rFonts w:ascii="黑体" w:hAnsi="黑体" w:eastAsia="黑体" w:cs="黑体"/>
                <w:color w:val="000000"/>
                <w:sz w:val="28"/>
                <w:szCs w:val="28"/>
                <w:lang w:bidi="ar"/>
              </w:rPr>
            </w:pPr>
            <w:r>
              <w:rPr>
                <w:rFonts w:hint="eastAsia" w:ascii="黑体" w:hAnsi="黑体" w:eastAsia="黑体" w:cs="黑体"/>
                <w:color w:val="000000"/>
                <w:sz w:val="28"/>
                <w:szCs w:val="28"/>
                <w:lang w:bidi="ar"/>
              </w:rPr>
              <w:t>事项名称</w:t>
            </w:r>
          </w:p>
        </w:tc>
        <w:tc>
          <w:tcPr>
            <w:tcW w:w="1418" w:type="dxa"/>
            <w:noWrap w:val="0"/>
            <w:vAlign w:val="center"/>
          </w:tcPr>
          <w:p>
            <w:pPr>
              <w:widowControl/>
              <w:spacing w:line="280" w:lineRule="exact"/>
              <w:jc w:val="center"/>
              <w:rPr>
                <w:rFonts w:ascii="黑体" w:hAnsi="黑体" w:eastAsia="黑体" w:cs="黑体"/>
                <w:color w:val="000000"/>
                <w:sz w:val="28"/>
                <w:szCs w:val="28"/>
                <w:lang w:bidi="ar"/>
              </w:rPr>
            </w:pPr>
            <w:r>
              <w:rPr>
                <w:rFonts w:hint="eastAsia" w:ascii="黑体" w:hAnsi="黑体" w:eastAsia="黑体" w:cs="黑体"/>
                <w:color w:val="000000"/>
                <w:sz w:val="28"/>
                <w:szCs w:val="28"/>
                <w:lang w:bidi="ar"/>
              </w:rPr>
              <w:t>实施部门</w:t>
            </w:r>
          </w:p>
        </w:tc>
        <w:tc>
          <w:tcPr>
            <w:tcW w:w="992" w:type="dxa"/>
            <w:noWrap w:val="0"/>
            <w:vAlign w:val="center"/>
          </w:tcPr>
          <w:p>
            <w:pPr>
              <w:widowControl/>
              <w:spacing w:line="280" w:lineRule="exact"/>
              <w:jc w:val="center"/>
              <w:rPr>
                <w:rFonts w:ascii="黑体" w:hAnsi="黑体" w:eastAsia="黑体" w:cs="黑体"/>
                <w:color w:val="000000"/>
                <w:sz w:val="28"/>
                <w:szCs w:val="28"/>
                <w:lang w:bidi="ar"/>
              </w:rPr>
            </w:pPr>
            <w:r>
              <w:rPr>
                <w:rFonts w:hint="eastAsia" w:ascii="黑体" w:hAnsi="黑体" w:eastAsia="黑体" w:cs="黑体"/>
                <w:color w:val="000000"/>
                <w:sz w:val="28"/>
                <w:szCs w:val="28"/>
                <w:lang w:bidi="ar"/>
              </w:rPr>
              <w:t>处理决定</w:t>
            </w:r>
          </w:p>
        </w:tc>
        <w:tc>
          <w:tcPr>
            <w:tcW w:w="8414" w:type="dxa"/>
            <w:noWrap w:val="0"/>
            <w:vAlign w:val="center"/>
          </w:tcPr>
          <w:p>
            <w:pPr>
              <w:widowControl/>
              <w:spacing w:line="280" w:lineRule="exact"/>
              <w:jc w:val="center"/>
              <w:rPr>
                <w:rFonts w:ascii="黑体" w:hAnsi="黑体" w:eastAsia="黑体" w:cs="黑体"/>
                <w:color w:val="000000"/>
                <w:sz w:val="28"/>
                <w:szCs w:val="28"/>
                <w:lang w:bidi="ar"/>
              </w:rPr>
            </w:pPr>
            <w:r>
              <w:rPr>
                <w:rFonts w:hint="eastAsia" w:ascii="黑体" w:hAnsi="黑体" w:eastAsia="黑体" w:cs="黑体"/>
                <w:color w:val="000000"/>
                <w:sz w:val="28"/>
                <w:szCs w:val="28"/>
                <w:lang w:bidi="ar"/>
              </w:rPr>
              <w:t>加强事中事后监管措施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1</w:t>
            </w:r>
          </w:p>
        </w:tc>
        <w:tc>
          <w:tcPr>
            <w:tcW w:w="198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典当业特种行业许可证核发</w:t>
            </w:r>
          </w:p>
        </w:tc>
        <w:tc>
          <w:tcPr>
            <w:tcW w:w="1418"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市、县（市、区）公安机关</w:t>
            </w:r>
          </w:p>
        </w:tc>
        <w:tc>
          <w:tcPr>
            <w:tcW w:w="992"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w:t>
            </w:r>
          </w:p>
        </w:tc>
        <w:tc>
          <w:tcPr>
            <w:tcW w:w="841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取消许可后，公安机关和有关部门要通过以下措施加强监管：</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1.取消许可后，市金融工作局应当将办理“设立典当行及分支机构审批”（初审）的信息在作出审核后1个工作日内推送至省地方金融监管局，公安机关据此将典当行及分支机构纳入监管范围。</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2.公安机关通过“双随机、一公开”监管等方式，加强对典当行的治安管理，及时化解风险隐患，发现违法犯罪活动依法查处。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2</w:t>
            </w:r>
          </w:p>
        </w:tc>
        <w:tc>
          <w:tcPr>
            <w:tcW w:w="198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ascii="仿宋_GB2312" w:hAnsi="仿宋_GB2312" w:cs="仿宋_GB2312"/>
                <w:color w:val="000000"/>
                <w:sz w:val="24"/>
                <w:szCs w:val="24"/>
                <w:lang w:bidi="ar"/>
              </w:rPr>
              <w:t>乡村兽医登记许可</w:t>
            </w:r>
          </w:p>
        </w:tc>
        <w:tc>
          <w:tcPr>
            <w:tcW w:w="1418"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县（市、区）农业农村部门</w:t>
            </w:r>
          </w:p>
        </w:tc>
        <w:tc>
          <w:tcPr>
            <w:tcW w:w="992"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取消许可，改为备案</w:t>
            </w:r>
          </w:p>
        </w:tc>
        <w:tc>
          <w:tcPr>
            <w:tcW w:w="841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取消许可、改为备案后，县（市、区）农业农村部门要通过以下措施加强监管：</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1.建立健全乡村兽医服务人员备案制度，对不按要求备案的要依法追究法律责任。要向社会公开备案情况，方便查询、就医，并发挥社会监督作用。</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2.开展“双随机、一公开”监管，畅通投诉举报渠道，发现违法违规行为的，要依法查处并向社会公开结果。</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3.依法实施信用监管，如实记录违法失信行为，实施差异化监管等措施。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3</w:t>
            </w:r>
          </w:p>
        </w:tc>
        <w:tc>
          <w:tcPr>
            <w:tcW w:w="198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部分医疗机构（除三级医院、三级妇幼保健院、急救中心、急救站、临床检验中心、中外合资合作医疗机构、港澳台独资医疗机构外）《设置医疗机构批准书》核发</w:t>
            </w:r>
          </w:p>
        </w:tc>
        <w:tc>
          <w:tcPr>
            <w:tcW w:w="1418"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市、县（市、区）卫生健康部门</w:t>
            </w:r>
          </w:p>
        </w:tc>
        <w:tc>
          <w:tcPr>
            <w:tcW w:w="992"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w:t>
            </w:r>
          </w:p>
        </w:tc>
        <w:tc>
          <w:tcPr>
            <w:tcW w:w="841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取消许可后，市、县（市、区）卫生健康部门要通过以下措施加强监管：</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1.完善医疗机构设置规划方式,对社会办医疗机构实行指导性规划。加强对社会资本投资医疗机构的服务，同时注意防止以服务之名行审批之实。</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2.严格实施“医疗机构执业登记”，并将审批结果向社会公开。</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3.开展“双随机、一公开”监管、重点监管等，畅通投诉举报渠道，依法处理医患纠纷和医疗事故，加大对医疗机构的监督检查力度，发现违法违规行为要依法查处并向社会公开结果。</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4.依法实施信用监管，如实记录违法失信行为，实施差异化监管措施，对严重违法的医疗机构及其从业人员实行行业禁入。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4</w:t>
            </w:r>
          </w:p>
        </w:tc>
        <w:tc>
          <w:tcPr>
            <w:tcW w:w="198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ascii="仿宋_GB2312" w:hAnsi="仿宋_GB2312" w:cs="仿宋_GB2312"/>
                <w:color w:val="000000"/>
                <w:sz w:val="24"/>
                <w:szCs w:val="24"/>
                <w:lang w:bidi="ar"/>
              </w:rPr>
              <w:t>职业卫生技术服务机构丙级资质认可</w:t>
            </w:r>
          </w:p>
        </w:tc>
        <w:tc>
          <w:tcPr>
            <w:tcW w:w="1418"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市卫生健康体育委</w:t>
            </w:r>
          </w:p>
        </w:tc>
        <w:tc>
          <w:tcPr>
            <w:tcW w:w="992"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w:t>
            </w:r>
          </w:p>
        </w:tc>
        <w:tc>
          <w:tcPr>
            <w:tcW w:w="841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取消许可，整合至“职业卫生技术服务机构乙级资质认可”。市卫生健康体育委要通过以下措施加强监管：</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1.适当降低职业卫生技术服务机构乙级资质条件要求，完善职业卫生技术服务标准。引导现有职业卫生技术服务丙级机构换领新的乙级资质证书，拓宽业务范围和业务地域范围。</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2.开展“双随机、一公开”监管，畅通投诉举报渠道，发现违法违规行为要依法查处并向社会公开结果。</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3.对存在职业病危害因素的企业，依法开展职业病危害因素监督检查。发现职业卫生技术服务机构出具虚假报告的，依法追究法律责任。</w:t>
            </w:r>
          </w:p>
          <w:p>
            <w:pPr>
              <w:widowControl/>
              <w:spacing w:line="280" w:lineRule="exact"/>
              <w:jc w:val="left"/>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4.依法实施信用监管，如实记录违法失信行为，实施差异化监管等措施。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5</w:t>
            </w:r>
          </w:p>
        </w:tc>
        <w:tc>
          <w:tcPr>
            <w:tcW w:w="1984" w:type="dxa"/>
            <w:noWrap w:val="0"/>
            <w:vAlign w:val="center"/>
          </w:tcPr>
          <w:p>
            <w:pPr>
              <w:widowControl/>
              <w:spacing w:line="280" w:lineRule="exact"/>
              <w:jc w:val="left"/>
              <w:textAlignment w:val="center"/>
              <w:rPr>
                <w:rFonts w:ascii="仿宋_GB2312" w:hAnsi="仿宋_GB2312" w:cs="仿宋_GB2312"/>
                <w:color w:val="000000"/>
                <w:sz w:val="24"/>
                <w:szCs w:val="24"/>
                <w:lang w:bidi="ar"/>
              </w:rPr>
            </w:pPr>
            <w:r>
              <w:rPr>
                <w:rFonts w:ascii="仿宋_GB2312" w:hAnsi="仿宋_GB2312" w:cs="仿宋_GB2312"/>
                <w:color w:val="000000"/>
                <w:sz w:val="24"/>
                <w:szCs w:val="24"/>
                <w:lang w:bidi="ar"/>
              </w:rPr>
              <w:t>成品油零售经营资格审批</w:t>
            </w:r>
          </w:p>
        </w:tc>
        <w:tc>
          <w:tcPr>
            <w:tcW w:w="1418" w:type="dxa"/>
            <w:noWrap w:val="0"/>
            <w:vAlign w:val="center"/>
          </w:tcPr>
          <w:p>
            <w:pPr>
              <w:widowControl/>
              <w:spacing w:line="280" w:lineRule="exact"/>
              <w:jc w:val="center"/>
              <w:textAlignment w:val="center"/>
              <w:rPr>
                <w:rFonts w:ascii="仿宋_GB2312" w:hAnsi="仿宋_GB2312" w:cs="仿宋_GB2312"/>
                <w:color w:val="000000"/>
                <w:sz w:val="24"/>
                <w:szCs w:val="24"/>
                <w:lang w:bidi="ar"/>
              </w:rPr>
            </w:pPr>
            <w:r>
              <w:rPr>
                <w:rFonts w:hint="eastAsia" w:ascii="仿宋_GB2312" w:hAnsi="仿宋_GB2312" w:cs="仿宋_GB2312"/>
                <w:color w:val="000000"/>
                <w:sz w:val="24"/>
                <w:szCs w:val="24"/>
                <w:lang w:bidi="ar"/>
              </w:rPr>
              <w:t>市商务局</w:t>
            </w:r>
          </w:p>
        </w:tc>
        <w:tc>
          <w:tcPr>
            <w:tcW w:w="992" w:type="dxa"/>
            <w:noWrap w:val="0"/>
            <w:vAlign w:val="center"/>
          </w:tcPr>
          <w:p>
            <w:pPr>
              <w:widowControl/>
              <w:spacing w:line="280" w:lineRule="exact"/>
              <w:jc w:val="center"/>
              <w:textAlignment w:val="center"/>
              <w:rPr>
                <w:rFonts w:ascii="仿宋_GB2312" w:hAnsi="仿宋_GB2312" w:cs="仿宋_GB2312"/>
                <w:sz w:val="24"/>
                <w:szCs w:val="24"/>
                <w:lang w:bidi="ar"/>
              </w:rPr>
            </w:pPr>
            <w:r>
              <w:rPr>
                <w:rFonts w:hint="eastAsia" w:ascii="仿宋_GB2312" w:hAnsi="仿宋_GB2312" w:cs="仿宋_GB2312"/>
                <w:sz w:val="24"/>
                <w:szCs w:val="24"/>
                <w:lang w:bidi="ar"/>
              </w:rPr>
              <w:t>承接省级下放行政许可</w:t>
            </w:r>
          </w:p>
        </w:tc>
        <w:tc>
          <w:tcPr>
            <w:tcW w:w="8414" w:type="dxa"/>
            <w:noWrap w:val="0"/>
            <w:vAlign w:val="top"/>
          </w:tcPr>
          <w:p>
            <w:pPr>
              <w:widowControl/>
              <w:spacing w:line="260" w:lineRule="exact"/>
              <w:jc w:val="left"/>
              <w:textAlignment w:val="center"/>
              <w:rPr>
                <w:rFonts w:ascii="仿宋_GB2312" w:hAnsi="仿宋_GB2312" w:cs="仿宋_GB2312"/>
                <w:sz w:val="21"/>
                <w:szCs w:val="21"/>
                <w:lang w:bidi="ar"/>
              </w:rPr>
            </w:pPr>
            <w:r>
              <w:rPr>
                <w:rFonts w:hint="eastAsia" w:ascii="仿宋_GB2312" w:hAnsi="仿宋_GB2312" w:cs="仿宋_GB2312"/>
                <w:sz w:val="21"/>
                <w:szCs w:val="21"/>
                <w:lang w:bidi="ar"/>
              </w:rPr>
              <w:t>下放后，市商务局要会同有关部门通过以下措施加强监管：</w:t>
            </w:r>
          </w:p>
          <w:p>
            <w:pPr>
              <w:widowControl/>
              <w:spacing w:line="260" w:lineRule="exact"/>
              <w:jc w:val="left"/>
              <w:textAlignment w:val="center"/>
              <w:rPr>
                <w:rFonts w:ascii="仿宋_GB2312" w:hAnsi="仿宋_GB2312" w:cs="仿宋_GB2312"/>
                <w:sz w:val="21"/>
                <w:szCs w:val="21"/>
                <w:lang w:bidi="ar"/>
              </w:rPr>
            </w:pPr>
            <w:r>
              <w:rPr>
                <w:rFonts w:hint="eastAsia" w:ascii="仿宋_GB2312" w:hAnsi="仿宋_GB2312" w:cs="仿宋_GB2312"/>
                <w:sz w:val="21"/>
                <w:szCs w:val="21"/>
                <w:lang w:bidi="ar"/>
              </w:rPr>
              <w:t>1.市商务局严格落实成品油流通行业监管职责。要求成品油零售企业建立购销台账制度，完善油品来源、检验报告、检查记录等凭证材料档案。指定部门开展“双随机、一公开”监管，重点检查企业台账制度建立执行情况，发现违法违规行为依法处理或者提请有关部门予以查处。结合企业诚信经营和风险状况依法实施差异化监管。支持行业协会发挥行业自律作用。</w:t>
            </w:r>
          </w:p>
          <w:p>
            <w:pPr>
              <w:widowControl/>
              <w:spacing w:line="260" w:lineRule="exact"/>
              <w:jc w:val="left"/>
              <w:textAlignment w:val="center"/>
              <w:rPr>
                <w:rFonts w:ascii="仿宋_GB2312" w:hAnsi="仿宋_GB2312" w:cs="仿宋_GB2312"/>
                <w:sz w:val="21"/>
                <w:szCs w:val="21"/>
                <w:lang w:bidi="ar"/>
              </w:rPr>
            </w:pPr>
            <w:r>
              <w:rPr>
                <w:rFonts w:hint="eastAsia" w:ascii="仿宋_GB2312" w:hAnsi="仿宋_GB2312" w:cs="仿宋_GB2312"/>
                <w:sz w:val="21"/>
                <w:szCs w:val="21"/>
                <w:lang w:bidi="ar"/>
              </w:rPr>
              <w:t>2.市政府严格落实属地监管职责。要建立跨部门联合监管机制，按照综合行政执法改革精神，统筹配置行政处罚职能和执法资源，加强协同监管。建立投诉举报制度，定期组织开展对成品油零售企业的专项检查，发现违法违规行为由各有关部门按职责依法依规查处。建立企业信用记录并纳入全国信用信息共享平台，对违法失信企业依法实施失信惩戒。</w:t>
            </w:r>
          </w:p>
          <w:p>
            <w:pPr>
              <w:widowControl/>
              <w:spacing w:line="260" w:lineRule="exact"/>
              <w:jc w:val="left"/>
              <w:textAlignment w:val="center"/>
              <w:rPr>
                <w:rFonts w:ascii="仿宋_GB2312" w:hAnsi="仿宋_GB2312" w:cs="仿宋_GB2312"/>
                <w:sz w:val="21"/>
                <w:szCs w:val="21"/>
                <w:lang w:bidi="ar"/>
              </w:rPr>
            </w:pPr>
            <w:r>
              <w:rPr>
                <w:rFonts w:hint="eastAsia" w:ascii="仿宋_GB2312" w:hAnsi="仿宋_GB2312" w:cs="仿宋_GB2312"/>
                <w:sz w:val="21"/>
                <w:szCs w:val="21"/>
                <w:lang w:bidi="ar"/>
              </w:rPr>
              <w:t>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w:t>
            </w:r>
          </w:p>
          <w:p>
            <w:pPr>
              <w:widowControl/>
              <w:spacing w:line="260" w:lineRule="exact"/>
              <w:jc w:val="left"/>
              <w:textAlignment w:val="center"/>
              <w:rPr>
                <w:rFonts w:ascii="仿宋_GB2312" w:hAnsi="仿宋_GB2312" w:cs="仿宋_GB2312"/>
                <w:sz w:val="24"/>
                <w:szCs w:val="24"/>
                <w:lang w:bidi="ar"/>
              </w:rPr>
            </w:pPr>
            <w:r>
              <w:rPr>
                <w:rFonts w:hint="eastAsia" w:ascii="仿宋_GB2312" w:hAnsi="仿宋_GB2312" w:cs="仿宋_GB2312"/>
                <w:sz w:val="21"/>
                <w:szCs w:val="21"/>
                <w:lang w:bidi="ar"/>
              </w:rPr>
              <w:t>4.加强成品油零售行业监管信息共享运用。市市场监管局要及时将新登记经营范围涉及成品油零售的企业信息推送至同级商务部门。市商务局要将改革前已取得相应许可的成品油零售企业信息推送至有关主管部门。指定部门要将行业监管中发现的超经营范围经营企业信息或者无照经营信息及时推送至有关主管部门。各有关主管部门要充分运用共享的监管信息，有针对性地加强监管执法。</w:t>
            </w:r>
          </w:p>
        </w:tc>
      </w:tr>
    </w:tbl>
    <w:p>
      <w:pPr>
        <w:widowControl/>
        <w:jc w:val="center"/>
        <w:rPr>
          <w:rFonts w:ascii="方正小标宋简体" w:hAnsi="方正小标宋简体" w:eastAsia="方正小标宋简体" w:cs="方正小标宋简体"/>
          <w:color w:val="000000"/>
          <w:sz w:val="44"/>
          <w:szCs w:val="44"/>
          <w:lang w:bidi="ar"/>
        </w:rPr>
        <w:sectPr>
          <w:footerReference r:id="rId3" w:type="default"/>
          <w:pgSz w:w="16838" w:h="11906" w:orient="landscape"/>
          <w:pgMar w:top="1588" w:right="2098" w:bottom="1588" w:left="1985" w:header="851" w:footer="992" w:gutter="0"/>
          <w:pgNumType w:fmt="numberInDash"/>
          <w:cols w:space="720" w:num="1"/>
          <w:docGrid w:type="linesAndChars" w:linePitch="312" w:charSpace="0"/>
        </w:sectPr>
      </w:pPr>
    </w:p>
    <w:p>
      <w:pPr>
        <w:widowControl/>
        <w:jc w:val="left"/>
        <w:rPr>
          <w:rFonts w:ascii="文星书宋" w:hAnsi="文星书宋"/>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文星书宋">
    <w:altName w:val="宋体"/>
    <w:panose1 w:val="02010604000101010101"/>
    <w:charset w:val="00"/>
    <w:family w:val="auto"/>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path/>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94AAF"/>
    <w:rsid w:val="60F94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2021-12-31T05:35:00Z</dcterms:created>
  <dc:creator>WPS_455937361</dc:creator>
  <cp:lastModifiedBy>WPS_455937361</cp:lastModifiedBy>
  <dcterms:modified xsi:type="dcterms:W3CDTF">2021-12-31T05:36:46Z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5C528D7727F642EFBE3E361FAB739448</vt:lpwstr>
  </property>
</Properties>
</file>