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南阳市市场监督管理局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2021年度推进“放管服”改革和优化营商环境工作要点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全面提升企业开办、注销便利化水平。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推进电子营业执照跨部门、跨领域、跨区域应用。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推进个体工商户设立登记智慧审批，同城通办。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推进“证照分离”改革全覆盖。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完善强制性产品认证制度。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加快培育企业标准“领跑者”。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加强企业信息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归集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健全失信惩戒机制。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推进实施智慧监管。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规范平台经济监管行为。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vanish w:val="0"/>
          <w:color w:val="auto"/>
          <w:spacing w:val="8"/>
          <w:sz w:val="32"/>
          <w:szCs w:val="32"/>
          <w:shd w:val="clear" w:color="auto" w:fill="FFFFFF"/>
          <w:lang w:eastAsia="zh-CN"/>
        </w:rPr>
        <w:t>部门联合“双随机、一公开” 监管。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加强重点监管，守牢安全底线。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snapToGrid/>
          <w:vanish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着力知识产权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z w:val="32"/>
          <w:szCs w:val="32"/>
          <w:lang w:eastAsia="zh-CN"/>
        </w:rPr>
        <w:t>全链条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vanish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培育、创造、运用和保护，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深入实施知识产权战略，</w:t>
      </w:r>
      <w:r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z w:val="32"/>
          <w:szCs w:val="32"/>
          <w:lang w:eastAsia="zh-CN"/>
        </w:rPr>
        <w:t>加快推进知识产权强市强企建设。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</w:rPr>
        <w:t>清理废除妨碍统一市场和公平竞争政策文件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eastAsia="zh-CN"/>
        </w:rPr>
        <w:t>，严格执行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</w:rPr>
        <w:t>公平竞争审查制度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加大反垄断和反不正当竞争执法力度。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严厉打击知识产权侵权假冒行为。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价格监管工作。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依法规范公共服务。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增强法规政策制定实施的透明度和科学性。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强化执法监督。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b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52EA3"/>
    <w:multiLevelType w:val="singleLevel"/>
    <w:tmpl w:val="B2F52EA3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20370"/>
    <w:rsid w:val="3DA20370"/>
    <w:rsid w:val="4B60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2021-12-14T01:36:00Z</dcterms:created>
  <dc:creator>123</dc:creator>
  <cp:lastModifiedBy>喵喵</cp:lastModifiedBy>
  <cp:lastPrinted>2021-12-14T01:57:00Z</cp:lastPrinted>
  <dcterms:modified xsi:type="dcterms:W3CDTF">2021-12-24T02:22:24Z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613A814A4C514F4DA4F78E383255346D</vt:lpwstr>
  </property>
</Properties>
</file>