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before="0" w:after="0" w:line="62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val="0"/>
        <w:spacing w:before="0" w:after="0" w:line="62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rPr>
      </w:pPr>
    </w:p>
    <w:p>
      <w:pPr>
        <w:widowControl w:val="0"/>
        <w:wordWrap/>
        <w:adjustRightInd/>
        <w:snapToGrid w:val="0"/>
        <w:spacing w:before="0" w:after="0" w:line="62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rPr>
      </w:pPr>
    </w:p>
    <w:p>
      <w:pPr>
        <w:widowControl w:val="0"/>
        <w:wordWrap/>
        <w:adjustRightInd/>
        <w:snapToGrid w:val="0"/>
        <w:spacing w:before="0" w:after="0" w:line="62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rPr>
      </w:pPr>
    </w:p>
    <w:p>
      <w:pPr>
        <w:widowControl w:val="0"/>
        <w:wordWrap/>
        <w:adjustRightInd/>
        <w:snapToGrid w:val="0"/>
        <w:spacing w:before="0" w:after="0" w:line="62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rPr>
      </w:pPr>
    </w:p>
    <w:p>
      <w:pPr>
        <w:widowControl w:val="0"/>
        <w:wordWrap/>
        <w:adjustRightInd/>
        <w:snapToGrid w:val="0"/>
        <w:spacing w:before="0" w:after="0" w:line="62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rPr>
      </w:pPr>
    </w:p>
    <w:p>
      <w:pPr>
        <w:widowControl w:val="0"/>
        <w:wordWrap/>
        <w:adjustRightInd/>
        <w:snapToGrid/>
        <w:spacing w:line="600" w:lineRule="exact"/>
        <w:ind w:right="0" w:firstLine="0" w:firstLineChars="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宛政食安办</w:t>
      </w:r>
      <w:r>
        <w:rPr>
          <w:rFonts w:hint="eastAsia" w:ascii="仿宋_GB2312" w:hAnsi="微软雅黑" w:eastAsia="仿宋_GB2312"/>
          <w:sz w:val="32"/>
          <w:szCs w:val="32"/>
        </w:rPr>
        <w:t>〔</w:t>
      </w:r>
      <w:r>
        <w:rPr>
          <w:rFonts w:ascii="仿宋_GB2312" w:hAnsi="仿宋" w:eastAsia="仿宋_GB2312"/>
          <w:sz w:val="32"/>
          <w:szCs w:val="32"/>
        </w:rPr>
        <w:t>2021</w:t>
      </w:r>
      <w:r>
        <w:rPr>
          <w:rFonts w:hint="eastAsia" w:ascii="仿宋_GB2312" w:hAnsi="微软雅黑" w:eastAsia="仿宋_GB2312"/>
          <w:sz w:val="32"/>
          <w:szCs w:val="32"/>
        </w:rPr>
        <w:t>〕</w:t>
      </w:r>
      <w:r>
        <w:rPr>
          <w:rFonts w:hint="eastAsia" w:ascii="仿宋_GB2312" w:hAnsi="微软雅黑" w:eastAsia="仿宋_GB2312"/>
          <w:sz w:val="32"/>
          <w:szCs w:val="32"/>
          <w:lang w:val="en-US" w:eastAsia="zh-CN"/>
        </w:rPr>
        <w:t>16</w:t>
      </w:r>
      <w:r>
        <w:rPr>
          <w:rFonts w:hint="eastAsia" w:ascii="仿宋_GB2312" w:hAnsi="仿宋_GB2312" w:eastAsia="仿宋_GB2312" w:cs="仿宋_GB2312"/>
          <w:b w:val="0"/>
          <w:bCs w:val="0"/>
          <w:sz w:val="32"/>
          <w:szCs w:val="32"/>
          <w:lang w:val="en-US" w:eastAsia="zh-CN"/>
        </w:rPr>
        <w:t>号</w:t>
      </w:r>
    </w:p>
    <w:p>
      <w:pPr>
        <w:widowControl w:val="0"/>
        <w:tabs>
          <w:tab w:val="left" w:pos="851"/>
        </w:tabs>
        <w:wordWrap/>
        <w:adjustRightInd/>
        <w:snapToGrid w:val="0"/>
        <w:spacing w:before="0" w:after="0" w:line="240" w:lineRule="auto"/>
        <w:ind w:left="0" w:leftChars="0" w:right="0" w:firstLine="0" w:firstLineChars="0"/>
        <w:jc w:val="center"/>
        <w:textAlignment w:val="auto"/>
        <w:outlineLvl w:val="9"/>
        <w:rPr>
          <w:rFonts w:hint="eastAsia" w:ascii="方正小标宋_GBK" w:hAnsi="方正小标宋_GBK" w:eastAsia="方正小标宋_GBK" w:cs="方正小标宋_GBK"/>
          <w:b w:val="0"/>
          <w:bCs w:val="0"/>
          <w:sz w:val="32"/>
          <w:szCs w:val="32"/>
        </w:rPr>
      </w:pPr>
    </w:p>
    <w:p>
      <w:pPr>
        <w:widowControl w:val="0"/>
        <w:tabs>
          <w:tab w:val="left" w:pos="851"/>
        </w:tabs>
        <w:wordWrap/>
        <w:adjustRightInd/>
        <w:snapToGrid w:val="0"/>
        <w:spacing w:before="0" w:after="0" w:line="240" w:lineRule="auto"/>
        <w:ind w:left="0" w:leftChars="0" w:right="0" w:firstLine="0" w:firstLineChars="0"/>
        <w:jc w:val="center"/>
        <w:textAlignment w:val="auto"/>
        <w:outlineLvl w:val="9"/>
        <w:rPr>
          <w:rFonts w:hint="eastAsia" w:ascii="方正小标宋_GBK" w:hAnsi="方正小标宋_GBK" w:eastAsia="方正小标宋_GBK" w:cs="方正小标宋_GBK"/>
          <w:b w:val="0"/>
          <w:bCs w:val="0"/>
          <w:sz w:val="32"/>
          <w:szCs w:val="32"/>
        </w:rPr>
      </w:pPr>
    </w:p>
    <w:p>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南阳市人民政府食品安全委员会办公室</w:t>
      </w:r>
    </w:p>
    <w:p>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关于印发《南阳市食品安全突发事件</w:t>
      </w:r>
    </w:p>
    <w:p>
      <w:pPr>
        <w:widowControl w:val="0"/>
        <w:wordWrap/>
        <w:adjustRightInd/>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应急预案》的通知</w:t>
      </w:r>
    </w:p>
    <w:p>
      <w:pPr>
        <w:jc w:val="center"/>
        <w:rPr>
          <w:rFonts w:hint="default" w:ascii="宋体" w:hAnsi="宋体" w:eastAsia="宋体" w:cs="宋体"/>
          <w:b/>
          <w:bCs/>
          <w:sz w:val="44"/>
          <w:szCs w:val="44"/>
          <w:lang w:val="en-US" w:eastAsia="zh-CN"/>
        </w:rPr>
      </w:pPr>
    </w:p>
    <w:p>
      <w:pPr>
        <w:widowControl w:val="0"/>
        <w:wordWrap/>
        <w:autoSpaceDE w:val="0"/>
        <w:autoSpaceDN w:val="0"/>
        <w:adjustRightInd w:val="0"/>
        <w:snapToGrid/>
        <w:spacing w:before="0" w:after="0" w:line="600" w:lineRule="exact"/>
        <w:ind w:left="0" w:leftChars="0" w:right="0" w:firstLine="0" w:firstLineChars="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各县市区政府（管委会）食品安全委员会办公室，市政府食品安全委员会各成员单位：</w:t>
      </w:r>
    </w:p>
    <w:p>
      <w:pPr>
        <w:widowControl w:val="0"/>
        <w:wordWrap/>
        <w:autoSpaceDE w:val="0"/>
        <w:autoSpaceDN w:val="0"/>
        <w:adjustRightInd/>
        <w:snapToGrid/>
        <w:spacing w:line="600" w:lineRule="exact"/>
        <w:ind w:left="0" w:leftChars="0" w:right="48" w:rightChars="22" w:firstLine="659" w:firstLineChars="206"/>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经研究决定，现将《南阳市食品安全突发事件应急预案》印发给你们，请各单位遵照执行。</w:t>
      </w:r>
    </w:p>
    <w:p>
      <w:pPr>
        <w:widowControl w:val="0"/>
        <w:wordWrap/>
        <w:autoSpaceDE w:val="0"/>
        <w:autoSpaceDN w:val="0"/>
        <w:adjustRightInd/>
        <w:snapToGrid/>
        <w:spacing w:line="600" w:lineRule="exact"/>
        <w:ind w:left="880" w:leftChars="400" w:right="220" w:rightChars="100" w:firstLine="640" w:firstLineChars="0"/>
        <w:textAlignment w:val="auto"/>
        <w:rPr>
          <w:rFonts w:hint="default" w:ascii="仿宋_GB2312" w:hAnsi="仿宋_GB2312" w:eastAsia="仿宋_GB2312" w:cs="仿宋_GB2312"/>
          <w:b w:val="0"/>
          <w:bCs w:val="0"/>
          <w:sz w:val="32"/>
          <w:szCs w:val="32"/>
          <w:lang w:val="en-US" w:eastAsia="zh-CN"/>
        </w:rPr>
      </w:pPr>
    </w:p>
    <w:p>
      <w:pPr>
        <w:widowControl w:val="0"/>
        <w:wordWrap/>
        <w:autoSpaceDE w:val="0"/>
        <w:autoSpaceDN w:val="0"/>
        <w:adjustRightInd/>
        <w:snapToGrid/>
        <w:spacing w:line="600" w:lineRule="exact"/>
        <w:ind w:left="880" w:leftChars="400" w:right="220" w:rightChars="100" w:firstLine="640" w:firstLineChars="0"/>
        <w:textAlignment w:val="auto"/>
        <w:rPr>
          <w:rFonts w:hint="default" w:ascii="仿宋_GB2312" w:hAnsi="仿宋_GB2312" w:eastAsia="仿宋_GB2312" w:cs="仿宋_GB2312"/>
          <w:b w:val="0"/>
          <w:bCs w:val="0"/>
          <w:sz w:val="32"/>
          <w:szCs w:val="32"/>
          <w:lang w:val="en-US" w:eastAsia="zh-CN"/>
        </w:rPr>
      </w:pPr>
    </w:p>
    <w:p>
      <w:pPr>
        <w:widowControl w:val="0"/>
        <w:wordWrap/>
        <w:autoSpaceDE w:val="0"/>
        <w:autoSpaceDN w:val="0"/>
        <w:adjustRightInd/>
        <w:snapToGrid/>
        <w:spacing w:line="600" w:lineRule="exact"/>
        <w:ind w:right="-169" w:rightChars="-77"/>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2021年11月22日</w:t>
      </w:r>
    </w:p>
    <w:p>
      <w:pPr>
        <w:widowControl w:val="0"/>
        <w:wordWrap/>
        <w:autoSpaceDE w:val="0"/>
        <w:autoSpaceDN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32"/>
          <w:szCs w:val="32"/>
          <w:lang w:val="en-US" w:eastAsia="zh-CN"/>
        </w:rPr>
        <w:t xml:space="preserve">    </w:t>
      </w:r>
      <w:r>
        <w:rPr>
          <w:rFonts w:hint="eastAsia" w:ascii="方正小标宋_GBK" w:hAnsi="方正小标宋_GBK" w:eastAsia="方正小标宋_GBK" w:cs="方正小标宋_GBK"/>
          <w:b w:val="0"/>
          <w:bCs w:val="0"/>
          <w:sz w:val="44"/>
          <w:szCs w:val="44"/>
          <w:lang w:val="en-US" w:eastAsia="zh-CN"/>
        </w:rPr>
        <w:br w:type="page"/>
      </w:r>
      <w:r>
        <w:rPr>
          <w:rFonts w:hint="eastAsia" w:ascii="方正小标宋_GBK" w:hAnsi="方正小标宋_GBK" w:eastAsia="方正小标宋_GBK" w:cs="方正小标宋_GBK"/>
          <w:b w:val="0"/>
          <w:bCs w:val="0"/>
          <w:sz w:val="44"/>
          <w:szCs w:val="44"/>
          <w:lang w:val="en-US" w:eastAsia="zh-CN"/>
        </w:rPr>
        <w:t>南阳市</w:t>
      </w:r>
      <w:r>
        <w:rPr>
          <w:rFonts w:hint="eastAsia" w:ascii="方正小标宋_GBK" w:hAnsi="方正小标宋_GBK" w:eastAsia="方正小标宋_GBK" w:cs="方正小标宋_GBK"/>
          <w:b w:val="0"/>
          <w:bCs w:val="0"/>
          <w:sz w:val="44"/>
          <w:szCs w:val="44"/>
        </w:rPr>
        <w:t>食品安全突发事件应急预案</w:t>
      </w:r>
    </w:p>
    <w:p>
      <w:pPr>
        <w:pStyle w:val="2"/>
        <w:widowControl w:val="0"/>
        <w:wordWrap/>
        <w:autoSpaceDE w:val="0"/>
        <w:autoSpaceDN w:val="0"/>
        <w:adjustRightInd/>
        <w:snapToGrid/>
        <w:spacing w:before="0" w:line="600" w:lineRule="exact"/>
        <w:ind w:left="0" w:firstLine="0"/>
        <w:textAlignment w:val="auto"/>
        <w:rPr>
          <w:sz w:val="22"/>
        </w:rPr>
      </w:pPr>
    </w:p>
    <w:p>
      <w:pPr>
        <w:pStyle w:val="9"/>
        <w:widowControl w:val="0"/>
        <w:numPr>
          <w:numId w:val="0"/>
        </w:numPr>
        <w:tabs>
          <w:tab w:val="left" w:pos="0"/>
        </w:tabs>
        <w:wordWrap/>
        <w:autoSpaceDE w:val="0"/>
        <w:autoSpaceDN w:val="0"/>
        <w:adjustRightInd/>
        <w:snapToGrid w:val="0"/>
        <w:spacing w:before="0" w:after="0" w:line="580" w:lineRule="exact"/>
        <w:ind w:left="0" w:leftChars="0" w:right="0" w:firstLine="659" w:firstLineChars="206"/>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1 </w:t>
      </w:r>
      <w:r>
        <w:rPr>
          <w:rFonts w:hint="eastAsia" w:ascii="黑体" w:hAnsi="黑体" w:eastAsia="黑体" w:cs="黑体"/>
          <w:sz w:val="32"/>
          <w:szCs w:val="32"/>
        </w:rPr>
        <w:t>总则</w:t>
      </w:r>
    </w:p>
    <w:p>
      <w:pPr>
        <w:pStyle w:val="9"/>
        <w:widowControl w:val="0"/>
        <w:numPr>
          <w:numId w:val="0"/>
        </w:numPr>
        <w:tabs>
          <w:tab w:val="left" w:pos="0"/>
        </w:tabs>
        <w:wordWrap/>
        <w:autoSpaceDE w:val="0"/>
        <w:autoSpaceDN w:val="0"/>
        <w:adjustRightInd/>
        <w:snapToGrid w:val="0"/>
        <w:spacing w:before="0" w:after="0" w:line="580" w:lineRule="exact"/>
        <w:ind w:leftChars="206" w:right="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1.1 </w:t>
      </w:r>
      <w:r>
        <w:rPr>
          <w:rFonts w:hint="eastAsia" w:ascii="楷体_GB2312" w:hAnsi="楷体_GB2312" w:eastAsia="楷体_GB2312" w:cs="楷体_GB2312"/>
          <w:sz w:val="32"/>
          <w:szCs w:val="32"/>
        </w:rPr>
        <w:t>编制目的</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建立健全食品安全事件应对处置工作机制，强化应急准备，高效组织应急处置工作，</w:t>
      </w:r>
      <w:r>
        <w:rPr>
          <w:rFonts w:hint="eastAsia" w:ascii="仿宋_GB2312" w:hAnsi="仿宋_GB2312" w:eastAsia="仿宋_GB2312" w:cs="仿宋_GB2312"/>
          <w:spacing w:val="0"/>
          <w:w w:val="100"/>
          <w:sz w:val="32"/>
          <w:szCs w:val="32"/>
          <w:lang w:val="en-US" w:eastAsia="zh-CN"/>
        </w:rPr>
        <w:t>有效预防、积极应对食品安全突发事件，规范和指导应急处置工作，</w:t>
      </w:r>
      <w:r>
        <w:rPr>
          <w:rFonts w:hint="eastAsia" w:ascii="仿宋_GB2312" w:hAnsi="仿宋_GB2312" w:eastAsia="仿宋_GB2312" w:cs="仿宋_GB2312"/>
          <w:spacing w:val="0"/>
          <w:w w:val="100"/>
          <w:sz w:val="32"/>
          <w:szCs w:val="32"/>
        </w:rPr>
        <w:t>最大限度减少食品安全事件的危害，保障公众身体健康与生命安全，维护正常的经济社会秩序。</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1.2 </w:t>
      </w:r>
      <w:r>
        <w:rPr>
          <w:rFonts w:hint="eastAsia" w:ascii="楷体_GB2312" w:hAnsi="楷体_GB2312" w:eastAsia="楷体_GB2312" w:cs="楷体_GB2312"/>
          <w:spacing w:val="0"/>
          <w:w w:val="100"/>
          <w:sz w:val="32"/>
          <w:szCs w:val="32"/>
        </w:rPr>
        <w:t>编制依据</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依据《中华人民共和国突发事件应对法》《中华人民共和国食品安全法》《中华人民共和国农产品质量安全法》《突发公共卫生事件应急条例》《中华人民共和国食品安全法实施条例》《中共中央国务院关于深化改革加强食品安全工作的意见》《地方党政领导干部食品安全责任制规定》《突发事件应急预案管理办法》《国家突发公共事件总体应急预案》《河南省突发公共事件总体应急预案》</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南阳市加强食品安全工作十二条措施</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等法律法规政策，制定本预案。</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1.3 </w:t>
      </w:r>
      <w:r>
        <w:rPr>
          <w:rFonts w:hint="eastAsia" w:ascii="楷体_GB2312" w:hAnsi="楷体_GB2312" w:eastAsia="楷体_GB2312" w:cs="楷体_GB2312"/>
          <w:spacing w:val="0"/>
          <w:w w:val="100"/>
          <w:sz w:val="32"/>
          <w:szCs w:val="32"/>
        </w:rPr>
        <w:t>适用范围</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本预案适用于</w:t>
      </w:r>
      <w:r>
        <w:rPr>
          <w:rFonts w:hint="eastAsia" w:ascii="仿宋_GB2312" w:hAnsi="仿宋_GB2312" w:eastAsia="仿宋_GB2312" w:cs="仿宋_GB2312"/>
          <w:spacing w:val="0"/>
          <w:w w:val="100"/>
          <w:sz w:val="32"/>
          <w:szCs w:val="32"/>
          <w:lang w:val="en-US" w:eastAsia="zh-CN"/>
        </w:rPr>
        <w:t>南阳市</w:t>
      </w:r>
      <w:r>
        <w:rPr>
          <w:rFonts w:hint="eastAsia" w:ascii="仿宋_GB2312" w:hAnsi="仿宋_GB2312" w:eastAsia="仿宋_GB2312" w:cs="仿宋_GB2312"/>
          <w:spacing w:val="0"/>
          <w:w w:val="100"/>
          <w:sz w:val="32"/>
          <w:szCs w:val="32"/>
        </w:rPr>
        <w:t>行政区域内突然发生的食源性疾病、食品污染等源于食品，对人体健康有危害或者可能有危害的食品安全事件的应对工作。</w:t>
      </w:r>
      <w:bookmarkStart w:id="0" w:name="_GoBack"/>
      <w:bookmarkEnd w:id="0"/>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对食源性疾病中涉及传染病疫情等公共卫生事件，</w:t>
      </w:r>
      <w:r>
        <w:rPr>
          <w:rFonts w:hint="eastAsia" w:ascii="仿宋_GB2312" w:hAnsi="仿宋_GB2312" w:eastAsia="仿宋_GB2312" w:cs="仿宋_GB2312"/>
          <w:spacing w:val="0"/>
          <w:w w:val="100"/>
          <w:sz w:val="32"/>
          <w:szCs w:val="32"/>
          <w:lang w:val="en-US" w:eastAsia="zh-CN"/>
        </w:rPr>
        <w:t>按照</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中</w:t>
      </w:r>
      <w:r>
        <w:rPr>
          <w:rFonts w:hint="eastAsia" w:ascii="仿宋_GB2312" w:hAnsi="仿宋_GB2312" w:eastAsia="仿宋_GB2312" w:cs="仿宋_GB2312"/>
          <w:spacing w:val="0"/>
          <w:w w:val="100"/>
          <w:sz w:val="32"/>
          <w:szCs w:val="32"/>
        </w:rPr>
        <w:t>华人民共和国传染病防治法》和《国家突发公共卫生事件应急预案》等相关规定，由卫生健康部门组织疫情防控和应急处置。</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1.4 </w:t>
      </w:r>
      <w:r>
        <w:rPr>
          <w:rFonts w:hint="eastAsia" w:ascii="楷体_GB2312" w:hAnsi="楷体_GB2312" w:eastAsia="楷体_GB2312" w:cs="楷体_GB2312"/>
          <w:spacing w:val="0"/>
          <w:w w:val="100"/>
          <w:sz w:val="32"/>
          <w:szCs w:val="32"/>
        </w:rPr>
        <w:t>工作原则</w:t>
      </w:r>
    </w:p>
    <w:p>
      <w:pPr>
        <w:widowControl w:val="0"/>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 xml:space="preserve">    </w:t>
      </w:r>
      <w:r>
        <w:rPr>
          <w:rFonts w:hint="eastAsia" w:ascii="仿宋_GB2312" w:hAnsi="仿宋_GB2312" w:eastAsia="仿宋_GB2312" w:cs="仿宋_GB2312"/>
          <w:b/>
          <w:spacing w:val="0"/>
          <w:w w:val="100"/>
          <w:sz w:val="32"/>
          <w:szCs w:val="32"/>
        </w:rPr>
        <w:t>以人为本、减少危害。</w:t>
      </w:r>
      <w:r>
        <w:rPr>
          <w:rFonts w:hint="eastAsia" w:ascii="仿宋_GB2312" w:hAnsi="仿宋_GB2312" w:eastAsia="仿宋_GB2312" w:cs="仿宋_GB2312"/>
          <w:spacing w:val="0"/>
          <w:w w:val="100"/>
          <w:sz w:val="32"/>
          <w:szCs w:val="32"/>
        </w:rPr>
        <w:t>牢固树立以人民为中心的发展思想，贯彻落实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最严谨的标准、最严格的监管、最严厉的处罚、最严肃的问责</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要求，把保障公众健康和生命安全作为首要任务，最大程度地减轻食品安全风险、减少食品安全事件造成的人员伤亡和危害。</w:t>
      </w:r>
    </w:p>
    <w:p>
      <w:pPr>
        <w:widowControl w:val="0"/>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 xml:space="preserve">    </w:t>
      </w:r>
      <w:r>
        <w:rPr>
          <w:rFonts w:hint="eastAsia" w:ascii="仿宋_GB2312" w:hAnsi="仿宋_GB2312" w:eastAsia="仿宋_GB2312" w:cs="仿宋_GB2312"/>
          <w:b/>
          <w:spacing w:val="0"/>
          <w:w w:val="100"/>
          <w:sz w:val="32"/>
          <w:szCs w:val="32"/>
        </w:rPr>
        <w:t>统一领导、分级负责。</w:t>
      </w:r>
      <w:r>
        <w:rPr>
          <w:rFonts w:hint="eastAsia" w:ascii="仿宋_GB2312" w:hAnsi="仿宋_GB2312" w:eastAsia="仿宋_GB2312" w:cs="仿宋_GB2312"/>
          <w:spacing w:val="0"/>
          <w:w w:val="100"/>
          <w:sz w:val="32"/>
          <w:szCs w:val="32"/>
        </w:rPr>
        <w:t>全面落实食品安全党政同责要求，建立健全党委领导下的食品安全应急管理行政领导负责制。严格落实地方政府属地管理责任，根据事件严重程度，分级组织应对工作。</w:t>
      </w:r>
    </w:p>
    <w:p>
      <w:pPr>
        <w:widowControl w:val="0"/>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 xml:space="preserve">    </w:t>
      </w:r>
      <w:r>
        <w:rPr>
          <w:rFonts w:hint="eastAsia" w:ascii="仿宋_GB2312" w:hAnsi="仿宋_GB2312" w:eastAsia="仿宋_GB2312" w:cs="仿宋_GB2312"/>
          <w:b/>
          <w:spacing w:val="0"/>
          <w:w w:val="100"/>
          <w:sz w:val="32"/>
          <w:szCs w:val="32"/>
        </w:rPr>
        <w:t>预防为主、社会共治。</w:t>
      </w:r>
      <w:r>
        <w:rPr>
          <w:rFonts w:hint="eastAsia" w:ascii="仿宋_GB2312" w:hAnsi="仿宋_GB2312" w:eastAsia="仿宋_GB2312" w:cs="仿宋_GB2312"/>
          <w:spacing w:val="0"/>
          <w:w w:val="100"/>
          <w:sz w:val="32"/>
          <w:szCs w:val="32"/>
        </w:rPr>
        <w:t>增强忧患意识，加强日常监督检查和舆情监测，及时排查和化解风险隐患；建立部门协调联动机制，充分调动全社会力量，牢固树立应急意识，形成齐抓共管、上下联动、平战结合、多元共治的良好局面。</w:t>
      </w:r>
    </w:p>
    <w:p>
      <w:pPr>
        <w:widowControl w:val="0"/>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b/>
          <w:spacing w:val="0"/>
          <w:w w:val="100"/>
          <w:sz w:val="32"/>
          <w:szCs w:val="32"/>
          <w:lang w:val="en-US" w:eastAsia="zh-CN"/>
        </w:rPr>
        <w:t xml:space="preserve">    </w:t>
      </w:r>
      <w:r>
        <w:rPr>
          <w:rFonts w:hint="eastAsia" w:ascii="仿宋_GB2312" w:hAnsi="仿宋_GB2312" w:eastAsia="仿宋_GB2312" w:cs="仿宋_GB2312"/>
          <w:b/>
          <w:spacing w:val="0"/>
          <w:w w:val="100"/>
          <w:sz w:val="32"/>
          <w:szCs w:val="32"/>
        </w:rPr>
        <w:t>科技支撑、依法处置。</w:t>
      </w:r>
      <w:r>
        <w:rPr>
          <w:rFonts w:hint="eastAsia" w:ascii="仿宋_GB2312" w:hAnsi="仿宋_GB2312" w:eastAsia="仿宋_GB2312" w:cs="仿宋_GB2312"/>
          <w:spacing w:val="0"/>
          <w:w w:val="100"/>
          <w:sz w:val="32"/>
          <w:szCs w:val="32"/>
        </w:rPr>
        <w:t>发挥专家队伍和专业人员作用，充分利用科学手段和技术装备，提高应急处置能力水平。严格落实相关法规制度，确保食品安全事件应对处置工作规范化、制度化、法治化。</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1.5 </w:t>
      </w:r>
      <w:r>
        <w:rPr>
          <w:rFonts w:hint="eastAsia" w:ascii="楷体_GB2312" w:hAnsi="楷体_GB2312" w:eastAsia="楷体_GB2312" w:cs="楷体_GB2312"/>
          <w:spacing w:val="0"/>
          <w:w w:val="100"/>
          <w:sz w:val="32"/>
          <w:szCs w:val="32"/>
        </w:rPr>
        <w:t>事件分级</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本预案按照后果严重程度将食品安全突发事件分为特别重大、重大、较大和一般四个级别。食品安全事件分级标准见附件。</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1.6 </w:t>
      </w:r>
      <w:r>
        <w:rPr>
          <w:rFonts w:hint="eastAsia" w:ascii="楷体_GB2312" w:hAnsi="楷体_GB2312" w:eastAsia="楷体_GB2312" w:cs="楷体_GB2312"/>
          <w:spacing w:val="0"/>
          <w:w w:val="100"/>
          <w:sz w:val="32"/>
          <w:szCs w:val="32"/>
        </w:rPr>
        <w:t>分级应对</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食品安全事件发生地党委、政府及市场监管部门初判事件级别，开展先期处置，并及时向上一级党委、政府及市场监管部门报告。</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rPr>
        <w:t>初判发生特别重大和重大食品安全事件时，</w:t>
      </w:r>
      <w:r>
        <w:rPr>
          <w:rFonts w:hint="eastAsia" w:ascii="仿宋_GB2312" w:hAnsi="仿宋_GB2312" w:eastAsia="仿宋_GB2312" w:cs="仿宋_GB2312"/>
          <w:b w:val="0"/>
          <w:bCs w:val="0"/>
          <w:spacing w:val="0"/>
          <w:w w:val="100"/>
          <w:sz w:val="32"/>
          <w:szCs w:val="32"/>
          <w:lang w:val="en-US" w:eastAsia="zh-CN"/>
        </w:rPr>
        <w:t>报请</w:t>
      </w:r>
      <w:r>
        <w:rPr>
          <w:rFonts w:hint="eastAsia" w:ascii="仿宋_GB2312" w:hAnsi="仿宋_GB2312" w:eastAsia="仿宋_GB2312" w:cs="仿宋_GB2312"/>
          <w:b w:val="0"/>
          <w:bCs w:val="0"/>
          <w:spacing w:val="0"/>
          <w:w w:val="100"/>
          <w:sz w:val="32"/>
          <w:szCs w:val="32"/>
        </w:rPr>
        <w:t>省政府应对。初判发生较大食品安全事件时，由市政府负责应对</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lang w:val="en-US" w:eastAsia="zh-CN"/>
        </w:rPr>
        <w:t>市</w:t>
      </w:r>
      <w:r>
        <w:rPr>
          <w:rFonts w:hint="eastAsia" w:ascii="仿宋_GB2312" w:hAnsi="仿宋_GB2312" w:eastAsia="仿宋_GB2312" w:cs="仿宋_GB2312"/>
          <w:b w:val="0"/>
          <w:bCs w:val="0"/>
          <w:spacing w:val="0"/>
          <w:w w:val="100"/>
          <w:sz w:val="32"/>
          <w:szCs w:val="32"/>
        </w:rPr>
        <w:t>政府食品安全委员会（以下简称</w:t>
      </w:r>
      <w:r>
        <w:rPr>
          <w:rFonts w:hint="eastAsia" w:ascii="仿宋_GB2312" w:hAnsi="仿宋_GB2312" w:eastAsia="仿宋_GB2312" w:cs="仿宋_GB2312"/>
          <w:b w:val="0"/>
          <w:bCs w:val="0"/>
          <w:spacing w:val="0"/>
          <w:w w:val="100"/>
          <w:sz w:val="32"/>
          <w:szCs w:val="32"/>
          <w:lang w:val="en-US" w:eastAsia="zh-CN"/>
        </w:rPr>
        <w:t>市</w:t>
      </w:r>
      <w:r>
        <w:rPr>
          <w:rFonts w:hint="eastAsia" w:ascii="仿宋_GB2312" w:hAnsi="仿宋_GB2312" w:eastAsia="仿宋_GB2312" w:cs="仿宋_GB2312"/>
          <w:b w:val="0"/>
          <w:bCs w:val="0"/>
          <w:spacing w:val="0"/>
          <w:w w:val="100"/>
          <w:sz w:val="32"/>
          <w:szCs w:val="32"/>
        </w:rPr>
        <w:t>食品安全委）具体实施，必要时报请</w:t>
      </w:r>
      <w:r>
        <w:rPr>
          <w:rFonts w:hint="eastAsia" w:ascii="仿宋_GB2312" w:hAnsi="仿宋_GB2312" w:eastAsia="仿宋_GB2312" w:cs="仿宋_GB2312"/>
          <w:b w:val="0"/>
          <w:bCs w:val="0"/>
          <w:spacing w:val="0"/>
          <w:w w:val="100"/>
          <w:sz w:val="32"/>
          <w:szCs w:val="32"/>
          <w:lang w:val="en-US" w:eastAsia="zh-CN"/>
        </w:rPr>
        <w:t>省委、省政府或省</w:t>
      </w:r>
      <w:r>
        <w:rPr>
          <w:rFonts w:hint="eastAsia" w:ascii="仿宋_GB2312" w:hAnsi="仿宋_GB2312" w:eastAsia="仿宋_GB2312" w:cs="仿宋_GB2312"/>
          <w:b w:val="0"/>
          <w:bCs w:val="0"/>
          <w:spacing w:val="0"/>
          <w:w w:val="100"/>
          <w:sz w:val="32"/>
          <w:szCs w:val="32"/>
        </w:rPr>
        <w:t>市场监管局应对。初判发生一般食品安全事件时，由县级政府负责应对。</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当食品安全事件超出属地政府的应对能力时，由上一级政府提供支援或负责应对。</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1.7 </w:t>
      </w:r>
      <w:r>
        <w:rPr>
          <w:rFonts w:hint="eastAsia" w:ascii="楷体_GB2312" w:hAnsi="楷体_GB2312" w:eastAsia="楷体_GB2312" w:cs="楷体_GB2312"/>
          <w:spacing w:val="0"/>
          <w:w w:val="100"/>
          <w:sz w:val="32"/>
          <w:szCs w:val="32"/>
        </w:rPr>
        <w:t>响应级别</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食品安全事件发生后，各级政府根据事件级别、应急处置能力和预期影响，综合研判确定本层级应急响应级别。根据食品安全突发事件的严重程度和发展态势,将应急响应级别由高到低分为：一级、二级、三级、四级，分别对应事件分级标准的特别重大食品安全突发事件、重大食品安全突发事件、较大食品安全突发事件和一般食品安全突发事件。</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根据食品安全突发事件的发展态势和影响，预判达到或可能达到</w:t>
      </w:r>
      <w:r>
        <w:rPr>
          <w:rFonts w:hint="eastAsia" w:ascii="仿宋_GB2312" w:hAnsi="仿宋_GB2312" w:eastAsia="仿宋_GB2312" w:cs="仿宋_GB2312"/>
          <w:spacing w:val="0"/>
          <w:w w:val="100"/>
          <w:sz w:val="32"/>
          <w:szCs w:val="32"/>
          <w:lang w:val="en-US" w:eastAsia="zh-CN"/>
        </w:rPr>
        <w:t>三</w:t>
      </w:r>
      <w:r>
        <w:rPr>
          <w:rFonts w:hint="eastAsia" w:ascii="仿宋_GB2312" w:hAnsi="仿宋_GB2312" w:eastAsia="仿宋_GB2312" w:cs="仿宋_GB2312"/>
          <w:spacing w:val="0"/>
          <w:w w:val="100"/>
          <w:sz w:val="32"/>
          <w:szCs w:val="32"/>
        </w:rPr>
        <w:t>级事件标准需要市政府协调处置的，</w:t>
      </w:r>
      <w:r>
        <w:rPr>
          <w:rFonts w:hint="eastAsia" w:ascii="仿宋_GB2312" w:hAnsi="仿宋_GB2312" w:eastAsia="仿宋_GB2312" w:cs="仿宋_GB2312"/>
          <w:spacing w:val="0"/>
          <w:w w:val="100"/>
          <w:sz w:val="32"/>
          <w:szCs w:val="32"/>
          <w:lang w:val="en-US" w:eastAsia="zh-CN"/>
        </w:rPr>
        <w:t>事发地县级政府报请</w:t>
      </w:r>
      <w:r>
        <w:rPr>
          <w:rFonts w:hint="eastAsia" w:ascii="仿宋_GB2312" w:hAnsi="仿宋_GB2312" w:eastAsia="仿宋_GB2312" w:cs="仿宋_GB2312"/>
          <w:spacing w:val="0"/>
          <w:w w:val="100"/>
          <w:sz w:val="32"/>
          <w:szCs w:val="32"/>
        </w:rPr>
        <w:t>市政府食安办</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由市政府食安办召集相关部门会商后，</w:t>
      </w:r>
      <w:r>
        <w:rPr>
          <w:rFonts w:hint="eastAsia" w:ascii="仿宋_GB2312" w:hAnsi="仿宋_GB2312" w:eastAsia="仿宋_GB2312" w:cs="仿宋_GB2312"/>
          <w:spacing w:val="0"/>
          <w:w w:val="100"/>
          <w:sz w:val="32"/>
          <w:szCs w:val="32"/>
        </w:rPr>
        <w:t>向市政府提出启动</w:t>
      </w:r>
      <w:r>
        <w:rPr>
          <w:rFonts w:hint="eastAsia" w:ascii="仿宋_GB2312" w:hAnsi="仿宋_GB2312" w:eastAsia="仿宋_GB2312" w:cs="仿宋_GB2312"/>
          <w:spacing w:val="0"/>
          <w:w w:val="100"/>
          <w:sz w:val="32"/>
          <w:szCs w:val="32"/>
          <w:lang w:val="en-US" w:eastAsia="zh-CN"/>
        </w:rPr>
        <w:t>三</w:t>
      </w:r>
      <w:r>
        <w:rPr>
          <w:rFonts w:hint="eastAsia" w:ascii="仿宋_GB2312" w:hAnsi="仿宋_GB2312" w:eastAsia="仿宋_GB2312" w:cs="仿宋_GB2312"/>
          <w:spacing w:val="0"/>
          <w:w w:val="100"/>
          <w:sz w:val="32"/>
          <w:szCs w:val="32"/>
        </w:rPr>
        <w:t>级响应的建议，经市政府批准后，成立市食品安全突发事件应急指挥部（以下简称指挥部），统一领导、组织和指挥应急处置工作。</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b w:val="0"/>
          <w:bCs w:val="0"/>
          <w:spacing w:val="0"/>
          <w:w w:val="100"/>
          <w:sz w:val="32"/>
          <w:szCs w:val="32"/>
        </w:rPr>
      </w:pPr>
      <w:r>
        <w:rPr>
          <w:rFonts w:hint="eastAsia" w:ascii="仿宋_GB2312" w:hAnsi="仿宋_GB2312" w:eastAsia="仿宋_GB2312" w:cs="仿宋_GB2312"/>
          <w:b w:val="0"/>
          <w:bCs w:val="0"/>
          <w:spacing w:val="0"/>
          <w:w w:val="100"/>
          <w:sz w:val="32"/>
          <w:szCs w:val="32"/>
          <w:lang w:val="en-US" w:eastAsia="zh-CN"/>
        </w:rPr>
        <w:t xml:space="preserve">    </w:t>
      </w:r>
      <w:r>
        <w:rPr>
          <w:rFonts w:hint="eastAsia" w:ascii="仿宋_GB2312" w:hAnsi="仿宋_GB2312" w:eastAsia="仿宋_GB2312" w:cs="仿宋_GB2312"/>
          <w:b w:val="0"/>
          <w:bCs w:val="0"/>
          <w:spacing w:val="0"/>
          <w:w w:val="100"/>
          <w:sz w:val="32"/>
          <w:szCs w:val="32"/>
        </w:rPr>
        <w:t>县</w:t>
      </w:r>
      <w:r>
        <w:rPr>
          <w:rFonts w:hint="eastAsia" w:ascii="仿宋_GB2312" w:hAnsi="仿宋_GB2312" w:eastAsia="仿宋_GB2312" w:cs="仿宋_GB2312"/>
          <w:b w:val="0"/>
          <w:bCs w:val="0"/>
          <w:spacing w:val="0"/>
          <w:w w:val="100"/>
          <w:sz w:val="32"/>
          <w:szCs w:val="32"/>
          <w:lang w:val="en-US" w:eastAsia="zh-CN"/>
        </w:rPr>
        <w:t>级</w:t>
      </w:r>
      <w:r>
        <w:rPr>
          <w:rFonts w:hint="eastAsia" w:ascii="仿宋_GB2312" w:hAnsi="仿宋_GB2312" w:eastAsia="仿宋_GB2312" w:cs="仿宋_GB2312"/>
          <w:b w:val="0"/>
          <w:bCs w:val="0"/>
          <w:spacing w:val="0"/>
          <w:w w:val="100"/>
          <w:sz w:val="32"/>
          <w:szCs w:val="32"/>
        </w:rPr>
        <w:t>政府可参照国家</w:t>
      </w:r>
      <w:r>
        <w:rPr>
          <w:rFonts w:hint="eastAsia" w:ascii="仿宋_GB2312" w:hAnsi="仿宋_GB2312" w:eastAsia="仿宋_GB2312" w:cs="仿宋_GB2312"/>
          <w:b w:val="0"/>
          <w:bCs w:val="0"/>
          <w:spacing w:val="0"/>
          <w:w w:val="100"/>
          <w:sz w:val="32"/>
          <w:szCs w:val="32"/>
          <w:lang w:eastAsia="zh-CN"/>
        </w:rPr>
        <w:t>、</w:t>
      </w:r>
      <w:r>
        <w:rPr>
          <w:rFonts w:hint="eastAsia" w:ascii="仿宋_GB2312" w:hAnsi="仿宋_GB2312" w:eastAsia="仿宋_GB2312" w:cs="仿宋_GB2312"/>
          <w:b w:val="0"/>
          <w:bCs w:val="0"/>
          <w:spacing w:val="0"/>
          <w:w w:val="100"/>
          <w:sz w:val="32"/>
          <w:szCs w:val="32"/>
        </w:rPr>
        <w:t>省</w:t>
      </w:r>
      <w:r>
        <w:rPr>
          <w:rFonts w:hint="eastAsia" w:ascii="仿宋_GB2312" w:hAnsi="仿宋_GB2312" w:eastAsia="仿宋_GB2312" w:cs="仿宋_GB2312"/>
          <w:b w:val="0"/>
          <w:bCs w:val="0"/>
          <w:spacing w:val="0"/>
          <w:w w:val="100"/>
          <w:sz w:val="32"/>
          <w:szCs w:val="32"/>
          <w:lang w:val="en-US" w:eastAsia="zh-CN"/>
        </w:rPr>
        <w:t>和市</w:t>
      </w:r>
      <w:r>
        <w:rPr>
          <w:rFonts w:hint="eastAsia" w:ascii="仿宋_GB2312" w:hAnsi="仿宋_GB2312" w:eastAsia="仿宋_GB2312" w:cs="仿宋_GB2312"/>
          <w:b w:val="0"/>
          <w:bCs w:val="0"/>
          <w:spacing w:val="0"/>
          <w:w w:val="100"/>
          <w:sz w:val="32"/>
          <w:szCs w:val="32"/>
        </w:rPr>
        <w:t>级层面应急响应级别设置，结合本地实际明确本级应急响应级别。乡镇政府（街道办事处）在上级政府指导下开展食品安全事件应急处置有关工作，村委（社区居委会）等基层组织应当协助政府做好食品安全事件应急处置相关工作。</w:t>
      </w:r>
    </w:p>
    <w:p>
      <w:pPr>
        <w:pStyle w:val="9"/>
        <w:widowControl w:val="0"/>
        <w:numPr>
          <w:numId w:val="0"/>
        </w:numPr>
        <w:tabs>
          <w:tab w:val="left" w:pos="0"/>
          <w:tab w:val="left" w:pos="220"/>
        </w:tabs>
        <w:wordWrap/>
        <w:autoSpaceDE w:val="0"/>
        <w:autoSpaceDN w:val="0"/>
        <w:adjustRightInd/>
        <w:snapToGrid w:val="0"/>
        <w:spacing w:before="0" w:after="0" w:line="580" w:lineRule="exact"/>
        <w:ind w:leftChars="0" w:right="0"/>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lang w:val="en-US" w:eastAsia="zh-CN"/>
        </w:rPr>
        <w:t xml:space="preserve">    2 </w:t>
      </w:r>
      <w:r>
        <w:rPr>
          <w:rFonts w:hint="eastAsia" w:ascii="黑体" w:hAnsi="黑体" w:eastAsia="黑体" w:cs="黑体"/>
          <w:spacing w:val="0"/>
          <w:w w:val="100"/>
          <w:sz w:val="32"/>
          <w:szCs w:val="32"/>
        </w:rPr>
        <w:t>应急指挥体系</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2.1 市</w:t>
      </w:r>
      <w:r>
        <w:rPr>
          <w:rFonts w:hint="eastAsia" w:ascii="楷体_GB2312" w:hAnsi="楷体_GB2312" w:eastAsia="楷体_GB2312" w:cs="楷体_GB2312"/>
          <w:spacing w:val="0"/>
          <w:w w:val="100"/>
          <w:sz w:val="32"/>
          <w:szCs w:val="32"/>
        </w:rPr>
        <w:t>级层面组织机构</w:t>
      </w:r>
    </w:p>
    <w:p>
      <w:pPr>
        <w:pStyle w:val="9"/>
        <w:widowControl w:val="0"/>
        <w:numPr>
          <w:numId w:val="0"/>
        </w:numPr>
        <w:tabs>
          <w:tab w:val="left" w:pos="2252"/>
        </w:tabs>
        <w:wordWrap/>
        <w:autoSpaceDE w:val="0"/>
        <w:autoSpaceDN w:val="0"/>
        <w:adjustRightInd/>
        <w:snapToGrid w:val="0"/>
        <w:spacing w:before="0" w:after="0" w:line="580" w:lineRule="exact"/>
        <w:ind w:leftChars="0" w:right="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2.1.1 市</w:t>
      </w:r>
      <w:r>
        <w:rPr>
          <w:rFonts w:hint="eastAsia" w:ascii="仿宋_GB2312" w:hAnsi="仿宋_GB2312" w:eastAsia="仿宋_GB2312" w:cs="仿宋_GB2312"/>
          <w:b/>
          <w:bCs/>
          <w:spacing w:val="0"/>
          <w:w w:val="100"/>
          <w:sz w:val="32"/>
          <w:szCs w:val="32"/>
        </w:rPr>
        <w:t>应急指挥机构</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市</w:t>
      </w:r>
      <w:r>
        <w:rPr>
          <w:rFonts w:hint="eastAsia" w:ascii="仿宋_GB2312" w:hAnsi="仿宋_GB2312" w:eastAsia="仿宋_GB2312" w:cs="仿宋_GB2312"/>
          <w:spacing w:val="0"/>
          <w:w w:val="100"/>
          <w:sz w:val="32"/>
          <w:szCs w:val="32"/>
        </w:rPr>
        <w:t>政府食品安全委在</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政府领导下，统筹协调指导食品安全事件防范和应对工作。</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市</w:t>
      </w:r>
      <w:r>
        <w:rPr>
          <w:rFonts w:hint="eastAsia" w:ascii="仿宋_GB2312" w:hAnsi="仿宋_GB2312" w:eastAsia="仿宋_GB2312" w:cs="仿宋_GB2312"/>
          <w:spacing w:val="0"/>
          <w:w w:val="100"/>
          <w:sz w:val="32"/>
          <w:szCs w:val="32"/>
        </w:rPr>
        <w:t>政府决定启动食品安全事件</w:t>
      </w:r>
      <w:r>
        <w:rPr>
          <w:rFonts w:hint="eastAsia" w:ascii="仿宋_GB2312" w:hAnsi="仿宋_GB2312" w:eastAsia="仿宋_GB2312" w:cs="仿宋_GB2312"/>
          <w:spacing w:val="0"/>
          <w:w w:val="100"/>
          <w:sz w:val="32"/>
          <w:szCs w:val="32"/>
          <w:lang w:val="en-US" w:eastAsia="zh-CN"/>
        </w:rPr>
        <w:t>三</w:t>
      </w:r>
      <w:r>
        <w:rPr>
          <w:rFonts w:hint="eastAsia" w:ascii="仿宋_GB2312" w:hAnsi="仿宋_GB2312" w:eastAsia="仿宋_GB2312" w:cs="仿宋_GB2312"/>
          <w:spacing w:val="0"/>
          <w:w w:val="100"/>
          <w:sz w:val="32"/>
          <w:szCs w:val="32"/>
        </w:rPr>
        <w:t>级响应后，要立即成立食品安全突发事件应急指挥部，组织协调指导事发地应急处置工作。</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指挥长：</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政府食品安全委负责同志或</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政府指定的负责同志</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副指挥长：</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政府分管副秘书长、</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市场监督管理局主要负责同志</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成员：</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市场监管局</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委宣传部、</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公安</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卫生健康委等部门负责同志担任，并视情增加</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纪委监委、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委政法委、</w:t>
      </w:r>
      <w:r>
        <w:rPr>
          <w:rFonts w:hint="eastAsia" w:ascii="仿宋_GB2312" w:hAnsi="仿宋_GB2312" w:eastAsia="仿宋_GB2312" w:cs="仿宋_GB2312"/>
          <w:spacing w:val="0"/>
          <w:w w:val="100"/>
          <w:sz w:val="32"/>
          <w:szCs w:val="32"/>
          <w:lang w:val="en-US" w:eastAsia="zh-CN"/>
        </w:rPr>
        <w:t>市委</w:t>
      </w:r>
      <w:r>
        <w:rPr>
          <w:rFonts w:hint="eastAsia" w:ascii="仿宋_GB2312" w:hAnsi="仿宋_GB2312" w:eastAsia="仿宋_GB2312" w:cs="仿宋_GB2312"/>
          <w:spacing w:val="0"/>
          <w:w w:val="100"/>
          <w:sz w:val="32"/>
          <w:szCs w:val="32"/>
        </w:rPr>
        <w:t>网信办、</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发展改革委、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教育</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科技</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工业和信息化</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民族宗教</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民政</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司法</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财政</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生态环境</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住房和城乡建设</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交通运输</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农业农村</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商务</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文化</w:t>
      </w:r>
      <w:r>
        <w:rPr>
          <w:rFonts w:hint="eastAsia" w:ascii="仿宋_GB2312" w:hAnsi="仿宋_GB2312" w:eastAsia="仿宋_GB2312" w:cs="仿宋_GB2312"/>
          <w:spacing w:val="0"/>
          <w:w w:val="100"/>
          <w:sz w:val="32"/>
          <w:szCs w:val="32"/>
          <w:lang w:val="en-US" w:eastAsia="zh-CN"/>
        </w:rPr>
        <w:t>广电和旅游局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应急管理</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市城管局、南阳</w:t>
      </w:r>
      <w:r>
        <w:rPr>
          <w:rFonts w:hint="eastAsia" w:ascii="仿宋_GB2312" w:hAnsi="仿宋_GB2312" w:eastAsia="仿宋_GB2312" w:cs="仿宋_GB2312"/>
          <w:spacing w:val="0"/>
          <w:w w:val="100"/>
          <w:sz w:val="32"/>
          <w:szCs w:val="32"/>
        </w:rPr>
        <w:t>海关、</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粮食和物资储备局、</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林业局、</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邮政管理局、</w:t>
      </w:r>
      <w:r>
        <w:rPr>
          <w:rFonts w:hint="eastAsia" w:ascii="仿宋_GB2312" w:hAnsi="仿宋_GB2312" w:eastAsia="仿宋_GB2312" w:cs="仿宋_GB2312"/>
          <w:spacing w:val="0"/>
          <w:w w:val="100"/>
          <w:sz w:val="32"/>
          <w:szCs w:val="32"/>
          <w:lang w:val="en-US" w:eastAsia="zh-CN"/>
        </w:rPr>
        <w:t>南航基地</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南阳车务段</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供销合作社、</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红十字会等部门和单位负责同志。当事件涉及国外、港澳台时，增加</w:t>
      </w:r>
      <w:r>
        <w:rPr>
          <w:rFonts w:hint="eastAsia" w:ascii="仿宋_GB2312" w:hAnsi="仿宋_GB2312" w:eastAsia="仿宋_GB2312" w:cs="仿宋_GB2312"/>
          <w:spacing w:val="0"/>
          <w:w w:val="100"/>
          <w:sz w:val="32"/>
          <w:szCs w:val="32"/>
          <w:lang w:val="en-US" w:eastAsia="zh-CN"/>
        </w:rPr>
        <w:t>市委统战部</w:t>
      </w:r>
      <w:r>
        <w:rPr>
          <w:rFonts w:hint="eastAsia" w:ascii="仿宋_GB2312" w:hAnsi="仿宋_GB2312" w:eastAsia="仿宋_GB2312" w:cs="仿宋_GB2312"/>
          <w:spacing w:val="0"/>
          <w:w w:val="100"/>
          <w:sz w:val="32"/>
          <w:szCs w:val="32"/>
        </w:rPr>
        <w:t>等部门负责同志为应急工作组成员。必要时，应急指挥部可与地方党委、政府联合成立前方指挥部，现场组织协调指导应急处置工作。</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应急指挥部成员单位在应急指挥部的统一领导下开展工作，加强对事发地有关部门工作的督促、指导，积极参与应急救援工作，完成应急指挥部赋予的各项工作任务。</w:t>
      </w:r>
    </w:p>
    <w:p>
      <w:pPr>
        <w:pStyle w:val="9"/>
        <w:widowControl w:val="0"/>
        <w:numPr>
          <w:numId w:val="0"/>
        </w:numPr>
        <w:tabs>
          <w:tab w:val="left" w:pos="2252"/>
        </w:tabs>
        <w:wordWrap/>
        <w:autoSpaceDE w:val="0"/>
        <w:autoSpaceDN w:val="0"/>
        <w:adjustRightInd/>
        <w:snapToGrid w:val="0"/>
        <w:spacing w:before="0" w:after="0" w:line="580" w:lineRule="exact"/>
        <w:ind w:leftChars="0" w:right="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2.1.2 </w:t>
      </w:r>
      <w:r>
        <w:rPr>
          <w:rFonts w:hint="eastAsia" w:ascii="仿宋_GB2312" w:hAnsi="仿宋_GB2312" w:eastAsia="仿宋_GB2312" w:cs="仿宋_GB2312"/>
          <w:b/>
          <w:bCs/>
          <w:spacing w:val="0"/>
          <w:w w:val="100"/>
          <w:sz w:val="32"/>
          <w:szCs w:val="32"/>
        </w:rPr>
        <w:t>指挥部办公室</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应急指挥部办公室设在</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市场监管局，承担应急指挥部的日常工作。</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rPr>
        <w:t>主要负责：</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贯彻落实应急指挥部应急处置的各项决策部署；</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进一步组织分析评估食品安全事件级别，发布预警，下达应急处置任务；</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督促协调应急各工作组、成员单位及相关</w:t>
      </w:r>
      <w:r>
        <w:rPr>
          <w:rFonts w:hint="eastAsia" w:ascii="仿宋_GB2312" w:hAnsi="仿宋_GB2312" w:eastAsia="仿宋_GB2312" w:cs="仿宋_GB2312"/>
          <w:color w:val="auto"/>
          <w:spacing w:val="0"/>
          <w:w w:val="100"/>
          <w:sz w:val="32"/>
          <w:szCs w:val="32"/>
        </w:rPr>
        <w:t>地区</w:t>
      </w:r>
      <w:r>
        <w:rPr>
          <w:rFonts w:hint="eastAsia" w:ascii="仿宋_GB2312" w:hAnsi="仿宋_GB2312" w:eastAsia="仿宋_GB2312" w:cs="仿宋_GB2312"/>
          <w:spacing w:val="0"/>
          <w:w w:val="100"/>
          <w:sz w:val="32"/>
          <w:szCs w:val="32"/>
        </w:rPr>
        <w:t>和部门做好各项应急处置工作</w:t>
      </w:r>
      <w:r>
        <w:rPr>
          <w:rFonts w:hint="eastAsia" w:ascii="仿宋_GB2312" w:hAnsi="仿宋_GB2312" w:eastAsia="仿宋_GB2312" w:cs="仿宋_GB2312"/>
          <w:spacing w:val="0"/>
          <w:w w:val="100"/>
          <w:sz w:val="32"/>
          <w:szCs w:val="32"/>
          <w:lang w:eastAsia="zh-CN"/>
        </w:rPr>
        <w:t>。</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(1)</w:t>
      </w:r>
      <w:r>
        <w:rPr>
          <w:rFonts w:hint="eastAsia" w:ascii="仿宋_GB2312" w:hAnsi="仿宋_GB2312" w:eastAsia="仿宋_GB2312" w:cs="仿宋_GB2312"/>
          <w:spacing w:val="0"/>
          <w:w w:val="100"/>
          <w:sz w:val="32"/>
          <w:szCs w:val="32"/>
        </w:rPr>
        <w:t>组织收集来自网络、媒体、公众、企业、技术机构、成员单位及其他渠道获得的食品安全事件信息，组织分析研判，按规定程序处置；向</w:t>
      </w:r>
      <w:r>
        <w:rPr>
          <w:rFonts w:hint="eastAsia" w:ascii="仿宋_GB2312" w:hAnsi="仿宋_GB2312" w:eastAsia="仿宋_GB2312" w:cs="仿宋_GB2312"/>
          <w:spacing w:val="0"/>
          <w:w w:val="100"/>
          <w:sz w:val="32"/>
          <w:szCs w:val="32"/>
          <w:lang w:val="en-US" w:eastAsia="zh-CN"/>
        </w:rPr>
        <w:t>省市场监管</w:t>
      </w:r>
      <w:r>
        <w:rPr>
          <w:rFonts w:hint="eastAsia" w:ascii="仿宋_GB2312" w:hAnsi="仿宋_GB2312" w:eastAsia="仿宋_GB2312" w:cs="仿宋_GB2312"/>
          <w:spacing w:val="0"/>
          <w:w w:val="100"/>
          <w:sz w:val="32"/>
          <w:szCs w:val="32"/>
        </w:rPr>
        <w:t>局、</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政府报告事件应急处置工作开展情况，向应急指挥部成员单位通报事件应急处置工作开展情况；</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(2)</w:t>
      </w:r>
      <w:r>
        <w:rPr>
          <w:rFonts w:hint="eastAsia" w:ascii="仿宋_GB2312" w:hAnsi="仿宋_GB2312" w:eastAsia="仿宋_GB2312" w:cs="仿宋_GB2312"/>
          <w:spacing w:val="0"/>
          <w:w w:val="100"/>
          <w:sz w:val="32"/>
          <w:szCs w:val="32"/>
        </w:rPr>
        <w:t>负责保障应急指挥部和办公室所需的应急指挥车辆、办公设备等应急设施、设备；</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w:t>
      </w:r>
      <w:r>
        <w:rPr>
          <w:rFonts w:hint="eastAsia" w:ascii="仿宋_GB2312" w:hAnsi="仿宋_GB2312" w:eastAsia="仿宋_GB2312" w:cs="仿宋_GB2312"/>
          <w:spacing w:val="0"/>
          <w:w w:val="100"/>
          <w:sz w:val="32"/>
          <w:szCs w:val="32"/>
        </w:rPr>
        <w:t>加强对</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级食品安全应急处置专家库的管理。</w:t>
      </w:r>
    </w:p>
    <w:p>
      <w:pPr>
        <w:pStyle w:val="9"/>
        <w:widowControl w:val="0"/>
        <w:numPr>
          <w:numId w:val="0"/>
        </w:numPr>
        <w:tabs>
          <w:tab w:val="left" w:pos="2252"/>
        </w:tabs>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2.1.3 </w:t>
      </w:r>
      <w:r>
        <w:rPr>
          <w:rFonts w:hint="eastAsia" w:ascii="仿宋_GB2312" w:hAnsi="仿宋_GB2312" w:eastAsia="仿宋_GB2312" w:cs="仿宋_GB2312"/>
          <w:b/>
          <w:bCs/>
          <w:spacing w:val="0"/>
          <w:w w:val="100"/>
          <w:sz w:val="32"/>
          <w:szCs w:val="32"/>
        </w:rPr>
        <w:t>指挥部工作组</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应急指挥部根据需要下设综合协调组、事件调查组、危害控制组、医疗救治组、检测评估组、社会稳定组、舆情引导组、专家组等若干专项工作组。在指挥部的统一指挥下开展工作，随时向应急指挥部报告工作情况。若事件涉及较大范围经济赔偿问题，可单设民事赔偿组，其牵头和组成部门由应急指挥部临时指定，指导事发地相关部门做好善后工作。</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 xml:space="preserve">    (1)综合协调组：由市市场监管局牵头，市教育局、市农业农村局、市卫生健康委、市应急管理局等参加。主要负责组织协调各工作组、相关机构开展应急处置工作，协调解决应急处置中的重大问题。</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bidi="ar-SA"/>
        </w:rPr>
        <w:t xml:space="preserve">    (2)事件调查组：由市市场监管局牵头，市纪委监委、市公安局、市卫生健康委等参加，应急指挥部根据事件发生情况，按照单位职责确定其他参加单位。主要负责调查事件发生原因，</w:t>
      </w:r>
      <w:r>
        <w:rPr>
          <w:rFonts w:hint="eastAsia" w:ascii="仿宋_GB2312" w:hAnsi="仿宋_GB2312" w:eastAsia="仿宋_GB2312" w:cs="仿宋_GB2312"/>
          <w:spacing w:val="0"/>
          <w:w w:val="100"/>
          <w:sz w:val="32"/>
          <w:szCs w:val="32"/>
        </w:rPr>
        <w:t>评估事件影响。有关食品监管职能部门负责查明事件发生的监管漏洞以及导致事件发生的第一责任原因，作出调查结论，提出处理意见及防范措施。</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纪委监委负责对成员单位及其他工作人员失职、渎职等行为进行调查；</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卫生健康委负责调查事件致病原因，作出调查结论，评估事件影响，提出事件防范意见；</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公安</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对</w:t>
      </w:r>
      <w:r>
        <w:rPr>
          <w:rFonts w:hint="eastAsia" w:ascii="仿宋_GB2312" w:hAnsi="仿宋_GB2312" w:eastAsia="仿宋_GB2312" w:cs="仿宋_GB2312"/>
          <w:spacing w:val="0"/>
          <w:w w:val="100"/>
          <w:sz w:val="32"/>
          <w:szCs w:val="32"/>
          <w:lang w:val="en-US" w:eastAsia="zh-CN"/>
        </w:rPr>
        <w:t>于</w:t>
      </w:r>
      <w:r>
        <w:rPr>
          <w:rFonts w:hint="eastAsia" w:ascii="仿宋_GB2312" w:hAnsi="仿宋_GB2312" w:eastAsia="仿宋_GB2312" w:cs="仿宋_GB2312"/>
          <w:spacing w:val="0"/>
          <w:w w:val="100"/>
          <w:sz w:val="32"/>
          <w:szCs w:val="32"/>
        </w:rPr>
        <w:t>涉嫌犯罪的，负责督促、指导事发地公安机关立案侦办，查清事实，依法追究刑事责任。</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bidi="ar-SA"/>
        </w:rPr>
        <w:t xml:space="preserve">    (3)危害控制组：由市市场监管局牵头，市公安局参加，应急指挥部根据事件发生情况，按照单位职责确定其他参加单位。主要负责监督、指导事发地相关部门对有关食品、原料、食品添加剂及相关产品进行召回、下架、封存，严格控制流通渠道，防止危害蔓延扩大。</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(4)</w:t>
      </w:r>
      <w:r>
        <w:rPr>
          <w:rFonts w:hint="eastAsia" w:ascii="仿宋_GB2312" w:hAnsi="仿宋_GB2312" w:eastAsia="仿宋_GB2312" w:cs="仿宋_GB2312"/>
          <w:spacing w:val="0"/>
          <w:w w:val="100"/>
          <w:sz w:val="32"/>
          <w:szCs w:val="32"/>
        </w:rPr>
        <w:t>医疗救治组：由</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卫生健康委牵头，</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公安</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、专业技术机构等参加。主要负责结合事件调查情况，组织协调医疗机构，迅速组织医疗救护力量，制定最佳救治方案积极实施救治，最大限度降低健康危害。</w:t>
      </w:r>
    </w:p>
    <w:p>
      <w:pPr>
        <w:pStyle w:val="9"/>
        <w:widowControl w:val="0"/>
        <w:numPr>
          <w:numId w:val="0"/>
        </w:numPr>
        <w:tabs>
          <w:tab w:val="left" w:pos="0"/>
        </w:tabs>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(5)</w:t>
      </w:r>
      <w:r>
        <w:rPr>
          <w:rFonts w:hint="eastAsia" w:ascii="仿宋_GB2312" w:hAnsi="仿宋_GB2312" w:eastAsia="仿宋_GB2312" w:cs="仿宋_GB2312"/>
          <w:spacing w:val="0"/>
          <w:w w:val="100"/>
          <w:sz w:val="32"/>
          <w:szCs w:val="32"/>
        </w:rPr>
        <w:t>检测评估组：由</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市场监管局牵头，</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农业农村</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卫生健康委、</w:t>
      </w:r>
      <w:r>
        <w:rPr>
          <w:rFonts w:hint="eastAsia" w:ascii="仿宋_GB2312" w:hAnsi="仿宋_GB2312" w:eastAsia="仿宋_GB2312" w:cs="仿宋_GB2312"/>
          <w:spacing w:val="0"/>
          <w:w w:val="100"/>
          <w:sz w:val="32"/>
          <w:szCs w:val="32"/>
          <w:lang w:val="en-US" w:eastAsia="zh-CN"/>
        </w:rPr>
        <w:t>南阳</w:t>
      </w:r>
      <w:r>
        <w:rPr>
          <w:rFonts w:hint="eastAsia" w:ascii="仿宋_GB2312" w:hAnsi="仿宋_GB2312" w:eastAsia="仿宋_GB2312" w:cs="仿宋_GB2312"/>
          <w:spacing w:val="0"/>
          <w:w w:val="100"/>
          <w:sz w:val="32"/>
          <w:szCs w:val="32"/>
        </w:rPr>
        <w:t>海关、专业技术机构等参加。主要负责组织实施相关应急检验检测，综合分析各方检测数据，查找事件原因和研判事件发展趋势，分析评估事件影响，为制定现场抢救方案和采取控制措施提供参考，检测评估结果及时报告指挥部。必要时检测评估组可与事件调查组一并开展工作。</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(6)</w:t>
      </w:r>
      <w:r>
        <w:rPr>
          <w:rFonts w:hint="eastAsia" w:ascii="仿宋_GB2312" w:hAnsi="仿宋_GB2312" w:eastAsia="仿宋_GB2312" w:cs="仿宋_GB2312"/>
          <w:spacing w:val="0"/>
          <w:w w:val="100"/>
          <w:sz w:val="32"/>
          <w:szCs w:val="32"/>
        </w:rPr>
        <w:t>社会稳定组：由</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公安</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牵头，</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委网信办、</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民政</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司法</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等参加。主要负责组织事件现场的安全保卫、治安管理和交通疏导，严厉打击编造传播谣言、制造社会恐慌等违法行为，做好矛盾纠纷化解和法律服务。</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 xml:space="preserve">    (7)舆情引导组：由市委宣传部牵头，市委网信办、市文化广电和旅游局等参加，应急指挥部根据事件发生性质和危害程度，按照成员单位职责确定其他参加单位。主要负责组织事件处置新闻报道和舆论引导，按照“快报事实，慎报原因”的原则把握食品安全突发事件报道工作的正确导向，指导协调新闻宣传单位做好事件的新闻报道，配合相关部门做好信息发布。</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bidi="ar-SA"/>
        </w:rPr>
        <w:t xml:space="preserve">    (8)专家组：由市市场监管局牵头，市农业农村局、市卫生健康委、市应急管理局等相关部门配合组建有关方面专家组。主要负责为食品安全突发事件应急处置方案制定、危害评估和调查处理等工作提供技术指导和专业建议。</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县级政府</w:t>
      </w:r>
      <w:r>
        <w:rPr>
          <w:rFonts w:hint="eastAsia" w:ascii="仿宋_GB2312" w:hAnsi="仿宋_GB2312" w:eastAsia="仿宋_GB2312" w:cs="仿宋_GB2312"/>
          <w:spacing w:val="0"/>
          <w:w w:val="100"/>
          <w:sz w:val="32"/>
          <w:szCs w:val="32"/>
        </w:rPr>
        <w:t>决定启动</w:t>
      </w:r>
      <w:r>
        <w:rPr>
          <w:rFonts w:hint="eastAsia" w:ascii="仿宋_GB2312" w:hAnsi="仿宋_GB2312" w:eastAsia="仿宋_GB2312" w:cs="仿宋_GB2312"/>
          <w:spacing w:val="0"/>
          <w:w w:val="100"/>
          <w:sz w:val="32"/>
          <w:szCs w:val="32"/>
          <w:lang w:val="en-US" w:eastAsia="zh-CN"/>
        </w:rPr>
        <w:t>四</w:t>
      </w:r>
      <w:r>
        <w:rPr>
          <w:rFonts w:hint="eastAsia" w:ascii="仿宋_GB2312" w:hAnsi="仿宋_GB2312" w:eastAsia="仿宋_GB2312" w:cs="仿宋_GB2312"/>
          <w:spacing w:val="0"/>
          <w:w w:val="100"/>
          <w:sz w:val="32"/>
          <w:szCs w:val="32"/>
        </w:rPr>
        <w:t>级应急响应后，根据工作需要，由</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市场监督管理局以</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政府食品安全委办公室名义组织</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政府食安委相关成员单位，或根据</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政府安排部署，成立</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级应急工作组，</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级应急工作组组长由</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市场监督管理局负责同志，或</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政府领导同志指定的有关单位负责同志担任，负责指导、协调、督促有关地方和部门开展食品安全突发事件应急处置工作。</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2.2 </w:t>
      </w:r>
      <w:r>
        <w:rPr>
          <w:rFonts w:hint="eastAsia" w:ascii="楷体_GB2312" w:hAnsi="楷体_GB2312" w:eastAsia="楷体_GB2312" w:cs="楷体_GB2312"/>
          <w:spacing w:val="0"/>
          <w:w w:val="100"/>
          <w:sz w:val="32"/>
          <w:szCs w:val="32"/>
        </w:rPr>
        <w:t>县</w:t>
      </w:r>
      <w:r>
        <w:rPr>
          <w:rFonts w:hint="eastAsia" w:ascii="楷体_GB2312" w:hAnsi="楷体_GB2312" w:eastAsia="楷体_GB2312" w:cs="楷体_GB2312"/>
          <w:spacing w:val="0"/>
          <w:w w:val="100"/>
          <w:sz w:val="32"/>
          <w:szCs w:val="32"/>
          <w:lang w:val="en-US" w:eastAsia="zh-CN"/>
        </w:rPr>
        <w:t>级</w:t>
      </w:r>
      <w:r>
        <w:rPr>
          <w:rFonts w:hint="eastAsia" w:ascii="楷体_GB2312" w:hAnsi="楷体_GB2312" w:eastAsia="楷体_GB2312" w:cs="楷体_GB2312"/>
          <w:spacing w:val="0"/>
          <w:w w:val="100"/>
          <w:sz w:val="32"/>
          <w:szCs w:val="32"/>
        </w:rPr>
        <w:t>层面组织机构</w:t>
      </w:r>
    </w:p>
    <w:p>
      <w:pPr>
        <w:pStyle w:val="9"/>
        <w:widowControl w:val="0"/>
        <w:numPr>
          <w:numId w:val="0"/>
        </w:numPr>
        <w:tabs>
          <w:tab w:val="left" w:pos="2252"/>
        </w:tabs>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2.2.1 </w:t>
      </w:r>
      <w:r>
        <w:rPr>
          <w:rFonts w:hint="eastAsia" w:ascii="仿宋_GB2312" w:hAnsi="仿宋_GB2312" w:eastAsia="仿宋_GB2312" w:cs="仿宋_GB2312"/>
          <w:b/>
          <w:bCs/>
          <w:spacing w:val="0"/>
          <w:w w:val="100"/>
          <w:sz w:val="32"/>
          <w:szCs w:val="32"/>
        </w:rPr>
        <w:t>县</w:t>
      </w:r>
      <w:r>
        <w:rPr>
          <w:rFonts w:hint="eastAsia" w:ascii="仿宋_GB2312" w:hAnsi="仿宋_GB2312" w:eastAsia="仿宋_GB2312" w:cs="仿宋_GB2312"/>
          <w:b/>
          <w:bCs/>
          <w:spacing w:val="0"/>
          <w:w w:val="100"/>
          <w:sz w:val="32"/>
          <w:szCs w:val="32"/>
          <w:lang w:val="en-US" w:eastAsia="zh-CN"/>
        </w:rPr>
        <w:t>级</w:t>
      </w:r>
      <w:r>
        <w:rPr>
          <w:rFonts w:hint="eastAsia" w:ascii="仿宋_GB2312" w:hAnsi="仿宋_GB2312" w:eastAsia="仿宋_GB2312" w:cs="仿宋_GB2312"/>
          <w:b/>
          <w:bCs/>
          <w:spacing w:val="0"/>
          <w:w w:val="100"/>
          <w:sz w:val="32"/>
          <w:szCs w:val="32"/>
        </w:rPr>
        <w:t>工作机构</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县级政府根据本地实际，设立或明确食品安全事件应急处置工作机构。相邻的县</w:t>
      </w:r>
      <w:r>
        <w:rPr>
          <w:rFonts w:hint="eastAsia" w:ascii="仿宋_GB2312" w:hAnsi="仿宋_GB2312" w:eastAsia="仿宋_GB2312" w:cs="仿宋_GB2312"/>
          <w:spacing w:val="0"/>
          <w:w w:val="100"/>
          <w:sz w:val="32"/>
          <w:szCs w:val="32"/>
          <w:lang w:val="en-US" w:eastAsia="zh-CN"/>
        </w:rPr>
        <w:t>级</w:t>
      </w:r>
      <w:r>
        <w:rPr>
          <w:rFonts w:hint="eastAsia" w:ascii="仿宋_GB2312" w:hAnsi="仿宋_GB2312" w:eastAsia="仿宋_GB2312" w:cs="仿宋_GB2312"/>
          <w:spacing w:val="0"/>
          <w:w w:val="100"/>
          <w:sz w:val="32"/>
          <w:szCs w:val="32"/>
        </w:rPr>
        <w:t>政府应建立应急联动机制，鼓励成立联合指挥机构，共同做好区域性食品安全事件防范和应对工作。</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2.2.2 </w:t>
      </w:r>
      <w:r>
        <w:rPr>
          <w:rFonts w:hint="eastAsia" w:ascii="仿宋_GB2312" w:hAnsi="仿宋_GB2312" w:eastAsia="仿宋_GB2312" w:cs="仿宋_GB2312"/>
          <w:b/>
          <w:bCs/>
          <w:spacing w:val="0"/>
          <w:w w:val="100"/>
          <w:sz w:val="32"/>
          <w:szCs w:val="32"/>
        </w:rPr>
        <w:t>现场指挥机构</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食品安全事件发生后，事发地政府应立即启动应急响应，成立由本级政府负责人，相关部门负责人组成的现场指挥机构，组织、指挥、协调食品安全事件应急处置工作。</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较大及以上食品安全事件发生后，市级政府应设立现场指挥机构；一般及以上食品安全事件发生后，县级政府应设立现场指挥机构。</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2.3 </w:t>
      </w:r>
      <w:r>
        <w:rPr>
          <w:rFonts w:hint="eastAsia" w:ascii="楷体_GB2312" w:hAnsi="楷体_GB2312" w:eastAsia="楷体_GB2312" w:cs="楷体_GB2312"/>
          <w:spacing w:val="0"/>
          <w:w w:val="100"/>
          <w:sz w:val="32"/>
          <w:szCs w:val="32"/>
        </w:rPr>
        <w:t>技术支撑机构</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各级工作机构平时应建立食品安全事件应急处置专家库，事发后根据需要抽调有关专家组成专家组，为现场处置、医学救援、调查评估、舆论引导等工作提供技术支持。</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食品检验机构、认证机构，医疗机构、疾病预防控制机构等，是食品安全事件应急处置的科技支撑单位，在有关部门组织领导下开展应急检验检测、认证评估、医疗救治、流行病学调查、恢复重建等工作。</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lang w:val="en-US" w:eastAsia="zh-CN"/>
        </w:rPr>
        <w:t xml:space="preserve">    3 </w:t>
      </w:r>
      <w:r>
        <w:rPr>
          <w:rFonts w:hint="eastAsia" w:ascii="黑体" w:hAnsi="黑体" w:eastAsia="黑体" w:cs="黑体"/>
          <w:spacing w:val="0"/>
          <w:w w:val="100"/>
          <w:sz w:val="32"/>
          <w:szCs w:val="32"/>
        </w:rPr>
        <w:t>运行机制</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3.1 </w:t>
      </w:r>
      <w:r>
        <w:rPr>
          <w:rFonts w:hint="eastAsia" w:ascii="楷体_GB2312" w:hAnsi="楷体_GB2312" w:eastAsia="楷体_GB2312" w:cs="楷体_GB2312"/>
          <w:spacing w:val="0"/>
          <w:w w:val="100"/>
          <w:sz w:val="32"/>
          <w:szCs w:val="32"/>
        </w:rPr>
        <w:t>风险防控</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县级以上地方人民政府组织实施食品安全风险防控、隐患排查和专项治理，建立信息共享机制，及时分析食品安全形势；组织相关部门制定本地区食品安全年度监管计划，向社会公布并组织实施。</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各级市场监管部门根据食品安全风险监测、风险评估结果和食品安全状况等，实施风险分级管理，于每年年底对下一年度食品安全形势进行研判分析，提出防范措施建议，报本级党委、政府，抄送上级市场监管部门、本级应急管理部门。</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color w:val="auto"/>
          <w:spacing w:val="0"/>
          <w:w w:val="100"/>
          <w:sz w:val="32"/>
          <w:szCs w:val="32"/>
        </w:rPr>
      </w:pPr>
      <w:r>
        <w:rPr>
          <w:rFonts w:hint="eastAsia" w:ascii="仿宋_GB2312" w:hAnsi="仿宋_GB2312" w:eastAsia="仿宋_GB2312" w:cs="仿宋_GB2312"/>
          <w:spacing w:val="0"/>
          <w:w w:val="100"/>
          <w:sz w:val="32"/>
          <w:szCs w:val="32"/>
          <w:lang w:val="en-US" w:eastAsia="zh-CN"/>
        </w:rPr>
        <w:t xml:space="preserve">    市</w:t>
      </w:r>
      <w:r>
        <w:rPr>
          <w:rFonts w:hint="eastAsia" w:ascii="仿宋_GB2312" w:hAnsi="仿宋_GB2312" w:eastAsia="仿宋_GB2312" w:cs="仿宋_GB2312"/>
          <w:spacing w:val="0"/>
          <w:w w:val="100"/>
          <w:sz w:val="32"/>
          <w:szCs w:val="32"/>
        </w:rPr>
        <w:t>市场监管局于每年年初组织对上年度发生的食品安全事件进行全面评估，2月</w:t>
      </w:r>
      <w:r>
        <w:rPr>
          <w:rFonts w:hint="eastAsia" w:ascii="仿宋_GB2312" w:hAnsi="仿宋_GB2312" w:eastAsia="仿宋_GB2312" w:cs="仿宋_GB2312"/>
          <w:spacing w:val="0"/>
          <w:w w:val="100"/>
          <w:sz w:val="32"/>
          <w:szCs w:val="32"/>
          <w:lang w:val="en-US" w:eastAsia="zh-CN"/>
        </w:rPr>
        <w:t>中旬</w:t>
      </w:r>
      <w:r>
        <w:rPr>
          <w:rFonts w:hint="eastAsia" w:ascii="仿宋_GB2312" w:hAnsi="仿宋_GB2312" w:eastAsia="仿宋_GB2312" w:cs="仿宋_GB2312"/>
          <w:spacing w:val="0"/>
          <w:w w:val="100"/>
          <w:sz w:val="32"/>
          <w:szCs w:val="32"/>
        </w:rPr>
        <w:t>前向</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政府报告，抄送</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应急管理</w:t>
      </w:r>
      <w:r>
        <w:rPr>
          <w:rFonts w:hint="eastAsia" w:ascii="仿宋_GB2312" w:hAnsi="仿宋_GB2312" w:eastAsia="仿宋_GB2312" w:cs="仿宋_GB2312"/>
          <w:spacing w:val="0"/>
          <w:w w:val="100"/>
          <w:sz w:val="32"/>
          <w:szCs w:val="32"/>
          <w:lang w:val="en-US" w:eastAsia="zh-CN"/>
        </w:rPr>
        <w:t>局</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color w:val="auto"/>
          <w:spacing w:val="0"/>
          <w:w w:val="100"/>
          <w:sz w:val="32"/>
          <w:szCs w:val="32"/>
        </w:rPr>
        <w:t>县级党委、政府组织对本行政区域上年度食品安全事件进行全面评估，每年1月底前向</w:t>
      </w:r>
      <w:r>
        <w:rPr>
          <w:rFonts w:hint="eastAsia" w:ascii="仿宋_GB2312" w:hAnsi="仿宋_GB2312" w:eastAsia="仿宋_GB2312" w:cs="仿宋_GB2312"/>
          <w:color w:val="auto"/>
          <w:spacing w:val="0"/>
          <w:w w:val="100"/>
          <w:sz w:val="32"/>
          <w:szCs w:val="32"/>
          <w:lang w:val="en-US" w:eastAsia="zh-CN"/>
        </w:rPr>
        <w:t>市</w:t>
      </w:r>
      <w:r>
        <w:rPr>
          <w:rFonts w:hint="eastAsia" w:ascii="仿宋_GB2312" w:hAnsi="仿宋_GB2312" w:eastAsia="仿宋_GB2312" w:cs="仿宋_GB2312"/>
          <w:color w:val="auto"/>
          <w:spacing w:val="0"/>
          <w:w w:val="100"/>
          <w:sz w:val="32"/>
          <w:szCs w:val="32"/>
        </w:rPr>
        <w:t>委、</w:t>
      </w:r>
      <w:r>
        <w:rPr>
          <w:rFonts w:hint="eastAsia" w:ascii="仿宋_GB2312" w:hAnsi="仿宋_GB2312" w:eastAsia="仿宋_GB2312" w:cs="仿宋_GB2312"/>
          <w:color w:val="auto"/>
          <w:spacing w:val="0"/>
          <w:w w:val="100"/>
          <w:sz w:val="32"/>
          <w:szCs w:val="32"/>
          <w:lang w:val="en-US" w:eastAsia="zh-CN"/>
        </w:rPr>
        <w:t>市</w:t>
      </w:r>
      <w:r>
        <w:rPr>
          <w:rFonts w:hint="eastAsia" w:ascii="仿宋_GB2312" w:hAnsi="仿宋_GB2312" w:eastAsia="仿宋_GB2312" w:cs="仿宋_GB2312"/>
          <w:color w:val="auto"/>
          <w:spacing w:val="0"/>
          <w:w w:val="100"/>
          <w:sz w:val="32"/>
          <w:szCs w:val="32"/>
        </w:rPr>
        <w:t>政府报告，抄送</w:t>
      </w:r>
      <w:r>
        <w:rPr>
          <w:rFonts w:hint="eastAsia" w:ascii="仿宋_GB2312" w:hAnsi="仿宋_GB2312" w:eastAsia="仿宋_GB2312" w:cs="仿宋_GB2312"/>
          <w:color w:val="auto"/>
          <w:spacing w:val="0"/>
          <w:w w:val="100"/>
          <w:sz w:val="32"/>
          <w:szCs w:val="32"/>
          <w:lang w:val="en-US" w:eastAsia="zh-CN"/>
        </w:rPr>
        <w:t>市</w:t>
      </w:r>
      <w:r>
        <w:rPr>
          <w:rFonts w:hint="eastAsia" w:ascii="仿宋_GB2312" w:hAnsi="仿宋_GB2312" w:eastAsia="仿宋_GB2312" w:cs="仿宋_GB2312"/>
          <w:color w:val="auto"/>
          <w:spacing w:val="0"/>
          <w:w w:val="100"/>
          <w:sz w:val="32"/>
          <w:szCs w:val="32"/>
        </w:rPr>
        <w:t>应急管理</w:t>
      </w:r>
      <w:r>
        <w:rPr>
          <w:rFonts w:hint="eastAsia" w:ascii="仿宋_GB2312" w:hAnsi="仿宋_GB2312" w:eastAsia="仿宋_GB2312" w:cs="仿宋_GB2312"/>
          <w:color w:val="auto"/>
          <w:spacing w:val="0"/>
          <w:w w:val="100"/>
          <w:sz w:val="32"/>
          <w:szCs w:val="32"/>
          <w:lang w:val="en-US" w:eastAsia="zh-CN"/>
        </w:rPr>
        <w:t>局</w:t>
      </w:r>
      <w:r>
        <w:rPr>
          <w:rFonts w:hint="eastAsia" w:ascii="仿宋_GB2312" w:hAnsi="仿宋_GB2312" w:eastAsia="仿宋_GB2312" w:cs="仿宋_GB2312"/>
          <w:color w:val="auto"/>
          <w:spacing w:val="0"/>
          <w:w w:val="100"/>
          <w:sz w:val="32"/>
          <w:szCs w:val="32"/>
        </w:rPr>
        <w:t>和</w:t>
      </w:r>
      <w:r>
        <w:rPr>
          <w:rFonts w:hint="eastAsia" w:ascii="仿宋_GB2312" w:hAnsi="仿宋_GB2312" w:eastAsia="仿宋_GB2312" w:cs="仿宋_GB2312"/>
          <w:color w:val="auto"/>
          <w:spacing w:val="0"/>
          <w:w w:val="100"/>
          <w:sz w:val="32"/>
          <w:szCs w:val="32"/>
          <w:lang w:val="en-US" w:eastAsia="zh-CN"/>
        </w:rPr>
        <w:t>市</w:t>
      </w:r>
      <w:r>
        <w:rPr>
          <w:rFonts w:hint="eastAsia" w:ascii="仿宋_GB2312" w:hAnsi="仿宋_GB2312" w:eastAsia="仿宋_GB2312" w:cs="仿宋_GB2312"/>
          <w:color w:val="auto"/>
          <w:spacing w:val="0"/>
          <w:w w:val="100"/>
          <w:sz w:val="32"/>
          <w:szCs w:val="32"/>
        </w:rPr>
        <w:t>市场监督管理</w:t>
      </w:r>
      <w:r>
        <w:rPr>
          <w:rFonts w:hint="eastAsia" w:ascii="仿宋_GB2312" w:hAnsi="仿宋_GB2312" w:eastAsia="仿宋_GB2312" w:cs="仿宋_GB2312"/>
          <w:color w:val="auto"/>
          <w:spacing w:val="0"/>
          <w:w w:val="100"/>
          <w:sz w:val="32"/>
          <w:szCs w:val="32"/>
          <w:lang w:val="en-US" w:eastAsia="zh-CN"/>
        </w:rPr>
        <w:t>局</w:t>
      </w:r>
      <w:r>
        <w:rPr>
          <w:rFonts w:hint="eastAsia" w:ascii="仿宋_GB2312" w:hAnsi="仿宋_GB2312" w:eastAsia="仿宋_GB2312" w:cs="仿宋_GB2312"/>
          <w:color w:val="auto"/>
          <w:spacing w:val="0"/>
          <w:w w:val="100"/>
          <w:sz w:val="32"/>
          <w:szCs w:val="32"/>
        </w:rPr>
        <w:t>。</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3.2 </w:t>
      </w:r>
      <w:r>
        <w:rPr>
          <w:rFonts w:hint="eastAsia" w:ascii="楷体_GB2312" w:hAnsi="楷体_GB2312" w:eastAsia="楷体_GB2312" w:cs="楷体_GB2312"/>
          <w:spacing w:val="0"/>
          <w:w w:val="100"/>
          <w:sz w:val="32"/>
          <w:szCs w:val="32"/>
        </w:rPr>
        <w:t>监测预警</w:t>
      </w:r>
    </w:p>
    <w:p>
      <w:pPr>
        <w:pStyle w:val="9"/>
        <w:widowControl w:val="0"/>
        <w:numPr>
          <w:numId w:val="0"/>
        </w:numPr>
        <w:tabs>
          <w:tab w:val="left" w:pos="2252"/>
        </w:tabs>
        <w:wordWrap/>
        <w:autoSpaceDE w:val="0"/>
        <w:autoSpaceDN w:val="0"/>
        <w:adjustRightInd/>
        <w:snapToGrid w:val="0"/>
        <w:spacing w:before="0" w:after="0" w:line="580" w:lineRule="exact"/>
        <w:ind w:leftChars="0" w:right="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3.2.1 </w:t>
      </w:r>
      <w:r>
        <w:rPr>
          <w:rFonts w:hint="eastAsia" w:ascii="仿宋_GB2312" w:hAnsi="仿宋_GB2312" w:eastAsia="仿宋_GB2312" w:cs="仿宋_GB2312"/>
          <w:b/>
          <w:bCs/>
          <w:spacing w:val="0"/>
          <w:w w:val="100"/>
          <w:sz w:val="32"/>
          <w:szCs w:val="32"/>
        </w:rPr>
        <w:t>监测</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建立食品安全风险监测制度，对食源性疾病、食品污染以及食品中有害因素进行监测。</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卫生健康委会同有关部门，根据国家食品安全风险监测计划，结合我</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实际制定、调整全</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食品安全风险监测方案，报</w:t>
      </w:r>
      <w:r>
        <w:rPr>
          <w:rFonts w:hint="eastAsia" w:ascii="仿宋_GB2312" w:hAnsi="仿宋_GB2312" w:eastAsia="仿宋_GB2312" w:cs="仿宋_GB2312"/>
          <w:color w:val="auto"/>
          <w:spacing w:val="0"/>
          <w:w w:val="100"/>
          <w:sz w:val="32"/>
          <w:szCs w:val="32"/>
          <w:lang w:val="en-US" w:eastAsia="zh-CN"/>
        </w:rPr>
        <w:t>省</w:t>
      </w:r>
      <w:r>
        <w:rPr>
          <w:rFonts w:hint="eastAsia" w:ascii="仿宋_GB2312" w:hAnsi="仿宋_GB2312" w:eastAsia="仿宋_GB2312" w:cs="仿宋_GB2312"/>
          <w:spacing w:val="0"/>
          <w:w w:val="100"/>
          <w:sz w:val="32"/>
          <w:szCs w:val="32"/>
        </w:rPr>
        <w:t>卫生健康委备案并实施。</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3.2.2 </w:t>
      </w:r>
      <w:r>
        <w:rPr>
          <w:rFonts w:hint="eastAsia" w:ascii="仿宋_GB2312" w:hAnsi="仿宋_GB2312" w:eastAsia="仿宋_GB2312" w:cs="仿宋_GB2312"/>
          <w:b/>
          <w:bCs/>
          <w:spacing w:val="0"/>
          <w:w w:val="100"/>
          <w:sz w:val="32"/>
          <w:szCs w:val="32"/>
        </w:rPr>
        <w:t>评估</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建立食品安全风险评估制度，运用科学方法，根据食品安全风险监测信息、科学数据以及有关信息，对食品、食品添加剂、食品相关产品中生物性、化学性和物理性危害因素进行风险评估。</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卫生健康委组织食品安全风险评估工作，向社会公布风险评估结果。</w:t>
      </w:r>
    </w:p>
    <w:p>
      <w:pPr>
        <w:pStyle w:val="9"/>
        <w:widowControl w:val="0"/>
        <w:numPr>
          <w:numId w:val="0"/>
        </w:numPr>
        <w:tabs>
          <w:tab w:val="left" w:pos="2252"/>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3.2.3 </w:t>
      </w:r>
      <w:r>
        <w:rPr>
          <w:rFonts w:hint="eastAsia" w:ascii="仿宋_GB2312" w:hAnsi="仿宋_GB2312" w:eastAsia="仿宋_GB2312" w:cs="仿宋_GB2312"/>
          <w:b/>
          <w:bCs/>
          <w:spacing w:val="0"/>
          <w:w w:val="100"/>
          <w:sz w:val="32"/>
          <w:szCs w:val="32"/>
        </w:rPr>
        <w:t>预警</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各级政府及其有关部门监测到食品安全风险信息后，应组织分析研判，确定预警级别，及时向上一级党委、政府和相关部门报告，必要时可以越级上报。按照紧急程度、发展态势和可能造成的危害程度，食品安全事件预警级别由高到低分为一级、二级、三级、四级，分别用红色、橙色、黄色和蓝色表示。</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红色预警：预计将要发生特别重大食品安全事件，事件会随时发生，事态正在蔓延扩大。</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橙色预警：预计将要发生重大以上食品安全事件，事件即将发生，事态正在逐步扩大。</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黄色预警：预计将要发生较大以上食品安全事件，事件已经临近，事态有扩大的趋势。</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蓝色预警：预计将要发生一般以上食品安全事件，事件即将临近，事态可能会扩大。</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各级政府和有关部门应及时向有关方面通报提醒或警示信息。</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督管理局会同有关部门，根据食品安全风险评估结果、食品安全监管信息，对食品安全状况进行综合分析，对可能具有较高程度安全风险的食品，及时提出食品安全风险警示，并向社会公布。食品安全风险警示信息的影响限于特定区域的，由有关</w:t>
      </w:r>
      <w:r>
        <w:rPr>
          <w:rFonts w:hint="eastAsia" w:ascii="仿宋_GB2312" w:hAnsi="仿宋_GB2312" w:eastAsia="仿宋_GB2312" w:cs="仿宋_GB2312"/>
          <w:color w:val="000000"/>
          <w:spacing w:val="0"/>
          <w:w w:val="100"/>
          <w:sz w:val="32"/>
          <w:szCs w:val="32"/>
          <w:lang w:val="en-US" w:eastAsia="zh-CN"/>
        </w:rPr>
        <w:t>县级</w:t>
      </w:r>
      <w:r>
        <w:rPr>
          <w:rFonts w:hint="eastAsia" w:ascii="仿宋_GB2312" w:hAnsi="仿宋_GB2312" w:eastAsia="仿宋_GB2312" w:cs="仿宋_GB2312"/>
          <w:spacing w:val="0"/>
          <w:w w:val="100"/>
          <w:sz w:val="32"/>
          <w:szCs w:val="32"/>
        </w:rPr>
        <w:t>市场监督管理部门公布。</w:t>
      </w:r>
    </w:p>
    <w:p>
      <w:pPr>
        <w:pStyle w:val="9"/>
        <w:widowControl w:val="0"/>
        <w:numPr>
          <w:numId w:val="0"/>
        </w:numPr>
        <w:tabs>
          <w:tab w:val="left" w:pos="2252"/>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楷体_GB2312" w:hAnsi="楷体_GB2312" w:eastAsia="楷体_GB2312" w:cs="楷体_GB2312"/>
          <w:b w:val="0"/>
          <w:bCs w:val="0"/>
          <w:spacing w:val="0"/>
          <w:w w:val="100"/>
          <w:sz w:val="32"/>
          <w:szCs w:val="32"/>
        </w:rPr>
      </w:pPr>
      <w:r>
        <w:rPr>
          <w:rFonts w:hint="eastAsia" w:ascii="楷体_GB2312" w:hAnsi="楷体_GB2312" w:eastAsia="楷体_GB2312" w:cs="楷体_GB2312"/>
          <w:b w:val="0"/>
          <w:bCs w:val="0"/>
          <w:spacing w:val="0"/>
          <w:w w:val="100"/>
          <w:sz w:val="32"/>
          <w:szCs w:val="32"/>
          <w:lang w:val="en-US" w:eastAsia="zh-CN"/>
        </w:rPr>
        <w:t xml:space="preserve">    3.3 </w:t>
      </w:r>
      <w:r>
        <w:rPr>
          <w:rFonts w:hint="eastAsia" w:ascii="楷体_GB2312" w:hAnsi="楷体_GB2312" w:eastAsia="楷体_GB2312" w:cs="楷体_GB2312"/>
          <w:b w:val="0"/>
          <w:bCs w:val="0"/>
          <w:spacing w:val="0"/>
          <w:w w:val="100"/>
          <w:sz w:val="32"/>
          <w:szCs w:val="32"/>
        </w:rPr>
        <w:t>应急处置与救援</w:t>
      </w:r>
    </w:p>
    <w:p>
      <w:pPr>
        <w:pStyle w:val="9"/>
        <w:widowControl w:val="0"/>
        <w:numPr>
          <w:numId w:val="0"/>
        </w:numPr>
        <w:tabs>
          <w:tab w:val="left" w:pos="2252"/>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3.3.1 </w:t>
      </w:r>
      <w:r>
        <w:rPr>
          <w:rFonts w:hint="eastAsia" w:ascii="仿宋_GB2312" w:hAnsi="仿宋_GB2312" w:eastAsia="仿宋_GB2312" w:cs="仿宋_GB2312"/>
          <w:b/>
          <w:bCs/>
          <w:spacing w:val="0"/>
          <w:w w:val="100"/>
          <w:sz w:val="32"/>
          <w:szCs w:val="32"/>
        </w:rPr>
        <w:t>信息报告</w:t>
      </w:r>
    </w:p>
    <w:p>
      <w:pPr>
        <w:pStyle w:val="9"/>
        <w:widowControl w:val="0"/>
        <w:numPr>
          <w:numId w:val="0"/>
        </w:numPr>
        <w:tabs>
          <w:tab w:val="left" w:pos="2572"/>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3.3.1.1 </w:t>
      </w:r>
      <w:r>
        <w:rPr>
          <w:rFonts w:hint="eastAsia" w:ascii="仿宋_GB2312" w:hAnsi="仿宋_GB2312" w:eastAsia="仿宋_GB2312" w:cs="仿宋_GB2312"/>
          <w:spacing w:val="0"/>
          <w:w w:val="100"/>
          <w:sz w:val="32"/>
          <w:szCs w:val="32"/>
        </w:rPr>
        <w:t>报告主体和时限</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(1)</w:t>
      </w:r>
      <w:r>
        <w:rPr>
          <w:rFonts w:hint="eastAsia" w:ascii="仿宋_GB2312" w:hAnsi="仿宋_GB2312" w:eastAsia="仿宋_GB2312" w:cs="仿宋_GB2312"/>
          <w:spacing w:val="0"/>
          <w:w w:val="100"/>
          <w:sz w:val="32"/>
          <w:szCs w:val="32"/>
        </w:rPr>
        <w:t>发生食品安全事件的单位或获悉食品安全事件信息的单位，应当在2小时内向所在地县级市场监督管理部门报告。接收食品安全事件病人治疗的单位（医疗卫生机构），应当在2小时内向所在地县级卫生健康部门、市场监督管理部门报告。</w:t>
      </w:r>
    </w:p>
    <w:p>
      <w:pPr>
        <w:pStyle w:val="9"/>
        <w:widowControl w:val="0"/>
        <w:numPr>
          <w:numId w:val="0"/>
        </w:numPr>
        <w:tabs>
          <w:tab w:val="left" w:pos="0"/>
        </w:tabs>
        <w:wordWrap/>
        <w:autoSpaceDE w:val="0"/>
        <w:autoSpaceDN w:val="0"/>
        <w:adjustRightInd/>
        <w:snapToGrid w:val="0"/>
        <w:spacing w:before="0" w:after="0" w:line="580" w:lineRule="exact"/>
        <w:ind w:leftChars="0" w:right="25"/>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(2)</w:t>
      </w:r>
      <w:r>
        <w:rPr>
          <w:rFonts w:hint="eastAsia" w:ascii="仿宋_GB2312" w:hAnsi="仿宋_GB2312" w:eastAsia="仿宋_GB2312" w:cs="仿宋_GB2312"/>
          <w:spacing w:val="0"/>
          <w:w w:val="100"/>
          <w:sz w:val="32"/>
          <w:szCs w:val="32"/>
        </w:rPr>
        <w:t>医疗卫生机构发现其接收的病人属于食源性疾病病人或者疑似病人的，应当在2小时内将相关信息向所在地县级卫生健康部门报告。县级卫生健康部门经研判认为与食品安全相关的，应当立即通报同级市场监督管理部门。</w:t>
      </w:r>
    </w:p>
    <w:p>
      <w:pPr>
        <w:pStyle w:val="9"/>
        <w:widowControl w:val="0"/>
        <w:numPr>
          <w:numId w:val="0"/>
        </w:numPr>
        <w:tabs>
          <w:tab w:val="left" w:pos="0"/>
        </w:tabs>
        <w:wordWrap/>
        <w:autoSpaceDE w:val="0"/>
        <w:autoSpaceDN w:val="0"/>
        <w:adjustRightInd/>
        <w:snapToGrid w:val="0"/>
        <w:spacing w:before="0" w:after="0" w:line="580" w:lineRule="exact"/>
        <w:ind w:leftChars="0" w:right="25"/>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w:t>
      </w:r>
      <w:r>
        <w:rPr>
          <w:rFonts w:hint="eastAsia" w:ascii="仿宋_GB2312" w:hAnsi="仿宋_GB2312" w:eastAsia="仿宋_GB2312" w:cs="仿宋_GB2312"/>
          <w:spacing w:val="0"/>
          <w:w w:val="100"/>
          <w:sz w:val="32"/>
          <w:szCs w:val="32"/>
        </w:rPr>
        <w:t>卫生健康部门在调查处理传染病或者其他突发公共卫生事件中发现与食品安全相关的信息，应当立即通报同级市场监督管理部门。</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(4)</w:t>
      </w:r>
      <w:r>
        <w:rPr>
          <w:rFonts w:hint="eastAsia" w:ascii="仿宋_GB2312" w:hAnsi="仿宋_GB2312" w:eastAsia="仿宋_GB2312" w:cs="仿宋_GB2312"/>
          <w:spacing w:val="0"/>
          <w:w w:val="100"/>
          <w:sz w:val="32"/>
          <w:szCs w:val="32"/>
        </w:rPr>
        <w:t>相关部门发现食品安全事件或接到食品安全事件举报，应当立即通报同级市场监督管理部门；市场监督管理部门发现食品安全事件信息中涉及其他部门的，应当及时通报。</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(5)</w:t>
      </w:r>
      <w:r>
        <w:rPr>
          <w:rFonts w:hint="eastAsia" w:ascii="仿宋_GB2312" w:hAnsi="仿宋_GB2312" w:eastAsia="仿宋_GB2312" w:cs="仿宋_GB2312"/>
          <w:spacing w:val="0"/>
          <w:w w:val="100"/>
          <w:sz w:val="32"/>
          <w:szCs w:val="32"/>
        </w:rPr>
        <w:t>发生食品安全事件，接到报告的县级市场监督管理部门应在2小时内向本级党委、政府和上级市场监督管理部门报告。各级党委、政府和市场监督管理部门接到报告后，应在2小时内向上级党委、政府和市场监督管理部门报告，必要时可以越级上报。</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(6)一般</w:t>
      </w:r>
      <w:r>
        <w:rPr>
          <w:rFonts w:hint="eastAsia" w:ascii="仿宋_GB2312" w:hAnsi="仿宋_GB2312" w:eastAsia="仿宋_GB2312" w:cs="仿宋_GB2312"/>
          <w:spacing w:val="0"/>
          <w:w w:val="100"/>
          <w:sz w:val="32"/>
          <w:szCs w:val="32"/>
        </w:rPr>
        <w:t>及以上食品安全事件信息应及时报送</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w:t>
      </w:r>
      <w:r>
        <w:rPr>
          <w:rFonts w:hint="eastAsia" w:ascii="仿宋_GB2312" w:hAnsi="仿宋_GB2312" w:eastAsia="仿宋_GB2312" w:cs="仿宋_GB2312"/>
          <w:spacing w:val="0"/>
          <w:w w:val="100"/>
          <w:sz w:val="32"/>
          <w:szCs w:val="32"/>
          <w:lang w:val="en-US" w:eastAsia="zh-CN"/>
        </w:rPr>
        <w:t>县级</w:t>
      </w:r>
      <w:r>
        <w:rPr>
          <w:rFonts w:hint="eastAsia" w:ascii="仿宋_GB2312" w:hAnsi="仿宋_GB2312" w:eastAsia="仿宋_GB2312" w:cs="仿宋_GB2312"/>
          <w:spacing w:val="0"/>
          <w:w w:val="100"/>
          <w:sz w:val="32"/>
          <w:szCs w:val="32"/>
        </w:rPr>
        <w:t>党委、政府和</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市场监督管理局应全面掌握</w:t>
      </w:r>
      <w:r>
        <w:rPr>
          <w:rFonts w:hint="eastAsia" w:ascii="仿宋_GB2312" w:hAnsi="仿宋_GB2312" w:eastAsia="仿宋_GB2312" w:cs="仿宋_GB2312"/>
          <w:spacing w:val="0"/>
          <w:w w:val="100"/>
          <w:sz w:val="32"/>
          <w:szCs w:val="32"/>
          <w:lang w:val="en-US" w:eastAsia="zh-CN"/>
        </w:rPr>
        <w:t>一般</w:t>
      </w:r>
      <w:r>
        <w:rPr>
          <w:rFonts w:hint="eastAsia" w:ascii="仿宋_GB2312" w:hAnsi="仿宋_GB2312" w:eastAsia="仿宋_GB2312" w:cs="仿宋_GB2312"/>
          <w:spacing w:val="0"/>
          <w:w w:val="100"/>
          <w:sz w:val="32"/>
          <w:szCs w:val="32"/>
        </w:rPr>
        <w:t>及以上食品安全事件信息。</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color w:val="C00000"/>
          <w:spacing w:val="0"/>
          <w:w w:val="100"/>
          <w:sz w:val="32"/>
          <w:szCs w:val="32"/>
        </w:rPr>
      </w:pPr>
      <w:r>
        <w:rPr>
          <w:rFonts w:hint="eastAsia" w:ascii="仿宋_GB2312" w:hAnsi="仿宋_GB2312" w:eastAsia="仿宋_GB2312" w:cs="仿宋_GB2312"/>
          <w:color w:val="C00000"/>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lang w:val="en-US" w:eastAsia="zh-CN"/>
        </w:rPr>
        <w:t>(7)</w:t>
      </w:r>
      <w:r>
        <w:rPr>
          <w:rFonts w:hint="eastAsia" w:ascii="仿宋_GB2312" w:hAnsi="仿宋_GB2312" w:eastAsia="仿宋_GB2312" w:cs="仿宋_GB2312"/>
          <w:color w:val="auto"/>
          <w:spacing w:val="0"/>
          <w:w w:val="100"/>
          <w:sz w:val="32"/>
          <w:szCs w:val="32"/>
        </w:rPr>
        <w:t>特别重大、重大</w:t>
      </w:r>
      <w:r>
        <w:rPr>
          <w:rFonts w:hint="eastAsia" w:ascii="仿宋_GB2312" w:hAnsi="仿宋_GB2312" w:eastAsia="仿宋_GB2312" w:cs="仿宋_GB2312"/>
          <w:color w:val="auto"/>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较大</w:t>
      </w:r>
      <w:r>
        <w:rPr>
          <w:rFonts w:hint="eastAsia" w:ascii="仿宋_GB2312" w:hAnsi="仿宋_GB2312" w:eastAsia="仿宋_GB2312" w:cs="仿宋_GB2312"/>
          <w:color w:val="auto"/>
          <w:spacing w:val="0"/>
          <w:w w:val="100"/>
          <w:sz w:val="32"/>
          <w:szCs w:val="32"/>
        </w:rPr>
        <w:t>食品安全事件发生后，事发地党委、政府和市场监督管理部门可直接向</w:t>
      </w:r>
      <w:r>
        <w:rPr>
          <w:rFonts w:hint="eastAsia" w:ascii="仿宋_GB2312" w:hAnsi="仿宋_GB2312" w:eastAsia="仿宋_GB2312" w:cs="仿宋_GB2312"/>
          <w:color w:val="auto"/>
          <w:spacing w:val="0"/>
          <w:w w:val="100"/>
          <w:sz w:val="32"/>
          <w:szCs w:val="32"/>
          <w:lang w:val="en-US" w:eastAsia="zh-CN"/>
        </w:rPr>
        <w:t>市</w:t>
      </w:r>
      <w:r>
        <w:rPr>
          <w:rFonts w:hint="eastAsia" w:ascii="仿宋_GB2312" w:hAnsi="仿宋_GB2312" w:eastAsia="仿宋_GB2312" w:cs="仿宋_GB2312"/>
          <w:color w:val="auto"/>
          <w:spacing w:val="0"/>
          <w:w w:val="100"/>
          <w:sz w:val="32"/>
          <w:szCs w:val="32"/>
        </w:rPr>
        <w:t>委、</w:t>
      </w:r>
      <w:r>
        <w:rPr>
          <w:rFonts w:hint="eastAsia" w:ascii="仿宋_GB2312" w:hAnsi="仿宋_GB2312" w:eastAsia="仿宋_GB2312" w:cs="仿宋_GB2312"/>
          <w:color w:val="auto"/>
          <w:spacing w:val="0"/>
          <w:w w:val="100"/>
          <w:sz w:val="32"/>
          <w:szCs w:val="32"/>
          <w:lang w:val="en-US" w:eastAsia="zh-CN"/>
        </w:rPr>
        <w:t>市</w:t>
      </w:r>
      <w:r>
        <w:rPr>
          <w:rFonts w:hint="eastAsia" w:ascii="仿宋_GB2312" w:hAnsi="仿宋_GB2312" w:eastAsia="仿宋_GB2312" w:cs="仿宋_GB2312"/>
          <w:color w:val="auto"/>
          <w:spacing w:val="0"/>
          <w:w w:val="100"/>
          <w:sz w:val="32"/>
          <w:szCs w:val="32"/>
        </w:rPr>
        <w:t>政府和</w:t>
      </w:r>
      <w:r>
        <w:rPr>
          <w:rFonts w:hint="eastAsia" w:ascii="仿宋_GB2312" w:hAnsi="仿宋_GB2312" w:eastAsia="仿宋_GB2312" w:cs="仿宋_GB2312"/>
          <w:color w:val="auto"/>
          <w:spacing w:val="0"/>
          <w:w w:val="100"/>
          <w:sz w:val="32"/>
          <w:szCs w:val="32"/>
          <w:lang w:val="en-US" w:eastAsia="zh-CN"/>
        </w:rPr>
        <w:t>市</w:t>
      </w:r>
      <w:r>
        <w:rPr>
          <w:rFonts w:hint="eastAsia" w:ascii="仿宋_GB2312" w:hAnsi="仿宋_GB2312" w:eastAsia="仿宋_GB2312" w:cs="仿宋_GB2312"/>
          <w:color w:val="auto"/>
          <w:spacing w:val="0"/>
          <w:w w:val="100"/>
          <w:sz w:val="32"/>
          <w:szCs w:val="32"/>
        </w:rPr>
        <w:t>市场监督管理局报告，同时报告上一级党委、政府和市场监督管理部门。</w:t>
      </w:r>
    </w:p>
    <w:p>
      <w:pPr>
        <w:pStyle w:val="9"/>
        <w:widowControl w:val="0"/>
        <w:numPr>
          <w:numId w:val="0"/>
        </w:numPr>
        <w:tabs>
          <w:tab w:val="left" w:pos="0"/>
        </w:tabs>
        <w:wordWrap/>
        <w:autoSpaceDE w:val="0"/>
        <w:autoSpaceDN w:val="0"/>
        <w:adjustRightInd/>
        <w:snapToGrid w:val="0"/>
        <w:spacing w:before="0" w:after="0" w:line="580" w:lineRule="exact"/>
        <w:ind w:leftChars="0" w:right="669"/>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(8)</w:t>
      </w:r>
      <w:r>
        <w:rPr>
          <w:rFonts w:hint="eastAsia" w:ascii="仿宋_GB2312" w:hAnsi="仿宋_GB2312" w:eastAsia="仿宋_GB2312" w:cs="仿宋_GB2312"/>
          <w:spacing w:val="0"/>
          <w:w w:val="100"/>
          <w:sz w:val="32"/>
          <w:szCs w:val="32"/>
        </w:rPr>
        <w:t>任何单位和个人不得对食品安全事件隐瞒、谎报、缓报，不得隐匿、伪造、毁灭有关证据。</w:t>
      </w:r>
    </w:p>
    <w:p>
      <w:pPr>
        <w:pStyle w:val="9"/>
        <w:widowControl w:val="0"/>
        <w:numPr>
          <w:numId w:val="0"/>
        </w:numPr>
        <w:tabs>
          <w:tab w:val="left" w:pos="2572"/>
        </w:tabs>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3.3.1.2 </w:t>
      </w:r>
      <w:r>
        <w:rPr>
          <w:rFonts w:hint="eastAsia" w:ascii="仿宋_GB2312" w:hAnsi="仿宋_GB2312" w:eastAsia="仿宋_GB2312" w:cs="仿宋_GB2312"/>
          <w:spacing w:val="0"/>
          <w:w w:val="100"/>
          <w:sz w:val="32"/>
          <w:szCs w:val="32"/>
        </w:rPr>
        <w:t>报告内容</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报告食品安全事件信息，应按照“初报要素、续报详情、终报结果”的原则，分步骤分重点报告。初报应当包括事件发生时间、地点、单位、危害程度、伤亡人数、信息来源（含报告时间、报告单位联系人员及联系方式）、已采取措施、事件简要经过等内容；续报应当包括工作进展、调查详情、应对措施等内容，续报应随时进行。终报应当包括事件定性、事件产生原因分析、责任追究、工作教训等内容。</w:t>
      </w:r>
    </w:p>
    <w:p>
      <w:pPr>
        <w:pStyle w:val="9"/>
        <w:widowControl w:val="0"/>
        <w:numPr>
          <w:numId w:val="0"/>
        </w:numPr>
        <w:tabs>
          <w:tab w:val="left" w:pos="2252"/>
        </w:tabs>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3.3.2 </w:t>
      </w:r>
      <w:r>
        <w:rPr>
          <w:rFonts w:hint="eastAsia" w:ascii="仿宋_GB2312" w:hAnsi="仿宋_GB2312" w:eastAsia="仿宋_GB2312" w:cs="仿宋_GB2312"/>
          <w:b/>
          <w:bCs/>
          <w:spacing w:val="0"/>
          <w:w w:val="100"/>
          <w:sz w:val="32"/>
          <w:szCs w:val="32"/>
        </w:rPr>
        <w:t>处置措施</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事发单位应当立即组织本单位应急队伍和工作人员开展先期应急处置与救援工作，采取措施控制事态发展。</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县</w:t>
      </w:r>
      <w:r>
        <w:rPr>
          <w:rFonts w:hint="eastAsia" w:ascii="仿宋_GB2312" w:hAnsi="仿宋_GB2312" w:eastAsia="仿宋_GB2312" w:cs="仿宋_GB2312"/>
          <w:spacing w:val="0"/>
          <w:w w:val="100"/>
          <w:sz w:val="32"/>
          <w:szCs w:val="32"/>
          <w:lang w:val="en-US" w:eastAsia="zh-CN"/>
        </w:rPr>
        <w:t>级</w:t>
      </w:r>
      <w:r>
        <w:rPr>
          <w:rFonts w:hint="eastAsia" w:ascii="仿宋_GB2312" w:hAnsi="仿宋_GB2312" w:eastAsia="仿宋_GB2312" w:cs="仿宋_GB2312"/>
          <w:spacing w:val="0"/>
          <w:w w:val="100"/>
          <w:sz w:val="32"/>
          <w:szCs w:val="32"/>
        </w:rPr>
        <w:t>人民政府、市场监管部门接到食品安全事件报告后，在上报信息同时，应当立即会同相关部门进行调查处理，防止或者减轻事件危害。</w:t>
      </w:r>
      <w:r>
        <w:rPr>
          <w:rFonts w:hint="eastAsia" w:ascii="仿宋_GB2312" w:hAnsi="仿宋_GB2312" w:eastAsia="仿宋_GB2312" w:cs="仿宋_GB2312"/>
          <w:spacing w:val="0"/>
          <w:w w:val="100"/>
          <w:sz w:val="32"/>
          <w:szCs w:val="32"/>
          <w:lang w:val="en-US" w:eastAsia="zh-CN"/>
        </w:rPr>
        <w:t>一般</w:t>
      </w:r>
      <w:r>
        <w:rPr>
          <w:rFonts w:hint="eastAsia" w:ascii="仿宋_GB2312" w:hAnsi="仿宋_GB2312" w:eastAsia="仿宋_GB2312" w:cs="仿宋_GB2312"/>
          <w:spacing w:val="0"/>
          <w:w w:val="100"/>
          <w:sz w:val="32"/>
          <w:szCs w:val="32"/>
        </w:rPr>
        <w:t>及以下食品安全突发事件发生后，</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市场监督管理局根据事件处置情况，及时向</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食品安全委相关成员单位进行通报，相关单位按照各自职责，对当地处置食品安全事件过程予以指导协助。必要时，</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政府派出应急工作组指导协助事件处置工作。</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较大</w:t>
      </w:r>
      <w:r>
        <w:rPr>
          <w:rFonts w:hint="eastAsia" w:ascii="仿宋_GB2312" w:hAnsi="仿宋_GB2312" w:eastAsia="仿宋_GB2312" w:cs="仿宋_GB2312"/>
          <w:spacing w:val="0"/>
          <w:w w:val="100"/>
          <w:sz w:val="32"/>
          <w:szCs w:val="32"/>
        </w:rPr>
        <w:t>及以上食品安全突发事件发生后，报</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政府批准，立即启动相应级别响应，按照规定成立指挥部及相关工作组，组织开展下列应急处置措施。</w:t>
      </w:r>
    </w:p>
    <w:p>
      <w:pPr>
        <w:pStyle w:val="9"/>
        <w:widowControl w:val="0"/>
        <w:numPr>
          <w:numId w:val="0"/>
        </w:numPr>
        <w:tabs>
          <w:tab w:val="left" w:pos="2572"/>
        </w:tabs>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3.3.2.1 </w:t>
      </w:r>
      <w:r>
        <w:rPr>
          <w:rFonts w:hint="eastAsia" w:ascii="仿宋_GB2312" w:hAnsi="仿宋_GB2312" w:eastAsia="仿宋_GB2312" w:cs="仿宋_GB2312"/>
          <w:spacing w:val="0"/>
          <w:w w:val="100"/>
          <w:sz w:val="32"/>
          <w:szCs w:val="32"/>
        </w:rPr>
        <w:t>医学救援</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由医疗救治组负责，指导事发地有效利用医疗资源，组织指导医疗机构救治因食品安全事件导致人身伤害的人员。提出保护公众身体健康的措施建议，做好相关人员的心理援助。</w:t>
      </w:r>
    </w:p>
    <w:p>
      <w:pPr>
        <w:pStyle w:val="9"/>
        <w:widowControl w:val="0"/>
        <w:numPr>
          <w:numId w:val="0"/>
        </w:numPr>
        <w:tabs>
          <w:tab w:val="left" w:pos="2572"/>
        </w:tabs>
        <w:wordWrap/>
        <w:autoSpaceDE w:val="0"/>
        <w:autoSpaceDN w:val="0"/>
        <w:adjustRightInd/>
        <w:snapToGrid w:val="0"/>
        <w:spacing w:before="0" w:after="0" w:line="580" w:lineRule="exact"/>
        <w:ind w:leftChars="0" w:right="0"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3.3.2.2 </w:t>
      </w:r>
      <w:r>
        <w:rPr>
          <w:rFonts w:hint="eastAsia" w:ascii="仿宋_GB2312" w:hAnsi="仿宋_GB2312" w:eastAsia="仿宋_GB2312" w:cs="仿宋_GB2312"/>
          <w:spacing w:val="0"/>
          <w:w w:val="100"/>
          <w:sz w:val="32"/>
          <w:szCs w:val="32"/>
        </w:rPr>
        <w:t>现场处置</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由危害控制组负责，指导事发地有关部门，依法封存可能导致食品安全事件的食品及其原料和可能受到污染的工具、设备。待现场调查结束后，责令彻底清洗消毒被污染的场所以及用于食品生产经营的工具、设备，消除污染。</w:t>
      </w:r>
    </w:p>
    <w:p>
      <w:pPr>
        <w:pStyle w:val="9"/>
        <w:widowControl w:val="0"/>
        <w:numPr>
          <w:numId w:val="0"/>
        </w:numPr>
        <w:tabs>
          <w:tab w:val="left" w:pos="2572"/>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3.3.3.3 </w:t>
      </w:r>
      <w:r>
        <w:rPr>
          <w:rFonts w:hint="eastAsia" w:ascii="仿宋_GB2312" w:hAnsi="仿宋_GB2312" w:eastAsia="仿宋_GB2312" w:cs="仿宋_GB2312"/>
          <w:spacing w:val="0"/>
          <w:w w:val="100"/>
          <w:sz w:val="32"/>
          <w:szCs w:val="32"/>
        </w:rPr>
        <w:t>流行病学调查</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由事件调查组负责，及时组织对事发现场进行卫生处理，并对事件有关的因素开展流行病学调查。疾病预防控制机构在完成现场流行病学调查后，应当在2日内同时向同级市场监督管理、卫生</w:t>
      </w:r>
      <w:r>
        <w:rPr>
          <w:rFonts w:hint="eastAsia" w:ascii="仿宋_GB2312" w:hAnsi="仿宋_GB2312" w:eastAsia="仿宋_GB2312" w:cs="仿宋_GB2312"/>
          <w:spacing w:val="0"/>
          <w:w w:val="100"/>
          <w:sz w:val="32"/>
          <w:szCs w:val="32"/>
          <w:lang w:val="en-US" w:eastAsia="zh-CN"/>
        </w:rPr>
        <w:t>健康</w:t>
      </w:r>
      <w:r>
        <w:rPr>
          <w:rFonts w:hint="eastAsia" w:ascii="仿宋_GB2312" w:hAnsi="仿宋_GB2312" w:eastAsia="仿宋_GB2312" w:cs="仿宋_GB2312"/>
          <w:spacing w:val="0"/>
          <w:w w:val="100"/>
          <w:sz w:val="32"/>
          <w:szCs w:val="32"/>
        </w:rPr>
        <w:t>部门提交初步流行病学调查报告，并在7日内提交最终调查报告。当遇有客观条件无法开展流行病学调查时，应当如实记录并报告。</w:t>
      </w:r>
    </w:p>
    <w:p>
      <w:pPr>
        <w:pStyle w:val="9"/>
        <w:widowControl w:val="0"/>
        <w:numPr>
          <w:numId w:val="0"/>
        </w:numPr>
        <w:tabs>
          <w:tab w:val="left" w:pos="2572"/>
        </w:tabs>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3.3.3.4 </w:t>
      </w:r>
      <w:r>
        <w:rPr>
          <w:rFonts w:hint="eastAsia" w:ascii="仿宋_GB2312" w:hAnsi="仿宋_GB2312" w:eastAsia="仿宋_GB2312" w:cs="仿宋_GB2312"/>
          <w:spacing w:val="0"/>
          <w:w w:val="100"/>
          <w:sz w:val="32"/>
          <w:szCs w:val="32"/>
        </w:rPr>
        <w:t>检验检测</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由检测评估组负责，组织技术机构对疑似引发食品安全事件相关样品进行检验检测，尽快查找食品安全事件发生的原因。对确认属于被污染的食品及其原料，责令生产经营者依法召回、停止经营或无害化处理；对检验合格且确定与食品安全事件无关的，应依法予以解封。</w:t>
      </w:r>
    </w:p>
    <w:p>
      <w:pPr>
        <w:pStyle w:val="9"/>
        <w:widowControl w:val="0"/>
        <w:numPr>
          <w:numId w:val="0"/>
        </w:numPr>
        <w:tabs>
          <w:tab w:val="left" w:pos="2572"/>
        </w:tabs>
        <w:wordWrap/>
        <w:autoSpaceDE w:val="0"/>
        <w:autoSpaceDN w:val="0"/>
        <w:adjustRightInd/>
        <w:snapToGrid w:val="0"/>
        <w:spacing w:before="0" w:after="0" w:line="580" w:lineRule="exact"/>
        <w:ind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3.3.3.5 </w:t>
      </w:r>
      <w:r>
        <w:rPr>
          <w:rFonts w:hint="eastAsia" w:ascii="仿宋_GB2312" w:hAnsi="仿宋_GB2312" w:eastAsia="仿宋_GB2312" w:cs="仿宋_GB2312"/>
          <w:spacing w:val="0"/>
          <w:w w:val="100"/>
          <w:sz w:val="32"/>
          <w:szCs w:val="32"/>
        </w:rPr>
        <w:t>事件调查</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由事件调查组负责，组织有关部门进行事件调查，向</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委、</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政府和</w:t>
      </w:r>
      <w:r>
        <w:rPr>
          <w:rFonts w:hint="eastAsia" w:ascii="仿宋_GB2312" w:hAnsi="仿宋_GB2312" w:eastAsia="仿宋_GB2312" w:cs="仿宋_GB2312"/>
          <w:spacing w:val="0"/>
          <w:w w:val="100"/>
          <w:sz w:val="32"/>
          <w:szCs w:val="32"/>
          <w:lang w:val="en-US" w:eastAsia="zh-CN"/>
        </w:rPr>
        <w:t>省</w:t>
      </w:r>
      <w:r>
        <w:rPr>
          <w:rFonts w:hint="eastAsia" w:ascii="仿宋_GB2312" w:hAnsi="仿宋_GB2312" w:eastAsia="仿宋_GB2312" w:cs="仿宋_GB2312"/>
          <w:spacing w:val="0"/>
          <w:w w:val="100"/>
          <w:sz w:val="32"/>
          <w:szCs w:val="32"/>
        </w:rPr>
        <w:t>市场监督管理局提出事件责任调查处理报告。</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调查食品安全事件，除了查明事件单位的责任，还应当查明有关监督管理部门、食品检验机构、认证机构及其工作人员的责任。对涉嫌犯罪的，公安机关应及时介入。</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3.3.4 </w:t>
      </w:r>
      <w:r>
        <w:rPr>
          <w:rFonts w:hint="eastAsia" w:ascii="仿宋_GB2312" w:hAnsi="仿宋_GB2312" w:eastAsia="仿宋_GB2312" w:cs="仿宋_GB2312"/>
          <w:b/>
          <w:bCs/>
          <w:spacing w:val="0"/>
          <w:w w:val="100"/>
          <w:sz w:val="32"/>
          <w:szCs w:val="32"/>
        </w:rPr>
        <w:t>信息发布和舆论引导</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事发地党委、政府或应急工作</w:t>
      </w:r>
      <w:r>
        <w:rPr>
          <w:rFonts w:hint="eastAsia" w:ascii="仿宋_GB2312" w:hAnsi="仿宋_GB2312" w:eastAsia="仿宋_GB2312" w:cs="仿宋_GB2312"/>
          <w:spacing w:val="0"/>
          <w:w w:val="100"/>
          <w:sz w:val="32"/>
          <w:szCs w:val="32"/>
          <w:lang w:val="en-US" w:eastAsia="zh-CN"/>
        </w:rPr>
        <w:t>指挥部</w:t>
      </w:r>
      <w:r>
        <w:rPr>
          <w:rFonts w:hint="eastAsia" w:ascii="仿宋_GB2312" w:hAnsi="仿宋_GB2312" w:eastAsia="仿宋_GB2312" w:cs="仿宋_GB2312"/>
          <w:spacing w:val="0"/>
          <w:w w:val="100"/>
          <w:sz w:val="32"/>
          <w:szCs w:val="32"/>
        </w:rPr>
        <w:t>在食品安全事件发生后第一时间通过权威媒体向社会发布简要信息，最迟要在5个小时内发布权威信息，随后发布初步核实情况、政府应对措施和公众防范措施等。</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对涉及</w:t>
      </w:r>
      <w:r>
        <w:rPr>
          <w:rFonts w:hint="eastAsia" w:ascii="仿宋_GB2312" w:hAnsi="仿宋_GB2312" w:eastAsia="仿宋_GB2312" w:cs="仿宋_GB2312"/>
          <w:spacing w:val="0"/>
          <w:w w:val="100"/>
          <w:sz w:val="32"/>
          <w:szCs w:val="32"/>
          <w:lang w:val="en-US" w:eastAsia="zh-CN"/>
        </w:rPr>
        <w:t>较大</w:t>
      </w:r>
      <w:r>
        <w:rPr>
          <w:rFonts w:hint="eastAsia" w:ascii="仿宋_GB2312" w:hAnsi="仿宋_GB2312" w:eastAsia="仿宋_GB2312" w:cs="仿宋_GB2312"/>
          <w:spacing w:val="0"/>
          <w:w w:val="100"/>
          <w:sz w:val="32"/>
          <w:szCs w:val="32"/>
        </w:rPr>
        <w:t>及以上突发事件的信息发布和舆情引导，由舆情引导组负责，通过政府授权发布新闻发布稿、接受记者采访、举行新闻发布会、组织专家解读等形式，借助各类媒介，主动、及时、准确、客观向社会发布事件信息，回应社会关切，澄清不实信息，正确引导社会舆论。加强网络媒体和移动新媒体信息发布内容管理和舆情分析，引导公众依法、客观发表意见，形成积极健康的社会舆论。未经</w:t>
      </w:r>
      <w:r>
        <w:rPr>
          <w:rFonts w:hint="eastAsia" w:ascii="仿宋_GB2312" w:hAnsi="仿宋_GB2312" w:eastAsia="仿宋_GB2312" w:cs="仿宋_GB2312"/>
          <w:spacing w:val="0"/>
          <w:w w:val="100"/>
          <w:sz w:val="32"/>
          <w:szCs w:val="32"/>
          <w:lang w:val="en-US" w:eastAsia="zh-CN"/>
        </w:rPr>
        <w:t>应急工作指挥部</w:t>
      </w:r>
      <w:r>
        <w:rPr>
          <w:rFonts w:hint="eastAsia" w:ascii="仿宋_GB2312" w:hAnsi="仿宋_GB2312" w:eastAsia="仿宋_GB2312" w:cs="仿宋_GB2312"/>
          <w:spacing w:val="0"/>
          <w:w w:val="100"/>
          <w:sz w:val="32"/>
          <w:szCs w:val="32"/>
        </w:rPr>
        <w:t>批准，参与食品安全事件应急处置工作的各有关单位和个人不得擅自对外发布相关信息。任何单位和个人不得编造、传播食品安全事件虚假信息。</w:t>
      </w:r>
    </w:p>
    <w:p>
      <w:pPr>
        <w:pStyle w:val="9"/>
        <w:widowControl w:val="0"/>
        <w:numPr>
          <w:numId w:val="0"/>
        </w:numPr>
        <w:wordWrap/>
        <w:autoSpaceDE w:val="0"/>
        <w:autoSpaceDN w:val="0"/>
        <w:adjustRightInd/>
        <w:snapToGrid w:val="0"/>
        <w:spacing w:before="0" w:after="0" w:line="580" w:lineRule="exact"/>
        <w:ind w:leftChars="0" w:right="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3.3.5 </w:t>
      </w:r>
      <w:r>
        <w:rPr>
          <w:rFonts w:hint="eastAsia" w:ascii="仿宋_GB2312" w:hAnsi="仿宋_GB2312" w:eastAsia="仿宋_GB2312" w:cs="仿宋_GB2312"/>
          <w:b/>
          <w:bCs/>
          <w:spacing w:val="0"/>
          <w:w w:val="100"/>
          <w:sz w:val="32"/>
          <w:szCs w:val="32"/>
        </w:rPr>
        <w:t>维护社会稳定</w:t>
      </w:r>
    </w:p>
    <w:p>
      <w:pPr>
        <w:pStyle w:val="2"/>
        <w:widowControl w:val="0"/>
        <w:wordWrap/>
        <w:autoSpaceDE w:val="0"/>
        <w:autoSpaceDN w:val="0"/>
        <w:adjustRightInd/>
        <w:snapToGrid w:val="0"/>
        <w:spacing w:before="0" w:after="0" w:line="580" w:lineRule="exact"/>
        <w:ind w:leftChars="0" w:right="25"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由社会稳定组负责，指导事发地公安机关加强对救助患者的医疗卫生机构、涉事生产经营单位等重点区域治安管控，依法查处借机传播谣言、制造社会恐慌、哄抢物资等违法犯罪行为，做好矛盾纠纷化解工作。</w:t>
      </w:r>
    </w:p>
    <w:p>
      <w:pPr>
        <w:pStyle w:val="9"/>
        <w:widowControl w:val="0"/>
        <w:numPr>
          <w:numId w:val="0"/>
        </w:numPr>
        <w:tabs>
          <w:tab w:val="left" w:pos="0"/>
        </w:tabs>
        <w:wordWrap/>
        <w:autoSpaceDE w:val="0"/>
        <w:autoSpaceDN w:val="0"/>
        <w:adjustRightInd/>
        <w:snapToGrid w:val="0"/>
        <w:spacing w:before="0" w:after="0" w:line="580" w:lineRule="exact"/>
        <w:ind w:leftChars="0" w:right="0"/>
        <w:jc w:val="both"/>
        <w:textAlignment w:val="auto"/>
        <w:outlineLvl w:val="9"/>
        <w:rPr>
          <w:rFonts w:hint="eastAsia" w:ascii="仿宋_GB2312" w:hAnsi="仿宋_GB2312" w:eastAsia="仿宋_GB2312" w:cs="仿宋_GB2312"/>
          <w:b/>
          <w:bCs/>
          <w:spacing w:val="0"/>
          <w:w w:val="100"/>
          <w:sz w:val="32"/>
          <w:szCs w:val="32"/>
        </w:rPr>
      </w:pPr>
      <w:r>
        <w:rPr>
          <w:rFonts w:hint="eastAsia" w:ascii="仿宋_GB2312" w:hAnsi="仿宋_GB2312" w:eastAsia="仿宋_GB2312" w:cs="仿宋_GB2312"/>
          <w:b/>
          <w:bCs/>
          <w:spacing w:val="0"/>
          <w:w w:val="100"/>
          <w:sz w:val="32"/>
          <w:szCs w:val="32"/>
          <w:lang w:val="en-US" w:eastAsia="zh-CN"/>
        </w:rPr>
        <w:t xml:space="preserve">    3.3.6 </w:t>
      </w:r>
      <w:r>
        <w:rPr>
          <w:rFonts w:hint="eastAsia" w:ascii="仿宋_GB2312" w:hAnsi="仿宋_GB2312" w:eastAsia="仿宋_GB2312" w:cs="仿宋_GB2312"/>
          <w:b/>
          <w:bCs/>
          <w:spacing w:val="0"/>
          <w:w w:val="100"/>
          <w:sz w:val="32"/>
          <w:szCs w:val="32"/>
        </w:rPr>
        <w:t>应急解除</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当食品安全事件得到控制，且达到如下两项标准，经指挥部办公室组织专家组分析评估认为可解除响应的，事发地党委、政府或应急指挥部可宣布应急响应结束。</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(1)</w:t>
      </w:r>
      <w:r>
        <w:rPr>
          <w:rFonts w:hint="eastAsia" w:ascii="仿宋_GB2312" w:hAnsi="仿宋_GB2312" w:eastAsia="仿宋_GB2312" w:cs="仿宋_GB2312"/>
          <w:spacing w:val="0"/>
          <w:w w:val="100"/>
          <w:sz w:val="32"/>
          <w:szCs w:val="32"/>
        </w:rPr>
        <w:t>食品安全事件伤病员全部得到救治，原患者病情稳定24小时以上，且无新的急性病症患者出现，食源性感染性疾病在末例患者后经过最长潜伏期无新病例出现；</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(2)</w:t>
      </w:r>
      <w:r>
        <w:rPr>
          <w:rFonts w:hint="eastAsia" w:ascii="仿宋_GB2312" w:hAnsi="仿宋_GB2312" w:eastAsia="仿宋_GB2312" w:cs="仿宋_GB2312"/>
          <w:spacing w:val="0"/>
          <w:w w:val="100"/>
          <w:sz w:val="32"/>
          <w:szCs w:val="32"/>
        </w:rPr>
        <w:t>事发现场得到有效控制，受污染食品得到有效清理并符合相关标准，次生、衍生事件隐患消除。</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3.4 </w:t>
      </w:r>
      <w:r>
        <w:rPr>
          <w:rFonts w:hint="eastAsia" w:ascii="楷体_GB2312" w:hAnsi="楷体_GB2312" w:eastAsia="楷体_GB2312" w:cs="楷体_GB2312"/>
          <w:spacing w:val="0"/>
          <w:w w:val="100"/>
          <w:sz w:val="32"/>
          <w:szCs w:val="32"/>
        </w:rPr>
        <w:t>善后处置</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事发地政府及有关部门要积极稳妥、深入细致地做好善后处置工作，消除事件影响，恢复正常秩序；完善相关政策，促进行业健康发展。</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政府有关部门协助事发地政府做好</w:t>
      </w:r>
      <w:r>
        <w:rPr>
          <w:rFonts w:hint="eastAsia" w:ascii="仿宋_GB2312" w:hAnsi="仿宋_GB2312" w:eastAsia="仿宋_GB2312" w:cs="仿宋_GB2312"/>
          <w:spacing w:val="0"/>
          <w:w w:val="100"/>
          <w:sz w:val="32"/>
          <w:szCs w:val="32"/>
          <w:lang w:val="en-US" w:eastAsia="zh-CN"/>
        </w:rPr>
        <w:t>较大</w:t>
      </w:r>
      <w:r>
        <w:rPr>
          <w:rFonts w:hint="eastAsia" w:ascii="仿宋_GB2312" w:hAnsi="仿宋_GB2312" w:eastAsia="仿宋_GB2312" w:cs="仿宋_GB2312"/>
          <w:spacing w:val="0"/>
          <w:w w:val="100"/>
          <w:sz w:val="32"/>
          <w:szCs w:val="32"/>
        </w:rPr>
        <w:t>及以上食品安全事件善后处置工作。</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食品安全突发事件发生后，保险机构应当及时开展应急救援人员保险受理和受害人员保险理赔工作。</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造成食品安全事件的责任单位和责任人应当按照有关规定对受害人给予赔偿，承担受害人后续治疗及保障等所需费用。</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3.5 </w:t>
      </w:r>
      <w:r>
        <w:rPr>
          <w:rFonts w:hint="eastAsia" w:ascii="楷体_GB2312" w:hAnsi="楷体_GB2312" w:eastAsia="楷体_GB2312" w:cs="楷体_GB2312"/>
          <w:spacing w:val="0"/>
          <w:w w:val="100"/>
          <w:sz w:val="32"/>
          <w:szCs w:val="32"/>
        </w:rPr>
        <w:t>责任追究</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对食品安全突发事件相关的地方政府和单位领导班子、领导干部未正确履行食品安全监管职责，致使发生食品安全事件的，按照有关法律法规</w:t>
      </w:r>
      <w:r>
        <w:rPr>
          <w:rFonts w:hint="eastAsia" w:ascii="仿宋_GB2312" w:hAnsi="仿宋_GB2312" w:eastAsia="仿宋_GB2312" w:cs="仿宋_GB2312"/>
          <w:spacing w:val="0"/>
          <w:w w:val="100"/>
          <w:sz w:val="32"/>
          <w:szCs w:val="32"/>
          <w:lang w:val="en-US" w:eastAsia="zh-CN"/>
        </w:rPr>
        <w:t>和党纪政纪规定</w:t>
      </w:r>
      <w:r>
        <w:rPr>
          <w:rFonts w:hint="eastAsia" w:ascii="仿宋_GB2312" w:hAnsi="仿宋_GB2312" w:eastAsia="仿宋_GB2312" w:cs="仿宋_GB2312"/>
          <w:spacing w:val="0"/>
          <w:w w:val="100"/>
          <w:sz w:val="32"/>
          <w:szCs w:val="32"/>
        </w:rPr>
        <w:t>进行责任追究。</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对隐瞒、谎报、缓报食品安全突发事件重要情况或在应急处置工作中有其他失职、渎职行为的，依法追究有关责任单位或责任人的责任，构成犯罪的，依法追究刑事责任。</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事件发生单位及相关食品生产经营企业在发生食品安全突发事件后未及时进行处置、报告的，或隐匿、伪造、毁灭有关证据，造成严重后果的，依法追究相应责任。</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3.6 </w:t>
      </w:r>
      <w:r>
        <w:rPr>
          <w:rFonts w:hint="eastAsia" w:ascii="楷体_GB2312" w:hAnsi="楷体_GB2312" w:eastAsia="楷体_GB2312" w:cs="楷体_GB2312"/>
          <w:spacing w:val="0"/>
          <w:w w:val="100"/>
          <w:sz w:val="32"/>
          <w:szCs w:val="32"/>
        </w:rPr>
        <w:t>总结评估</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食品安全突发事件善后处置结束后，相关政府食安办要组织食品安全委成员单位及相关部门及时分析发生突发食品安全事件原因，总结教训，提出类似事件防范和处置建议，完成总结评估报告。必要时，采取适当方式向社会公布，并通报相关县级政府及相关部门。</w:t>
      </w:r>
    </w:p>
    <w:p>
      <w:pPr>
        <w:pStyle w:val="2"/>
        <w:widowControl w:val="0"/>
        <w:wordWrap/>
        <w:autoSpaceDE w:val="0"/>
        <w:autoSpaceDN w:val="0"/>
        <w:adjustRightInd/>
        <w:snapToGrid w:val="0"/>
        <w:spacing w:before="0" w:after="0" w:line="580" w:lineRule="exact"/>
        <w:ind w:leftChars="0" w:right="669" w:firstLine="640" w:firstLineChars="200"/>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lang w:val="en-US" w:eastAsia="zh-CN"/>
        </w:rPr>
        <w:t xml:space="preserve">4 </w:t>
      </w:r>
      <w:r>
        <w:rPr>
          <w:rFonts w:hint="eastAsia" w:ascii="黑体" w:hAnsi="黑体" w:eastAsia="黑体" w:cs="黑体"/>
          <w:spacing w:val="0"/>
          <w:w w:val="100"/>
          <w:sz w:val="32"/>
          <w:szCs w:val="32"/>
        </w:rPr>
        <w:t>应急保障</w:t>
      </w:r>
    </w:p>
    <w:p>
      <w:pPr>
        <w:pStyle w:val="2"/>
        <w:widowControl w:val="0"/>
        <w:wordWrap/>
        <w:autoSpaceDE w:val="0"/>
        <w:autoSpaceDN w:val="0"/>
        <w:adjustRightInd/>
        <w:snapToGrid w:val="0"/>
        <w:spacing w:before="0" w:after="0" w:line="580" w:lineRule="exact"/>
        <w:ind w:leftChars="0" w:right="669"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4.1 </w:t>
      </w:r>
      <w:r>
        <w:rPr>
          <w:rFonts w:hint="eastAsia" w:ascii="楷体_GB2312" w:hAnsi="楷体_GB2312" w:eastAsia="楷体_GB2312" w:cs="楷体_GB2312"/>
          <w:spacing w:val="0"/>
          <w:w w:val="100"/>
          <w:sz w:val="32"/>
          <w:szCs w:val="32"/>
        </w:rPr>
        <w:t>人员保障</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各级市场监管部门应加强应急处置专业力量建设，提高快速响应和应对处置能力，相关行业领域应急队伍应积极参加食品安全事件应急处置工作。健全专家队伍，为事故核实、级别核定、评估预警和应急处置等工作提供人才支撑。技术机构、集中供餐单位、食品生产经营企业应开展食品安全事件应急处置培训，提升应急管理能力和水平。</w:t>
      </w:r>
    </w:p>
    <w:p>
      <w:pPr>
        <w:pStyle w:val="9"/>
        <w:widowControl w:val="0"/>
        <w:numPr>
          <w:numId w:val="0"/>
        </w:numPr>
        <w:tabs>
          <w:tab w:val="left" w:pos="0"/>
        </w:tabs>
        <w:wordWrap/>
        <w:autoSpaceDE w:val="0"/>
        <w:autoSpaceDN w:val="0"/>
        <w:adjustRightInd/>
        <w:snapToGrid w:val="0"/>
        <w:spacing w:before="0" w:after="0" w:line="580" w:lineRule="exact"/>
        <w:ind w:leftChars="0" w:right="0"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4.2 </w:t>
      </w:r>
      <w:r>
        <w:rPr>
          <w:rFonts w:hint="eastAsia" w:ascii="楷体_GB2312" w:hAnsi="楷体_GB2312" w:eastAsia="楷体_GB2312" w:cs="楷体_GB2312"/>
          <w:spacing w:val="0"/>
          <w:w w:val="100"/>
          <w:sz w:val="32"/>
          <w:szCs w:val="32"/>
        </w:rPr>
        <w:t>物资经费保障</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县级以上地方人民政府统筹做好食品安全事故应急处置所需物资装备的储备调用工作；食品安全事件防范、应急演练和应对处置等工作所需经费，应列入同级财政预算。</w:t>
      </w:r>
    </w:p>
    <w:p>
      <w:pPr>
        <w:pStyle w:val="9"/>
        <w:widowControl w:val="0"/>
        <w:numPr>
          <w:numId w:val="0"/>
        </w:numPr>
        <w:tabs>
          <w:tab w:val="left" w:pos="0"/>
        </w:tabs>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4.3 </w:t>
      </w:r>
      <w:r>
        <w:rPr>
          <w:rFonts w:hint="eastAsia" w:ascii="楷体_GB2312" w:hAnsi="楷体_GB2312" w:eastAsia="楷体_GB2312" w:cs="楷体_GB2312"/>
          <w:spacing w:val="0"/>
          <w:w w:val="100"/>
          <w:sz w:val="32"/>
          <w:szCs w:val="32"/>
        </w:rPr>
        <w:t>医疗保障</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卫生健康部门建立功能完善、反应灵敏、运转协调、持续发展的医疗救治体系，在食品安全事件造成人员伤害时迅速开展医疗救治。</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楷体_GB2312" w:hAnsi="楷体_GB2312" w:eastAsia="楷体_GB2312" w:cs="楷体_GB2312"/>
          <w:spacing w:val="0"/>
          <w:w w:val="100"/>
          <w:sz w:val="32"/>
          <w:szCs w:val="32"/>
          <w:lang w:val="en-US" w:eastAsia="zh-CN"/>
        </w:rPr>
      </w:pPr>
      <w:r>
        <w:rPr>
          <w:rFonts w:hint="eastAsia" w:ascii="楷体_GB2312" w:hAnsi="楷体_GB2312" w:eastAsia="楷体_GB2312" w:cs="楷体_GB2312"/>
          <w:spacing w:val="0"/>
          <w:w w:val="100"/>
          <w:sz w:val="32"/>
          <w:szCs w:val="32"/>
          <w:lang w:val="en-US" w:eastAsia="zh-CN"/>
        </w:rPr>
        <w:t>4.4 技术保障</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lang w:val="en-US" w:eastAsia="zh-CN" w:bidi="ar-SA"/>
        </w:rPr>
      </w:pPr>
      <w:r>
        <w:rPr>
          <w:rFonts w:hint="eastAsia" w:ascii="仿宋_GB2312" w:hAnsi="仿宋_GB2312" w:eastAsia="仿宋_GB2312" w:cs="仿宋_GB2312"/>
          <w:spacing w:val="0"/>
          <w:w w:val="100"/>
          <w:sz w:val="32"/>
          <w:szCs w:val="32"/>
          <w:lang w:val="en-US" w:eastAsia="zh-CN"/>
        </w:rPr>
        <w:t>加强食品安全事件信息直报系统推广、运用，提升信息报送的时效性。市卫生健康委组织完善风险评估基础数据库，健全食源性疾病监测体系。推进食品安全专业技术机构能力建设，健全各级食品和农产品质量安全检验检测体系，提升应急处置能力。</w:t>
      </w:r>
    </w:p>
    <w:p>
      <w:pPr>
        <w:pStyle w:val="9"/>
        <w:widowControl w:val="0"/>
        <w:numPr>
          <w:numId w:val="0"/>
        </w:numPr>
        <w:tabs>
          <w:tab w:val="left" w:pos="0"/>
          <w:tab w:val="left" w:pos="220"/>
        </w:tabs>
        <w:wordWrap/>
        <w:autoSpaceDE w:val="0"/>
        <w:autoSpaceDN w:val="0"/>
        <w:adjustRightInd/>
        <w:snapToGrid w:val="0"/>
        <w:spacing w:before="0" w:after="0" w:line="580" w:lineRule="exact"/>
        <w:ind w:leftChars="0" w:right="0" w:firstLine="640" w:firstLineChars="200"/>
        <w:jc w:val="both"/>
        <w:textAlignment w:val="auto"/>
        <w:outlineLvl w:val="9"/>
        <w:rPr>
          <w:rFonts w:hint="eastAsia" w:ascii="黑体" w:hAnsi="黑体" w:eastAsia="黑体" w:cs="黑体"/>
          <w:spacing w:val="0"/>
          <w:w w:val="100"/>
          <w:sz w:val="32"/>
          <w:szCs w:val="32"/>
        </w:rPr>
      </w:pPr>
      <w:r>
        <w:rPr>
          <w:rFonts w:hint="eastAsia" w:ascii="黑体" w:hAnsi="黑体" w:eastAsia="黑体" w:cs="黑体"/>
          <w:spacing w:val="0"/>
          <w:w w:val="100"/>
          <w:sz w:val="32"/>
          <w:szCs w:val="32"/>
          <w:lang w:val="en-US" w:eastAsia="zh-CN" w:bidi="ar-SA"/>
        </w:rPr>
        <w:t xml:space="preserve">5 </w:t>
      </w:r>
      <w:r>
        <w:rPr>
          <w:rFonts w:hint="eastAsia" w:ascii="黑体" w:hAnsi="黑体" w:eastAsia="黑体" w:cs="黑体"/>
          <w:spacing w:val="0"/>
          <w:w w:val="100"/>
          <w:sz w:val="32"/>
          <w:szCs w:val="32"/>
        </w:rPr>
        <w:t>预案管理</w:t>
      </w:r>
    </w:p>
    <w:p>
      <w:pPr>
        <w:pStyle w:val="9"/>
        <w:widowControl w:val="0"/>
        <w:numPr>
          <w:numId w:val="0"/>
        </w:numPr>
        <w:tabs>
          <w:tab w:val="left" w:pos="0"/>
        </w:tabs>
        <w:wordWrap/>
        <w:autoSpaceDE w:val="0"/>
        <w:autoSpaceDN w:val="0"/>
        <w:adjustRightInd/>
        <w:snapToGrid w:val="0"/>
        <w:spacing w:before="0" w:after="0" w:line="580" w:lineRule="exact"/>
        <w:ind w:leftChars="0" w:right="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5.1 </w:t>
      </w:r>
      <w:r>
        <w:rPr>
          <w:rFonts w:hint="eastAsia" w:ascii="楷体_GB2312" w:hAnsi="楷体_GB2312" w:eastAsia="楷体_GB2312" w:cs="楷体_GB2312"/>
          <w:spacing w:val="0"/>
          <w:w w:val="100"/>
          <w:sz w:val="32"/>
          <w:szCs w:val="32"/>
        </w:rPr>
        <w:t>预案编制</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本预案为全</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食品安全</w:t>
      </w:r>
      <w:r>
        <w:rPr>
          <w:rFonts w:hint="eastAsia" w:ascii="仿宋_GB2312" w:hAnsi="仿宋_GB2312" w:eastAsia="仿宋_GB2312" w:cs="仿宋_GB2312"/>
          <w:spacing w:val="0"/>
          <w:w w:val="100"/>
          <w:sz w:val="32"/>
          <w:szCs w:val="32"/>
          <w:lang w:val="en-US" w:eastAsia="zh-CN"/>
        </w:rPr>
        <w:t>突发</w:t>
      </w:r>
      <w:r>
        <w:rPr>
          <w:rFonts w:hint="eastAsia" w:ascii="仿宋_GB2312" w:hAnsi="仿宋_GB2312" w:eastAsia="仿宋_GB2312" w:cs="仿宋_GB2312"/>
          <w:spacing w:val="0"/>
          <w:w w:val="100"/>
          <w:sz w:val="32"/>
          <w:szCs w:val="32"/>
        </w:rPr>
        <w:t>事件应急处置专项预案。县级政府组织制定本级食品安全事件应急处置专项预案，并报</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人民政府备案。相关部门制定本部门食品安全事件应急预案。</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食品生产经营企业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学校、托幼机构、养老机构、建筑工地等集中用餐单位，提供餐饮服务的铁路、水路、民航运营单位等，应制定本单位食品安全事件应急预案。</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预案涉及的部门和单位应编制食品安全应急处置工作手册， 细化职责任务，明确工作流程，落实到具体责任单位和责任人。</w:t>
      </w:r>
    </w:p>
    <w:p>
      <w:pPr>
        <w:pStyle w:val="9"/>
        <w:widowControl w:val="0"/>
        <w:numPr>
          <w:numId w:val="0"/>
        </w:numPr>
        <w:tabs>
          <w:tab w:val="left" w:pos="2091"/>
          <w:tab w:val="left" w:pos="2092"/>
        </w:tabs>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    5.2 </w:t>
      </w:r>
      <w:r>
        <w:rPr>
          <w:rFonts w:hint="eastAsia" w:ascii="楷体_GB2312" w:hAnsi="楷体_GB2312" w:eastAsia="楷体_GB2312" w:cs="楷体_GB2312"/>
          <w:spacing w:val="0"/>
          <w:w w:val="100"/>
          <w:sz w:val="32"/>
          <w:szCs w:val="32"/>
        </w:rPr>
        <w:t>预案修订</w:t>
      </w:r>
    </w:p>
    <w:p>
      <w:pPr>
        <w:pStyle w:val="2"/>
        <w:widowControl w:val="0"/>
        <w:wordWrap/>
        <w:autoSpaceDE w:val="0"/>
        <w:autoSpaceDN w:val="0"/>
        <w:adjustRightInd/>
        <w:snapToGrid w:val="0"/>
        <w:spacing w:before="0" w:after="0" w:line="580" w:lineRule="exact"/>
        <w:ind w:leftChars="0" w:right="23" w:rightChars="11" w:firstLine="0" w:firstLineChars="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w:t>
      </w:r>
      <w:r>
        <w:rPr>
          <w:rFonts w:hint="eastAsia" w:ascii="仿宋_GB2312" w:hAnsi="仿宋_GB2312" w:eastAsia="仿宋_GB2312" w:cs="仿宋_GB2312"/>
          <w:spacing w:val="0"/>
          <w:w w:val="100"/>
          <w:sz w:val="32"/>
          <w:szCs w:val="32"/>
        </w:rPr>
        <w:t>有下列情形之一，预案编制单位应当及时修订预案：</w:t>
      </w:r>
    </w:p>
    <w:p>
      <w:pPr>
        <w:pStyle w:val="9"/>
        <w:widowControl w:val="0"/>
        <w:numPr>
          <w:numId w:val="0"/>
        </w:numPr>
        <w:tabs>
          <w:tab w:val="left" w:pos="2096"/>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(1)</w:t>
      </w:r>
      <w:r>
        <w:rPr>
          <w:rFonts w:hint="eastAsia" w:ascii="仿宋_GB2312" w:hAnsi="仿宋_GB2312" w:eastAsia="仿宋_GB2312" w:cs="仿宋_GB2312"/>
          <w:spacing w:val="0"/>
          <w:w w:val="100"/>
          <w:sz w:val="32"/>
          <w:szCs w:val="32"/>
        </w:rPr>
        <w:t>有关法律、法规、规章、上位预案中的有关规定发生变化；</w:t>
      </w:r>
    </w:p>
    <w:p>
      <w:pPr>
        <w:pStyle w:val="9"/>
        <w:widowControl w:val="0"/>
        <w:numPr>
          <w:numId w:val="0"/>
        </w:numPr>
        <w:tabs>
          <w:tab w:val="left" w:pos="2092"/>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(2)</w:t>
      </w:r>
      <w:r>
        <w:rPr>
          <w:rFonts w:hint="eastAsia" w:ascii="仿宋_GB2312" w:hAnsi="仿宋_GB2312" w:eastAsia="仿宋_GB2312" w:cs="仿宋_GB2312"/>
          <w:spacing w:val="0"/>
          <w:w w:val="100"/>
          <w:sz w:val="32"/>
          <w:szCs w:val="32"/>
        </w:rPr>
        <w:t>应急指挥机构及其职责发生重大调整；</w:t>
      </w:r>
    </w:p>
    <w:p>
      <w:pPr>
        <w:pStyle w:val="9"/>
        <w:widowControl w:val="0"/>
        <w:numPr>
          <w:numId w:val="0"/>
        </w:numPr>
        <w:tabs>
          <w:tab w:val="left" w:pos="2092"/>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(3)</w:t>
      </w:r>
      <w:r>
        <w:rPr>
          <w:rFonts w:hint="eastAsia" w:ascii="仿宋_GB2312" w:hAnsi="仿宋_GB2312" w:eastAsia="仿宋_GB2312" w:cs="仿宋_GB2312"/>
          <w:spacing w:val="0"/>
          <w:w w:val="100"/>
          <w:sz w:val="32"/>
          <w:szCs w:val="32"/>
        </w:rPr>
        <w:t>在食品安全事件实际应对和应急演练中发现重大问题；</w:t>
      </w:r>
    </w:p>
    <w:p>
      <w:pPr>
        <w:pStyle w:val="9"/>
        <w:widowControl w:val="0"/>
        <w:numPr>
          <w:numId w:val="0"/>
        </w:numPr>
        <w:tabs>
          <w:tab w:val="left" w:pos="2092"/>
        </w:tabs>
        <w:wordWrap/>
        <w:autoSpaceDE w:val="0"/>
        <w:autoSpaceDN w:val="0"/>
        <w:adjustRightInd/>
        <w:snapToGrid w:val="0"/>
        <w:spacing w:before="0" w:after="0" w:line="580" w:lineRule="exact"/>
        <w:ind w:leftChars="0" w:right="23" w:rightChars="11"/>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 xml:space="preserve">    (4)</w:t>
      </w:r>
      <w:r>
        <w:rPr>
          <w:rFonts w:hint="eastAsia" w:ascii="仿宋_GB2312" w:hAnsi="仿宋_GB2312" w:eastAsia="仿宋_GB2312" w:cs="仿宋_GB2312"/>
          <w:spacing w:val="0"/>
          <w:w w:val="100"/>
          <w:sz w:val="32"/>
          <w:szCs w:val="32"/>
        </w:rPr>
        <w:t>预案编制单位认为应当修订的其他情况。</w:t>
      </w:r>
    </w:p>
    <w:p>
      <w:pPr>
        <w:pStyle w:val="9"/>
        <w:widowControl w:val="0"/>
        <w:numPr>
          <w:numId w:val="0"/>
        </w:numPr>
        <w:tabs>
          <w:tab w:val="left" w:pos="2091"/>
          <w:tab w:val="left" w:pos="2092"/>
        </w:tabs>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5.3 </w:t>
      </w:r>
      <w:r>
        <w:rPr>
          <w:rFonts w:hint="eastAsia" w:ascii="楷体_GB2312" w:hAnsi="楷体_GB2312" w:eastAsia="楷体_GB2312" w:cs="楷体_GB2312"/>
          <w:spacing w:val="0"/>
          <w:w w:val="100"/>
          <w:sz w:val="32"/>
          <w:szCs w:val="32"/>
        </w:rPr>
        <w:t>预案演练</w:t>
      </w:r>
    </w:p>
    <w:p>
      <w:pPr>
        <w:pStyle w:val="2"/>
        <w:widowControl w:val="0"/>
        <w:wordWrap/>
        <w:autoSpaceDE w:val="0"/>
        <w:autoSpaceDN w:val="0"/>
        <w:adjustRightInd/>
        <w:snapToGrid w:val="0"/>
        <w:spacing w:before="0" w:after="0" w:line="580" w:lineRule="exact"/>
        <w:ind w:leftChars="0" w:right="23" w:rightChars="11" w:firstLine="640" w:firstLineChars="200"/>
        <w:jc w:val="both"/>
        <w:textAlignment w:val="auto"/>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预案编制单位根据实际情况采取实战演练、桌面演练等方式，组织开展应急演练。市级</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县级</w:t>
      </w:r>
      <w:r>
        <w:rPr>
          <w:rFonts w:hint="eastAsia" w:ascii="仿宋_GB2312" w:hAnsi="仿宋_GB2312" w:eastAsia="仿宋_GB2312" w:cs="仿宋_GB2312"/>
          <w:spacing w:val="0"/>
          <w:w w:val="100"/>
          <w:sz w:val="32"/>
          <w:szCs w:val="32"/>
        </w:rPr>
        <w:t>食品安全事件应急预案每2年至少进行一次应急演练。</w:t>
      </w:r>
    </w:p>
    <w:p>
      <w:pPr>
        <w:pStyle w:val="9"/>
        <w:widowControl w:val="0"/>
        <w:numPr>
          <w:numId w:val="0"/>
        </w:numPr>
        <w:tabs>
          <w:tab w:val="left" w:pos="2091"/>
          <w:tab w:val="left" w:pos="2092"/>
        </w:tabs>
        <w:wordWrap/>
        <w:autoSpaceDE w:val="0"/>
        <w:autoSpaceDN w:val="0"/>
        <w:adjustRightInd/>
        <w:snapToGrid w:val="0"/>
        <w:spacing w:before="0" w:after="0" w:line="580" w:lineRule="exact"/>
        <w:ind w:leftChars="0" w:right="0" w:firstLine="640" w:firstLineChars="200"/>
        <w:jc w:val="both"/>
        <w:textAlignment w:val="auto"/>
        <w:outlineLvl w:val="9"/>
        <w:rPr>
          <w:rFonts w:hint="eastAsia" w:ascii="楷体_GB2312" w:hAnsi="楷体_GB2312" w:eastAsia="楷体_GB2312" w:cs="楷体_GB2312"/>
          <w:spacing w:val="0"/>
          <w:w w:val="100"/>
          <w:sz w:val="32"/>
          <w:szCs w:val="32"/>
        </w:rPr>
      </w:pPr>
      <w:r>
        <w:rPr>
          <w:rFonts w:hint="eastAsia" w:ascii="楷体_GB2312" w:hAnsi="楷体_GB2312" w:eastAsia="楷体_GB2312" w:cs="楷体_GB2312"/>
          <w:spacing w:val="0"/>
          <w:w w:val="100"/>
          <w:sz w:val="32"/>
          <w:szCs w:val="32"/>
          <w:lang w:val="en-US" w:eastAsia="zh-CN"/>
        </w:rPr>
        <w:t xml:space="preserve">5.4 </w:t>
      </w:r>
      <w:r>
        <w:rPr>
          <w:rFonts w:hint="eastAsia" w:ascii="楷体_GB2312" w:hAnsi="楷体_GB2312" w:eastAsia="楷体_GB2312" w:cs="楷体_GB2312"/>
          <w:spacing w:val="0"/>
          <w:w w:val="100"/>
          <w:sz w:val="32"/>
          <w:szCs w:val="32"/>
        </w:rPr>
        <w:t>预案实施</w:t>
      </w:r>
    </w:p>
    <w:p>
      <w:pPr>
        <w:pStyle w:val="2"/>
        <w:widowControl w:val="0"/>
        <w:wordWrap/>
        <w:autoSpaceDE w:val="0"/>
        <w:autoSpaceDN w:val="0"/>
        <w:adjustRightInd/>
        <w:snapToGrid w:val="0"/>
        <w:spacing w:before="0" w:after="0" w:line="580" w:lineRule="exact"/>
        <w:ind w:leftChars="0" w:right="25"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w w:val="100"/>
          <w:sz w:val="32"/>
          <w:szCs w:val="32"/>
        </w:rPr>
        <w:t>本预案自发布之日起施行，201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10</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日印发的《</w:t>
      </w:r>
      <w:r>
        <w:rPr>
          <w:rFonts w:hint="eastAsia" w:ascii="仿宋_GB2312" w:hAnsi="仿宋_GB2312" w:eastAsia="仿宋_GB2312" w:cs="仿宋_GB2312"/>
          <w:spacing w:val="0"/>
          <w:w w:val="100"/>
          <w:sz w:val="32"/>
          <w:szCs w:val="32"/>
          <w:lang w:val="en-US" w:eastAsia="zh-CN"/>
        </w:rPr>
        <w:t>南阳市</w:t>
      </w:r>
      <w:r>
        <w:rPr>
          <w:rFonts w:hint="eastAsia" w:ascii="仿宋_GB2312" w:hAnsi="仿宋_GB2312" w:eastAsia="仿宋_GB2312" w:cs="仿宋_GB2312"/>
          <w:spacing w:val="0"/>
          <w:w w:val="100"/>
          <w:sz w:val="32"/>
          <w:szCs w:val="32"/>
        </w:rPr>
        <w:t>食品安全突发事件应急预案》</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试行</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宛</w:t>
      </w:r>
      <w:r>
        <w:rPr>
          <w:rFonts w:hint="eastAsia" w:ascii="仿宋_GB2312" w:hAnsi="仿宋_GB2312" w:eastAsia="仿宋_GB2312" w:cs="仿宋_GB2312"/>
          <w:spacing w:val="0"/>
          <w:w w:val="100"/>
          <w:sz w:val="32"/>
          <w:szCs w:val="32"/>
        </w:rPr>
        <w:t>政</w:t>
      </w:r>
      <w:r>
        <w:rPr>
          <w:rFonts w:hint="eastAsia" w:ascii="仿宋_GB2312" w:hAnsi="仿宋_GB2312" w:eastAsia="仿宋_GB2312" w:cs="仿宋_GB2312"/>
          <w:spacing w:val="0"/>
          <w:w w:val="100"/>
          <w:sz w:val="32"/>
          <w:szCs w:val="32"/>
          <w:lang w:val="en-US" w:eastAsia="zh-CN"/>
        </w:rPr>
        <w:t>食安</w:t>
      </w:r>
      <w:r>
        <w:rPr>
          <w:rFonts w:hint="eastAsia" w:ascii="仿宋_GB2312" w:hAnsi="仿宋_GB2312" w:eastAsia="仿宋_GB2312" w:cs="仿宋_GB2312"/>
          <w:spacing w:val="0"/>
          <w:w w:val="100"/>
          <w:sz w:val="32"/>
          <w:szCs w:val="32"/>
        </w:rPr>
        <w:t>办〔201</w:t>
      </w:r>
      <w:r>
        <w:rPr>
          <w:rFonts w:hint="eastAsia" w:ascii="仿宋_GB2312" w:hAnsi="仿宋_GB2312" w:eastAsia="仿宋_GB2312" w:cs="仿宋_GB2312"/>
          <w:spacing w:val="0"/>
          <w:w w:val="100"/>
          <w:sz w:val="32"/>
          <w:szCs w:val="32"/>
          <w:lang w:val="en-US" w:eastAsia="zh-CN"/>
        </w:rPr>
        <w:t>9</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14</w:t>
      </w:r>
      <w:r>
        <w:rPr>
          <w:rFonts w:hint="eastAsia" w:ascii="仿宋_GB2312" w:hAnsi="仿宋_GB2312" w:eastAsia="仿宋_GB2312" w:cs="仿宋_GB2312"/>
          <w:spacing w:val="0"/>
          <w:w w:val="100"/>
          <w:sz w:val="32"/>
          <w:szCs w:val="32"/>
        </w:rPr>
        <w:t>号）同时废止。由</w:t>
      </w:r>
      <w:r>
        <w:rPr>
          <w:rFonts w:hint="eastAsia" w:ascii="仿宋_GB2312" w:hAnsi="仿宋_GB2312" w:eastAsia="仿宋_GB2312" w:cs="仿宋_GB2312"/>
          <w:spacing w:val="0"/>
          <w:w w:val="100"/>
          <w:sz w:val="32"/>
          <w:szCs w:val="32"/>
          <w:lang w:val="en-US" w:eastAsia="zh-CN"/>
        </w:rPr>
        <w:t>市政府食安办</w:t>
      </w:r>
      <w:r>
        <w:rPr>
          <w:rFonts w:hint="eastAsia" w:ascii="仿宋_GB2312" w:hAnsi="仿宋_GB2312" w:eastAsia="仿宋_GB2312" w:cs="仿宋_GB2312"/>
          <w:spacing w:val="0"/>
          <w:w w:val="100"/>
          <w:sz w:val="32"/>
          <w:szCs w:val="32"/>
        </w:rPr>
        <w:t>负责解释。</w:t>
      </w:r>
    </w:p>
    <w:p>
      <w:pPr>
        <w:pStyle w:val="2"/>
        <w:widowControl w:val="0"/>
        <w:wordWrap/>
        <w:autoSpaceDE w:val="0"/>
        <w:autoSpaceDN w:val="0"/>
        <w:adjustRightInd/>
        <w:snapToGrid w:val="0"/>
        <w:spacing w:before="0" w:after="0" w:line="580" w:lineRule="exact"/>
        <w:ind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附表：食品安全事件分级标准</w:t>
      </w:r>
    </w:p>
    <w:p>
      <w:pPr>
        <w:pStyle w:val="2"/>
        <w:widowControl w:val="0"/>
        <w:tabs>
          <w:tab w:val="left" w:pos="1291"/>
        </w:tabs>
        <w:wordWrap/>
        <w:autoSpaceDE w:val="0"/>
        <w:autoSpaceDN w:val="0"/>
        <w:adjustRightInd/>
        <w:snapToGrid/>
        <w:spacing w:before="0" w:line="600" w:lineRule="exact"/>
        <w:ind w:left="0" w:leftChars="0" w:firstLine="0" w:firstLineChars="0"/>
        <w:textAlignment w:val="auto"/>
        <w:rPr>
          <w:rFonts w:hint="eastAsia" w:ascii="方正小标宋简体" w:hAnsi="方正小标宋简体" w:eastAsia="方正小标宋简体" w:cs="方正小标宋简体"/>
          <w:sz w:val="44"/>
          <w:szCs w:val="44"/>
          <w:lang w:val="en-US" w:eastAsia="zh-CN"/>
        </w:rPr>
      </w:pPr>
      <w:r>
        <w:rPr>
          <w:rFonts w:hint="eastAsia" w:ascii="黑体" w:eastAsia="黑体"/>
        </w:rPr>
        <w:t>附表</w:t>
      </w:r>
      <w:r>
        <w:rPr>
          <w:rFonts w:ascii="宋体" w:hAnsi="宋体" w:eastAsia="宋体" w:cs="宋体"/>
          <w:kern w:val="2"/>
          <w:sz w:val="32"/>
          <w:szCs w:val="32"/>
          <w:lang w:val="en-US" w:eastAsia="zh-CN" w:bidi="ar-SA"/>
        </w:rPr>
        <w:pict>
          <v:shape id="_x0000_s1031" o:spid="_x0000_s1027" type="" style="position:absolute;left:0;margin-left:474.95pt;margin-top:85.75pt;height:276.9pt;width:71pt;mso-position-horizontal-relative:page;rotation:0f;z-index:-251658240;" o:ole="f" fillcolor="#FFFFFF" filled="t" o:preferrelative="t" stroked="f" coordorigin="9499,1715" coordsize="-8079,3823" path="m10919,4159l9499,4159,9499,7253,10919,7253,10919,4159xm10919,1715l9499,1715,9499,4154,10919,4154,10919,1715xe">
            <v:imagedata gain="65536f" blacklevel="0f" gamma="0"/>
            <o:lock v:ext="edit" position="f" selection="f" grouping="f" rotation="f" cropping="f" text="f" aspectratio="f"/>
          </v:shape>
        </w:pict>
      </w:r>
      <w:r>
        <w:rPr>
          <w:rFonts w:hint="eastAsia" w:ascii="黑体" w:eastAsia="黑体"/>
          <w:lang w:val="en-US" w:eastAsia="zh-CN"/>
        </w:rPr>
        <w:t xml:space="preserve">           </w:t>
      </w:r>
      <w:r>
        <w:rPr>
          <w:rFonts w:hint="eastAsia" w:ascii="方正小标宋简体" w:hAnsi="方正小标宋简体" w:eastAsia="方正小标宋简体" w:cs="方正小标宋简体"/>
          <w:sz w:val="44"/>
          <w:szCs w:val="44"/>
          <w:lang w:val="en-US" w:eastAsia="zh-CN"/>
        </w:rPr>
        <w:t xml:space="preserve"> </w:t>
      </w:r>
    </w:p>
    <w:p>
      <w:pPr>
        <w:pStyle w:val="2"/>
        <w:widowControl w:val="0"/>
        <w:tabs>
          <w:tab w:val="left" w:pos="1291"/>
        </w:tabs>
        <w:wordWrap/>
        <w:autoSpaceDE w:val="0"/>
        <w:autoSpaceDN w:val="0"/>
        <w:adjustRightInd/>
        <w:snapToGrid/>
        <w:spacing w:before="0" w:line="60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食品安全事件分级、响应标准</w:t>
      </w:r>
    </w:p>
    <w:tbl>
      <w:tblPr>
        <w:tblpPr w:leftFromText="180" w:rightFromText="180" w:vertAnchor="text" w:horzAnchor="page" w:tblpX="1105" w:tblpY="55"/>
        <w:tblOverlap w:val="never"/>
        <w:tblW w:w="99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9"/>
        <w:gridCol w:w="7658"/>
        <w:gridCol w:w="1423"/>
      </w:tblGrid>
      <w:tr>
        <w:trPr>
          <w:trHeight w:val="940" w:hRule="atLeast"/>
        </w:trPr>
        <w:tc>
          <w:tcPr>
            <w:tcW w:w="839" w:type="dxa"/>
            <w:vAlign w:val="top"/>
          </w:tcPr>
          <w:p>
            <w:pPr>
              <w:pStyle w:val="8"/>
              <w:widowControl w:val="0"/>
              <w:wordWrap/>
              <w:autoSpaceDE w:val="0"/>
              <w:autoSpaceDN w:val="0"/>
              <w:adjustRightInd/>
              <w:snapToGrid w:val="0"/>
              <w:spacing w:before="0" w:after="0" w:line="240" w:lineRule="auto"/>
              <w:ind w:left="137" w:leftChars="0" w:right="128" w:firstLine="0" w:firstLineChars="0"/>
              <w:jc w:val="both"/>
              <w:textAlignment w:val="auto"/>
              <w:outlineLvl w:val="9"/>
              <w:rPr>
                <w:rFonts w:hint="eastAsia" w:ascii="楷体" w:eastAsia="楷体"/>
                <w:b/>
                <w:sz w:val="28"/>
              </w:rPr>
            </w:pPr>
            <w:r>
              <w:rPr>
                <w:rFonts w:hint="eastAsia" w:ascii="楷体" w:eastAsia="楷体"/>
                <w:b/>
                <w:sz w:val="28"/>
              </w:rPr>
              <w:t>事件分级</w:t>
            </w:r>
          </w:p>
        </w:tc>
        <w:tc>
          <w:tcPr>
            <w:tcW w:w="7658" w:type="dxa"/>
            <w:vAlign w:val="top"/>
          </w:tcPr>
          <w:p>
            <w:pPr>
              <w:pStyle w:val="8"/>
              <w:widowControl w:val="0"/>
              <w:wordWrap/>
              <w:autoSpaceDE w:val="0"/>
              <w:autoSpaceDN w:val="0"/>
              <w:adjustRightInd/>
              <w:snapToGrid/>
              <w:spacing w:before="0" w:line="600" w:lineRule="exact"/>
              <w:ind w:left="3251" w:right="3244"/>
              <w:jc w:val="center"/>
              <w:textAlignment w:val="auto"/>
              <w:rPr>
                <w:rFonts w:hint="eastAsia" w:ascii="楷体" w:eastAsia="楷体"/>
                <w:b/>
                <w:sz w:val="28"/>
              </w:rPr>
            </w:pPr>
            <w:r>
              <w:rPr>
                <w:rFonts w:hint="eastAsia" w:ascii="楷体" w:eastAsia="楷体"/>
                <w:b/>
                <w:sz w:val="28"/>
              </w:rPr>
              <w:t>评估指标</w:t>
            </w:r>
          </w:p>
        </w:tc>
        <w:tc>
          <w:tcPr>
            <w:tcW w:w="1423" w:type="dxa"/>
            <w:vAlign w:val="top"/>
          </w:tcPr>
          <w:p>
            <w:pPr>
              <w:pStyle w:val="8"/>
              <w:widowControl w:val="0"/>
              <w:wordWrap/>
              <w:autoSpaceDE w:val="0"/>
              <w:autoSpaceDN w:val="0"/>
              <w:adjustRightInd/>
              <w:snapToGrid/>
              <w:spacing w:before="0" w:line="600" w:lineRule="exact"/>
              <w:ind w:left="149"/>
              <w:textAlignment w:val="auto"/>
              <w:rPr>
                <w:rFonts w:hint="eastAsia" w:ascii="楷体" w:eastAsia="楷体"/>
                <w:b/>
                <w:sz w:val="28"/>
              </w:rPr>
            </w:pPr>
            <w:r>
              <w:rPr>
                <w:rFonts w:hint="eastAsia" w:ascii="楷体" w:eastAsia="楷体"/>
                <w:b/>
                <w:sz w:val="28"/>
              </w:rPr>
              <w:t>响应级别</w:t>
            </w:r>
          </w:p>
        </w:tc>
      </w:tr>
      <w:tr>
        <w:trPr>
          <w:trHeight w:val="2331" w:hRule="atLeast"/>
        </w:trPr>
        <w:tc>
          <w:tcPr>
            <w:tcW w:w="839" w:type="dxa"/>
            <w:tcBorders>
              <w:bottom w:val="nil"/>
            </w:tcBorders>
            <w:vAlign w:val="center"/>
          </w:tcPr>
          <w:p>
            <w:pPr>
              <w:pStyle w:val="8"/>
              <w:widowControl w:val="0"/>
              <w:wordWrap/>
              <w:autoSpaceDE w:val="0"/>
              <w:autoSpaceDN w:val="0"/>
              <w:adjustRightInd/>
              <w:snapToGrid w:val="0"/>
              <w:spacing w:before="0" w:after="0" w:line="240" w:lineRule="auto"/>
              <w:ind w:firstLine="0" w:firstLineChars="0"/>
              <w:jc w:val="center"/>
              <w:textAlignment w:val="auto"/>
              <w:outlineLvl w:val="9"/>
              <w:rPr>
                <w:rFonts w:hint="eastAsia" w:ascii="楷体" w:eastAsia="楷体"/>
                <w:sz w:val="28"/>
              </w:rPr>
            </w:pPr>
            <w:r>
              <w:rPr>
                <w:rFonts w:hint="eastAsia" w:ascii="楷体" w:eastAsia="楷体"/>
                <w:sz w:val="28"/>
              </w:rPr>
              <w:t>特别</w:t>
            </w:r>
          </w:p>
          <w:p>
            <w:pPr>
              <w:pStyle w:val="8"/>
              <w:widowControl w:val="0"/>
              <w:wordWrap/>
              <w:autoSpaceDE w:val="0"/>
              <w:autoSpaceDN w:val="0"/>
              <w:adjustRightInd/>
              <w:snapToGrid w:val="0"/>
              <w:spacing w:before="0" w:after="0" w:line="240" w:lineRule="auto"/>
              <w:ind w:firstLine="0" w:firstLineChars="0"/>
              <w:jc w:val="center"/>
              <w:textAlignment w:val="auto"/>
              <w:outlineLvl w:val="9"/>
              <w:rPr>
                <w:rFonts w:ascii="Times New Roman"/>
                <w:sz w:val="28"/>
              </w:rPr>
            </w:pPr>
            <w:r>
              <w:rPr>
                <w:rFonts w:hint="eastAsia" w:ascii="楷体" w:eastAsia="楷体"/>
                <w:sz w:val="28"/>
              </w:rPr>
              <w:t>重大</w:t>
            </w:r>
          </w:p>
        </w:tc>
        <w:tc>
          <w:tcPr>
            <w:tcW w:w="7658" w:type="dxa"/>
            <w:tcBorders>
              <w:bottom w:val="nil"/>
            </w:tcBorders>
            <w:vAlign w:val="center"/>
          </w:tcPr>
          <w:p>
            <w:pPr>
              <w:pStyle w:val="8"/>
              <w:widowControl w:val="0"/>
              <w:wordWrap/>
              <w:autoSpaceDE w:val="0"/>
              <w:autoSpaceDN w:val="0"/>
              <w:adjustRightInd/>
              <w:snapToGrid w:val="0"/>
              <w:spacing w:before="0" w:after="0" w:line="500" w:lineRule="exact"/>
              <w:ind w:left="106" w:leftChars="0" w:right="95" w:firstLine="0" w:firstLineChars="0"/>
              <w:jc w:val="both"/>
              <w:textAlignment w:val="auto"/>
              <w:outlineLvl w:val="9"/>
              <w:rPr>
                <w:snapToGrid w:val="0"/>
                <w:spacing w:val="0"/>
                <w:kern w:val="0"/>
                <w:sz w:val="28"/>
              </w:rPr>
            </w:pPr>
            <w:r>
              <w:rPr>
                <w:snapToGrid w:val="0"/>
                <w:spacing w:val="0"/>
                <w:kern w:val="0"/>
                <w:sz w:val="28"/>
              </w:rPr>
              <w:t>（</w:t>
            </w:r>
            <w:r>
              <w:rPr>
                <w:rFonts w:ascii="Times New Roman" w:eastAsia="Times New Roman"/>
                <w:snapToGrid w:val="0"/>
                <w:spacing w:val="0"/>
                <w:kern w:val="0"/>
                <w:sz w:val="28"/>
              </w:rPr>
              <w:t>1</w:t>
            </w:r>
            <w:r>
              <w:rPr>
                <w:snapToGrid w:val="0"/>
                <w:spacing w:val="0"/>
                <w:kern w:val="0"/>
                <w:sz w:val="28"/>
              </w:rPr>
              <w:t>）受污染食品流入</w:t>
            </w:r>
            <w:r>
              <w:rPr>
                <w:rFonts w:ascii="Times New Roman" w:eastAsia="Times New Roman"/>
                <w:snapToGrid w:val="0"/>
                <w:spacing w:val="0"/>
                <w:kern w:val="0"/>
                <w:sz w:val="28"/>
              </w:rPr>
              <w:t>2</w:t>
            </w:r>
            <w:r>
              <w:rPr>
                <w:snapToGrid w:val="0"/>
                <w:spacing w:val="0"/>
                <w:kern w:val="0"/>
                <w:sz w:val="28"/>
              </w:rPr>
              <w:t>个以上省份或国（境）外（含港澳台</w:t>
            </w:r>
            <w:r>
              <w:rPr>
                <w:snapToGrid w:val="0"/>
                <w:spacing w:val="0"/>
                <w:w w:val="100"/>
                <w:kern w:val="0"/>
                <w:sz w:val="28"/>
              </w:rPr>
              <w:t>地区</w:t>
            </w:r>
            <w:r>
              <w:rPr>
                <w:rFonts w:hint="eastAsia"/>
                <w:snapToGrid w:val="0"/>
                <w:spacing w:val="0"/>
                <w:w w:val="100"/>
                <w:kern w:val="0"/>
                <w:sz w:val="28"/>
                <w:lang w:val="en-US" w:eastAsia="zh-CN"/>
              </w:rPr>
              <w:t>),</w:t>
            </w:r>
            <w:r>
              <w:rPr>
                <w:snapToGrid w:val="0"/>
                <w:spacing w:val="0"/>
                <w:w w:val="100"/>
                <w:kern w:val="0"/>
                <w:sz w:val="28"/>
              </w:rPr>
              <w:t>造成特别严重健康损害后果的；或经评估认为事件危</w:t>
            </w:r>
            <w:r>
              <w:rPr>
                <w:snapToGrid w:val="0"/>
                <w:spacing w:val="0"/>
                <w:kern w:val="0"/>
                <w:sz w:val="28"/>
              </w:rPr>
              <w:t>害特别严重的；</w:t>
            </w:r>
          </w:p>
          <w:p>
            <w:pPr>
              <w:pStyle w:val="8"/>
              <w:widowControl w:val="0"/>
              <w:wordWrap/>
              <w:autoSpaceDE w:val="0"/>
              <w:autoSpaceDN w:val="0"/>
              <w:adjustRightInd/>
              <w:snapToGrid w:val="0"/>
              <w:spacing w:before="0" w:after="0" w:line="500" w:lineRule="exact"/>
              <w:ind w:left="106" w:leftChars="0" w:firstLine="0" w:firstLineChars="0"/>
              <w:jc w:val="both"/>
              <w:textAlignment w:val="auto"/>
              <w:outlineLvl w:val="9"/>
              <w:rPr>
                <w:snapToGrid w:val="0"/>
                <w:spacing w:val="0"/>
                <w:kern w:val="0"/>
                <w:sz w:val="28"/>
              </w:rPr>
            </w:pPr>
            <w:r>
              <w:rPr>
                <w:snapToGrid w:val="0"/>
                <w:spacing w:val="0"/>
                <w:kern w:val="0"/>
                <w:sz w:val="28"/>
              </w:rPr>
              <w:t>（</w:t>
            </w:r>
            <w:r>
              <w:rPr>
                <w:rFonts w:ascii="Times New Roman" w:eastAsia="Times New Roman"/>
                <w:snapToGrid w:val="0"/>
                <w:spacing w:val="0"/>
                <w:kern w:val="0"/>
                <w:sz w:val="28"/>
              </w:rPr>
              <w:t>2</w:t>
            </w:r>
            <w:r>
              <w:rPr>
                <w:snapToGrid w:val="0"/>
                <w:spacing w:val="0"/>
                <w:kern w:val="0"/>
                <w:sz w:val="28"/>
              </w:rPr>
              <w:t>）</w:t>
            </w:r>
            <w:r>
              <w:rPr>
                <w:rFonts w:ascii="Times New Roman" w:eastAsia="Times New Roman"/>
                <w:snapToGrid w:val="0"/>
                <w:spacing w:val="0"/>
                <w:kern w:val="0"/>
                <w:sz w:val="28"/>
              </w:rPr>
              <w:t>1</w:t>
            </w:r>
            <w:r>
              <w:rPr>
                <w:snapToGrid w:val="0"/>
                <w:spacing w:val="0"/>
                <w:kern w:val="0"/>
                <w:sz w:val="28"/>
              </w:rPr>
              <w:t>起食品安全事件出现</w:t>
            </w:r>
            <w:r>
              <w:rPr>
                <w:rFonts w:ascii="Times New Roman" w:eastAsia="Times New Roman"/>
                <w:snapToGrid w:val="0"/>
                <w:spacing w:val="0"/>
                <w:kern w:val="0"/>
                <w:sz w:val="28"/>
              </w:rPr>
              <w:t>30</w:t>
            </w:r>
            <w:r>
              <w:rPr>
                <w:snapToGrid w:val="0"/>
                <w:spacing w:val="0"/>
                <w:kern w:val="0"/>
                <w:sz w:val="28"/>
              </w:rPr>
              <w:t>人以上死亡的；</w:t>
            </w:r>
          </w:p>
          <w:p>
            <w:pPr>
              <w:pStyle w:val="8"/>
              <w:widowControl w:val="0"/>
              <w:wordWrap/>
              <w:autoSpaceDE w:val="0"/>
              <w:autoSpaceDN w:val="0"/>
              <w:adjustRightInd/>
              <w:snapToGrid w:val="0"/>
              <w:spacing w:before="0" w:after="0" w:line="500" w:lineRule="exact"/>
              <w:ind w:left="106" w:leftChars="0" w:firstLine="0" w:firstLineChars="0"/>
              <w:jc w:val="both"/>
              <w:textAlignment w:val="auto"/>
              <w:outlineLvl w:val="9"/>
              <w:rPr>
                <w:sz w:val="28"/>
              </w:rPr>
            </w:pPr>
            <w:r>
              <w:rPr>
                <w:snapToGrid w:val="0"/>
                <w:spacing w:val="0"/>
                <w:kern w:val="0"/>
                <w:sz w:val="28"/>
              </w:rPr>
              <w:t>（</w:t>
            </w:r>
            <w:r>
              <w:rPr>
                <w:rFonts w:ascii="Times New Roman" w:eastAsia="Times New Roman"/>
                <w:snapToGrid w:val="0"/>
                <w:spacing w:val="0"/>
                <w:kern w:val="0"/>
                <w:sz w:val="28"/>
              </w:rPr>
              <w:t>3</w:t>
            </w:r>
            <w:r>
              <w:rPr>
                <w:snapToGrid w:val="0"/>
                <w:spacing w:val="0"/>
                <w:kern w:val="0"/>
                <w:sz w:val="28"/>
              </w:rPr>
              <w:t>）党中央、国务院认定的其他特别重大级别食品安全事件。</w:t>
            </w:r>
          </w:p>
        </w:tc>
        <w:tc>
          <w:tcPr>
            <w:tcW w:w="1423" w:type="dxa"/>
            <w:tcBorders>
              <w:bottom w:val="nil"/>
            </w:tcBorders>
            <w:vAlign w:val="center"/>
          </w:tcPr>
          <w:p>
            <w:pPr>
              <w:pStyle w:val="8"/>
              <w:widowControl w:val="0"/>
              <w:wordWrap/>
              <w:autoSpaceDE w:val="0"/>
              <w:autoSpaceDN w:val="0"/>
              <w:adjustRightInd/>
              <w:snapToGrid w:val="0"/>
              <w:spacing w:before="0" w:after="0" w:line="240" w:lineRule="auto"/>
              <w:ind w:firstLine="0" w:firstLineChars="0"/>
              <w:jc w:val="center"/>
              <w:textAlignment w:val="auto"/>
              <w:outlineLvl w:val="9"/>
              <w:rPr>
                <w:rFonts w:ascii="Times New Roman"/>
                <w:sz w:val="28"/>
              </w:rPr>
            </w:pPr>
            <w:r>
              <w:rPr>
                <w:sz w:val="28"/>
              </w:rPr>
              <w:t>一级响应</w:t>
            </w:r>
          </w:p>
        </w:tc>
      </w:tr>
      <w:tr>
        <w:trPr>
          <w:trHeight w:val="3409" w:hRule="atLeast"/>
        </w:trPr>
        <w:tc>
          <w:tcPr>
            <w:tcW w:w="839" w:type="dxa"/>
            <w:vAlign w:val="center"/>
          </w:tcPr>
          <w:p>
            <w:pPr>
              <w:pStyle w:val="8"/>
              <w:widowControl w:val="0"/>
              <w:wordWrap/>
              <w:autoSpaceDE w:val="0"/>
              <w:autoSpaceDN w:val="0"/>
              <w:adjustRightInd/>
              <w:snapToGrid w:val="0"/>
              <w:spacing w:before="0" w:after="0" w:line="240" w:lineRule="auto"/>
              <w:ind w:left="121" w:right="109" w:firstLine="0" w:firstLineChars="0"/>
              <w:jc w:val="center"/>
              <w:textAlignment w:val="auto"/>
              <w:outlineLvl w:val="9"/>
              <w:rPr>
                <w:rFonts w:hint="eastAsia" w:ascii="楷体" w:eastAsia="楷体"/>
                <w:sz w:val="28"/>
              </w:rPr>
            </w:pPr>
            <w:r>
              <w:rPr>
                <w:rFonts w:hint="eastAsia" w:ascii="楷体" w:eastAsia="楷体"/>
                <w:sz w:val="28"/>
              </w:rPr>
              <w:t>重大</w:t>
            </w:r>
          </w:p>
        </w:tc>
        <w:tc>
          <w:tcPr>
            <w:tcW w:w="7658" w:type="dxa"/>
            <w:vAlign w:val="center"/>
          </w:tcPr>
          <w:p>
            <w:pPr>
              <w:pStyle w:val="8"/>
              <w:widowControl w:val="0"/>
              <w:numPr>
                <w:ilvl w:val="0"/>
                <w:numId w:val="1"/>
              </w:numPr>
              <w:tabs>
                <w:tab w:val="left" w:pos="809"/>
              </w:tabs>
              <w:wordWrap/>
              <w:autoSpaceDE w:val="0"/>
              <w:autoSpaceDN w:val="0"/>
              <w:adjustRightInd/>
              <w:snapToGrid w:val="0"/>
              <w:spacing w:before="0" w:after="0" w:line="480" w:lineRule="exact"/>
              <w:ind w:left="106" w:leftChars="0" w:right="95" w:firstLine="0" w:firstLineChars="0"/>
              <w:jc w:val="both"/>
              <w:textAlignment w:val="auto"/>
              <w:outlineLvl w:val="9"/>
              <w:rPr>
                <w:snapToGrid w:val="0"/>
                <w:spacing w:val="0"/>
                <w:kern w:val="0"/>
                <w:sz w:val="28"/>
              </w:rPr>
            </w:pPr>
            <w:r>
              <w:rPr>
                <w:snapToGrid w:val="0"/>
                <w:spacing w:val="0"/>
                <w:kern w:val="0"/>
                <w:sz w:val="28"/>
              </w:rPr>
              <w:t>受污染食品流入</w:t>
            </w:r>
            <w:r>
              <w:rPr>
                <w:rFonts w:ascii="Times New Roman" w:eastAsia="Times New Roman"/>
                <w:snapToGrid w:val="0"/>
                <w:spacing w:val="0"/>
                <w:kern w:val="0"/>
                <w:sz w:val="28"/>
              </w:rPr>
              <w:t>2</w:t>
            </w:r>
            <w:r>
              <w:rPr>
                <w:snapToGrid w:val="0"/>
                <w:spacing w:val="0"/>
                <w:kern w:val="0"/>
                <w:sz w:val="28"/>
              </w:rPr>
              <w:t>个以上地市，造成或经评估认为可能造成对社会公众健康产生严重损害的食品安全事件；</w:t>
            </w:r>
          </w:p>
          <w:p>
            <w:pPr>
              <w:pStyle w:val="8"/>
              <w:widowControl w:val="0"/>
              <w:numPr>
                <w:ilvl w:val="0"/>
                <w:numId w:val="1"/>
              </w:numPr>
              <w:tabs>
                <w:tab w:val="left" w:pos="809"/>
              </w:tabs>
              <w:wordWrap/>
              <w:autoSpaceDE w:val="0"/>
              <w:autoSpaceDN w:val="0"/>
              <w:adjustRightInd/>
              <w:snapToGrid w:val="0"/>
              <w:spacing w:before="0" w:after="0" w:line="480" w:lineRule="exact"/>
              <w:ind w:left="106" w:leftChars="0" w:right="-44" w:firstLine="0" w:firstLineChars="0"/>
              <w:jc w:val="both"/>
              <w:textAlignment w:val="auto"/>
              <w:outlineLvl w:val="9"/>
              <w:rPr>
                <w:snapToGrid w:val="0"/>
                <w:spacing w:val="0"/>
                <w:kern w:val="0"/>
                <w:sz w:val="28"/>
              </w:rPr>
            </w:pPr>
            <w:r>
              <w:rPr>
                <w:snapToGrid w:val="0"/>
                <w:spacing w:val="0"/>
                <w:kern w:val="0"/>
                <w:sz w:val="28"/>
              </w:rPr>
              <w:t>发现在我国首次出现的新的污染物引起的食品安全事件，造成严重健康损害后果，并有扩散趋势的；</w:t>
            </w:r>
          </w:p>
          <w:p>
            <w:pPr>
              <w:pStyle w:val="8"/>
              <w:widowControl w:val="0"/>
              <w:wordWrap/>
              <w:autoSpaceDE w:val="0"/>
              <w:autoSpaceDN w:val="0"/>
              <w:adjustRightInd/>
              <w:snapToGrid w:val="0"/>
              <w:spacing w:before="0" w:after="0" w:line="480" w:lineRule="exact"/>
              <w:ind w:left="106" w:leftChars="0" w:right="97" w:firstLine="0" w:firstLineChars="0"/>
              <w:jc w:val="both"/>
              <w:textAlignment w:val="auto"/>
              <w:outlineLvl w:val="9"/>
              <w:rPr>
                <w:snapToGrid w:val="0"/>
                <w:spacing w:val="0"/>
                <w:kern w:val="0"/>
                <w:sz w:val="28"/>
              </w:rPr>
            </w:pPr>
            <w:r>
              <w:rPr>
                <w:snapToGrid w:val="0"/>
                <w:spacing w:val="0"/>
                <w:kern w:val="0"/>
                <w:sz w:val="28"/>
              </w:rPr>
              <w:t>（</w:t>
            </w:r>
            <w:r>
              <w:rPr>
                <w:rFonts w:ascii="Times New Roman" w:eastAsia="Times New Roman"/>
                <w:snapToGrid w:val="0"/>
                <w:spacing w:val="0"/>
                <w:kern w:val="0"/>
                <w:sz w:val="28"/>
              </w:rPr>
              <w:t>3</w:t>
            </w:r>
            <w:r>
              <w:rPr>
                <w:snapToGrid w:val="0"/>
                <w:spacing w:val="0"/>
                <w:kern w:val="0"/>
                <w:sz w:val="28"/>
              </w:rPr>
              <w:t>）</w:t>
            </w:r>
            <w:r>
              <w:rPr>
                <w:rFonts w:ascii="Times New Roman" w:eastAsia="Times New Roman"/>
                <w:snapToGrid w:val="0"/>
                <w:spacing w:val="0"/>
                <w:kern w:val="0"/>
                <w:sz w:val="28"/>
              </w:rPr>
              <w:t>1</w:t>
            </w:r>
            <w:r>
              <w:rPr>
                <w:snapToGrid w:val="0"/>
                <w:spacing w:val="0"/>
                <w:kern w:val="0"/>
                <w:sz w:val="28"/>
              </w:rPr>
              <w:t>起食品安全事件涉及人数在</w:t>
            </w:r>
            <w:r>
              <w:rPr>
                <w:rFonts w:ascii="Times New Roman" w:eastAsia="Times New Roman"/>
                <w:snapToGrid w:val="0"/>
                <w:spacing w:val="0"/>
                <w:kern w:val="0"/>
                <w:sz w:val="28"/>
              </w:rPr>
              <w:t>100</w:t>
            </w:r>
            <w:r>
              <w:rPr>
                <w:snapToGrid w:val="0"/>
                <w:spacing w:val="0"/>
                <w:kern w:val="0"/>
                <w:sz w:val="28"/>
              </w:rPr>
              <w:t>人以上并出现死亡病例；或出现</w:t>
            </w:r>
            <w:r>
              <w:rPr>
                <w:rFonts w:ascii="Times New Roman" w:eastAsia="Times New Roman"/>
                <w:snapToGrid w:val="0"/>
                <w:spacing w:val="0"/>
                <w:kern w:val="0"/>
                <w:sz w:val="28"/>
              </w:rPr>
              <w:t>10</w:t>
            </w:r>
            <w:r>
              <w:rPr>
                <w:snapToGrid w:val="0"/>
                <w:spacing w:val="0"/>
                <w:kern w:val="0"/>
                <w:sz w:val="28"/>
              </w:rPr>
              <w:t>人以上、</w:t>
            </w:r>
            <w:r>
              <w:rPr>
                <w:rFonts w:ascii="Times New Roman" w:eastAsia="Times New Roman"/>
                <w:snapToGrid w:val="0"/>
                <w:spacing w:val="0"/>
                <w:kern w:val="0"/>
                <w:sz w:val="28"/>
              </w:rPr>
              <w:t>29</w:t>
            </w:r>
            <w:r>
              <w:rPr>
                <w:snapToGrid w:val="0"/>
                <w:spacing w:val="0"/>
                <w:kern w:val="0"/>
                <w:sz w:val="28"/>
              </w:rPr>
              <w:t>人以下死亡的；</w:t>
            </w:r>
          </w:p>
          <w:p>
            <w:pPr>
              <w:pStyle w:val="8"/>
              <w:widowControl w:val="0"/>
              <w:wordWrap/>
              <w:autoSpaceDE w:val="0"/>
              <w:autoSpaceDN w:val="0"/>
              <w:adjustRightInd/>
              <w:snapToGrid w:val="0"/>
              <w:spacing w:before="0" w:after="0" w:line="480" w:lineRule="exact"/>
              <w:ind w:left="106" w:leftChars="0" w:firstLine="0" w:firstLineChars="0"/>
              <w:jc w:val="both"/>
              <w:textAlignment w:val="auto"/>
              <w:outlineLvl w:val="9"/>
              <w:rPr>
                <w:sz w:val="28"/>
              </w:rPr>
            </w:pPr>
            <w:r>
              <w:rPr>
                <w:snapToGrid w:val="0"/>
                <w:spacing w:val="0"/>
                <w:kern w:val="0"/>
                <w:sz w:val="28"/>
              </w:rPr>
              <w:t>（</w:t>
            </w:r>
            <w:r>
              <w:rPr>
                <w:rFonts w:ascii="Times New Roman" w:eastAsia="Times New Roman"/>
                <w:snapToGrid w:val="0"/>
                <w:spacing w:val="0"/>
                <w:kern w:val="0"/>
                <w:sz w:val="28"/>
              </w:rPr>
              <w:t>4</w:t>
            </w:r>
            <w:r>
              <w:rPr>
                <w:snapToGrid w:val="0"/>
                <w:spacing w:val="0"/>
                <w:kern w:val="0"/>
                <w:sz w:val="28"/>
              </w:rPr>
              <w:t>）省级党委、政府认定的其他重大级别食品安全事件。</w:t>
            </w:r>
          </w:p>
        </w:tc>
        <w:tc>
          <w:tcPr>
            <w:tcW w:w="1423" w:type="dxa"/>
            <w:vAlign w:val="center"/>
          </w:tcPr>
          <w:p>
            <w:pPr>
              <w:pStyle w:val="8"/>
              <w:widowControl w:val="0"/>
              <w:wordWrap/>
              <w:autoSpaceDE w:val="0"/>
              <w:autoSpaceDN w:val="0"/>
              <w:adjustRightInd/>
              <w:snapToGrid w:val="0"/>
              <w:spacing w:before="0" w:after="0" w:line="240" w:lineRule="auto"/>
              <w:ind w:left="108" w:firstLine="0" w:firstLineChars="0"/>
              <w:jc w:val="center"/>
              <w:textAlignment w:val="auto"/>
              <w:outlineLvl w:val="9"/>
              <w:rPr>
                <w:sz w:val="28"/>
              </w:rPr>
            </w:pPr>
            <w:r>
              <w:rPr>
                <w:sz w:val="28"/>
              </w:rPr>
              <w:t>二级响应</w:t>
            </w:r>
          </w:p>
        </w:tc>
      </w:tr>
      <w:tr>
        <w:trPr>
          <w:trHeight w:val="2019" w:hRule="atLeast"/>
        </w:trPr>
        <w:tc>
          <w:tcPr>
            <w:tcW w:w="839" w:type="dxa"/>
            <w:vAlign w:val="center"/>
          </w:tcPr>
          <w:p>
            <w:pPr>
              <w:pStyle w:val="8"/>
              <w:widowControl w:val="0"/>
              <w:wordWrap/>
              <w:autoSpaceDE w:val="0"/>
              <w:autoSpaceDN w:val="0"/>
              <w:adjustRightInd/>
              <w:snapToGrid w:val="0"/>
              <w:spacing w:before="0" w:after="0" w:line="240" w:lineRule="auto"/>
              <w:ind w:left="121" w:right="109" w:firstLine="0" w:firstLineChars="0"/>
              <w:jc w:val="center"/>
              <w:textAlignment w:val="auto"/>
              <w:outlineLvl w:val="9"/>
              <w:rPr>
                <w:rFonts w:hint="eastAsia" w:ascii="楷体" w:eastAsia="楷体"/>
                <w:sz w:val="28"/>
              </w:rPr>
            </w:pPr>
            <w:r>
              <w:rPr>
                <w:rFonts w:hint="eastAsia" w:ascii="楷体" w:eastAsia="楷体"/>
                <w:sz w:val="28"/>
              </w:rPr>
              <w:t>较大</w:t>
            </w:r>
          </w:p>
        </w:tc>
        <w:tc>
          <w:tcPr>
            <w:tcW w:w="7658" w:type="dxa"/>
            <w:vAlign w:val="center"/>
          </w:tcPr>
          <w:p>
            <w:pPr>
              <w:pStyle w:val="8"/>
              <w:widowControl w:val="0"/>
              <w:wordWrap/>
              <w:autoSpaceDE w:val="0"/>
              <w:autoSpaceDN w:val="0"/>
              <w:adjustRightInd/>
              <w:snapToGrid w:val="0"/>
              <w:spacing w:before="0" w:after="0" w:line="240" w:lineRule="auto"/>
              <w:ind w:left="106" w:right="95" w:firstLine="0" w:firstLineChars="0"/>
              <w:jc w:val="both"/>
              <w:textAlignment w:val="auto"/>
              <w:outlineLvl w:val="9"/>
              <w:rPr>
                <w:snapToGrid w:val="0"/>
                <w:spacing w:val="0"/>
                <w:kern w:val="0"/>
                <w:sz w:val="28"/>
              </w:rPr>
            </w:pPr>
            <w:r>
              <w:rPr>
                <w:snapToGrid w:val="0"/>
                <w:spacing w:val="0"/>
                <w:kern w:val="0"/>
                <w:sz w:val="28"/>
              </w:rPr>
              <w:t>（</w:t>
            </w:r>
            <w:r>
              <w:rPr>
                <w:rFonts w:ascii="Times New Roman" w:eastAsia="Times New Roman"/>
                <w:snapToGrid w:val="0"/>
                <w:spacing w:val="0"/>
                <w:kern w:val="0"/>
                <w:sz w:val="28"/>
              </w:rPr>
              <w:t>1</w:t>
            </w:r>
            <w:r>
              <w:rPr>
                <w:snapToGrid w:val="0"/>
                <w:spacing w:val="0"/>
                <w:kern w:val="0"/>
                <w:sz w:val="28"/>
              </w:rPr>
              <w:t>）受污染食品流入</w:t>
            </w:r>
            <w:r>
              <w:rPr>
                <w:rFonts w:ascii="Times New Roman" w:eastAsia="Times New Roman"/>
                <w:snapToGrid w:val="0"/>
                <w:spacing w:val="0"/>
                <w:kern w:val="0"/>
                <w:sz w:val="28"/>
              </w:rPr>
              <w:t>2</w:t>
            </w:r>
            <w:r>
              <w:rPr>
                <w:snapToGrid w:val="0"/>
                <w:spacing w:val="0"/>
                <w:kern w:val="0"/>
                <w:sz w:val="28"/>
              </w:rPr>
              <w:t>个以上县（市）</w:t>
            </w:r>
            <w:r>
              <w:rPr>
                <w:rFonts w:hint="eastAsia"/>
                <w:snapToGrid w:val="0"/>
                <w:spacing w:val="0"/>
                <w:kern w:val="0"/>
                <w:sz w:val="28"/>
                <w:lang w:eastAsia="zh-CN"/>
              </w:rPr>
              <w:t>，</w:t>
            </w:r>
            <w:r>
              <w:rPr>
                <w:snapToGrid w:val="0"/>
                <w:spacing w:val="0"/>
                <w:kern w:val="0"/>
                <w:sz w:val="28"/>
              </w:rPr>
              <w:t>已造成严重健康损害后果的；</w:t>
            </w:r>
          </w:p>
          <w:p>
            <w:pPr>
              <w:pStyle w:val="8"/>
              <w:widowControl w:val="0"/>
              <w:wordWrap/>
              <w:autoSpaceDE w:val="0"/>
              <w:autoSpaceDN w:val="0"/>
              <w:adjustRightInd/>
              <w:snapToGrid w:val="0"/>
              <w:spacing w:before="0" w:after="0" w:line="240" w:lineRule="auto"/>
              <w:ind w:left="106" w:right="97" w:firstLine="0" w:firstLineChars="0"/>
              <w:jc w:val="both"/>
              <w:textAlignment w:val="auto"/>
              <w:outlineLvl w:val="9"/>
              <w:rPr>
                <w:snapToGrid w:val="0"/>
                <w:spacing w:val="0"/>
                <w:kern w:val="0"/>
                <w:sz w:val="28"/>
              </w:rPr>
            </w:pPr>
            <w:r>
              <w:rPr>
                <w:snapToGrid w:val="0"/>
                <w:spacing w:val="0"/>
                <w:kern w:val="0"/>
                <w:sz w:val="28"/>
              </w:rPr>
              <w:t>（</w:t>
            </w:r>
            <w:r>
              <w:rPr>
                <w:rFonts w:ascii="Times New Roman" w:eastAsia="Times New Roman"/>
                <w:snapToGrid w:val="0"/>
                <w:spacing w:val="0"/>
                <w:kern w:val="0"/>
                <w:sz w:val="28"/>
              </w:rPr>
              <w:t>2</w:t>
            </w:r>
            <w:r>
              <w:rPr>
                <w:snapToGrid w:val="0"/>
                <w:spacing w:val="0"/>
                <w:kern w:val="0"/>
                <w:sz w:val="28"/>
              </w:rPr>
              <w:t>）</w:t>
            </w:r>
            <w:r>
              <w:rPr>
                <w:rFonts w:ascii="Times New Roman" w:eastAsia="Times New Roman"/>
                <w:snapToGrid w:val="0"/>
                <w:spacing w:val="0"/>
                <w:kern w:val="0"/>
                <w:sz w:val="28"/>
              </w:rPr>
              <w:t>1</w:t>
            </w:r>
            <w:r>
              <w:rPr>
                <w:snapToGrid w:val="0"/>
                <w:spacing w:val="0"/>
                <w:kern w:val="0"/>
                <w:sz w:val="28"/>
              </w:rPr>
              <w:t>起食品安全事件涉及人数在</w:t>
            </w:r>
            <w:r>
              <w:rPr>
                <w:rFonts w:ascii="Times New Roman" w:eastAsia="Times New Roman"/>
                <w:snapToGrid w:val="0"/>
                <w:spacing w:val="0"/>
                <w:kern w:val="0"/>
                <w:sz w:val="28"/>
              </w:rPr>
              <w:t>100</w:t>
            </w:r>
            <w:r>
              <w:rPr>
                <w:snapToGrid w:val="0"/>
                <w:spacing w:val="0"/>
                <w:kern w:val="0"/>
                <w:sz w:val="28"/>
              </w:rPr>
              <w:t>人以上；或出现死亡病例的；</w:t>
            </w:r>
          </w:p>
          <w:p>
            <w:pPr>
              <w:pStyle w:val="8"/>
              <w:widowControl w:val="0"/>
              <w:wordWrap/>
              <w:autoSpaceDE w:val="0"/>
              <w:autoSpaceDN w:val="0"/>
              <w:adjustRightInd/>
              <w:snapToGrid w:val="0"/>
              <w:spacing w:before="0" w:after="0" w:line="240" w:lineRule="auto"/>
              <w:ind w:left="106" w:firstLine="0" w:firstLineChars="0"/>
              <w:jc w:val="both"/>
              <w:textAlignment w:val="auto"/>
              <w:outlineLvl w:val="9"/>
              <w:rPr>
                <w:sz w:val="28"/>
              </w:rPr>
            </w:pPr>
            <w:r>
              <w:rPr>
                <w:snapToGrid w:val="0"/>
                <w:spacing w:val="0"/>
                <w:kern w:val="0"/>
                <w:sz w:val="28"/>
              </w:rPr>
              <w:t>（</w:t>
            </w:r>
            <w:r>
              <w:rPr>
                <w:rFonts w:ascii="Times New Roman" w:eastAsia="Times New Roman"/>
                <w:snapToGrid w:val="0"/>
                <w:spacing w:val="0"/>
                <w:kern w:val="0"/>
                <w:sz w:val="28"/>
              </w:rPr>
              <w:t>3</w:t>
            </w:r>
            <w:r>
              <w:rPr>
                <w:snapToGrid w:val="0"/>
                <w:spacing w:val="0"/>
                <w:kern w:val="0"/>
                <w:sz w:val="28"/>
              </w:rPr>
              <w:t>）市级党委、政府认定的其他较大级别食品安全事件。</w:t>
            </w:r>
          </w:p>
        </w:tc>
        <w:tc>
          <w:tcPr>
            <w:tcW w:w="1423" w:type="dxa"/>
            <w:vAlign w:val="center"/>
          </w:tcPr>
          <w:p>
            <w:pPr>
              <w:pStyle w:val="8"/>
              <w:widowControl w:val="0"/>
              <w:wordWrap/>
              <w:autoSpaceDE w:val="0"/>
              <w:autoSpaceDN w:val="0"/>
              <w:adjustRightInd/>
              <w:snapToGrid w:val="0"/>
              <w:spacing w:before="0" w:after="0" w:line="240" w:lineRule="auto"/>
              <w:ind w:left="108" w:firstLine="0" w:firstLineChars="0"/>
              <w:jc w:val="center"/>
              <w:textAlignment w:val="auto"/>
              <w:outlineLvl w:val="9"/>
              <w:rPr>
                <w:sz w:val="28"/>
              </w:rPr>
            </w:pPr>
            <w:r>
              <w:rPr>
                <w:sz w:val="28"/>
              </w:rPr>
              <w:t>三级响应</w:t>
            </w:r>
          </w:p>
        </w:tc>
      </w:tr>
      <w:tr>
        <w:trPr>
          <w:trHeight w:val="2097" w:hRule="atLeast"/>
        </w:trPr>
        <w:tc>
          <w:tcPr>
            <w:tcW w:w="839" w:type="dxa"/>
            <w:vAlign w:val="center"/>
          </w:tcPr>
          <w:p>
            <w:pPr>
              <w:pStyle w:val="8"/>
              <w:widowControl w:val="0"/>
              <w:wordWrap/>
              <w:autoSpaceDE w:val="0"/>
              <w:autoSpaceDN w:val="0"/>
              <w:adjustRightInd/>
              <w:snapToGrid w:val="0"/>
              <w:spacing w:before="0" w:after="0" w:line="240" w:lineRule="auto"/>
              <w:ind w:left="121" w:right="109" w:firstLine="0" w:firstLineChars="0"/>
              <w:jc w:val="center"/>
              <w:textAlignment w:val="auto"/>
              <w:outlineLvl w:val="9"/>
              <w:rPr>
                <w:rFonts w:hint="eastAsia" w:ascii="楷体" w:eastAsia="楷体"/>
                <w:sz w:val="28"/>
              </w:rPr>
            </w:pPr>
            <w:r>
              <w:rPr>
                <w:rFonts w:hint="eastAsia" w:ascii="楷体" w:eastAsia="楷体"/>
                <w:sz w:val="28"/>
              </w:rPr>
              <w:t>一般</w:t>
            </w:r>
          </w:p>
        </w:tc>
        <w:tc>
          <w:tcPr>
            <w:tcW w:w="7658" w:type="dxa"/>
            <w:vAlign w:val="center"/>
          </w:tcPr>
          <w:p>
            <w:pPr>
              <w:pStyle w:val="8"/>
              <w:widowControl w:val="0"/>
              <w:wordWrap/>
              <w:autoSpaceDE w:val="0"/>
              <w:autoSpaceDN w:val="0"/>
              <w:adjustRightInd/>
              <w:snapToGrid w:val="0"/>
              <w:spacing w:before="0" w:after="0" w:line="500" w:lineRule="exact"/>
              <w:ind w:left="106" w:leftChars="0" w:right="-44" w:firstLine="0" w:firstLineChars="0"/>
              <w:jc w:val="both"/>
              <w:textAlignment w:val="auto"/>
              <w:outlineLvl w:val="9"/>
              <w:rPr>
                <w:snapToGrid w:val="0"/>
                <w:spacing w:val="0"/>
                <w:kern w:val="0"/>
                <w:sz w:val="28"/>
              </w:rPr>
            </w:pPr>
            <w:r>
              <w:rPr>
                <w:snapToGrid w:val="0"/>
                <w:spacing w:val="0"/>
                <w:kern w:val="0"/>
                <w:sz w:val="28"/>
              </w:rPr>
              <w:t>（</w:t>
            </w:r>
            <w:r>
              <w:rPr>
                <w:rFonts w:ascii="Times New Roman" w:eastAsia="Times New Roman"/>
                <w:snapToGrid w:val="0"/>
                <w:spacing w:val="0"/>
                <w:kern w:val="0"/>
                <w:sz w:val="28"/>
              </w:rPr>
              <w:t>1</w:t>
            </w:r>
            <w:r>
              <w:rPr>
                <w:snapToGrid w:val="0"/>
                <w:spacing w:val="0"/>
                <w:kern w:val="0"/>
                <w:sz w:val="28"/>
              </w:rPr>
              <w:t>）存在健康损害的污染食品，已造成严重健康损害后果的；</w:t>
            </w:r>
          </w:p>
          <w:p>
            <w:pPr>
              <w:pStyle w:val="8"/>
              <w:widowControl w:val="0"/>
              <w:wordWrap/>
              <w:autoSpaceDE w:val="0"/>
              <w:autoSpaceDN w:val="0"/>
              <w:adjustRightInd/>
              <w:snapToGrid w:val="0"/>
              <w:spacing w:before="0" w:after="0" w:line="500" w:lineRule="exact"/>
              <w:ind w:left="106" w:leftChars="0" w:right="95" w:firstLine="0" w:firstLineChars="0"/>
              <w:jc w:val="both"/>
              <w:textAlignment w:val="auto"/>
              <w:outlineLvl w:val="9"/>
              <w:rPr>
                <w:snapToGrid w:val="0"/>
                <w:spacing w:val="0"/>
                <w:kern w:val="0"/>
                <w:sz w:val="28"/>
              </w:rPr>
            </w:pPr>
            <w:r>
              <w:rPr>
                <w:snapToGrid w:val="0"/>
                <w:spacing w:val="0"/>
                <w:kern w:val="0"/>
                <w:sz w:val="28"/>
              </w:rPr>
              <w:t>（</w:t>
            </w:r>
            <w:r>
              <w:rPr>
                <w:rFonts w:ascii="Times New Roman" w:eastAsia="Times New Roman"/>
                <w:snapToGrid w:val="0"/>
                <w:spacing w:val="0"/>
                <w:kern w:val="0"/>
                <w:sz w:val="28"/>
              </w:rPr>
              <w:t>2</w:t>
            </w:r>
            <w:r>
              <w:rPr>
                <w:snapToGrid w:val="0"/>
                <w:spacing w:val="0"/>
                <w:kern w:val="0"/>
                <w:sz w:val="28"/>
              </w:rPr>
              <w:t>）</w:t>
            </w:r>
            <w:r>
              <w:rPr>
                <w:rFonts w:ascii="Times New Roman" w:eastAsia="Times New Roman"/>
                <w:snapToGrid w:val="0"/>
                <w:spacing w:val="0"/>
                <w:kern w:val="0"/>
                <w:sz w:val="28"/>
              </w:rPr>
              <w:t>1</w:t>
            </w:r>
            <w:r>
              <w:rPr>
                <w:snapToGrid w:val="0"/>
                <w:spacing w:val="0"/>
                <w:kern w:val="0"/>
                <w:sz w:val="28"/>
              </w:rPr>
              <w:t>起食品安全事件涉及人数在</w:t>
            </w:r>
            <w:r>
              <w:rPr>
                <w:rFonts w:ascii="Times New Roman" w:eastAsia="Times New Roman"/>
                <w:snapToGrid w:val="0"/>
                <w:spacing w:val="0"/>
                <w:kern w:val="0"/>
                <w:sz w:val="28"/>
              </w:rPr>
              <w:t>30</w:t>
            </w:r>
            <w:r>
              <w:rPr>
                <w:snapToGrid w:val="0"/>
                <w:spacing w:val="0"/>
                <w:kern w:val="0"/>
                <w:sz w:val="28"/>
              </w:rPr>
              <w:t>人以上、</w:t>
            </w:r>
            <w:r>
              <w:rPr>
                <w:rFonts w:ascii="Times New Roman" w:eastAsia="Times New Roman"/>
                <w:snapToGrid w:val="0"/>
                <w:spacing w:val="0"/>
                <w:kern w:val="0"/>
                <w:sz w:val="28"/>
              </w:rPr>
              <w:t>99</w:t>
            </w:r>
            <w:r>
              <w:rPr>
                <w:snapToGrid w:val="0"/>
                <w:spacing w:val="0"/>
                <w:kern w:val="0"/>
                <w:sz w:val="28"/>
              </w:rPr>
              <w:t>人以下，且未出现死亡病例的；</w:t>
            </w:r>
          </w:p>
          <w:p>
            <w:pPr>
              <w:pStyle w:val="8"/>
              <w:widowControl w:val="0"/>
              <w:wordWrap/>
              <w:autoSpaceDE w:val="0"/>
              <w:autoSpaceDN w:val="0"/>
              <w:adjustRightInd/>
              <w:snapToGrid w:val="0"/>
              <w:spacing w:before="0" w:after="0" w:line="500" w:lineRule="exact"/>
              <w:ind w:left="106" w:leftChars="0" w:firstLine="0" w:firstLineChars="0"/>
              <w:jc w:val="both"/>
              <w:textAlignment w:val="auto"/>
              <w:outlineLvl w:val="9"/>
              <w:rPr>
                <w:sz w:val="28"/>
              </w:rPr>
            </w:pPr>
            <w:r>
              <w:rPr>
                <w:snapToGrid w:val="0"/>
                <w:spacing w:val="0"/>
                <w:kern w:val="0"/>
                <w:sz w:val="28"/>
              </w:rPr>
              <w:t>（</w:t>
            </w:r>
            <w:r>
              <w:rPr>
                <w:rFonts w:ascii="Times New Roman" w:eastAsia="Times New Roman"/>
                <w:snapToGrid w:val="0"/>
                <w:spacing w:val="0"/>
                <w:kern w:val="0"/>
                <w:sz w:val="28"/>
              </w:rPr>
              <w:t>3</w:t>
            </w:r>
            <w:r>
              <w:rPr>
                <w:snapToGrid w:val="0"/>
                <w:spacing w:val="0"/>
                <w:kern w:val="0"/>
                <w:sz w:val="28"/>
              </w:rPr>
              <w:t>）县级党委、政府认定的其他一般级别食品安全事件。</w:t>
            </w:r>
          </w:p>
        </w:tc>
        <w:tc>
          <w:tcPr>
            <w:tcW w:w="1423" w:type="dxa"/>
            <w:vAlign w:val="center"/>
          </w:tcPr>
          <w:p>
            <w:pPr>
              <w:pStyle w:val="8"/>
              <w:widowControl w:val="0"/>
              <w:wordWrap/>
              <w:autoSpaceDE w:val="0"/>
              <w:autoSpaceDN w:val="0"/>
              <w:adjustRightInd/>
              <w:snapToGrid w:val="0"/>
              <w:spacing w:before="0" w:after="0" w:line="240" w:lineRule="auto"/>
              <w:ind w:left="108" w:firstLine="0" w:firstLineChars="0"/>
              <w:jc w:val="center"/>
              <w:textAlignment w:val="auto"/>
              <w:outlineLvl w:val="9"/>
              <w:rPr>
                <w:sz w:val="28"/>
              </w:rPr>
            </w:pPr>
            <w:r>
              <w:rPr>
                <w:sz w:val="28"/>
              </w:rPr>
              <w:t>四级响应</w:t>
            </w:r>
          </w:p>
        </w:tc>
      </w:tr>
    </w:tbl>
    <w:p>
      <w:pPr>
        <w:pStyle w:val="2"/>
        <w:widowControl w:val="0"/>
        <w:wordWrap/>
        <w:autoSpaceDE w:val="0"/>
        <w:autoSpaceDN w:val="0"/>
        <w:adjustRightInd/>
        <w:snapToGrid w:val="0"/>
        <w:spacing w:before="0" w:after="0" w:line="240" w:lineRule="auto"/>
        <w:ind w:left="0" w:firstLine="0" w:firstLineChars="0"/>
        <w:textAlignment w:val="auto"/>
        <w:outlineLvl w:val="9"/>
        <w:rPr>
          <w:sz w:val="11"/>
        </w:rPr>
      </w:pPr>
    </w:p>
    <w:p>
      <w:pPr>
        <w:widowControl w:val="0"/>
        <w:wordWrap/>
        <w:autoSpaceDE w:val="0"/>
        <w:autoSpaceDN w:val="0"/>
        <w:adjustRightInd/>
        <w:snapToGrid/>
        <w:spacing w:before="0" w:line="600" w:lineRule="exact"/>
        <w:ind w:left="651" w:right="0" w:firstLine="0"/>
        <w:jc w:val="left"/>
        <w:textAlignment w:val="auto"/>
        <w:rPr>
          <w:rFonts w:hint="eastAsia" w:ascii="仿宋_GB2312" w:hAnsi="仿宋_GB2312" w:eastAsia="仿宋_GB2312" w:cs="仿宋_GB2312"/>
          <w:snapToGrid w:val="0"/>
          <w:spacing w:val="0"/>
          <w:kern w:val="0"/>
          <w:sz w:val="32"/>
          <w:szCs w:val="32"/>
        </w:rPr>
      </w:pPr>
      <w:r>
        <w:rPr>
          <w:rFonts w:hint="eastAsia" w:ascii="仿宋_GB2312" w:hAnsi="仿宋_GB2312" w:eastAsia="仿宋_GB2312" w:cs="仿宋_GB2312"/>
          <w:snapToGrid w:val="0"/>
          <w:spacing w:val="0"/>
          <w:kern w:val="0"/>
          <w:sz w:val="32"/>
          <w:szCs w:val="32"/>
          <w:lang w:val="en-US" w:eastAsia="zh-CN" w:bidi="ar-SA"/>
        </w:rPr>
        <w:pict>
          <v:rect id="_x0000_s1032" o:spid="_x0000_s1028" style="position:absolute;left:0;margin-left:474.95pt;margin-top:-107.05pt;height:99.65pt;width:71pt;mso-position-horizontal-relative:page;rotation:0f;z-index:-251657216;" o:ole="f" fillcolor="#FFFFFF" filled="t" o:preferrelative="t" stroked="f" coordsize="21600,21600">
            <v:imagedata gain="65536f" blacklevel="0f" gamma="0"/>
            <o:lock v:ext="edit" position="f" selection="f" grouping="f" rotation="f" cropping="f" text="f" aspectratio="f"/>
          </v:rect>
        </w:pict>
      </w:r>
      <w:r>
        <w:rPr>
          <w:rFonts w:hint="eastAsia" w:ascii="仿宋_GB2312" w:hAnsi="仿宋_GB2312" w:eastAsia="仿宋_GB2312" w:cs="仿宋_GB2312"/>
          <w:snapToGrid w:val="0"/>
          <w:spacing w:val="0"/>
          <w:kern w:val="0"/>
          <w:sz w:val="32"/>
          <w:szCs w:val="32"/>
        </w:rPr>
        <w:t>注：</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以上</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以下</w:t>
      </w:r>
      <w:r>
        <w:rPr>
          <w:rFonts w:hint="eastAsia" w:ascii="仿宋_GB2312" w:hAnsi="仿宋_GB2312" w:eastAsia="仿宋_GB2312" w:cs="仿宋_GB2312"/>
          <w:snapToGrid w:val="0"/>
          <w:spacing w:val="0"/>
          <w:kern w:val="0"/>
          <w:sz w:val="32"/>
          <w:szCs w:val="32"/>
          <w:lang w:eastAsia="zh-CN"/>
        </w:rPr>
        <w:t>”</w:t>
      </w:r>
      <w:r>
        <w:rPr>
          <w:rFonts w:hint="eastAsia" w:ascii="仿宋_GB2312" w:hAnsi="仿宋_GB2312" w:eastAsia="仿宋_GB2312" w:cs="仿宋_GB2312"/>
          <w:snapToGrid w:val="0"/>
          <w:spacing w:val="0"/>
          <w:kern w:val="0"/>
          <w:sz w:val="32"/>
          <w:szCs w:val="32"/>
        </w:rPr>
        <w:t>均含本数。</w:t>
      </w: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val="0"/>
        <w:wordWrap/>
        <w:autoSpaceDE w:val="0"/>
        <w:autoSpaceDN w:val="0"/>
        <w:adjustRightInd/>
        <w:snapToGrid/>
        <w:spacing w:before="0" w:line="600" w:lineRule="exact"/>
        <w:ind w:left="651" w:right="0" w:firstLine="0"/>
        <w:jc w:val="left"/>
        <w:textAlignment w:val="auto"/>
        <w:rPr>
          <w:spacing w:val="-26"/>
          <w:sz w:val="24"/>
        </w:rPr>
      </w:pPr>
    </w:p>
    <w:p>
      <w:pPr>
        <w:widowControl/>
        <w:snapToGrid w:val="0"/>
        <w:ind w:right="482" w:firstLine="641"/>
        <w:jc w:val="center"/>
        <w:rPr>
          <w:rFonts w:hint="eastAsia" w:ascii="仿宋_GB2312" w:hAnsi="等线" w:eastAsia="仿宋_GB2312" w:cs="宋体"/>
          <w:kern w:val="0"/>
          <w:sz w:val="10"/>
          <w:szCs w:val="10"/>
        </w:rPr>
      </w:pPr>
    </w:p>
    <w:p>
      <w:pPr>
        <w:widowControl/>
        <w:snapToGrid w:val="0"/>
        <w:ind w:right="482" w:firstLine="641"/>
        <w:jc w:val="center"/>
        <w:rPr>
          <w:rFonts w:hint="eastAsia" w:ascii="仿宋_GB2312" w:hAnsi="等线" w:eastAsia="仿宋_GB2312" w:cs="宋体"/>
          <w:kern w:val="0"/>
          <w:sz w:val="10"/>
          <w:szCs w:val="10"/>
        </w:rPr>
      </w:pPr>
    </w:p>
    <w:p>
      <w:pPr>
        <w:widowControl/>
        <w:snapToGrid w:val="0"/>
        <w:ind w:right="482" w:firstLine="641"/>
        <w:jc w:val="center"/>
        <w:rPr>
          <w:rFonts w:hint="eastAsia" w:ascii="仿宋_GB2312" w:hAnsi="等线" w:eastAsia="仿宋_GB2312" w:cs="宋体"/>
          <w:kern w:val="0"/>
          <w:sz w:val="10"/>
          <w:szCs w:val="10"/>
        </w:rPr>
      </w:pPr>
    </w:p>
    <w:p>
      <w:pPr>
        <w:widowControl/>
        <w:snapToGrid w:val="0"/>
        <w:ind w:right="482" w:firstLine="641"/>
        <w:jc w:val="center"/>
        <w:rPr>
          <w:rFonts w:hint="eastAsia" w:ascii="仿宋_GB2312" w:hAnsi="等线" w:eastAsia="仿宋_GB2312" w:cs="宋体"/>
          <w:kern w:val="0"/>
          <w:sz w:val="10"/>
          <w:szCs w:val="10"/>
        </w:rPr>
      </w:pPr>
    </w:p>
    <w:p>
      <w:pPr>
        <w:widowControl/>
        <w:snapToGrid w:val="0"/>
        <w:ind w:right="482" w:firstLine="641"/>
        <w:jc w:val="center"/>
        <w:rPr>
          <w:rFonts w:hint="eastAsia" w:ascii="仿宋_GB2312" w:hAnsi="等线" w:eastAsia="仿宋_GB2312" w:cs="宋体"/>
          <w:kern w:val="0"/>
          <w:sz w:val="10"/>
          <w:szCs w:val="10"/>
        </w:rPr>
      </w:pPr>
    </w:p>
    <w:tbl>
      <w:tblPr>
        <w:tblW w:w="8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0"/>
      </w:tblGrid>
      <w:tr>
        <w:trPr>
          <w:trHeight w:val="675" w:hRule="atLeast"/>
        </w:trPr>
        <w:tc>
          <w:tcPr>
            <w:tcW w:w="8940" w:type="dxa"/>
            <w:tcBorders>
              <w:top w:val="single" w:color="000000" w:sz="12" w:space="0"/>
              <w:bottom w:val="single" w:color="000000" w:sz="12" w:space="0"/>
            </w:tcBorders>
            <w:vAlign w:val="top"/>
          </w:tcPr>
          <w:p>
            <w:pPr>
              <w:widowControl/>
              <w:snapToGrid w:val="0"/>
              <w:spacing w:line="600" w:lineRule="atLeast"/>
              <w:ind w:firstLine="150" w:firstLineChars="50"/>
              <w:jc w:val="left"/>
              <w:rPr>
                <w:rFonts w:ascii="仿宋_GB2312" w:hAnsi="等线" w:eastAsia="仿宋_GB2312" w:cs="宋体"/>
                <w:kern w:val="0"/>
                <w:sz w:val="30"/>
                <w:szCs w:val="30"/>
              </w:rPr>
            </w:pPr>
            <w:r>
              <w:rPr>
                <w:rFonts w:hint="eastAsia" w:ascii="仿宋_GB2312" w:hAnsi="等线" w:eastAsia="仿宋_GB2312" w:cs="宋体"/>
                <w:kern w:val="0"/>
                <w:sz w:val="30"/>
                <w:szCs w:val="30"/>
              </w:rPr>
              <w:t>南阳市</w:t>
            </w:r>
            <w:r>
              <w:rPr>
                <w:rFonts w:hint="eastAsia" w:ascii="仿宋_GB2312" w:hAnsi="等线" w:eastAsia="仿宋_GB2312" w:cs="宋体"/>
                <w:kern w:val="0"/>
                <w:sz w:val="30"/>
                <w:szCs w:val="30"/>
                <w:lang w:eastAsia="zh-CN"/>
              </w:rPr>
              <w:t>人民政府食品安全委员会办公室</w:t>
            </w:r>
            <w:r>
              <w:rPr>
                <w:rFonts w:hint="eastAsia" w:ascii="仿宋_GB2312" w:hAnsi="等线" w:eastAsia="仿宋_GB2312" w:cs="宋体"/>
                <w:kern w:val="0"/>
                <w:sz w:val="30"/>
                <w:szCs w:val="30"/>
                <w:lang w:val="en-US" w:eastAsia="zh-CN"/>
              </w:rPr>
              <w:t xml:space="preserve"> </w:t>
            </w:r>
            <w:r>
              <w:rPr>
                <w:rFonts w:hint="eastAsia" w:ascii="仿宋_GB2312" w:hAnsi="等线" w:eastAsia="仿宋_GB2312" w:cs="宋体"/>
                <w:kern w:val="0"/>
                <w:sz w:val="30"/>
                <w:szCs w:val="30"/>
              </w:rPr>
              <w:t xml:space="preserve"> 2021年</w:t>
            </w:r>
            <w:r>
              <w:rPr>
                <w:rFonts w:hint="eastAsia" w:ascii="仿宋_GB2312" w:hAnsi="等线" w:eastAsia="仿宋_GB2312" w:cs="宋体"/>
                <w:kern w:val="0"/>
                <w:sz w:val="30"/>
                <w:szCs w:val="30"/>
                <w:lang w:val="en-US" w:eastAsia="zh-CN"/>
              </w:rPr>
              <w:t>11</w:t>
            </w:r>
            <w:r>
              <w:rPr>
                <w:rFonts w:hint="eastAsia" w:ascii="仿宋_GB2312" w:hAnsi="等线" w:eastAsia="仿宋_GB2312" w:cs="宋体"/>
                <w:kern w:val="0"/>
                <w:sz w:val="30"/>
                <w:szCs w:val="30"/>
              </w:rPr>
              <w:t>月</w:t>
            </w:r>
            <w:r>
              <w:rPr>
                <w:rFonts w:hint="eastAsia" w:ascii="仿宋_GB2312" w:hAnsi="等线" w:eastAsia="仿宋_GB2312" w:cs="宋体"/>
                <w:kern w:val="0"/>
                <w:sz w:val="30"/>
                <w:szCs w:val="30"/>
                <w:lang w:val="en-US" w:eastAsia="zh-CN"/>
              </w:rPr>
              <w:t>22</w:t>
            </w:r>
            <w:r>
              <w:rPr>
                <w:rFonts w:hint="eastAsia" w:ascii="仿宋_GB2312" w:hAnsi="等线" w:eastAsia="仿宋_GB2312" w:cs="宋体"/>
                <w:kern w:val="0"/>
                <w:sz w:val="30"/>
                <w:szCs w:val="30"/>
              </w:rPr>
              <w:t>日印发</w:t>
            </w:r>
          </w:p>
        </w:tc>
      </w:tr>
    </w:tbl>
    <w:p>
      <w:pPr>
        <w:widowControl w:val="0"/>
        <w:wordWrap/>
        <w:adjustRightInd/>
        <w:snapToGrid w:val="0"/>
        <w:spacing w:before="0" w:after="0" w:line="240" w:lineRule="auto"/>
        <w:ind w:left="0" w:leftChars="0" w:right="0" w:firstLine="0" w:firstLineChars="0"/>
        <w:jc w:val="both"/>
        <w:textAlignment w:val="auto"/>
        <w:outlineLvl w:val="9"/>
        <w:rPr>
          <w:rFonts w:hint="eastAsia" w:ascii="仿宋" w:hAnsi="仿宋" w:eastAsia="仿宋" w:cs="仿宋"/>
          <w:sz w:val="10"/>
          <w:szCs w:val="10"/>
        </w:rPr>
      </w:pPr>
    </w:p>
    <w:sectPr>
      <w:footerReference r:id="rId4" w:type="default"/>
      <w:pgSz w:w="11906" w:h="16838"/>
      <w:pgMar w:top="2041" w:right="1474" w:bottom="1757" w:left="1587" w:header="851" w:footer="1247" w:gutter="0"/>
      <w:paperSrc w:first="0" w:other="0"/>
      <w:pgNumType w:fmt="decimal"/>
      <w:cols w:space="720" w:num="1"/>
      <w:rtlGutter w:val="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文星标宋">
    <w:altName w:val="微软雅黑"/>
    <w:panose1 w:val="02010604000101010101"/>
    <w:charset w:val="86"/>
    <w:family w:val="auto"/>
    <w:pitch w:val="default"/>
    <w:sig w:usb0="00000003" w:usb1="080E0000" w:usb2="00000010" w:usb3="00000000" w:csb0="00040001" w:csb1="00000000"/>
  </w:font>
  <w:font w:name="华文宋体">
    <w:altName w:val="宋体"/>
    <w:panose1 w:val="02010600040101010101"/>
    <w:charset w:val="86"/>
    <w:family w:val="auto"/>
    <w:pitch w:val="default"/>
    <w:sig w:usb0="00000287" w:usb1="080F0000" w:usb2="00000010" w:usb3="00000000" w:csb0="0004009F" w:csb1="00000000"/>
  </w:font>
  <w:font w:name="等线">
    <w:altName w:val="微软雅黑"/>
    <w:panose1 w:val="02010600030101010101"/>
    <w:charset w:val="86"/>
    <w:family w:val="auto"/>
    <w:pitch w:val="default"/>
    <w:sig w:usb0="A00002BF" w:usb1="38CF7CFA" w:usb2="00000016" w:usb3="00000000" w:csb0="0004000F" w:csb1="00000000"/>
  </w:font>
  <w:font w:name="MingLiU">
    <w:panose1 w:val="02020509000000000000"/>
    <w:charset w:val="88"/>
    <w:family w:val="auto"/>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rFonts w:ascii="Calibri" w:hAnsi="Calibri" w:eastAsia="宋体" w:cs="宋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322553">
    <w:nsid w:val="0248C179"/>
    <w:multiLevelType w:val="multilevel"/>
    <w:tmpl w:val="0248C179"/>
    <w:lvl w:ilvl="0" w:tentative="1">
      <w:start w:val="1"/>
      <w:numFmt w:val="decimal"/>
      <w:lvlText w:val="（%1）"/>
      <w:lvlJc w:val="left"/>
      <w:pPr>
        <w:ind w:left="106" w:hanging="702"/>
      </w:pPr>
      <w:rPr>
        <w:rFonts w:hint="default" w:ascii="仿宋" w:hAnsi="仿宋" w:eastAsia="仿宋" w:cs="仿宋"/>
        <w:spacing w:val="-2"/>
        <w:w w:val="100"/>
        <w:sz w:val="26"/>
        <w:szCs w:val="26"/>
        <w:lang w:val="en-US" w:eastAsia="zh-CN" w:bidi="ar-SA"/>
      </w:rPr>
    </w:lvl>
    <w:lvl w:ilvl="1" w:tentative="1">
      <w:start w:val="0"/>
      <w:numFmt w:val="bullet"/>
      <w:lvlText w:val="•"/>
      <w:lvlJc w:val="left"/>
      <w:pPr>
        <w:ind w:left="856" w:hanging="702"/>
      </w:pPr>
      <w:rPr>
        <w:rFonts w:hint="default"/>
        <w:lang w:val="en-US" w:eastAsia="zh-CN" w:bidi="ar-SA"/>
      </w:rPr>
    </w:lvl>
    <w:lvl w:ilvl="2" w:tentative="1">
      <w:start w:val="0"/>
      <w:numFmt w:val="bullet"/>
      <w:lvlText w:val="•"/>
      <w:lvlJc w:val="left"/>
      <w:pPr>
        <w:ind w:left="1612" w:hanging="702"/>
      </w:pPr>
      <w:rPr>
        <w:rFonts w:hint="default"/>
        <w:lang w:val="en-US" w:eastAsia="zh-CN" w:bidi="ar-SA"/>
      </w:rPr>
    </w:lvl>
    <w:lvl w:ilvl="3" w:tentative="1">
      <w:start w:val="0"/>
      <w:numFmt w:val="bullet"/>
      <w:lvlText w:val="•"/>
      <w:lvlJc w:val="left"/>
      <w:pPr>
        <w:ind w:left="2368" w:hanging="702"/>
      </w:pPr>
      <w:rPr>
        <w:rFonts w:hint="default"/>
        <w:lang w:val="en-US" w:eastAsia="zh-CN" w:bidi="ar-SA"/>
      </w:rPr>
    </w:lvl>
    <w:lvl w:ilvl="4" w:tentative="1">
      <w:start w:val="0"/>
      <w:numFmt w:val="bullet"/>
      <w:lvlText w:val="•"/>
      <w:lvlJc w:val="left"/>
      <w:pPr>
        <w:ind w:left="3124" w:hanging="702"/>
      </w:pPr>
      <w:rPr>
        <w:rFonts w:hint="default"/>
        <w:lang w:val="en-US" w:eastAsia="zh-CN" w:bidi="ar-SA"/>
      </w:rPr>
    </w:lvl>
    <w:lvl w:ilvl="5" w:tentative="1">
      <w:start w:val="0"/>
      <w:numFmt w:val="bullet"/>
      <w:lvlText w:val="•"/>
      <w:lvlJc w:val="left"/>
      <w:pPr>
        <w:ind w:left="3880" w:hanging="702"/>
      </w:pPr>
      <w:rPr>
        <w:rFonts w:hint="default"/>
        <w:lang w:val="en-US" w:eastAsia="zh-CN" w:bidi="ar-SA"/>
      </w:rPr>
    </w:lvl>
    <w:lvl w:ilvl="6" w:tentative="1">
      <w:start w:val="0"/>
      <w:numFmt w:val="bullet"/>
      <w:lvlText w:val="•"/>
      <w:lvlJc w:val="left"/>
      <w:pPr>
        <w:ind w:left="4636" w:hanging="702"/>
      </w:pPr>
      <w:rPr>
        <w:rFonts w:hint="default"/>
        <w:lang w:val="en-US" w:eastAsia="zh-CN" w:bidi="ar-SA"/>
      </w:rPr>
    </w:lvl>
    <w:lvl w:ilvl="7" w:tentative="1">
      <w:start w:val="0"/>
      <w:numFmt w:val="bullet"/>
      <w:lvlText w:val="•"/>
      <w:lvlJc w:val="left"/>
      <w:pPr>
        <w:ind w:left="5392" w:hanging="702"/>
      </w:pPr>
      <w:rPr>
        <w:rFonts w:hint="default"/>
        <w:lang w:val="en-US" w:eastAsia="zh-CN" w:bidi="ar-SA"/>
      </w:rPr>
    </w:lvl>
    <w:lvl w:ilvl="8" w:tentative="1">
      <w:start w:val="0"/>
      <w:numFmt w:val="bullet"/>
      <w:lvlText w:val="•"/>
      <w:lvlJc w:val="left"/>
      <w:pPr>
        <w:ind w:left="6148" w:hanging="702"/>
      </w:pPr>
      <w:rPr>
        <w:rFonts w:hint="default"/>
        <w:lang w:val="en-US" w:eastAsia="zh-CN" w:bidi="ar-SA"/>
      </w:rPr>
    </w:lvl>
  </w:abstractNum>
  <w:num w:numId="1">
    <w:abstractNumId w:val="383225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0"/>
  </w:style>
  <w:style w:type="paragraph" w:styleId="2">
    <w:name w:val="Body Text"/>
    <w:basedOn w:val="1"/>
    <w:semiHidden/>
    <w:unhideWhenUsed/>
    <w:uiPriority w:val="99"/>
    <w:pPr>
      <w:ind w:left="111"/>
    </w:pPr>
    <w:rPr>
      <w:rFonts w:ascii="宋体" w:hAnsi="宋体" w:eastAsia="宋体" w:cs="宋体"/>
      <w:sz w:val="32"/>
      <w:szCs w:val="32"/>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6">
    <w:name w:val="page number"/>
    <w:basedOn w:val="5"/>
    <w:semiHidden/>
    <w:unhideWhenUsed/>
    <w:uiPriority w:val="99"/>
    <w:rPr>
      <w:rFonts w:cs="Times New Roman"/>
    </w:rPr>
  </w:style>
  <w:style w:type="character" w:styleId="7">
    <w:name w:val="Hyperlink"/>
    <w:basedOn w:val="5"/>
    <w:semiHidden/>
    <w:unhideWhenUsed/>
    <w:uiPriority w:val="99"/>
    <w:rPr>
      <w:color w:val="0000FF"/>
      <w:u w:val="single"/>
    </w:rPr>
  </w:style>
  <w:style w:type="paragraph" w:customStyle="1" w:styleId="8">
    <w:name w:val="Table Paragraph"/>
    <w:basedOn w:val="1"/>
    <w:qFormat/>
    <w:uiPriority w:val="1"/>
    <w:rPr>
      <w:rFonts w:ascii="仿宋" w:hAnsi="仿宋" w:eastAsia="仿宋" w:cs="仿宋"/>
      <w:lang w:val="en-US" w:eastAsia="zh-CN" w:bidi="ar-SA"/>
    </w:rPr>
  </w:style>
  <w:style w:type="paragraph" w:customStyle="1" w:styleId="9">
    <w:name w:val="List Paragraph"/>
    <w:basedOn w:val="1"/>
    <w:qFormat/>
    <w:uiPriority w:val="1"/>
    <w:pPr>
      <w:ind w:left="651" w:hanging="80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3254</Words>
  <Characters>3317</Characters>
  <Lines>0</Lines>
  <Paragraphs>40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2021-05-26T09:47:00Z</dcterms:created>
  <dc:creator>admin</dc:creator>
  <cp:lastModifiedBy>Administrator</cp:lastModifiedBy>
  <cp:lastPrinted>2021-11-23T02:39:06Z</cp:lastPrinted>
  <dcterms:modified xsi:type="dcterms:W3CDTF">2021-11-23T07:25:20Z</dcterms:modified>
  <dc:title>宛政食安办〔2021〕4号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e6c8a66e04a243e18d44948295fec7aa</vt:lpwstr>
  </property>
</Properties>
</file>