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文星书宋" w:hAnsi="文星书宋"/>
          <w:b/>
          <w:sz w:val="44"/>
          <w:szCs w:val="44"/>
        </w:rPr>
      </w:pPr>
    </w:p>
    <w:p>
      <w:pPr>
        <w:keepNext w:val="0"/>
        <w:keepLines w:val="0"/>
        <w:pageBreakBefore w:val="0"/>
        <w:widowControl w:val="0"/>
        <w:kinsoku/>
        <w:wordWrap/>
        <w:overflowPunct/>
        <w:topLinePunct w:val="0"/>
        <w:bidi w:val="0"/>
        <w:snapToGrid/>
        <w:spacing w:line="600" w:lineRule="exact"/>
        <w:jc w:val="center"/>
        <w:textAlignment w:val="auto"/>
        <w:rPr>
          <w:rStyle w:val="8"/>
          <w:rFonts w:hint="eastAsia" w:ascii="方正小标宋简体" w:hAnsi="方正小标宋简体" w:eastAsia="方正小标宋简体" w:cs="方正小标宋简体"/>
          <w:b w:val="0"/>
          <w:color w:val="auto"/>
          <w:spacing w:val="15"/>
          <w:kern w:val="0"/>
          <w:sz w:val="44"/>
          <w:szCs w:val="44"/>
          <w:shd w:val="clear" w:color="auto" w:fill="FFFFFF"/>
          <w:lang w:val="en-US" w:eastAsia="zh-CN"/>
        </w:rPr>
      </w:pPr>
      <w:bookmarkStart w:id="0" w:name="_GoBack"/>
      <w:r>
        <w:rPr>
          <w:rStyle w:val="8"/>
          <w:rFonts w:hint="eastAsia" w:ascii="方正小标宋简体" w:hAnsi="方正小标宋简体" w:eastAsia="方正小标宋简体" w:cs="方正小标宋简体"/>
          <w:b w:val="0"/>
          <w:color w:val="auto"/>
          <w:spacing w:val="15"/>
          <w:kern w:val="0"/>
          <w:sz w:val="44"/>
          <w:szCs w:val="44"/>
          <w:shd w:val="clear" w:color="auto" w:fill="FFFFFF"/>
          <w:lang w:val="en-US" w:eastAsia="zh-CN"/>
        </w:rPr>
        <w:t>《南阳市中心城区城市更新提质建设</w:t>
      </w:r>
    </w:p>
    <w:p>
      <w:pPr>
        <w:keepNext w:val="0"/>
        <w:keepLines w:val="0"/>
        <w:pageBreakBefore w:val="0"/>
        <w:widowControl w:val="0"/>
        <w:kinsoku/>
        <w:wordWrap/>
        <w:overflowPunct/>
        <w:topLinePunct w:val="0"/>
        <w:bidi w:val="0"/>
        <w:snapToGrid/>
        <w:spacing w:line="600" w:lineRule="exact"/>
        <w:jc w:val="center"/>
        <w:textAlignment w:val="auto"/>
        <w:rPr>
          <w:rStyle w:val="8"/>
          <w:rFonts w:hint="eastAsia" w:ascii="方正小标宋简体" w:hAnsi="方正小标宋简体" w:eastAsia="方正小标宋简体" w:cs="方正小标宋简体"/>
          <w:b w:val="0"/>
          <w:color w:val="auto"/>
          <w:spacing w:val="15"/>
          <w:kern w:val="0"/>
          <w:sz w:val="44"/>
          <w:szCs w:val="44"/>
          <w:shd w:val="clear" w:color="auto" w:fill="FFFFFF"/>
          <w:lang w:val="en-US" w:eastAsia="zh-CN"/>
        </w:rPr>
      </w:pPr>
      <w:r>
        <w:rPr>
          <w:rStyle w:val="8"/>
          <w:rFonts w:hint="eastAsia" w:ascii="方正小标宋简体" w:hAnsi="方正小标宋简体" w:eastAsia="方正小标宋简体" w:cs="方正小标宋简体"/>
          <w:b w:val="0"/>
          <w:color w:val="auto"/>
          <w:spacing w:val="15"/>
          <w:kern w:val="0"/>
          <w:sz w:val="44"/>
          <w:szCs w:val="44"/>
          <w:shd w:val="clear" w:color="auto" w:fill="FFFFFF"/>
          <w:lang w:val="en-US" w:eastAsia="zh-CN"/>
        </w:rPr>
        <w:t>三年行动计划》政策解读</w:t>
      </w:r>
    </w:p>
    <w:bookmarkEnd w:id="0"/>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w w:val="100"/>
          <w:sz w:val="32"/>
          <w:szCs w:val="32"/>
          <w:lang w:val="en-US" w:eastAsia="zh-CN"/>
        </w:rPr>
        <w:t>为深入学习贯彻习近平总书记视察南阳重要讲话和指示精神，抢抓南水北调后续高质量发展、加快打造新兴区域经济中心重大历史机遇，强力推进中心城区城市更新提质建设，全面提升城市品质，</w:t>
      </w:r>
      <w:r>
        <w:rPr>
          <w:rFonts w:hint="eastAsia" w:ascii="仿宋_GB2312" w:hAnsi="仿宋_GB2312" w:eastAsia="仿宋_GB2312" w:cs="仿宋_GB2312"/>
          <w:w w:val="100"/>
          <w:sz w:val="32"/>
          <w:szCs w:val="32"/>
          <w:lang w:val="zh-CN" w:eastAsia="zh-CN"/>
        </w:rPr>
        <w:t>不断提高城市综合承载能力，推动城市高质量发展，结合我市实际，</w:t>
      </w:r>
      <w:r>
        <w:rPr>
          <w:rFonts w:hint="eastAsia" w:ascii="仿宋_GB2312" w:hAnsi="仿宋_GB2312" w:eastAsia="仿宋_GB2312" w:cs="仿宋_GB2312"/>
          <w:w w:val="100"/>
          <w:sz w:val="32"/>
          <w:szCs w:val="32"/>
          <w:lang w:val="en-US" w:eastAsia="zh-CN"/>
        </w:rPr>
        <w:t>《南阳市中心城区城市更新提质建设三年行动计划》</w:t>
      </w:r>
      <w:r>
        <w:rPr>
          <w:rFonts w:hint="eastAsia" w:ascii="仿宋_GB2312" w:hAnsi="仿宋_GB2312" w:eastAsia="仿宋_GB2312" w:cs="仿宋_GB2312"/>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文星书宋" w:hAnsi="文星书宋"/>
          <w:sz w:val="24"/>
        </w:rPr>
      </w:pPr>
      <w:r>
        <w:rPr>
          <w:rFonts w:hint="eastAsia" w:ascii="文星书宋" w:hAnsi="文星书宋" w:eastAsia="黑体"/>
        </w:rPr>
        <w:t>一、起草背景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十九届五中全会通过的《中共中央关于制定国民经济和社会发展第十四个五年规划和二〇三五年远景目标的建议》明确提出实施城市更新行动。市委、市政府对城市更新工作高度重视，明确要求编制中心城区更新提质建设三年行动计划。市住建局以城中村、棚户区改造等为抓手，实施城市道路建设与提质改造，出入市口改造，加大城市游园、停车场、热力、燃气、自来水等公用事业建设力度，会同市自规局、城管局、交通局、水利局及四区等单位，编制完成了《南阳市中心城区城市更新提质建设三年行动计划》，</w:t>
      </w:r>
      <w:r>
        <w:rPr>
          <w:rFonts w:hint="eastAsia" w:ascii="仿宋" w:hAnsi="仿宋" w:eastAsia="仿宋" w:cs="仿宋"/>
          <w:sz w:val="32"/>
          <w:szCs w:val="32"/>
        </w:rPr>
        <w:t>经省政府同意后以省政府办公厅文件印发实施，明确了未来3年全省新型基础设施的建设目标、重点任务和政策措施</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08" w:firstLineChars="200"/>
        <w:textAlignment w:val="auto"/>
        <w:rPr>
          <w:rFonts w:hint="eastAsia" w:ascii="文星书宋" w:hAnsi="文星书宋" w:eastAsia="仿宋_GB2312"/>
          <w:b/>
        </w:rPr>
      </w:pPr>
      <w:r>
        <w:rPr>
          <w:rFonts w:hint="eastAsia" w:ascii="文星书宋" w:hAnsi="文星书宋" w:eastAsia="黑体"/>
          <w:spacing w:val="-8"/>
        </w:rPr>
        <w:t>二、</w:t>
      </w:r>
      <w:r>
        <w:rPr>
          <w:rFonts w:hint="eastAsia" w:ascii="文星书宋" w:hAnsi="文星书宋" w:eastAsia="黑体"/>
          <w:spacing w:val="-8"/>
          <w:lang w:val="en-US" w:eastAsia="zh-CN"/>
        </w:rPr>
        <w:t>文件的基本结构和</w:t>
      </w:r>
      <w:r>
        <w:rPr>
          <w:rFonts w:hint="eastAsia" w:ascii="文星书宋" w:hAnsi="文星书宋" w:eastAsia="黑体"/>
        </w:rPr>
        <w:t>主要内容</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《南阳市中心城区城市更新提质建设三年行动计划》分为总体要求，整体要求、组织保障和附表四个部分；</w:t>
      </w:r>
      <w:r>
        <w:rPr>
          <w:rFonts w:hint="eastAsia" w:ascii="仿宋_GB2312" w:hAnsi="仿宋_GB2312" w:eastAsia="仿宋_GB2312" w:cs="仿宋_GB2312"/>
          <w:b w:val="0"/>
          <w:bCs w:val="0"/>
          <w:sz w:val="32"/>
          <w:szCs w:val="32"/>
          <w:lang w:eastAsia="zh-CN"/>
        </w:rPr>
        <w:t>整个</w:t>
      </w:r>
      <w:r>
        <w:rPr>
          <w:rFonts w:hint="eastAsia" w:ascii="仿宋_GB2312" w:hAnsi="仿宋_GB2312" w:eastAsia="仿宋_GB2312" w:cs="仿宋_GB2312"/>
          <w:b w:val="0"/>
          <w:bCs w:val="0"/>
          <w:sz w:val="32"/>
          <w:szCs w:val="32"/>
          <w:lang w:val="en-US" w:eastAsia="zh-CN"/>
        </w:rPr>
        <w:t>城市更新提质建设行动</w:t>
      </w:r>
      <w:r>
        <w:rPr>
          <w:rFonts w:hint="eastAsia" w:ascii="仿宋_GB2312" w:hAnsi="仿宋_GB2312" w:eastAsia="仿宋_GB2312" w:cs="仿宋_GB2312"/>
          <w:sz w:val="32"/>
          <w:szCs w:val="32"/>
          <w:lang w:eastAsia="zh-CN"/>
        </w:rPr>
        <w:t>计划分</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大类，分别为：</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lang w:val="zh-CN"/>
        </w:rPr>
        <w:t>城市更新改造行动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城市动脉畅通行动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lang w:eastAsia="zh-CN"/>
        </w:rPr>
        <w:t>绿化景观畅享行动；</w:t>
      </w:r>
      <w:r>
        <w:rPr>
          <w:rFonts w:hint="eastAsia" w:ascii="仿宋_GB2312" w:hAnsi="仿宋_GB2312" w:eastAsia="仿宋_GB2312" w:cs="仿宋_GB2312"/>
          <w:sz w:val="32"/>
          <w:szCs w:val="32"/>
          <w:lang w:val="en-US" w:eastAsia="zh-CN"/>
        </w:rPr>
        <w:t>四是停车设施攻坚行动；五是公用事业保障行动；六是城市功能提升行动；七是实施出入市口改造行动；八是实施内河水系贯通行动；九是实施白河两岸景观提升行动。总投资约为1129亿元。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lang w:val="en-US" w:eastAsia="zh-CN"/>
        </w:rPr>
      </w:pPr>
      <w:r>
        <w:rPr>
          <w:rFonts w:hint="eastAsia" w:ascii="楷体" w:hAnsi="楷体" w:eastAsia="楷体" w:cs="楷体"/>
          <w:bCs/>
          <w:sz w:val="32"/>
          <w:szCs w:val="32"/>
          <w:lang w:val="zh-CN"/>
        </w:rPr>
        <w:t>实施城市更新改造行动</w:t>
      </w:r>
      <w:r>
        <w:rPr>
          <w:rFonts w:hint="eastAsia" w:ascii="楷体_GB2312" w:hAnsi="楷体_GB2312" w:eastAsia="楷体_GB2312" w:cs="楷体_GB2312"/>
          <w:bCs/>
          <w:kern w:val="2"/>
          <w:sz w:val="32"/>
          <w:szCs w:val="32"/>
          <w:lang w:val="en-US" w:eastAsia="zh-CN" w:bidi="ar-SA"/>
        </w:rPr>
        <w:t>。</w:t>
      </w:r>
      <w:r>
        <w:rPr>
          <w:rFonts w:hint="eastAsia" w:ascii="仿宋_GB2312" w:hAnsi="仿宋_GB2312" w:eastAsia="仿宋_GB2312" w:cs="仿宋_GB2312"/>
          <w:bCs/>
          <w:sz w:val="32"/>
          <w:szCs w:val="32"/>
          <w:lang w:val="zh-CN"/>
        </w:rPr>
        <w:t>由各区分年度对本辖区内</w:t>
      </w:r>
      <w:r>
        <w:rPr>
          <w:rFonts w:hint="eastAsia" w:ascii="仿宋_GB2312" w:hAnsi="仿宋_GB2312" w:eastAsia="仿宋_GB2312" w:cs="仿宋_GB2312"/>
          <w:bCs/>
          <w:sz w:val="32"/>
          <w:szCs w:val="32"/>
          <w:lang w:val="en-US" w:eastAsia="zh-CN"/>
        </w:rPr>
        <w:t>各种条件落后或配套设施不完善的</w:t>
      </w:r>
      <w:r>
        <w:rPr>
          <w:rFonts w:hint="eastAsia" w:ascii="仿宋_GB2312" w:hAnsi="仿宋_GB2312" w:eastAsia="仿宋_GB2312" w:cs="仿宋_GB2312"/>
          <w:bCs/>
          <w:sz w:val="32"/>
          <w:szCs w:val="32"/>
          <w:lang w:val="zh-CN"/>
        </w:rPr>
        <w:t>老旧小区、城中村、棚户区、老旧厂区进行改造，并坚决拆除违法建筑。到</w:t>
      </w:r>
      <w:r>
        <w:rPr>
          <w:rFonts w:hint="eastAsia" w:ascii="仿宋_GB2312" w:hAnsi="仿宋_GB2312" w:eastAsia="仿宋_GB2312" w:cs="仿宋_GB2312"/>
          <w:bCs/>
          <w:sz w:val="32"/>
          <w:szCs w:val="32"/>
          <w:lang w:val="en-US" w:eastAsia="zh-CN"/>
        </w:rPr>
        <w:t>2024年年底，完成中心城区</w:t>
      </w:r>
      <w:r>
        <w:rPr>
          <w:rFonts w:hint="eastAsia" w:ascii="仿宋_GB2312" w:hAnsi="仿宋_GB2312" w:eastAsia="仿宋_GB2312" w:cs="仿宋_GB2312"/>
          <w:color w:val="000000"/>
          <w:sz w:val="32"/>
          <w:szCs w:val="32"/>
        </w:rPr>
        <w:t>164个社区（村）改造更新任务。</w:t>
      </w:r>
    </w:p>
    <w:p>
      <w:pPr>
        <w:pStyle w:val="2"/>
        <w:keepNext w:val="0"/>
        <w:keepLines w:val="0"/>
        <w:pageBreakBefore w:val="0"/>
        <w:kinsoku/>
        <w:wordWrap/>
        <w:overflowPunct/>
        <w:topLinePunct w:val="0"/>
        <w:autoSpaceDE/>
        <w:autoSpaceDN/>
        <w:bidi w:val="0"/>
        <w:snapToGrid w:val="0"/>
        <w:spacing w:after="0"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Cs/>
          <w:kern w:val="2"/>
          <w:sz w:val="32"/>
          <w:szCs w:val="32"/>
          <w:lang w:val="en-US" w:eastAsia="zh-CN" w:bidi="ar-SA"/>
        </w:rPr>
        <w:t>（二）</w:t>
      </w:r>
      <w:r>
        <w:rPr>
          <w:rFonts w:hint="eastAsia" w:ascii="楷体" w:hAnsi="楷体" w:eastAsia="楷体" w:cs="楷体"/>
          <w:color w:val="000000"/>
          <w:sz w:val="32"/>
          <w:szCs w:val="32"/>
          <w:lang w:val="zh-CN"/>
        </w:rPr>
        <w:t>实施</w:t>
      </w:r>
      <w:r>
        <w:rPr>
          <w:rFonts w:hint="eastAsia" w:ascii="楷体" w:hAnsi="楷体" w:eastAsia="楷体" w:cs="楷体"/>
          <w:color w:val="000000"/>
          <w:sz w:val="32"/>
          <w:szCs w:val="32"/>
        </w:rPr>
        <w:t>城市动脉畅通行动。</w:t>
      </w:r>
      <w:r>
        <w:rPr>
          <w:rFonts w:hint="eastAsia" w:ascii="仿宋_GB2312" w:hAnsi="仿宋_GB2312" w:eastAsia="仿宋_GB2312" w:cs="仿宋_GB2312"/>
          <w:sz w:val="32"/>
          <w:szCs w:val="32"/>
          <w:lang w:val="en-US" w:eastAsia="zh-CN"/>
        </w:rPr>
        <w:t>结合中心城区更新改造行动，分年度完善城市路网建设。新建光武路西延等94条道路，全面消除“断头路、卡脖路”，对中心城区62条状况较差的既有道路进行改造提升，加快构建“高架+隧道+快速路+外环路”的城市交通网络，加强城区主干道与外环路互联互通，打通城市支路、区间路、背街小巷等城市交通微循环，形成内畅外达、配套齐全的道路体系。到2024年年底，路网密度8.7公里</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平方公里，建成中心城区至鸭河、镇平、官庄、社旗4条快速通道，完成312国道中心城区段和中心城区内省道外迁和中心城区外环路、光武路高架桥、仲景路高架桥、孔明路高架桥建设。</w:t>
      </w:r>
    </w:p>
    <w:p>
      <w:pPr>
        <w:pStyle w:val="2"/>
        <w:keepNext w:val="0"/>
        <w:keepLines w:val="0"/>
        <w:pageBreakBefore w:val="0"/>
        <w:kinsoku/>
        <w:wordWrap/>
        <w:overflowPunct/>
        <w:topLinePunct w:val="0"/>
        <w:autoSpaceDE/>
        <w:autoSpaceDN/>
        <w:bidi w:val="0"/>
        <w:adjustRightInd/>
        <w:snapToGrid w:val="0"/>
        <w:spacing w:after="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Cs/>
          <w:kern w:val="2"/>
          <w:sz w:val="32"/>
          <w:szCs w:val="32"/>
          <w:lang w:val="en-US" w:eastAsia="zh-CN" w:bidi="ar-SA"/>
        </w:rPr>
        <w:t>（三）</w:t>
      </w:r>
      <w:r>
        <w:rPr>
          <w:rFonts w:hint="eastAsia" w:ascii="楷体" w:hAnsi="楷体" w:eastAsia="楷体" w:cs="楷体"/>
          <w:color w:val="000000"/>
          <w:sz w:val="32"/>
          <w:szCs w:val="32"/>
          <w:lang w:eastAsia="zh-CN"/>
        </w:rPr>
        <w:t>实施绿化景观畅享行动。</w:t>
      </w:r>
      <w:r>
        <w:rPr>
          <w:rFonts w:hint="eastAsia" w:ascii="仿宋_GB2312" w:hAnsi="仿宋_GB2312" w:eastAsia="仿宋_GB2312" w:cs="仿宋_GB2312"/>
          <w:sz w:val="32"/>
          <w:szCs w:val="32"/>
          <w:lang w:val="en-US" w:eastAsia="zh-CN"/>
        </w:rPr>
        <w:t>结合城市更新改造，加强城市公园、街头游园、河道两岸带状公园建设，到2024年年底，新建、改建公园游园66个，增加绿地面积350公顷，建成区绿化率达41.2%，绿化覆盖率达44%，人均公园绿地面积达16.8平方米，公园绿地服务半径覆盖率达到91.80%。</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Cs/>
          <w:kern w:val="2"/>
          <w:sz w:val="32"/>
          <w:szCs w:val="32"/>
          <w:lang w:val="en-US" w:eastAsia="zh-CN" w:bidi="ar-SA"/>
        </w:rPr>
        <w:t>（四）</w:t>
      </w:r>
      <w:r>
        <w:rPr>
          <w:rFonts w:hint="eastAsia" w:ascii="楷体" w:hAnsi="楷体" w:eastAsia="楷体" w:cs="楷体"/>
          <w:color w:val="000000"/>
          <w:kern w:val="2"/>
          <w:sz w:val="32"/>
          <w:szCs w:val="32"/>
          <w:lang w:val="en-US" w:eastAsia="zh-CN" w:bidi="ar-SA"/>
        </w:rPr>
        <w:t>实施停车设施攻坚行动。</w:t>
      </w:r>
      <w:r>
        <w:rPr>
          <w:rFonts w:hint="eastAsia" w:ascii="仿宋_GB2312" w:hAnsi="仿宋_GB2312" w:eastAsia="仿宋_GB2312" w:cs="仿宋_GB2312"/>
          <w:sz w:val="32"/>
          <w:szCs w:val="32"/>
          <w:lang w:val="en-US" w:eastAsia="zh-CN"/>
        </w:rPr>
        <w:t>围绕中心城区“停车难”，激发各类市场主体投资运营城市停车设施的动力，扩大城市停车设施有效供给。到2024年年底，布局合理、供给充足、智能高效、便捷可及的城市停车系统全面建成，市本级建成公交综合停保场2座，新建公共停车场30座，新增停车位1.36万个；中心城区各区要在停车需求迫切的居住、商业、办公等人员密集区域，每年分别新建公共停车场20个以上，各新增停车位4000个以上。</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（五）</w:t>
      </w:r>
      <w:r>
        <w:rPr>
          <w:rFonts w:hint="eastAsia" w:ascii="楷体" w:hAnsi="楷体" w:eastAsia="楷体" w:cs="楷体"/>
          <w:bCs/>
          <w:sz w:val="32"/>
          <w:szCs w:val="32"/>
          <w:lang w:val="en-US" w:eastAsia="zh-CN"/>
        </w:rPr>
        <w:t>实施公用事业保障行动。</w:t>
      </w:r>
      <w:r>
        <w:rPr>
          <w:rFonts w:hint="eastAsia" w:ascii="仿宋_GB2312" w:hAnsi="仿宋_GB2312" w:eastAsia="仿宋_GB2312" w:cs="仿宋_GB2312"/>
          <w:kern w:val="2"/>
          <w:sz w:val="32"/>
          <w:szCs w:val="32"/>
          <w:lang w:val="en-US" w:eastAsia="zh-CN" w:bidi="ar-SA"/>
        </w:rPr>
        <w:t>启动白河南天冠污水厂二期工程和污泥厂二期建设；加强中水利用；加强供热、供水、燃气、城市排水方面的建设；增设垃圾中转站、公厕等公共设施；塑造具有特色风貌的城市公共空间和重点区域，提升城市的环境品质，激发城市的活力与魅力。到2024年年底，中心城区污水处理和</w:t>
      </w:r>
      <w:r>
        <w:rPr>
          <w:rFonts w:hint="eastAsia" w:ascii="仿宋_GB2312" w:hAnsi="仿宋_GB2312" w:eastAsia="仿宋_GB2312" w:cs="仿宋_GB2312"/>
          <w:sz w:val="32"/>
          <w:szCs w:val="32"/>
        </w:rPr>
        <w:t>污泥无害化处理率分别达到100%</w:t>
      </w:r>
      <w:r>
        <w:rPr>
          <w:rFonts w:hint="eastAsia" w:ascii="仿宋_GB2312" w:hAnsi="仿宋_GB2312" w:eastAsia="仿宋_GB2312" w:cs="仿宋_GB2312"/>
          <w:sz w:val="32"/>
          <w:szCs w:val="32"/>
          <w:lang w:eastAsia="zh-CN"/>
        </w:rPr>
        <w:t>。</w:t>
      </w:r>
    </w:p>
    <w:p>
      <w:pPr>
        <w:pStyle w:val="6"/>
        <w:keepNext w:val="0"/>
        <w:keepLines w:val="0"/>
        <w:pageBreakBefore w:val="0"/>
        <w:widowControl/>
        <w:suppressLineNumbers w:val="0"/>
        <w:kinsoku/>
        <w:wordWrap/>
        <w:overflowPunct/>
        <w:topLinePunct w:val="0"/>
        <w:autoSpaceDE/>
        <w:autoSpaceDN/>
        <w:bidi w:val="0"/>
        <w:snapToGrid w:val="0"/>
        <w:spacing w:before="0" w:beforeAutospacing="0" w:afterAutospacing="0" w:line="600" w:lineRule="exact"/>
        <w:ind w:left="0" w:right="0" w:firstLine="640" w:firstLineChars="200"/>
        <w:jc w:val="left"/>
        <w:textAlignment w:val="auto"/>
        <w:rPr>
          <w:rFonts w:hint="eastAsia" w:ascii="Times New Roman" w:hAnsi="Times New Roman" w:eastAsia="仿宋_GB2312" w:cs="仿宋_GB2312"/>
          <w:spacing w:val="0"/>
          <w:kern w:val="0"/>
          <w:sz w:val="32"/>
          <w:szCs w:val="32"/>
          <w:lang w:val="en-US" w:eastAsia="zh-CN" w:bidi="ar-SA"/>
        </w:rPr>
      </w:pPr>
      <w:r>
        <w:rPr>
          <w:rFonts w:hint="eastAsia" w:ascii="楷体_GB2312" w:hAnsi="楷体_GB2312" w:eastAsia="楷体_GB2312" w:cs="楷体_GB2312"/>
          <w:bCs/>
          <w:kern w:val="2"/>
          <w:sz w:val="32"/>
          <w:szCs w:val="32"/>
          <w:lang w:val="en-US" w:eastAsia="zh-CN" w:bidi="ar-SA"/>
        </w:rPr>
        <w:t>（六）</w:t>
      </w:r>
      <w:r>
        <w:rPr>
          <w:rFonts w:hint="eastAsia" w:ascii="楷体" w:hAnsi="楷体" w:eastAsia="楷体" w:cs="楷体"/>
          <w:bCs/>
          <w:kern w:val="2"/>
          <w:sz w:val="32"/>
          <w:szCs w:val="32"/>
          <w:lang w:val="en-US" w:eastAsia="zh-CN" w:bidi="ar-SA"/>
        </w:rPr>
        <w:t>实施城市功能提升行动。</w:t>
      </w:r>
      <w:r>
        <w:rPr>
          <w:rFonts w:hint="eastAsia" w:ascii="Times New Roman" w:hAnsi="Times New Roman" w:eastAsia="仿宋_GB2312" w:cs="仿宋_GB2312"/>
          <w:spacing w:val="0"/>
          <w:kern w:val="0"/>
          <w:sz w:val="32"/>
          <w:szCs w:val="32"/>
          <w:lang w:val="en-US" w:eastAsia="zh-CN" w:bidi="ar-SA"/>
        </w:rPr>
        <w:t>结合城市更新改造，逐步构建起市级、区级、居住区级三级市民服务中心，全力构建“15分钟便民生活圈”。</w:t>
      </w:r>
    </w:p>
    <w:p>
      <w:pPr>
        <w:pStyle w:val="6"/>
        <w:keepNext w:val="0"/>
        <w:keepLines w:val="0"/>
        <w:pageBreakBefore w:val="0"/>
        <w:widowControl/>
        <w:suppressLineNumbers w:val="0"/>
        <w:kinsoku/>
        <w:wordWrap/>
        <w:overflowPunct/>
        <w:topLinePunct w:val="0"/>
        <w:autoSpaceDE/>
        <w:autoSpaceDN/>
        <w:bidi w:val="0"/>
        <w:snapToGrid w:val="0"/>
        <w:spacing w:before="0" w:beforeAutospacing="0" w:afterAutospacing="0" w:line="600" w:lineRule="exact"/>
        <w:ind w:left="0" w:right="0" w:firstLine="640" w:firstLineChars="200"/>
        <w:jc w:val="left"/>
        <w:textAlignment w:val="auto"/>
        <w:rPr>
          <w:rFonts w:hint="eastAsia" w:ascii="Times New Roman" w:hAnsi="Times New Roman" w:eastAsia="仿宋_GB2312" w:cs="仿宋_GB2312"/>
          <w:spacing w:val="0"/>
          <w:kern w:val="0"/>
          <w:sz w:val="32"/>
          <w:szCs w:val="32"/>
          <w:lang w:val="en-US" w:eastAsia="zh-CN" w:bidi="ar-SA"/>
        </w:rPr>
      </w:pPr>
      <w:r>
        <w:rPr>
          <w:rFonts w:hint="eastAsia" w:ascii="楷体" w:hAnsi="楷体" w:eastAsia="楷体" w:cs="楷体"/>
          <w:color w:val="000000"/>
          <w:kern w:val="2"/>
          <w:sz w:val="32"/>
          <w:szCs w:val="32"/>
          <w:lang w:val="en-US" w:eastAsia="zh-CN" w:bidi="ar-SA"/>
        </w:rPr>
        <w:t>（七）实施出入市口改造行动。</w:t>
      </w:r>
      <w:r>
        <w:rPr>
          <w:rFonts w:hint="eastAsia" w:ascii="Times New Roman" w:hAnsi="Times New Roman" w:eastAsia="仿宋_GB2312" w:cs="仿宋_GB2312"/>
          <w:spacing w:val="0"/>
          <w:kern w:val="0"/>
          <w:sz w:val="32"/>
          <w:szCs w:val="32"/>
          <w:lang w:val="en-US" w:eastAsia="zh-CN" w:bidi="ar-SA"/>
        </w:rPr>
        <w:t>按照统一规划、分步实施的总体思路，分年度对市区七个出入市口进行提质改造。</w:t>
      </w:r>
    </w:p>
    <w:p>
      <w:pPr>
        <w:pStyle w:val="6"/>
        <w:keepNext w:val="0"/>
        <w:keepLines w:val="0"/>
        <w:pageBreakBefore w:val="0"/>
        <w:widowControl/>
        <w:suppressLineNumbers w:val="0"/>
        <w:kinsoku/>
        <w:wordWrap/>
        <w:overflowPunct/>
        <w:topLinePunct w:val="0"/>
        <w:autoSpaceDE/>
        <w:autoSpaceDN/>
        <w:bidi w:val="0"/>
        <w:snapToGrid w:val="0"/>
        <w:spacing w:before="0" w:beforeAutospacing="0" w:afterAutospacing="0" w:line="600" w:lineRule="exact"/>
        <w:ind w:left="0" w:right="0" w:firstLine="640" w:firstLineChars="200"/>
        <w:jc w:val="left"/>
        <w:textAlignment w:val="auto"/>
        <w:rPr>
          <w:rFonts w:hint="eastAsia" w:ascii="Times New Roman" w:hAnsi="Times New Roman" w:eastAsia="仿宋_GB2312" w:cs="仿宋_GB2312"/>
          <w:spacing w:val="0"/>
          <w:kern w:val="0"/>
          <w:sz w:val="32"/>
          <w:szCs w:val="32"/>
          <w:lang w:val="en-US" w:eastAsia="zh-CN" w:bidi="ar-SA"/>
        </w:rPr>
      </w:pPr>
      <w:r>
        <w:rPr>
          <w:rFonts w:hint="eastAsia" w:ascii="楷体" w:hAnsi="楷体" w:eastAsia="楷体" w:cs="楷体"/>
          <w:color w:val="000000"/>
          <w:kern w:val="2"/>
          <w:sz w:val="32"/>
          <w:szCs w:val="32"/>
          <w:lang w:val="en-US" w:eastAsia="zh-CN" w:bidi="ar-SA"/>
        </w:rPr>
        <w:t>（八）实施内河水系贯通行动。</w:t>
      </w:r>
      <w:r>
        <w:rPr>
          <w:rFonts w:hint="eastAsia" w:ascii="Times New Roman" w:hAnsi="Times New Roman" w:eastAsia="仿宋_GB2312" w:cs="仿宋_GB2312"/>
          <w:spacing w:val="0"/>
          <w:kern w:val="0"/>
          <w:sz w:val="32"/>
          <w:szCs w:val="32"/>
          <w:lang w:val="en-US" w:eastAsia="zh-CN" w:bidi="ar-SA"/>
        </w:rPr>
        <w:t>加快南阳市零号橡胶坝</w:t>
      </w:r>
    </w:p>
    <w:p>
      <w:pPr>
        <w:pStyle w:val="6"/>
        <w:keepNext w:val="0"/>
        <w:keepLines w:val="0"/>
        <w:pageBreakBefore w:val="0"/>
        <w:widowControl/>
        <w:suppressLineNumbers w:val="0"/>
        <w:kinsoku/>
        <w:wordWrap/>
        <w:overflowPunct/>
        <w:topLinePunct w:val="0"/>
        <w:autoSpaceDE/>
        <w:autoSpaceDN/>
        <w:bidi w:val="0"/>
        <w:snapToGrid w:val="0"/>
        <w:spacing w:before="0" w:beforeAutospacing="0" w:afterAutospacing="0" w:line="600" w:lineRule="exact"/>
        <w:ind w:right="0"/>
        <w:jc w:val="left"/>
        <w:textAlignment w:val="auto"/>
        <w:rPr>
          <w:rFonts w:hint="eastAsia" w:ascii="Times New Roman" w:hAnsi="Times New Roman" w:eastAsia="仿宋_GB2312" w:cs="仿宋_GB2312"/>
          <w:spacing w:val="0"/>
          <w:kern w:val="0"/>
          <w:sz w:val="32"/>
          <w:szCs w:val="32"/>
          <w:lang w:val="en-US" w:eastAsia="zh-CN" w:bidi="ar-SA"/>
        </w:rPr>
      </w:pPr>
      <w:r>
        <w:rPr>
          <w:rFonts w:hint="eastAsia" w:ascii="Times New Roman" w:hAnsi="Times New Roman" w:eastAsia="仿宋_GB2312" w:cs="仿宋_GB2312"/>
          <w:spacing w:val="0"/>
          <w:kern w:val="0"/>
          <w:sz w:val="32"/>
          <w:szCs w:val="32"/>
          <w:lang w:val="en-US" w:eastAsia="zh-CN" w:bidi="ar-SA"/>
        </w:rPr>
        <w:t>提水泵站、鸭河淯龙泉管线新建改造工程、护城河-温凉河连通工程建设，构建布局合理、生态良好、引排得当、循环通畅，蓄泄兼筹、调控自如的内河水系连通体系。</w:t>
      </w:r>
    </w:p>
    <w:p>
      <w:pPr>
        <w:pStyle w:val="6"/>
        <w:keepNext w:val="0"/>
        <w:keepLines w:val="0"/>
        <w:pageBreakBefore w:val="0"/>
        <w:widowControl/>
        <w:numPr>
          <w:ilvl w:val="0"/>
          <w:numId w:val="2"/>
        </w:numPr>
        <w:suppressLineNumbers w:val="0"/>
        <w:kinsoku/>
        <w:wordWrap/>
        <w:overflowPunct/>
        <w:topLinePunct w:val="0"/>
        <w:autoSpaceDE/>
        <w:autoSpaceDN/>
        <w:bidi w:val="0"/>
        <w:snapToGrid w:val="0"/>
        <w:spacing w:before="0" w:beforeAutospacing="0" w:afterAutospacing="0" w:line="600" w:lineRule="exact"/>
        <w:ind w:left="0" w:right="0" w:firstLine="640" w:firstLineChars="200"/>
        <w:jc w:val="left"/>
        <w:textAlignment w:val="auto"/>
        <w:rPr>
          <w:rFonts w:hint="eastAsia" w:ascii="Times New Roman" w:hAnsi="Times New Roman" w:eastAsia="仿宋_GB2312" w:cs="仿宋_GB2312"/>
          <w:spacing w:val="0"/>
          <w:kern w:val="0"/>
          <w:sz w:val="32"/>
          <w:szCs w:val="32"/>
          <w:lang w:val="en-US" w:eastAsia="zh-CN" w:bidi="ar-SA"/>
        </w:rPr>
      </w:pPr>
      <w:r>
        <w:rPr>
          <w:rFonts w:hint="eastAsia" w:ascii="楷体" w:hAnsi="楷体" w:eastAsia="楷体" w:cs="楷体"/>
          <w:color w:val="000000"/>
          <w:kern w:val="2"/>
          <w:sz w:val="32"/>
          <w:szCs w:val="32"/>
          <w:lang w:val="en-US" w:eastAsia="zh-CN" w:bidi="ar-SA"/>
        </w:rPr>
        <w:t>实施白河两岸景观提升行动。</w:t>
      </w:r>
      <w:r>
        <w:rPr>
          <w:rFonts w:hint="eastAsia" w:ascii="Times New Roman" w:hAnsi="Times New Roman" w:eastAsia="仿宋_GB2312" w:cs="仿宋_GB2312"/>
          <w:spacing w:val="0"/>
          <w:kern w:val="0"/>
          <w:sz w:val="32"/>
          <w:szCs w:val="32"/>
          <w:lang w:val="en-US" w:eastAsia="zh-CN" w:bidi="ar-SA"/>
        </w:rPr>
        <w:t>围绕鸭河口水库至白河规划通航港口段，高标准做好《南阳市携河发展战略研究暨白河一河两岸城市设计方案》，建设山水田园城市，把白河两岸打造成全国有影响力和吸引力的网红打卡地。</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firstLine="640" w:firstLineChars="200"/>
        <w:textAlignment w:val="auto"/>
        <w:rPr>
          <w:rFonts w:hint="eastAsia" w:ascii="仿宋_GB2312" w:hAnsi="仿宋_GB2312" w:eastAsia="仿宋_GB2312" w:cs="仿宋_GB2312"/>
        </w:rPr>
      </w:pPr>
    </w:p>
    <w:sectPr>
      <w:footerReference r:id="rId3" w:type="default"/>
      <w:pgSz w:w="11906" w:h="16838"/>
      <w:pgMar w:top="1701" w:right="1417" w:bottom="1701" w:left="1417" w:header="851" w:footer="1417" w:gutter="0"/>
      <w:pgNumType w:fmt="numberInDash"/>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dobe 仿宋 Std R">
    <w:altName w:val="仿宋"/>
    <w:panose1 w:val="00000000000000000000"/>
    <w:charset w:val="86"/>
    <w:family w:val="roman"/>
    <w:pitch w:val="default"/>
    <w:sig w:usb0="00000000" w:usb1="00000000" w:usb2="00000010" w:usb3="00000000" w:csb0="00060007" w:csb1="00000000"/>
  </w:font>
  <w:font w:name="文星仿宋">
    <w:altName w:val="仿宋"/>
    <w:panose1 w:val="02010604000101010101"/>
    <w:charset w:val="86"/>
    <w:family w:val="auto"/>
    <w:pitch w:val="default"/>
    <w:sig w:usb0="00000000" w:usb1="00000000" w:usb2="00000000" w:usb3="00000000" w:csb0="00040001" w:csb1="00000000"/>
  </w:font>
  <w:font w:name="文星书宋">
    <w:altName w:val="宋体"/>
    <w:panose1 w:val="02010604000101010101"/>
    <w:charset w:val="86"/>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文星仿宋"/>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文星仿宋"/>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42074A"/>
    <w:multiLevelType w:val="singleLevel"/>
    <w:tmpl w:val="BA42074A"/>
    <w:lvl w:ilvl="0" w:tentative="0">
      <w:start w:val="9"/>
      <w:numFmt w:val="chineseCounting"/>
      <w:suff w:val="nothing"/>
      <w:lvlText w:val="（%1）"/>
      <w:lvlJc w:val="left"/>
      <w:rPr>
        <w:rFonts w:hint="eastAsia"/>
      </w:rPr>
    </w:lvl>
  </w:abstractNum>
  <w:abstractNum w:abstractNumId="1">
    <w:nsid w:val="F75B5514"/>
    <w:multiLevelType w:val="singleLevel"/>
    <w:tmpl w:val="F75B551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91C43"/>
    <w:rsid w:val="01A95D4A"/>
    <w:rsid w:val="04DD5717"/>
    <w:rsid w:val="068F6852"/>
    <w:rsid w:val="07BC07D4"/>
    <w:rsid w:val="0C186E7F"/>
    <w:rsid w:val="0F7C3E73"/>
    <w:rsid w:val="13630636"/>
    <w:rsid w:val="15B75E4D"/>
    <w:rsid w:val="189308A8"/>
    <w:rsid w:val="1AE97A65"/>
    <w:rsid w:val="1DE810F6"/>
    <w:rsid w:val="210C19D8"/>
    <w:rsid w:val="217C007F"/>
    <w:rsid w:val="21866EF3"/>
    <w:rsid w:val="261B71DC"/>
    <w:rsid w:val="26F53F61"/>
    <w:rsid w:val="271710F4"/>
    <w:rsid w:val="288D39AB"/>
    <w:rsid w:val="32E67CE1"/>
    <w:rsid w:val="3DD57592"/>
    <w:rsid w:val="3E483280"/>
    <w:rsid w:val="48617351"/>
    <w:rsid w:val="4B307C04"/>
    <w:rsid w:val="4B545BC2"/>
    <w:rsid w:val="4CD52837"/>
    <w:rsid w:val="6BE93E91"/>
    <w:rsid w:val="6CA52F2A"/>
    <w:rsid w:val="73744200"/>
    <w:rsid w:val="75691C43"/>
    <w:rsid w:val="78C4606D"/>
    <w:rsid w:val="7F59275A"/>
    <w:rsid w:val="F6BF2C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dobe 仿宋 Std R" w:hAnsi="Adobe 仿宋 Std R" w:eastAsia="文星仿宋" w:cs="Times New Roman"/>
      <w:kern w:val="2"/>
      <w:sz w:val="32"/>
      <w:szCs w:val="3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Calibri" w:hAnsi="Calibri" w:eastAsia="宋体" w:cs="Times New Roman"/>
      <w:szCs w:val="22"/>
    </w:rPr>
  </w:style>
  <w:style w:type="paragraph" w:styleId="3">
    <w:name w:val="Body Text Indent 2"/>
    <w:basedOn w:val="1"/>
    <w:next w:val="1"/>
    <w:qFormat/>
    <w:uiPriority w:val="99"/>
    <w:pPr>
      <w:spacing w:after="120" w:afterLines="0" w:line="480" w:lineRule="auto"/>
      <w:ind w:left="200" w:leftChars="200"/>
    </w:pPr>
    <w:rPr>
      <w:szCs w:val="22"/>
    </w:rPr>
  </w:style>
  <w:style w:type="paragraph" w:styleId="4">
    <w:name w:val="footer"/>
    <w:basedOn w:val="1"/>
    <w:qFormat/>
    <w:uiPriority w:val="99"/>
    <w:pPr>
      <w:tabs>
        <w:tab w:val="center" w:pos="4153"/>
        <w:tab w:val="right" w:pos="8306"/>
      </w:tabs>
      <w:snapToGrid w:val="0"/>
      <w:spacing w:line="240" w:lineRule="atLeas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2021-08-30T17:10:00Z</dcterms:created>
  <dc:creator>石头</dc:creator>
  <cp:lastModifiedBy>Administrator</cp:lastModifiedBy>
  <cp:lastPrinted>2021-09-08T11:56:00Z</cp:lastPrinted>
  <dcterms:modified xsi:type="dcterms:W3CDTF">2021-09-16T03:18:28Z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DFEEA493AEAA4E6D889426F0B1947BAC</vt:lpwstr>
  </property>
</Properties>
</file>