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432F1" w14:textId="77777777" w:rsidR="00C12ECB" w:rsidRPr="00F507DF" w:rsidRDefault="00D45507">
      <w:pPr>
        <w:spacing w:line="560" w:lineRule="atLeast"/>
        <w:rPr>
          <w:rFonts w:ascii="黑体" w:eastAsia="黑体" w:hAnsi="黑体"/>
          <w:sz w:val="36"/>
          <w:szCs w:val="36"/>
        </w:rPr>
      </w:pPr>
      <w:r w:rsidRPr="00F507DF">
        <w:rPr>
          <w:rFonts w:ascii="黑体" w:eastAsia="黑体" w:hAnsi="黑体" w:hint="eastAsia"/>
          <w:sz w:val="36"/>
          <w:szCs w:val="36"/>
        </w:rPr>
        <w:t>附录3</w:t>
      </w:r>
    </w:p>
    <w:p w14:paraId="59E30D88" w14:textId="77777777" w:rsidR="00C12ECB" w:rsidRPr="00F507DF" w:rsidRDefault="00C12ECB">
      <w:pPr>
        <w:spacing w:line="560" w:lineRule="atLeast"/>
        <w:rPr>
          <w:rFonts w:ascii="仿宋_GB2312" w:eastAsia="仿宋_GB2312"/>
          <w:sz w:val="28"/>
          <w:szCs w:val="28"/>
        </w:rPr>
      </w:pPr>
    </w:p>
    <w:p w14:paraId="768B0D45" w14:textId="4C87EC45" w:rsidR="00C12ECB" w:rsidRPr="00F507DF" w:rsidRDefault="00C12ECB">
      <w:pPr>
        <w:spacing w:line="560" w:lineRule="atLeast"/>
        <w:rPr>
          <w:rFonts w:ascii="仿宋_GB2312" w:eastAsia="仿宋_GB2312"/>
          <w:sz w:val="28"/>
          <w:szCs w:val="28"/>
        </w:rPr>
      </w:pPr>
    </w:p>
    <w:p w14:paraId="157FEA49" w14:textId="674BB67A" w:rsidR="00F71A1C" w:rsidRPr="00F507DF" w:rsidRDefault="00F71A1C">
      <w:pPr>
        <w:spacing w:line="560" w:lineRule="atLeast"/>
        <w:rPr>
          <w:rFonts w:ascii="仿宋_GB2312" w:eastAsia="仿宋_GB2312"/>
          <w:sz w:val="28"/>
          <w:szCs w:val="28"/>
        </w:rPr>
      </w:pPr>
    </w:p>
    <w:p w14:paraId="5EA45CDB" w14:textId="77777777" w:rsidR="00F71A1C" w:rsidRPr="00F507DF" w:rsidRDefault="00F71A1C">
      <w:pPr>
        <w:spacing w:line="560" w:lineRule="atLeast"/>
        <w:rPr>
          <w:rFonts w:ascii="仿宋_GB2312" w:eastAsia="仿宋_GB2312"/>
          <w:sz w:val="28"/>
          <w:szCs w:val="28"/>
        </w:rPr>
      </w:pPr>
    </w:p>
    <w:p w14:paraId="4F88FB5D" w14:textId="77777777" w:rsidR="00C12ECB" w:rsidRPr="00F507DF" w:rsidRDefault="00C12ECB">
      <w:pPr>
        <w:spacing w:line="560" w:lineRule="atLeast"/>
        <w:rPr>
          <w:rFonts w:ascii="仿宋_GB2312" w:eastAsia="仿宋_GB2312"/>
          <w:sz w:val="28"/>
          <w:szCs w:val="28"/>
        </w:rPr>
      </w:pPr>
    </w:p>
    <w:p w14:paraId="00FC2583" w14:textId="77777777" w:rsidR="00F71A1C" w:rsidRPr="00F507DF" w:rsidRDefault="00D45507" w:rsidP="00F71A1C">
      <w:pPr>
        <w:spacing w:line="560" w:lineRule="atLeast"/>
        <w:jc w:val="center"/>
        <w:rPr>
          <w:rFonts w:ascii="黑体" w:eastAsia="黑体" w:hAnsi="黑体" w:cs="黑体"/>
          <w:b/>
          <w:bCs/>
          <w:sz w:val="72"/>
          <w:szCs w:val="72"/>
          <w:lang w:val="zh-TW"/>
        </w:rPr>
      </w:pPr>
      <w:r w:rsidRPr="00F507DF">
        <w:rPr>
          <w:rFonts w:ascii="黑体" w:eastAsia="黑体" w:hAnsi="黑体" w:cs="黑体" w:hint="eastAsia"/>
          <w:b/>
          <w:bCs/>
          <w:sz w:val="72"/>
          <w:szCs w:val="72"/>
          <w:lang w:val="zh-TW"/>
        </w:rPr>
        <w:t>南阳市康养产业</w:t>
      </w:r>
      <w:r w:rsidR="00F71A1C" w:rsidRPr="00F507DF">
        <w:rPr>
          <w:rFonts w:ascii="黑体" w:eastAsia="黑体" w:hAnsi="黑体" w:cs="黑体" w:hint="eastAsia"/>
          <w:b/>
          <w:bCs/>
          <w:sz w:val="72"/>
          <w:szCs w:val="72"/>
          <w:lang w:val="zh-TW"/>
        </w:rPr>
        <w:t>发展</w:t>
      </w:r>
      <w:r w:rsidRPr="00F507DF">
        <w:rPr>
          <w:rFonts w:ascii="黑体" w:eastAsia="黑体" w:hAnsi="黑体" w:cs="黑体" w:hint="eastAsia"/>
          <w:b/>
          <w:bCs/>
          <w:sz w:val="72"/>
          <w:szCs w:val="72"/>
          <w:lang w:val="zh-TW"/>
        </w:rPr>
        <w:t>规划</w:t>
      </w:r>
    </w:p>
    <w:p w14:paraId="4988796E" w14:textId="77777777" w:rsidR="00F71A1C" w:rsidRPr="00F507DF" w:rsidRDefault="00F71A1C" w:rsidP="00F71A1C">
      <w:pPr>
        <w:spacing w:line="560" w:lineRule="atLeast"/>
        <w:jc w:val="center"/>
        <w:rPr>
          <w:rFonts w:ascii="黑体" w:eastAsia="PMingLiU" w:hAnsi="黑体" w:cs="黑体"/>
          <w:b/>
          <w:bCs/>
          <w:sz w:val="72"/>
          <w:szCs w:val="72"/>
          <w:lang w:val="zh-TW"/>
        </w:rPr>
      </w:pPr>
    </w:p>
    <w:p w14:paraId="551FFCD2" w14:textId="207F3E5B" w:rsidR="00C12ECB" w:rsidRPr="00F507DF" w:rsidRDefault="00D45507" w:rsidP="00F71A1C">
      <w:pPr>
        <w:spacing w:line="560" w:lineRule="atLeast"/>
        <w:jc w:val="center"/>
        <w:rPr>
          <w:rFonts w:ascii="黑体" w:eastAsia="黑体" w:hAnsi="黑体" w:cs="黑体"/>
          <w:b/>
          <w:bCs/>
          <w:sz w:val="52"/>
          <w:szCs w:val="52"/>
          <w:lang w:val="zh-TW"/>
        </w:rPr>
      </w:pPr>
      <w:r w:rsidRPr="00F507DF">
        <w:rPr>
          <w:rFonts w:ascii="黑体" w:eastAsia="黑体" w:hAnsi="黑体" w:cs="黑体" w:hint="eastAsia"/>
          <w:b/>
          <w:bCs/>
          <w:sz w:val="52"/>
          <w:szCs w:val="52"/>
          <w:lang w:val="zh-TW"/>
        </w:rPr>
        <w:t>——</w:t>
      </w:r>
      <w:r w:rsidR="00F71A1C" w:rsidRPr="00F507DF">
        <w:rPr>
          <w:rFonts w:ascii="黑体" w:eastAsia="黑体" w:hAnsi="黑体" w:cs="黑体" w:hint="eastAsia"/>
          <w:b/>
          <w:bCs/>
          <w:sz w:val="52"/>
          <w:szCs w:val="52"/>
          <w:lang w:val="zh-TW"/>
        </w:rPr>
        <w:t>国内外</w:t>
      </w:r>
      <w:r w:rsidRPr="00F507DF">
        <w:rPr>
          <w:rFonts w:ascii="黑体" w:eastAsia="黑体" w:hAnsi="黑体" w:cs="黑体" w:hint="eastAsia"/>
          <w:b/>
          <w:bCs/>
          <w:sz w:val="52"/>
          <w:szCs w:val="52"/>
          <w:lang w:val="zh-TW"/>
        </w:rPr>
        <w:t>案例分析</w:t>
      </w:r>
      <w:r w:rsidR="00F71A1C" w:rsidRPr="00F507DF">
        <w:rPr>
          <w:rFonts w:ascii="黑体" w:eastAsia="黑体" w:hAnsi="黑体" w:cs="黑体" w:hint="eastAsia"/>
          <w:b/>
          <w:bCs/>
          <w:sz w:val="52"/>
          <w:szCs w:val="52"/>
          <w:lang w:val="zh-TW"/>
        </w:rPr>
        <w:t>专题报告</w:t>
      </w:r>
    </w:p>
    <w:p w14:paraId="4732DC8E" w14:textId="77777777" w:rsidR="00C12ECB" w:rsidRPr="00F507DF" w:rsidRDefault="00C12ECB">
      <w:pPr>
        <w:spacing w:line="560" w:lineRule="atLeast"/>
        <w:ind w:firstLine="482"/>
        <w:jc w:val="center"/>
        <w:rPr>
          <w:rFonts w:ascii="黑体" w:eastAsia="PMingLiU" w:hAnsi="黑体" w:cs="黑体"/>
          <w:b/>
          <w:bCs/>
          <w:sz w:val="72"/>
          <w:szCs w:val="72"/>
          <w:lang w:val="zh-TW"/>
        </w:rPr>
      </w:pPr>
    </w:p>
    <w:p w14:paraId="19A943E5" w14:textId="77777777" w:rsidR="00C12ECB" w:rsidRPr="00F507DF" w:rsidRDefault="00C12ECB">
      <w:pPr>
        <w:spacing w:line="560" w:lineRule="atLeast"/>
        <w:ind w:firstLine="482"/>
        <w:jc w:val="center"/>
        <w:rPr>
          <w:rFonts w:ascii="黑体" w:eastAsia="PMingLiU" w:hAnsi="黑体" w:cs="黑体"/>
          <w:b/>
          <w:bCs/>
          <w:sz w:val="72"/>
          <w:szCs w:val="72"/>
          <w:lang w:val="zh-TW"/>
        </w:rPr>
      </w:pPr>
    </w:p>
    <w:p w14:paraId="0D9E5886" w14:textId="77777777" w:rsidR="00C12ECB" w:rsidRPr="00F507DF" w:rsidRDefault="00C12ECB">
      <w:pPr>
        <w:spacing w:line="560" w:lineRule="atLeast"/>
        <w:ind w:firstLine="482"/>
        <w:jc w:val="center"/>
        <w:rPr>
          <w:rFonts w:ascii="黑体" w:eastAsia="PMingLiU" w:hAnsi="黑体" w:cs="黑体"/>
          <w:b/>
          <w:bCs/>
          <w:sz w:val="72"/>
          <w:szCs w:val="72"/>
          <w:lang w:val="zh-TW"/>
        </w:rPr>
      </w:pPr>
    </w:p>
    <w:p w14:paraId="0EB6C63A" w14:textId="77777777" w:rsidR="00C12ECB" w:rsidRPr="00F507DF" w:rsidRDefault="00C12ECB">
      <w:pPr>
        <w:spacing w:line="560" w:lineRule="atLeast"/>
        <w:ind w:firstLine="482"/>
        <w:jc w:val="center"/>
        <w:rPr>
          <w:rFonts w:ascii="黑体" w:eastAsia="PMingLiU" w:hAnsi="黑体" w:cs="黑体"/>
          <w:b/>
          <w:bCs/>
          <w:sz w:val="72"/>
          <w:szCs w:val="72"/>
          <w:lang w:val="zh-TW"/>
        </w:rPr>
      </w:pPr>
    </w:p>
    <w:p w14:paraId="14DF65BB" w14:textId="77777777" w:rsidR="00C12ECB" w:rsidRPr="00F507DF" w:rsidRDefault="00C12ECB">
      <w:pPr>
        <w:spacing w:line="560" w:lineRule="atLeast"/>
        <w:ind w:firstLine="482"/>
        <w:jc w:val="center"/>
        <w:rPr>
          <w:rFonts w:ascii="黑体" w:eastAsia="PMingLiU" w:hAnsi="黑体" w:cs="黑体"/>
          <w:b/>
          <w:bCs/>
          <w:sz w:val="72"/>
          <w:szCs w:val="72"/>
          <w:lang w:val="zh-TW"/>
        </w:rPr>
      </w:pPr>
    </w:p>
    <w:p w14:paraId="594E756C" w14:textId="77777777" w:rsidR="00C12ECB" w:rsidRPr="00F507DF" w:rsidRDefault="00D45507">
      <w:pPr>
        <w:spacing w:line="560" w:lineRule="atLeast"/>
        <w:ind w:firstLine="482"/>
        <w:jc w:val="center"/>
        <w:rPr>
          <w:rFonts w:ascii="黑体" w:eastAsia="黑体" w:hAnsi="黑体" w:cs="黑体"/>
          <w:b/>
          <w:bCs/>
          <w:sz w:val="72"/>
          <w:szCs w:val="72"/>
          <w:lang w:val="zh-TW"/>
        </w:rPr>
      </w:pPr>
      <w:r w:rsidRPr="00F507DF">
        <w:rPr>
          <w:rFonts w:ascii="黑体" w:eastAsia="黑体" w:hAnsi="黑体" w:cs="黑体" w:hint="eastAsia"/>
          <w:sz w:val="36"/>
          <w:szCs w:val="36"/>
        </w:rPr>
        <w:t>中国人民大学国家发展与战略研究院</w:t>
      </w:r>
    </w:p>
    <w:p w14:paraId="7ACDD871" w14:textId="77777777" w:rsidR="00A81B0C" w:rsidRDefault="00D45507">
      <w:pPr>
        <w:spacing w:line="360" w:lineRule="auto"/>
        <w:jc w:val="center"/>
        <w:rPr>
          <w:rFonts w:ascii="黑体" w:eastAsia="黑体" w:hAnsi="黑体" w:cs="黑体"/>
          <w:sz w:val="36"/>
          <w:szCs w:val="36"/>
        </w:rPr>
        <w:sectPr w:rsidR="00A81B0C">
          <w:footerReference w:type="default" r:id="rId10"/>
          <w:pgSz w:w="11906" w:h="16838"/>
          <w:pgMar w:top="1440" w:right="1800" w:bottom="1440" w:left="1800" w:header="851" w:footer="992" w:gutter="0"/>
          <w:cols w:space="425"/>
          <w:docGrid w:type="lines" w:linePitch="312"/>
        </w:sectPr>
      </w:pPr>
      <w:r w:rsidRPr="00F507DF">
        <w:rPr>
          <w:rFonts w:ascii="黑体" w:eastAsia="黑体" w:hAnsi="黑体" w:cs="黑体" w:hint="eastAsia"/>
          <w:sz w:val="36"/>
          <w:szCs w:val="36"/>
        </w:rPr>
        <w:t>202</w:t>
      </w:r>
      <w:r w:rsidR="00E213CE" w:rsidRPr="00F507DF">
        <w:rPr>
          <w:rFonts w:ascii="黑体" w:eastAsia="黑体" w:hAnsi="黑体" w:cs="黑体" w:hint="eastAsia"/>
          <w:sz w:val="36"/>
          <w:szCs w:val="36"/>
        </w:rPr>
        <w:t>1</w:t>
      </w:r>
      <w:r w:rsidRPr="00F507DF">
        <w:rPr>
          <w:rFonts w:ascii="黑体" w:eastAsia="黑体" w:hAnsi="黑体" w:cs="黑体" w:hint="eastAsia"/>
          <w:sz w:val="36"/>
          <w:szCs w:val="36"/>
        </w:rPr>
        <w:t>年</w:t>
      </w:r>
      <w:r w:rsidRPr="00F507DF">
        <w:rPr>
          <w:rFonts w:ascii="黑体" w:eastAsia="黑体" w:hAnsi="黑体" w:cs="黑体"/>
          <w:sz w:val="36"/>
          <w:szCs w:val="36"/>
        </w:rPr>
        <w:t>1</w:t>
      </w:r>
      <w:r w:rsidRPr="00F507DF">
        <w:rPr>
          <w:rFonts w:ascii="黑体" w:eastAsia="黑体" w:hAnsi="黑体" w:cs="黑体" w:hint="eastAsia"/>
          <w:sz w:val="36"/>
          <w:szCs w:val="36"/>
        </w:rPr>
        <w:t>月</w:t>
      </w:r>
    </w:p>
    <w:p w14:paraId="00504FFC" w14:textId="77777777" w:rsidR="00A81B0C" w:rsidRDefault="00A81B0C">
      <w:pPr>
        <w:spacing w:line="360" w:lineRule="auto"/>
        <w:jc w:val="center"/>
        <w:rPr>
          <w:rFonts w:ascii="黑体" w:eastAsia="黑体" w:hAnsi="黑体" w:cs="黑体"/>
          <w:sz w:val="36"/>
          <w:szCs w:val="36"/>
        </w:rPr>
        <w:sectPr w:rsidR="00A81B0C">
          <w:pgSz w:w="11906" w:h="16838"/>
          <w:pgMar w:top="1440" w:right="1800" w:bottom="1440" w:left="1800" w:header="851" w:footer="992" w:gutter="0"/>
          <w:cols w:space="425"/>
          <w:docGrid w:type="lines" w:linePitch="312"/>
        </w:sectPr>
      </w:pPr>
    </w:p>
    <w:p w14:paraId="1CBB6C3F" w14:textId="77777777" w:rsidR="00C12ECB" w:rsidRPr="00F507DF" w:rsidRDefault="00C12ECB">
      <w:pPr>
        <w:widowControl/>
        <w:spacing w:line="560" w:lineRule="atLeast"/>
        <w:jc w:val="left"/>
        <w:rPr>
          <w:rFonts w:ascii="仿宋_GB2312" w:eastAsia="仿宋_GB2312" w:hAnsi="黑体"/>
          <w:sz w:val="28"/>
          <w:szCs w:val="28"/>
        </w:rPr>
      </w:pPr>
    </w:p>
    <w:sdt>
      <w:sdtPr>
        <w:rPr>
          <w:rFonts w:ascii="仿宋_GB2312" w:eastAsia="仿宋_GB2312" w:hAnsiTheme="minorHAnsi" w:cstheme="minorBidi" w:hint="eastAsia"/>
          <w:color w:val="auto"/>
          <w:kern w:val="2"/>
          <w:sz w:val="28"/>
          <w:szCs w:val="28"/>
          <w:lang w:val="zh-CN"/>
        </w:rPr>
        <w:id w:val="-1680961158"/>
        <w:docPartObj>
          <w:docPartGallery w:val="Table of Contents"/>
          <w:docPartUnique/>
        </w:docPartObj>
      </w:sdtPr>
      <w:sdtEndPr>
        <w:rPr>
          <w:rFonts w:hAnsiTheme="majorHAnsi" w:cstheme="majorBidi"/>
          <w:b/>
          <w:bCs/>
          <w:kern w:val="0"/>
        </w:rPr>
      </w:sdtEndPr>
      <w:sdtContent>
        <w:p w14:paraId="5D346575" w14:textId="77777777" w:rsidR="00C12ECB" w:rsidRPr="00F507DF" w:rsidRDefault="00D45507">
          <w:pPr>
            <w:pStyle w:val="TOC1"/>
            <w:spacing w:line="560" w:lineRule="atLeast"/>
            <w:jc w:val="center"/>
            <w:rPr>
              <w:rFonts w:ascii="黑体" w:eastAsia="黑体" w:hAnsi="黑体"/>
              <w:noProof/>
              <w:color w:val="auto"/>
              <w:sz w:val="28"/>
              <w:szCs w:val="28"/>
            </w:rPr>
          </w:pPr>
          <w:r w:rsidRPr="00F507DF">
            <w:rPr>
              <w:rFonts w:ascii="黑体" w:eastAsia="黑体" w:hAnsi="黑体" w:hint="eastAsia"/>
              <w:b/>
              <w:bCs/>
              <w:color w:val="auto"/>
              <w:lang w:val="zh-CN"/>
            </w:rPr>
            <w:t>目   录</w:t>
          </w:r>
          <w:r w:rsidRPr="00F507DF">
            <w:rPr>
              <w:rFonts w:ascii="黑体" w:eastAsia="黑体" w:hAnsi="黑体"/>
              <w:color w:val="auto"/>
            </w:rPr>
            <w:fldChar w:fldCharType="begin"/>
          </w:r>
          <w:r w:rsidRPr="00F507DF">
            <w:rPr>
              <w:rFonts w:ascii="黑体" w:eastAsia="黑体" w:hAnsi="黑体"/>
              <w:color w:val="auto"/>
            </w:rPr>
            <w:instrText xml:space="preserve"> </w:instrText>
          </w:r>
          <w:r w:rsidRPr="00F507DF">
            <w:rPr>
              <w:rFonts w:ascii="黑体" w:eastAsia="黑体" w:hAnsi="黑体" w:hint="eastAsia"/>
              <w:color w:val="auto"/>
            </w:rPr>
            <w:instrText>TOC \o "1-2" \h \z \u</w:instrText>
          </w:r>
          <w:r w:rsidRPr="00F507DF">
            <w:rPr>
              <w:rFonts w:ascii="黑体" w:eastAsia="黑体" w:hAnsi="黑体"/>
              <w:color w:val="auto"/>
            </w:rPr>
            <w:instrText xml:space="preserve"> </w:instrText>
          </w:r>
          <w:r w:rsidRPr="00F507DF">
            <w:rPr>
              <w:rFonts w:ascii="黑体" w:eastAsia="黑体" w:hAnsi="黑体"/>
              <w:color w:val="auto"/>
            </w:rPr>
            <w:fldChar w:fldCharType="separate"/>
          </w:r>
        </w:p>
        <w:p w14:paraId="3E2518AA" w14:textId="5D4CA3DB" w:rsidR="00C12ECB" w:rsidRPr="00F507DF" w:rsidRDefault="006966A7">
          <w:pPr>
            <w:pStyle w:val="10"/>
            <w:spacing w:line="360" w:lineRule="auto"/>
            <w:rPr>
              <w:noProof/>
            </w:rPr>
          </w:pPr>
          <w:hyperlink w:anchor="_Toc54008892" w:history="1">
            <w:r w:rsidR="00D45507" w:rsidRPr="00F507DF">
              <w:rPr>
                <w:rStyle w:val="a9"/>
                <w:noProof/>
                <w:color w:val="auto"/>
                <w:u w:val="none"/>
              </w:rPr>
              <w:t>第一章</w:t>
            </w:r>
            <w:r w:rsidR="00D45507" w:rsidRPr="00F507DF">
              <w:rPr>
                <w:noProof/>
              </w:rPr>
              <w:tab/>
            </w:r>
            <w:r w:rsidR="00D45507" w:rsidRPr="00F507DF">
              <w:rPr>
                <w:rStyle w:val="a9"/>
                <w:noProof/>
                <w:color w:val="auto"/>
                <w:u w:val="none"/>
              </w:rPr>
              <w:t>康养产业发展模式研究</w:t>
            </w:r>
            <w:r w:rsidR="00D45507" w:rsidRPr="00F507DF">
              <w:rPr>
                <w:noProof/>
              </w:rPr>
              <w:tab/>
            </w:r>
            <w:r w:rsidR="00D45507" w:rsidRPr="00F507DF">
              <w:rPr>
                <w:noProof/>
              </w:rPr>
              <w:fldChar w:fldCharType="begin"/>
            </w:r>
            <w:r w:rsidR="00D45507" w:rsidRPr="00F507DF">
              <w:rPr>
                <w:noProof/>
              </w:rPr>
              <w:instrText xml:space="preserve"> PAGEREF _Toc54008892 \h </w:instrText>
            </w:r>
            <w:r w:rsidR="00D45507" w:rsidRPr="00F507DF">
              <w:rPr>
                <w:noProof/>
              </w:rPr>
            </w:r>
            <w:r w:rsidR="00D45507" w:rsidRPr="00F507DF">
              <w:rPr>
                <w:noProof/>
              </w:rPr>
              <w:fldChar w:fldCharType="separate"/>
            </w:r>
            <w:r w:rsidR="00A81B0C">
              <w:rPr>
                <w:noProof/>
              </w:rPr>
              <w:t>1</w:t>
            </w:r>
            <w:r w:rsidR="00D45507" w:rsidRPr="00F507DF">
              <w:rPr>
                <w:noProof/>
              </w:rPr>
              <w:fldChar w:fldCharType="end"/>
            </w:r>
          </w:hyperlink>
        </w:p>
        <w:p w14:paraId="302FFF76" w14:textId="20B987FF"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893" w:history="1">
            <w:r w:rsidR="00D45507" w:rsidRPr="00F507DF">
              <w:rPr>
                <w:rStyle w:val="a9"/>
                <w:rFonts w:ascii="黑体" w:eastAsia="黑体" w:hAnsi="黑体"/>
                <w:noProof/>
                <w:color w:val="auto"/>
                <w:sz w:val="28"/>
                <w:szCs w:val="28"/>
                <w:u w:val="none"/>
              </w:rPr>
              <w:t>一、</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医疗资源驱动模式</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_Toc54008893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1</w:t>
            </w:r>
            <w:r w:rsidR="00D45507" w:rsidRPr="00F507DF">
              <w:rPr>
                <w:rFonts w:ascii="黑体" w:eastAsia="黑体" w:hAnsi="黑体"/>
                <w:noProof/>
                <w:sz w:val="28"/>
                <w:szCs w:val="28"/>
              </w:rPr>
              <w:fldChar w:fldCharType="end"/>
            </w:r>
          </w:hyperlink>
        </w:p>
        <w:p w14:paraId="3C681335" w14:textId="3683E3C3"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894" w:history="1">
            <w:r w:rsidR="00D45507" w:rsidRPr="00F507DF">
              <w:rPr>
                <w:rStyle w:val="a9"/>
                <w:rFonts w:ascii="黑体" w:eastAsia="黑体" w:hAnsi="黑体"/>
                <w:noProof/>
                <w:color w:val="auto"/>
                <w:sz w:val="28"/>
                <w:szCs w:val="28"/>
                <w:u w:val="none"/>
              </w:rPr>
              <w:t>二、</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自然资源驱动模式</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_Toc54008894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2</w:t>
            </w:r>
            <w:r w:rsidR="00D45507" w:rsidRPr="00F507DF">
              <w:rPr>
                <w:rFonts w:ascii="黑体" w:eastAsia="黑体" w:hAnsi="黑体"/>
                <w:noProof/>
                <w:sz w:val="28"/>
                <w:szCs w:val="28"/>
              </w:rPr>
              <w:fldChar w:fldCharType="end"/>
            </w:r>
          </w:hyperlink>
        </w:p>
        <w:p w14:paraId="7FB59AB6" w14:textId="1CCCD226"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895" w:history="1">
            <w:r w:rsidR="00D45507" w:rsidRPr="00F507DF">
              <w:rPr>
                <w:rStyle w:val="a9"/>
                <w:rFonts w:ascii="黑体" w:eastAsia="黑体" w:hAnsi="黑体"/>
                <w:noProof/>
                <w:color w:val="auto"/>
                <w:sz w:val="28"/>
                <w:szCs w:val="28"/>
                <w:u w:val="none"/>
              </w:rPr>
              <w:t>三、</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文化资源驱动模式</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_Toc54008895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4</w:t>
            </w:r>
            <w:r w:rsidR="00D45507" w:rsidRPr="00F507DF">
              <w:rPr>
                <w:rFonts w:ascii="黑体" w:eastAsia="黑体" w:hAnsi="黑体"/>
                <w:noProof/>
                <w:sz w:val="28"/>
                <w:szCs w:val="28"/>
              </w:rPr>
              <w:fldChar w:fldCharType="end"/>
            </w:r>
          </w:hyperlink>
        </w:p>
        <w:p w14:paraId="74FD3CBD" w14:textId="608DEA96"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896" w:history="1">
            <w:r w:rsidR="00D45507" w:rsidRPr="00F507DF">
              <w:rPr>
                <w:rStyle w:val="a9"/>
                <w:rFonts w:ascii="黑体" w:eastAsia="黑体" w:hAnsi="黑体"/>
                <w:noProof/>
                <w:color w:val="auto"/>
                <w:sz w:val="28"/>
                <w:szCs w:val="28"/>
                <w:u w:val="none"/>
              </w:rPr>
              <w:t>四、</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新兴业态驱动模式</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_Toc54008896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4</w:t>
            </w:r>
            <w:r w:rsidR="00D45507" w:rsidRPr="00F507DF">
              <w:rPr>
                <w:rFonts w:ascii="黑体" w:eastAsia="黑体" w:hAnsi="黑体"/>
                <w:noProof/>
                <w:sz w:val="28"/>
                <w:szCs w:val="28"/>
              </w:rPr>
              <w:fldChar w:fldCharType="end"/>
            </w:r>
          </w:hyperlink>
        </w:p>
        <w:p w14:paraId="32100BFB" w14:textId="1E3B27F6" w:rsidR="00C12ECB" w:rsidRPr="00F507DF" w:rsidRDefault="006966A7">
          <w:pPr>
            <w:pStyle w:val="10"/>
            <w:spacing w:line="360" w:lineRule="auto"/>
            <w:rPr>
              <w:noProof/>
            </w:rPr>
          </w:pPr>
          <w:hyperlink w:anchor="_Toc54008897" w:history="1">
            <w:r w:rsidR="00D45507" w:rsidRPr="00F507DF">
              <w:rPr>
                <w:rStyle w:val="a9"/>
                <w:noProof/>
                <w:color w:val="auto"/>
                <w:u w:val="none"/>
              </w:rPr>
              <w:t>第二章</w:t>
            </w:r>
            <w:r w:rsidR="00D45507" w:rsidRPr="00F507DF">
              <w:rPr>
                <w:noProof/>
              </w:rPr>
              <w:tab/>
            </w:r>
            <w:r w:rsidR="00D45507" w:rsidRPr="00F507DF">
              <w:rPr>
                <w:rStyle w:val="a9"/>
                <w:noProof/>
                <w:color w:val="auto"/>
                <w:u w:val="none"/>
              </w:rPr>
              <w:t>康养产业开发模式研究</w:t>
            </w:r>
            <w:r w:rsidR="00D45507" w:rsidRPr="00F507DF">
              <w:rPr>
                <w:noProof/>
              </w:rPr>
              <w:tab/>
            </w:r>
            <w:r w:rsidR="00D45507" w:rsidRPr="00F507DF">
              <w:rPr>
                <w:noProof/>
              </w:rPr>
              <w:fldChar w:fldCharType="begin"/>
            </w:r>
            <w:r w:rsidR="00D45507" w:rsidRPr="00F507DF">
              <w:rPr>
                <w:noProof/>
              </w:rPr>
              <w:instrText xml:space="preserve"> PAGEREF _Toc54008897 \h </w:instrText>
            </w:r>
            <w:r w:rsidR="00D45507" w:rsidRPr="00F507DF">
              <w:rPr>
                <w:noProof/>
              </w:rPr>
            </w:r>
            <w:r w:rsidR="00D45507" w:rsidRPr="00F507DF">
              <w:rPr>
                <w:noProof/>
              </w:rPr>
              <w:fldChar w:fldCharType="separate"/>
            </w:r>
            <w:r w:rsidR="00A81B0C">
              <w:rPr>
                <w:noProof/>
              </w:rPr>
              <w:t>5</w:t>
            </w:r>
            <w:r w:rsidR="00D45507" w:rsidRPr="00F507DF">
              <w:rPr>
                <w:noProof/>
              </w:rPr>
              <w:fldChar w:fldCharType="end"/>
            </w:r>
          </w:hyperlink>
        </w:p>
        <w:p w14:paraId="2CA876A0" w14:textId="7D839B0F"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898" w:history="1">
            <w:r w:rsidR="00D45507" w:rsidRPr="00F507DF">
              <w:rPr>
                <w:rStyle w:val="a9"/>
                <w:rFonts w:ascii="黑体" w:eastAsia="黑体" w:hAnsi="黑体"/>
                <w:noProof/>
                <w:color w:val="auto"/>
                <w:sz w:val="28"/>
                <w:szCs w:val="28"/>
                <w:u w:val="none"/>
              </w:rPr>
              <w:t>一、</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全资自筹模式</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_Toc54008898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6</w:t>
            </w:r>
            <w:r w:rsidR="00D45507" w:rsidRPr="00F507DF">
              <w:rPr>
                <w:rFonts w:ascii="黑体" w:eastAsia="黑体" w:hAnsi="黑体"/>
                <w:noProof/>
                <w:sz w:val="28"/>
                <w:szCs w:val="28"/>
              </w:rPr>
              <w:fldChar w:fldCharType="end"/>
            </w:r>
          </w:hyperlink>
        </w:p>
        <w:p w14:paraId="55DB94D1" w14:textId="3AB3FBA8"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899" w:history="1">
            <w:r w:rsidR="00D45507" w:rsidRPr="00F507DF">
              <w:rPr>
                <w:rStyle w:val="a9"/>
                <w:rFonts w:ascii="黑体" w:eastAsia="黑体" w:hAnsi="黑体"/>
                <w:noProof/>
                <w:color w:val="auto"/>
                <w:sz w:val="28"/>
                <w:szCs w:val="28"/>
                <w:u w:val="none"/>
              </w:rPr>
              <w:t>二、</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合作投资模式</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_Toc54008899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6</w:t>
            </w:r>
            <w:r w:rsidR="00D45507" w:rsidRPr="00F507DF">
              <w:rPr>
                <w:rFonts w:ascii="黑体" w:eastAsia="黑体" w:hAnsi="黑体"/>
                <w:noProof/>
                <w:sz w:val="28"/>
                <w:szCs w:val="28"/>
              </w:rPr>
              <w:fldChar w:fldCharType="end"/>
            </w:r>
          </w:hyperlink>
        </w:p>
        <w:p w14:paraId="63E8F4B5" w14:textId="51CC958F"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0" w:history="1">
            <w:r w:rsidR="00D45507" w:rsidRPr="00F507DF">
              <w:rPr>
                <w:rStyle w:val="a9"/>
                <w:rFonts w:ascii="黑体" w:eastAsia="黑体" w:hAnsi="黑体"/>
                <w:noProof/>
                <w:color w:val="auto"/>
                <w:sz w:val="28"/>
                <w:szCs w:val="28"/>
                <w:u w:val="none"/>
              </w:rPr>
              <w:t>三、</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产业投资基金模式</w:t>
            </w:r>
            <w:bookmarkStart w:id="0" w:name="_GoBack"/>
            <w:bookmarkEnd w:id="0"/>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_Toc54008900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7</w:t>
            </w:r>
            <w:r w:rsidR="00D45507" w:rsidRPr="00F507DF">
              <w:rPr>
                <w:rFonts w:ascii="黑体" w:eastAsia="黑体" w:hAnsi="黑体"/>
                <w:noProof/>
                <w:sz w:val="28"/>
                <w:szCs w:val="28"/>
              </w:rPr>
              <w:fldChar w:fldCharType="end"/>
            </w:r>
          </w:hyperlink>
        </w:p>
        <w:p w14:paraId="7B00BB56" w14:textId="4E7B5865"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1" w:history="1">
            <w:r w:rsidR="00D45507" w:rsidRPr="00F507DF">
              <w:rPr>
                <w:rStyle w:val="a9"/>
                <w:rFonts w:ascii="黑体" w:eastAsia="黑体" w:hAnsi="黑体"/>
                <w:noProof/>
                <w:color w:val="auto"/>
                <w:sz w:val="28"/>
                <w:szCs w:val="28"/>
                <w:u w:val="none"/>
              </w:rPr>
              <w:t>四、</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PPP模式(Public-Private-Partnership)</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_Toc54008901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8</w:t>
            </w:r>
            <w:r w:rsidR="00D45507" w:rsidRPr="00F507DF">
              <w:rPr>
                <w:rFonts w:ascii="黑体" w:eastAsia="黑体" w:hAnsi="黑体"/>
                <w:noProof/>
                <w:sz w:val="28"/>
                <w:szCs w:val="28"/>
              </w:rPr>
              <w:fldChar w:fldCharType="end"/>
            </w:r>
          </w:hyperlink>
        </w:p>
        <w:p w14:paraId="661FCE8C" w14:textId="232D8D60" w:rsidR="00C12ECB" w:rsidRPr="00F507DF" w:rsidRDefault="006966A7">
          <w:pPr>
            <w:pStyle w:val="10"/>
            <w:spacing w:line="360" w:lineRule="auto"/>
            <w:rPr>
              <w:noProof/>
            </w:rPr>
          </w:pPr>
          <w:hyperlink w:anchor="_Toc54008902" w:history="1">
            <w:r w:rsidR="00D45507" w:rsidRPr="00F507DF">
              <w:rPr>
                <w:rStyle w:val="a9"/>
                <w:noProof/>
                <w:color w:val="auto"/>
                <w:u w:val="none"/>
              </w:rPr>
              <w:t>第三章</w:t>
            </w:r>
            <w:r w:rsidR="00D45507" w:rsidRPr="00F507DF">
              <w:rPr>
                <w:noProof/>
              </w:rPr>
              <w:tab/>
            </w:r>
            <w:r w:rsidR="00D45507" w:rsidRPr="00F507DF">
              <w:rPr>
                <w:rStyle w:val="a9"/>
                <w:noProof/>
                <w:color w:val="auto"/>
                <w:u w:val="none"/>
              </w:rPr>
              <w:t>国际国内优秀案例借鉴</w:t>
            </w:r>
            <w:r w:rsidR="00D45507" w:rsidRPr="00F507DF">
              <w:rPr>
                <w:noProof/>
              </w:rPr>
              <w:tab/>
            </w:r>
            <w:r w:rsidR="00D45507" w:rsidRPr="00F507DF">
              <w:rPr>
                <w:noProof/>
              </w:rPr>
              <w:fldChar w:fldCharType="begin"/>
            </w:r>
            <w:r w:rsidR="00D45507" w:rsidRPr="00F507DF">
              <w:rPr>
                <w:noProof/>
              </w:rPr>
              <w:instrText xml:space="preserve"> PAGEREF _Toc54008902 \h </w:instrText>
            </w:r>
            <w:r w:rsidR="00D45507" w:rsidRPr="00F507DF">
              <w:rPr>
                <w:noProof/>
              </w:rPr>
            </w:r>
            <w:r w:rsidR="00D45507" w:rsidRPr="00F507DF">
              <w:rPr>
                <w:noProof/>
              </w:rPr>
              <w:fldChar w:fldCharType="separate"/>
            </w:r>
            <w:r w:rsidR="00A81B0C">
              <w:rPr>
                <w:noProof/>
              </w:rPr>
              <w:t>9</w:t>
            </w:r>
            <w:r w:rsidR="00D45507" w:rsidRPr="00F507DF">
              <w:rPr>
                <w:noProof/>
              </w:rPr>
              <w:fldChar w:fldCharType="end"/>
            </w:r>
          </w:hyperlink>
        </w:p>
        <w:p w14:paraId="6D43B7E2" w14:textId="134DC0DC"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3" w:history="1">
            <w:r w:rsidR="00D45507" w:rsidRPr="00F507DF">
              <w:rPr>
                <w:rStyle w:val="a9"/>
                <w:rFonts w:ascii="黑体" w:eastAsia="黑体" w:hAnsi="黑体"/>
                <w:noProof/>
                <w:color w:val="auto"/>
                <w:sz w:val="28"/>
                <w:szCs w:val="28"/>
                <w:u w:val="none"/>
              </w:rPr>
              <w:t>一、</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医疗资源案例</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_Toc54008903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10</w:t>
            </w:r>
            <w:r w:rsidR="00D45507" w:rsidRPr="00F507DF">
              <w:rPr>
                <w:rFonts w:ascii="黑体" w:eastAsia="黑体" w:hAnsi="黑体"/>
                <w:noProof/>
                <w:sz w:val="28"/>
                <w:szCs w:val="28"/>
              </w:rPr>
              <w:fldChar w:fldCharType="end"/>
            </w:r>
          </w:hyperlink>
        </w:p>
        <w:p w14:paraId="59F24FF0" w14:textId="6E35F85F"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4" w:history="1">
            <w:r w:rsidR="00D45507" w:rsidRPr="00F507DF">
              <w:rPr>
                <w:rStyle w:val="a9"/>
                <w:rFonts w:ascii="黑体" w:eastAsia="黑体" w:hAnsi="黑体"/>
                <w:noProof/>
                <w:color w:val="auto"/>
                <w:sz w:val="28"/>
                <w:szCs w:val="28"/>
                <w:u w:val="none"/>
              </w:rPr>
              <w:t>二、</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自然资源案例</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_Toc54008904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17</w:t>
            </w:r>
            <w:r w:rsidR="00D45507" w:rsidRPr="00F507DF">
              <w:rPr>
                <w:rFonts w:ascii="黑体" w:eastAsia="黑体" w:hAnsi="黑体"/>
                <w:noProof/>
                <w:sz w:val="28"/>
                <w:szCs w:val="28"/>
              </w:rPr>
              <w:fldChar w:fldCharType="end"/>
            </w:r>
          </w:hyperlink>
        </w:p>
        <w:p w14:paraId="3FF18753" w14:textId="71ED3248"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5" w:history="1">
            <w:r w:rsidR="00D45507" w:rsidRPr="00F507DF">
              <w:rPr>
                <w:rStyle w:val="a9"/>
                <w:rFonts w:ascii="黑体" w:eastAsia="黑体" w:hAnsi="黑体"/>
                <w:noProof/>
                <w:color w:val="auto"/>
                <w:sz w:val="28"/>
                <w:szCs w:val="28"/>
                <w:u w:val="none"/>
              </w:rPr>
              <w:t>三、</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文化资源案例</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_Toc54008905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30</w:t>
            </w:r>
            <w:r w:rsidR="00D45507" w:rsidRPr="00F507DF">
              <w:rPr>
                <w:rFonts w:ascii="黑体" w:eastAsia="黑体" w:hAnsi="黑体"/>
                <w:noProof/>
                <w:sz w:val="28"/>
                <w:szCs w:val="28"/>
              </w:rPr>
              <w:fldChar w:fldCharType="end"/>
            </w:r>
          </w:hyperlink>
        </w:p>
        <w:p w14:paraId="2FE14C87" w14:textId="27FCFAE0"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6" w:history="1">
            <w:r w:rsidR="00D45507" w:rsidRPr="00F507DF">
              <w:rPr>
                <w:rStyle w:val="a9"/>
                <w:rFonts w:ascii="黑体" w:eastAsia="黑体" w:hAnsi="黑体"/>
                <w:noProof/>
                <w:color w:val="auto"/>
                <w:sz w:val="28"/>
                <w:szCs w:val="28"/>
                <w:u w:val="none"/>
              </w:rPr>
              <w:t>四、</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新兴康养业态案例</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_Toc54008906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37</w:t>
            </w:r>
            <w:r w:rsidR="00D45507" w:rsidRPr="00F507DF">
              <w:rPr>
                <w:rFonts w:ascii="黑体" w:eastAsia="黑体" w:hAnsi="黑体"/>
                <w:noProof/>
                <w:sz w:val="28"/>
                <w:szCs w:val="28"/>
              </w:rPr>
              <w:fldChar w:fldCharType="end"/>
            </w:r>
          </w:hyperlink>
        </w:p>
        <w:p w14:paraId="7141948E" w14:textId="7F1B908C" w:rsidR="00C12ECB" w:rsidRPr="00F507DF" w:rsidRDefault="006966A7">
          <w:pPr>
            <w:pStyle w:val="10"/>
            <w:spacing w:line="360" w:lineRule="auto"/>
            <w:rPr>
              <w:noProof/>
            </w:rPr>
          </w:pPr>
          <w:hyperlink w:anchor="_Toc54008907" w:history="1">
            <w:r w:rsidR="00D45507" w:rsidRPr="00F507DF">
              <w:rPr>
                <w:rStyle w:val="a9"/>
                <w:b w:val="0"/>
                <w:bCs w:val="0"/>
                <w:noProof/>
                <w:color w:val="auto"/>
                <w:u w:val="none"/>
              </w:rPr>
              <w:t>第四章</w:t>
            </w:r>
            <w:r w:rsidR="00D45507" w:rsidRPr="00F507DF">
              <w:rPr>
                <w:noProof/>
              </w:rPr>
              <w:tab/>
            </w:r>
            <w:r w:rsidR="00D45507" w:rsidRPr="00F507DF">
              <w:rPr>
                <w:rStyle w:val="a9"/>
                <w:b w:val="0"/>
                <w:bCs w:val="0"/>
                <w:noProof/>
                <w:color w:val="auto"/>
                <w:u w:val="none"/>
              </w:rPr>
              <w:t>南阳康养发展经验借鉴</w:t>
            </w:r>
            <w:r w:rsidR="00D45507" w:rsidRPr="00F507DF">
              <w:rPr>
                <w:noProof/>
              </w:rPr>
              <w:tab/>
            </w:r>
            <w:r w:rsidR="00D45507" w:rsidRPr="00F507DF">
              <w:rPr>
                <w:noProof/>
              </w:rPr>
              <w:fldChar w:fldCharType="begin"/>
            </w:r>
            <w:r w:rsidR="00D45507" w:rsidRPr="00F507DF">
              <w:rPr>
                <w:noProof/>
              </w:rPr>
              <w:instrText xml:space="preserve"> PAGEREF _Toc54008907 \h </w:instrText>
            </w:r>
            <w:r w:rsidR="00D45507" w:rsidRPr="00F507DF">
              <w:rPr>
                <w:noProof/>
              </w:rPr>
            </w:r>
            <w:r w:rsidR="00D45507" w:rsidRPr="00F507DF">
              <w:rPr>
                <w:noProof/>
              </w:rPr>
              <w:fldChar w:fldCharType="separate"/>
            </w:r>
            <w:r w:rsidR="00A81B0C">
              <w:rPr>
                <w:noProof/>
              </w:rPr>
              <w:t>50</w:t>
            </w:r>
            <w:r w:rsidR="00D45507" w:rsidRPr="00F507DF">
              <w:rPr>
                <w:noProof/>
              </w:rPr>
              <w:fldChar w:fldCharType="end"/>
            </w:r>
          </w:hyperlink>
        </w:p>
        <w:p w14:paraId="7BED10A8" w14:textId="6FCD79E1"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8" w:history="1">
            <w:r w:rsidR="00D45507" w:rsidRPr="00F507DF">
              <w:rPr>
                <w:rStyle w:val="a9"/>
                <w:rFonts w:ascii="黑体" w:eastAsia="黑体" w:hAnsi="黑体"/>
                <w:noProof/>
                <w:color w:val="auto"/>
                <w:sz w:val="28"/>
                <w:szCs w:val="28"/>
                <w:u w:val="none"/>
              </w:rPr>
              <w:t>一、</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中医药康养借鉴经验</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_Toc54008908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50</w:t>
            </w:r>
            <w:r w:rsidR="00D45507" w:rsidRPr="00F507DF">
              <w:rPr>
                <w:rFonts w:ascii="黑体" w:eastAsia="黑体" w:hAnsi="黑体"/>
                <w:noProof/>
                <w:sz w:val="28"/>
                <w:szCs w:val="28"/>
              </w:rPr>
              <w:fldChar w:fldCharType="end"/>
            </w:r>
          </w:hyperlink>
        </w:p>
        <w:p w14:paraId="50A4EDA6" w14:textId="4781792C" w:rsidR="00C12ECB" w:rsidRPr="00F507DF" w:rsidRDefault="006966A7">
          <w:pPr>
            <w:pStyle w:val="20"/>
            <w:tabs>
              <w:tab w:val="left" w:pos="1260"/>
              <w:tab w:val="right" w:leader="dot" w:pos="8296"/>
            </w:tabs>
            <w:spacing w:line="360" w:lineRule="auto"/>
            <w:rPr>
              <w:rFonts w:ascii="黑体" w:eastAsia="黑体" w:hAnsi="黑体"/>
              <w:noProof/>
              <w:sz w:val="28"/>
              <w:szCs w:val="28"/>
            </w:rPr>
          </w:pPr>
          <w:hyperlink w:anchor="_Toc54008909" w:history="1">
            <w:r w:rsidR="00D45507" w:rsidRPr="00F507DF">
              <w:rPr>
                <w:rStyle w:val="a9"/>
                <w:rFonts w:ascii="黑体" w:eastAsia="黑体" w:hAnsi="黑体"/>
                <w:noProof/>
                <w:color w:val="auto"/>
                <w:sz w:val="28"/>
                <w:szCs w:val="28"/>
                <w:u w:val="none"/>
              </w:rPr>
              <w:t>二、</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文旅康养借鉴经验</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_Toc54008909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51</w:t>
            </w:r>
            <w:r w:rsidR="00D45507" w:rsidRPr="00F507DF">
              <w:rPr>
                <w:rFonts w:ascii="黑体" w:eastAsia="黑体" w:hAnsi="黑体"/>
                <w:noProof/>
                <w:sz w:val="28"/>
                <w:szCs w:val="28"/>
              </w:rPr>
              <w:fldChar w:fldCharType="end"/>
            </w:r>
          </w:hyperlink>
        </w:p>
        <w:p w14:paraId="30A236BB" w14:textId="77777777" w:rsidR="00A81B0C" w:rsidRDefault="006966A7">
          <w:pPr>
            <w:pStyle w:val="20"/>
            <w:tabs>
              <w:tab w:val="left" w:pos="1260"/>
              <w:tab w:val="right" w:leader="dot" w:pos="8296"/>
            </w:tabs>
            <w:spacing w:line="360" w:lineRule="auto"/>
            <w:rPr>
              <w:rFonts w:ascii="黑体" w:eastAsia="黑体" w:hAnsi="黑体"/>
              <w:noProof/>
              <w:sz w:val="28"/>
              <w:szCs w:val="28"/>
            </w:rPr>
            <w:sectPr w:rsidR="00A81B0C">
              <w:pgSz w:w="11906" w:h="16838"/>
              <w:pgMar w:top="1440" w:right="1800" w:bottom="1440" w:left="1800" w:header="851" w:footer="992" w:gutter="0"/>
              <w:cols w:space="425"/>
              <w:docGrid w:type="lines" w:linePitch="312"/>
            </w:sectPr>
          </w:pPr>
          <w:hyperlink w:anchor="_Toc54008910" w:history="1">
            <w:r w:rsidR="00D45507" w:rsidRPr="00F507DF">
              <w:rPr>
                <w:rStyle w:val="a9"/>
                <w:rFonts w:ascii="黑体" w:eastAsia="黑体" w:hAnsi="黑体"/>
                <w:noProof/>
                <w:color w:val="auto"/>
                <w:sz w:val="28"/>
                <w:szCs w:val="28"/>
                <w:u w:val="none"/>
              </w:rPr>
              <w:t>三、</w:t>
            </w:r>
            <w:r w:rsidR="00D45507" w:rsidRPr="00F507DF">
              <w:rPr>
                <w:rFonts w:ascii="黑体" w:eastAsia="黑体" w:hAnsi="黑体"/>
                <w:noProof/>
                <w:sz w:val="28"/>
                <w:szCs w:val="28"/>
              </w:rPr>
              <w:tab/>
            </w:r>
            <w:r w:rsidR="00D45507" w:rsidRPr="00F507DF">
              <w:rPr>
                <w:rStyle w:val="a9"/>
                <w:rFonts w:ascii="黑体" w:eastAsia="黑体" w:hAnsi="黑体"/>
                <w:noProof/>
                <w:color w:val="auto"/>
                <w:sz w:val="28"/>
                <w:szCs w:val="28"/>
                <w:u w:val="none"/>
              </w:rPr>
              <w:t>数字康养借鉴经验</w:t>
            </w:r>
            <w:r w:rsidR="00D45507" w:rsidRPr="00F507DF">
              <w:rPr>
                <w:rFonts w:ascii="黑体" w:eastAsia="黑体" w:hAnsi="黑体"/>
                <w:noProof/>
                <w:sz w:val="28"/>
                <w:szCs w:val="28"/>
              </w:rPr>
              <w:tab/>
            </w:r>
            <w:r w:rsidR="00D45507" w:rsidRPr="00F507DF">
              <w:rPr>
                <w:rFonts w:ascii="黑体" w:eastAsia="黑体" w:hAnsi="黑体"/>
                <w:noProof/>
                <w:sz w:val="28"/>
                <w:szCs w:val="28"/>
              </w:rPr>
              <w:fldChar w:fldCharType="begin"/>
            </w:r>
            <w:r w:rsidR="00D45507" w:rsidRPr="00F507DF">
              <w:rPr>
                <w:rFonts w:ascii="黑体" w:eastAsia="黑体" w:hAnsi="黑体"/>
                <w:noProof/>
                <w:sz w:val="28"/>
                <w:szCs w:val="28"/>
              </w:rPr>
              <w:instrText xml:space="preserve"> PAGEREF _Toc54008910 \h </w:instrText>
            </w:r>
            <w:r w:rsidR="00D45507" w:rsidRPr="00F507DF">
              <w:rPr>
                <w:rFonts w:ascii="黑体" w:eastAsia="黑体" w:hAnsi="黑体"/>
                <w:noProof/>
                <w:sz w:val="28"/>
                <w:szCs w:val="28"/>
              </w:rPr>
            </w:r>
            <w:r w:rsidR="00D45507" w:rsidRPr="00F507DF">
              <w:rPr>
                <w:rFonts w:ascii="黑体" w:eastAsia="黑体" w:hAnsi="黑体"/>
                <w:noProof/>
                <w:sz w:val="28"/>
                <w:szCs w:val="28"/>
              </w:rPr>
              <w:fldChar w:fldCharType="separate"/>
            </w:r>
            <w:r w:rsidR="00A81B0C">
              <w:rPr>
                <w:rFonts w:ascii="黑体" w:eastAsia="黑体" w:hAnsi="黑体"/>
                <w:noProof/>
                <w:sz w:val="28"/>
                <w:szCs w:val="28"/>
              </w:rPr>
              <w:t>52</w:t>
            </w:r>
            <w:r w:rsidR="00D45507" w:rsidRPr="00F507DF">
              <w:rPr>
                <w:rFonts w:ascii="黑体" w:eastAsia="黑体" w:hAnsi="黑体"/>
                <w:noProof/>
                <w:sz w:val="28"/>
                <w:szCs w:val="28"/>
              </w:rPr>
              <w:fldChar w:fldCharType="end"/>
            </w:r>
          </w:hyperlink>
        </w:p>
        <w:p w14:paraId="623DD371" w14:textId="0360B8E7" w:rsidR="00C12ECB" w:rsidRPr="00F507DF" w:rsidRDefault="00C12ECB">
          <w:pPr>
            <w:pStyle w:val="20"/>
            <w:tabs>
              <w:tab w:val="left" w:pos="1260"/>
              <w:tab w:val="right" w:leader="dot" w:pos="8296"/>
            </w:tabs>
            <w:spacing w:line="360" w:lineRule="auto"/>
            <w:rPr>
              <w:rFonts w:ascii="黑体" w:eastAsia="黑体" w:hAnsi="黑体"/>
              <w:noProof/>
              <w:sz w:val="32"/>
              <w:szCs w:val="32"/>
            </w:rPr>
          </w:pPr>
        </w:p>
        <w:p w14:paraId="78E58398" w14:textId="77777777" w:rsidR="00C12ECB" w:rsidRPr="00F507DF" w:rsidRDefault="00D45507">
          <w:pPr>
            <w:pStyle w:val="TOC1"/>
            <w:spacing w:line="560" w:lineRule="atLeast"/>
            <w:jc w:val="center"/>
            <w:rPr>
              <w:rFonts w:ascii="仿宋_GB2312" w:eastAsia="仿宋_GB2312"/>
              <w:color w:val="auto"/>
              <w:sz w:val="28"/>
              <w:szCs w:val="28"/>
            </w:rPr>
            <w:sectPr w:rsidR="00C12ECB" w:rsidRPr="00F507DF">
              <w:pgSz w:w="11906" w:h="16838"/>
              <w:pgMar w:top="1440" w:right="1800" w:bottom="1440" w:left="1800" w:header="851" w:footer="992" w:gutter="0"/>
              <w:cols w:space="425"/>
              <w:docGrid w:type="lines" w:linePitch="312"/>
            </w:sectPr>
          </w:pPr>
          <w:r w:rsidRPr="00F507DF">
            <w:rPr>
              <w:rFonts w:ascii="黑体" w:eastAsia="黑体" w:hAnsi="黑体"/>
              <w:color w:val="auto"/>
            </w:rPr>
            <w:fldChar w:fldCharType="end"/>
          </w:r>
        </w:p>
      </w:sdtContent>
    </w:sdt>
    <w:p w14:paraId="17F64D7D" w14:textId="77777777" w:rsidR="00C12ECB" w:rsidRPr="00F507DF" w:rsidRDefault="00D45507">
      <w:pPr>
        <w:pStyle w:val="1"/>
        <w:numPr>
          <w:ilvl w:val="0"/>
          <w:numId w:val="1"/>
        </w:numPr>
        <w:jc w:val="center"/>
        <w:rPr>
          <w:rFonts w:ascii="黑体" w:eastAsia="黑体" w:hAnsi="黑体"/>
          <w:sz w:val="36"/>
          <w:szCs w:val="36"/>
        </w:rPr>
      </w:pPr>
      <w:bookmarkStart w:id="1" w:name="_Toc54008892"/>
      <w:r w:rsidRPr="00F507DF">
        <w:rPr>
          <w:rFonts w:ascii="黑体" w:eastAsia="黑体" w:hAnsi="黑体" w:hint="eastAsia"/>
          <w:sz w:val="36"/>
          <w:szCs w:val="36"/>
        </w:rPr>
        <w:lastRenderedPageBreak/>
        <w:t>康养产业发展模式研究</w:t>
      </w:r>
      <w:bookmarkEnd w:id="1"/>
    </w:p>
    <w:p w14:paraId="0D26BB8C" w14:textId="77777777" w:rsidR="00876A81" w:rsidRPr="00F507DF" w:rsidRDefault="00D45507" w:rsidP="00FF66DC">
      <w:pPr>
        <w:spacing w:line="560" w:lineRule="atLeast"/>
        <w:ind w:firstLineChars="200" w:firstLine="560"/>
        <w:rPr>
          <w:rFonts w:ascii="仿宋_GB2312" w:eastAsia="仿宋_GB2312" w:hAnsi="宋体" w:cs="宋体"/>
          <w:sz w:val="28"/>
          <w:szCs w:val="28"/>
          <w:lang w:val="zh-TW"/>
        </w:rPr>
      </w:pPr>
      <w:r w:rsidRPr="00F507DF">
        <w:rPr>
          <w:rFonts w:ascii="仿宋_GB2312" w:eastAsia="仿宋_GB2312" w:hAnsi="宋体" w:cs="宋体" w:hint="eastAsia"/>
          <w:sz w:val="28"/>
          <w:szCs w:val="28"/>
          <w:lang w:val="zh-TW"/>
        </w:rPr>
        <w:t>“康养”是一个包容性的概念，一方面可以将康养看成是健康、养生和养老的统称，另一方面也可以将“康养”看成“以养为手段、以康为目的”的活动，是结合外部环境改善人的身心神并使其不断趋于最佳状态的行为。</w:t>
      </w:r>
    </w:p>
    <w:p w14:paraId="5F078435" w14:textId="1B6BAF09"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cs="宋体" w:hint="eastAsia"/>
          <w:sz w:val="28"/>
          <w:szCs w:val="28"/>
          <w:lang w:val="zh-TW"/>
        </w:rPr>
        <w:t>根据从事康养产业活动所依托资源的不同，传统上可以将康养发展划分为医疗资源驱动模式、自然资源驱动模式和文化资源驱动模式。随着康养产业与医药科技、度假旅游等业态的融合与升级，不同模式间的结合愈加紧密，也催生出如数字康养、运动康养等新兴康养业态。南阳市具有良好的山水资源和丰富的中医药文化资源，可以依托森林、湖泊、田园等资源发展自然资源驱动的康养业态，同时深入挖掘中医药文化</w:t>
      </w:r>
      <w:r w:rsidR="007C03A1" w:rsidRPr="00F507DF">
        <w:rPr>
          <w:rFonts w:ascii="仿宋_GB2312" w:eastAsia="仿宋_GB2312" w:hAnsi="宋体" w:cs="宋体" w:hint="eastAsia"/>
          <w:sz w:val="28"/>
          <w:szCs w:val="28"/>
          <w:lang w:val="zh-TW"/>
        </w:rPr>
        <w:t>，</w:t>
      </w:r>
      <w:r w:rsidRPr="00F507DF">
        <w:rPr>
          <w:rFonts w:ascii="仿宋_GB2312" w:eastAsia="仿宋_GB2312" w:hAnsi="宋体" w:cs="宋体" w:hint="eastAsia"/>
          <w:sz w:val="28"/>
          <w:szCs w:val="28"/>
          <w:lang w:val="zh-TW"/>
        </w:rPr>
        <w:t>打造中医药康养的品牌。</w:t>
      </w:r>
    </w:p>
    <w:p w14:paraId="3E67D040" w14:textId="77777777" w:rsidR="00C12ECB" w:rsidRPr="00F507DF" w:rsidRDefault="00D45507" w:rsidP="00FF66DC">
      <w:pPr>
        <w:pStyle w:val="2"/>
      </w:pPr>
      <w:bookmarkStart w:id="2" w:name="_Toc54008893"/>
      <w:r w:rsidRPr="00F507DF">
        <w:rPr>
          <w:rFonts w:hint="eastAsia"/>
        </w:rPr>
        <w:t>医疗资源驱动模式</w:t>
      </w:r>
      <w:bookmarkEnd w:id="2"/>
    </w:p>
    <w:p w14:paraId="2FAD0FC7" w14:textId="77777777" w:rsidR="00C12ECB" w:rsidRPr="00F507DF" w:rsidRDefault="00D45507" w:rsidP="00FF66DC">
      <w:pPr>
        <w:pStyle w:val="3"/>
        <w:numPr>
          <w:ilvl w:val="1"/>
          <w:numId w:val="3"/>
        </w:numPr>
        <w:ind w:left="420" w:firstLine="200"/>
        <w:rPr>
          <w:rFonts w:ascii="黑体" w:eastAsia="黑体" w:hAnsi="黑体"/>
          <w:sz w:val="28"/>
          <w:szCs w:val="28"/>
        </w:rPr>
      </w:pPr>
      <w:r w:rsidRPr="00F507DF">
        <w:rPr>
          <w:rFonts w:ascii="黑体" w:eastAsia="黑体" w:hAnsi="黑体" w:hint="eastAsia"/>
          <w:sz w:val="28"/>
          <w:szCs w:val="28"/>
        </w:rPr>
        <w:t>医疗机构驱动</w:t>
      </w:r>
    </w:p>
    <w:p w14:paraId="1D4307AF"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具有较大影响力的先进医药研究机构、疾病研究中心、医院、美容养生机构等医疗机构为核心资源驱动康养产业的发展，主要开展重点疾病治疗、美容养生、愈后康复等服务，融合了疗养、度假、养老等业态。其核心优势是医疗机构本身能够带来大量的域外客源，围绕这些客源能够进行针对性的建设配套。</w:t>
      </w:r>
    </w:p>
    <w:p w14:paraId="2F8A7581" w14:textId="77777777" w:rsidR="00C12ECB" w:rsidRPr="00F507DF" w:rsidRDefault="00D45507" w:rsidP="00FF66DC">
      <w:pPr>
        <w:pStyle w:val="3"/>
        <w:numPr>
          <w:ilvl w:val="1"/>
          <w:numId w:val="3"/>
        </w:numPr>
        <w:ind w:left="420" w:firstLine="200"/>
        <w:rPr>
          <w:rFonts w:ascii="黑体" w:eastAsia="黑体" w:hAnsi="黑体"/>
          <w:sz w:val="28"/>
          <w:szCs w:val="28"/>
        </w:rPr>
      </w:pPr>
      <w:r w:rsidRPr="00F507DF">
        <w:rPr>
          <w:rFonts w:ascii="黑体" w:eastAsia="黑体" w:hAnsi="黑体" w:hint="eastAsia"/>
          <w:sz w:val="28"/>
          <w:szCs w:val="28"/>
        </w:rPr>
        <w:lastRenderedPageBreak/>
        <w:t>医药资源驱动</w:t>
      </w:r>
    </w:p>
    <w:p w14:paraId="6DCAA0CA"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依托医药原材料、医药产品、医药企业等资源发展健康养生产业，通过医药企业形成集聚效应，提高研发能力，降低生产成本，形成医药品牌与文化。主要业态包括相关健康养生服务机构、企业的下游网点、中医药养生服务机构、中医药种植养生园、药膳理疗体验服务等。</w:t>
      </w:r>
    </w:p>
    <w:p w14:paraId="118757CD" w14:textId="77777777" w:rsidR="00C12ECB" w:rsidRPr="00F507DF" w:rsidRDefault="00D45507" w:rsidP="00FF66DC">
      <w:pPr>
        <w:pStyle w:val="3"/>
        <w:numPr>
          <w:ilvl w:val="1"/>
          <w:numId w:val="3"/>
        </w:numPr>
        <w:ind w:left="420" w:firstLine="200"/>
        <w:rPr>
          <w:rFonts w:ascii="黑体" w:eastAsia="黑体" w:hAnsi="黑体"/>
          <w:sz w:val="28"/>
          <w:szCs w:val="28"/>
        </w:rPr>
      </w:pPr>
      <w:r w:rsidRPr="00F507DF">
        <w:rPr>
          <w:rFonts w:ascii="黑体" w:eastAsia="黑体" w:hAnsi="黑体" w:hint="eastAsia"/>
          <w:sz w:val="28"/>
          <w:szCs w:val="28"/>
        </w:rPr>
        <w:t>健康管理驱动</w:t>
      </w:r>
    </w:p>
    <w:p w14:paraId="1040150A"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健康管理驱动以体检机构、健康管理服务中心为依托，主要进行疾病体检与早期干预、提供个性化的健康管理建议、治疗后的康复训练服务、孕前体检与养护等，主要客群为孕妇和老人。</w:t>
      </w:r>
    </w:p>
    <w:p w14:paraId="0573D1A4" w14:textId="77777777" w:rsidR="00C12ECB" w:rsidRPr="00F507DF" w:rsidRDefault="00D45507" w:rsidP="00FF66DC">
      <w:pPr>
        <w:pStyle w:val="2"/>
      </w:pPr>
      <w:bookmarkStart w:id="3" w:name="_Toc54008894"/>
      <w:r w:rsidRPr="00F507DF">
        <w:rPr>
          <w:rFonts w:hint="eastAsia"/>
        </w:rPr>
        <w:t>自然资源驱动模式</w:t>
      </w:r>
      <w:bookmarkEnd w:id="3"/>
    </w:p>
    <w:p w14:paraId="473E2C1D" w14:textId="77777777" w:rsidR="00C12ECB" w:rsidRPr="00F507DF" w:rsidRDefault="00D45507" w:rsidP="00FF66DC">
      <w:pPr>
        <w:pStyle w:val="3"/>
        <w:numPr>
          <w:ilvl w:val="0"/>
          <w:numId w:val="4"/>
        </w:numPr>
        <w:ind w:firstLine="200"/>
        <w:rPr>
          <w:rFonts w:ascii="黑体" w:eastAsia="黑体" w:hAnsi="黑体"/>
          <w:sz w:val="28"/>
          <w:szCs w:val="28"/>
        </w:rPr>
      </w:pPr>
      <w:r w:rsidRPr="00F507DF">
        <w:rPr>
          <w:rFonts w:ascii="黑体" w:eastAsia="黑体" w:hAnsi="黑体" w:hint="eastAsia"/>
          <w:sz w:val="28"/>
          <w:szCs w:val="28"/>
        </w:rPr>
        <w:t>森林资源驱动</w:t>
      </w:r>
    </w:p>
    <w:p w14:paraId="372F1C78"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是以空气清新、环境优美的森林资源为依托，开展包括森林游憩、度假、疗养、运动、教育、养生、养老以及食疗（补）等多种业态的集合。</w:t>
      </w:r>
    </w:p>
    <w:p w14:paraId="2563E975" w14:textId="77777777" w:rsidR="00C12ECB" w:rsidRPr="00F507DF" w:rsidRDefault="00D45507" w:rsidP="00FF66DC">
      <w:pPr>
        <w:pStyle w:val="3"/>
        <w:numPr>
          <w:ilvl w:val="0"/>
          <w:numId w:val="4"/>
        </w:numPr>
        <w:ind w:firstLine="200"/>
        <w:rPr>
          <w:rFonts w:ascii="黑体" w:eastAsia="黑体" w:hAnsi="黑体"/>
          <w:sz w:val="28"/>
          <w:szCs w:val="28"/>
        </w:rPr>
      </w:pPr>
      <w:r w:rsidRPr="00F507DF">
        <w:rPr>
          <w:rFonts w:ascii="黑体" w:eastAsia="黑体" w:hAnsi="黑体" w:hint="eastAsia"/>
          <w:sz w:val="28"/>
          <w:szCs w:val="28"/>
        </w:rPr>
        <w:t>气候资源驱动</w:t>
      </w:r>
    </w:p>
    <w:p w14:paraId="04FFFA62"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以地区或季节性宜人的自然气候（如阳光、温度等）条件为康养资源，在满足康养消费者对特殊环境气候的需求下，配套各种健康、养老、养生、度假等相关产品和服务，形成的综合性气候康养产业。</w:t>
      </w:r>
    </w:p>
    <w:p w14:paraId="6B354303" w14:textId="77777777" w:rsidR="00C12ECB" w:rsidRPr="00F507DF" w:rsidRDefault="00D45507" w:rsidP="00FF66DC">
      <w:pPr>
        <w:pStyle w:val="3"/>
        <w:numPr>
          <w:ilvl w:val="0"/>
          <w:numId w:val="4"/>
        </w:numPr>
        <w:ind w:firstLine="200"/>
        <w:rPr>
          <w:rFonts w:ascii="黑体" w:eastAsia="黑体" w:hAnsi="黑体"/>
          <w:sz w:val="28"/>
          <w:szCs w:val="28"/>
        </w:rPr>
      </w:pPr>
      <w:r w:rsidRPr="00F507DF">
        <w:rPr>
          <w:rFonts w:ascii="黑体" w:eastAsia="黑体" w:hAnsi="黑体" w:hint="eastAsia"/>
          <w:sz w:val="28"/>
          <w:szCs w:val="28"/>
        </w:rPr>
        <w:lastRenderedPageBreak/>
        <w:t>湖泊资源驱动</w:t>
      </w:r>
    </w:p>
    <w:p w14:paraId="7558B9E1"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以湖泊为核心资源，开展包括水上运动、亲水疗养、温泉理疗、湿地度假、养生养老等业态的康养模式。</w:t>
      </w:r>
    </w:p>
    <w:p w14:paraId="67DFED3D" w14:textId="77777777" w:rsidR="00C12ECB" w:rsidRPr="00F507DF" w:rsidRDefault="00D45507" w:rsidP="00FF66DC">
      <w:pPr>
        <w:pStyle w:val="3"/>
        <w:numPr>
          <w:ilvl w:val="0"/>
          <w:numId w:val="4"/>
        </w:numPr>
        <w:ind w:firstLine="200"/>
        <w:rPr>
          <w:rFonts w:ascii="黑体" w:eastAsia="黑体" w:hAnsi="黑体"/>
          <w:sz w:val="28"/>
          <w:szCs w:val="28"/>
        </w:rPr>
      </w:pPr>
      <w:r w:rsidRPr="00F507DF">
        <w:rPr>
          <w:rFonts w:ascii="黑体" w:eastAsia="黑体" w:hAnsi="黑体" w:hint="eastAsia"/>
          <w:sz w:val="28"/>
          <w:szCs w:val="28"/>
        </w:rPr>
        <w:t>火山资源驱动</w:t>
      </w:r>
    </w:p>
    <w:p w14:paraId="149D2AC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以火山地质形成的天然磁场环境、森林环境、火山泥或温泉资源为依托发展的康养模式，主要利用部分火山矿物质对人体健康提升，包括火山泥浴、温泉理疗、有机蔬果、天然矿泉、森林康养等业态。</w:t>
      </w:r>
    </w:p>
    <w:p w14:paraId="6C7F0A87" w14:textId="77777777" w:rsidR="00C12ECB" w:rsidRPr="00F507DF" w:rsidRDefault="00D45507" w:rsidP="00FF66DC">
      <w:pPr>
        <w:pStyle w:val="3"/>
        <w:numPr>
          <w:ilvl w:val="0"/>
          <w:numId w:val="4"/>
        </w:numPr>
        <w:ind w:firstLine="200"/>
        <w:rPr>
          <w:rFonts w:ascii="黑体" w:eastAsia="黑体" w:hAnsi="黑体"/>
          <w:sz w:val="28"/>
          <w:szCs w:val="28"/>
        </w:rPr>
      </w:pPr>
      <w:r w:rsidRPr="00F507DF">
        <w:rPr>
          <w:rFonts w:ascii="黑体" w:eastAsia="黑体" w:hAnsi="黑体" w:hint="eastAsia"/>
          <w:sz w:val="28"/>
          <w:szCs w:val="28"/>
        </w:rPr>
        <w:t>温泉资源驱动</w:t>
      </w:r>
    </w:p>
    <w:p w14:paraId="60C3CF02"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因大多数温泉本身具有保健和疗养功能，是传统康养旅游中最重要的资源。现代温泉康养已经从传统的温泉汤浴拓展到温泉度假、温泉养生，以及结合中医药、健康疗法等其他资源形成的温泉理疗等。</w:t>
      </w:r>
    </w:p>
    <w:p w14:paraId="52E96434" w14:textId="77777777" w:rsidR="00C12ECB" w:rsidRPr="00F507DF" w:rsidRDefault="00D45507" w:rsidP="00FF66DC">
      <w:pPr>
        <w:pStyle w:val="3"/>
        <w:numPr>
          <w:ilvl w:val="0"/>
          <w:numId w:val="4"/>
        </w:numPr>
        <w:ind w:firstLine="200"/>
        <w:rPr>
          <w:rFonts w:ascii="黑体" w:eastAsia="黑体" w:hAnsi="黑体"/>
          <w:sz w:val="28"/>
          <w:szCs w:val="28"/>
        </w:rPr>
      </w:pPr>
      <w:r w:rsidRPr="00F507DF">
        <w:rPr>
          <w:rFonts w:ascii="黑体" w:eastAsia="黑体" w:hAnsi="黑体" w:hint="eastAsia"/>
          <w:sz w:val="28"/>
          <w:szCs w:val="28"/>
        </w:rPr>
        <w:t>乡村资源驱动</w:t>
      </w:r>
    </w:p>
    <w:p w14:paraId="5EB60EFB"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田园为生活空间，以农作、农事、农活为生活内容，以农业生产和农村经济发展为生活目标，回归自然、享受生命、修身养性、度假休闲、健康身体、治疗疾病、颐养天年的一种生活方式，业态如草药养生园、四季花海养生，有机农业养生园、林果休闲等</w:t>
      </w:r>
      <w:r w:rsidR="007C03A1" w:rsidRPr="00F507DF">
        <w:rPr>
          <w:rFonts w:ascii="仿宋_GB2312" w:eastAsia="仿宋_GB2312" w:hAnsi="宋体" w:hint="eastAsia"/>
          <w:sz w:val="28"/>
          <w:szCs w:val="28"/>
        </w:rPr>
        <w:t>。</w:t>
      </w:r>
    </w:p>
    <w:p w14:paraId="0969A933" w14:textId="77777777" w:rsidR="00C12ECB" w:rsidRPr="00F507DF" w:rsidRDefault="00D45507" w:rsidP="00FF66DC">
      <w:pPr>
        <w:pStyle w:val="2"/>
      </w:pPr>
      <w:bookmarkStart w:id="4" w:name="_Toc54008895"/>
      <w:r w:rsidRPr="00F507DF">
        <w:rPr>
          <w:rFonts w:hint="eastAsia"/>
        </w:rPr>
        <w:lastRenderedPageBreak/>
        <w:t>文化资源驱动模式</w:t>
      </w:r>
      <w:bookmarkEnd w:id="4"/>
    </w:p>
    <w:p w14:paraId="358CC03A" w14:textId="77777777" w:rsidR="00C12ECB" w:rsidRPr="00F507DF" w:rsidRDefault="00D45507" w:rsidP="00FF66DC">
      <w:pPr>
        <w:pStyle w:val="3"/>
        <w:numPr>
          <w:ilvl w:val="0"/>
          <w:numId w:val="5"/>
        </w:numPr>
        <w:ind w:firstLine="200"/>
        <w:rPr>
          <w:rFonts w:ascii="黑体" w:eastAsia="黑体" w:hAnsi="黑体"/>
          <w:sz w:val="28"/>
          <w:szCs w:val="28"/>
        </w:rPr>
      </w:pPr>
      <w:r w:rsidRPr="00F507DF">
        <w:rPr>
          <w:rFonts w:ascii="黑体" w:eastAsia="黑体" w:hAnsi="黑体" w:hint="eastAsia"/>
          <w:sz w:val="28"/>
          <w:szCs w:val="28"/>
        </w:rPr>
        <w:t>中医药文化驱动</w:t>
      </w:r>
    </w:p>
    <w:p w14:paraId="73B73B7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以传统中医、中草药和中医疗法为核心资源形成的康养模式。主要业态包括中医养生馆、针灸推拿体验馆、中医药调理产品，相关修学、养生、体验旅游等。</w:t>
      </w:r>
    </w:p>
    <w:p w14:paraId="577178F5" w14:textId="77777777" w:rsidR="00C12ECB" w:rsidRPr="00F507DF" w:rsidRDefault="00D45507" w:rsidP="00FF66DC">
      <w:pPr>
        <w:pStyle w:val="3"/>
        <w:numPr>
          <w:ilvl w:val="0"/>
          <w:numId w:val="5"/>
        </w:numPr>
        <w:ind w:firstLine="200"/>
        <w:rPr>
          <w:rFonts w:ascii="黑体" w:eastAsia="黑体" w:hAnsi="黑体"/>
          <w:sz w:val="28"/>
          <w:szCs w:val="28"/>
        </w:rPr>
      </w:pPr>
      <w:r w:rsidRPr="00F507DF">
        <w:rPr>
          <w:rFonts w:ascii="黑体" w:eastAsia="黑体" w:hAnsi="黑体" w:hint="eastAsia"/>
          <w:sz w:val="28"/>
          <w:szCs w:val="28"/>
        </w:rPr>
        <w:t>宗教文化驱动</w:t>
      </w:r>
    </w:p>
    <w:p w14:paraId="373A2D57"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以道家养生文化、佛教文化等宗教传统文化为核心理念延伸出的康养发展模式与相关业态，如禅修堂、冥想养生、宗教相关操课、宗教饮食等多个方面。</w:t>
      </w:r>
    </w:p>
    <w:p w14:paraId="4DEA3061" w14:textId="77777777" w:rsidR="00C12ECB" w:rsidRPr="00F507DF" w:rsidRDefault="00D45507" w:rsidP="00FF66DC">
      <w:pPr>
        <w:pStyle w:val="3"/>
        <w:numPr>
          <w:ilvl w:val="0"/>
          <w:numId w:val="5"/>
        </w:numPr>
        <w:ind w:firstLine="200"/>
        <w:rPr>
          <w:rFonts w:ascii="黑体" w:eastAsia="黑体" w:hAnsi="黑体"/>
          <w:sz w:val="28"/>
          <w:szCs w:val="28"/>
        </w:rPr>
      </w:pPr>
      <w:r w:rsidRPr="00F507DF">
        <w:rPr>
          <w:rFonts w:ascii="黑体" w:eastAsia="黑体" w:hAnsi="黑体" w:hint="eastAsia"/>
          <w:sz w:val="28"/>
          <w:szCs w:val="28"/>
        </w:rPr>
        <w:t>长寿文化驱动</w:t>
      </w:r>
    </w:p>
    <w:p w14:paraId="2C4EE7E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依托长寿文化，大力发展长寿经济，形成</w:t>
      </w:r>
      <w:r w:rsidR="007C03A1" w:rsidRPr="00F507DF">
        <w:rPr>
          <w:rFonts w:ascii="仿宋_GB2312" w:eastAsia="仿宋_GB2312" w:hAnsi="宋体" w:hint="eastAsia"/>
          <w:sz w:val="28"/>
          <w:szCs w:val="28"/>
        </w:rPr>
        <w:t>以</w:t>
      </w:r>
      <w:r w:rsidRPr="00F507DF">
        <w:rPr>
          <w:rFonts w:ascii="仿宋_GB2312" w:eastAsia="仿宋_GB2312" w:hAnsi="宋体" w:hint="eastAsia"/>
          <w:sz w:val="28"/>
          <w:szCs w:val="28"/>
        </w:rPr>
        <w:t>食疗养生、山林养生、气候养生等为核心，以养生产品为辅助的</w:t>
      </w:r>
      <w:r w:rsidR="007C03A1" w:rsidRPr="00F507DF">
        <w:rPr>
          <w:rFonts w:ascii="仿宋_GB2312" w:eastAsia="仿宋_GB2312" w:hAnsi="宋体" w:hint="eastAsia"/>
          <w:sz w:val="28"/>
          <w:szCs w:val="28"/>
        </w:rPr>
        <w:t>集</w:t>
      </w:r>
      <w:r w:rsidRPr="00F507DF">
        <w:rPr>
          <w:rFonts w:ascii="仿宋_GB2312" w:eastAsia="仿宋_GB2312" w:hAnsi="宋体" w:hint="eastAsia"/>
          <w:sz w:val="28"/>
          <w:szCs w:val="28"/>
        </w:rPr>
        <w:t>健康餐饮、休闲娱乐、养生度假等功能</w:t>
      </w:r>
      <w:r w:rsidR="007C03A1" w:rsidRPr="00F507DF">
        <w:rPr>
          <w:rFonts w:ascii="仿宋_GB2312" w:eastAsia="仿宋_GB2312" w:hAnsi="宋体" w:hint="eastAsia"/>
          <w:sz w:val="28"/>
          <w:szCs w:val="28"/>
        </w:rPr>
        <w:t>为一体</w:t>
      </w:r>
      <w:r w:rsidRPr="00F507DF">
        <w:rPr>
          <w:rFonts w:ascii="仿宋_GB2312" w:eastAsia="仿宋_GB2312" w:hAnsi="宋体" w:hint="eastAsia"/>
          <w:sz w:val="28"/>
          <w:szCs w:val="28"/>
        </w:rPr>
        <w:t xml:space="preserve">的健康养生养老体系。 </w:t>
      </w:r>
    </w:p>
    <w:p w14:paraId="6A2393FC" w14:textId="77777777" w:rsidR="00C12ECB" w:rsidRPr="00F507DF" w:rsidRDefault="00D45507" w:rsidP="00FF66DC">
      <w:pPr>
        <w:pStyle w:val="2"/>
      </w:pPr>
      <w:bookmarkStart w:id="5" w:name="_Toc54008896"/>
      <w:r w:rsidRPr="00F507DF">
        <w:rPr>
          <w:rFonts w:hint="eastAsia"/>
        </w:rPr>
        <w:t>新兴业态驱动模式</w:t>
      </w:r>
      <w:bookmarkEnd w:id="5"/>
    </w:p>
    <w:p w14:paraId="71F1092E" w14:textId="77777777" w:rsidR="00C12ECB" w:rsidRPr="00F507DF" w:rsidRDefault="00D45507" w:rsidP="00FF66DC">
      <w:pPr>
        <w:pStyle w:val="3"/>
        <w:numPr>
          <w:ilvl w:val="1"/>
          <w:numId w:val="6"/>
        </w:numPr>
        <w:ind w:left="420" w:firstLine="200"/>
        <w:rPr>
          <w:rFonts w:ascii="黑体" w:eastAsia="黑体" w:hAnsi="黑体"/>
          <w:sz w:val="28"/>
          <w:szCs w:val="28"/>
        </w:rPr>
      </w:pPr>
      <w:r w:rsidRPr="00F507DF">
        <w:rPr>
          <w:rFonts w:ascii="黑体" w:eastAsia="黑体" w:hAnsi="黑体" w:hint="eastAsia"/>
          <w:sz w:val="28"/>
          <w:szCs w:val="28"/>
        </w:rPr>
        <w:t>数字科技资源驱动</w:t>
      </w:r>
    </w:p>
    <w:p w14:paraId="46FA135C"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借助大数据、云计算、人工智能等新兴技术驱动的新型康养业态，通过技术提升医药资源的流通效率、医疗信息的管理效率、医药人才的沟通与学习效率，涉及医药电商、辅助诊断、医院管理、健康管理、</w:t>
      </w:r>
      <w:r w:rsidRPr="00F507DF">
        <w:rPr>
          <w:rFonts w:ascii="仿宋_GB2312" w:eastAsia="仿宋_GB2312" w:hAnsi="宋体" w:hint="eastAsia"/>
          <w:sz w:val="28"/>
          <w:szCs w:val="28"/>
        </w:rPr>
        <w:lastRenderedPageBreak/>
        <w:t>智能穿戴设备等多个领域。</w:t>
      </w:r>
    </w:p>
    <w:p w14:paraId="02C58EC3" w14:textId="77777777" w:rsidR="00C12ECB" w:rsidRPr="00F507DF" w:rsidRDefault="00D45507" w:rsidP="00FF66DC">
      <w:pPr>
        <w:pStyle w:val="3"/>
        <w:numPr>
          <w:ilvl w:val="1"/>
          <w:numId w:val="6"/>
        </w:numPr>
        <w:ind w:left="420" w:firstLine="200"/>
        <w:rPr>
          <w:rFonts w:ascii="黑体" w:eastAsia="黑体" w:hAnsi="黑体"/>
          <w:sz w:val="28"/>
          <w:szCs w:val="28"/>
        </w:rPr>
      </w:pPr>
      <w:r w:rsidRPr="00F507DF">
        <w:rPr>
          <w:rFonts w:ascii="黑体" w:eastAsia="黑体" w:hAnsi="黑体" w:hint="eastAsia"/>
          <w:sz w:val="28"/>
          <w:szCs w:val="28"/>
        </w:rPr>
        <w:t>运动产业资源驱动</w:t>
      </w:r>
    </w:p>
    <w:p w14:paraId="70027640" w14:textId="21F5A415"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以运动康复技术、运动设备或运动场地等</w:t>
      </w:r>
      <w:r w:rsidR="007C03A1" w:rsidRPr="00F507DF">
        <w:rPr>
          <w:rFonts w:ascii="仿宋_GB2312" w:eastAsia="仿宋_GB2312" w:hAnsi="宋体" w:hint="eastAsia"/>
          <w:sz w:val="28"/>
          <w:szCs w:val="28"/>
        </w:rPr>
        <w:t>为</w:t>
      </w:r>
      <w:r w:rsidRPr="00F507DF">
        <w:rPr>
          <w:rFonts w:ascii="仿宋_GB2312" w:eastAsia="仿宋_GB2312" w:hAnsi="宋体" w:hint="eastAsia"/>
          <w:sz w:val="28"/>
          <w:szCs w:val="28"/>
        </w:rPr>
        <w:t>核心，整合产业资源、场地资源以及运动康复学等知识体系形成的针对未病、慢性病和病后疗养康复的医疗保健形式，同时也吸引相关运动旅游群体。</w:t>
      </w:r>
    </w:p>
    <w:p w14:paraId="297F63EC" w14:textId="77777777" w:rsidR="00C12ECB" w:rsidRPr="00F507DF" w:rsidRDefault="00D45507" w:rsidP="00FF66DC">
      <w:pPr>
        <w:pStyle w:val="1"/>
        <w:numPr>
          <w:ilvl w:val="0"/>
          <w:numId w:val="1"/>
        </w:numPr>
        <w:ind w:firstLine="200"/>
        <w:jc w:val="center"/>
        <w:rPr>
          <w:rFonts w:ascii="黑体" w:eastAsia="黑体" w:hAnsi="黑体"/>
          <w:sz w:val="36"/>
          <w:szCs w:val="36"/>
        </w:rPr>
      </w:pPr>
      <w:bookmarkStart w:id="6" w:name="_Toc54008897"/>
      <w:r w:rsidRPr="00F507DF">
        <w:rPr>
          <w:rFonts w:ascii="黑体" w:eastAsia="黑体" w:hAnsi="黑体" w:hint="eastAsia"/>
          <w:sz w:val="36"/>
          <w:szCs w:val="36"/>
        </w:rPr>
        <w:t>康养产业开发模式研究</w:t>
      </w:r>
      <w:bookmarkEnd w:id="6"/>
    </w:p>
    <w:p w14:paraId="67B14B33" w14:textId="77777777" w:rsidR="00876A81"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投资是涉入康养产业最重要的环节，投资开发模式需要回答</w:t>
      </w:r>
      <w:r w:rsidR="007C03A1" w:rsidRPr="00F507DF">
        <w:rPr>
          <w:rFonts w:ascii="仿宋_GB2312" w:eastAsia="仿宋_GB2312" w:hAnsi="宋体" w:hint="eastAsia"/>
          <w:sz w:val="28"/>
          <w:szCs w:val="28"/>
        </w:rPr>
        <w:t>所需</w:t>
      </w:r>
      <w:r w:rsidRPr="00F507DF">
        <w:rPr>
          <w:rFonts w:ascii="仿宋_GB2312" w:eastAsia="仿宋_GB2312" w:hAnsi="宋体" w:hint="eastAsia"/>
          <w:sz w:val="28"/>
          <w:szCs w:val="28"/>
        </w:rPr>
        <w:t>资金量多少、投资回报期长短、投资所得收益高低、投资风险、所需要准备的资源及必须符合的规章监管等多个问题。康养产业的产业外沿较大，融合了医疗项目、养老项目、地产项目、旅游项目等不同项目的投资开发特点，具体项目内容与形式差异较大。</w:t>
      </w:r>
    </w:p>
    <w:p w14:paraId="17292A15" w14:textId="6673131E"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由于康养目标群体如老年人群体、孕妇群体、亚健康群体等往往具有较为特殊化、复合化、精细化的需求，项目细节较多，整体的投资规模大，回报周期较长。因此不同侧重点的康养项目可采用不同的开发模式，兜底性质的医疗养老项目可以采用政府全资自筹模式；而一些更偏向于盈利的康养地产或康养旅游项目则可以更加灵活，可以采用企业全资自筹模式、合作投资模式、产业基金投资模式或PPP模式，筹措更多资金。</w:t>
      </w:r>
    </w:p>
    <w:p w14:paraId="214016D6" w14:textId="77777777" w:rsidR="00C12ECB" w:rsidRPr="00F507DF" w:rsidRDefault="00D45507" w:rsidP="00FF66DC">
      <w:pPr>
        <w:pStyle w:val="2"/>
        <w:numPr>
          <w:ilvl w:val="0"/>
          <w:numId w:val="7"/>
        </w:numPr>
      </w:pPr>
      <w:bookmarkStart w:id="7" w:name="_Toc54008898"/>
      <w:r w:rsidRPr="00F507DF">
        <w:rPr>
          <w:rFonts w:hint="eastAsia"/>
        </w:rPr>
        <w:lastRenderedPageBreak/>
        <w:t>全资自筹模式</w:t>
      </w:r>
      <w:bookmarkEnd w:id="7"/>
    </w:p>
    <w:p w14:paraId="32B8D3DA" w14:textId="03571769"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全资自筹模式主要指一些资金实力雄厚的大型公司通过自身现有资金或通过其他途径融资扩大自有资金后进行康养投资开发。采用全资模式最大的优点在于最具可控性，可以完全按照预先规划的目标制定投资计划并实施，将预期想法付诸实践，不必担心与合资方出现决策与管理上的矛盾</w:t>
      </w:r>
      <w:r w:rsidR="007C03A1" w:rsidRPr="00F507DF">
        <w:rPr>
          <w:rFonts w:ascii="仿宋_GB2312" w:eastAsia="仿宋_GB2312" w:hAnsi="宋体" w:hint="eastAsia"/>
          <w:sz w:val="28"/>
          <w:szCs w:val="28"/>
        </w:rPr>
        <w:t>，同时</w:t>
      </w:r>
      <w:r w:rsidRPr="00F507DF">
        <w:rPr>
          <w:rFonts w:ascii="仿宋_GB2312" w:eastAsia="仿宋_GB2312" w:hAnsi="宋体" w:hint="eastAsia"/>
          <w:sz w:val="28"/>
          <w:szCs w:val="28"/>
        </w:rPr>
        <w:t>可以获得全部投资收益。全资模式也有缺点，最大问题在于投资量过大，风险难于控制。</w:t>
      </w:r>
    </w:p>
    <w:p w14:paraId="77A4304D"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全资自筹模式多以资金相对充足的地产企业或保险企业为主，项目多为大型地产旅游综合体，能够以地产为后续依托。北京泰康之家·燕园即由泰康人寿旗下泰康之家投资建设，总投资约54亿元，通过招拍挂程序获得建设用地，项目位于北京昌平区小汤山镇，于2015年开园运营。整个社区占地面积17万平方米，建筑面积30万平方米，共能容纳约3000户居民入住，包括自理型、协助自理型、专业护理型、记忆障碍型等不同类型的养老公寓。在养老社区配建以康复和老年病为特色的医院，以长期健康管理为目标，实现一站式持续照护（CCRC）。</w:t>
      </w:r>
    </w:p>
    <w:p w14:paraId="70DDFF91" w14:textId="77777777" w:rsidR="00C12ECB" w:rsidRPr="00F507DF" w:rsidRDefault="00D45507" w:rsidP="00FF66DC">
      <w:pPr>
        <w:pStyle w:val="2"/>
        <w:numPr>
          <w:ilvl w:val="0"/>
          <w:numId w:val="7"/>
        </w:numPr>
      </w:pPr>
      <w:bookmarkStart w:id="8" w:name="_Toc54008899"/>
      <w:r w:rsidRPr="00F507DF">
        <w:rPr>
          <w:rFonts w:hint="eastAsia"/>
        </w:rPr>
        <w:t>合作投资模式</w:t>
      </w:r>
      <w:bookmarkEnd w:id="8"/>
    </w:p>
    <w:p w14:paraId="43266A8A" w14:textId="77777777" w:rsidR="00876A81"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合作模式指投资商与其他机构合作共同开发康养项目，如寿险公司、房地产公司、医疗护理机构等。合作方式可以是业务上的合作，如中国人寿与中冶置业的合作协议</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也可以是股权方面的合作，如保险公司与地产开发商成立新的养老置业股份公司，或者保险公司入股</w:t>
      </w:r>
      <w:r w:rsidRPr="00F507DF">
        <w:rPr>
          <w:rFonts w:ascii="仿宋_GB2312" w:eastAsia="仿宋_GB2312" w:hAnsi="宋体" w:hint="eastAsia"/>
          <w:sz w:val="28"/>
          <w:szCs w:val="28"/>
        </w:rPr>
        <w:lastRenderedPageBreak/>
        <w:t>房地产公司。保险公司比房地产商更具有融资运作能力，可以提供长期资金支持</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风险管控</w:t>
      </w:r>
      <w:r w:rsidR="007C03A1" w:rsidRPr="00F507DF">
        <w:rPr>
          <w:rFonts w:ascii="仿宋_GB2312" w:eastAsia="仿宋_GB2312" w:hAnsi="宋体" w:hint="eastAsia"/>
          <w:sz w:val="28"/>
          <w:szCs w:val="28"/>
        </w:rPr>
        <w:t>和</w:t>
      </w:r>
      <w:r w:rsidRPr="00F507DF">
        <w:rPr>
          <w:rFonts w:ascii="仿宋_GB2312" w:eastAsia="仿宋_GB2312" w:hAnsi="宋体" w:hint="eastAsia"/>
          <w:sz w:val="28"/>
          <w:szCs w:val="28"/>
        </w:rPr>
        <w:t>咨询</w:t>
      </w:r>
      <w:r w:rsidR="007C03A1" w:rsidRPr="00F507DF">
        <w:rPr>
          <w:rFonts w:ascii="仿宋_GB2312" w:eastAsia="仿宋_GB2312" w:hAnsi="宋体" w:hint="eastAsia"/>
          <w:sz w:val="28"/>
          <w:szCs w:val="28"/>
        </w:rPr>
        <w:t>服务</w:t>
      </w:r>
      <w:r w:rsidRPr="00F507DF">
        <w:rPr>
          <w:rFonts w:ascii="仿宋_GB2312" w:eastAsia="仿宋_GB2312" w:hAnsi="宋体" w:hint="eastAsia"/>
          <w:sz w:val="28"/>
          <w:szCs w:val="28"/>
        </w:rPr>
        <w:t>，房地产开发商则可以提供开发经验、康养地产规划与技术管理甚至土地，投资收益由双方按照投资比例分配。医疗护理机构也是优质合作对象，医疗护理机构通过多年经营与发展，对康养客群接触深入，了解其市场期望与需求，市场口碑良好，积累了大量忠诚客户，这些资源形成了有效市场定位</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更重要</w:t>
      </w:r>
      <w:r w:rsidR="007C03A1" w:rsidRPr="00F507DF">
        <w:rPr>
          <w:rFonts w:ascii="仿宋_GB2312" w:eastAsia="仿宋_GB2312" w:hAnsi="宋体" w:hint="eastAsia"/>
          <w:sz w:val="28"/>
          <w:szCs w:val="28"/>
        </w:rPr>
        <w:t>地，</w:t>
      </w:r>
      <w:r w:rsidRPr="00F507DF">
        <w:rPr>
          <w:rFonts w:ascii="仿宋_GB2312" w:eastAsia="仿宋_GB2312" w:hAnsi="宋体" w:hint="eastAsia"/>
          <w:sz w:val="28"/>
          <w:szCs w:val="28"/>
        </w:rPr>
        <w:t>医疗护理条件是康养产业的核心竞争力之一。</w:t>
      </w:r>
    </w:p>
    <w:p w14:paraId="0FA258C9" w14:textId="2053E081"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合作模式也有</w:t>
      </w:r>
      <w:r w:rsidR="00876A81" w:rsidRPr="00F507DF">
        <w:rPr>
          <w:rFonts w:ascii="仿宋_GB2312" w:eastAsia="仿宋_GB2312" w:hAnsi="宋体" w:hint="eastAsia"/>
          <w:sz w:val="28"/>
          <w:szCs w:val="28"/>
        </w:rPr>
        <w:t>其内在</w:t>
      </w:r>
      <w:r w:rsidRPr="00F507DF">
        <w:rPr>
          <w:rFonts w:ascii="仿宋_GB2312" w:eastAsia="仿宋_GB2312" w:hAnsi="宋体" w:hint="eastAsia"/>
          <w:sz w:val="28"/>
          <w:szCs w:val="28"/>
        </w:rPr>
        <w:t>缺陷</w:t>
      </w:r>
      <w:r w:rsidR="00876A81" w:rsidRPr="00F507DF">
        <w:rPr>
          <w:rFonts w:ascii="仿宋_GB2312" w:eastAsia="仿宋_GB2312" w:hAnsi="宋体" w:hint="eastAsia"/>
          <w:sz w:val="28"/>
          <w:szCs w:val="28"/>
        </w:rPr>
        <w:t>。</w:t>
      </w:r>
      <w:r w:rsidRPr="00F507DF">
        <w:rPr>
          <w:rFonts w:ascii="仿宋_GB2312" w:eastAsia="仿宋_GB2312" w:hAnsi="宋体" w:hint="eastAsia"/>
          <w:sz w:val="28"/>
          <w:szCs w:val="28"/>
        </w:rPr>
        <w:t>合作双方存在利益博弈，在合作过程中双方可能为追逐私利而做出有损对方利益的行为，在决策与管理上也难免沟通不畅。</w:t>
      </w:r>
    </w:p>
    <w:p w14:paraId="6234DB47" w14:textId="130F077C"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青岛万达英慈国际医院项目采取的是大型地产商与国际医疗集团联合建设的模式，拥有床位200张，投资20亿元。万达集团具有强大资金保障和地产管理经验，作为投资建设主体参与建设</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而英国国际医疗集团(简称IHG)在全球运营超过400家高端医院，作为运营管理主体参与建设。</w:t>
      </w:r>
    </w:p>
    <w:p w14:paraId="20CD1ED7" w14:textId="77777777" w:rsidR="00C12ECB" w:rsidRPr="00F507DF" w:rsidRDefault="00D45507" w:rsidP="00FF66DC">
      <w:pPr>
        <w:pStyle w:val="2"/>
        <w:numPr>
          <w:ilvl w:val="0"/>
          <w:numId w:val="7"/>
        </w:numPr>
      </w:pPr>
      <w:bookmarkStart w:id="9" w:name="_Toc54008900"/>
      <w:r w:rsidRPr="00F507DF">
        <w:rPr>
          <w:rFonts w:hint="eastAsia"/>
        </w:rPr>
        <w:t>产业投资基金模式</w:t>
      </w:r>
      <w:bookmarkEnd w:id="9"/>
    </w:p>
    <w:p w14:paraId="774AB098" w14:textId="77777777" w:rsidR="00876A81"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产业投资基金是指一种对未上市企业进行股权投资和提供经营管理服务的利益共享、风险共担的集合投资制度，即通过向多数投资者发行基金份额设立基金公司，由基金公司自认基金管理人或另行委托基金管理人管理基金资产，委托基金托管人托管基金资产，从事创业投资、企业重组投资和基础设施投资等实业投资。</w:t>
      </w:r>
    </w:p>
    <w:p w14:paraId="7824F518" w14:textId="644BDEAC" w:rsidR="00C12ECB" w:rsidRPr="00F507DF" w:rsidRDefault="00876A81"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lastRenderedPageBreak/>
        <w:t>目前，相关</w:t>
      </w:r>
      <w:r w:rsidR="00D45507" w:rsidRPr="00F507DF">
        <w:rPr>
          <w:rFonts w:ascii="仿宋_GB2312" w:eastAsia="仿宋_GB2312" w:hAnsi="宋体" w:hint="eastAsia"/>
          <w:sz w:val="28"/>
          <w:szCs w:val="28"/>
        </w:rPr>
        <w:t>产业投资基金的投资重点主要定位于旅游业，旨在通过市场化融资平台引导社会资金流向，</w:t>
      </w:r>
      <w:r w:rsidR="007C03A1" w:rsidRPr="00F507DF">
        <w:rPr>
          <w:rFonts w:ascii="仿宋_GB2312" w:eastAsia="仿宋_GB2312" w:hAnsi="宋体" w:hint="eastAsia"/>
          <w:sz w:val="28"/>
          <w:szCs w:val="28"/>
        </w:rPr>
        <w:t>筹集</w:t>
      </w:r>
      <w:r w:rsidR="00D45507" w:rsidRPr="00F507DF">
        <w:rPr>
          <w:rFonts w:ascii="仿宋_GB2312" w:eastAsia="仿宋_GB2312" w:hAnsi="宋体" w:hint="eastAsia"/>
          <w:sz w:val="28"/>
          <w:szCs w:val="28"/>
        </w:rPr>
        <w:t>发展基金，促进旅游基础设施和旅游景区的开发建设</w:t>
      </w:r>
      <w:r w:rsidR="007C03A1" w:rsidRPr="00F507DF">
        <w:rPr>
          <w:rFonts w:ascii="仿宋_GB2312" w:eastAsia="仿宋_GB2312" w:hAnsi="宋体" w:hint="eastAsia"/>
          <w:sz w:val="28"/>
          <w:szCs w:val="28"/>
        </w:rPr>
        <w:t>，</w:t>
      </w:r>
      <w:r w:rsidR="00D45507" w:rsidRPr="00F507DF">
        <w:rPr>
          <w:rFonts w:ascii="仿宋_GB2312" w:eastAsia="仿宋_GB2312" w:hAnsi="宋体" w:hint="eastAsia"/>
          <w:sz w:val="28"/>
          <w:szCs w:val="28"/>
        </w:rPr>
        <w:t>助推旅游产业的结构升级以及挖掘和培育优质旅游上市资源等。</w:t>
      </w:r>
    </w:p>
    <w:p w14:paraId="1C358357" w14:textId="77777777" w:rsidR="00876A81"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2015年8月，国务院办公厅印发《关于进一步促进旅游投资和消费的若干意见》，提出设立中国旅游产业促进基金，鼓励有条件的地方政府设立旅游产业促进基金，陕西、浙江、贵州等多地都成立了旅游产业投资基金。</w:t>
      </w:r>
    </w:p>
    <w:p w14:paraId="3CDB9580" w14:textId="4DAA6019"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浙江省旅游产业投资基金由浙江省旅游集团全资子公司浙旅投资公司、国开金融公司和新希望集团联合组建而成，浙江心境投资管理有限公司负责基金管理，基金规模为100亿元。目前基金已经签订投资天台县全域旅游投资项目、开化县根缘特色小镇旅游投资项目、大佛寺景区开发项目等旅游开发项目。其中开化根缘小镇是浙江省第一批特色小镇创建单位之一，规划面积3.78平方公里，建设面积1.12平方公里，计划总投资31.16亿元，是目前国内规模最大、工艺水平最高</w:t>
      </w:r>
      <w:r w:rsidR="007C03A1" w:rsidRPr="00F507DF">
        <w:rPr>
          <w:rFonts w:ascii="仿宋_GB2312" w:eastAsia="仿宋_GB2312" w:hAnsi="宋体" w:hint="eastAsia"/>
          <w:sz w:val="28"/>
          <w:szCs w:val="28"/>
        </w:rPr>
        <w:t>的</w:t>
      </w:r>
      <w:r w:rsidRPr="00F507DF">
        <w:rPr>
          <w:rFonts w:ascii="仿宋_GB2312" w:eastAsia="仿宋_GB2312" w:hAnsi="宋体" w:hint="eastAsia"/>
          <w:sz w:val="28"/>
          <w:szCs w:val="28"/>
        </w:rPr>
        <w:t>以根雕艺术为主题的文化旅游景区。</w:t>
      </w:r>
    </w:p>
    <w:p w14:paraId="4F032C09" w14:textId="77777777" w:rsidR="00C12ECB" w:rsidRPr="00F507DF" w:rsidRDefault="00D45507" w:rsidP="00FF66DC">
      <w:pPr>
        <w:pStyle w:val="2"/>
        <w:numPr>
          <w:ilvl w:val="0"/>
          <w:numId w:val="7"/>
        </w:numPr>
      </w:pPr>
      <w:bookmarkStart w:id="10" w:name="_Toc54008901"/>
      <w:r w:rsidRPr="00F507DF">
        <w:rPr>
          <w:rFonts w:hint="eastAsia"/>
        </w:rPr>
        <w:t>PPP模式(Public-Private-Partnership)</w:t>
      </w:r>
      <w:bookmarkEnd w:id="10"/>
    </w:p>
    <w:p w14:paraId="2E29B0F3" w14:textId="77777777" w:rsidR="00876A81" w:rsidRPr="00F507DF" w:rsidRDefault="00D45507" w:rsidP="00FF66DC">
      <w:pPr>
        <w:widowControl/>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PPP模式(Public-Private Partnership)即政府和社会资本合作模式，是指政府为增强公共产品和服务供给能力、提高供给效率，通过特许经营、购买服务、股权合作等方式，与社会资本建立的利益共享、风险分担及长期合作关系。合作领域一般在基础设施及公共服务</w:t>
      </w:r>
      <w:r w:rsidRPr="00F507DF">
        <w:rPr>
          <w:rFonts w:ascii="仿宋_GB2312" w:eastAsia="仿宋_GB2312" w:hAnsi="宋体" w:hint="eastAsia"/>
          <w:sz w:val="28"/>
          <w:szCs w:val="28"/>
        </w:rPr>
        <w:lastRenderedPageBreak/>
        <w:t>领域。落地实施是由社会资本承担设计、建设、运营、维护基础设施的大部分工作，并通过“使用者付费”及必要的“政府付费”获得合理投资回报；政府部门负责基础设施及公共服务价格和质量监管，以保证公共利益最大化。</w:t>
      </w:r>
    </w:p>
    <w:p w14:paraId="2A6638F9" w14:textId="1ECED633" w:rsidR="00876A81" w:rsidRPr="00F507DF" w:rsidRDefault="00876A81" w:rsidP="00FF66DC">
      <w:pPr>
        <w:widowControl/>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康养项目具有一定的公益性，且覆盖面广，体量较大，收益周期长，较为适合政府与社会资本合作进行PPP模式的开发。</w:t>
      </w:r>
      <w:r w:rsidR="00D45507" w:rsidRPr="00F507DF">
        <w:rPr>
          <w:rFonts w:ascii="仿宋_GB2312" w:eastAsia="仿宋_GB2312" w:hAnsi="宋体" w:hint="eastAsia"/>
          <w:sz w:val="28"/>
          <w:szCs w:val="28"/>
        </w:rPr>
        <w:t>PPP项目的运作包括委托运营（O&amp;M）、管理合同（MC）、建设-运营-移交（BOT）、建设-拥有-运营-移交（BOOT）、建设-拥有-运营（BOO）等不同形式。</w:t>
      </w:r>
    </w:p>
    <w:p w14:paraId="41A5213F" w14:textId="7FFC12DA" w:rsidR="00C12ECB" w:rsidRPr="00F507DF" w:rsidRDefault="00D45507" w:rsidP="00FF66DC">
      <w:pPr>
        <w:widowControl/>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国家级历史文化名镇、中国钧瓷发祥地河南禹州神垕古镇的开发建设即采用PPP模式。项目总面积8平方公里，由神垕古镇管理委员会、景域旅发、绿地博大绿泽、河南神垕古镇发展有限公司4方合资成立，由景域旅发控股</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其他几方参股的运营公司对古镇进行独家开发经营。项目前期由政府、绿地博大绿泽负责前期基建和开发投资，后期由景域旅发进行运营管理。</w:t>
      </w:r>
    </w:p>
    <w:p w14:paraId="76F94999" w14:textId="77777777" w:rsidR="00C12ECB" w:rsidRPr="00F507DF" w:rsidRDefault="00D45507" w:rsidP="00FF66DC">
      <w:pPr>
        <w:pStyle w:val="1"/>
        <w:numPr>
          <w:ilvl w:val="0"/>
          <w:numId w:val="1"/>
        </w:numPr>
        <w:ind w:firstLine="200"/>
        <w:jc w:val="center"/>
        <w:rPr>
          <w:rFonts w:ascii="黑体" w:eastAsia="黑体" w:hAnsi="黑体"/>
          <w:sz w:val="36"/>
          <w:szCs w:val="36"/>
        </w:rPr>
      </w:pPr>
      <w:bookmarkStart w:id="11" w:name="_Toc54008902"/>
      <w:r w:rsidRPr="00F507DF">
        <w:rPr>
          <w:rFonts w:ascii="黑体" w:eastAsia="黑体" w:hAnsi="黑体" w:hint="eastAsia"/>
          <w:sz w:val="36"/>
          <w:szCs w:val="36"/>
        </w:rPr>
        <w:t>国际国内优秀案例借鉴</w:t>
      </w:r>
      <w:bookmarkEnd w:id="11"/>
    </w:p>
    <w:p w14:paraId="6B9C559B" w14:textId="77777777" w:rsidR="00384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基于不同的康养产业发展模式，本文选取蒙特勒、弗莱堡和日本大阪等医疗资源驱动案例，介绍医疗资源如何成为康养产业的立足点与吸引点；选取FuFu日本山梨保健农园、德国巴登巴登小镇、千岛湖、攀枝花、五大连池和日本阿苏农场介绍了依托不同自然资源的具体康养业态、宣传手段和发展路径；选取亳州、武当山、和浙南兰巨乡介绍了如何挖掘相关文化资源带动康养产业的发展；选取阿里健康、</w:t>
      </w:r>
      <w:r w:rsidRPr="00F507DF">
        <w:rPr>
          <w:rFonts w:ascii="仿宋_GB2312" w:eastAsia="仿宋_GB2312" w:hAnsi="宋体" w:hint="eastAsia"/>
          <w:sz w:val="28"/>
          <w:szCs w:val="28"/>
        </w:rPr>
        <w:lastRenderedPageBreak/>
        <w:t>华为、华西医院等案例介绍了康养产业应用先进技术的最新进展；同时还选取了浙江宁海介绍中小城市如何借助运动产业的细分环节实现康养产业的发展。</w:t>
      </w:r>
    </w:p>
    <w:p w14:paraId="54895902" w14:textId="067257BB"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通过这些案例的分析，希望能够为南阳市中医药康养、文旅康养及数字康养提供总体布局、发展路径、具体业态等方面的借鉴。</w:t>
      </w:r>
    </w:p>
    <w:p w14:paraId="34288741" w14:textId="77777777" w:rsidR="00C12ECB" w:rsidRPr="00F507DF" w:rsidRDefault="00D45507" w:rsidP="00FF66DC">
      <w:pPr>
        <w:pStyle w:val="2"/>
        <w:numPr>
          <w:ilvl w:val="0"/>
          <w:numId w:val="8"/>
        </w:numPr>
      </w:pPr>
      <w:bookmarkStart w:id="12" w:name="_Toc54008903"/>
      <w:r w:rsidRPr="00F507DF">
        <w:rPr>
          <w:rFonts w:hint="eastAsia"/>
        </w:rPr>
        <w:t>医疗资源案例</w:t>
      </w:r>
      <w:bookmarkEnd w:id="12"/>
    </w:p>
    <w:p w14:paraId="11D9A72D" w14:textId="77777777" w:rsidR="00C12ECB" w:rsidRPr="00F507DF" w:rsidRDefault="00D45507" w:rsidP="00FF66DC">
      <w:pPr>
        <w:pStyle w:val="3"/>
        <w:numPr>
          <w:ilvl w:val="0"/>
          <w:numId w:val="9"/>
        </w:numPr>
        <w:ind w:left="420" w:firstLine="200"/>
        <w:rPr>
          <w:rFonts w:ascii="黑体" w:eastAsia="黑体" w:hAnsi="黑体"/>
          <w:sz w:val="28"/>
          <w:szCs w:val="28"/>
        </w:rPr>
      </w:pPr>
      <w:r w:rsidRPr="00F507DF">
        <w:rPr>
          <w:rFonts w:ascii="黑体" w:eastAsia="黑体" w:hAnsi="黑体" w:hint="eastAsia"/>
          <w:sz w:val="28"/>
          <w:szCs w:val="28"/>
        </w:rPr>
        <w:t>医疗机构引领：瑞士蒙特勒立足良好生态，依托先进技术，拓展康养旅游</w:t>
      </w:r>
    </w:p>
    <w:p w14:paraId="29A1F6B8" w14:textId="77777777" w:rsidR="00384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蒙特勒（Montreux）是瑞士沃州的一个小镇，面积41.37平方公里，位于日内瓦湖东岸，背靠阿尔卑斯山，森林覆盖率44%，拥有湖、山、城堡等美景。作为羊胎素的起源地，以抗衰老医疗旅游闻名全球，每年有超过3万人外国人来接受治疗和疗养，人均消费超过百万瑞士法郎。</w:t>
      </w:r>
    </w:p>
    <w:p w14:paraId="65EF25AA" w14:textId="678D0FBF"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蒙特勒小镇致力于打造高端医疗康养模式，集优美湖泊风景、顶级医疗技术、特色定制化疗养服务和完善度假设施于一体，形成一整套有特色、可持续盈利的发展模式。</w:t>
      </w:r>
    </w:p>
    <w:p w14:paraId="2284CD11" w14:textId="77777777" w:rsidR="00C12ECB" w:rsidRPr="00F507DF" w:rsidRDefault="00D45507" w:rsidP="00FF66DC">
      <w:pPr>
        <w:pStyle w:val="4"/>
        <w:ind w:left="420" w:firstLine="239"/>
      </w:pPr>
      <w:r w:rsidRPr="00F507DF">
        <w:rPr>
          <w:rFonts w:ascii="仿宋_GB2312" w:hint="eastAsia"/>
        </w:rPr>
        <w:t>1、</w:t>
      </w:r>
      <w:r w:rsidRPr="00F507DF">
        <w:rPr>
          <w:rFonts w:hint="eastAsia"/>
        </w:rPr>
        <w:t>生态立镇</w:t>
      </w:r>
    </w:p>
    <w:p w14:paraId="5BBBC4A4"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发展的第一阶段，依托当地良好的自然生态环境，充分利用和发挥生态环境优势和文化历史古堡遗迹，打造优美的田园、山林、湖泊风光，建设适宜于康养、旅居的度假环境。同时举办爵士音乐节、葡萄酒文化节等节庆活动，形成优美的田园生活小镇、湖泊休闲小镇和</w:t>
      </w:r>
      <w:r w:rsidRPr="00F507DF">
        <w:rPr>
          <w:rFonts w:ascii="仿宋_GB2312" w:eastAsia="仿宋_GB2312" w:hAnsi="宋体" w:hint="eastAsia"/>
          <w:sz w:val="28"/>
          <w:szCs w:val="28"/>
        </w:rPr>
        <w:lastRenderedPageBreak/>
        <w:t>浪漫的爵士音乐小镇。</w:t>
      </w:r>
    </w:p>
    <w:p w14:paraId="4D739BA6" w14:textId="77777777" w:rsidR="00C12ECB" w:rsidRPr="00F507DF" w:rsidRDefault="00D45507" w:rsidP="00FF66DC">
      <w:pPr>
        <w:pStyle w:val="4"/>
        <w:ind w:left="420" w:firstLine="239"/>
        <w:rPr>
          <w:rFonts w:ascii="仿宋_GB2312"/>
        </w:rPr>
      </w:pPr>
      <w:r w:rsidRPr="00F507DF">
        <w:rPr>
          <w:rFonts w:ascii="仿宋_GB2312" w:hint="eastAsia"/>
        </w:rPr>
        <w:t>2、医疗兴镇</w:t>
      </w:r>
    </w:p>
    <w:p w14:paraId="67270180"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发展的第二阶段，依托当地羊胎素的研发及使用，发展相关的健康医疗产业，形成世界知名美容抗衰老圣地。蒙特勒共有11家高端私立医院，包括独创了“羊胎素疗法”（活体细胞恢复疗法）的草原疗养院、可进行“羊胎素全器官精华素”治疗的静港中心医院等。其服务主要包括3-5天的健康检查之旅或驻颜保健、疗养之旅，利用生物科技进行基因缺陷检测，慢性病基因疗法，抗衰老、细胞活化疗法等定制化服务。</w:t>
      </w:r>
    </w:p>
    <w:p w14:paraId="5E716F4E" w14:textId="77777777" w:rsidR="00C12ECB" w:rsidRPr="00F507DF" w:rsidRDefault="00D45507" w:rsidP="00FF66DC">
      <w:pPr>
        <w:pStyle w:val="4"/>
        <w:ind w:left="420" w:firstLine="239"/>
        <w:rPr>
          <w:rFonts w:ascii="仿宋_GB2312"/>
        </w:rPr>
      </w:pPr>
      <w:r w:rsidRPr="00F507DF">
        <w:rPr>
          <w:rFonts w:ascii="仿宋_GB2312" w:hint="eastAsia"/>
        </w:rPr>
        <w:t>3、医疗旅游</w:t>
      </w:r>
    </w:p>
    <w:p w14:paraId="40C7DB14"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发展的第三阶段，依托当地高端医疗康养资源，推出医疗康养旅游，带动休闲旅游度假，形成世界著名医疗康养之都。基础设施方面建设包括74家康养酒店、滨湖康养别墅、半山康养别墅等，同时联动周边发展众多家庭旅馆。提供不同系列的温泉疗养系统、特色SPA，同时组织策划7月蒙特勒爵士音乐节、9月音乐节、蒙特勒女排精英赛等品牌活动。在人才培养方面，蒙特勒重点打造全球酒店管理学校排名第四的蒙特勒酒店管理学校、私立学校、语言学校等。</w:t>
      </w:r>
    </w:p>
    <w:p w14:paraId="4E2C5CA4" w14:textId="77777777" w:rsidR="00C12ECB" w:rsidRPr="00F507DF" w:rsidRDefault="00D45507" w:rsidP="00FF66DC">
      <w:pPr>
        <w:pStyle w:val="3"/>
        <w:numPr>
          <w:ilvl w:val="0"/>
          <w:numId w:val="9"/>
        </w:numPr>
        <w:ind w:left="420" w:firstLine="200"/>
        <w:rPr>
          <w:rFonts w:ascii="黑体" w:eastAsia="黑体" w:hAnsi="黑体"/>
          <w:sz w:val="28"/>
          <w:szCs w:val="28"/>
        </w:rPr>
      </w:pPr>
      <w:r w:rsidRPr="00F507DF">
        <w:rPr>
          <w:rFonts w:ascii="黑体" w:eastAsia="黑体" w:hAnsi="黑体" w:hint="eastAsia"/>
          <w:sz w:val="28"/>
          <w:szCs w:val="28"/>
        </w:rPr>
        <w:t>医药资源引领：德国弗莱堡借助气候医学，促进技术转化，将康养融入城市设计</w:t>
      </w:r>
    </w:p>
    <w:p w14:paraId="606E051E" w14:textId="77777777" w:rsidR="00384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弗莱堡位于德国西南边陲，紧邻法国和瑞士，面积153平方公里，截止2018年人口约23万，是德国典型的中型城市。弗莱堡最强的经</w:t>
      </w:r>
      <w:r w:rsidRPr="00F507DF">
        <w:rPr>
          <w:rFonts w:ascii="仿宋_GB2312" w:eastAsia="仿宋_GB2312" w:hAnsi="宋体" w:hint="eastAsia"/>
          <w:sz w:val="28"/>
          <w:szCs w:val="28"/>
        </w:rPr>
        <w:lastRenderedPageBreak/>
        <w:t>济行业之一是健康产业。其中，健康经济领域内就业人数占全市就业人数的21%，远超其他领域。</w:t>
      </w:r>
    </w:p>
    <w:p w14:paraId="16EAD945" w14:textId="4125C11B"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还聚集了健康产业领域的两大集群：一个是弗莱堡健康经济产业集群，另一个是弗莱堡生物谷。该区域聚集了600多家生命健康相关企业，40%为世界顶尖生物企业，其中350多家为生物技术研发企业，250多家为生物医药公司，吸纳了50000多名就业人员，15000名专职研发人员。</w:t>
      </w:r>
    </w:p>
    <w:p w14:paraId="4A9DEFCD" w14:textId="41CEFAC2"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弗莱堡利用气候医学发展基础将自然资源转化出康养价值</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以慢性病为核心培育健康产业链，吸引上游技术研发企业和下游酒店等旅游服务业的聚集</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同时将康养的理念融入城市的设计与建设中，培育健康养生环境与氛围。</w:t>
      </w:r>
    </w:p>
    <w:p w14:paraId="28056D1B" w14:textId="77777777" w:rsidR="00C12ECB" w:rsidRPr="00F507DF" w:rsidRDefault="00D45507" w:rsidP="00FF66DC">
      <w:pPr>
        <w:pStyle w:val="4"/>
        <w:ind w:left="420" w:firstLine="239"/>
        <w:rPr>
          <w:rFonts w:ascii="仿宋_GB2312"/>
        </w:rPr>
      </w:pPr>
      <w:r w:rsidRPr="00F507DF">
        <w:rPr>
          <w:rFonts w:ascii="仿宋_GB2312" w:hint="eastAsia"/>
        </w:rPr>
        <w:t>1、利用气候医学将自然资源转化出康养价值</w:t>
      </w:r>
    </w:p>
    <w:p w14:paraId="3316D59A" w14:textId="77777777" w:rsidR="00384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利用气候医学这一康养产业理念和气候医学的科学实践，将自身的阳光、地形、阳光、河流、森林等资源作为康养产业的输入条件，转化出了自然资源的医疗康养价值。借助气候医学这一理念，弗莱堡充分发挥了自身拥有广袤的森林，地形高低起伏的特点，在林间打造了长达450公里多样化的徒步散步道，以满足不同康养人群差异化的治疗需求。</w:t>
      </w:r>
    </w:p>
    <w:p w14:paraId="73377248" w14:textId="77C747B5"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其中，弗莱堡还与德国徒步联合会及奥斯纳布吕克应用科技大学理疗专业合作开发，特别建设了针对55周岁以上缺乏运动人群的专属散步道。此外，由于健康徒步每次时长不超过2小时，期间需要辅以各种理疗练习，以促进肩部与足部循环并配有部分平衡练习，弗莱</w:t>
      </w:r>
      <w:r w:rsidRPr="00F507DF">
        <w:rPr>
          <w:rFonts w:ascii="仿宋_GB2312" w:eastAsia="仿宋_GB2312" w:hAnsi="宋体" w:hint="eastAsia"/>
          <w:sz w:val="28"/>
          <w:szCs w:val="28"/>
        </w:rPr>
        <w:lastRenderedPageBreak/>
        <w:t>堡的黑森林徒步协会还特别依托城市建设的多种散步道体系，开发了预防性健康旅游项目并提供专业指导人员资质培训，由此满足来此旅游的健康人群的康养需求。</w:t>
      </w:r>
    </w:p>
    <w:p w14:paraId="31282D51" w14:textId="77777777" w:rsidR="00C12ECB" w:rsidRPr="00F507DF" w:rsidRDefault="00D45507" w:rsidP="00FF66DC">
      <w:pPr>
        <w:pStyle w:val="4"/>
        <w:ind w:left="420" w:firstLine="239"/>
        <w:rPr>
          <w:rFonts w:ascii="仿宋_GB2312"/>
        </w:rPr>
      </w:pPr>
      <w:r w:rsidRPr="00F507DF">
        <w:rPr>
          <w:rFonts w:ascii="仿宋_GB2312" w:hint="eastAsia"/>
        </w:rPr>
        <w:t>2、以慢性病为核心培育健康产业链</w:t>
      </w:r>
    </w:p>
    <w:p w14:paraId="6D5F4B53"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弗莱堡的康养产业的关注重点始终在慢性病的治疗与养护，抓住康养产业“最大的一块蛋糕”，向上吸引研究机构和企业，加强技术转化，向下与酒店合作强化酒店专业特色，提高不可复制性。</w:t>
      </w:r>
    </w:p>
    <w:p w14:paraId="7BD99341"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聚集慢性病医疗机构：</w:t>
      </w:r>
      <w:r w:rsidRPr="00F507DF">
        <w:rPr>
          <w:rFonts w:ascii="仿宋_GB2312" w:eastAsia="仿宋_GB2312" w:hAnsi="宋体" w:hint="eastAsia"/>
          <w:sz w:val="28"/>
          <w:szCs w:val="28"/>
        </w:rPr>
        <w:t>针对不同的慢性病，弗莱堡聚集了一批医疗机构，包括弗莱堡肿瘤中心、弗莱堡放射治疗中心、弗莱堡心脏中心、西格玛精神障碍私人医院等等。</w:t>
      </w:r>
    </w:p>
    <w:p w14:paraId="64F3183A" w14:textId="323C3D6D"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向上吸引研发机构与企业：</w:t>
      </w:r>
      <w:r w:rsidRPr="00F507DF">
        <w:rPr>
          <w:rFonts w:ascii="仿宋_GB2312" w:eastAsia="仿宋_GB2312" w:hAnsi="宋体" w:hint="eastAsia"/>
          <w:sz w:val="28"/>
          <w:szCs w:val="28"/>
        </w:rPr>
        <w:t>借助弗莱堡大学医疗中心，</w:t>
      </w:r>
      <w:r w:rsidR="007C03A1" w:rsidRPr="00F507DF">
        <w:rPr>
          <w:rFonts w:ascii="仿宋_GB2312" w:eastAsia="仿宋_GB2312" w:hAnsi="宋体" w:hint="eastAsia"/>
          <w:sz w:val="28"/>
          <w:szCs w:val="28"/>
        </w:rPr>
        <w:t>招引</w:t>
      </w:r>
      <w:r w:rsidRPr="00F507DF">
        <w:rPr>
          <w:rFonts w:ascii="仿宋_GB2312" w:eastAsia="仿宋_GB2312" w:hAnsi="宋体" w:hint="eastAsia"/>
          <w:sz w:val="28"/>
          <w:szCs w:val="28"/>
        </w:rPr>
        <w:t>马克思普朗克协会的免疫技术学和实验胚胎学研究中心等研发机构，以及350多家生物技术研发企业。</w:t>
      </w:r>
    </w:p>
    <w:p w14:paraId="5CF54D66"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设置技术转化中心：</w:t>
      </w:r>
      <w:r w:rsidRPr="00F507DF">
        <w:rPr>
          <w:rFonts w:ascii="仿宋_GB2312" w:eastAsia="仿宋_GB2312" w:hAnsi="宋体" w:hint="eastAsia"/>
          <w:sz w:val="28"/>
          <w:szCs w:val="28"/>
        </w:rPr>
        <w:t>技术转化中心涵盖专利局、合同局、创始人办公室、技术营销部等职能部门，快速地与生物医药企业形成对接，把弗莱堡的产业有效从将康养产业链条延伸到了生物医药产业，并为康养产业提供技术创新支撑。</w:t>
      </w:r>
    </w:p>
    <w:p w14:paraId="49A72436"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向下与酒店合作，启用专业检验检测：</w:t>
      </w:r>
      <w:r w:rsidRPr="00F507DF">
        <w:rPr>
          <w:rFonts w:ascii="仿宋_GB2312" w:eastAsia="仿宋_GB2312" w:hAnsi="宋体" w:hint="eastAsia"/>
          <w:sz w:val="28"/>
          <w:szCs w:val="28"/>
        </w:rPr>
        <w:t>弗莱堡设立了专业的卫生学部门提供系统化的产业卫生检测服务，同时弗莱堡的很多酒店与专业诊疗机构之间有着成熟的合作通道，专业诊疗服务可以通过能够更广泛接触客户的酒店终端对外输出，更直接的面向市场。同时，酒店终端在诊疗机构的实际合作中，进行了专业照护模式的孵化与落地，</w:t>
      </w:r>
      <w:r w:rsidRPr="00F507DF">
        <w:rPr>
          <w:rFonts w:ascii="仿宋_GB2312" w:eastAsia="仿宋_GB2312" w:hAnsi="宋体" w:hint="eastAsia"/>
          <w:sz w:val="28"/>
          <w:szCs w:val="28"/>
        </w:rPr>
        <w:lastRenderedPageBreak/>
        <w:t>进一步提升了自身的专业服务能力。</w:t>
      </w:r>
    </w:p>
    <w:p w14:paraId="2C250382" w14:textId="3693C5F9" w:rsidR="00C12ECB" w:rsidRPr="00F507DF" w:rsidRDefault="00D45507" w:rsidP="00FF66DC">
      <w:pPr>
        <w:pStyle w:val="4"/>
        <w:ind w:left="420" w:firstLine="239"/>
        <w:rPr>
          <w:rFonts w:ascii="仿宋_GB2312"/>
        </w:rPr>
      </w:pPr>
      <w:r w:rsidRPr="00F507DF">
        <w:rPr>
          <w:rFonts w:ascii="仿宋_GB2312" w:hint="eastAsia"/>
        </w:rPr>
        <w:t>3、</w:t>
      </w:r>
      <w:r w:rsidR="00384ECB" w:rsidRPr="00F507DF">
        <w:rPr>
          <w:rFonts w:ascii="仿宋_GB2312" w:hint="eastAsia"/>
        </w:rPr>
        <w:t>健康</w:t>
      </w:r>
      <w:r w:rsidRPr="00F507DF">
        <w:rPr>
          <w:rFonts w:ascii="仿宋_GB2312" w:hint="eastAsia"/>
        </w:rPr>
        <w:t>导向的城市设计与建设</w:t>
      </w:r>
    </w:p>
    <w:p w14:paraId="23046E8A"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弗莱堡通过康养产业导向的政策、规划、设计和城市建设，营造城市康养氛围与特色，用“花心思、小投入”的方式打破了发展康养产业必须大投资的固有思维。《弗莱堡“绿色”远景规划2030（Perspektivplan Freiburg 2030）》提出围绕弗莱堡的三片绿地、三条河流、三条交通进行绿色空间的联结和重建，让三者融合发展成为一体的城市生态网络，进一步优化弗莱堡的城市气候。</w:t>
      </w:r>
    </w:p>
    <w:p w14:paraId="36939789" w14:textId="77777777" w:rsidR="00F71A1C"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没有围绕健康产业修建产业园，而是在新城建设的城市规划中提前谋划，通过建设留白，形成城市风廊，让城市处处透氧，构建优质的城市康养环境。弗莱堡的斯尔菲尔德住区（Rieselfeld）和沃邦住区（Vauban）在规划建设时明确提出“建设区域性空气通道”，不仅在社区内嵌入大量的绿地，同时将街区路网方向与夏季风主导风向形成夹角，实现城市内部微通风。</w:t>
      </w:r>
    </w:p>
    <w:p w14:paraId="7C117594" w14:textId="4C0D5570"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弗莱堡的城市建筑多修建大型阳台和户外城市休闲空间，让城市居民和游客感受全息化的阳台城市氛围，构建更愉悦、更广泛、更阳光的交流</w:t>
      </w:r>
      <w:r w:rsidR="007C03A1" w:rsidRPr="00F507DF">
        <w:rPr>
          <w:rFonts w:ascii="仿宋_GB2312" w:eastAsia="仿宋_GB2312" w:hAnsi="宋体" w:hint="eastAsia"/>
          <w:sz w:val="28"/>
          <w:szCs w:val="28"/>
        </w:rPr>
        <w:t>环境</w:t>
      </w:r>
      <w:r w:rsidRPr="00F507DF">
        <w:rPr>
          <w:rFonts w:ascii="仿宋_GB2312" w:eastAsia="仿宋_GB2312" w:hAnsi="宋体" w:hint="eastAsia"/>
          <w:sz w:val="28"/>
          <w:szCs w:val="28"/>
        </w:rPr>
        <w:t>。弗莱堡在市域范围内的公园、绿地、湖滨和河流周边等绿色空间则设置了大量的日光浴场，让生活在弗莱堡，就等于是在进行气候康养。</w:t>
      </w:r>
    </w:p>
    <w:p w14:paraId="44D8999D"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同时弗莱堡的城市设施也发挥了气候康养的疗愈效果，在弗莱堡的气候康养中，运动被认为是健康生活的核心——不同的运动方式也会帮助人们达到不同的康养疗效。在普通人看来只是代表健康生活方</w:t>
      </w:r>
      <w:r w:rsidRPr="00F507DF">
        <w:rPr>
          <w:rFonts w:ascii="仿宋_GB2312" w:eastAsia="仿宋_GB2312" w:hAnsi="宋体" w:hint="eastAsia"/>
          <w:sz w:val="28"/>
          <w:szCs w:val="28"/>
        </w:rPr>
        <w:lastRenderedPageBreak/>
        <w:t>式的骑行活动，而在弗莱堡的气候康养旅游中，骑行则被视作预防医学中重要的医疗运动项目之一。从1970年开始，弗莱堡不断铺设自行车专用骑行道。目前，稠密的自行车专用道已经连接成网，总长度500公里。</w:t>
      </w:r>
    </w:p>
    <w:p w14:paraId="4489F6C6" w14:textId="77777777" w:rsidR="00C12ECB" w:rsidRPr="00F507DF" w:rsidRDefault="00D45507" w:rsidP="00FF66DC">
      <w:pPr>
        <w:pStyle w:val="3"/>
        <w:numPr>
          <w:ilvl w:val="0"/>
          <w:numId w:val="9"/>
        </w:numPr>
        <w:ind w:left="420" w:firstLine="200"/>
        <w:rPr>
          <w:rFonts w:ascii="黑体" w:eastAsia="黑体" w:hAnsi="黑体"/>
          <w:sz w:val="28"/>
          <w:szCs w:val="28"/>
        </w:rPr>
      </w:pPr>
      <w:r w:rsidRPr="00F507DF">
        <w:rPr>
          <w:rFonts w:ascii="黑体" w:eastAsia="黑体" w:hAnsi="黑体" w:hint="eastAsia"/>
          <w:sz w:val="28"/>
          <w:szCs w:val="28"/>
        </w:rPr>
        <w:t>健康管理引领：日本大阪以专业化的体验、定制化的选择与精细化的服务吸引康养人群</w:t>
      </w:r>
    </w:p>
    <w:p w14:paraId="7BCCE27E" w14:textId="5729212F"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日本健康管理具有悠久历史，目前健康管理医疗机构多分布</w:t>
      </w:r>
      <w:r w:rsidR="007C03A1" w:rsidRPr="00F507DF">
        <w:rPr>
          <w:rFonts w:ascii="仿宋_GB2312" w:eastAsia="仿宋_GB2312" w:hAnsi="宋体" w:hint="eastAsia"/>
          <w:sz w:val="28"/>
          <w:szCs w:val="28"/>
        </w:rPr>
        <w:t>于</w:t>
      </w:r>
      <w:r w:rsidRPr="00F507DF">
        <w:rPr>
          <w:rFonts w:ascii="仿宋_GB2312" w:eastAsia="仿宋_GB2312" w:hAnsi="宋体" w:hint="eastAsia"/>
          <w:sz w:val="28"/>
          <w:szCs w:val="28"/>
        </w:rPr>
        <w:t>东京和大阪。其中大阪城市医疗资源相对集中，凭借其专业化的体检、定制化的选择和精细化的服务在全世界吸引了大量体检旅游人群，形成了规模较大的健康管理产业。</w:t>
      </w:r>
    </w:p>
    <w:p w14:paraId="7E19F06F" w14:textId="77777777" w:rsidR="00C12ECB" w:rsidRPr="00F507DF" w:rsidRDefault="00D45507" w:rsidP="00FF66DC">
      <w:pPr>
        <w:pStyle w:val="4"/>
        <w:ind w:left="420" w:firstLine="239"/>
        <w:rPr>
          <w:rFonts w:ascii="仿宋_GB2312"/>
        </w:rPr>
      </w:pPr>
      <w:r w:rsidRPr="00F507DF">
        <w:rPr>
          <w:rFonts w:ascii="仿宋_GB2312" w:hint="eastAsia"/>
        </w:rPr>
        <w:t>1、专业化的体检</w:t>
      </w:r>
    </w:p>
    <w:p w14:paraId="4429CB7C" w14:textId="5FEAEDAD"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大阪</w:t>
      </w:r>
      <w:r w:rsidR="007C03A1" w:rsidRPr="00F507DF">
        <w:rPr>
          <w:rFonts w:ascii="仿宋_GB2312" w:eastAsia="仿宋_GB2312" w:hAnsi="宋体" w:hint="eastAsia"/>
          <w:sz w:val="28"/>
          <w:szCs w:val="28"/>
        </w:rPr>
        <w:t>拥</w:t>
      </w:r>
      <w:r w:rsidRPr="00F507DF">
        <w:rPr>
          <w:rFonts w:ascii="仿宋_GB2312" w:eastAsia="仿宋_GB2312" w:hAnsi="宋体" w:hint="eastAsia"/>
          <w:sz w:val="28"/>
          <w:szCs w:val="28"/>
        </w:rPr>
        <w:t>有大阪市立大学医学院附属医院、大阪医科大学附属病院、大阪大学医学部附属病院、大阪国际癌症中心等一批体检服务医院或机构，均配备了精密的监测仪器保障监测的准确性。如大阪市立大学医学院附属医院的高级体检套餐配备了心脑血管相关的一系列检查，如颈部MRA（颈动脉核磁共振）和头部 MRI·MRA（头部核磁共振）、动脉硬化检查、肝硬化、糖尿病筛查、心脏彩超、心衰指标等。体检后机构提供体检报告，也可以向医生当面交流咨询，寻求建议与解答。</w:t>
      </w:r>
    </w:p>
    <w:p w14:paraId="127022F3"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2、定制化的选择</w:t>
      </w:r>
    </w:p>
    <w:p w14:paraId="72F98204"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大阪体检具有不同主题，以套餐服务的方式满足不同人群的体检需求，如针对具有职业病人群的亚健康套餐、针对中老年人的心脑血</w:t>
      </w:r>
      <w:r w:rsidRPr="00F507DF">
        <w:rPr>
          <w:rFonts w:ascii="仿宋_GB2312" w:eastAsia="仿宋_GB2312" w:hAnsi="宋体" w:hint="eastAsia"/>
          <w:sz w:val="28"/>
          <w:szCs w:val="28"/>
        </w:rPr>
        <w:lastRenderedPageBreak/>
        <w:t>管套餐、针对35岁中年以上人群的癌症筛查套餐、针对30岁以上已婚女性的女性专用套餐等。同时大阪健康管理机构还能够根据个人情况提供定制化的体检方案，客户可自行选择基础检查项目与高级项目进行搭配。</w:t>
      </w:r>
    </w:p>
    <w:p w14:paraId="68FDC711" w14:textId="77777777" w:rsidR="00C12ECB" w:rsidRPr="00F507DF" w:rsidRDefault="00D45507" w:rsidP="00FF66DC">
      <w:pPr>
        <w:pStyle w:val="4"/>
        <w:ind w:left="420" w:firstLine="239"/>
        <w:rPr>
          <w:rFonts w:ascii="仿宋_GB2312"/>
        </w:rPr>
      </w:pPr>
      <w:r w:rsidRPr="00F507DF">
        <w:rPr>
          <w:rFonts w:ascii="仿宋_GB2312" w:hint="eastAsia"/>
        </w:rPr>
        <w:t>3、精细化的服务</w:t>
      </w:r>
    </w:p>
    <w:p w14:paraId="6ACABB81" w14:textId="4ECEA06F"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大阪健康管理服务机构</w:t>
      </w:r>
      <w:r w:rsidR="007C03A1" w:rsidRPr="00F507DF">
        <w:rPr>
          <w:rFonts w:ascii="仿宋_GB2312" w:eastAsia="仿宋_GB2312" w:hAnsi="宋体" w:hint="eastAsia"/>
          <w:sz w:val="28"/>
          <w:szCs w:val="28"/>
        </w:rPr>
        <w:t>除</w:t>
      </w:r>
      <w:r w:rsidRPr="00F507DF">
        <w:rPr>
          <w:rFonts w:ascii="仿宋_GB2312" w:eastAsia="仿宋_GB2312" w:hAnsi="宋体" w:hint="eastAsia"/>
          <w:sz w:val="28"/>
          <w:szCs w:val="28"/>
        </w:rPr>
        <w:t>体检本身外，还能够配套提供问诊服务、一对一专业陪同翻译、体检报告翻译、AIG旅行保险、市内接送、五星级酒店等服务，甚至配套提供体检之外的旅游休闲服务，为整个体检过程营造良好的体验氛围和舒适的环境。</w:t>
      </w:r>
    </w:p>
    <w:p w14:paraId="7E882604" w14:textId="77777777" w:rsidR="00C12ECB" w:rsidRPr="00F507DF" w:rsidRDefault="00D45507" w:rsidP="00FF66DC">
      <w:pPr>
        <w:pStyle w:val="3"/>
        <w:numPr>
          <w:ilvl w:val="0"/>
          <w:numId w:val="9"/>
        </w:numPr>
        <w:ind w:left="420" w:firstLine="200"/>
        <w:rPr>
          <w:rFonts w:ascii="黑体" w:eastAsia="黑体" w:hAnsi="黑体"/>
          <w:sz w:val="28"/>
          <w:szCs w:val="28"/>
        </w:rPr>
      </w:pPr>
      <w:r w:rsidRPr="00F507DF">
        <w:rPr>
          <w:rFonts w:ascii="黑体" w:eastAsia="黑体" w:hAnsi="黑体" w:hint="eastAsia"/>
          <w:sz w:val="28"/>
          <w:szCs w:val="28"/>
        </w:rPr>
        <w:t>案例总结</w:t>
      </w:r>
    </w:p>
    <w:p w14:paraId="482765DB" w14:textId="77777777" w:rsidR="00C12ECB" w:rsidRPr="00F507DF" w:rsidRDefault="00D45507" w:rsidP="00FF66DC">
      <w:pPr>
        <w:widowControl/>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借助医疗资源发展康养产业的核心在于技术，无论是蒙特勒、弗莱堡还是日本大阪，虽然其康养产业的具体立足领域有所不同，但三者都具备全国乃至世界范围内知名的医疗技术或研发技术，从而确立了自身在某个细分领域内无法替代的竞争优势，将自身的潜在客源群体扩大到国际层面。</w:t>
      </w:r>
    </w:p>
    <w:p w14:paraId="2A7B6CE2" w14:textId="67EDA501" w:rsidR="00C12ECB" w:rsidRPr="00F507DF" w:rsidRDefault="00D45507" w:rsidP="00FF66DC">
      <w:pPr>
        <w:widowControl/>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以技术为核心，进一步衍生出相关的医疗服务机构、下游酒店、上游企业和研发机构</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形成吸引游客的内核，继而结合自身历史文化资源、自然环境资源进一步发展休闲度假旅游的相关配套业态，甚至在进行城市建设时有意以康养产业为导向，形成吸引游客的外核，将康养与旅游紧密结合起来，增加游客的停留时间和消费项目，也提高</w:t>
      </w:r>
      <w:r w:rsidR="007C03A1" w:rsidRPr="00F507DF">
        <w:rPr>
          <w:rFonts w:ascii="仿宋_GB2312" w:eastAsia="仿宋_GB2312" w:hAnsi="宋体" w:hint="eastAsia"/>
          <w:sz w:val="28"/>
          <w:szCs w:val="28"/>
        </w:rPr>
        <w:t>了</w:t>
      </w:r>
      <w:r w:rsidRPr="00F507DF">
        <w:rPr>
          <w:rFonts w:ascii="仿宋_GB2312" w:eastAsia="仿宋_GB2312" w:hAnsi="宋体" w:hint="eastAsia"/>
          <w:sz w:val="28"/>
          <w:szCs w:val="28"/>
        </w:rPr>
        <w:t>游客出游的体验感与舒适度。</w:t>
      </w:r>
    </w:p>
    <w:p w14:paraId="5C0CEA46" w14:textId="77777777" w:rsidR="00C12ECB" w:rsidRPr="00F507DF" w:rsidRDefault="00D45507" w:rsidP="00FF66DC">
      <w:pPr>
        <w:pStyle w:val="2"/>
        <w:numPr>
          <w:ilvl w:val="0"/>
          <w:numId w:val="8"/>
        </w:numPr>
      </w:pPr>
      <w:bookmarkStart w:id="13" w:name="_Toc54008904"/>
      <w:r w:rsidRPr="00F507DF">
        <w:rPr>
          <w:rFonts w:hint="eastAsia"/>
        </w:rPr>
        <w:lastRenderedPageBreak/>
        <w:t>自然资源案例</w:t>
      </w:r>
      <w:bookmarkEnd w:id="13"/>
    </w:p>
    <w:p w14:paraId="768466E7" w14:textId="77777777" w:rsidR="00C12ECB" w:rsidRPr="00F507DF" w:rsidRDefault="00D45507" w:rsidP="00FF66DC">
      <w:pPr>
        <w:pStyle w:val="3"/>
        <w:numPr>
          <w:ilvl w:val="0"/>
          <w:numId w:val="10"/>
        </w:numPr>
        <w:ind w:left="420" w:firstLine="200"/>
        <w:rPr>
          <w:rFonts w:ascii="黑体" w:eastAsia="黑体" w:hAnsi="黑体"/>
          <w:sz w:val="28"/>
          <w:szCs w:val="28"/>
        </w:rPr>
      </w:pPr>
      <w:r w:rsidRPr="00F507DF">
        <w:rPr>
          <w:rFonts w:ascii="黑体" w:eastAsia="黑体" w:hAnsi="黑体" w:hint="eastAsia"/>
          <w:sz w:val="28"/>
          <w:szCs w:val="28"/>
        </w:rPr>
        <w:t>森林资源：FuFu日本山梨保健农园以自然资源为基础，建立完备的基础设施，培养专业化人才，设置灵活课程满足康养人群需求</w:t>
      </w:r>
    </w:p>
    <w:p w14:paraId="506CA633" w14:textId="0579FAF4"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日本拥有世界上最先进科学的森林养生功效测定技术，森林疗养理论和实践的研究水平世界领先。日本设立了</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森林疗法协会</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，建立起完备的森林疗养基地认证制度和森林疗养师考核制度，设置了固定的森林疗养课程，目前已认证了62处森林疗养基地，森林疗养管理工作规范有效，在日本社会认可度极高。</w:t>
      </w:r>
    </w:p>
    <w:p w14:paraId="7330DD26" w14:textId="364BFA93"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FuFu山梨保健农园位于日本山梨市牧丘町，占地６万平方米，拥有丰富的自然资源和先进科学的管理体系，是日本知名的森林疗养基地。FuFu山梨保健农园以基地酒店为载体，以丰富的自然资源为基础，以</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健康管理服务</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理念为指导，以专业化人才和先进设备保证治疗效果，通过提供</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定制化森林疗养课程</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的方式，帮助不同需求的客人实现深度的康养体验，进而达到彻底放松身心和疗养休闲的目的。</w:t>
      </w:r>
    </w:p>
    <w:p w14:paraId="34A0E6DA" w14:textId="77777777" w:rsidR="00C12ECB" w:rsidRPr="00F507DF" w:rsidRDefault="00D45507" w:rsidP="00FF66DC">
      <w:pPr>
        <w:pStyle w:val="4"/>
        <w:ind w:left="420" w:firstLine="239"/>
        <w:rPr>
          <w:rFonts w:ascii="仿宋_GB2312"/>
        </w:rPr>
      </w:pPr>
      <w:r w:rsidRPr="00F507DF">
        <w:rPr>
          <w:rFonts w:ascii="仿宋_GB2312" w:hint="eastAsia"/>
        </w:rPr>
        <w:t>1、基础设施完备</w:t>
      </w:r>
    </w:p>
    <w:p w14:paraId="1BC51057"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山梨保健农园以酒店为基本的课程活动空间，除基本餐饮住宿外，还配有丰富完善的基础设施和设备，包括瑜伽教室、健身教师、读书角、观星台、心理咨询室、按摩室等。</w:t>
      </w:r>
    </w:p>
    <w:p w14:paraId="72109698" w14:textId="77777777" w:rsidR="00C12ECB" w:rsidRPr="00F507DF" w:rsidRDefault="00D45507" w:rsidP="00FF66DC">
      <w:pPr>
        <w:pStyle w:val="4"/>
        <w:ind w:left="420" w:firstLine="239"/>
        <w:rPr>
          <w:rFonts w:ascii="仿宋_GB2312"/>
        </w:rPr>
      </w:pPr>
      <w:r w:rsidRPr="00F507DF">
        <w:rPr>
          <w:rFonts w:ascii="仿宋_GB2312" w:hint="eastAsia"/>
        </w:rPr>
        <w:lastRenderedPageBreak/>
        <w:t>2、丰富的自然资源</w:t>
      </w:r>
    </w:p>
    <w:p w14:paraId="016E3FE1"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作为课程活动的延伸和主要室外课程场所，山梨保健农园海拔差异明显、植被丰富，既有森林又有花园、农田、果园，为康养服务提供了良好的自然基础。</w:t>
      </w:r>
    </w:p>
    <w:p w14:paraId="7D955B8C" w14:textId="77777777" w:rsidR="00C12ECB" w:rsidRPr="00F507DF" w:rsidRDefault="00D45507" w:rsidP="00FF66DC">
      <w:pPr>
        <w:pStyle w:val="4"/>
        <w:ind w:left="420" w:firstLine="239"/>
        <w:rPr>
          <w:rFonts w:ascii="仿宋_GB2312"/>
        </w:rPr>
      </w:pPr>
      <w:r w:rsidRPr="00F507DF">
        <w:rPr>
          <w:rFonts w:ascii="仿宋_GB2312" w:hint="eastAsia"/>
        </w:rPr>
        <w:t>3、专业化人才</w:t>
      </w:r>
    </w:p>
    <w:p w14:paraId="65E60EA2"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为保证课程的科学性、严谨性和治疗效果及安全性，保健农园还为课程配备了具有专业资质认证的老师，包括芳香疗养师、森林疗法师、心理咨询师和按摩师等。</w:t>
      </w:r>
    </w:p>
    <w:p w14:paraId="45CC3D22" w14:textId="77777777" w:rsidR="00C12ECB" w:rsidRPr="00F507DF" w:rsidRDefault="00D45507" w:rsidP="00FF66DC">
      <w:pPr>
        <w:pStyle w:val="4"/>
        <w:ind w:left="420" w:firstLine="239"/>
        <w:rPr>
          <w:rFonts w:ascii="仿宋_GB2312"/>
        </w:rPr>
      </w:pPr>
      <w:r w:rsidRPr="00F507DF">
        <w:rPr>
          <w:rFonts w:ascii="仿宋_GB2312" w:hint="eastAsia"/>
        </w:rPr>
        <w:t>4、课程设置灵活</w:t>
      </w:r>
    </w:p>
    <w:p w14:paraId="47522ADA" w14:textId="32AB8A21"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山梨保健农园设置</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两天一晚</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三天两晚</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和</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长住</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三种类型的住宿计划以及一日游的停留计划，按照个人时间安排游客可以享受任何计划。具体课程依据</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睡眠调节、运动、饮食疗法、感觉活用、放松和沟通</w:t>
      </w:r>
      <w:r w:rsidR="007C03A1" w:rsidRPr="00F507DF">
        <w:rPr>
          <w:rFonts w:ascii="仿宋_GB2312" w:eastAsia="仿宋_GB2312" w:hAnsi="宋体" w:hint="eastAsia"/>
          <w:sz w:val="28"/>
          <w:szCs w:val="28"/>
        </w:rPr>
        <w:t>”</w:t>
      </w:r>
      <w:r w:rsidRPr="00F507DF">
        <w:rPr>
          <w:rFonts w:ascii="仿宋_GB2312" w:eastAsia="仿宋_GB2312" w:hAnsi="宋体" w:hint="eastAsia"/>
          <w:sz w:val="28"/>
          <w:szCs w:val="28"/>
        </w:rPr>
        <w:t>这六种方法进行设定。</w:t>
      </w:r>
    </w:p>
    <w:p w14:paraId="3642BD72" w14:textId="77777777" w:rsidR="00C12ECB" w:rsidRPr="00F507DF" w:rsidRDefault="00D45507" w:rsidP="00FF66DC">
      <w:pPr>
        <w:pStyle w:val="3"/>
        <w:numPr>
          <w:ilvl w:val="0"/>
          <w:numId w:val="10"/>
        </w:numPr>
        <w:ind w:left="420" w:firstLine="200"/>
        <w:rPr>
          <w:rFonts w:ascii="黑体" w:eastAsia="黑体" w:hAnsi="黑体"/>
          <w:sz w:val="28"/>
          <w:szCs w:val="28"/>
        </w:rPr>
      </w:pPr>
      <w:r w:rsidRPr="00F507DF">
        <w:rPr>
          <w:rFonts w:ascii="黑体" w:eastAsia="黑体" w:hAnsi="黑体" w:hint="eastAsia"/>
          <w:sz w:val="28"/>
          <w:szCs w:val="28"/>
        </w:rPr>
        <w:t>温泉资源：德国巴登巴登小镇以浴场和度假设施为核心，构建康养体系、文化中心和综合产品体系</w:t>
      </w:r>
    </w:p>
    <w:p w14:paraId="396A867F"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小镇位于德国巴登-符腾堡州、西南部的黑森林北部。德语里“巴登”是沐浴的意思，小镇之名就由温泉得来。罗马帝国时期发现温泉，因罗马皇帝卡拉卡拉曾来此治疗关节炎，从此声名远扬。16世纪一度发展繁荣，拥有12个众人浴场和389座个体浴室，并开始发展配药及制药业。17世纪因为战乱，巴登巴登几乎全城被大火烧尽。18世纪末以后，巴登巴登开始闻名世界，兴建了豪华酒店、赌场、赛马</w:t>
      </w:r>
      <w:r w:rsidRPr="00F507DF">
        <w:rPr>
          <w:rFonts w:ascii="仿宋_GB2312" w:eastAsia="仿宋_GB2312" w:hAnsi="宋体" w:hint="eastAsia"/>
          <w:sz w:val="28"/>
          <w:szCs w:val="28"/>
        </w:rPr>
        <w:lastRenderedPageBreak/>
        <w:t>俱乐部等，被誉为“欧洲的夏都”。</w:t>
      </w:r>
    </w:p>
    <w:p w14:paraId="46B685EF"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巴登巴登小镇凭借其世界知名的浴场和完备度假娱乐设施，构建以预防和保健为主、治疗为辅的康养体系；打造以度假、康养特色的文化休闲中心；构建旅游、康养综合型产品体系，成为世界温泉疗养的圣地。</w:t>
      </w:r>
    </w:p>
    <w:p w14:paraId="633D0CD2" w14:textId="77777777" w:rsidR="00C12ECB" w:rsidRPr="00F507DF" w:rsidRDefault="00D45507" w:rsidP="00FF66DC">
      <w:pPr>
        <w:pStyle w:val="4"/>
        <w:ind w:left="420" w:firstLine="239"/>
        <w:rPr>
          <w:rFonts w:ascii="仿宋_GB2312"/>
        </w:rPr>
      </w:pPr>
      <w:r w:rsidRPr="00F507DF">
        <w:rPr>
          <w:rFonts w:ascii="仿宋_GB2312" w:hint="eastAsia"/>
        </w:rPr>
        <w:t>1、知名浴场建设</w:t>
      </w:r>
    </w:p>
    <w:p w14:paraId="3821BCD1" w14:textId="52694ED8"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借助驰名世界的温泉，巴登巴登建设了大量知名浴场。其中，Friedrichsbad腓特烈大浴场是欧洲最美的浴场之一，具有罗马浴池遗址、男女混浴、传统的肥皂刷按摩泡澡三大特色，需要16种程序，花费3小时。Caracalla Therme卡拉卡拉浴场是欧洲最大的温泉浴场之一，曾是罗马的卡拉卡拉大帝御临的温泉治疗处。Brenner布莱娜公园大酒店是德国全西南最顶级的温泉SPA，顶级的专业设备和水疗专家，度身制定的Spa疗程，贴身的专属服务，被SPA专业刊物评为世界上最好的3家SPA之一。</w:t>
      </w:r>
    </w:p>
    <w:p w14:paraId="01556051" w14:textId="77777777" w:rsidR="00C12ECB" w:rsidRPr="00F507DF" w:rsidRDefault="00D45507" w:rsidP="00FF66DC">
      <w:pPr>
        <w:pStyle w:val="4"/>
        <w:ind w:left="420" w:firstLine="239"/>
        <w:rPr>
          <w:rFonts w:ascii="仿宋_GB2312"/>
        </w:rPr>
      </w:pPr>
      <w:r w:rsidRPr="00F507DF">
        <w:rPr>
          <w:rFonts w:ascii="仿宋_GB2312" w:hint="eastAsia"/>
        </w:rPr>
        <w:t>2、完善度假设施</w:t>
      </w:r>
    </w:p>
    <w:p w14:paraId="435CB45B"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巴登巴登建有Kurhaus休闲赌场，建成于1824年，是德国规模最大最古老的赌场，著名的巴登巴登交响乐团常年在此演出，每年有60多万富豪从世界各地来豪赌，同时还有跑马场、高尔夫球场、世界一流的名牌商店等。除此之外，还建设了矿泉水大厅、温泉疗养博物馆、都市观光游览火车、热气球鸟瞰小镇与黑森林地带等旅游观光地。为匹配高端旅游人群的需求，巴登巴登在文化层面也具有欧洲第2大歌剧院、音乐厅、新城堡宫殿、勃拉姆斯故居、国立美术馆等众</w:t>
      </w:r>
      <w:r w:rsidRPr="00F507DF">
        <w:rPr>
          <w:rFonts w:ascii="仿宋_GB2312" w:eastAsia="仿宋_GB2312" w:hAnsi="宋体" w:hint="eastAsia"/>
          <w:sz w:val="28"/>
          <w:szCs w:val="28"/>
        </w:rPr>
        <w:lastRenderedPageBreak/>
        <w:t>多文化设施，以此从多个领域丰富旅游产品，增加游客停留时间。</w:t>
      </w:r>
    </w:p>
    <w:p w14:paraId="567FD1FD"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3、构建以预防和保健为主、治疗为辅的康养体系</w:t>
      </w:r>
    </w:p>
    <w:p w14:paraId="00A7AE6E"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巴登巴登兼有悠久的历史文化和丰富的自然森林资源，在小镇中康养者可同时享受森林浴、温泉浴和心理调节。通过欣赏美景、品尝美食、聆听音乐、呼吸遍地芬芳等获得视觉、味觉、触觉、嗅觉、听觉五感的洗礼和放松。徜徉于这座历史积淀与现代创新共同孕育的小镇，陶冶于人文艺术与自然美景之中，运动与休憩动静结合，达到身心和谐。小镇同时配以众多的特色诊所，采用先进医疗技术，康养者可接受由内至外的全方位疗养服务。</w:t>
      </w:r>
    </w:p>
    <w:p w14:paraId="3BDB6B6E" w14:textId="77777777" w:rsidR="00C12ECB" w:rsidRPr="00F507DF" w:rsidRDefault="00D45507" w:rsidP="00FF66DC">
      <w:pPr>
        <w:pStyle w:val="4"/>
        <w:ind w:left="420" w:firstLine="239"/>
        <w:rPr>
          <w:rFonts w:ascii="仿宋_GB2312"/>
        </w:rPr>
      </w:pPr>
      <w:r w:rsidRPr="00F507DF">
        <w:rPr>
          <w:rFonts w:ascii="仿宋_GB2312" w:hAnsi="宋体" w:hint="eastAsia"/>
        </w:rPr>
        <w:t>4、构建度假、康养特色的文化休闲中心</w:t>
      </w:r>
    </w:p>
    <w:p w14:paraId="6BB54103"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巴登巴登有完善的旅游度假服务设施，拥有国际赛马会、世界舞蹈晚会、国际会议展览。加上森林疗养的特色功能，使得巴登巴登成为精英和高端人士的休闲和度假中心、欧洲沙龙音乐的中心、欧洲的文化和会议中心。巴登巴登既是一个康养小镇，也是一个文旅小镇、度假小镇。</w:t>
      </w:r>
    </w:p>
    <w:p w14:paraId="238C0488"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5、构建旅游、康养综合型产品体系</w:t>
      </w:r>
    </w:p>
    <w:p w14:paraId="4D96935F" w14:textId="5887226F"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针对不同年龄的人群打造具有针对性的休闲服务设施。为儿童提供水上乐园，为中青年提供从徒步到跳伞、各个级别强度的运动及休闲，为老人提供贴心医疗水疗服务及结合了美食和历史文化知识的慢节奏小镇游览。针对不同群体，为个人、双人和多人家庭提供多种选择的套餐，包括饮食、住宿、SPA等项目。针对不同目的，为病人提供小镇疗养治愈，游客可免费申请游客卡，享受优惠待遇，为参加会</w:t>
      </w:r>
      <w:r w:rsidRPr="00F507DF">
        <w:rPr>
          <w:rFonts w:ascii="仿宋_GB2312" w:eastAsia="仿宋_GB2312" w:hAnsi="宋体" w:hint="eastAsia"/>
          <w:sz w:val="28"/>
          <w:szCs w:val="28"/>
        </w:rPr>
        <w:lastRenderedPageBreak/>
        <w:t>展人士、商务人员设计娱乐休闲产品。</w:t>
      </w:r>
    </w:p>
    <w:p w14:paraId="24A085AB" w14:textId="77777777" w:rsidR="00C12ECB" w:rsidRPr="00F507DF" w:rsidRDefault="00D45507" w:rsidP="00FF66DC">
      <w:pPr>
        <w:pStyle w:val="3"/>
        <w:numPr>
          <w:ilvl w:val="0"/>
          <w:numId w:val="10"/>
        </w:numPr>
        <w:ind w:left="420" w:firstLine="200"/>
        <w:rPr>
          <w:rFonts w:ascii="黑体" w:eastAsia="黑体" w:hAnsi="黑体"/>
          <w:sz w:val="28"/>
          <w:szCs w:val="28"/>
        </w:rPr>
      </w:pPr>
      <w:r w:rsidRPr="00F507DF">
        <w:rPr>
          <w:rFonts w:ascii="黑体" w:eastAsia="黑体" w:hAnsi="黑体" w:hint="eastAsia"/>
          <w:sz w:val="28"/>
          <w:szCs w:val="28"/>
        </w:rPr>
        <w:t>火山资源：五大连池深入挖掘自然资源，讲好每一个产品故事</w:t>
      </w:r>
    </w:p>
    <w:p w14:paraId="3D34C903" w14:textId="5340F449"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五大连池位于中国黑龙江省黑河市境内，地处小兴安岭山地向松嫩平原的转换地带，1060平方公里的区域内，火山喷发的熔岩阻塞了远古河道，形成了5个溪水相连的串珠状火山堰塞湖，五大连池因此而得名。</w:t>
      </w:r>
    </w:p>
    <w:p w14:paraId="2D105467" w14:textId="67108C2A"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五大连池充分挖掘自身自然环境优势，主打六大自然环境优势：天然冷矿泉水，纯净的天然氧吧，集保健、美容、医疗于一体的矿泉水饮疗、浴疗和泥疗综合疗法，天然火山熔岩台地—太阳热能理疗床，天然火山全磁环境，纯绿色健康食品。借助以上优势，五大连池打造了天池景区古火山游览路线、温泊景区的火山小九寨休闲游览路线、药泉山景区禅修之旅路线、药泉古镇温矿泉游路线、五大连池风景区冷矿泉探索体验游路线、灰鹤湿地景区古湿地探险游览路线、白龙湖景区火山堰塞湖游览路线、卧虎山景区火山野生动植物游览路线等各类不同风格的游览线路，满足不同游客群体的需求。</w:t>
      </w:r>
    </w:p>
    <w:p w14:paraId="6682C4DD" w14:textId="77777777" w:rsidR="00C12ECB" w:rsidRPr="00F507DF" w:rsidRDefault="00D45507" w:rsidP="00FF66DC">
      <w:pPr>
        <w:pStyle w:val="4"/>
        <w:ind w:left="420" w:firstLine="239"/>
        <w:rPr>
          <w:rFonts w:ascii="仿宋_GB2312"/>
        </w:rPr>
      </w:pPr>
      <w:r w:rsidRPr="00F507DF">
        <w:rPr>
          <w:rFonts w:ascii="仿宋_GB2312" w:hAnsi="宋体" w:hint="eastAsia"/>
        </w:rPr>
        <w:t>1</w:t>
      </w:r>
      <w:r w:rsidRPr="00F507DF">
        <w:rPr>
          <w:rFonts w:ascii="仿宋_GB2312" w:hAnsi="宋体" w:hint="eastAsia"/>
          <w:b w:val="0"/>
          <w:bCs w:val="0"/>
        </w:rPr>
        <w:t>、</w:t>
      </w:r>
      <w:r w:rsidRPr="00F507DF">
        <w:rPr>
          <w:rFonts w:ascii="仿宋_GB2312" w:hAnsi="宋体" w:hint="eastAsia"/>
        </w:rPr>
        <w:t>天然冷泉</w:t>
      </w:r>
    </w:p>
    <w:p w14:paraId="41C73D22"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五大连池的天然矿泉与法国的维希矿泉和俄罗斯的纳尔赞矿泉并称为“世界三大冷矿泉”，含有多种人体必需的宏量和微量元素，既可作为医疗矿泉水，又是饮用矿泉水，已有百余年的医疗实践，具有强心、利尿、消炎、解痉、镇痛、镇静、助消化、改善新陈代谢等</w:t>
      </w:r>
      <w:r w:rsidRPr="00F507DF">
        <w:rPr>
          <w:rFonts w:ascii="仿宋_GB2312" w:eastAsia="仿宋_GB2312" w:hAnsi="宋体" w:hint="eastAsia"/>
          <w:sz w:val="28"/>
          <w:szCs w:val="28"/>
        </w:rPr>
        <w:lastRenderedPageBreak/>
        <w:t>功能，对于消化系统和皮肤病疗效最佳，对风湿性疾病，心脑血管系统，神经系统等都有良好的疗效。围绕矿泉资源，五大连池打造了火山泥浴、温泉理疗、疗养院、温泉酒店等产品吸引游客消费。</w:t>
      </w:r>
    </w:p>
    <w:p w14:paraId="13811BF1" w14:textId="77777777" w:rsidR="00C12ECB" w:rsidRPr="00F507DF" w:rsidRDefault="00D45507" w:rsidP="00FF66DC">
      <w:pPr>
        <w:pStyle w:val="4"/>
        <w:ind w:left="420" w:firstLine="239"/>
        <w:rPr>
          <w:rFonts w:ascii="仿宋_GB2312"/>
        </w:rPr>
      </w:pPr>
      <w:r w:rsidRPr="00F507DF">
        <w:rPr>
          <w:rFonts w:ascii="仿宋_GB2312" w:hint="eastAsia"/>
        </w:rPr>
        <w:t>2、天然氧吧</w:t>
      </w:r>
    </w:p>
    <w:p w14:paraId="5B19B72E"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五大连池特定的原始地貌使其成为世界上罕见的天然氧吧，白云、蓝天、清泉、湿地、茂密的森林，创造了一个1060平方公里的巨大空气浴场。在一般城市和地区，室外只能吸入1-2万mg/m</w:t>
      </w:r>
      <w:r w:rsidRPr="00F507DF">
        <w:rPr>
          <w:rFonts w:ascii="仿宋_GB2312" w:eastAsia="仿宋_GB2312" w:hAnsi="宋体" w:hint="eastAsia"/>
          <w:sz w:val="28"/>
          <w:szCs w:val="28"/>
          <w:vertAlign w:val="superscript"/>
        </w:rPr>
        <w:t>3</w:t>
      </w:r>
      <w:r w:rsidRPr="00F507DF">
        <w:rPr>
          <w:rFonts w:ascii="仿宋_GB2312" w:eastAsia="仿宋_GB2312" w:hAnsi="宋体" w:hint="eastAsia"/>
          <w:sz w:val="28"/>
          <w:szCs w:val="28"/>
        </w:rPr>
        <w:t>负氧离子，林间只能吸入10-20万mg/m</w:t>
      </w:r>
      <w:r w:rsidRPr="00F507DF">
        <w:rPr>
          <w:rFonts w:ascii="仿宋_GB2312" w:eastAsia="仿宋_GB2312" w:hAnsi="宋体" w:hint="eastAsia"/>
          <w:sz w:val="28"/>
          <w:szCs w:val="28"/>
          <w:vertAlign w:val="superscript"/>
        </w:rPr>
        <w:t>3</w:t>
      </w:r>
      <w:r w:rsidRPr="00F507DF">
        <w:rPr>
          <w:rFonts w:ascii="仿宋_GB2312" w:eastAsia="仿宋_GB2312" w:hAnsi="宋体" w:hint="eastAsia"/>
          <w:sz w:val="28"/>
          <w:szCs w:val="28"/>
        </w:rPr>
        <w:t>负氧离子；在五大连池室外可吸入20万mg/m</w:t>
      </w:r>
      <w:r w:rsidRPr="00F507DF">
        <w:rPr>
          <w:rFonts w:ascii="仿宋_GB2312" w:eastAsia="仿宋_GB2312" w:hAnsi="宋体" w:hint="eastAsia"/>
          <w:sz w:val="28"/>
          <w:szCs w:val="28"/>
          <w:vertAlign w:val="superscript"/>
        </w:rPr>
        <w:t>3</w:t>
      </w:r>
      <w:r w:rsidRPr="00F507DF">
        <w:rPr>
          <w:rFonts w:ascii="仿宋_GB2312" w:eastAsia="仿宋_GB2312" w:hAnsi="宋体" w:hint="eastAsia"/>
          <w:sz w:val="28"/>
          <w:szCs w:val="28"/>
        </w:rPr>
        <w:t>负氧离子，在湿地和林间可吸入30万mg/m</w:t>
      </w:r>
      <w:r w:rsidRPr="00F507DF">
        <w:rPr>
          <w:rFonts w:ascii="仿宋_GB2312" w:eastAsia="仿宋_GB2312" w:hAnsi="宋体" w:hint="eastAsia"/>
          <w:sz w:val="28"/>
          <w:szCs w:val="28"/>
          <w:vertAlign w:val="superscript"/>
        </w:rPr>
        <w:t>3</w:t>
      </w:r>
      <w:r w:rsidRPr="00F507DF">
        <w:rPr>
          <w:rFonts w:ascii="仿宋_GB2312" w:eastAsia="仿宋_GB2312" w:hAnsi="宋体" w:hint="eastAsia"/>
          <w:sz w:val="28"/>
          <w:szCs w:val="28"/>
        </w:rPr>
        <w:t>负氧离子。</w:t>
      </w:r>
    </w:p>
    <w:p w14:paraId="04953642" w14:textId="77777777" w:rsidR="00C12ECB" w:rsidRPr="00F507DF" w:rsidRDefault="00D45507" w:rsidP="00FF66DC">
      <w:pPr>
        <w:pStyle w:val="4"/>
        <w:ind w:left="420" w:firstLine="239"/>
        <w:rPr>
          <w:rFonts w:ascii="仿宋_GB2312"/>
        </w:rPr>
      </w:pPr>
      <w:r w:rsidRPr="00F507DF">
        <w:rPr>
          <w:rFonts w:ascii="仿宋_GB2312" w:hint="eastAsia"/>
        </w:rPr>
        <w:t>3、健康食品</w:t>
      </w:r>
    </w:p>
    <w:p w14:paraId="6B4F2D95"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五大连池是健康食品生产的净土，由于有得天独厚的火山灰自然复合肥，其氮、磷、钾的含量高于正常土壤的十几倍。生产了众多无公害食品如山野珍品、矿泉鱼、矿泉稻、矿泉畜产品、水果、蔬菜等，形成了世界上最清纯的健康食品园区。</w:t>
      </w:r>
    </w:p>
    <w:p w14:paraId="5794A264" w14:textId="77777777" w:rsidR="00C12ECB" w:rsidRPr="00F507DF" w:rsidRDefault="00D45507" w:rsidP="00FF66DC">
      <w:pPr>
        <w:pStyle w:val="4"/>
        <w:ind w:left="420" w:firstLine="239"/>
        <w:rPr>
          <w:rFonts w:ascii="仿宋_GB2312"/>
        </w:rPr>
      </w:pPr>
      <w:r w:rsidRPr="00F507DF">
        <w:rPr>
          <w:rFonts w:ascii="仿宋_GB2312" w:hint="eastAsia"/>
        </w:rPr>
        <w:t>4、日光理疗</w:t>
      </w:r>
    </w:p>
    <w:p w14:paraId="7C26BA81"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五大连池64平方公里的裸露熔岩台地可充分吸收太阳能，对人体有渗透治疗作用。位于南洗泉内的5万多平方米的热能理疗床可供疗养者在矿泉浴后躺在石龙熔岩台地的太阳能理疗床上进行日光浴，具有软化血管，增强血液循环，提高细胞增生能力，促进新陈代谢的作用。</w:t>
      </w:r>
    </w:p>
    <w:p w14:paraId="74CDE171" w14:textId="77777777" w:rsidR="00C12ECB" w:rsidRPr="00F507DF" w:rsidRDefault="00D45507" w:rsidP="00FF66DC">
      <w:pPr>
        <w:pStyle w:val="4"/>
        <w:ind w:left="420" w:firstLine="239"/>
        <w:rPr>
          <w:rFonts w:ascii="仿宋_GB2312"/>
        </w:rPr>
      </w:pPr>
      <w:r w:rsidRPr="00F507DF">
        <w:rPr>
          <w:rFonts w:ascii="仿宋_GB2312" w:hint="eastAsia"/>
        </w:rPr>
        <w:t>5、火山磁场</w:t>
      </w:r>
    </w:p>
    <w:p w14:paraId="194EB28D" w14:textId="00DE20A5"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五大连池利用火山磁场来配合其他环境疗法治疗各种慢性疾病。</w:t>
      </w:r>
      <w:r w:rsidRPr="00F507DF">
        <w:rPr>
          <w:rFonts w:ascii="仿宋_GB2312" w:eastAsia="仿宋_GB2312" w:hAnsi="宋体" w:hint="eastAsia"/>
          <w:sz w:val="28"/>
          <w:szCs w:val="28"/>
        </w:rPr>
        <w:lastRenderedPageBreak/>
        <w:t>五大连池火山全磁环境分为地下、地表和空间三部分：地下部分是由距地表24米带有强磁的黄铁矿和距地表26米的麦饭石形成强大磁场，而在二者之间流动的含有多种元素的矿泉水，使这个强大的地下磁场呈游离状态存在；地表部分是由于1060平方公里熔岩地貌，尤其是裸露在地表的64平方公里的含有磁铁矿和钛磁铁矿的熔岩台地形成强大的地表磁场，地表磁场在大面积湿地和五大连池自东向西流动的地表水的作用下，也呈游离状态存在；空间磁场是由于太阳光蒸腾作用，地下含有电荷和地表含有电荷的水蒸气在不同气流作用下，产生了不规则的空间磁场运动。这种地下、地表和空间磁场运动形成了五大连池特殊的具有治疗各种慢性疾病作用的火山全磁环境。</w:t>
      </w:r>
    </w:p>
    <w:p w14:paraId="7B24807E" w14:textId="77777777" w:rsidR="00C12ECB" w:rsidRPr="00F507DF" w:rsidRDefault="00D45507" w:rsidP="00FF66DC">
      <w:pPr>
        <w:pStyle w:val="3"/>
        <w:numPr>
          <w:ilvl w:val="0"/>
          <w:numId w:val="10"/>
        </w:numPr>
        <w:ind w:left="420" w:firstLine="200"/>
        <w:rPr>
          <w:rFonts w:ascii="黑体" w:eastAsia="黑体" w:hAnsi="黑体"/>
          <w:sz w:val="28"/>
          <w:szCs w:val="28"/>
        </w:rPr>
      </w:pPr>
      <w:r w:rsidRPr="00F507DF">
        <w:rPr>
          <w:rFonts w:ascii="黑体" w:eastAsia="黑体" w:hAnsi="黑体" w:hint="eastAsia"/>
          <w:sz w:val="28"/>
          <w:szCs w:val="28"/>
        </w:rPr>
        <w:t>气候资源：攀枝花借助“康养+”理念助推产业融合，精准定位目标市场，加快发展体育产业</w:t>
      </w:r>
    </w:p>
    <w:p w14:paraId="42626798"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攀枝花海拔在1300-1500米，是世界上长寿区的标准海拔，空气中密集存储了大量被称作“空中维生素”和“长寿素”的负氧离子。攀枝花的城市森林覆盖率高达60.1%，接近全国平均水平的3倍，水系绿化率91.51%，道路林木绿化率88.47%，城市建成区绿化覆盖率40.04%，人均公园绿地面积11.49平方米。全年2700小时的日照，平均20.3℃的气温，55%—65%的年均湿度，98.4%的全年空气优良率等环境条件提供了较好的康养基础。</w:t>
      </w:r>
    </w:p>
    <w:p w14:paraId="542D1BF1"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攀枝花在全国率先提出“康养”理念，大力发展五个“康养+”新型业态：“康养+农业”、“康养+工业”、“康养+医疗”、“康养+旅游”、</w:t>
      </w:r>
      <w:r w:rsidRPr="00F507DF">
        <w:rPr>
          <w:rFonts w:ascii="仿宋_GB2312" w:eastAsia="仿宋_GB2312" w:hAnsi="宋体" w:hint="eastAsia"/>
          <w:sz w:val="28"/>
          <w:szCs w:val="28"/>
        </w:rPr>
        <w:lastRenderedPageBreak/>
        <w:t>“康养+运动”，利用资源的优势推动产业融合，加快发展体育产业，同时精准定位老年人市场，找准了康养产业的发力点。</w:t>
      </w:r>
    </w:p>
    <w:p w14:paraId="6195D1B4"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1、</w:t>
      </w:r>
      <w:r w:rsidRPr="00F507DF">
        <w:rPr>
          <w:rFonts w:ascii="仿宋_GB2312" w:hAnsi="宋体" w:hint="eastAsia"/>
        </w:rPr>
        <w:t>依托资源优势，助推产业融合</w:t>
      </w:r>
    </w:p>
    <w:p w14:paraId="4B9AC87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攀枝花市气候宜人，日照充足，无霜期达300天以上，昼夜温差大，一年四季蔬菜瓜果不断，拥有全国“纬度最北、海拔最高、品质最优、成熟最晚”的芒果基地、全省设施规模最大的早春喜温蔬菜基地和国家级休闲渔业基地，为健康饮食提供了保障。依托第一产业的优势，攀枝花市构建休闲农业园区发展框架，开发康养农业园区、康养避暑露营地等农旅融合产品。</w:t>
      </w:r>
    </w:p>
    <w:p w14:paraId="0C099AE2" w14:textId="77777777" w:rsidR="00C12ECB" w:rsidRPr="00F507DF" w:rsidRDefault="00D45507" w:rsidP="00FF66DC">
      <w:pPr>
        <w:pStyle w:val="4"/>
        <w:ind w:left="420" w:firstLine="239"/>
        <w:rPr>
          <w:rFonts w:ascii="仿宋_GB2312"/>
        </w:rPr>
      </w:pPr>
      <w:r w:rsidRPr="00F507DF">
        <w:rPr>
          <w:rFonts w:ascii="仿宋_GB2312" w:hint="eastAsia"/>
        </w:rPr>
        <w:t>2、精准定位目标市场，发展“银发经济”</w:t>
      </w:r>
    </w:p>
    <w:p w14:paraId="67878A2B"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攀枝花市关注老龄化人口健康发展需求，发力老年人市场，依托医院等资源优势，探索医院、养老服务机构协作发展模式，共建医养一体化服务平台，打造社区医养护一体化服务体系。</w:t>
      </w:r>
    </w:p>
    <w:p w14:paraId="55CC8B0E" w14:textId="77777777" w:rsidR="00C12ECB" w:rsidRPr="00F507DF" w:rsidRDefault="00D45507" w:rsidP="00FF66DC">
      <w:pPr>
        <w:pStyle w:val="4"/>
        <w:ind w:left="420" w:firstLine="239"/>
        <w:rPr>
          <w:rFonts w:ascii="仿宋_GB2312"/>
        </w:rPr>
      </w:pPr>
      <w:r w:rsidRPr="00F507DF">
        <w:rPr>
          <w:rFonts w:ascii="仿宋_GB2312" w:hint="eastAsia"/>
        </w:rPr>
        <w:t>3、攀枝花市注重第三产业之间的融合探索，加快发展体育产业</w:t>
      </w:r>
    </w:p>
    <w:p w14:paraId="22FF8675"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建成国家级皮划艇激流回旋竞训基地等冬季竞训基地，平均每年吸引20余支国家、省、市和外籍运动队来攀竞赛、训练。集中打造休闲健身场所及全民健身体育赛事，吸引国内外运动人群参赛运动，形成“康养＋”的发展新格局。</w:t>
      </w:r>
    </w:p>
    <w:p w14:paraId="3FD5FF56" w14:textId="77777777" w:rsidR="00C12ECB" w:rsidRPr="00F507DF" w:rsidRDefault="00D45507" w:rsidP="00FF66DC">
      <w:pPr>
        <w:pStyle w:val="3"/>
        <w:numPr>
          <w:ilvl w:val="0"/>
          <w:numId w:val="10"/>
        </w:numPr>
        <w:ind w:left="420" w:firstLine="200"/>
        <w:rPr>
          <w:rFonts w:ascii="黑体" w:eastAsia="黑体" w:hAnsi="黑体"/>
          <w:sz w:val="28"/>
          <w:szCs w:val="28"/>
        </w:rPr>
      </w:pPr>
      <w:r w:rsidRPr="00F507DF">
        <w:rPr>
          <w:rFonts w:ascii="黑体" w:eastAsia="黑体" w:hAnsi="黑体" w:hint="eastAsia"/>
          <w:sz w:val="28"/>
          <w:szCs w:val="28"/>
        </w:rPr>
        <w:t>湖泊资源：千岛湖推动景区与基础设施向康养度假转型，注重生态环境保护，围绕核心资源开发康养产品</w:t>
      </w:r>
    </w:p>
    <w:p w14:paraId="0FB14F00"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千岛湖位于浙江省淳安县境内，1959年为建造新安江水力发电</w:t>
      </w:r>
      <w:r w:rsidRPr="00F507DF">
        <w:rPr>
          <w:rFonts w:ascii="仿宋_GB2312" w:eastAsia="仿宋_GB2312" w:hAnsi="宋体" w:hint="eastAsia"/>
          <w:sz w:val="28"/>
          <w:szCs w:val="28"/>
        </w:rPr>
        <w:lastRenderedPageBreak/>
        <w:t>站，截流新安江，建坝蓄水而形成，也称新安江水库，因湖中有岛屿1078个，故名千岛湖。千岛湖面积573平方公里，库容量178亿立方米，能见度达7米以上，属国家I类水体，被誉为“天下第一秀水”。</w:t>
      </w:r>
    </w:p>
    <w:p w14:paraId="203074CA" w14:textId="1366027A"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千岛湖旅游具有相对悠久的发展历史，期间经历了由观光旅游、休闲旅游、度假康养旅游等不同的旅游发展阶段，当下已发展为长三角地区成熟的康养度假目的地。在康养旅游方面，千岛湖敏锐捕捉市场需求变化，推动旅游景点与基础设施向康养度假转型，突出自身山水资源优势，发展康养产品，注重生态环境保护，保障康养旅游基础，实现旅游业的可持续发展。</w:t>
      </w:r>
    </w:p>
    <w:p w14:paraId="7DFD2F4A" w14:textId="77777777" w:rsidR="00C12ECB" w:rsidRPr="00F507DF" w:rsidRDefault="00D45507" w:rsidP="00FF66DC">
      <w:pPr>
        <w:pStyle w:val="4"/>
        <w:ind w:left="420" w:firstLine="239"/>
        <w:rPr>
          <w:rFonts w:ascii="仿宋_GB2312"/>
        </w:rPr>
      </w:pPr>
      <w:r w:rsidRPr="00F507DF">
        <w:rPr>
          <w:rFonts w:ascii="仿宋_GB2312" w:hint="eastAsia"/>
        </w:rPr>
        <w:t>1、捕捉市场动态，推动旅游业向康养度假转型</w:t>
      </w:r>
    </w:p>
    <w:p w14:paraId="064E3676" w14:textId="77777777" w:rsidR="00A16777"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千岛湖紧邻长三角巨大市场，在发展过程中快速捕捉到市场需求的变化，从观光型旅游地向湖泊度假康养转变，景点与相关设施也以康养度假为导向逐步转型。2006年杭千高速开通，千岛湖融入杭州1.5小时城市圈，兴建了千岛湖开元度假村、天鹅山度假村、水上不夜城、秀水街和燕山度假酒店等大批度假设施。</w:t>
      </w:r>
    </w:p>
    <w:p w14:paraId="750C15C7" w14:textId="10361848"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2010年千岛湖被评为5A级景区，拓展了婚纱摄影、登山探险、骑行、水上运动、湖畔露营、工农业旅游、商务会议、文渊狮城、森林氧吧等新的康养旅游产品，国际健康管理中心、温泉小镇、东部小镇、半岛小镇等项目也逐步签约建设，旅游产品逐步丰富，游客开始以度假康养为目的进行消费。</w:t>
      </w:r>
    </w:p>
    <w:p w14:paraId="6BAC62B6" w14:textId="77777777" w:rsidR="00C12ECB" w:rsidRPr="00F507DF" w:rsidRDefault="00D45507" w:rsidP="00FF66DC">
      <w:pPr>
        <w:pStyle w:val="4"/>
        <w:ind w:left="420" w:firstLine="239"/>
        <w:rPr>
          <w:rFonts w:ascii="仿宋_GB2312"/>
        </w:rPr>
      </w:pPr>
      <w:r w:rsidRPr="00F507DF">
        <w:rPr>
          <w:rFonts w:ascii="仿宋_GB2312" w:hint="eastAsia"/>
        </w:rPr>
        <w:t>2、突出资源优势，发展康养产品</w:t>
      </w:r>
    </w:p>
    <w:p w14:paraId="4F53BDDA"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千岛湖山水田园资源丰富，具有良好的康养资源基础。千岛湖围</w:t>
      </w:r>
      <w:r w:rsidRPr="00F507DF">
        <w:rPr>
          <w:rFonts w:ascii="仿宋_GB2312" w:eastAsia="仿宋_GB2312" w:hAnsi="宋体" w:hint="eastAsia"/>
          <w:sz w:val="28"/>
          <w:szCs w:val="28"/>
        </w:rPr>
        <w:lastRenderedPageBreak/>
        <w:t>绕其森林资源建设“三园两岛一院”：“三园”指东山尖森林运动公园，在环湖第一高峰建设登山健身道、溯溪道、森林茶舍、红豆杉基地、民宿酒店等；千岛湖龙涧温泉康养园，建设温泉养生谷、生活体验园、竹林步道、青钱柳基地、森林香谷等；神龙湾湖光休闲园，建设森林木屋、滨湖步道、康复训练等项目。“两岛”是根据森林康养环境需求，开发姥山岛、界首岛森林康养营地项目。“一院”是指南泥湾森林康养学院培养森林康养人才及标准课程营地。同时，千岛湖将康养产业融入周边乡村，通过绿道贯穿各个乡镇，发展环湖骑行、农业体验、登山徒步、水果采摘等康养业态，进一步丰富康养旅游产品，满足目标客群的需求。</w:t>
      </w:r>
    </w:p>
    <w:p w14:paraId="5AA73706"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3、注重生态环境保护，保障康养旅游基础</w:t>
      </w:r>
    </w:p>
    <w:p w14:paraId="5BF6D16C"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千岛湖康养旅游的发展以其突出的山水资源为基础，长久以来千岛湖始终坚持走可持续发展道路，注重生态环境的保护，保障康养旅游的持久发展。淳安县先后出台了《关于进一步加强千岛湖保护的决议》、《关于落实科学发展观、加强千岛湖环境保护的实施意见》、《关于加快推进淳安生态县建设的若干意见》、《关于进一步加强千岛湖生态环境保护工作的通知》、《关于加快推进国家级生态县创建工作的实施意见》等一系列规范性文件，推动千岛湖水环境的保护工作。在实践层面，为了保护水体，淳安县坚持水库统一管理之路，坚持走“保水生态渔业”之路，以保水、护水为前提发展生态渔业。坚持每年4月15日～7月15日在全县境内实行季节性休渔，保护千岛湖渔业资源。同时淳安县在水源保护区建生态公益林、实施封山育林、退耕还</w:t>
      </w:r>
      <w:r w:rsidRPr="00F507DF">
        <w:rPr>
          <w:rFonts w:ascii="仿宋_GB2312" w:eastAsia="仿宋_GB2312" w:hAnsi="宋体" w:hint="eastAsia"/>
          <w:sz w:val="28"/>
          <w:szCs w:val="28"/>
        </w:rPr>
        <w:lastRenderedPageBreak/>
        <w:t>林、保护改善源头水质，全县共绿化造林120余万亩，实施退耕还林5.2万亩，划定生态公益林216.8万亩。</w:t>
      </w:r>
    </w:p>
    <w:p w14:paraId="26CCF9D2" w14:textId="77777777" w:rsidR="00C12ECB" w:rsidRPr="00F507DF" w:rsidRDefault="00D45507" w:rsidP="00FF66DC">
      <w:pPr>
        <w:pStyle w:val="3"/>
        <w:numPr>
          <w:ilvl w:val="0"/>
          <w:numId w:val="10"/>
        </w:numPr>
        <w:ind w:left="420" w:firstLine="200"/>
        <w:rPr>
          <w:rFonts w:ascii="黑体" w:eastAsia="黑体" w:hAnsi="黑体"/>
          <w:sz w:val="28"/>
          <w:szCs w:val="28"/>
        </w:rPr>
      </w:pPr>
      <w:r w:rsidRPr="00F507DF">
        <w:rPr>
          <w:rFonts w:ascii="黑体" w:eastAsia="黑体" w:hAnsi="黑体" w:hint="eastAsia"/>
          <w:sz w:val="28"/>
          <w:szCs w:val="28"/>
        </w:rPr>
        <w:t xml:space="preserve">乡村资源：日本阿苏农场立足于“共享农场”理念，利用本地资源发展温泉养生，细分客群需求，精准定位市场，开发特色产品 </w:t>
      </w:r>
    </w:p>
    <w:p w14:paraId="2098C21C" w14:textId="17DE3DAC"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日本的阿苏农场位于火山脚下，熊本县九重国立公园内，占地1平方公里。每年吸引游客500万多人次，连续十年在日本旅游景区排名第4位。阿苏农场定位凭借其火山的属性，策划以游客需求为特色的住宿、娱乐、休闲等服务，重视环保规划以及生态产品的生产，依靠自然优势发展天然的温泉，细分不同人群的需求设计不同风格的疗愈系统。通过富有特色的馒头屋设计，抓住儿童女士游客养生休闲的消费心理，依靠本地食材开发特色产品。</w:t>
      </w:r>
    </w:p>
    <w:p w14:paraId="1F5B7754" w14:textId="77777777" w:rsidR="00C12ECB" w:rsidRPr="00F507DF" w:rsidRDefault="00D45507" w:rsidP="00FF66DC">
      <w:pPr>
        <w:pStyle w:val="4"/>
        <w:ind w:left="420" w:firstLine="239"/>
        <w:rPr>
          <w:rFonts w:ascii="仿宋_GB2312"/>
        </w:rPr>
      </w:pPr>
      <w:r w:rsidRPr="00F507DF">
        <w:rPr>
          <w:rFonts w:ascii="仿宋_GB2312" w:hint="eastAsia"/>
        </w:rPr>
        <w:t>1、利用本地资源发展温泉养生</w:t>
      </w:r>
    </w:p>
    <w:p w14:paraId="12FD8C1D" w14:textId="092B72B9"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苏农场紧靠阿苏火山，拥有天然的温泉，设计者利用这个资源，设计不同风格的疗愈系统，包括享誉海外的日式“风吕”和种类齐全的温泉理疗，在与自然亲近的同时身心得到最大纾解，理疗养生也是阿苏农场的主题和特色。“阿苏健康火山温泉”中有2000坪的日本庭园式露天“风吕”，附有药汤“风吕”及蒸气“风吕”等各种日式“风吕”，能够使身心得到最舒适的解放。温泉</w:t>
      </w:r>
      <w:r w:rsidRPr="00F507DF">
        <w:rPr>
          <w:rFonts w:ascii="仿宋_GB2312" w:eastAsia="仿宋_GB2312" w:hAnsi="宋体"/>
          <w:sz w:val="28"/>
          <w:szCs w:val="28"/>
        </w:rPr>
        <w:t>S</w:t>
      </w:r>
      <w:r w:rsidRPr="00F507DF">
        <w:rPr>
          <w:rFonts w:ascii="仿宋_GB2312" w:eastAsia="仿宋_GB2312" w:hAnsi="宋体" w:hint="eastAsia"/>
          <w:sz w:val="28"/>
          <w:szCs w:val="28"/>
        </w:rPr>
        <w:t>pa设施多达13种，如温热浴的“阿苏地球能量Spa”、女性专用的“泥浆Spa”、身体零负担的“陶板浴”等。</w:t>
      </w:r>
    </w:p>
    <w:p w14:paraId="23F4E9A9" w14:textId="77777777" w:rsidR="00C12ECB" w:rsidRPr="00F507DF" w:rsidRDefault="00D45507" w:rsidP="00FF66DC">
      <w:pPr>
        <w:pStyle w:val="4"/>
        <w:ind w:left="420" w:firstLine="239"/>
        <w:rPr>
          <w:rFonts w:ascii="仿宋_GB2312"/>
        </w:rPr>
      </w:pPr>
      <w:r w:rsidRPr="00F507DF">
        <w:rPr>
          <w:rFonts w:ascii="仿宋_GB2312" w:hint="eastAsia"/>
        </w:rPr>
        <w:lastRenderedPageBreak/>
        <w:t>2、细分不同人群需求</w:t>
      </w:r>
    </w:p>
    <w:p w14:paraId="05B4C9EC" w14:textId="62DCE8AA" w:rsidR="00C12ECB" w:rsidRPr="00F507DF" w:rsidRDefault="00D45507" w:rsidP="00FF66DC">
      <w:pPr>
        <w:spacing w:line="560" w:lineRule="atLeast"/>
        <w:ind w:firstLineChars="200" w:firstLine="560"/>
        <w:rPr>
          <w:rFonts w:ascii="仿宋_GB2312" w:eastAsia="仿宋_GB2312" w:hAnsi="宋体"/>
          <w:b/>
          <w:bCs/>
          <w:sz w:val="28"/>
          <w:szCs w:val="28"/>
        </w:rPr>
      </w:pPr>
      <w:r w:rsidRPr="00F507DF">
        <w:rPr>
          <w:rFonts w:ascii="仿宋_GB2312" w:eastAsia="仿宋_GB2312" w:hAnsi="宋体" w:hint="eastAsia"/>
          <w:sz w:val="28"/>
          <w:szCs w:val="28"/>
        </w:rPr>
        <w:t>阿苏农场设计了日本最大的露天“风吕”——氧气馒头屋。“疗愈系馒头屋”中，有药草效果岩盘浴的岩草浴馒头屋、边欣赏星座边吸收高浓度纯氧的氧气馒头屋。“馒头屋”根据不同的消费者需求分为“乡村区”、“皇家区”、“私人区”。每个“馒头”都是一个独栋小别墅，屋内的设计是没有天花板的，墙壁与屋顶相融，给居住者新奇的感受之余，也赋予他们极大的安全感。其中乡村区活用森林中的自然地形，是直径7公尺的联排馒头建筑，不同风格的客房共有300栋以上。皇家区馒头屋增添了私家围栏、精致小花园和露天温泉浴池，为游客提供更舒适的住宿空间，让游客在自然中滋养身心。私人区馒头屋则强调个性走向，“馒头”的内部构造也有许多种类，可供不同人数、不同要求的顾客进行选择，有不同类型的日式、欧式房间，提供新奇的住宿体验。</w:t>
      </w:r>
    </w:p>
    <w:p w14:paraId="03B307D4" w14:textId="77777777" w:rsidR="00C12ECB" w:rsidRPr="00F507DF" w:rsidRDefault="00D45507" w:rsidP="00FF66DC">
      <w:pPr>
        <w:pStyle w:val="4"/>
        <w:ind w:left="420" w:firstLine="239"/>
        <w:rPr>
          <w:rFonts w:ascii="仿宋_GB2312"/>
        </w:rPr>
      </w:pPr>
      <w:r w:rsidRPr="00F507DF">
        <w:rPr>
          <w:rFonts w:ascii="仿宋_GB2312" w:hint="eastAsia"/>
        </w:rPr>
        <w:t>3、精准定位女性儿童市场</w:t>
      </w:r>
    </w:p>
    <w:p w14:paraId="06400020"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苏休闲农场还设计了多种多样的活力运动设施与场馆，体验乐趣的同时，恢复生命的活力。元气森林是大人、孩子能共同体验的健康休闲空间，分布着很多别出心裁的装置，可以让人同时锻炼身体和头脑，变得更健康。阿苏元气体育馆让旅客就算雨天也能尽情运动。在“学习森林”，透过与大自然的接触，让小朋友体会大自然的神奇以及保护大自然的重要性。生产安心蔬菜的“阿苏健康农园”、使用最新栽培技术且杜绝农药的“野菜栽培工场”、提高免疫力的“香菇栽培工场”等，不仅生产了多种多样的高品质食材，还是阿苏农场里</w:t>
      </w:r>
      <w:r w:rsidRPr="00F507DF">
        <w:rPr>
          <w:rFonts w:ascii="仿宋_GB2312" w:eastAsia="仿宋_GB2312" w:hAnsi="宋体" w:hint="eastAsia"/>
          <w:sz w:val="28"/>
          <w:szCs w:val="28"/>
        </w:rPr>
        <w:lastRenderedPageBreak/>
        <w:t>寓教于乐的农业设施和体验场所，各种各样农耕活动和亲子活动是农庄必不可少的因素。</w:t>
      </w:r>
    </w:p>
    <w:p w14:paraId="60517043" w14:textId="77777777" w:rsidR="00C12ECB" w:rsidRPr="00F507DF" w:rsidRDefault="00D45507" w:rsidP="00FF66DC">
      <w:pPr>
        <w:pStyle w:val="4"/>
        <w:ind w:left="420" w:firstLine="239"/>
        <w:rPr>
          <w:rFonts w:ascii="仿宋_GB2312"/>
        </w:rPr>
      </w:pPr>
      <w:r w:rsidRPr="00F507DF">
        <w:rPr>
          <w:rFonts w:ascii="仿宋_GB2312" w:hint="eastAsia"/>
        </w:rPr>
        <w:t>4、依靠本地食材开发特色产品</w:t>
      </w:r>
    </w:p>
    <w:p w14:paraId="2F4CB3BA" w14:textId="77777777" w:rsidR="00C12ECB" w:rsidRPr="00F507DF" w:rsidRDefault="00D45507" w:rsidP="00FF66DC">
      <w:pPr>
        <w:spacing w:line="560" w:lineRule="atLeast"/>
        <w:ind w:firstLineChars="200" w:firstLine="560"/>
        <w:rPr>
          <w:rFonts w:ascii="仿宋_GB2312" w:eastAsia="仿宋_GB2312" w:hAnsi="宋体"/>
          <w:b/>
          <w:bCs/>
          <w:sz w:val="28"/>
          <w:szCs w:val="28"/>
        </w:rPr>
      </w:pPr>
      <w:r w:rsidRPr="00F507DF">
        <w:rPr>
          <w:rFonts w:ascii="仿宋_GB2312" w:eastAsia="仿宋_GB2312" w:hAnsi="宋体" w:hint="eastAsia"/>
          <w:sz w:val="28"/>
          <w:szCs w:val="28"/>
        </w:rPr>
        <w:t>每个农场必不可少的就是吃，无论国内外大部分农场的餐饮都是自产食材，阿苏农场也不例外，阿苏温泉农场有十间餐厅，利用农场自产的品质食材，通过料理师的创意设计，做出一份份精致的料理，从拉面到铁板烧，种类丰富，此外，这里还有适合团体旅客的大型健康自助式餐厅，充分满足不同游客的需求。阿苏休闲农场中开办的特色“牛奶农场”是人气点心店，用阿苏牧场直送的新鲜牛奶制成布丁及冰淇淋、起司、蛋挞、阿苏奶油夹心饼干等各种甜点，干酪店里还有200余种家庭手工制作及正宗欧洲进口的乳酪制品。</w:t>
      </w:r>
    </w:p>
    <w:p w14:paraId="2C97A3F0" w14:textId="77777777" w:rsidR="00C12ECB" w:rsidRPr="00F507DF" w:rsidRDefault="00D45507" w:rsidP="00FF66DC">
      <w:pPr>
        <w:pStyle w:val="3"/>
        <w:numPr>
          <w:ilvl w:val="0"/>
          <w:numId w:val="10"/>
        </w:numPr>
        <w:ind w:left="420" w:firstLine="200"/>
        <w:rPr>
          <w:rFonts w:ascii="黑体" w:eastAsia="黑体" w:hAnsi="黑体"/>
          <w:sz w:val="28"/>
          <w:szCs w:val="28"/>
        </w:rPr>
      </w:pPr>
      <w:r w:rsidRPr="00F507DF">
        <w:rPr>
          <w:rFonts w:ascii="黑体" w:eastAsia="黑体" w:hAnsi="黑体" w:hint="eastAsia"/>
          <w:sz w:val="28"/>
          <w:szCs w:val="28"/>
        </w:rPr>
        <w:t>案例总结</w:t>
      </w:r>
    </w:p>
    <w:p w14:paraId="5078FEF6" w14:textId="77777777" w:rsidR="00C12ECB" w:rsidRPr="00F507DF" w:rsidRDefault="00D45507" w:rsidP="00FF66DC">
      <w:pPr>
        <w:widowControl/>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以自然资源驱动的康养发展模式，其核心资源是森林、湖泊、火山、温泉等各类自然资源，从以上案例来看，首先需要针对自身特色的自然资源进行保护，进一步提升资源品质，至少在区域内形成一定的竞争优势。同时需要采取各种方式对自然资源与康养产业结合的内涵进行挖掘，如五大连池，对火山泥、火山磁场、温泉、矿泉、森林等资源都一一进行了研究与阐释，并很好地将其与健康养生结合起来，使康养产品的打造有故事可讲，有依据可循，激发游客的消费心理。</w:t>
      </w:r>
    </w:p>
    <w:p w14:paraId="4CD9F5DD" w14:textId="77777777" w:rsidR="00C12ECB" w:rsidRPr="00F507DF" w:rsidRDefault="00D45507" w:rsidP="00FF66DC">
      <w:pPr>
        <w:widowControl/>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由于自然资源康养地一般远离城市，完善的基础设施和服务设施也是提升游客体验舒适度的重要因素。而旅游产品的策划需要结合本</w:t>
      </w:r>
      <w:r w:rsidRPr="00F507DF">
        <w:rPr>
          <w:rFonts w:ascii="仿宋_GB2312" w:eastAsia="仿宋_GB2312" w:hAnsi="宋体" w:hint="eastAsia"/>
          <w:sz w:val="28"/>
          <w:szCs w:val="28"/>
        </w:rPr>
        <w:lastRenderedPageBreak/>
        <w:t>地特色，如日本阿苏农产的本地乳制品、特色馒头屋等，产品越独特越本地化对游客的吸引力也越高。同时，阿苏农场在进行业态设计时也考虑不同人群的不同需求，抓住重点人群，区分不同的消费倾向。而千岛湖的案例则初步阐明了观光旅游目的地向度假康养目的地转型的路径，除了基础设施与配套服务设施的完善外，还需要对旅游景点和产品进行更新提质，循序渐进地扩大影响力。</w:t>
      </w:r>
    </w:p>
    <w:p w14:paraId="60B9F899" w14:textId="77777777" w:rsidR="00C12ECB" w:rsidRPr="00F507DF" w:rsidRDefault="00D45507" w:rsidP="00FF66DC">
      <w:pPr>
        <w:pStyle w:val="2"/>
        <w:numPr>
          <w:ilvl w:val="0"/>
          <w:numId w:val="8"/>
        </w:numPr>
      </w:pPr>
      <w:bookmarkStart w:id="14" w:name="_Toc54008905"/>
      <w:r w:rsidRPr="00F507DF">
        <w:rPr>
          <w:rFonts w:hint="eastAsia"/>
        </w:rPr>
        <w:t>文化资源案例</w:t>
      </w:r>
      <w:bookmarkEnd w:id="14"/>
    </w:p>
    <w:p w14:paraId="5982F333" w14:textId="77777777" w:rsidR="00C12ECB" w:rsidRPr="00F507DF" w:rsidRDefault="00D45507" w:rsidP="00FF66DC">
      <w:pPr>
        <w:pStyle w:val="3"/>
        <w:numPr>
          <w:ilvl w:val="0"/>
          <w:numId w:val="11"/>
        </w:numPr>
        <w:ind w:left="420" w:firstLine="200"/>
        <w:rPr>
          <w:rFonts w:ascii="黑体" w:eastAsia="黑体" w:hAnsi="黑体"/>
          <w:sz w:val="28"/>
          <w:szCs w:val="28"/>
        </w:rPr>
      </w:pPr>
      <w:r w:rsidRPr="00F507DF">
        <w:rPr>
          <w:rFonts w:ascii="黑体" w:eastAsia="黑体" w:hAnsi="黑体" w:hint="eastAsia"/>
          <w:sz w:val="28"/>
          <w:szCs w:val="28"/>
        </w:rPr>
        <w:t>中医药文化：安徽亳州聚焦中医药文化，集聚产业优势、提升创新能力、完善服务体系、拓宽产业链条，建设体系健全的世界中医药之都</w:t>
      </w:r>
    </w:p>
    <w:p w14:paraId="0FB8E1C4"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亳州主打“天下道源、华佗故里”两大名片，构建中药农业、中药工业、中医药贸易、中医药健康服务、中医药文化旅游、中医药延伸产业六位一体的六大产业发展路径，以及科技创新、人才建设、行业标准、质量保障、信息化服务、交通物流、投融资七位一体的七大支撑服务体系。</w:t>
      </w:r>
    </w:p>
    <w:p w14:paraId="42B9E7CE" w14:textId="77777777" w:rsidR="00C12ECB" w:rsidRPr="00F507DF" w:rsidRDefault="00D45507" w:rsidP="00FF66DC">
      <w:pPr>
        <w:pStyle w:val="4"/>
        <w:ind w:left="420" w:firstLine="239"/>
        <w:rPr>
          <w:rFonts w:ascii="仿宋_GB2312"/>
        </w:rPr>
      </w:pPr>
      <w:r w:rsidRPr="00F507DF">
        <w:rPr>
          <w:rFonts w:ascii="仿宋_GB2312" w:hint="eastAsia"/>
        </w:rPr>
        <w:t>1、产业基础：集聚产业优势，放大规模效应</w:t>
      </w:r>
    </w:p>
    <w:p w14:paraId="70FEAE3D" w14:textId="4FD6AA35"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中医药种植：建设规范化种植基地，带动粮农向药农转变。推进规范化种植基地、种子种苗组培繁育基地、“十大皖药”道地药材种植基地和中药材初加工基地等“四大基地”建设，引导农民流转土地、集约化种植中药材。</w:t>
      </w:r>
    </w:p>
    <w:p w14:paraId="756F4348"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中医药生产：推动中药加工集聚发展。全市共有药品生产企业</w:t>
      </w:r>
      <w:r w:rsidRPr="00F507DF">
        <w:rPr>
          <w:rFonts w:ascii="仿宋_GB2312" w:eastAsia="仿宋_GB2312" w:hAnsi="宋体" w:hint="eastAsia"/>
          <w:sz w:val="28"/>
          <w:szCs w:val="28"/>
        </w:rPr>
        <w:lastRenderedPageBreak/>
        <w:t>192家，产值亿元以上企业91家，全国医药百强企业有57家落户基地。汇集了宝龙药业、金湖药业、敬康药业、太阳升（亳州）、九方制药、华佗国药公司、济人药业公司、同仁堂（亳州）、协和成药业、沪谯药业等一批医药企业。</w:t>
      </w:r>
    </w:p>
    <w:p w14:paraId="48751B5D" w14:textId="794C9508"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构建现代物流体系：以亳州中药材专业市场为主，亳州中药材商品交易中心、药通网、药博商城等线上线下深度融合、错位发展的现代流通体系。2019年，全市线上线下中药材交易额约782.9亿元，中药材及中式成药出口6.3亿人民币，占安徽省的77.8%。</w:t>
      </w:r>
    </w:p>
    <w:p w14:paraId="4FA7A284" w14:textId="77777777" w:rsidR="00C12ECB" w:rsidRPr="00F507DF" w:rsidRDefault="00D45507" w:rsidP="00FF66DC">
      <w:pPr>
        <w:pStyle w:val="4"/>
        <w:ind w:left="420" w:firstLine="239"/>
        <w:rPr>
          <w:rFonts w:ascii="仿宋_GB2312"/>
        </w:rPr>
      </w:pPr>
      <w:r w:rsidRPr="00F507DF">
        <w:rPr>
          <w:rFonts w:ascii="仿宋_GB2312" w:hint="eastAsia"/>
        </w:rPr>
        <w:t>2、产品创新：加强重点攻关、提升创新能力</w:t>
      </w:r>
    </w:p>
    <w:p w14:paraId="3BEB92A1" w14:textId="77777777" w:rsidR="00A16777"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按照“人无我有、人有我优、人优我特”的原则，密集出台中药产业系列扶持优惠政策，持续做大中成药，做精中药饮片，做优植物提取，做专延伸产品，释放中药产业高质量发展核心动能。亳州市坚持把中药饮片作为特色优势，整合组建大型中药饮片生产集团</w:t>
      </w:r>
      <w:r w:rsidR="00A16777" w:rsidRPr="00F507DF">
        <w:rPr>
          <w:rFonts w:ascii="仿宋_GB2312" w:eastAsia="仿宋_GB2312" w:hAnsi="宋体" w:hint="eastAsia"/>
          <w:sz w:val="28"/>
          <w:szCs w:val="28"/>
        </w:rPr>
        <w:t>，</w:t>
      </w:r>
      <w:r w:rsidRPr="00F507DF">
        <w:rPr>
          <w:rFonts w:ascii="仿宋_GB2312" w:eastAsia="仿宋_GB2312" w:hAnsi="宋体" w:hint="eastAsia"/>
          <w:sz w:val="28"/>
          <w:szCs w:val="28"/>
        </w:rPr>
        <w:t>积极培育大品种，填补产业发展空白。</w:t>
      </w:r>
    </w:p>
    <w:p w14:paraId="6D1272B9" w14:textId="00684A00"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亳州市支持本土企业加大科研投入，积极研发大品种和拳头产品。积极开展仿制药一致性评价，吸引生物制药品种落地。目前，全市已有60个品种经第三方评估后符合仿制药一致性评价要求，并签订框架合作协议。</w:t>
      </w:r>
    </w:p>
    <w:p w14:paraId="77C81C10" w14:textId="77777777" w:rsidR="00C12ECB" w:rsidRPr="00F507DF" w:rsidRDefault="00D45507" w:rsidP="00FF66DC">
      <w:pPr>
        <w:pStyle w:val="4"/>
        <w:ind w:left="420" w:firstLine="239"/>
        <w:rPr>
          <w:rFonts w:ascii="仿宋_GB2312"/>
        </w:rPr>
      </w:pPr>
      <w:r w:rsidRPr="00F507DF">
        <w:rPr>
          <w:rFonts w:ascii="仿宋_GB2312" w:hint="eastAsia"/>
        </w:rPr>
        <w:t>3、优势转化：完善服务体系，构筑竞争优势</w:t>
      </w:r>
    </w:p>
    <w:p w14:paraId="52E99190"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壮大公共服务平台，增强产业驱动力。亳州市以科技部“火炬计划”中药特色产业基地和国家中药现代化科技产业（安徽）建设基地为重点，持续加强公共服务平台建设，设立以中药产业为主的经济开</w:t>
      </w:r>
      <w:r w:rsidRPr="00F507DF">
        <w:rPr>
          <w:rFonts w:ascii="仿宋_GB2312" w:eastAsia="仿宋_GB2312" w:hAnsi="宋体" w:hint="eastAsia"/>
          <w:sz w:val="28"/>
          <w:szCs w:val="28"/>
        </w:rPr>
        <w:lastRenderedPageBreak/>
        <w:t>发区、全国首个中药材技术性贸易措施研究评议基地、国家级中药材检测中心、中医药公共研发平台、中药科技创新平台等平台推动科研成果转化。</w:t>
      </w:r>
    </w:p>
    <w:p w14:paraId="658235F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稳步推进产学研合作，促进成果转化。该市出台《支持科技创新若干政策》《加强支撑体系建设促进创新驱动发展的实施意见》等支持企业科技创新系列政策，支持药企合作共建研发平台。积极培养本地人才，柔性引进高端人才，近三年来引进涉药类高层次人才180余人、开展项目合作近90项。亳州药博会每年均有千余家国内外企业参展、10万药商参会观展、签约投资金额逾400亿元。</w:t>
      </w:r>
    </w:p>
    <w:p w14:paraId="4F5D8A8A" w14:textId="77777777" w:rsidR="00C12ECB" w:rsidRPr="00F507DF" w:rsidRDefault="00D45507" w:rsidP="00FF66DC">
      <w:pPr>
        <w:pStyle w:val="4"/>
        <w:ind w:left="420" w:firstLine="239"/>
        <w:rPr>
          <w:rFonts w:ascii="仿宋_GB2312"/>
        </w:rPr>
      </w:pPr>
      <w:r w:rsidRPr="00F507DF">
        <w:rPr>
          <w:rFonts w:ascii="仿宋_GB2312" w:hint="eastAsia"/>
        </w:rPr>
        <w:t>4、产业拓展：拓宽产业链条，完善结构体系</w:t>
      </w:r>
    </w:p>
    <w:p w14:paraId="5298BE5A" w14:textId="2018499A"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做好跨界文章，推动产业融合发展。亳州市推进中医药与白酒深度融合发展，推出37°亳菊、壮酒、华佗神功、动力源等保健药酒。推动中医药与文化旅游及养生深度融合发展，持续推进亳药花海休闲观光大世界四期工程、中华中医药博览园、华佗百草园等重点文旅项目建设，建成林拥城和郑店子温泉旅游度假区两大生态康养旅游项目，推出“中华药都</w:t>
      </w:r>
      <w:r w:rsidR="00A16777" w:rsidRPr="00F507DF">
        <w:rPr>
          <w:rFonts w:ascii="仿宋_GB2312" w:eastAsia="仿宋_GB2312" w:hAnsi="宋体"/>
          <w:sz w:val="28"/>
          <w:szCs w:val="28"/>
        </w:rPr>
        <w:t>-</w:t>
      </w:r>
      <w:r w:rsidRPr="00F507DF">
        <w:rPr>
          <w:rFonts w:ascii="仿宋_GB2312" w:eastAsia="仿宋_GB2312" w:hAnsi="宋体" w:hint="eastAsia"/>
          <w:sz w:val="28"/>
          <w:szCs w:val="28"/>
        </w:rPr>
        <w:t>养生体验之旅”、“探秘三国</w:t>
      </w:r>
      <w:r w:rsidR="00A16777" w:rsidRPr="00F507DF">
        <w:rPr>
          <w:rFonts w:ascii="仿宋_GB2312" w:eastAsia="仿宋_GB2312" w:hAnsi="宋体"/>
          <w:sz w:val="28"/>
          <w:szCs w:val="28"/>
        </w:rPr>
        <w:t>-</w:t>
      </w:r>
      <w:r w:rsidRPr="00F507DF">
        <w:rPr>
          <w:rFonts w:ascii="仿宋_GB2312" w:eastAsia="仿宋_GB2312" w:hAnsi="宋体" w:hint="eastAsia"/>
          <w:sz w:val="28"/>
          <w:szCs w:val="28"/>
        </w:rPr>
        <w:t>中医药文化之旅”、“道源问道</w:t>
      </w:r>
      <w:r w:rsidR="00A16777" w:rsidRPr="00F507DF">
        <w:rPr>
          <w:rFonts w:ascii="仿宋_GB2312" w:eastAsia="仿宋_GB2312" w:hAnsi="宋体"/>
          <w:sz w:val="28"/>
          <w:szCs w:val="28"/>
        </w:rPr>
        <w:t>-</w:t>
      </w:r>
      <w:r w:rsidRPr="00F507DF">
        <w:rPr>
          <w:rFonts w:ascii="仿宋_GB2312" w:eastAsia="仿宋_GB2312" w:hAnsi="宋体" w:hint="eastAsia"/>
          <w:sz w:val="28"/>
          <w:szCs w:val="28"/>
        </w:rPr>
        <w:t>中华传统文化研学之旅”、“田园如诗</w:t>
      </w:r>
      <w:r w:rsidR="00A16777" w:rsidRPr="00F507DF">
        <w:rPr>
          <w:rFonts w:ascii="仿宋_GB2312" w:eastAsia="仿宋_GB2312" w:hAnsi="宋体"/>
          <w:sz w:val="28"/>
          <w:szCs w:val="28"/>
        </w:rPr>
        <w:t>-</w:t>
      </w:r>
      <w:r w:rsidRPr="00F507DF">
        <w:rPr>
          <w:rFonts w:ascii="仿宋_GB2312" w:eastAsia="仿宋_GB2312" w:hAnsi="宋体" w:hint="eastAsia"/>
          <w:sz w:val="28"/>
          <w:szCs w:val="28"/>
        </w:rPr>
        <w:t>中药花海休闲之旅”等经典中医药健康旅游线路，开发了养生、滋补、美容、调理四大类亳州药膳，形成了一批以“食养”“药养”“水养”“体养”“文养”为特色的中医药健康旅游品牌，亳州市获批首批国家中药健康旅游示范区。</w:t>
      </w:r>
    </w:p>
    <w:p w14:paraId="48CB63F4"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坚持医药并重，做强健康服务业。推进中医药“四名”工程，着力提升基层中医药服务能力，全市拥有中医医院10家，其中“三甲”</w:t>
      </w:r>
      <w:r w:rsidRPr="00F507DF">
        <w:rPr>
          <w:rFonts w:ascii="仿宋_GB2312" w:eastAsia="仿宋_GB2312" w:hAnsi="宋体" w:hint="eastAsia"/>
          <w:sz w:val="28"/>
          <w:szCs w:val="28"/>
        </w:rPr>
        <w:lastRenderedPageBreak/>
        <w:t>中医医院1家、三级中医医院2家。全市共有医养结合机构17家，其中8家设有中医诊室，所有公立中医医院均开展了慢性病管理、残疾人康复、工伤康复等服务。</w:t>
      </w:r>
    </w:p>
    <w:p w14:paraId="3DC658A3"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充分对接资本市场，积极发展金融新业态。亳州市帮助企业对接资本市场，现有药业类上市辅导备案企业1家，新三板挂牌8家，安徽省股权托管交易中心“现代中医药及健康产业亳州专板”挂牌235家。</w:t>
      </w:r>
    </w:p>
    <w:p w14:paraId="7D434C9D" w14:textId="77777777" w:rsidR="00C12ECB" w:rsidRPr="00F507DF" w:rsidRDefault="00D45507" w:rsidP="00FF66DC">
      <w:pPr>
        <w:pStyle w:val="3"/>
        <w:numPr>
          <w:ilvl w:val="0"/>
          <w:numId w:val="11"/>
        </w:numPr>
        <w:ind w:left="420" w:firstLine="200"/>
        <w:rPr>
          <w:rFonts w:ascii="黑体" w:eastAsia="黑体" w:hAnsi="黑体"/>
          <w:sz w:val="28"/>
          <w:szCs w:val="28"/>
        </w:rPr>
      </w:pPr>
      <w:r w:rsidRPr="00F507DF">
        <w:rPr>
          <w:rFonts w:ascii="黑体" w:eastAsia="黑体" w:hAnsi="黑体" w:hint="eastAsia"/>
          <w:sz w:val="28"/>
          <w:szCs w:val="28"/>
        </w:rPr>
        <w:t>宗教文化：武当山依托太极文化打造核心旅游区，深度开发文化康养产品，不断完善文旅康养基础设施建设</w:t>
      </w:r>
    </w:p>
    <w:p w14:paraId="19DF165A"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武当山，中国道教圣地，位于湖北省西北部十堰市与丹江口市，国家5A级旅游景区，占地面积312平方公里。武当山是世界文化遗产、中国著名的道教圣地、国家重点风景名胜区，拥有绚丽多姿的自然风景、规模宏大的古建筑群、源远流长的道教文化、博大精深的武当武术。其境内动植物资源达3681种，仅药用植物便有2518种之多，素有“天然药库”之称。</w:t>
      </w:r>
    </w:p>
    <w:p w14:paraId="1E694327"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武当山坚持以全域旅游为主线，以项目建设为支撑，围绕“国际旅游胜地、东方康养名都、中华文化重镇”这个总体定位，不断完善文旅康养基础设施建设，依托太极文化打造核心旅游区，深度开发文化康养产品，努力把武当山建设成为文化旅游康养高地，打造成东方国际休闲养生旅游目的地。</w:t>
      </w:r>
    </w:p>
    <w:p w14:paraId="4741FB72" w14:textId="77777777" w:rsidR="00C12ECB" w:rsidRPr="00F507DF" w:rsidRDefault="00D45507" w:rsidP="00FF66DC">
      <w:pPr>
        <w:pStyle w:val="4"/>
        <w:ind w:left="420" w:firstLine="239"/>
        <w:rPr>
          <w:rFonts w:ascii="仿宋_GB2312"/>
        </w:rPr>
      </w:pPr>
      <w:r w:rsidRPr="00F507DF">
        <w:rPr>
          <w:rFonts w:ascii="仿宋_GB2312" w:hint="eastAsia"/>
        </w:rPr>
        <w:lastRenderedPageBreak/>
        <w:t>1、依托太极文化打造核心旅游区</w:t>
      </w:r>
    </w:p>
    <w:p w14:paraId="49581ACE"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武当山围绕太极文化打造武当山太极湖生态文化旅游区，该旅游区由太极湖新区和太极湖旅游区组成。太极湖新区重点发展旅游发展中心、武当国际武术交流中心、太极湖医院、太极湖学校和高档居住区等项目，提供康养发展的基础设施服务。太极湖旅游区包括旅游度假板块、水上游览板块和户外休闲板块，重点建设太极小镇、武当山功夫城、老子学院、山地运功公园等项目，促进以太极文化功夫文化为核心的康养业态的发展。</w:t>
      </w:r>
    </w:p>
    <w:p w14:paraId="54093B3C" w14:textId="77777777" w:rsidR="00C12ECB" w:rsidRPr="00F507DF" w:rsidRDefault="00D45507" w:rsidP="00FF66DC">
      <w:pPr>
        <w:pStyle w:val="4"/>
        <w:ind w:left="420" w:firstLine="239"/>
        <w:rPr>
          <w:rFonts w:ascii="仿宋_GB2312"/>
        </w:rPr>
      </w:pPr>
      <w:r w:rsidRPr="00F507DF">
        <w:rPr>
          <w:rFonts w:ascii="仿宋_GB2312" w:hint="eastAsia"/>
        </w:rPr>
        <w:t>2、深度开发文化康养产品</w:t>
      </w:r>
    </w:p>
    <w:p w14:paraId="013243F1"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武当山文化以道家文化为核心，涉及道家太极武术文化、道教医药文化、道教建筑文化和道教音乐文化等。围绕道家文化，武当山开发了武术表演、武当养生功、修炼打坐、道家斋饭、道医问诊、周易预测、道家素酒等一系列康养相关产品。同时设计了武当武术鉴赏体验游、武当道教养生游、武当自然风光游、武当建筑古迹游等多种旅游线路，将武当道家文化深度融合到康养旅游产品中，打造武当康养品牌。</w:t>
      </w:r>
    </w:p>
    <w:p w14:paraId="0065318C"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3、完善文旅康养基础设施建设</w:t>
      </w:r>
    </w:p>
    <w:p w14:paraId="452A75CB"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太和医院武当山院区在满足广大居民急诊急救和综合医疗的同时，重点建设健康管理、女性肿瘤、抗衰老、慢病养生四大特色专科，提供康养产业的基础医疗服务。同时武当山还结合太极文化，建设真宫精品民宿、“飞越武当”、武当国际名酒庄、蓝城·桃李春风康养、八仙观养生谷、元和观养生度假区、大岳武当城改建等一批康养项目，</w:t>
      </w:r>
      <w:r w:rsidRPr="00F507DF">
        <w:rPr>
          <w:rFonts w:ascii="仿宋_GB2312" w:eastAsia="仿宋_GB2312" w:hAnsi="宋体" w:hint="eastAsia"/>
          <w:sz w:val="28"/>
          <w:szCs w:val="28"/>
        </w:rPr>
        <w:lastRenderedPageBreak/>
        <w:t>力图使住宿、餐饮、娱乐等康养服务设施的建设均围绕道家文化主题。</w:t>
      </w:r>
    </w:p>
    <w:p w14:paraId="08F5B8FD" w14:textId="77777777" w:rsidR="00C12ECB" w:rsidRPr="00F507DF" w:rsidRDefault="00D45507" w:rsidP="00FF66DC">
      <w:pPr>
        <w:pStyle w:val="3"/>
        <w:numPr>
          <w:ilvl w:val="0"/>
          <w:numId w:val="11"/>
        </w:numPr>
        <w:ind w:left="420" w:firstLine="200"/>
        <w:rPr>
          <w:rFonts w:ascii="黑体" w:eastAsia="黑体" w:hAnsi="黑体"/>
          <w:sz w:val="28"/>
          <w:szCs w:val="28"/>
        </w:rPr>
      </w:pPr>
      <w:r w:rsidRPr="00F507DF">
        <w:rPr>
          <w:rFonts w:ascii="黑体" w:eastAsia="黑体" w:hAnsi="黑体" w:hint="eastAsia"/>
          <w:sz w:val="28"/>
          <w:szCs w:val="28"/>
        </w:rPr>
        <w:t>长寿文化：浙江兰巨乡以长寿文化为核心，以农业产业为载体，赋予现代农业长寿内涵，通过农旅一体化推动康养产业发展</w:t>
      </w:r>
    </w:p>
    <w:p w14:paraId="55C66D84"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浙江省龙泉市兰巨乡位于龙泉市区西南面，凤阳山国家级自然保护区北麓，是龙泉山旅游景区的桥头堡。乡域面积155.7平方公里，耕地面积1.8万亩，山林面积18.4万亩，下辖28个行政村，人口17842人。在兰巨乡耄耋老人寻常见、百岁老人不稀奇，百岁老人最多时达8名，现有90岁以上老人83名，80岁以上458人，长寿老人的占比远高于浙江省平均水平。其中仙仁村更是远近闻名的长寿村，全村793人中，80岁以上28人，最高寿者已有109岁。兰巨乡以本地长寿文化为切入点，将长寿因素引向环境与膳食，将农业产业作为文化载体，培育现代农业，推动农旅一体化发展。</w:t>
      </w:r>
    </w:p>
    <w:p w14:paraId="38645637"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1、赋予现代农业长寿内涵</w:t>
      </w:r>
    </w:p>
    <w:p w14:paraId="7C4C6015"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兰巨乡以长寿膳食为引子，发掘农业产品对长寿的促进作用，发展有机稻、茶叶、药食用菌、绿色蔬菜、水果采摘、生态养殖为主的农业基地（场）150余个，培育农业龙头企业14家、特色家庭农场56家，还建有全省唯一的香菇传统砍花栽培基地和野生灵芝观光园。建成粮食功能区5676亩，生态茶园1.2万亩、精品水果园5000亩、花卉苗木园3800亩、油茶基地3000亩、精品蔬菜园500亩，一年四季茶香四溢、瓜果飘香。阳光农业生产的“龙泉红”红茶在第二届国</w:t>
      </w:r>
      <w:r w:rsidRPr="00F507DF">
        <w:rPr>
          <w:rFonts w:ascii="仿宋_GB2312" w:eastAsia="仿宋_GB2312" w:hAnsi="宋体" w:hint="eastAsia"/>
          <w:sz w:val="28"/>
          <w:szCs w:val="28"/>
        </w:rPr>
        <w:lastRenderedPageBreak/>
        <w:t>际茶业博览会获金奖、国饮杯特等奖，杨志杰家庭农场生产的“长寿米”在浙江首届好稻米评选中获金奖，年年丰家庭农场生产的野生灵芝获9名中科院院士认可。兰巨乡通过赋予生态种植以长寿内涵，发挥本地种植业优势，现代农业发展欣欣向荣。</w:t>
      </w:r>
    </w:p>
    <w:p w14:paraId="190EF93F" w14:textId="77777777" w:rsidR="00C12ECB" w:rsidRPr="00F507DF" w:rsidRDefault="00D45507" w:rsidP="00FF66DC">
      <w:pPr>
        <w:pStyle w:val="4"/>
        <w:ind w:left="420" w:firstLine="239"/>
        <w:rPr>
          <w:rFonts w:ascii="仿宋_GB2312"/>
        </w:rPr>
      </w:pPr>
      <w:r w:rsidRPr="00F507DF">
        <w:rPr>
          <w:rFonts w:ascii="仿宋_GB2312" w:hint="eastAsia"/>
        </w:rPr>
        <w:t>2、农旅一体化发展助推长寿康养发展</w:t>
      </w:r>
    </w:p>
    <w:p w14:paraId="6E7CA3DA"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在打响长寿品牌后，兰巨乡乡村旅游业发展迅速，从瓯江河畔的炉田村、凤阳山麓炉岙村、美丽宜居炉田、长寿仙仁、灵芝谷梅地、历史文化村落官埔</w:t>
      </w:r>
      <w:r w:rsidRPr="00F507DF">
        <w:rPr>
          <w:rFonts w:ascii="仿宋_GB2312" w:eastAsia="仿宋_GB2312" w:hAnsi="仿宋_GB2312" w:cs="仿宋_GB2312" w:hint="eastAsia"/>
          <w:sz w:val="28"/>
          <w:szCs w:val="28"/>
        </w:rPr>
        <w:t>垟等美丽村庄，全乡现有农家乐（民宿）</w:t>
      </w:r>
      <w:r w:rsidRPr="00F507DF">
        <w:rPr>
          <w:rFonts w:ascii="仿宋_GB2312" w:eastAsia="仿宋_GB2312" w:hAnsi="宋体" w:hint="eastAsia"/>
          <w:sz w:val="28"/>
          <w:szCs w:val="28"/>
        </w:rPr>
        <w:t>58家，床位565张、餐位3900个。兰巨省级现代农业园区相继建成超高“颜值”的骑行绿道、休闲中心、汽车露营基地等项目，2017年成功创成丽水首家农旅融合3A级景区。兰巨乡进一步完善住宿、娱乐、运动等基础设施的建设，以长寿生活吸引游客居住停留，增加游玩时间和旅游消费，进一步促进长寿康养的发展。</w:t>
      </w:r>
    </w:p>
    <w:p w14:paraId="3EA6C45A" w14:textId="77777777" w:rsidR="00C12ECB" w:rsidRPr="00F507DF" w:rsidRDefault="00D45507" w:rsidP="00FF66DC">
      <w:pPr>
        <w:pStyle w:val="3"/>
        <w:numPr>
          <w:ilvl w:val="0"/>
          <w:numId w:val="11"/>
        </w:numPr>
        <w:ind w:left="420" w:firstLine="200"/>
        <w:rPr>
          <w:rFonts w:ascii="黑体" w:eastAsia="黑体" w:hAnsi="黑体"/>
          <w:sz w:val="28"/>
          <w:szCs w:val="28"/>
        </w:rPr>
      </w:pPr>
      <w:r w:rsidRPr="00F507DF">
        <w:rPr>
          <w:rFonts w:ascii="黑体" w:eastAsia="黑体" w:hAnsi="黑体" w:hint="eastAsia"/>
          <w:sz w:val="28"/>
          <w:szCs w:val="28"/>
        </w:rPr>
        <w:t>案例总结</w:t>
      </w:r>
    </w:p>
    <w:p w14:paraId="1EC788BD"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文化资源驱动的康养发展模式关键点在于如何将相对抽象和虚无飘渺的“文化”具体化为康养产业发展的载体。一方面可以通过中医药文化或宗教文化本身的载体进行发展，如中医推拿、针灸、药膳，宗教膳食、操课、生活习惯等，另一方面可以根据文化的内容进行相应的阐释，如长寿文化对饮食、生活环境的阐释，宗教文化对禅修冥想的阐释等，这种文化载体可以直接转化为康养的具体产品。</w:t>
      </w:r>
    </w:p>
    <w:p w14:paraId="67D57E8B" w14:textId="09FE55B0"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对于中医药康养而言，除了相应的康养旅游体验业态外，还需要</w:t>
      </w:r>
      <w:r w:rsidRPr="00F507DF">
        <w:rPr>
          <w:rFonts w:ascii="仿宋_GB2312" w:eastAsia="仿宋_GB2312" w:hAnsi="宋体" w:hint="eastAsia"/>
          <w:sz w:val="28"/>
          <w:szCs w:val="28"/>
        </w:rPr>
        <w:lastRenderedPageBreak/>
        <w:t>纵向拓展中医药种植业和中医药制品的生产，横向丰富各个环节的外沿，如中医药种植业可以与乡村旅游结合，中医药制品的生产可以与研发、标准制定、品牌认定相结合，中医药体验业态可以与下游酒店、民宿等服务设施相结合。</w:t>
      </w:r>
    </w:p>
    <w:p w14:paraId="04648A11" w14:textId="77777777" w:rsidR="00C12ECB" w:rsidRPr="00F507DF" w:rsidRDefault="00D45507" w:rsidP="00FF66DC">
      <w:pPr>
        <w:pStyle w:val="2"/>
        <w:numPr>
          <w:ilvl w:val="0"/>
          <w:numId w:val="8"/>
        </w:numPr>
      </w:pPr>
      <w:bookmarkStart w:id="15" w:name="_Toc54008906"/>
      <w:r w:rsidRPr="00F507DF">
        <w:rPr>
          <w:rFonts w:hint="eastAsia"/>
        </w:rPr>
        <w:t>新兴康养业态案例</w:t>
      </w:r>
      <w:bookmarkEnd w:id="15"/>
    </w:p>
    <w:p w14:paraId="20117369" w14:textId="77777777" w:rsidR="00C12ECB" w:rsidRPr="00F507DF" w:rsidRDefault="00D45507" w:rsidP="00FF66DC">
      <w:pPr>
        <w:pStyle w:val="3"/>
        <w:numPr>
          <w:ilvl w:val="0"/>
          <w:numId w:val="12"/>
        </w:numPr>
        <w:ind w:left="420" w:firstLine="200"/>
        <w:rPr>
          <w:rFonts w:ascii="黑体" w:eastAsia="黑体" w:hAnsi="黑体"/>
          <w:sz w:val="28"/>
          <w:szCs w:val="28"/>
        </w:rPr>
      </w:pPr>
      <w:r w:rsidRPr="00F507DF">
        <w:rPr>
          <w:rFonts w:ascii="黑体" w:eastAsia="黑体" w:hAnsi="黑体" w:hint="eastAsia"/>
          <w:sz w:val="28"/>
          <w:szCs w:val="28"/>
        </w:rPr>
        <w:t>智慧医疗：华西数字医院搭建三方沟通架构统一管理平台与数据，注重数据存储与整理，应用AI辅助检测与诊断</w:t>
      </w:r>
    </w:p>
    <w:p w14:paraId="3552D71D" w14:textId="77777777" w:rsidR="00F8111A"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四川大学华西医院是西部地区疑难危急重症诊疗的国家级中心，也是著名的高等医学学府以及医学科学研究和技术创新的国家级基地，在“中国医院科技影响力排行榜”上连续5年排名全国第一。华西医院目前医疗区占地500余亩，业务用房60余万平方米，编制床位4300张，在职员工10000余人。</w:t>
      </w:r>
    </w:p>
    <w:p w14:paraId="588556B0" w14:textId="35BD2C22"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华西医院最高日门急诊量达到20000余人次，同时还有上千名科研专家同步开展医学研究，如此庞大的业务体量需要可靠承载和敏捷创新为一体的数字化平台进行有效支撑，过去相对分散的IT架构已经无法很好适应临床诊治和科研工作的需求。在紫光旗下新华三集团的助力下，华西医院应用云计算、大数据、人工智能等前沿技术构建大数据和医疗云平台，为传统生产业务、临床医学、科研分析等业务系统提供强大的数字化支撑。</w:t>
      </w:r>
    </w:p>
    <w:p w14:paraId="0E5B8C16" w14:textId="77777777" w:rsidR="00C12ECB" w:rsidRPr="00F507DF" w:rsidRDefault="00D45507" w:rsidP="00FF66DC">
      <w:pPr>
        <w:pStyle w:val="4"/>
        <w:ind w:left="420" w:firstLine="239"/>
        <w:rPr>
          <w:rFonts w:ascii="仿宋_GB2312"/>
        </w:rPr>
      </w:pPr>
      <w:r w:rsidRPr="00F507DF">
        <w:rPr>
          <w:rFonts w:ascii="仿宋_GB2312" w:hint="eastAsia"/>
        </w:rPr>
        <w:t>1、搭建门户、平台与数据中心沟通架构</w:t>
      </w:r>
    </w:p>
    <w:p w14:paraId="6919DBEA"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华西医院规划了由一个门户、N个业务平台、N个数据中心构成</w:t>
      </w:r>
      <w:r w:rsidRPr="00F507DF">
        <w:rPr>
          <w:rFonts w:ascii="仿宋_GB2312" w:eastAsia="仿宋_GB2312" w:hAnsi="宋体" w:hint="eastAsia"/>
          <w:sz w:val="28"/>
          <w:szCs w:val="28"/>
        </w:rPr>
        <w:lastRenderedPageBreak/>
        <w:t>的“1+N+N”架构，以功能全面的云平台、定制化的统一门户、统一的管理模式实现IT资源的灵活交付。在总体规划上，华西医院采取三步走战略：2019年建设跨中心的医疗大数据平台，支持临床数据中心、科研数据中心业务，打造统一的服务入口；2020年，基于已有的云平台架构先后布局医疗超算云平台和应用微服务平台，形成“同城三地四中心”的布局，为疾病预先治疗方案研究、基因组学等临床海量数据分析业务提供算力支撑；同时基于新华三PaaS平台实现部分应用的微服务改造，逐步解决集成平台面临的信息孤岛、点对点交付等问题。</w:t>
      </w:r>
    </w:p>
    <w:p w14:paraId="20169B7E"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2、整合管理应用平台与数据</w:t>
      </w:r>
    </w:p>
    <w:p w14:paraId="1E57F170"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在医疗云平台的基础上，华西医院实现了云管理平台、医联体智慧管理指标分析平台、科研工作站、临床大数据搜索引擎等9套应用的整合，以统一门户平台对外提供支持，单点登陆，统一授权。同时，用户信息的集中维护以及权限的统一管理，提升了华西医院云的数据安全性，子系统之间的横向交互避免了医护人员的重复操作，有效提升了工作效率，也为未来新业务系统的横向扩展打下了基础。</w:t>
      </w:r>
    </w:p>
    <w:p w14:paraId="2ED62629" w14:textId="77777777" w:rsidR="00C12ECB" w:rsidRPr="00F507DF" w:rsidRDefault="00D45507" w:rsidP="00FF66DC">
      <w:pPr>
        <w:pStyle w:val="4"/>
        <w:ind w:left="420" w:firstLine="239"/>
        <w:rPr>
          <w:rFonts w:ascii="仿宋_GB2312"/>
        </w:rPr>
      </w:pPr>
      <w:r w:rsidRPr="00F507DF">
        <w:rPr>
          <w:rFonts w:ascii="仿宋_GB2312" w:hint="eastAsia"/>
        </w:rPr>
        <w:t>3、注重基础数据的存储处理</w:t>
      </w:r>
    </w:p>
    <w:p w14:paraId="6CA35805" w14:textId="77777777" w:rsidR="00F8111A"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华西医院的大数据平台形成了上万张医疗业务的模型表和汇总表，最大单表千万条数据，高峰期有上百个计算任务同时运行。从数据标准、数据质量和数据安全三方面入手，打造了从底层资源到数据仓库，再到数据应用的全方位平台，在确保数据安全的基础上进行全面分析和处理。</w:t>
      </w:r>
    </w:p>
    <w:p w14:paraId="6882CFE1" w14:textId="4613474E"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lastRenderedPageBreak/>
        <w:t>以华西医院常见的基因测序工作为例，一次全基因组检测将产生200GB的原始数据，完整测序更将至少产生4TB数据，并且数据压缩率极低。对此，新华三通过云平台的资源弹性伸缩能力，解决了峰谷效应造成的资源浪费，提升资源利用率，同时实现了基因数据分类存储，方便了数据的分析和处理。</w:t>
      </w:r>
    </w:p>
    <w:p w14:paraId="7D6DD489" w14:textId="77777777" w:rsidR="00C12ECB" w:rsidRPr="00F507DF" w:rsidRDefault="00D45507" w:rsidP="00FF66DC">
      <w:pPr>
        <w:pStyle w:val="4"/>
        <w:ind w:left="420" w:firstLine="239"/>
        <w:rPr>
          <w:rFonts w:ascii="仿宋_GB2312"/>
        </w:rPr>
      </w:pPr>
      <w:r w:rsidRPr="00F507DF">
        <w:rPr>
          <w:rFonts w:ascii="仿宋_GB2312" w:hint="eastAsia"/>
        </w:rPr>
        <w:t>4、应用AI辅助检测与诊断</w:t>
      </w:r>
    </w:p>
    <w:p w14:paraId="797F77E3"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在人工智能驱动医学科研业务方面，华西医院将数据和AI平台无缝对接，帮助客户快速构建医学模型，以技术驱动业务创新，并实现了全面的可视化，降低了AI开发门槛。在具体的AI业务场景中，新华三助力科研人员快速完成CT影像自动检测模型的训练，让AI辅助医生完成高效诊断成为可能。</w:t>
      </w:r>
    </w:p>
    <w:p w14:paraId="2A2743DD" w14:textId="77777777" w:rsidR="00C12ECB" w:rsidRPr="00F507DF" w:rsidRDefault="00D45507" w:rsidP="00FF66DC">
      <w:pPr>
        <w:pStyle w:val="3"/>
        <w:numPr>
          <w:ilvl w:val="0"/>
          <w:numId w:val="12"/>
        </w:numPr>
        <w:ind w:left="420" w:firstLine="200"/>
        <w:rPr>
          <w:rFonts w:ascii="黑体" w:eastAsia="黑体" w:hAnsi="黑体"/>
          <w:sz w:val="28"/>
          <w:szCs w:val="28"/>
        </w:rPr>
      </w:pPr>
      <w:r w:rsidRPr="00F507DF">
        <w:rPr>
          <w:rFonts w:ascii="黑体" w:eastAsia="黑体" w:hAnsi="黑体" w:hint="eastAsia"/>
          <w:sz w:val="28"/>
          <w:szCs w:val="28"/>
        </w:rPr>
        <w:t>智慧健康管理：昆明体检健康管理平台提供便民康养服务，提升康养服务供给，提升信息互通效率</w:t>
      </w:r>
    </w:p>
    <w:p w14:paraId="3F634DA0" w14:textId="7D29E520"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昆明体检健康管理平台是美年大健康产业有限公司开发的服务产品，通过体检服务、医学美容、心理咨询、运动健身、健康保险、口腔健康等服务产品，提供便民康养服务，提升康养服务供给，提高供需双方的信息互通效率。</w:t>
      </w:r>
    </w:p>
    <w:p w14:paraId="5FA5D2E2" w14:textId="77777777" w:rsidR="00C12ECB" w:rsidRPr="00F507DF" w:rsidRDefault="00D45507" w:rsidP="00FF66DC">
      <w:pPr>
        <w:pStyle w:val="4"/>
        <w:ind w:left="420" w:firstLine="239"/>
        <w:rPr>
          <w:rFonts w:ascii="仿宋_GB2312"/>
        </w:rPr>
      </w:pPr>
      <w:r w:rsidRPr="00F507DF">
        <w:rPr>
          <w:rFonts w:ascii="仿宋_GB2312" w:hint="eastAsia"/>
        </w:rPr>
        <w:t>1、提供便民康养服务</w:t>
      </w:r>
    </w:p>
    <w:p w14:paraId="7798072F"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昆明“体检健康管理平台”推出互联网+体检的服务模式，并已配套微信小程序“体检健康管理平台”服务平台，市民可以通过微信添加小程序“体检健康管理平台”和进入平台获取信息和服务，内容</w:t>
      </w:r>
      <w:r w:rsidRPr="00F507DF">
        <w:rPr>
          <w:rFonts w:ascii="仿宋_GB2312" w:eastAsia="仿宋_GB2312" w:hAnsi="宋体" w:hint="eastAsia"/>
          <w:sz w:val="28"/>
          <w:szCs w:val="28"/>
        </w:rPr>
        <w:lastRenderedPageBreak/>
        <w:t>包括健康评估问卷、体检时间预约、个性化体检套餐选择、体检报告查询与咨询、健康管理、健康教育，以及门诊专家挂号预约等便民服务。用户通过手机等移动电子设备，即可获取丰富的医疗信息和贴心的医疗服务，将体检流程轻松化繁为简。</w:t>
      </w:r>
    </w:p>
    <w:p w14:paraId="1E58832C"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2、提升康养服务供给</w:t>
      </w:r>
    </w:p>
    <w:p w14:paraId="44ACF471" w14:textId="4B47F290"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体检健康管理平台”开放入驻加盟端口，扩大平台康养服务的供给规模，便于市民到指定的医院进行体检。移动互联网正在改变患者的消费习惯，对于康养行业来说，智慧健康管理平台带来了企业发展向互联网市场转移的绝佳机会，转变移动营销策略、抢占手机移动市场的蓝海也是健康管理企业自身的需求。</w:t>
      </w:r>
    </w:p>
    <w:p w14:paraId="3A2A7B80" w14:textId="77777777" w:rsidR="00C12ECB" w:rsidRPr="00F507DF" w:rsidRDefault="00D45507" w:rsidP="00FF66DC">
      <w:pPr>
        <w:pStyle w:val="4"/>
        <w:ind w:left="420" w:firstLine="239"/>
        <w:rPr>
          <w:rFonts w:ascii="仿宋_GB2312"/>
        </w:rPr>
      </w:pPr>
      <w:r w:rsidRPr="00F507DF">
        <w:rPr>
          <w:rFonts w:ascii="仿宋_GB2312" w:hint="eastAsia"/>
        </w:rPr>
        <w:t>3、提升信息互通效率</w:t>
      </w:r>
    </w:p>
    <w:p w14:paraId="0AD0BF4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体检健康管理平台”微信小程序结合目前最为热门的移动互联网行业趋势，提供更多的行业资讯、产品信息、企业信息、商家会员等内容。微信小程序客户端凭借天然的精准性、位置化、长尾性、互动性以及高用户黏性，“体检健康管理平台”微信小程序极大的节省了客户寻找体检健康医院的时间，真正实现手机广告的点对点传播。注册的商家可以在该平台上发布一些资讯、广告，服务，以便让跟多的客户更为及时的得到自己想要的信息，医院也能够定期通过小程序咨询管理推送健康生活指南信息、医院动态信息。</w:t>
      </w:r>
    </w:p>
    <w:p w14:paraId="05470893" w14:textId="77777777" w:rsidR="00C12ECB" w:rsidRPr="00F507DF" w:rsidRDefault="00D45507" w:rsidP="00FF66DC">
      <w:pPr>
        <w:pStyle w:val="3"/>
        <w:numPr>
          <w:ilvl w:val="0"/>
          <w:numId w:val="12"/>
        </w:numPr>
        <w:ind w:left="420" w:firstLine="200"/>
        <w:rPr>
          <w:rFonts w:ascii="黑体" w:eastAsia="黑体" w:hAnsi="黑体"/>
          <w:sz w:val="28"/>
          <w:szCs w:val="28"/>
        </w:rPr>
      </w:pPr>
      <w:r w:rsidRPr="00F507DF">
        <w:rPr>
          <w:rFonts w:ascii="黑体" w:eastAsia="黑体" w:hAnsi="黑体" w:hint="eastAsia"/>
          <w:sz w:val="28"/>
          <w:szCs w:val="28"/>
        </w:rPr>
        <w:lastRenderedPageBreak/>
        <w:t>医药电商：阿里健康搭建医药电商平台，满足精细化用户需求，开展医药产品追溯</w:t>
      </w:r>
    </w:p>
    <w:p w14:paraId="1120939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阿里健康是阿里巴巴集团“Double H”战略（Health and Happiness 健康与快乐）在大健康领域的旗舰平台，是阿里巴巴集团投资控股的公司之一。凭借阿里巴巴集团在电子商务、互联网金融、物流、大数据和云计算等领域的优势，阿里健康以用户为核心，全渠道推进医药电商及新零售业务，并为大健康行业提供线上线下一体化的全面解决方案，以期对现有社会医药健康资源实现跨区域的共享配置。同时在保障专业安全的基础上，大幅提高患者就医购药的便捷性，满足消费者对健康生活方式的追求。</w:t>
      </w:r>
    </w:p>
    <w:p w14:paraId="29CAFDCB" w14:textId="77777777" w:rsidR="00C12ECB" w:rsidRPr="00F507DF" w:rsidRDefault="00D45507" w:rsidP="00FF66DC">
      <w:pPr>
        <w:pStyle w:val="4"/>
        <w:ind w:left="420" w:firstLine="239"/>
        <w:rPr>
          <w:rFonts w:ascii="仿宋_GB2312"/>
        </w:rPr>
      </w:pPr>
      <w:r w:rsidRPr="00F507DF">
        <w:rPr>
          <w:rFonts w:ascii="仿宋_GB2312" w:hint="eastAsia"/>
        </w:rPr>
        <w:t>1、搭建医药电商平台</w:t>
      </w:r>
    </w:p>
    <w:p w14:paraId="6B772AD6" w14:textId="2231548F"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里健康整合药店、互联网医生以及医疗服务商家，搭建医药电商平台。构建中国医药O2O先锋联盟，以亿级流量、上游资源、区域独家、大数据共享、市场营销、卓越技术、品牌背书、医疗服务、健康管理为药店助力，推动药店实现商品升级、服务升级、理念升级三大升级，成为消费者社会化便利购物入口和社区健康服务体检入口。除药店外，医疗服务机构也能够通过网上申请加入联盟，利用平台优势发展健康服务与医疗服务</w:t>
      </w:r>
      <w:r w:rsidR="00E51A35" w:rsidRPr="00F507DF">
        <w:rPr>
          <w:rFonts w:ascii="仿宋_GB2312" w:eastAsia="仿宋_GB2312" w:hAnsi="宋体" w:hint="eastAsia"/>
          <w:sz w:val="28"/>
          <w:szCs w:val="28"/>
        </w:rPr>
        <w:t>，</w:t>
      </w:r>
      <w:r w:rsidRPr="00F507DF">
        <w:rPr>
          <w:rFonts w:ascii="仿宋_GB2312" w:eastAsia="仿宋_GB2312" w:hAnsi="宋体" w:hint="eastAsia"/>
          <w:sz w:val="28"/>
          <w:szCs w:val="28"/>
        </w:rPr>
        <w:t>互联网医生可以申请加入阿里健康互联网医院，提供便捷问诊咨询服务。</w:t>
      </w:r>
    </w:p>
    <w:p w14:paraId="55B348A1" w14:textId="77777777" w:rsidR="00C12ECB" w:rsidRPr="00F507DF" w:rsidRDefault="00D45507" w:rsidP="00FF66DC">
      <w:pPr>
        <w:pStyle w:val="4"/>
        <w:ind w:left="420" w:firstLine="239"/>
        <w:rPr>
          <w:rFonts w:ascii="仿宋_GB2312"/>
        </w:rPr>
      </w:pPr>
      <w:r w:rsidRPr="00F507DF">
        <w:rPr>
          <w:rFonts w:ascii="仿宋_GB2312" w:hint="eastAsia"/>
        </w:rPr>
        <w:t>2、满足精细化用户需求</w:t>
      </w:r>
    </w:p>
    <w:p w14:paraId="59F6301D"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阿里健康通过阿里健康大药房、天猫医药馆为用户提供精细化的</w:t>
      </w:r>
      <w:r w:rsidRPr="00F507DF">
        <w:rPr>
          <w:rFonts w:ascii="仿宋_GB2312" w:eastAsia="仿宋_GB2312" w:hAnsi="宋体" w:hint="eastAsia"/>
          <w:sz w:val="28"/>
          <w:szCs w:val="28"/>
        </w:rPr>
        <w:lastRenderedPageBreak/>
        <w:t>医药服务，提供家庭常备、中西药品、健康保健、医疗器械、母婴孕产、滋补养生等不同类型服务和产品。同时配备免费的一对一线上药师服务，用户可以进行用药咨询或营养咨询，辅助家庭购药用药。</w:t>
      </w:r>
    </w:p>
    <w:p w14:paraId="54A0AA64" w14:textId="77777777" w:rsidR="00C12ECB" w:rsidRPr="00F507DF" w:rsidRDefault="00D45507" w:rsidP="00FF66DC">
      <w:pPr>
        <w:pStyle w:val="4"/>
        <w:ind w:left="420" w:firstLine="239"/>
        <w:rPr>
          <w:rFonts w:ascii="仿宋_GB2312"/>
        </w:rPr>
      </w:pPr>
      <w:r w:rsidRPr="00F507DF">
        <w:rPr>
          <w:rFonts w:ascii="仿宋_GB2312" w:hint="eastAsia"/>
        </w:rPr>
        <w:t>3</w:t>
      </w:r>
      <w:r w:rsidRPr="00F507DF">
        <w:rPr>
          <w:rFonts w:ascii="仿宋_GB2312" w:hAnsi="宋体" w:hint="eastAsia"/>
          <w:b w:val="0"/>
          <w:bCs w:val="0"/>
        </w:rPr>
        <w:t>、</w:t>
      </w:r>
      <w:r w:rsidRPr="00F507DF">
        <w:rPr>
          <w:rFonts w:ascii="仿宋_GB2312" w:hAnsi="宋体" w:hint="eastAsia"/>
        </w:rPr>
        <w:t>开展医药产品追溯</w:t>
      </w:r>
    </w:p>
    <w:p w14:paraId="78F1EB74" w14:textId="77777777" w:rsidR="00F8111A"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里健康通过平台打通品牌商、经销商和政府间的追溯沟通渠道，提供追溯验证、药品召回服务，用户使用码上稽查、阿里健康、淘宝、天猫等APP均可以进行药品追溯验证。阿里健康一方面以产品追溯码为媒介，帮助品牌商持续完善产品追溯体系，满足国家追溯制度的强制要求，实现来源可查、去向可追。另一方面协助经销商记录或标识其购进和销售的产品，准确掌握其产品购进来源和销售去向，满足国家和地方政府监管要求；通过开放的标准接口集，支持追溯码与企业内部业务流程无缝对接、高度融合，促进企业内部精细化管理。</w:t>
      </w:r>
    </w:p>
    <w:p w14:paraId="32B5A0B6" w14:textId="593FB372" w:rsidR="00C12ECB" w:rsidRPr="00F507DF" w:rsidRDefault="00F8111A"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阿里健康可</w:t>
      </w:r>
      <w:r w:rsidR="00D45507" w:rsidRPr="00F507DF">
        <w:rPr>
          <w:rFonts w:ascii="仿宋_GB2312" w:eastAsia="仿宋_GB2312" w:hAnsi="宋体" w:hint="eastAsia"/>
          <w:sz w:val="28"/>
          <w:szCs w:val="28"/>
        </w:rPr>
        <w:t>为各级政府制定重要产品追溯体系规划提供专业咨询，协助建立产品追溯标准体系，提供基于大数据分析处理的辅助决策支持服务，帮助政府不断提高科学监管服务水平，提升产品质量安全与公共安全管理水平。</w:t>
      </w:r>
    </w:p>
    <w:p w14:paraId="7CE32C8C" w14:textId="77777777" w:rsidR="00C12ECB" w:rsidRPr="00F507DF" w:rsidRDefault="00D45507" w:rsidP="00FF66DC">
      <w:pPr>
        <w:pStyle w:val="3"/>
        <w:numPr>
          <w:ilvl w:val="0"/>
          <w:numId w:val="12"/>
        </w:numPr>
        <w:ind w:left="420" w:firstLine="200"/>
        <w:rPr>
          <w:rFonts w:ascii="黑体" w:eastAsia="黑体" w:hAnsi="黑体"/>
          <w:sz w:val="28"/>
          <w:szCs w:val="28"/>
        </w:rPr>
      </w:pPr>
      <w:r w:rsidRPr="00F507DF">
        <w:rPr>
          <w:rFonts w:ascii="黑体" w:eastAsia="黑体" w:hAnsi="黑体" w:hint="eastAsia"/>
          <w:sz w:val="28"/>
          <w:szCs w:val="28"/>
        </w:rPr>
        <w:t>智能设备：华为依托技术优势，开发智能医院管理设备、智能医疗设备和智能健康设备</w:t>
      </w:r>
    </w:p>
    <w:p w14:paraId="3230ED2C" w14:textId="5985A80C"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华为作为新一代通信设备的领头制造商，</w:t>
      </w:r>
      <w:r w:rsidR="00E51A35" w:rsidRPr="00F507DF">
        <w:rPr>
          <w:rFonts w:ascii="仿宋_GB2312" w:eastAsia="仿宋_GB2312" w:hAnsi="宋体" w:hint="eastAsia"/>
          <w:sz w:val="28"/>
          <w:szCs w:val="28"/>
        </w:rPr>
        <w:t>以</w:t>
      </w:r>
      <w:r w:rsidRPr="00F507DF">
        <w:rPr>
          <w:rFonts w:ascii="仿宋_GB2312" w:eastAsia="仿宋_GB2312" w:hAnsi="宋体" w:hint="eastAsia"/>
          <w:sz w:val="28"/>
          <w:szCs w:val="28"/>
        </w:rPr>
        <w:t>设备制造和技术支撑为核心拓展数字康养领域，在不同业务场景下提供硬件设备与软件配套、端侧和云侧的双向开放服务，主要涉及智能医院管理技术与设备、</w:t>
      </w:r>
      <w:r w:rsidRPr="00F507DF">
        <w:rPr>
          <w:rFonts w:ascii="仿宋_GB2312" w:eastAsia="仿宋_GB2312" w:hAnsi="宋体" w:hint="eastAsia"/>
          <w:sz w:val="28"/>
          <w:szCs w:val="28"/>
        </w:rPr>
        <w:lastRenderedPageBreak/>
        <w:t>智能医疗设备、智能健康设备等。</w:t>
      </w:r>
    </w:p>
    <w:p w14:paraId="1A0783A2"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1、智能医院管理技术与设备</w:t>
      </w:r>
    </w:p>
    <w:p w14:paraId="2D519EBE"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华为在智慧医院管理方面形成了“华为+5G+医院”的格局，在无线应用场景实验室Xlabs的探索过程中，在多个方向上有了进展。与华西医院共同建设了大数据集成与应用平台，与同仁医院构建安防保障体系，帮助中国人民解放军总医院、南京鼓楼等医院建设了高集成、易维护的数据中心。同时由于5G设备的推广与网络覆盖，远程会诊、远程手术都成为智慧医院管理的新热点，为不同医院间的医疗资源共享提供了便利。</w:t>
      </w:r>
    </w:p>
    <w:p w14:paraId="2F439E0A" w14:textId="77777777" w:rsidR="00C12ECB" w:rsidRPr="00F507DF" w:rsidRDefault="00D45507" w:rsidP="00FF66DC">
      <w:pPr>
        <w:pStyle w:val="4"/>
        <w:ind w:left="420" w:firstLine="239"/>
        <w:rPr>
          <w:rFonts w:ascii="仿宋_GB2312"/>
        </w:rPr>
      </w:pPr>
      <w:r w:rsidRPr="00F507DF">
        <w:rPr>
          <w:rFonts w:ascii="仿宋_GB2312" w:hint="eastAsia"/>
        </w:rPr>
        <w:t>2、智能医疗设备</w:t>
      </w:r>
    </w:p>
    <w:p w14:paraId="5012B641"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华为“全联接医疗”通过设备传感、大数据、云计算技术的深度融合打造健康档案区域医疗信息平台，利用物联网技术，实现患者与医务人员、医疗机构、医疗设备之间的互动，构建智慧化医疗服务体系，提供移动医疗解决方案、数字医院网络解决方案、中小医院解决方案。同时华为2019年新增销售医疗器械（第二类医疗器械）业务，布局5G应用加速医疗器械智能化发展，将可穿戴设备与保险服务相结合，提升用户的粘性，增加保险销售。</w:t>
      </w:r>
    </w:p>
    <w:p w14:paraId="78E6C688" w14:textId="77777777" w:rsidR="00C12ECB" w:rsidRPr="00F507DF" w:rsidRDefault="00D45507" w:rsidP="00FF66DC">
      <w:pPr>
        <w:pStyle w:val="4"/>
        <w:ind w:left="420" w:firstLine="239"/>
        <w:rPr>
          <w:rFonts w:ascii="仿宋_GB2312"/>
        </w:rPr>
      </w:pPr>
      <w:r w:rsidRPr="00F507DF">
        <w:rPr>
          <w:rFonts w:ascii="仿宋_GB2312" w:hint="eastAsia"/>
        </w:rPr>
        <w:t>3、智能健康设备</w:t>
      </w:r>
    </w:p>
    <w:p w14:paraId="485B5753"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华为搭建了“华为运动健康平台”，并围绕该平台打造了一系列智慧健康设备，形成对用户的运动健康监测。用户可在平台接入华为智能手表、跑步机、智能手机、血压计等运动或健康监测设备实时监测健康状态和运动状态，准确分析睡眠结构和健康状况，并获得相应</w:t>
      </w:r>
      <w:r w:rsidRPr="00F507DF">
        <w:rPr>
          <w:rFonts w:ascii="仿宋_GB2312" w:eastAsia="仿宋_GB2312" w:hAnsi="宋体" w:hint="eastAsia"/>
          <w:sz w:val="28"/>
          <w:szCs w:val="28"/>
        </w:rPr>
        <w:lastRenderedPageBreak/>
        <w:t>的健康建议。</w:t>
      </w:r>
    </w:p>
    <w:p w14:paraId="7331F82C" w14:textId="618F50F5" w:rsidR="00C12ECB" w:rsidRPr="00F507DF" w:rsidRDefault="00D45507" w:rsidP="00FF66DC">
      <w:pPr>
        <w:pStyle w:val="3"/>
        <w:numPr>
          <w:ilvl w:val="0"/>
          <w:numId w:val="12"/>
        </w:numPr>
        <w:ind w:left="420" w:firstLine="200"/>
        <w:rPr>
          <w:rFonts w:ascii="黑体" w:eastAsia="黑体" w:hAnsi="黑体"/>
          <w:sz w:val="28"/>
          <w:szCs w:val="28"/>
        </w:rPr>
      </w:pPr>
      <w:r w:rsidRPr="00F507DF">
        <w:rPr>
          <w:rFonts w:ascii="黑体" w:eastAsia="黑体" w:hAnsi="黑体" w:hint="eastAsia"/>
          <w:sz w:val="28"/>
          <w:szCs w:val="28"/>
        </w:rPr>
        <w:t>人工智能+大健康：阿里健康搭建</w:t>
      </w:r>
      <w:r w:rsidR="00F8111A" w:rsidRPr="00F507DF">
        <w:rPr>
          <w:rFonts w:ascii="黑体" w:eastAsia="黑体" w:hAnsi="黑体" w:hint="eastAsia"/>
          <w:sz w:val="28"/>
          <w:szCs w:val="28"/>
        </w:rPr>
        <w:t>科研教学</w:t>
      </w:r>
      <w:r w:rsidRPr="00F507DF">
        <w:rPr>
          <w:rFonts w:ascii="黑体" w:eastAsia="黑体" w:hAnsi="黑体" w:hint="eastAsia"/>
          <w:sz w:val="28"/>
          <w:szCs w:val="28"/>
        </w:rPr>
        <w:t>平台，全面应用人工智能技术</w:t>
      </w:r>
    </w:p>
    <w:p w14:paraId="5F0A94D6"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里凭借自身在大数据、人工智能等领域的优势，充分应用知识图谱、自然语言处理、机器学习、智能搜索等技术，借助人工智能进行临床诊疗的辅助决策与医学影像的智能诊断，搭建了临床医学科研辅助平台、医疗人工智能开放平台和临床医生能力训练平台。</w:t>
      </w:r>
    </w:p>
    <w:p w14:paraId="33FCC277" w14:textId="77777777" w:rsidR="00C12ECB" w:rsidRPr="00F507DF" w:rsidRDefault="00D45507" w:rsidP="00FF66DC">
      <w:pPr>
        <w:pStyle w:val="4"/>
        <w:ind w:left="420" w:firstLine="239"/>
        <w:rPr>
          <w:rFonts w:ascii="仿宋_GB2312"/>
        </w:rPr>
      </w:pPr>
      <w:r w:rsidRPr="00F507DF">
        <w:rPr>
          <w:rFonts w:ascii="仿宋_GB2312" w:hint="eastAsia"/>
        </w:rPr>
        <w:t>1、临床医学科研辅助平台</w:t>
      </w:r>
    </w:p>
    <w:p w14:paraId="02BD1837"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将双核矩阵赋能于临床科研数据中心，使用强大的搜索引擎技术为医生提供快速、准确，多种组合方式的智能病历搜索功能。通过数据仓库、数据挖掘等方法，用海量临床科研数据来评价治疗效果，发现诊疗规律，提炼最佳治疗路径，提高医疗科研的能力和水平。</w:t>
      </w:r>
    </w:p>
    <w:p w14:paraId="2B56A650" w14:textId="77777777" w:rsidR="00C12ECB" w:rsidRPr="00F507DF" w:rsidRDefault="00D45507" w:rsidP="00FF66DC">
      <w:pPr>
        <w:pStyle w:val="4"/>
        <w:ind w:left="420" w:firstLine="239"/>
        <w:rPr>
          <w:rFonts w:ascii="仿宋_GB2312"/>
        </w:rPr>
      </w:pPr>
      <w:r w:rsidRPr="00F507DF">
        <w:rPr>
          <w:rFonts w:ascii="仿宋_GB2312" w:hint="eastAsia"/>
        </w:rPr>
        <w:t>2、医疗人工智能开放平台</w:t>
      </w:r>
    </w:p>
    <w:p w14:paraId="3637049C"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由阿里健康联合医疗健康AI生态伙伴，基于医学人工智能及数据智能技术建设而成。该开放平台提供医疗AI建模、训练及开放应用服务，针对医疗机构真实临床场景，提供智能肺、乳腺X射线、肿瘤靶区勾勒等多部位、多病种医学AI系统应用及糖尿病用药、宫颈癌筛查等AI辅助诊断决策系统应用平台。</w:t>
      </w:r>
    </w:p>
    <w:p w14:paraId="77B8B254"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3、临床医生能力训练平台</w:t>
      </w:r>
    </w:p>
    <w:p w14:paraId="039E42AC"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阿里健康与浙江大学医学院附属第二医院合作开发了沉浸式医师培训系统，以求切实提升医师培训的质量与效率。新打造的医师培</w:t>
      </w:r>
      <w:r w:rsidRPr="00F507DF">
        <w:rPr>
          <w:rFonts w:ascii="仿宋_GB2312" w:eastAsia="仿宋_GB2312" w:hAnsi="宋体" w:hint="eastAsia"/>
          <w:sz w:val="28"/>
          <w:szCs w:val="28"/>
        </w:rPr>
        <w:lastRenderedPageBreak/>
        <w:t>训系统将从过往脱敏病例中挖掘疾病的临床路径并自动构建虚拟病人，医师用户可在模拟场景中对虚拟病人进行诊疗，并从中获取医学知识，规范诊疗操作，提高临床思维。</w:t>
      </w:r>
    </w:p>
    <w:p w14:paraId="6970613A" w14:textId="31DC00CC" w:rsidR="00C12ECB" w:rsidRPr="00F507DF" w:rsidRDefault="00D45507" w:rsidP="00FF66DC">
      <w:pPr>
        <w:pStyle w:val="3"/>
        <w:numPr>
          <w:ilvl w:val="0"/>
          <w:numId w:val="12"/>
        </w:numPr>
        <w:ind w:left="420" w:firstLine="200"/>
        <w:rPr>
          <w:rFonts w:ascii="黑体" w:eastAsia="黑体" w:hAnsi="黑体"/>
          <w:sz w:val="28"/>
          <w:szCs w:val="28"/>
        </w:rPr>
      </w:pPr>
      <w:r w:rsidRPr="00F507DF">
        <w:rPr>
          <w:rFonts w:ascii="黑体" w:eastAsia="黑体" w:hAnsi="黑体" w:hint="eastAsia"/>
          <w:sz w:val="28"/>
          <w:szCs w:val="28"/>
        </w:rPr>
        <w:t>休闲运动装备：浙江宁海打造全域户外运动体验场，深度占有品牌，实现传统制造向运动康养的转型</w:t>
      </w:r>
    </w:p>
    <w:p w14:paraId="174ED660"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宁海位于浙江省宁波市南部，县域总面积1931平方千米，常住人口68.5万人。宁海四面山海环抱，“七山一水二分田”的地形条件为户外运动提供了丰富的场所，也是发展户外用品产业的扎实背书。宁海登山杖生产份额占全国80%，手电筒生产份额占全国70%，2017年户外产业GDP占比达2.3%，是全国平均水平的3倍，2015年被国家体育总局授予国家体育产业示范基地称号。</w:t>
      </w:r>
    </w:p>
    <w:p w14:paraId="4682CE5B"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在梳理自身资源，进行深度思考的基础上，宁海在户外产业发展中采取了以下三条策略：第一，深度绑定产业，依托模具、五金、塑料等产业基础，实现传统制造的华丽变身；第二，深度挖掘山水，将宁海打造成全域户外运动体验场；第三，深度占有品牌，通过名人代言和赛事推广，塑造“宁海户外”品牌影响力，最终成为全国户外产业的标杆。</w:t>
      </w:r>
    </w:p>
    <w:p w14:paraId="23335CB7" w14:textId="77777777" w:rsidR="00C12ECB" w:rsidRPr="00F507DF" w:rsidRDefault="00D45507" w:rsidP="00FF66DC">
      <w:pPr>
        <w:pStyle w:val="4"/>
        <w:ind w:left="420" w:firstLine="239"/>
        <w:rPr>
          <w:rFonts w:ascii="仿宋_GB2312"/>
        </w:rPr>
      </w:pPr>
      <w:r w:rsidRPr="00F507DF">
        <w:rPr>
          <w:rFonts w:ascii="仿宋_GB2312" w:hint="eastAsia"/>
        </w:rPr>
        <w:t>1、深度绑定产业，依托模具、五金、塑料等产业基础，实现传统制造的华丽变身</w:t>
      </w:r>
    </w:p>
    <w:p w14:paraId="0478A24A" w14:textId="77777777" w:rsidR="00C12ECB" w:rsidRPr="00F507DF" w:rsidRDefault="00D45507" w:rsidP="00FF66DC">
      <w:pPr>
        <w:spacing w:line="560" w:lineRule="atLeast"/>
        <w:ind w:firstLineChars="200" w:firstLine="560"/>
        <w:rPr>
          <w:rFonts w:ascii="仿宋_GB2312" w:eastAsia="仿宋_GB2312" w:hAnsi="宋体"/>
          <w:b/>
          <w:bCs/>
          <w:sz w:val="28"/>
          <w:szCs w:val="28"/>
        </w:rPr>
      </w:pPr>
      <w:r w:rsidRPr="00F507DF">
        <w:rPr>
          <w:rFonts w:ascii="仿宋_GB2312" w:eastAsia="仿宋_GB2312" w:hAnsi="宋体" w:hint="eastAsia"/>
          <w:sz w:val="28"/>
          <w:szCs w:val="28"/>
        </w:rPr>
        <w:t>宁海户外用品制造的发展，是深度绑定本地模具、五金、塑料等优势产业，利用相同工艺拓展全新品类的过程。这种转型方式，不需</w:t>
      </w:r>
      <w:r w:rsidRPr="00F507DF">
        <w:rPr>
          <w:rFonts w:ascii="仿宋_GB2312" w:eastAsia="仿宋_GB2312" w:hAnsi="宋体" w:hint="eastAsia"/>
          <w:sz w:val="28"/>
          <w:szCs w:val="28"/>
        </w:rPr>
        <w:lastRenderedPageBreak/>
        <w:t>要颠覆性的技术变革，也不需要巨额的资金投入，非常适合产业要素有限的中小城市学习借鉴。</w:t>
      </w:r>
    </w:p>
    <w:p w14:paraId="22F6A124"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宁海依托模具优势，从传统日用品转型时尚户外用品</w:t>
      </w:r>
      <w:r w:rsidRPr="00F507DF">
        <w:rPr>
          <w:rFonts w:ascii="仿宋_GB2312" w:eastAsia="仿宋_GB2312" w:hAnsi="宋体" w:hint="eastAsia"/>
          <w:sz w:val="28"/>
          <w:szCs w:val="28"/>
        </w:rPr>
        <w:t>。如灯具业“元老”长荣光电，开发了自带太阳能电板和USB接口的手电筒和野营灯，一举打开了“一带一路”上的新市场，其野营灯的产值占比已经高达40%，年产值中有85%来自户外用品，传统手电筒的份额已经微乎其微。</w:t>
      </w:r>
    </w:p>
    <w:p w14:paraId="6A9094A7"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品类拓展，从单一运动杖转向全系列户外用品</w:t>
      </w:r>
      <w:r w:rsidRPr="00F507DF">
        <w:rPr>
          <w:rFonts w:ascii="仿宋_GB2312" w:eastAsia="仿宋_GB2312" w:hAnsi="宋体" w:hint="eastAsia"/>
          <w:sz w:val="28"/>
          <w:szCs w:val="28"/>
        </w:rPr>
        <w:t>。如尖峰旅游用品有限公司就将目光放到了新产品研发上，他们引进研发齐步走，相继推出了雪地靴、狩猎棒、冰爪、冰铲、野营椅、滑雪杆等一系列新产品，目前已占企业总产值的50%，扭转了原先单纯依靠登山杖的局面。</w:t>
      </w:r>
    </w:p>
    <w:p w14:paraId="47A3BBCF"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构建标准，抢占中国户外用品产业制高点</w:t>
      </w:r>
      <w:r w:rsidRPr="00F507DF">
        <w:rPr>
          <w:rFonts w:ascii="仿宋_GB2312" w:eastAsia="仿宋_GB2312" w:hAnsi="宋体" w:hint="eastAsia"/>
          <w:sz w:val="28"/>
          <w:szCs w:val="28"/>
        </w:rPr>
        <w:t>。宁海首先从最强的登山杖领域切入，着手制定户外用品行业标准；其次，打造高等级质检中心，抢占户外用品检测高地。第三，举办高规格展会，提升宁海户外用品的品牌影响力。</w:t>
      </w:r>
    </w:p>
    <w:p w14:paraId="6F68D8AD" w14:textId="77777777" w:rsidR="00C12ECB" w:rsidRPr="00F507DF" w:rsidRDefault="00D45507" w:rsidP="00FF66DC">
      <w:pPr>
        <w:pStyle w:val="4"/>
        <w:ind w:left="420" w:firstLine="239"/>
        <w:rPr>
          <w:rFonts w:ascii="仿宋_GB2312" w:hAnsi="宋体"/>
          <w:b w:val="0"/>
          <w:bCs w:val="0"/>
        </w:rPr>
      </w:pPr>
      <w:r w:rsidRPr="00F507DF">
        <w:rPr>
          <w:rFonts w:ascii="仿宋_GB2312" w:hint="eastAsia"/>
        </w:rPr>
        <w:t>2、深度挖掘山水，将宁海打造成全域户外运动体验场</w:t>
      </w:r>
    </w:p>
    <w:p w14:paraId="244D54F1"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仅有用品制造的户外产业只是狭义“小户外”，只有实现“体验+制造”双轮驱动，才能成就广义“大户外”。为此，宁海充分挖掘自身丰富的山水资源——包括176公里海岸线，2.6万公顷滩涂，12万公顷山林，3.5万公顷耕地等，全力开发多元化户外运动项目，打造全域户外体验场。</w:t>
      </w:r>
    </w:p>
    <w:p w14:paraId="45C07133" w14:textId="778CB3BD"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串珠成链——登山步道串起全域户外大格局。</w:t>
      </w:r>
      <w:r w:rsidRPr="00F507DF">
        <w:rPr>
          <w:rFonts w:ascii="仿宋_GB2312" w:eastAsia="仿宋_GB2312" w:hAnsi="宋体" w:hint="eastAsia"/>
          <w:sz w:val="28"/>
          <w:szCs w:val="28"/>
        </w:rPr>
        <w:t>宁海构建全域户外</w:t>
      </w:r>
      <w:r w:rsidRPr="00F507DF">
        <w:rPr>
          <w:rFonts w:ascii="仿宋_GB2312" w:eastAsia="仿宋_GB2312" w:hAnsi="宋体" w:hint="eastAsia"/>
          <w:sz w:val="28"/>
          <w:szCs w:val="28"/>
        </w:rPr>
        <w:lastRenderedPageBreak/>
        <w:t>体验场的第一步，是打造国家登山健身步道。从2009年到2012年，宁海将徐霞客古道、官道遗迹和山民砍柴路进行了统筹规划，建成了全长500公里的全国第一个登山健身步道系统（NTS），串联起宁海17个街道乡镇、90%以上的行政村，将沿途的景点、村庄，山湖、遗迹等各种资源“串珠成链”，初步构建起覆盖宁海全域的户外运动空间格局，使宁海能以此为契机，在全县各地推动户外运动项目的开发建设。</w:t>
      </w:r>
    </w:p>
    <w:p w14:paraId="02C38E98"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全域体验——多元化户外运动项目遍地开花。</w:t>
      </w:r>
      <w:r w:rsidRPr="00F507DF">
        <w:rPr>
          <w:rFonts w:ascii="仿宋_GB2312" w:eastAsia="仿宋_GB2312" w:hAnsi="宋体" w:hint="eastAsia"/>
          <w:sz w:val="28"/>
          <w:szCs w:val="28"/>
        </w:rPr>
        <w:t>依托国家登山健身步道所构建的空间格局，宁海开始利用自然资源开发不同类型的户外运动项目，构建水陆空“三位一体”的全域户外体验基地。胡陈乡制定了《中国美丽乡村旅游示范乡镇建设实施方案》，打造中国首个户外运动小镇；深甽镇</w:t>
      </w:r>
      <w:r w:rsidRPr="00F507DF">
        <w:rPr>
          <w:rFonts w:ascii="仿宋_GB2312" w:eastAsia="仿宋_GB2312" w:hAnsi="仿宋_GB2312" w:cs="仿宋_GB2312" w:hint="eastAsia"/>
          <w:sz w:val="28"/>
          <w:szCs w:val="28"/>
        </w:rPr>
        <w:t>依托南溪温泉和浙东第一尖开发温泉风情运动小镇和雪山欢乐谷；岔路镇利用浙东大峡谷建设葛洪养生小镇；越溪乡依山傍海，打造沧海桑田露营基地；黄坛镇围绕西溪水库修建华东最美山地自行车道；强蛟镇发挥海岛优势，引进赛艇体验项目。</w:t>
      </w:r>
    </w:p>
    <w:p w14:paraId="23420143" w14:textId="77777777" w:rsidR="00C12ECB" w:rsidRPr="00F507DF" w:rsidRDefault="00D45507" w:rsidP="00FF66DC">
      <w:pPr>
        <w:spacing w:line="560" w:lineRule="atLeast"/>
        <w:ind w:firstLineChars="200" w:firstLine="562"/>
        <w:rPr>
          <w:rFonts w:ascii="仿宋_GB2312" w:eastAsia="仿宋_GB2312" w:hAnsi="宋体"/>
          <w:b/>
          <w:bCs/>
          <w:sz w:val="28"/>
          <w:szCs w:val="28"/>
        </w:rPr>
      </w:pPr>
      <w:r w:rsidRPr="00F507DF">
        <w:rPr>
          <w:rFonts w:ascii="仿宋_GB2312" w:eastAsia="仿宋_GB2312" w:hAnsi="宋体" w:hint="eastAsia"/>
          <w:b/>
          <w:bCs/>
          <w:sz w:val="28"/>
          <w:szCs w:val="28"/>
        </w:rPr>
        <w:t>服务升级——打造“体验不重样”的特色民宿集群。</w:t>
      </w:r>
      <w:r w:rsidRPr="00F507DF">
        <w:rPr>
          <w:rFonts w:ascii="仿宋_GB2312" w:eastAsia="仿宋_GB2312" w:hAnsi="宋体" w:hint="eastAsia"/>
          <w:sz w:val="28"/>
          <w:szCs w:val="28"/>
        </w:rPr>
        <w:t>宁海民宿的发展策略是多元化、差异化，对全县民宿发展进行了统筹规划，划分“田园、温泉、古镇、滨海”四大民宿板块，并以整村为建制培育一村一集群。目前已形成双林、南岭、梅山等15个特色民宿集群，民宿总数700余家，年营收超2亿元，入住率更是高达63%，远超全国30%的平均水平。</w:t>
      </w:r>
    </w:p>
    <w:p w14:paraId="363728FB" w14:textId="77777777" w:rsidR="00C12ECB" w:rsidRPr="00F507DF" w:rsidRDefault="00D45507" w:rsidP="00FF66DC">
      <w:pPr>
        <w:pStyle w:val="4"/>
        <w:ind w:left="420" w:firstLine="239"/>
        <w:rPr>
          <w:rFonts w:ascii="仿宋_GB2312"/>
        </w:rPr>
      </w:pPr>
      <w:r w:rsidRPr="00F507DF">
        <w:rPr>
          <w:rFonts w:ascii="仿宋_GB2312" w:hint="eastAsia"/>
        </w:rPr>
        <w:lastRenderedPageBreak/>
        <w:t>3、深度占有品牌，通过名人代言和赛事推广，塑造“宁海户外”品牌影响力</w:t>
      </w:r>
    </w:p>
    <w:p w14:paraId="7D2BF428"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宁海发展户外产业，除了用品制造和体验服务外，还打造了一块叫得响的产业品牌。</w:t>
      </w:r>
    </w:p>
    <w:p w14:paraId="1A428D9B" w14:textId="77777777"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名人代言，面向大众扩大品牌影响力。</w:t>
      </w:r>
      <w:r w:rsidRPr="00F507DF">
        <w:rPr>
          <w:rFonts w:ascii="仿宋_GB2312" w:eastAsia="仿宋_GB2312" w:hAnsi="宋体" w:hint="eastAsia"/>
          <w:sz w:val="28"/>
          <w:szCs w:val="28"/>
        </w:rPr>
        <w:t>中国最著名“驴友”徐霞客无疑是担任宁海户外产业代言人的第一选择。早在1997年，宁海学者童章回就考证出了徐霞客从宁海开游的确切日期——1613年5月19日，并实地踏勘了从宁海西门到天台山华顶峰这段徐霞客古道的详细路径。随后，宁海开始致力于5·19国家旅游日的申报工作。为了扩大宣传力度，宁海从2002年起每年举办徐霞客开游节，逐步塑造徐霞客开游地的品牌形象。2011年，5·19国家旅游日最终落地，宁海也如愿以偿地占有了这个中国最强的户外IP。</w:t>
      </w:r>
    </w:p>
    <w:p w14:paraId="063F3C84" w14:textId="362C8D5B" w:rsidR="00C12ECB" w:rsidRPr="00F507DF" w:rsidRDefault="00D45507" w:rsidP="00FF66DC">
      <w:pPr>
        <w:spacing w:line="560" w:lineRule="atLeast"/>
        <w:ind w:firstLineChars="200" w:firstLine="562"/>
        <w:rPr>
          <w:rFonts w:ascii="仿宋_GB2312" w:eastAsia="仿宋_GB2312" w:hAnsi="宋体"/>
          <w:sz w:val="28"/>
          <w:szCs w:val="28"/>
        </w:rPr>
      </w:pPr>
      <w:r w:rsidRPr="00F507DF">
        <w:rPr>
          <w:rFonts w:ascii="仿宋_GB2312" w:eastAsia="仿宋_GB2312" w:hAnsi="宋体" w:hint="eastAsia"/>
          <w:b/>
          <w:bCs/>
          <w:sz w:val="28"/>
          <w:szCs w:val="28"/>
        </w:rPr>
        <w:t>赛事推广，牢固吸附专业户外人群。</w:t>
      </w:r>
      <w:r w:rsidRPr="00F507DF">
        <w:rPr>
          <w:rFonts w:ascii="仿宋_GB2312" w:eastAsia="仿宋_GB2312" w:hAnsi="宋体" w:hint="eastAsia"/>
          <w:sz w:val="28"/>
          <w:szCs w:val="28"/>
        </w:rPr>
        <w:t>宣传宁海户外品牌，既要抓住数量庞大的“户外小白”，也要抓住人数较少的专业户外人群，他们将决定宁海在专业户外社群中的口碑和影响力。为此，宁海通过举办高规格、多样化的户外赛事，牢牢地吸附住户外运动发烧友。宁海最具影响力的户外赛事，是依托国家登山健身步道开展的“千里走宁海”，从每年重阳节开始的7个月内，宁海都会精心设计7条各具特色的路线，每月举办一站越野徒步大赛。在此基础上，宁海户外赛事开始向更高规格和更广舞台拓展。2017年，宁海越野挑战赛成为第一个纳入全球越野跑巡回赛“发现赛系列”（UTWT Discovery Race）的中国大陆赛事，每年能吸引上千名全球越野跑顶尖高手参赛。</w:t>
      </w:r>
    </w:p>
    <w:p w14:paraId="43015930" w14:textId="77777777" w:rsidR="00C12ECB" w:rsidRPr="00F507DF" w:rsidRDefault="00D45507" w:rsidP="00FF66DC">
      <w:pPr>
        <w:pStyle w:val="3"/>
        <w:numPr>
          <w:ilvl w:val="0"/>
          <w:numId w:val="12"/>
        </w:numPr>
        <w:ind w:left="420" w:firstLine="200"/>
        <w:rPr>
          <w:rFonts w:ascii="黑体" w:eastAsia="黑体" w:hAnsi="黑体"/>
          <w:sz w:val="28"/>
          <w:szCs w:val="28"/>
        </w:rPr>
      </w:pPr>
      <w:r w:rsidRPr="00F507DF">
        <w:rPr>
          <w:rFonts w:ascii="黑体" w:eastAsia="黑体" w:hAnsi="黑体" w:hint="eastAsia"/>
          <w:sz w:val="28"/>
          <w:szCs w:val="28"/>
        </w:rPr>
        <w:lastRenderedPageBreak/>
        <w:t>案例总结</w:t>
      </w:r>
    </w:p>
    <w:p w14:paraId="25C759FC"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新兴康养产业区别于传统的基于自然资源、医疗资源或文化资源的康养模式，仍然缺少清晰的界定和结构化的认知，因此能够借鉴的经验路径也并不明晰。新兴康养产业或是通过技术手段突破传统康养的时空约束，如数字康养产业；或是通过某种细分产业与康养的结合创造新的康养热点，如运动康养产业。</w:t>
      </w:r>
    </w:p>
    <w:p w14:paraId="6BD3E053" w14:textId="2EF4F71C"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数字康养凭借大数据、人工智能、云计算等技术渗透到健康医疗的各个环节，需要一定的技术基础，在缺少本地技术和企业优势的情况下，可以参考华西医院和昆明健康管理平台的建设经验，以智慧医院、智能化的健康管理机构建设为切入点。一方面引入智慧医院平台服务企业对南阳市本地重点医院进行智慧化改造，同时通过互联网将本地药店业务拓展至线上，完善医药服务供给的智慧化。另一方面搭建统一的健康管理用户平台，将智慧康养的理念融入到日常生活中，培育用户对于数字康养的需求。在供需两端都达到一定规模后，可引进华为、阿里等企业拓展本地化的智慧医疗设备生产与技术服务。</w:t>
      </w:r>
    </w:p>
    <w:p w14:paraId="791C56BE" w14:textId="7BB230AC" w:rsidR="00F8111A"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宁海运动康养产业基于对产业本身的深刻理解，充分挖掘自身资源，从制造、体验、品牌三个层面全面占据整个产业过程。由于产业要素有限，南阳市很难在短时间内开拓一个全新的产业方向。与其在未知领域挣扎，不如发挥自身所长，选择那些工艺流程相似，但附加值更高，市场前景更好的细分领域，集中发力，深度占有，形成独特的产业竞争力，这样才有可能在强者如云的产业森林中争得一席之地。</w:t>
      </w:r>
    </w:p>
    <w:p w14:paraId="6665FCA3" w14:textId="77777777" w:rsidR="00F8111A" w:rsidRPr="00F507DF" w:rsidRDefault="00F8111A" w:rsidP="00FF66DC">
      <w:pPr>
        <w:spacing w:line="560" w:lineRule="atLeast"/>
        <w:ind w:firstLineChars="200" w:firstLine="560"/>
        <w:rPr>
          <w:rFonts w:ascii="仿宋_GB2312" w:eastAsia="仿宋_GB2312" w:hAnsi="宋体"/>
          <w:sz w:val="28"/>
          <w:szCs w:val="28"/>
        </w:rPr>
      </w:pPr>
    </w:p>
    <w:p w14:paraId="6FC44407" w14:textId="77777777" w:rsidR="00C12ECB" w:rsidRPr="00F507DF" w:rsidRDefault="00D45507" w:rsidP="00FF66DC">
      <w:pPr>
        <w:pStyle w:val="1"/>
        <w:numPr>
          <w:ilvl w:val="0"/>
          <w:numId w:val="1"/>
        </w:numPr>
        <w:ind w:firstLine="200"/>
        <w:jc w:val="center"/>
        <w:rPr>
          <w:rFonts w:ascii="黑体" w:eastAsia="黑体" w:hAnsi="黑体"/>
          <w:sz w:val="36"/>
          <w:szCs w:val="36"/>
        </w:rPr>
      </w:pPr>
      <w:bookmarkStart w:id="16" w:name="_Toc54008907"/>
      <w:r w:rsidRPr="00F507DF">
        <w:rPr>
          <w:rFonts w:ascii="黑体" w:eastAsia="黑体" w:hAnsi="黑体" w:hint="eastAsia"/>
          <w:sz w:val="36"/>
          <w:szCs w:val="36"/>
        </w:rPr>
        <w:t>南阳康养发展经验借鉴</w:t>
      </w:r>
      <w:bookmarkEnd w:id="16"/>
    </w:p>
    <w:p w14:paraId="5772AE89" w14:textId="77777777" w:rsidR="00C12ECB" w:rsidRPr="00F507DF" w:rsidRDefault="00D45507" w:rsidP="00FF66DC">
      <w:pPr>
        <w:pStyle w:val="2"/>
        <w:numPr>
          <w:ilvl w:val="0"/>
          <w:numId w:val="13"/>
        </w:numPr>
      </w:pPr>
      <w:bookmarkStart w:id="17" w:name="_Toc54008908"/>
      <w:r w:rsidRPr="00F507DF">
        <w:rPr>
          <w:rFonts w:hint="eastAsia"/>
        </w:rPr>
        <w:t>中医药康养借鉴经验</w:t>
      </w:r>
      <w:bookmarkEnd w:id="17"/>
    </w:p>
    <w:p w14:paraId="659EB07C" w14:textId="77777777" w:rsidR="00C12ECB" w:rsidRPr="00F507DF" w:rsidRDefault="00D45507" w:rsidP="00FF66DC">
      <w:pPr>
        <w:pStyle w:val="3"/>
        <w:numPr>
          <w:ilvl w:val="0"/>
          <w:numId w:val="14"/>
        </w:numPr>
        <w:ind w:firstLine="200"/>
        <w:rPr>
          <w:rFonts w:ascii="黑体" w:eastAsia="黑体" w:hAnsi="黑体"/>
          <w:sz w:val="28"/>
          <w:szCs w:val="28"/>
        </w:rPr>
      </w:pPr>
      <w:r w:rsidRPr="00F507DF">
        <w:rPr>
          <w:rFonts w:ascii="黑体" w:eastAsia="黑体" w:hAnsi="黑体" w:hint="eastAsia"/>
          <w:sz w:val="28"/>
          <w:szCs w:val="28"/>
        </w:rPr>
        <w:t>阐释中医药文化</w:t>
      </w:r>
    </w:p>
    <w:p w14:paraId="13E56269" w14:textId="77777777"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南阳本身具有较好的中医药种植基础和张仲景故里的历史文化传统，在发展中医药康养时一方面需要像五大连池一样进行深入的挖掘，讲清每一份中医资源的故事和治疗原理，丰富产品内涵，增强游客群体对相关产品的信任度。另一方面，要突出自身独有的资源，即张仲景故里，以此作为品牌扩大对外宣传的力度。</w:t>
      </w:r>
    </w:p>
    <w:p w14:paraId="61FD160E" w14:textId="77777777" w:rsidR="00C12ECB" w:rsidRPr="00F507DF" w:rsidRDefault="00D45507" w:rsidP="00FF66DC">
      <w:pPr>
        <w:pStyle w:val="3"/>
        <w:numPr>
          <w:ilvl w:val="0"/>
          <w:numId w:val="14"/>
        </w:numPr>
        <w:ind w:firstLine="200"/>
        <w:rPr>
          <w:rFonts w:ascii="黑体" w:eastAsia="黑体" w:hAnsi="黑体"/>
          <w:sz w:val="28"/>
          <w:szCs w:val="28"/>
        </w:rPr>
      </w:pPr>
      <w:r w:rsidRPr="00F507DF">
        <w:rPr>
          <w:rFonts w:ascii="黑体" w:eastAsia="黑体" w:hAnsi="黑体" w:hint="eastAsia"/>
          <w:sz w:val="28"/>
          <w:szCs w:val="28"/>
        </w:rPr>
        <w:t>拓展中医药产业</w:t>
      </w:r>
    </w:p>
    <w:p w14:paraId="454414F7" w14:textId="001CA9AE"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中医药康养的内涵是</w:t>
      </w:r>
      <w:r w:rsidR="00E51A35" w:rsidRPr="00F507DF">
        <w:rPr>
          <w:rFonts w:ascii="仿宋_GB2312" w:eastAsia="仿宋_GB2312" w:hAnsi="宋体" w:hint="eastAsia"/>
          <w:sz w:val="28"/>
          <w:szCs w:val="28"/>
        </w:rPr>
        <w:t>极其</w:t>
      </w:r>
      <w:r w:rsidRPr="00F507DF">
        <w:rPr>
          <w:rFonts w:ascii="仿宋_GB2312" w:eastAsia="仿宋_GB2312" w:hAnsi="宋体" w:hint="eastAsia"/>
          <w:sz w:val="28"/>
          <w:szCs w:val="28"/>
        </w:rPr>
        <w:t>丰富的，包括中医药种植、中医药研发生产、中医针灸、推拿</w:t>
      </w:r>
      <w:r w:rsidR="00E51A35" w:rsidRPr="00F507DF">
        <w:rPr>
          <w:rFonts w:ascii="仿宋_GB2312" w:eastAsia="仿宋_GB2312" w:hAnsi="宋体" w:hint="eastAsia"/>
          <w:sz w:val="28"/>
          <w:szCs w:val="28"/>
        </w:rPr>
        <w:t>、</w:t>
      </w:r>
      <w:r w:rsidRPr="00F507DF">
        <w:rPr>
          <w:rFonts w:ascii="仿宋_GB2312" w:eastAsia="仿宋_GB2312" w:hAnsi="宋体" w:hint="eastAsia"/>
          <w:sz w:val="28"/>
          <w:szCs w:val="28"/>
        </w:rPr>
        <w:t>中医膳食等，贯穿了一二三次产业。而中医药服务的对象毕竟有限，中医药康养需要与其他旅游产品结合、嵌套，如可以学习弗莱堡的经验，下游的酒店行业可以与中医服务机构建立合作，在酒店也可以享受中医理疗服务。</w:t>
      </w:r>
    </w:p>
    <w:p w14:paraId="5FE52790" w14:textId="77777777" w:rsidR="00C12ECB" w:rsidRPr="00F507DF" w:rsidRDefault="00D45507" w:rsidP="00FF66DC">
      <w:pPr>
        <w:pStyle w:val="3"/>
        <w:numPr>
          <w:ilvl w:val="0"/>
          <w:numId w:val="14"/>
        </w:numPr>
        <w:ind w:firstLine="200"/>
        <w:rPr>
          <w:rFonts w:ascii="黑体" w:eastAsia="黑体" w:hAnsi="黑体"/>
          <w:sz w:val="28"/>
          <w:szCs w:val="28"/>
        </w:rPr>
      </w:pPr>
      <w:r w:rsidRPr="00F507DF">
        <w:rPr>
          <w:rFonts w:ascii="黑体" w:eastAsia="黑体" w:hAnsi="黑体" w:hint="eastAsia"/>
          <w:sz w:val="28"/>
          <w:szCs w:val="28"/>
        </w:rPr>
        <w:t>制定中医药标准</w:t>
      </w:r>
    </w:p>
    <w:p w14:paraId="752BA55D" w14:textId="0D2D516D"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医药产业有着严格的行业标准，掌握了标准即掌握了话语权，无论是安徽亳州的中医药标准还是浙江宁海的户外运动装备标准，其目</w:t>
      </w:r>
      <w:r w:rsidRPr="00F507DF">
        <w:rPr>
          <w:rFonts w:ascii="仿宋_GB2312" w:eastAsia="仿宋_GB2312" w:hAnsi="宋体" w:hint="eastAsia"/>
          <w:sz w:val="28"/>
          <w:szCs w:val="28"/>
        </w:rPr>
        <w:lastRenderedPageBreak/>
        <w:t>的都是为了争夺行业内的话语权。南阳本地特色中医药种类不少，如八大宛药，应加紧制定出台相关医药品种的行业标准，树立南阳中医药的品牌地位和话语权。</w:t>
      </w:r>
    </w:p>
    <w:p w14:paraId="2673C9C3" w14:textId="77777777" w:rsidR="00C12ECB" w:rsidRPr="00F507DF" w:rsidRDefault="00D45507" w:rsidP="00FF66DC">
      <w:pPr>
        <w:pStyle w:val="2"/>
        <w:numPr>
          <w:ilvl w:val="0"/>
          <w:numId w:val="13"/>
        </w:numPr>
      </w:pPr>
      <w:bookmarkStart w:id="18" w:name="_Toc54008909"/>
      <w:r w:rsidRPr="00F507DF">
        <w:rPr>
          <w:rFonts w:hint="eastAsia"/>
        </w:rPr>
        <w:t>文旅康养借鉴经验</w:t>
      </w:r>
      <w:bookmarkEnd w:id="18"/>
    </w:p>
    <w:p w14:paraId="431003C0" w14:textId="77777777" w:rsidR="00C12ECB" w:rsidRPr="00F507DF" w:rsidRDefault="00D45507" w:rsidP="00FF66DC">
      <w:pPr>
        <w:pStyle w:val="3"/>
        <w:numPr>
          <w:ilvl w:val="0"/>
          <w:numId w:val="15"/>
        </w:numPr>
        <w:ind w:firstLine="200"/>
        <w:rPr>
          <w:rFonts w:ascii="黑体" w:eastAsia="黑体" w:hAnsi="黑体"/>
          <w:sz w:val="28"/>
          <w:szCs w:val="28"/>
        </w:rPr>
      </w:pPr>
      <w:r w:rsidRPr="00F507DF">
        <w:rPr>
          <w:rFonts w:ascii="黑体" w:eastAsia="黑体" w:hAnsi="黑体" w:hint="eastAsia"/>
          <w:sz w:val="28"/>
          <w:szCs w:val="28"/>
        </w:rPr>
        <w:t>保护提升核心资源</w:t>
      </w:r>
    </w:p>
    <w:p w14:paraId="586CA248" w14:textId="66A62C82"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无论是文化旅游资源还是自然旅游资源，作为吸引游客的核心，都应注重对其进行保护和提升，确立自身的竞争优势。千岛湖在发展过程中</w:t>
      </w:r>
      <w:r w:rsidR="00E51A35" w:rsidRPr="00F507DF">
        <w:rPr>
          <w:rFonts w:ascii="仿宋_GB2312" w:eastAsia="仿宋_GB2312" w:hAnsi="宋体" w:hint="eastAsia"/>
          <w:sz w:val="28"/>
          <w:szCs w:val="28"/>
        </w:rPr>
        <w:t>极</w:t>
      </w:r>
      <w:r w:rsidRPr="00F507DF">
        <w:rPr>
          <w:rFonts w:ascii="仿宋_GB2312" w:eastAsia="仿宋_GB2312" w:hAnsi="宋体" w:hint="eastAsia"/>
          <w:sz w:val="28"/>
          <w:szCs w:val="28"/>
        </w:rPr>
        <w:t>其注重对生态环境的保护和水质监控，弗莱堡则通过康养导向的城市设计突出日光、通风以及深入森林的康养步道，最大化相关资源的利用程度，只有核心资源可持续，在此基础上发展而来的康养旅游才能够持续。</w:t>
      </w:r>
    </w:p>
    <w:p w14:paraId="5A9A9393" w14:textId="77777777" w:rsidR="00C12ECB" w:rsidRPr="00F507DF" w:rsidRDefault="00D45507" w:rsidP="00FF66DC">
      <w:pPr>
        <w:pStyle w:val="3"/>
        <w:numPr>
          <w:ilvl w:val="0"/>
          <w:numId w:val="15"/>
        </w:numPr>
        <w:ind w:firstLine="200"/>
        <w:rPr>
          <w:rFonts w:ascii="黑体" w:eastAsia="黑体" w:hAnsi="黑体"/>
          <w:sz w:val="28"/>
          <w:szCs w:val="28"/>
        </w:rPr>
      </w:pPr>
      <w:r w:rsidRPr="00F507DF">
        <w:rPr>
          <w:rFonts w:ascii="黑体" w:eastAsia="黑体" w:hAnsi="黑体" w:hint="eastAsia"/>
          <w:sz w:val="28"/>
          <w:szCs w:val="28"/>
        </w:rPr>
        <w:t>加强文旅康养融合</w:t>
      </w:r>
    </w:p>
    <w:p w14:paraId="771C4C0F" w14:textId="77777777" w:rsidR="00C12ECB" w:rsidRPr="00F507DF" w:rsidRDefault="00D45507" w:rsidP="00FF66DC">
      <w:pPr>
        <w:spacing w:line="560" w:lineRule="atLeast"/>
        <w:ind w:firstLineChars="200" w:firstLine="560"/>
        <w:rPr>
          <w:rFonts w:ascii="仿宋_GB2312" w:eastAsia="仿宋_GB2312" w:hAnsi="宋体"/>
          <w:b/>
          <w:bCs/>
          <w:sz w:val="28"/>
          <w:szCs w:val="28"/>
        </w:rPr>
      </w:pPr>
      <w:r w:rsidRPr="00F507DF">
        <w:rPr>
          <w:rFonts w:ascii="仿宋_GB2312" w:eastAsia="仿宋_GB2312" w:hAnsi="宋体" w:hint="eastAsia"/>
          <w:sz w:val="28"/>
          <w:szCs w:val="28"/>
        </w:rPr>
        <w:t>南阳市本身旅游业具有一定的发展基础，但仍然停留于休闲观光旅游的阶段，游客停留时间短、旅游消费低。在旅游市场整体向度假游转变的背景下，可以加强文旅与康养产业的融合，将南阳本地自然旅游资源和中医药文化、酒文化等文化资源注入康养元素，开发粘性较高的康养度假产品，延长游客的停留时间，增加游客的旅游消费。</w:t>
      </w:r>
    </w:p>
    <w:p w14:paraId="139EDD9A" w14:textId="77777777" w:rsidR="00C12ECB" w:rsidRPr="00F507DF" w:rsidRDefault="00D45507" w:rsidP="00FF66DC">
      <w:pPr>
        <w:pStyle w:val="3"/>
        <w:numPr>
          <w:ilvl w:val="0"/>
          <w:numId w:val="15"/>
        </w:numPr>
        <w:ind w:firstLine="200"/>
        <w:rPr>
          <w:rFonts w:ascii="黑体" w:eastAsia="黑体" w:hAnsi="黑体"/>
          <w:sz w:val="28"/>
          <w:szCs w:val="28"/>
        </w:rPr>
      </w:pPr>
      <w:r w:rsidRPr="00F507DF">
        <w:rPr>
          <w:rFonts w:ascii="黑体" w:eastAsia="黑体" w:hAnsi="黑体" w:hint="eastAsia"/>
          <w:sz w:val="28"/>
          <w:szCs w:val="28"/>
        </w:rPr>
        <w:t>完善旅游基础设施</w:t>
      </w:r>
    </w:p>
    <w:p w14:paraId="50A8240D" w14:textId="5BFD3649"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在所有提及的案例中，几乎都具有较为完善的旅游基础设施，不</w:t>
      </w:r>
      <w:r w:rsidRPr="00F507DF">
        <w:rPr>
          <w:rFonts w:ascii="仿宋_GB2312" w:eastAsia="仿宋_GB2312" w:hAnsi="宋体" w:hint="eastAsia"/>
          <w:sz w:val="28"/>
          <w:szCs w:val="28"/>
        </w:rPr>
        <w:lastRenderedPageBreak/>
        <w:t>仅包括道路交通、住宿餐饮，还包括票务系统、讲解系统、康养服务机构等，这一领域南阳可以与数字康养相结合，进行智慧景区、智慧交通、智慧酒店等方面的建设，不仅追求基础设施的完善，还需要追求设施使用的便捷性和高效率。</w:t>
      </w:r>
    </w:p>
    <w:p w14:paraId="5D7BEF05" w14:textId="77777777" w:rsidR="00C12ECB" w:rsidRPr="00F507DF" w:rsidRDefault="00D45507" w:rsidP="00FF66DC">
      <w:pPr>
        <w:pStyle w:val="2"/>
        <w:numPr>
          <w:ilvl w:val="0"/>
          <w:numId w:val="13"/>
        </w:numPr>
      </w:pPr>
      <w:bookmarkStart w:id="19" w:name="_Toc54008910"/>
      <w:r w:rsidRPr="00F507DF">
        <w:rPr>
          <w:rFonts w:hint="eastAsia"/>
        </w:rPr>
        <w:t>数字康养借鉴经验</w:t>
      </w:r>
      <w:bookmarkEnd w:id="19"/>
    </w:p>
    <w:p w14:paraId="768D8D05" w14:textId="77777777" w:rsidR="00C12ECB" w:rsidRPr="00F507DF" w:rsidRDefault="00D45507" w:rsidP="00FF66DC">
      <w:pPr>
        <w:pStyle w:val="3"/>
        <w:numPr>
          <w:ilvl w:val="0"/>
          <w:numId w:val="16"/>
        </w:numPr>
        <w:ind w:firstLine="200"/>
        <w:rPr>
          <w:rFonts w:ascii="黑体" w:eastAsia="黑体" w:hAnsi="黑体"/>
          <w:sz w:val="24"/>
          <w:szCs w:val="24"/>
        </w:rPr>
      </w:pPr>
      <w:r w:rsidRPr="00F507DF">
        <w:rPr>
          <w:rFonts w:ascii="黑体" w:eastAsia="黑体" w:hAnsi="黑体" w:hint="eastAsia"/>
          <w:sz w:val="28"/>
          <w:szCs w:val="28"/>
        </w:rPr>
        <w:t>由应用场景导入</w:t>
      </w:r>
    </w:p>
    <w:p w14:paraId="4CA38BC9" w14:textId="77777777" w:rsidR="00F8111A"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数字康养的技术和算法层面要求比较高，但应用场景包括医院、药店、健康管理机构等康养产业常见场景。南阳可以从相对普遍的应用场景着手导入，搭建智慧医院管理平台，提高医院管理效率，通过互联网加强本地医院与国内知名医院的沟通。</w:t>
      </w:r>
    </w:p>
    <w:p w14:paraId="2F6802D6" w14:textId="4F38AF22"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同时将药店、健康管理服务机构纳入网上平台，便于用户用药购药，形成数字康养的大环境。在南阳本地积累一定市场后，吸引后台核心软件企业和智慧医疗器械生产企业入驻，打通数字康养的产业链。</w:t>
      </w:r>
    </w:p>
    <w:p w14:paraId="444195B2" w14:textId="77777777" w:rsidR="00C12ECB" w:rsidRPr="00F507DF" w:rsidRDefault="00D45507" w:rsidP="00FF66DC">
      <w:pPr>
        <w:pStyle w:val="3"/>
        <w:numPr>
          <w:ilvl w:val="0"/>
          <w:numId w:val="16"/>
        </w:numPr>
        <w:ind w:firstLine="200"/>
        <w:rPr>
          <w:rFonts w:ascii="黑体" w:eastAsia="黑体" w:hAnsi="黑体"/>
          <w:sz w:val="28"/>
          <w:szCs w:val="28"/>
        </w:rPr>
      </w:pPr>
      <w:r w:rsidRPr="00F507DF">
        <w:rPr>
          <w:rFonts w:ascii="黑体" w:eastAsia="黑体" w:hAnsi="黑体" w:hint="eastAsia"/>
          <w:sz w:val="28"/>
          <w:szCs w:val="28"/>
        </w:rPr>
        <w:t>抓住细分环节深入挖掘</w:t>
      </w:r>
    </w:p>
    <w:p w14:paraId="2318B238" w14:textId="61E4653E" w:rsidR="00C12ECB" w:rsidRPr="00F507DF" w:rsidRDefault="00D45507" w:rsidP="00FF66DC">
      <w:pPr>
        <w:spacing w:line="560" w:lineRule="atLeast"/>
        <w:ind w:firstLineChars="200" w:firstLine="560"/>
        <w:rPr>
          <w:rFonts w:ascii="仿宋_GB2312" w:eastAsia="仿宋_GB2312" w:hAnsi="宋体"/>
          <w:sz w:val="28"/>
          <w:szCs w:val="28"/>
        </w:rPr>
      </w:pPr>
      <w:r w:rsidRPr="00F507DF">
        <w:rPr>
          <w:rFonts w:ascii="仿宋_GB2312" w:eastAsia="仿宋_GB2312" w:hAnsi="宋体" w:hint="eastAsia"/>
          <w:sz w:val="28"/>
          <w:szCs w:val="28"/>
        </w:rPr>
        <w:t>宁海市通过运动产业中登山杖、手电筒这样的细分环节构建起运动康养的框架，南阳市同样可以借鉴这一经验，在自身发展基础上寻找重点突破口。如借助自身在数据标签领域的一定基础，以数据标签业务</w:t>
      </w:r>
      <w:r w:rsidR="00E51A35" w:rsidRPr="00F507DF">
        <w:rPr>
          <w:rFonts w:ascii="仿宋_GB2312" w:eastAsia="仿宋_GB2312" w:hAnsi="宋体" w:hint="eastAsia"/>
          <w:sz w:val="28"/>
          <w:szCs w:val="28"/>
        </w:rPr>
        <w:t>为</w:t>
      </w:r>
      <w:r w:rsidRPr="00F507DF">
        <w:rPr>
          <w:rFonts w:ascii="仿宋_GB2312" w:eastAsia="仿宋_GB2312" w:hAnsi="宋体" w:hint="eastAsia"/>
          <w:sz w:val="28"/>
          <w:szCs w:val="28"/>
        </w:rPr>
        <w:t>突破口做大做强，并不断</w:t>
      </w:r>
      <w:r w:rsidR="00E51A35" w:rsidRPr="00F507DF">
        <w:rPr>
          <w:rFonts w:ascii="仿宋_GB2312" w:eastAsia="仿宋_GB2312" w:hAnsi="宋体" w:hint="eastAsia"/>
          <w:sz w:val="28"/>
          <w:szCs w:val="28"/>
        </w:rPr>
        <w:t>拓展</w:t>
      </w:r>
      <w:r w:rsidRPr="00F507DF">
        <w:rPr>
          <w:rFonts w:ascii="仿宋_GB2312" w:eastAsia="仿宋_GB2312" w:hAnsi="宋体" w:hint="eastAsia"/>
          <w:sz w:val="28"/>
          <w:szCs w:val="28"/>
        </w:rPr>
        <w:t>人工智能和大数据领域的其他业务，为数字康养奠定基础。</w:t>
      </w:r>
    </w:p>
    <w:sectPr w:rsidR="00C12ECB" w:rsidRPr="00F507DF">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74B11" w14:textId="77777777" w:rsidR="006966A7" w:rsidRDefault="006966A7">
      <w:r>
        <w:separator/>
      </w:r>
    </w:p>
  </w:endnote>
  <w:endnote w:type="continuationSeparator" w:id="0">
    <w:p w14:paraId="4172EF35" w14:textId="77777777" w:rsidR="006966A7" w:rsidRDefault="0069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166F3" w14:textId="77777777" w:rsidR="00384ECB" w:rsidRDefault="00384ECB">
    <w:pPr>
      <w:pStyle w:val="a5"/>
      <w:jc w:val="center"/>
    </w:pPr>
  </w:p>
  <w:p w14:paraId="7877260E" w14:textId="77777777" w:rsidR="00384ECB" w:rsidRDefault="00384E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7311"/>
    </w:sdtPr>
    <w:sdtEndPr/>
    <w:sdtContent>
      <w:p w14:paraId="13CAF4DF" w14:textId="77777777" w:rsidR="00384ECB" w:rsidRDefault="00384ECB">
        <w:pPr>
          <w:pStyle w:val="a5"/>
          <w:jc w:val="center"/>
        </w:pPr>
        <w:r>
          <w:fldChar w:fldCharType="begin"/>
        </w:r>
        <w:r>
          <w:instrText>PAGE   \* MERGEFORMAT</w:instrText>
        </w:r>
        <w:r>
          <w:fldChar w:fldCharType="separate"/>
        </w:r>
        <w:r w:rsidR="00A81B0C" w:rsidRPr="00A81B0C">
          <w:rPr>
            <w:noProof/>
            <w:lang w:val="zh-CN"/>
          </w:rPr>
          <w:t>2</w:t>
        </w:r>
        <w:r>
          <w:fldChar w:fldCharType="end"/>
        </w:r>
      </w:p>
    </w:sdtContent>
  </w:sdt>
  <w:p w14:paraId="6C20CEB3" w14:textId="77777777" w:rsidR="00384ECB" w:rsidRDefault="00384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BAFB0" w14:textId="77777777" w:rsidR="006966A7" w:rsidRDefault="006966A7">
      <w:r>
        <w:separator/>
      </w:r>
    </w:p>
  </w:footnote>
  <w:footnote w:type="continuationSeparator" w:id="0">
    <w:p w14:paraId="73F6724F" w14:textId="77777777" w:rsidR="006966A7" w:rsidRDefault="00696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BD7"/>
    <w:multiLevelType w:val="multilevel"/>
    <w:tmpl w:val="00196BD7"/>
    <w:lvl w:ilvl="0">
      <w:start w:val="1"/>
      <w:numFmt w:val="chineseCountingThousand"/>
      <w:lvlText w:val="(%1)"/>
      <w:lvlJc w:val="left"/>
      <w:pPr>
        <w:ind w:left="420" w:hanging="420"/>
      </w:p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B43B10"/>
    <w:multiLevelType w:val="multilevel"/>
    <w:tmpl w:val="07B43B1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DA25EB"/>
    <w:multiLevelType w:val="multilevel"/>
    <w:tmpl w:val="09DA25EB"/>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0D4A7C88"/>
    <w:multiLevelType w:val="multilevel"/>
    <w:tmpl w:val="0D4A7C8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0082384"/>
    <w:multiLevelType w:val="multilevel"/>
    <w:tmpl w:val="1008238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303938"/>
    <w:multiLevelType w:val="multilevel"/>
    <w:tmpl w:val="1B30393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4F464D"/>
    <w:multiLevelType w:val="multilevel"/>
    <w:tmpl w:val="1C4F464D"/>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204701CC"/>
    <w:multiLevelType w:val="multilevel"/>
    <w:tmpl w:val="204701CC"/>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AC7AE6"/>
    <w:multiLevelType w:val="multilevel"/>
    <w:tmpl w:val="CF00DC14"/>
    <w:lvl w:ilvl="0">
      <w:start w:val="1"/>
      <w:numFmt w:val="japaneseCounting"/>
      <w:pStyle w:val="2"/>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B4F2E50"/>
    <w:multiLevelType w:val="multilevel"/>
    <w:tmpl w:val="2B4F2E5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721E6B"/>
    <w:multiLevelType w:val="multilevel"/>
    <w:tmpl w:val="31721E6B"/>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475714DD"/>
    <w:multiLevelType w:val="multilevel"/>
    <w:tmpl w:val="475714D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A146B4"/>
    <w:multiLevelType w:val="multilevel"/>
    <w:tmpl w:val="4AA146B4"/>
    <w:lvl w:ilvl="0">
      <w:start w:val="1"/>
      <w:numFmt w:val="chineseCountingThousand"/>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B13CEA"/>
    <w:multiLevelType w:val="multilevel"/>
    <w:tmpl w:val="4AB13CEA"/>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4">
    <w:nsid w:val="4CF049AB"/>
    <w:multiLevelType w:val="multilevel"/>
    <w:tmpl w:val="4CF049A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4A54D6A"/>
    <w:multiLevelType w:val="multilevel"/>
    <w:tmpl w:val="64A54D6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8"/>
  </w:num>
  <w:num w:numId="3">
    <w:abstractNumId w:val="0"/>
  </w:num>
  <w:num w:numId="4">
    <w:abstractNumId w:val="4"/>
  </w:num>
  <w:num w:numId="5">
    <w:abstractNumId w:val="3"/>
  </w:num>
  <w:num w:numId="6">
    <w:abstractNumId w:val="7"/>
  </w:num>
  <w:num w:numId="7">
    <w:abstractNumId w:val="5"/>
  </w:num>
  <w:num w:numId="8">
    <w:abstractNumId w:val="11"/>
  </w:num>
  <w:num w:numId="9">
    <w:abstractNumId w:val="6"/>
  </w:num>
  <w:num w:numId="10">
    <w:abstractNumId w:val="10"/>
  </w:num>
  <w:num w:numId="11">
    <w:abstractNumId w:val="13"/>
  </w:num>
  <w:num w:numId="12">
    <w:abstractNumId w:val="2"/>
  </w:num>
  <w:num w:numId="13">
    <w:abstractNumId w:val="1"/>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9F"/>
    <w:rsid w:val="000033C7"/>
    <w:rsid w:val="00004805"/>
    <w:rsid w:val="0001408D"/>
    <w:rsid w:val="0001769F"/>
    <w:rsid w:val="00020729"/>
    <w:rsid w:val="00031D45"/>
    <w:rsid w:val="00031DD6"/>
    <w:rsid w:val="0004584E"/>
    <w:rsid w:val="00047A7D"/>
    <w:rsid w:val="00055F88"/>
    <w:rsid w:val="00064086"/>
    <w:rsid w:val="00070DD2"/>
    <w:rsid w:val="0007187E"/>
    <w:rsid w:val="00072067"/>
    <w:rsid w:val="00082352"/>
    <w:rsid w:val="0009702E"/>
    <w:rsid w:val="000A1581"/>
    <w:rsid w:val="000A5EE8"/>
    <w:rsid w:val="000B23C4"/>
    <w:rsid w:val="000B3165"/>
    <w:rsid w:val="000B36D9"/>
    <w:rsid w:val="000C0F7F"/>
    <w:rsid w:val="000C13AE"/>
    <w:rsid w:val="000D0F24"/>
    <w:rsid w:val="000D623B"/>
    <w:rsid w:val="000E5026"/>
    <w:rsid w:val="000F616B"/>
    <w:rsid w:val="000F621A"/>
    <w:rsid w:val="00100C37"/>
    <w:rsid w:val="00105128"/>
    <w:rsid w:val="001069E1"/>
    <w:rsid w:val="00117880"/>
    <w:rsid w:val="00120C17"/>
    <w:rsid w:val="00120F8C"/>
    <w:rsid w:val="00135291"/>
    <w:rsid w:val="00144B23"/>
    <w:rsid w:val="00151C46"/>
    <w:rsid w:val="00155D67"/>
    <w:rsid w:val="00156B5C"/>
    <w:rsid w:val="00163571"/>
    <w:rsid w:val="00164ED4"/>
    <w:rsid w:val="00167261"/>
    <w:rsid w:val="00167A12"/>
    <w:rsid w:val="00170E70"/>
    <w:rsid w:val="00171C59"/>
    <w:rsid w:val="00173536"/>
    <w:rsid w:val="0017566D"/>
    <w:rsid w:val="00176C51"/>
    <w:rsid w:val="00180CEF"/>
    <w:rsid w:val="001827E0"/>
    <w:rsid w:val="00196730"/>
    <w:rsid w:val="00197C13"/>
    <w:rsid w:val="001B366B"/>
    <w:rsid w:val="001C0257"/>
    <w:rsid w:val="001C2DD7"/>
    <w:rsid w:val="001C47A9"/>
    <w:rsid w:val="001C5D34"/>
    <w:rsid w:val="001E028F"/>
    <w:rsid w:val="001E2CC2"/>
    <w:rsid w:val="002004B1"/>
    <w:rsid w:val="002029C0"/>
    <w:rsid w:val="00205EDE"/>
    <w:rsid w:val="00213B0F"/>
    <w:rsid w:val="00232EB5"/>
    <w:rsid w:val="00234899"/>
    <w:rsid w:val="00240E49"/>
    <w:rsid w:val="0024194E"/>
    <w:rsid w:val="002431B7"/>
    <w:rsid w:val="00244816"/>
    <w:rsid w:val="00250150"/>
    <w:rsid w:val="002554AD"/>
    <w:rsid w:val="00256237"/>
    <w:rsid w:val="00261DB2"/>
    <w:rsid w:val="00267E69"/>
    <w:rsid w:val="002749CB"/>
    <w:rsid w:val="0028212B"/>
    <w:rsid w:val="002842B1"/>
    <w:rsid w:val="002A0A69"/>
    <w:rsid w:val="002A5CF6"/>
    <w:rsid w:val="002B1111"/>
    <w:rsid w:val="002B27D1"/>
    <w:rsid w:val="002B7813"/>
    <w:rsid w:val="002C4391"/>
    <w:rsid w:val="002D0AEC"/>
    <w:rsid w:val="002E264D"/>
    <w:rsid w:val="002E6CE6"/>
    <w:rsid w:val="002F5501"/>
    <w:rsid w:val="002F632E"/>
    <w:rsid w:val="002F6F17"/>
    <w:rsid w:val="00300524"/>
    <w:rsid w:val="00303E9E"/>
    <w:rsid w:val="00321220"/>
    <w:rsid w:val="00324F76"/>
    <w:rsid w:val="00325507"/>
    <w:rsid w:val="00325F9D"/>
    <w:rsid w:val="003303E7"/>
    <w:rsid w:val="00335EE1"/>
    <w:rsid w:val="00341700"/>
    <w:rsid w:val="0035045D"/>
    <w:rsid w:val="003507CA"/>
    <w:rsid w:val="00362C7D"/>
    <w:rsid w:val="00367E68"/>
    <w:rsid w:val="003752EE"/>
    <w:rsid w:val="00383029"/>
    <w:rsid w:val="003847E1"/>
    <w:rsid w:val="00384ECB"/>
    <w:rsid w:val="00390BC6"/>
    <w:rsid w:val="003928FD"/>
    <w:rsid w:val="003A62DB"/>
    <w:rsid w:val="003A6EED"/>
    <w:rsid w:val="003B384B"/>
    <w:rsid w:val="003D18B9"/>
    <w:rsid w:val="003E6D54"/>
    <w:rsid w:val="003E7804"/>
    <w:rsid w:val="003F70E5"/>
    <w:rsid w:val="0041125E"/>
    <w:rsid w:val="004132F9"/>
    <w:rsid w:val="004153A3"/>
    <w:rsid w:val="00417F5A"/>
    <w:rsid w:val="00420AA1"/>
    <w:rsid w:val="00421E02"/>
    <w:rsid w:val="004267A2"/>
    <w:rsid w:val="00430085"/>
    <w:rsid w:val="00443DF4"/>
    <w:rsid w:val="00452093"/>
    <w:rsid w:val="00467343"/>
    <w:rsid w:val="00472E5C"/>
    <w:rsid w:val="00477D52"/>
    <w:rsid w:val="00483815"/>
    <w:rsid w:val="00491F22"/>
    <w:rsid w:val="004A4360"/>
    <w:rsid w:val="004A5549"/>
    <w:rsid w:val="004C247B"/>
    <w:rsid w:val="004C28B5"/>
    <w:rsid w:val="004F408B"/>
    <w:rsid w:val="00501582"/>
    <w:rsid w:val="00505D22"/>
    <w:rsid w:val="00507B42"/>
    <w:rsid w:val="00516585"/>
    <w:rsid w:val="00524083"/>
    <w:rsid w:val="00532CED"/>
    <w:rsid w:val="00535294"/>
    <w:rsid w:val="00546E84"/>
    <w:rsid w:val="00547E03"/>
    <w:rsid w:val="005542D5"/>
    <w:rsid w:val="00556FA9"/>
    <w:rsid w:val="00560F56"/>
    <w:rsid w:val="0056318B"/>
    <w:rsid w:val="005703D2"/>
    <w:rsid w:val="0058747F"/>
    <w:rsid w:val="005954A7"/>
    <w:rsid w:val="00596B00"/>
    <w:rsid w:val="005A323C"/>
    <w:rsid w:val="005A35B5"/>
    <w:rsid w:val="005A7CEE"/>
    <w:rsid w:val="005B3CE3"/>
    <w:rsid w:val="005C72B4"/>
    <w:rsid w:val="005D1A41"/>
    <w:rsid w:val="005D64BA"/>
    <w:rsid w:val="005E4363"/>
    <w:rsid w:val="005F1599"/>
    <w:rsid w:val="005F1ED6"/>
    <w:rsid w:val="0060366C"/>
    <w:rsid w:val="00615A82"/>
    <w:rsid w:val="00622C82"/>
    <w:rsid w:val="006233C1"/>
    <w:rsid w:val="00634562"/>
    <w:rsid w:val="0066727F"/>
    <w:rsid w:val="006860EE"/>
    <w:rsid w:val="00693833"/>
    <w:rsid w:val="00694C91"/>
    <w:rsid w:val="00695FA9"/>
    <w:rsid w:val="006966A7"/>
    <w:rsid w:val="006A7107"/>
    <w:rsid w:val="006C287D"/>
    <w:rsid w:val="006D323E"/>
    <w:rsid w:val="006D63B5"/>
    <w:rsid w:val="006E0928"/>
    <w:rsid w:val="006E61BB"/>
    <w:rsid w:val="00704188"/>
    <w:rsid w:val="00722F25"/>
    <w:rsid w:val="0072313B"/>
    <w:rsid w:val="007254B2"/>
    <w:rsid w:val="00726B72"/>
    <w:rsid w:val="0073075E"/>
    <w:rsid w:val="0073772A"/>
    <w:rsid w:val="00744311"/>
    <w:rsid w:val="00745E30"/>
    <w:rsid w:val="007556FF"/>
    <w:rsid w:val="0077217A"/>
    <w:rsid w:val="00772492"/>
    <w:rsid w:val="00775111"/>
    <w:rsid w:val="00775FC7"/>
    <w:rsid w:val="00780025"/>
    <w:rsid w:val="00781D22"/>
    <w:rsid w:val="007912A8"/>
    <w:rsid w:val="007912DB"/>
    <w:rsid w:val="007917CF"/>
    <w:rsid w:val="007933FA"/>
    <w:rsid w:val="00793F93"/>
    <w:rsid w:val="007A172B"/>
    <w:rsid w:val="007B2671"/>
    <w:rsid w:val="007C03A1"/>
    <w:rsid w:val="007C20B4"/>
    <w:rsid w:val="007D07FA"/>
    <w:rsid w:val="007D4A50"/>
    <w:rsid w:val="007D534B"/>
    <w:rsid w:val="007F0C84"/>
    <w:rsid w:val="00804744"/>
    <w:rsid w:val="00806B3F"/>
    <w:rsid w:val="00816704"/>
    <w:rsid w:val="00826985"/>
    <w:rsid w:val="008409D3"/>
    <w:rsid w:val="00851141"/>
    <w:rsid w:val="00854118"/>
    <w:rsid w:val="008703BA"/>
    <w:rsid w:val="00876A81"/>
    <w:rsid w:val="00880AF2"/>
    <w:rsid w:val="0088377B"/>
    <w:rsid w:val="00883A60"/>
    <w:rsid w:val="008850C0"/>
    <w:rsid w:val="00893226"/>
    <w:rsid w:val="00893FCC"/>
    <w:rsid w:val="008A5682"/>
    <w:rsid w:val="008B658A"/>
    <w:rsid w:val="008C5A6E"/>
    <w:rsid w:val="008E121F"/>
    <w:rsid w:val="008E12B3"/>
    <w:rsid w:val="008E2AE8"/>
    <w:rsid w:val="008E6610"/>
    <w:rsid w:val="008F317C"/>
    <w:rsid w:val="008F7230"/>
    <w:rsid w:val="009029D4"/>
    <w:rsid w:val="009052F1"/>
    <w:rsid w:val="0091405C"/>
    <w:rsid w:val="00915A05"/>
    <w:rsid w:val="00944281"/>
    <w:rsid w:val="00956F38"/>
    <w:rsid w:val="00975072"/>
    <w:rsid w:val="0098361A"/>
    <w:rsid w:val="009866AC"/>
    <w:rsid w:val="009A1BBF"/>
    <w:rsid w:val="009B0EA2"/>
    <w:rsid w:val="009D050B"/>
    <w:rsid w:val="009D514B"/>
    <w:rsid w:val="009E0AA4"/>
    <w:rsid w:val="009E1BA2"/>
    <w:rsid w:val="009E5B0A"/>
    <w:rsid w:val="009F1C43"/>
    <w:rsid w:val="00A0181A"/>
    <w:rsid w:val="00A03B05"/>
    <w:rsid w:val="00A04F03"/>
    <w:rsid w:val="00A14946"/>
    <w:rsid w:val="00A1667D"/>
    <w:rsid w:val="00A16777"/>
    <w:rsid w:val="00A323EC"/>
    <w:rsid w:val="00A37E1B"/>
    <w:rsid w:val="00A51BE9"/>
    <w:rsid w:val="00A537AB"/>
    <w:rsid w:val="00A644C1"/>
    <w:rsid w:val="00A70D85"/>
    <w:rsid w:val="00A80AD2"/>
    <w:rsid w:val="00A81B0C"/>
    <w:rsid w:val="00A83661"/>
    <w:rsid w:val="00A9057B"/>
    <w:rsid w:val="00A9580F"/>
    <w:rsid w:val="00A9773E"/>
    <w:rsid w:val="00AA0C34"/>
    <w:rsid w:val="00AA27DF"/>
    <w:rsid w:val="00AA781F"/>
    <w:rsid w:val="00AA7D48"/>
    <w:rsid w:val="00AA7E39"/>
    <w:rsid w:val="00AB2E77"/>
    <w:rsid w:val="00AB43E5"/>
    <w:rsid w:val="00AD6801"/>
    <w:rsid w:val="00AE1266"/>
    <w:rsid w:val="00AE4A1B"/>
    <w:rsid w:val="00AF0993"/>
    <w:rsid w:val="00AF25A1"/>
    <w:rsid w:val="00B00EA2"/>
    <w:rsid w:val="00B03749"/>
    <w:rsid w:val="00B0682C"/>
    <w:rsid w:val="00B1329F"/>
    <w:rsid w:val="00B15633"/>
    <w:rsid w:val="00B20C44"/>
    <w:rsid w:val="00B27B03"/>
    <w:rsid w:val="00B31D40"/>
    <w:rsid w:val="00B36FDD"/>
    <w:rsid w:val="00B4421C"/>
    <w:rsid w:val="00B444EC"/>
    <w:rsid w:val="00B46195"/>
    <w:rsid w:val="00B461B9"/>
    <w:rsid w:val="00B556BF"/>
    <w:rsid w:val="00B557A2"/>
    <w:rsid w:val="00B566A3"/>
    <w:rsid w:val="00B6630C"/>
    <w:rsid w:val="00B729CF"/>
    <w:rsid w:val="00B74607"/>
    <w:rsid w:val="00B83DED"/>
    <w:rsid w:val="00BA2D4E"/>
    <w:rsid w:val="00BB2CFF"/>
    <w:rsid w:val="00BB2FC6"/>
    <w:rsid w:val="00BC17F4"/>
    <w:rsid w:val="00BC219F"/>
    <w:rsid w:val="00BC475E"/>
    <w:rsid w:val="00BC4975"/>
    <w:rsid w:val="00BC7834"/>
    <w:rsid w:val="00BE04BC"/>
    <w:rsid w:val="00BE4A34"/>
    <w:rsid w:val="00BF1F00"/>
    <w:rsid w:val="00C056B0"/>
    <w:rsid w:val="00C075AA"/>
    <w:rsid w:val="00C12ECB"/>
    <w:rsid w:val="00C132E3"/>
    <w:rsid w:val="00C14E15"/>
    <w:rsid w:val="00C23F42"/>
    <w:rsid w:val="00C26127"/>
    <w:rsid w:val="00C262C6"/>
    <w:rsid w:val="00C30486"/>
    <w:rsid w:val="00C31243"/>
    <w:rsid w:val="00C36464"/>
    <w:rsid w:val="00C54739"/>
    <w:rsid w:val="00C64F07"/>
    <w:rsid w:val="00C81700"/>
    <w:rsid w:val="00C82997"/>
    <w:rsid w:val="00C87FDE"/>
    <w:rsid w:val="00C90D38"/>
    <w:rsid w:val="00CA0462"/>
    <w:rsid w:val="00CA13FB"/>
    <w:rsid w:val="00CA1949"/>
    <w:rsid w:val="00CB0F0F"/>
    <w:rsid w:val="00CB1ED7"/>
    <w:rsid w:val="00CB3019"/>
    <w:rsid w:val="00CB376F"/>
    <w:rsid w:val="00CB4EE3"/>
    <w:rsid w:val="00CB723D"/>
    <w:rsid w:val="00CC538D"/>
    <w:rsid w:val="00CD2B45"/>
    <w:rsid w:val="00CD4708"/>
    <w:rsid w:val="00CD5DE3"/>
    <w:rsid w:val="00CD6A09"/>
    <w:rsid w:val="00CF247C"/>
    <w:rsid w:val="00D0449F"/>
    <w:rsid w:val="00D05E4D"/>
    <w:rsid w:val="00D261EA"/>
    <w:rsid w:val="00D37703"/>
    <w:rsid w:val="00D429A0"/>
    <w:rsid w:val="00D45507"/>
    <w:rsid w:val="00D50426"/>
    <w:rsid w:val="00D56146"/>
    <w:rsid w:val="00D647E5"/>
    <w:rsid w:val="00D908C7"/>
    <w:rsid w:val="00D910BD"/>
    <w:rsid w:val="00DA4FD0"/>
    <w:rsid w:val="00DA535D"/>
    <w:rsid w:val="00DA7001"/>
    <w:rsid w:val="00DC532B"/>
    <w:rsid w:val="00DD4DF0"/>
    <w:rsid w:val="00DD6B3C"/>
    <w:rsid w:val="00DE298D"/>
    <w:rsid w:val="00DE3C76"/>
    <w:rsid w:val="00E022C1"/>
    <w:rsid w:val="00E1212B"/>
    <w:rsid w:val="00E213CE"/>
    <w:rsid w:val="00E234B6"/>
    <w:rsid w:val="00E2447D"/>
    <w:rsid w:val="00E275A3"/>
    <w:rsid w:val="00E51A35"/>
    <w:rsid w:val="00E55274"/>
    <w:rsid w:val="00E6045E"/>
    <w:rsid w:val="00E60B02"/>
    <w:rsid w:val="00E60F29"/>
    <w:rsid w:val="00E6156C"/>
    <w:rsid w:val="00E62F96"/>
    <w:rsid w:val="00E64885"/>
    <w:rsid w:val="00E648AA"/>
    <w:rsid w:val="00E87327"/>
    <w:rsid w:val="00E95106"/>
    <w:rsid w:val="00E9569F"/>
    <w:rsid w:val="00E95702"/>
    <w:rsid w:val="00EA0405"/>
    <w:rsid w:val="00EA1A1C"/>
    <w:rsid w:val="00EA667B"/>
    <w:rsid w:val="00EB5C97"/>
    <w:rsid w:val="00EB672A"/>
    <w:rsid w:val="00ED5A46"/>
    <w:rsid w:val="00ED73A0"/>
    <w:rsid w:val="00EE60DF"/>
    <w:rsid w:val="00EF68DD"/>
    <w:rsid w:val="00F03A87"/>
    <w:rsid w:val="00F22BD6"/>
    <w:rsid w:val="00F33CF9"/>
    <w:rsid w:val="00F41CFD"/>
    <w:rsid w:val="00F435ED"/>
    <w:rsid w:val="00F477D2"/>
    <w:rsid w:val="00F507DF"/>
    <w:rsid w:val="00F50DF9"/>
    <w:rsid w:val="00F55C60"/>
    <w:rsid w:val="00F606BF"/>
    <w:rsid w:val="00F70E53"/>
    <w:rsid w:val="00F71A1C"/>
    <w:rsid w:val="00F71E5E"/>
    <w:rsid w:val="00F73F9A"/>
    <w:rsid w:val="00F80F93"/>
    <w:rsid w:val="00F8111A"/>
    <w:rsid w:val="00F822B4"/>
    <w:rsid w:val="00F82E32"/>
    <w:rsid w:val="00F90066"/>
    <w:rsid w:val="00F916D2"/>
    <w:rsid w:val="00F92FB8"/>
    <w:rsid w:val="00FB5675"/>
    <w:rsid w:val="00FB7AAB"/>
    <w:rsid w:val="00FC04D7"/>
    <w:rsid w:val="00FE4A25"/>
    <w:rsid w:val="00FE663E"/>
    <w:rsid w:val="00FF2055"/>
    <w:rsid w:val="00FF22B9"/>
    <w:rsid w:val="00FF3899"/>
    <w:rsid w:val="00FF56F4"/>
    <w:rsid w:val="00FF66DC"/>
    <w:rsid w:val="507F23D6"/>
    <w:rsid w:val="6707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2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66DC"/>
    <w:pPr>
      <w:keepNext/>
      <w:keepLines/>
      <w:numPr>
        <w:numId w:val="2"/>
      </w:numPr>
      <w:spacing w:before="260" w:after="260" w:line="415" w:lineRule="auto"/>
      <w:ind w:left="0" w:firstLine="0"/>
      <w:jc w:val="left"/>
      <w:outlineLvl w:val="1"/>
    </w:pPr>
    <w:rPr>
      <w:rFonts w:ascii="黑体" w:eastAsia="黑体" w:hAnsi="黑体" w:cstheme="majorBidi"/>
      <w:b/>
      <w:bCs/>
      <w:sz w:val="32"/>
      <w:szCs w:val="32"/>
    </w:rPr>
  </w:style>
  <w:style w:type="paragraph" w:styleId="3">
    <w:name w:val="heading 3"/>
    <w:basedOn w:val="a"/>
    <w:next w:val="a"/>
    <w:link w:val="3Char"/>
    <w:uiPriority w:val="9"/>
    <w:unhideWhenUsed/>
    <w:qFormat/>
    <w:pPr>
      <w:keepNext/>
      <w:keepLines/>
      <w:spacing w:before="260" w:after="260" w:line="415" w:lineRule="auto"/>
      <w:ind w:leftChars="200" w:left="200"/>
      <w:outlineLvl w:val="2"/>
    </w:pPr>
    <w:rPr>
      <w:b/>
      <w:bCs/>
      <w:sz w:val="32"/>
      <w:szCs w:val="32"/>
    </w:rPr>
  </w:style>
  <w:style w:type="paragraph" w:styleId="4">
    <w:name w:val="heading 4"/>
    <w:basedOn w:val="a"/>
    <w:next w:val="a"/>
    <w:link w:val="4Char"/>
    <w:uiPriority w:val="9"/>
    <w:unhideWhenUsed/>
    <w:qFormat/>
    <w:pPr>
      <w:keepNext/>
      <w:keepLines/>
      <w:spacing w:line="377" w:lineRule="auto"/>
      <w:ind w:firstLineChars="85" w:firstLine="85"/>
      <w:outlineLvl w:val="3"/>
    </w:pPr>
    <w:rPr>
      <w:rFonts w:asciiTheme="majorHAnsi" w:eastAsia="仿宋_GB2312"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pPr>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left" w:pos="1050"/>
        <w:tab w:val="right" w:leader="dot" w:pos="8296"/>
      </w:tabs>
    </w:pPr>
    <w:rPr>
      <w:rFonts w:ascii="黑体" w:eastAsia="黑体" w:hAnsi="黑体"/>
      <w:b/>
      <w:bCs/>
      <w:sz w:val="28"/>
      <w:szCs w:val="28"/>
    </w:rPr>
  </w:style>
  <w:style w:type="paragraph" w:styleId="20">
    <w:name w:val="toc 2"/>
    <w:basedOn w:val="a"/>
    <w:next w:val="a"/>
    <w:uiPriority w:val="39"/>
    <w:unhideWhenUsed/>
    <w:pPr>
      <w:ind w:leftChars="200" w:left="420"/>
    </w:pPr>
  </w:style>
  <w:style w:type="paragraph" w:styleId="a7">
    <w:name w:val="annotation subject"/>
    <w:basedOn w:val="a3"/>
    <w:next w:val="a3"/>
    <w:link w:val="Char3"/>
    <w:uiPriority w:val="99"/>
    <w:semiHidden/>
    <w:unhideWhenUsed/>
    <w:rPr>
      <w:b/>
      <w:bCs/>
    </w:rPr>
  </w:style>
  <w:style w:type="character" w:styleId="a8">
    <w:name w:val="Strong"/>
    <w:basedOn w:val="a0"/>
    <w:uiPriority w:val="22"/>
    <w:qFormat/>
    <w:rPr>
      <w:b/>
      <w:bCs/>
    </w:rPr>
  </w:style>
  <w:style w:type="character" w:styleId="a9">
    <w:name w:val="Hyperlink"/>
    <w:basedOn w:val="a0"/>
    <w:uiPriority w:val="99"/>
    <w:unhideWhenUsed/>
    <w:rPr>
      <w:color w:val="0563C1" w:themeColor="hyperlink"/>
      <w:u w:val="single"/>
    </w:rPr>
  </w:style>
  <w:style w:type="character" w:styleId="aa">
    <w:name w:val="annotation reference"/>
    <w:basedOn w:val="a0"/>
    <w:uiPriority w:val="99"/>
    <w:semiHidden/>
    <w:unhideWhenUsed/>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sid w:val="00FF66DC"/>
    <w:rPr>
      <w:rFonts w:ascii="黑体" w:eastAsia="黑体" w:hAnsi="黑体" w:cstheme="majorBidi"/>
      <w:b/>
      <w:bCs/>
      <w:kern w:val="2"/>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仿宋_GB2312" w:hAnsiTheme="majorHAnsi" w:cstheme="majorBidi"/>
      <w:b/>
      <w:bCs/>
      <w:sz w:val="28"/>
      <w:szCs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66DC"/>
    <w:pPr>
      <w:keepNext/>
      <w:keepLines/>
      <w:numPr>
        <w:numId w:val="2"/>
      </w:numPr>
      <w:spacing w:before="260" w:after="260" w:line="415" w:lineRule="auto"/>
      <w:ind w:left="0" w:firstLine="0"/>
      <w:jc w:val="left"/>
      <w:outlineLvl w:val="1"/>
    </w:pPr>
    <w:rPr>
      <w:rFonts w:ascii="黑体" w:eastAsia="黑体" w:hAnsi="黑体" w:cstheme="majorBidi"/>
      <w:b/>
      <w:bCs/>
      <w:sz w:val="32"/>
      <w:szCs w:val="32"/>
    </w:rPr>
  </w:style>
  <w:style w:type="paragraph" w:styleId="3">
    <w:name w:val="heading 3"/>
    <w:basedOn w:val="a"/>
    <w:next w:val="a"/>
    <w:link w:val="3Char"/>
    <w:uiPriority w:val="9"/>
    <w:unhideWhenUsed/>
    <w:qFormat/>
    <w:pPr>
      <w:keepNext/>
      <w:keepLines/>
      <w:spacing w:before="260" w:after="260" w:line="415" w:lineRule="auto"/>
      <w:ind w:leftChars="200" w:left="200"/>
      <w:outlineLvl w:val="2"/>
    </w:pPr>
    <w:rPr>
      <w:b/>
      <w:bCs/>
      <w:sz w:val="32"/>
      <w:szCs w:val="32"/>
    </w:rPr>
  </w:style>
  <w:style w:type="paragraph" w:styleId="4">
    <w:name w:val="heading 4"/>
    <w:basedOn w:val="a"/>
    <w:next w:val="a"/>
    <w:link w:val="4Char"/>
    <w:uiPriority w:val="9"/>
    <w:unhideWhenUsed/>
    <w:qFormat/>
    <w:pPr>
      <w:keepNext/>
      <w:keepLines/>
      <w:spacing w:line="377" w:lineRule="auto"/>
      <w:ind w:firstLineChars="85" w:firstLine="85"/>
      <w:outlineLvl w:val="3"/>
    </w:pPr>
    <w:rPr>
      <w:rFonts w:asciiTheme="majorHAnsi" w:eastAsia="仿宋_GB2312"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pPr>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left" w:pos="1050"/>
        <w:tab w:val="right" w:leader="dot" w:pos="8296"/>
      </w:tabs>
    </w:pPr>
    <w:rPr>
      <w:rFonts w:ascii="黑体" w:eastAsia="黑体" w:hAnsi="黑体"/>
      <w:b/>
      <w:bCs/>
      <w:sz w:val="28"/>
      <w:szCs w:val="28"/>
    </w:rPr>
  </w:style>
  <w:style w:type="paragraph" w:styleId="20">
    <w:name w:val="toc 2"/>
    <w:basedOn w:val="a"/>
    <w:next w:val="a"/>
    <w:uiPriority w:val="39"/>
    <w:unhideWhenUsed/>
    <w:pPr>
      <w:ind w:leftChars="200" w:left="420"/>
    </w:pPr>
  </w:style>
  <w:style w:type="paragraph" w:styleId="a7">
    <w:name w:val="annotation subject"/>
    <w:basedOn w:val="a3"/>
    <w:next w:val="a3"/>
    <w:link w:val="Char3"/>
    <w:uiPriority w:val="99"/>
    <w:semiHidden/>
    <w:unhideWhenUsed/>
    <w:rPr>
      <w:b/>
      <w:bCs/>
    </w:rPr>
  </w:style>
  <w:style w:type="character" w:styleId="a8">
    <w:name w:val="Strong"/>
    <w:basedOn w:val="a0"/>
    <w:uiPriority w:val="22"/>
    <w:qFormat/>
    <w:rPr>
      <w:b/>
      <w:bCs/>
    </w:rPr>
  </w:style>
  <w:style w:type="character" w:styleId="a9">
    <w:name w:val="Hyperlink"/>
    <w:basedOn w:val="a0"/>
    <w:uiPriority w:val="99"/>
    <w:unhideWhenUsed/>
    <w:rPr>
      <w:color w:val="0563C1" w:themeColor="hyperlink"/>
      <w:u w:val="single"/>
    </w:rPr>
  </w:style>
  <w:style w:type="character" w:styleId="aa">
    <w:name w:val="annotation reference"/>
    <w:basedOn w:val="a0"/>
    <w:uiPriority w:val="99"/>
    <w:semiHidden/>
    <w:unhideWhenUsed/>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sid w:val="00FF66DC"/>
    <w:rPr>
      <w:rFonts w:ascii="黑体" w:eastAsia="黑体" w:hAnsi="黑体" w:cstheme="majorBidi"/>
      <w:b/>
      <w:bCs/>
      <w:kern w:val="2"/>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仿宋_GB2312" w:hAnsiTheme="majorHAnsi" w:cstheme="majorBidi"/>
      <w:b/>
      <w:bCs/>
      <w:sz w:val="28"/>
      <w:szCs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3FFE4-1427-4338-9C13-18ABCFFC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14636</Words>
  <Characters>14930</Characters>
  <Application>Microsoft Office Word</Application>
  <DocSecurity>0</DocSecurity>
  <Lines>746</Lines>
  <Paragraphs>537</Paragraphs>
  <ScaleCrop>false</ScaleCrop>
  <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 隙</dc:creator>
  <cp:lastModifiedBy>Administrator</cp:lastModifiedBy>
  <cp:revision>3</cp:revision>
  <dcterms:created xsi:type="dcterms:W3CDTF">2021-01-11T15:40:00Z</dcterms:created>
  <dcterms:modified xsi:type="dcterms:W3CDTF">2021-06-07T07:28:00Z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