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2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100"/>
          <w:position w:val="0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2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100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position w:val="0"/>
          <w:sz w:val="44"/>
          <w:szCs w:val="44"/>
          <w:lang w:val="en-US" w:eastAsia="zh-CN"/>
        </w:rPr>
        <w:t>2021年全市人力资源和社会保障工作要点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20" w:lineRule="exact"/>
        <w:ind w:left="0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100"/>
          <w:position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人力资源和社会保障工作的总体要求是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以习近平新时代中国特色社会主义思想为指导,全面贯彻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届十二次全会暨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委经济工作会议、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全省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人力资源社会保障工作会议精神,坚持以人民为中心的发展思想,立足新发展阶段,贯彻新发展理念,融入新发展格局,坚持稳中求进工作总基调,以推动高质量发展为主题,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以“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1221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”工作法为抓手，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突出稳就业保就业工作主线,统筹推进社会保障、人才人事、劳动关系等领域工作,实现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“十四五”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人力资源社会保障事业良好开局,以优异成绩迎接建党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周年。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w w:val="10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w w:val="100"/>
          <w:position w:val="0"/>
          <w:sz w:val="32"/>
          <w:szCs w:val="32"/>
        </w:rPr>
        <w:t>一、促进更充分更高质量就业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w w:val="100"/>
          <w:position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pacing w:val="0"/>
          <w:w w:val="100"/>
          <w:position w:val="0"/>
          <w:sz w:val="32"/>
          <w:szCs w:val="32"/>
        </w:rPr>
        <w:t>全面完成就业目标任务,确保就业局势总体稳定</w:t>
      </w:r>
      <w:r>
        <w:rPr>
          <w:rFonts w:hint="eastAsia" w:ascii="楷体_GB2312" w:hAnsi="楷体_GB2312" w:eastAsia="楷体_GB2312" w:cs="楷体_GB2312"/>
          <w:b/>
          <w:bCs/>
          <w:spacing w:val="0"/>
          <w:w w:val="100"/>
          <w:positio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年实现城镇新增就业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6.1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万人以上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城镇调查失业率控制在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5.5%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左右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新增农村劳动力转移就业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3.5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万人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新增农民工等人员返乡下乡创业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1.12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万人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深入实施高校毕业生就业创业促进计划和基层成长计划,在岗位开发、创业扶持、专项服务、信息衔接上细化措施,促进毕业生积极就业、理性择业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多渠道就业创业,确保年底高校毕业生总体就业水平基本持平。全面落实全省返乡创业工作会精神,提升返乡创业质量。支持多渠道灵活就业和创业,强化政策服务供给,创造更多灵活就业机会,全面清理取消不合理限制灵活就业的规定,畅通劳动力和人才社会性流动渠道,为劳动者灵活就业、自主创业、参加社保等提供便利。加大对下岗失业人员、残疾人员等群体的帮扶力度,精准实施就业援助,利用公益性岗位托底安置,确保零就业家庭动态清零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（就业促进办、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人力资源流动管理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、农民工工作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、养老保险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、失业保险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、工伤保险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社会保险经办机构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及各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县区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人力资源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社会保障局按职责分工负责落实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w w:val="100"/>
          <w:position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pacing w:val="0"/>
          <w:w w:val="100"/>
          <w:position w:val="0"/>
          <w:sz w:val="32"/>
          <w:szCs w:val="32"/>
        </w:rPr>
        <w:t>推进全方位公共就业服务,组织开展系列公共就业服务活动。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做好疫情防控常态下的转移就业工作,组织实施“春风行动”,促进农村劳动力就业。大力开展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“迎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新春送温暖,稳岗留工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专项行动,强化监控防风险。组织就业援助月、民营企业招聘周、高校毕业生就业服务周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等“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11+N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公共就业专项服务系列活动,举办第五届“豫创天下”创业创新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南阳赛区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大赛。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积极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</w:rPr>
        <w:t>创建省级充分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就业社区、创业型城市、公共就业创业服务示范城市。支持企业减负稳岗,建立常态化援企稳岗帮扶机制,继续实施失业保险普惠稳岗返还和社会保险综合降费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推进以工代训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。（就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业促进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、职业能力建设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、农民工工作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、养老保险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、失业保险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、工伤保险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社会保险经办机构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、人才交流中心、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就业促进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服务中心及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各县区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人力资源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社会保障局按职责分工负责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落实）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w w:val="100"/>
          <w:position w:val="0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spacing w:val="0"/>
          <w:w w:val="100"/>
          <w:position w:val="0"/>
          <w:sz w:val="32"/>
          <w:szCs w:val="32"/>
        </w:rPr>
        <w:t>加强就业形势分析研判。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完善就业形势监测预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警机制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密切关注就业关键指标和形势变化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持续关注春节前后企业用工需求和农民工返乡返岗情况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切实防范和化解大规模失业风险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。（就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业促进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、农民工工作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各县区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人力资源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社会保障局按职责分工负责落实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w w:val="10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w w:val="100"/>
          <w:position w:val="0"/>
          <w:sz w:val="32"/>
          <w:szCs w:val="32"/>
        </w:rPr>
        <w:t>二、推进多层次社会保障体系建设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w w:val="100"/>
          <w:position w:val="0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/>
          <w:bCs/>
          <w:spacing w:val="0"/>
          <w:w w:val="100"/>
          <w:position w:val="0"/>
          <w:sz w:val="32"/>
          <w:szCs w:val="32"/>
        </w:rPr>
        <w:t>持续深化社会保险制度改革</w:t>
      </w:r>
      <w:r>
        <w:rPr>
          <w:rFonts w:hint="eastAsia" w:ascii="楷体_GB2312" w:hAnsi="楷体_GB2312" w:eastAsia="楷体_GB2312" w:cs="楷体_GB2312"/>
          <w:b/>
          <w:bCs/>
          <w:spacing w:val="0"/>
          <w:w w:val="100"/>
          <w:positio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全年城镇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在职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职工基本养老保险、城乡居民基本养老保险、失业保险、工伤保险参保人数分别达到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66.71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万人、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478.23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万人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65.06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万人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58.14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万人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重点推动落实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项改革任务: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position w:val="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健全灵活就业人员社会保险制度。放开省外户籍人员以灵活就业人员身份在我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参保缴费限制,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新经济、新业态等灵活就业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参保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缴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费政策。实施新业态人员职业伤害保障办法。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position w:val="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推进机关事业单位养老保险制度平稳运行。开展机关事业单位养老保险制度改革中期评估,加大退休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“中人”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正式待遇核算落实力度。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position w:val="0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落实即将出台的河南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省城乡居民基本养老保险丧葬补助实施办法。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position w:val="0"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积极发展多层次多支柱养老保险体系。大力发展企业年金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全面实施职业年金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建立并推动个人养老金制度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规范发展第三支柱养老保险。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position w:val="0"/>
          <w:sz w:val="32"/>
          <w:szCs w:val="32"/>
        </w:rPr>
        <w:t>五是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稳妥实施企业职工基本养老保险遗属待遇政策。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养老保险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、失业保险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、工伤保险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社会保险经办机构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及各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县区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人力资源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社会保障局按职责分工负责落实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w w:val="100"/>
          <w:position w:val="0"/>
          <w:sz w:val="32"/>
          <w:szCs w:val="32"/>
          <w:lang w:eastAsia="zh-CN"/>
        </w:rPr>
        <w:t>（五）提高社会保险统筹层次和待遇水平。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落实规范完善企业职工养老保险基金省级统收统支各项工作,为推动实现企业职工养老保险国家统筹做好准备。做好失业保险基金省级统筹及配套政策的贯彻落实。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研究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制定工伤预防五年行动计划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进一步推进全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工伤康复试点建设。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适度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提高退休人员基本养老金、城乡居民基本养老保险和工伤保险待遇水平,确保各项社保待遇按时足额发放。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养老保险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、失业保险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、工伤保险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社会保险经办机构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及各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县区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人力资源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社会保障局按职责分工负责落实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w w:val="100"/>
          <w:position w:val="0"/>
          <w:sz w:val="32"/>
          <w:szCs w:val="32"/>
          <w:lang w:eastAsia="zh-CN"/>
        </w:rPr>
        <w:t>（六）完善基金风险防控机制。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开展重点领域专项检查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坚决遏制违规提前退休、违规一次性参保、劳务派遣单位违规参保、内部人员监守自盗等风险隐患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筑牢基金安全防线。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推广应用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信息化监管系统,强化数据比对,做好监测预防。建立职业年金基金长效监管机制,促进年金保值增值。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（社会保险基金监督科牵头，养老保险科、失业保险科、工伤保险科、社会保险经办机构、电子政务中心及各县区人力资源和社会保障局按职责分工负责落实）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w w:val="10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w w:val="100"/>
          <w:position w:val="0"/>
          <w:sz w:val="32"/>
          <w:szCs w:val="32"/>
        </w:rPr>
        <w:t>三、加强人才人事工作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pacing w:val="0"/>
          <w:w w:val="100"/>
          <w:position w:val="0"/>
          <w:sz w:val="32"/>
          <w:szCs w:val="32"/>
        </w:rPr>
        <w:t>七</w:t>
      </w:r>
      <w:r>
        <w:rPr>
          <w:rFonts w:hint="eastAsia" w:ascii="楷体_GB2312" w:hAnsi="楷体_GB2312" w:eastAsia="楷体_GB2312" w:cs="楷体_GB2312"/>
          <w:b/>
          <w:bCs/>
          <w:spacing w:val="0"/>
          <w:w w:val="100"/>
          <w:positio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pacing w:val="0"/>
          <w:w w:val="100"/>
          <w:position w:val="0"/>
          <w:sz w:val="32"/>
          <w:szCs w:val="32"/>
        </w:rPr>
        <w:t>促进专业技术人员队伍建设。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进一步深化职称制度改革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，落实省厅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修订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工程、高校、卫生、体育等系列职称评审条件。逐步完善急需紧缺和高层次人才职称评聘绿色通道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扩大自主评审范围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有序推进职称社会化评价。开展高层次人才选拔工作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加强创新型人才培养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加大特聘研究员引进力度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发挥好留学人才作用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持续开展高层次人才认定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不断扩大博士后招收规模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加强博士后站建设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壮大高层次人才队伍。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组团参加“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中国·河南招才引智创新发展大会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”，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继续承办“北京院士专家南阳行”等高端人才引进活动。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持续实施专业技术人才知识更新工程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安全圆满完成各项人事考试任务。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专业技术人员管理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牵头,人才评价开发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、人事考试中心及各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县区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人力资源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社会保障局按职责分工负责落实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pacing w:val="0"/>
          <w:w w:val="100"/>
          <w:position w:val="0"/>
          <w:sz w:val="32"/>
          <w:szCs w:val="32"/>
        </w:rPr>
        <w:t>八</w:t>
      </w:r>
      <w:r>
        <w:rPr>
          <w:rFonts w:hint="eastAsia" w:ascii="楷体_GB2312" w:hAnsi="楷体_GB2312" w:eastAsia="楷体_GB2312" w:cs="楷体_GB2312"/>
          <w:b/>
          <w:bCs/>
          <w:spacing w:val="0"/>
          <w:w w:val="100"/>
          <w:positio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pacing w:val="0"/>
          <w:w w:val="100"/>
          <w:position w:val="0"/>
          <w:sz w:val="32"/>
          <w:szCs w:val="32"/>
        </w:rPr>
        <w:t>加强技能人才队伍建设。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持续推进全民技能振兴工程和职业技能提升行动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不断提高培训质量和培训层次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持续打造“技能南阳”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全年完成各类职业培训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人次，其中开展补贴性培训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万人次，新培养高技能人才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1.4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万人。落实职业技能等级评价制度，推进高技能人才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与专业技术人才职业发展贯通。构建全市职业技能竞赛体系，举办市级综合性职业技能竞赛，积极备战全省技能大赛。大力发展技工教育，启用南阳技师学院新校区，扩大招生规模，提高技能人才培养能力和质量，打造一流技师学院。（职业能力建设科牵头，职业技能鉴定中心、南阳技师学院及各县区人力资源和社会保障局按职责分工负责落实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w w:val="100"/>
          <w:position w:val="0"/>
          <w:sz w:val="32"/>
          <w:szCs w:val="32"/>
          <w:lang w:eastAsia="zh-CN"/>
        </w:rPr>
        <w:t>（九）深化事业单位人事制度改革和工资制度改革。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推行县以下事业单位管理岗位职员等级晋升制度。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提升事业单位岗位管理水平的指导意见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完善事业单位分类公开招聘办法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创新开展事业单位人事管理效能综合评估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推动事业单位人事管理信息平台互联互通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提升综合服务能力。深化公立医院薪酬制度改革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完善职业技能培训教师队伍激励机制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保障义务教育教师工资待遇。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事业单位人事管理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、工资福利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、电子政务中心及各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县区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人力资源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社会保障局按职责分工负责落实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w w:val="100"/>
          <w:position w:val="0"/>
          <w:sz w:val="32"/>
          <w:szCs w:val="32"/>
          <w:lang w:eastAsia="zh-CN"/>
        </w:rPr>
        <w:t>（十）做好表彰奖励工作。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加强表彰奖励和创建示范项目监管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探索建立综合考评、监督问责等长效机制。做好庆祝建党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周年等表彰工作。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（任免奖励科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及各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县区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人力资源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社会保障局负责落实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w w:val="100"/>
          <w:position w:val="0"/>
          <w:sz w:val="32"/>
          <w:szCs w:val="32"/>
        </w:rPr>
        <w:t>四、促进劳动关系和谐同行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w w:val="100"/>
          <w:position w:val="0"/>
          <w:sz w:val="32"/>
          <w:szCs w:val="32"/>
          <w:lang w:eastAsia="zh-CN"/>
        </w:rPr>
        <w:t>（十一）实施劳动关系和谐同行能力提升三年行动计划。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充分发挥三方机制作用,开展劳动关系和谐企业和工业园区创建表彰活动。探索智慧劳动关系系统建设。加强企业工资宏观调控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继续推进国有企业工资决定机制改革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落实国有企业负责人薪酬制度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提高企业薪酬调查和信息发布质量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稳慎做好最低工资标准调整和企业工时管理工作。落实劳动关系形势分析研判制度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确保不发生系统性区域性风险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。（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劳动关系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及各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县区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人力资源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社会保障局负责落实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w w:val="100"/>
          <w:position w:val="0"/>
          <w:sz w:val="32"/>
          <w:szCs w:val="32"/>
          <w:lang w:eastAsia="zh-CN"/>
        </w:rPr>
        <w:t>（十二）提高劳动保障监察能力。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持续宣传贯彻《保障农民工工资支付条例》，完善落实根治欠薪各项长效制度机制。全面应用农民工工资支付监管系统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推进农民工实名制信息化监管。组织实施根治欠薪工作考核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压实各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县区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各部门工作责任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健全“双随机一公开”监管工作机制，加大日常监察执法力度，严厉打击恶意欠薪等违法犯罪行为，切实维护劳动者合法权益。突出抓好根治欠薪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“春季行动”“冬季行动”，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坚决守住风险底线。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劳动保障监察局及各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县区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人力资源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社会保障局负责落实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w w:val="100"/>
          <w:position w:val="0"/>
          <w:sz w:val="32"/>
          <w:szCs w:val="32"/>
          <w:lang w:eastAsia="zh-CN"/>
        </w:rPr>
        <w:t>（十三）提升调解仲裁工作效能。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加强源头预防，探索开展“咨询、协商、调解、仲裁、诉讼”一站式服务。加强基层调解，开展金牌调解组织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eastAsia="zh-CN"/>
        </w:rPr>
        <w:t>争创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工作。探索推动与人民调解、行政调解、司法调解衔接联动。加强仲裁标准化建设，积极推进“互联网+仲裁”。全面推行仲裁员联系重点企业和调解组织制度，提高仲裁终结率。健全案件动态监测和预警机制，提高调解仲裁应急处置能力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调解仲裁管理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科（院）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及各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县区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人力资源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社会保障局负责落实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w w:val="100"/>
          <w:position w:val="0"/>
          <w:sz w:val="32"/>
          <w:szCs w:val="32"/>
          <w:lang w:val="zh-CN" w:eastAsia="zh-CN"/>
        </w:rPr>
        <w:t>（十四）加快推进人力资源社会保障信用体系建设。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及时完善人力资源社会保障信用信息目录,加快推进信用信息归集共享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高质量做好行政许可和行政处罚信息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双公示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工作。建立健全人力资源社会保障信用修复和异议处理机制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落实跨部门信用联合奖惩措施。全面推行证明事项告知承诺制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探索建立人力资源社会保障信用评价体系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拓展人力资源社会保障信用成果应用。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（政策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法规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牵头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劳动保障监察局、就业促进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、人力资源流动管理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、职业能力建设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、人才评价开发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、劳动关系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、工伤保险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、任免奖励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社会保险经办机构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、电子政务中心、职业技能鉴定中心等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室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（单位）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及各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县区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人力资源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社会保障局按职责分工负责落实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w w:val="10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w w:val="100"/>
          <w:position w:val="0"/>
          <w:sz w:val="32"/>
          <w:szCs w:val="32"/>
        </w:rPr>
        <w:t>五、加强系统行风建设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w w:val="100"/>
          <w:position w:val="0"/>
          <w:sz w:val="32"/>
          <w:szCs w:val="32"/>
          <w:lang w:val="zh-CN" w:eastAsia="zh-CN"/>
        </w:rPr>
        <w:t>（十五）巩固便民服务改革成效。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深入实施人社服务快办行动，加快推动人社服务一件事打包办、高频事项提速办、所有事项简便办。坚持传统服务方式与智能化服务创新并行，明确老年人高频服务事项，拓展服务方式，保留必要的人工办理，开展特殊情况“代理办”“上门办”。聚焦企业和群众生产生活全周期，进一步加大清事项、减材料、压时限力度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（政策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法规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牵头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，社会保险经办机构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、电子政务中心及各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县区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人力资源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社会保障局按职责分工负责落实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67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w w:val="100"/>
          <w:position w:val="0"/>
          <w:sz w:val="32"/>
          <w:szCs w:val="32"/>
          <w:lang w:val="zh-CN" w:eastAsia="zh-CN"/>
        </w:rPr>
        <w:t>（十六）攻坚人社数据应用场景。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推动市、县、乡、村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级业务信息共享和开放利用,实现全部人社业务办理手段信息化、内容流程标准化、设施机制均等化、服务模式一体化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推广人社经办服务电子地图等便民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手段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。推行一网通办、全省通办、跨省通办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实现网上办件、不见面审批达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到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100%，“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豫事办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应上尽上。全面开展第三代社会保障卡（电子社保卡）发行应用。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电子政务中心牵头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，政策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法规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、规划财务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及各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县区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人力资源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社会保障局按职责分工负责落实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w w:val="100"/>
          <w:position w:val="0"/>
          <w:sz w:val="32"/>
          <w:szCs w:val="32"/>
          <w:lang w:val="zh-CN" w:eastAsia="zh-CN"/>
        </w:rPr>
        <w:t>（十七）提升窗口单位服务效能。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全面推行告知承诺制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持续开展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好差评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”，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深入开展人社政策待遇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看得懂、算得清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宣传解读。积极推进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一窗通办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综合服务项目落地见效,加快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名称、标识、柜台、着装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等统一的标准化建设。健全常态化开展练兵比武活动机制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组织好在线学习答题活动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推动窗口单位服务效能与业务工作深度融合。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（政策法规科、规划财务科、机关党委及各县区人力资源和社会保障局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按职责分工负责落实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w w:val="10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w w:val="100"/>
          <w:position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pacing w:val="0"/>
          <w:w w:val="100"/>
          <w:position w:val="0"/>
          <w:sz w:val="32"/>
          <w:szCs w:val="32"/>
        </w:rPr>
        <w:t>、全面加强自身建设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w w:val="100"/>
          <w:position w:val="0"/>
          <w:sz w:val="32"/>
          <w:szCs w:val="32"/>
          <w:lang w:val="zh-CN" w:eastAsia="zh-CN"/>
        </w:rPr>
        <w:t>（十八）强化政治统领。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坚持把党的政治建设摆在首位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切实增强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四个意识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、坚定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四个自信”、做到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两个维护”。切实履行管党治党政治责任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认真履行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一岗双责”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持续加强党风廉政建设工作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深入推进以案促改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营造风清气正的政治生态。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机关党委牵头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人事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及各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县区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人力资源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社会保障局按职责分工负责落实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w w:val="100"/>
          <w:position w:val="0"/>
          <w:sz w:val="32"/>
          <w:szCs w:val="32"/>
          <w:lang w:val="zh-CN" w:eastAsia="zh-CN"/>
        </w:rPr>
        <w:t>（十九）提升能力素养。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坚持正确用人导向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以丰富专业知识、提升专业能力、培育专业精神为重点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全方位加大培训力度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推动人社干部能力素质全面提升。深入推进依法行政。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人事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政策法规科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及各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县区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人力资源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社会保障局按职责分工负责落实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w w:val="100"/>
          <w:position w:val="0"/>
          <w:sz w:val="32"/>
          <w:szCs w:val="32"/>
          <w:lang w:val="zh-CN" w:eastAsia="zh-CN"/>
        </w:rPr>
        <w:t>（二十）抓好作风建设。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狠抓工作落实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持续整治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“四风”，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坚持关口前移、源头预防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在抓早抓小抓苗头上下更大功夫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尤其是对形式主义、官僚主义问题紧盯不放、常抓不懈。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（机关纪委、机关纪委、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人事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及各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县区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人力资源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社会保障局按职责分工负责落实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spacing w:val="0"/>
          <w:w w:val="100"/>
          <w:position w:val="0"/>
          <w:sz w:val="26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w w:val="100"/>
          <w:position w:val="0"/>
          <w:sz w:val="32"/>
          <w:szCs w:val="32"/>
          <w:lang w:val="zh-CN" w:eastAsia="zh-CN"/>
        </w:rPr>
        <w:t>（二十一）加强风险防控。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对规模性失业、社保基金运行、劳动关系群体性事件、人事考试安全等传统风险隐患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全面排查、积极化解。压实各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县区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主体责任、属地责任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有情况及时报告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问题及时反应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坚决防止因为处置不当引发舆情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更不能因为处置不当引发次生风险。高度重视平安建设和信访稳定工作。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信访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、就业促进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、劳动关系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、社会保险基金监督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、调解仲裁管理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、劳动保障监察局、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社会保险经办机构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、人事考试中心及各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县区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人力资源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社会保障局按职责分工负责落实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）</w:t>
      </w:r>
    </w:p>
    <w:sectPr>
      <w:footerReference r:id="rId5" w:type="default"/>
      <w:footerReference r:id="rId6" w:type="even"/>
      <w:pgSz w:w="11910" w:h="16840"/>
      <w:pgMar w:top="1701" w:right="1417" w:bottom="1701" w:left="1417" w:header="850" w:footer="1134" w:gutter="0"/>
      <w:pgNumType w:fmt="decimal"/>
      <w:cols w:equalWidth="0" w:num="1">
        <w:col w:w="9270"/>
      </w:cols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TCre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VjX3ssBAACc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rFTaDEcYsDv3z/dvnx6/LzK1lW&#10;q5usUB+gxsTHgKlpuPdDzp78gM5MfFDR5i9SIhhHfc9XfeWQiMiP1qv1usKQwNh8QRz29DxESG+l&#10;tyQbDY04wKIrP72HNKbOKbma8w/aGPTz2ri/HIiZPSz3PvaYrTTsh6nxvW/PyKfH2TfU4apTYt45&#10;lDavyWzE2djPxjFEfejKHuV6EO6OCZsoveUKI+xUGIdW2E0Llrfiz3vJevq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lY1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75003"/>
    <w:rsid w:val="01C34BB4"/>
    <w:rsid w:val="07971EB9"/>
    <w:rsid w:val="1C92454B"/>
    <w:rsid w:val="29AD666D"/>
    <w:rsid w:val="3DA34A9A"/>
    <w:rsid w:val="484E54E1"/>
    <w:rsid w:val="521C112A"/>
    <w:rsid w:val="6F35417A"/>
    <w:rsid w:val="712F48B0"/>
    <w:rsid w:val="72C63C29"/>
    <w:rsid w:val="74B008A0"/>
    <w:rsid w:val="7D2D61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jc w:val="both"/>
    </w:pPr>
    <w:rPr>
      <w:rFonts w:ascii="Times New Roman" w:hAnsi="Times New Roman" w:eastAsia="宋体" w:cs="Times New Roman"/>
      <w:sz w:val="28"/>
      <w:szCs w:val="28"/>
      <w:lang w:val="en-US" w:eastAsia="zh-CN" w:bidi="ar-SA"/>
    </w:rPr>
  </w:style>
  <w:style w:type="paragraph" w:styleId="3">
    <w:name w:val="Body Text"/>
    <w:basedOn w:val="1"/>
    <w:qFormat/>
    <w:uiPriority w:val="1"/>
    <w:pPr>
      <w:ind w:left="180"/>
    </w:pPr>
    <w:rPr>
      <w:rFonts w:ascii="宋体" w:hAnsi="宋体" w:eastAsia="宋体" w:cs="宋体"/>
      <w:sz w:val="29"/>
      <w:szCs w:val="29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ScaleCrop>false</ScaleCrop>
  <LinksUpToDate>false</LinksUpToDate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2021-02-19T09:04:00Z</dcterms:created>
  <dc:creator>作者</dc:creator>
  <cp:keywords>关键字</cp:keywords>
  <cp:lastModifiedBy>雪花粉飞</cp:lastModifiedBy>
  <cp:lastPrinted>2021-02-24T01:27:00Z</cp:lastPrinted>
  <dcterms:modified xsi:type="dcterms:W3CDTF">2021-06-03T09:08:15Z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创建者</vt:lpwstr>
  </property>
  <property fmtid="{D5CDD505-2E9C-101B-9397-08002B2CF9AE}" pid="4" name="LastSaved">
    <vt:filetime>2021-02-19T00:00:00Z</vt:filetime>
  </property>
  <property fmtid="{D5CDD505-2E9C-101B-9397-08002B2CF9AE}" pid="5" name="KSOSaveFontToCloudKey">
    <vt:lpwstr>228386481_cloud</vt:lpwstr>
  </property>
  <property fmtid="{D5CDD505-2E9C-101B-9397-08002B2CF9AE}" pid="6" name="KSOProductBuildVer">
    <vt:lpwstr>2052-11.1.0.10577</vt:lpwstr>
  </property>
  <property fmtid="{D5CDD505-2E9C-101B-9397-08002B2CF9AE}" pid="7" name="ICV">
    <vt:lpwstr>693004B33F55411482A4643485F80402</vt:lpwstr>
  </property>
</Properties>
</file>