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2018年度</w:t>
      </w:r>
    </w:p>
    <w:p>
      <w:pPr>
        <w:jc w:val="center"/>
        <w:rPr>
          <w:rFonts w:ascii="黑体" w:hAnsi="黑体" w:eastAsia="黑体" w:cs="黑体"/>
          <w:sz w:val="52"/>
          <w:szCs w:val="52"/>
        </w:rPr>
      </w:pPr>
      <w:r>
        <w:rPr>
          <w:rFonts w:hint="eastAsia" w:ascii="黑体" w:hAnsi="黑体" w:eastAsia="黑体" w:cs="黑体"/>
          <w:sz w:val="52"/>
          <w:szCs w:val="52"/>
        </w:rPr>
        <w:t>南阳市林业局部门决算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 xml:space="preserve">第一部分 </w:t>
      </w:r>
      <w:r>
        <w:rPr>
          <w:rFonts w:ascii="黑体" w:hAnsi="黑体" w:eastAsia="黑体" w:cs="黑体"/>
          <w:sz w:val="32"/>
          <w:szCs w:val="32"/>
        </w:rPr>
        <w:t xml:space="preserve">   南阳市林业局</w:t>
      </w:r>
      <w:r>
        <w:rPr>
          <w:rFonts w:hint="eastAsia" w:ascii="黑体" w:hAnsi="黑体" w:eastAsia="黑体" w:cs="黑体"/>
          <w:sz w:val="32"/>
          <w:szCs w:val="32"/>
        </w:rPr>
        <w:t>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eastAsia="宋体" w:cs="宋体"/>
          <w:sz w:val="32"/>
          <w:szCs w:val="32"/>
        </w:rPr>
      </w:pPr>
    </w:p>
    <w:p>
      <w:pPr>
        <w:jc w:val="left"/>
        <w:rPr>
          <w:rFonts w:ascii="黑体" w:hAnsi="黑体" w:eastAsia="黑体" w:cs="黑体"/>
          <w:sz w:val="32"/>
          <w:szCs w:val="32"/>
        </w:rPr>
        <w:sectPr>
          <w:footerReference r:id="rId4" w:type="default"/>
          <w:footerReference r:id="rId5"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南阳市林业局概况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一）负责全市林业及其生态建设的监督管理。拟订林业及其生态建设的发展战略、中长期规划和起草相关政策法规并监督实施。参与拟订有关地方标准和规程并指导实施。组织开展森林资源、陆生野生动植物资源、湿地和荒漠的调查、动态监测和评估，并发布相关信息。承担林业生态文明建设的有关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二）组织、协调、指导和监督全市造林绿化工作。制定全市造林绿化的指导性计划，拟订相关地方标准和规程并监督执行，指导各类公益林和商品林（包括用材林、经济林、薪炭林、药用林、竹林、特种用途林）的培育。指导植树造林、封山育林和以植树种草等生物措施防治水土流失工作，指导、监督全民义务植树、造林绿化工作。承担林业应对气候变化的相关工作。承担南阳市绿化委员会的具体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三）承担全市森林资源保护发展监督管理的责任。组织编制并监督执行全市森林采伐限额，监督检查林木凭证采伐、运输，组织、指导林地、林权管理，组织实施林权登记、发证工作，拟订林地保护利用规划并指导实施，依法承担应由市政府批准的林地征用、占用的初审工作，管理国有林区的国有森林资源，承担国有林区的国有森林资源资产产权变动的审核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四）组织、协调、指导和监督全市湿地保护工作。拟订全市湿地保护规划和有关地方标准及规定，组织实施建立湿地保护小区、湿地公园等保护管理工作，监督湿地的合理利用，组织、协调有关国际湿地公约的履约工作。组织、协调、指导和监督全市荒漠化防治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五）组织、指导全市陆生野生动植物资源的保护和合理开发利用。依法组织、指导陆生野生动植物的救护繁育、栖息地恢复发展、疫源疫病监测，监督管理全市陆生野生动植物猎捕或采集、驯养繁殖或培植、经营利用，监督管理野生动植物进出口。承担全市濒危物种进出口和国家保护的野生动物、珍稀树种、珍稀野生植物及其产品出口的审核工作。承担全市狩猎证审批发放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六）负责全市林业系统自然保护区的监督管理。在国家级和省级自然保护区区划、规划原则的指导下，依法指导森林、湿地、荒漠化和陆生野生动物类型自然保护区的建设和管理，监督管理林业生物种质资源、转基因生物安全、植物新品种保护，组织、协调有关国际公约的履约工作。按分工负责生物多样性保护的有关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七）承担推进全市林业改革，维护农民经营林业合法权益的责任。拟订全市集体林权制度、国有林场等重大林业改革意见并指导监督实施。拟订全市农村林业发展、维护农民经营林业合法权益的政策措施，指导、监督农村林地承包经营和林权流转，指导林权纠纷调处和林地承包合同纠纷仲裁。依法负责退耕还林工作。指导国有林场(苗圃)、森林公园和基层林业工作机构的建设和管理。</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八）监督检查各产业对全市森林、湿地、荒漠和陆生野生动植物资源的开发利用。拟订全市林业资源优化配置政策，拟订林业产业地方标准并监督实施。拟订全市林业产业建设意见并监督实施，指导林产品生产加工，林产化工等产业建设。组织指导全市林产品质量监督。指导山区综合开发。</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九）承担组织、协调、指导、监督全市森林防火工作的责任，组织、协调、指导专业森林扑火队伍的防扑火工作，承担市政府护林防火指挥部的具体工作。承担林业行政执法监管的责任，指导全市森林公安工作，监督管理森林公安队伍，指导全市林业重大违法案件的查处。指导林业有害生物的防治、检疫工作。</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十）参与拟订全市林业及其生态建设的财政、金融、价格、贸易等经济调节政策，组织、指导全市林业及其生态建设的生态补偿制度的建立和实施。编制部门预算并组织实施，提出市级财政林业专项转移支付资金的预算建议，管理监督市级林业资金，管理市级林业国有资产，负责提出林业固定资产投资规模和方向、市级财政性资金安排意见，按照规定权限，审批、核准国家规划内和年度计划内固定资产投资项目。编制全市林业及其生态建设的年度生产计划。</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（十一）组织指导全市林业及其生态建设的科技、教育和外事工作，指导全市林业队伍建设。</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（十二）承办市政府交办的其他事项。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林业局部门决算包括局机关本级决算和局直属各二级单位决算。分别是：</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林业局本级（包括局机关办公室、造林科、人事科等7个行政科室和市人民政府护林防火指挥部办公室、退耕还林办公室、长江流域防护林办公室、经济林种苗管理站、野生动植物保护管理站等5个事业机构），执行行政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 南阳市森林公安局，执行行政单位会计制度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 南阳市林业调查规划管理站，执行事业单位会计制度。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 南阳市林业技术推广站，执行事业单位会计制度。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5. 南阳市森林病虫害防治检疫站，执行事业单位会计制度。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6. 河南伏牛山国家级自然保护区黄石庵管理局，执行事业单位会计制度。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7. 南阳市林业科学研究所，执行事业单位会计制度。</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8. 南阳市林业稽查大队，执行事业单位会计制度。</w:t>
      </w:r>
    </w:p>
    <w:p>
      <w:pPr>
        <w:widowControl/>
        <w:ind w:firstLine="640" w:firstLineChars="200"/>
        <w:jc w:val="left"/>
        <w:rPr>
          <w:rFonts w:ascii="黑体" w:hAnsi="宋体" w:eastAsia="黑体" w:cs="宋体"/>
          <w:kern w:val="0"/>
          <w:sz w:val="28"/>
          <w:szCs w:val="28"/>
        </w:rPr>
      </w:pPr>
      <w:r>
        <w:rPr>
          <w:rFonts w:hint="eastAsia" w:ascii="仿宋_GB2312" w:eastAsia="仿宋_GB2312"/>
          <w:sz w:val="32"/>
          <w:szCs w:val="32"/>
        </w:rPr>
        <w:t>9. 南阳市白河国家湿地公园管理处，执行事业单位会计制度。</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2018年度部门决算表</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644" w:bottom="1134" w:left="1644" w:header="720" w:footer="720" w:gutter="0"/>
          <w:pgNumType w:fmt="numberInDash"/>
          <w:cols w:space="720" w:num="1"/>
          <w:docGrid w:type="lines" w:linePitch="312" w:charSpace="0"/>
        </w:sectPr>
      </w:pPr>
    </w:p>
    <w:p>
      <w:pPr>
        <w:widowControl/>
        <w:jc w:val="left"/>
      </w:pPr>
      <w:r>
        <w:fldChar w:fldCharType="begin"/>
      </w:r>
      <w:r>
        <w:instrText xml:space="preserve"> LINK Excel.Sheet.8</w:instrText>
      </w:r>
      <w:r>
        <w:rPr>
          <w:rFonts w:hint="eastAsia"/>
        </w:rPr>
        <w:instrText xml:space="preserve"> D:\\桌面\\2018年决算公开\\0059985867_收入支出决算批复表.xls 公开01表!R1C1:R35C6 </w:instrText>
      </w:r>
      <w:r>
        <w:instrText xml:space="preserve">\a \f 4 \h  \* MERGEFORMAT </w:instrText>
      </w:r>
      <w:r>
        <w:fldChar w:fldCharType="separate"/>
      </w:r>
    </w:p>
    <w:tbl>
      <w:tblPr>
        <w:tblStyle w:val="9"/>
        <w:tblW w:w="14080" w:type="dxa"/>
        <w:tblInd w:w="0" w:type="dxa"/>
        <w:tblLayout w:type="autofit"/>
        <w:tblCellMar>
          <w:top w:w="0" w:type="dxa"/>
          <w:left w:w="108" w:type="dxa"/>
          <w:bottom w:w="0" w:type="dxa"/>
          <w:right w:w="108" w:type="dxa"/>
        </w:tblCellMar>
      </w:tblPr>
      <w:tblGrid>
        <w:gridCol w:w="5218"/>
        <w:gridCol w:w="695"/>
        <w:gridCol w:w="1397"/>
        <w:gridCol w:w="4249"/>
        <w:gridCol w:w="695"/>
        <w:gridCol w:w="1826"/>
      </w:tblGrid>
      <w:tr>
        <w:tblPrEx>
          <w:tblCellMar>
            <w:top w:w="0" w:type="dxa"/>
            <w:left w:w="108" w:type="dxa"/>
            <w:bottom w:w="0" w:type="dxa"/>
            <w:right w:w="108" w:type="dxa"/>
          </w:tblCellMar>
        </w:tblPrEx>
        <w:trPr>
          <w:trHeight w:val="375" w:hRule="atLeast"/>
        </w:trPr>
        <w:tc>
          <w:tcPr>
            <w:tcW w:w="14080" w:type="dxa"/>
            <w:gridSpan w:val="6"/>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521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4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26"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5218" w:type="dxa"/>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部门：南阳市林业局</w:t>
            </w:r>
          </w:p>
        </w:tc>
        <w:tc>
          <w:tcPr>
            <w:tcW w:w="6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4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26"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00" w:hRule="atLeast"/>
        </w:trPr>
        <w:tc>
          <w:tcPr>
            <w:tcW w:w="7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收入</w:t>
            </w:r>
          </w:p>
        </w:tc>
        <w:tc>
          <w:tcPr>
            <w:tcW w:w="677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一、财政拨款收入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11762.87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8.23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其中：政府性基金预算财政拨款</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二、上级补助收入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三、事业收入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四、经营收入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五、附属单位上缴收入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20.72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六、其他收入</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七、文化体育与传媒支出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849.89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九、医疗卫生与计划生育支出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216.79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677.20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71.94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7183.87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十八、国土海洋气象等支出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298.43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二十一、其他支出</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47.24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11812.62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9374.31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用事业基金弥补收支差额</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2.51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1895.71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其中：提取职工福利基金</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其中：项目支出结转和结余</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1524.17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转入事业基金</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2.51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4331.50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其中：项目支出结转和结余</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3842.47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521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39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13708.33 </w:t>
            </w:r>
          </w:p>
        </w:tc>
        <w:tc>
          <w:tcPr>
            <w:tcW w:w="4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826"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13708.33 </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pPr>
      <w:r>
        <w:fldChar w:fldCharType="begin"/>
      </w:r>
      <w:r>
        <w:instrText xml:space="preserve"> LINK Excel.Sheet.8</w:instrText>
      </w:r>
      <w:r>
        <w:rPr>
          <w:rFonts w:hint="eastAsia"/>
        </w:rPr>
        <w:instrText xml:space="preserve"> D:\\桌面\\2018年决算公开\\公开02表.xls "Z03 收入决算批复表!R1C1:R70C11" </w:instrText>
      </w:r>
      <w:r>
        <w:instrText xml:space="preserve">\a \f 4 \h  \* MERGEFORMAT </w:instrText>
      </w:r>
      <w:r>
        <w:fldChar w:fldCharType="separate"/>
      </w:r>
    </w:p>
    <w:tbl>
      <w:tblPr>
        <w:tblStyle w:val="9"/>
        <w:tblW w:w="13892" w:type="dxa"/>
        <w:tblInd w:w="0" w:type="dxa"/>
        <w:tblLayout w:type="autofit"/>
        <w:tblCellMar>
          <w:top w:w="0" w:type="dxa"/>
          <w:left w:w="108" w:type="dxa"/>
          <w:bottom w:w="0" w:type="dxa"/>
          <w:right w:w="108" w:type="dxa"/>
        </w:tblCellMar>
      </w:tblPr>
      <w:tblGrid>
        <w:gridCol w:w="416"/>
        <w:gridCol w:w="416"/>
        <w:gridCol w:w="416"/>
        <w:gridCol w:w="5050"/>
        <w:gridCol w:w="1420"/>
        <w:gridCol w:w="1380"/>
        <w:gridCol w:w="905"/>
        <w:gridCol w:w="850"/>
        <w:gridCol w:w="784"/>
        <w:gridCol w:w="753"/>
        <w:gridCol w:w="1502"/>
      </w:tblGrid>
      <w:tr>
        <w:tblPrEx>
          <w:tblCellMar>
            <w:top w:w="0" w:type="dxa"/>
            <w:left w:w="108" w:type="dxa"/>
            <w:bottom w:w="0" w:type="dxa"/>
            <w:right w:w="108" w:type="dxa"/>
          </w:tblCellMar>
        </w:tblPrEx>
        <w:trPr>
          <w:trHeight w:val="375" w:hRule="atLeast"/>
        </w:trPr>
        <w:tc>
          <w:tcPr>
            <w:tcW w:w="13892" w:type="dxa"/>
            <w:gridSpan w:val="11"/>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5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2"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6298"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部门：南阳市林业局</w:t>
            </w:r>
          </w:p>
        </w:tc>
        <w:tc>
          <w:tcPr>
            <w:tcW w:w="142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5"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53"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02"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12"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505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3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9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8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7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75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5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0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75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0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11812.62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11762.87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154.80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154.80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科学技术管理事务</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110.80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110.80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2060199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其他科学技术管理事务支出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110.80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110.80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基础研究</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2060207</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专项技术基础</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20605</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科技条件与服务</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2060503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科技条件专项</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956.05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956.05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18"/>
                <w:szCs w:val="18"/>
              </w:rPr>
            </w:pPr>
            <w:r>
              <w:rPr>
                <w:rFonts w:hint="eastAsia" w:ascii="宋体" w:hAnsi="宋体" w:eastAsia="宋体" w:cs="Arial"/>
                <w:b/>
                <w:bCs/>
                <w:kern w:val="0"/>
                <w:sz w:val="18"/>
                <w:szCs w:val="18"/>
              </w:rPr>
              <w:t>人力资源和社会保障管理事务</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34.71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34.71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2080199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其他人力资源和社会保障管理事务支出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34.71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34.71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行政事业单位离退休</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646.66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646.66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128.67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128.67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24.30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24.30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493.69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493.69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271.88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271.88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271.88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271.88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医疗卫生与计划生育支出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240.24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240.24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240.24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240.24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23.68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23.68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165.14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165.14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19.74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19.74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其他行政事业单位医疗支出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31.68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31.68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728.50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728.50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自然保护区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21105</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天然林保护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725.50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725.50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2110599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其他天然林保护支出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725.50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725.50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21208</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国有土地使用权出让收入及对应专项债务收入安排的支出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2120803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城市建设支出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284.00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284.00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其他国有土地使用权出让收入安排的支出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农林水支出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9077.85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9077.85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农业</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2130108</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病虫害控制</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林业</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9052.85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9052.85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971.32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971.32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40.00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2130204</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林业事业机构</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3063.76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3063.76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2130205</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森林培育</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1461.80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1461.80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2130206</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林业技术推广</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269.00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269.00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2130207</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森林资源管理</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2130208</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森林资源监测</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74.00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74.00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森林生态效益补偿</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684.75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684.75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2130210</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林业自然保护区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18.10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18.10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动植物保护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19.00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湿地保护</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366.60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366.60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2130213</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林业执法与监督</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136.38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136.38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林业产业化</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2130226</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林区公共支出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2130234</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林业防灾减灾</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47.00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47.00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其他林业支出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1827.14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1827.14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305.23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22999</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2299901</w:t>
            </w:r>
          </w:p>
        </w:tc>
        <w:tc>
          <w:tcPr>
            <w:tcW w:w="505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420" w:type="dxa"/>
            <w:tcBorders>
              <w:top w:val="nil"/>
              <w:left w:val="single" w:color="000000" w:sz="4" w:space="0"/>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c>
          <w:tcPr>
            <w:tcW w:w="138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05"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85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8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53"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50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49.75 </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pPr>
      <w:r>
        <w:fldChar w:fldCharType="begin"/>
      </w:r>
      <w:r>
        <w:instrText xml:space="preserve"> LINK Excel.Sheet.8</w:instrText>
      </w:r>
      <w:r>
        <w:rPr>
          <w:rFonts w:hint="eastAsia"/>
        </w:rPr>
        <w:instrText xml:space="preserve"> D:\\桌面\\2018年决算公开\\公开03表.xls 公开03表!R1C1:R71C10 </w:instrText>
      </w:r>
      <w:r>
        <w:instrText xml:space="preserve">\a \f 4 \h </w:instrText>
      </w:r>
      <w:r>
        <w:fldChar w:fldCharType="separate"/>
      </w:r>
    </w:p>
    <w:tbl>
      <w:tblPr>
        <w:tblStyle w:val="9"/>
        <w:tblW w:w="12584" w:type="dxa"/>
        <w:tblInd w:w="0" w:type="dxa"/>
        <w:tblLayout w:type="autofit"/>
        <w:tblCellMar>
          <w:top w:w="0" w:type="dxa"/>
          <w:left w:w="108" w:type="dxa"/>
          <w:bottom w:w="0" w:type="dxa"/>
          <w:right w:w="108" w:type="dxa"/>
        </w:tblCellMar>
      </w:tblPr>
      <w:tblGrid>
        <w:gridCol w:w="416"/>
        <w:gridCol w:w="416"/>
        <w:gridCol w:w="416"/>
        <w:gridCol w:w="5050"/>
        <w:gridCol w:w="1382"/>
        <w:gridCol w:w="1255"/>
        <w:gridCol w:w="1175"/>
        <w:gridCol w:w="677"/>
        <w:gridCol w:w="644"/>
        <w:gridCol w:w="1570"/>
      </w:tblGrid>
      <w:tr>
        <w:tblPrEx>
          <w:tblCellMar>
            <w:top w:w="0" w:type="dxa"/>
            <w:left w:w="108" w:type="dxa"/>
            <w:bottom w:w="0" w:type="dxa"/>
            <w:right w:w="108" w:type="dxa"/>
          </w:tblCellMar>
        </w:tblPrEx>
        <w:trPr>
          <w:trHeight w:val="375" w:hRule="atLeast"/>
        </w:trPr>
        <w:tc>
          <w:tcPr>
            <w:tcW w:w="12584" w:type="dxa"/>
            <w:gridSpan w:val="10"/>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2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7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4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5881"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部门：南阳市林业局</w:t>
            </w:r>
          </w:p>
        </w:tc>
        <w:tc>
          <w:tcPr>
            <w:tcW w:w="138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7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4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12" w:hRule="atLeast"/>
        </w:trPr>
        <w:tc>
          <w:tcPr>
            <w:tcW w:w="8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5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83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83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83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77"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277"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277"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6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9,374.31</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5,128.10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4,246.21</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20111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纪检监察事务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派驻派出机构</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20.72</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20.72</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科学技术管理事务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1.98</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1.98</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2060199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其他科学技术管理事务支出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1.98</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1.98</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基础研究</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1.44</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2060207</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专项技术基础</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1.44</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0.77</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0.77</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0.77</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0.77</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科技条件与服务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2060503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科技条件专项</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849.89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849.89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18"/>
                <w:szCs w:val="18"/>
              </w:rPr>
            </w:pPr>
            <w:r>
              <w:rPr>
                <w:rFonts w:hint="eastAsia" w:ascii="宋体" w:hAnsi="宋体" w:eastAsia="宋体" w:cs="Arial"/>
                <w:b/>
                <w:bCs/>
                <w:kern w:val="0"/>
                <w:sz w:val="18"/>
                <w:szCs w:val="18"/>
              </w:rPr>
              <w:t>人力资源和社会保障管理事务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34.71</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34.71</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2080199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其他人力资源和社会保障管理事务支出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34.71</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34.71</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行政事业单位离退休</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577.73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577.73</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79.26</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24.30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24.30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474.16</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474.16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234.66</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234.66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234.66</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234.66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医疗卫生与计划生育支出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216.79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216.79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216.79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216.79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19.64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19.64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157.99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157.99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15.10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15.10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其他行政事业单位医疗支出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24.04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24.04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天然林保护</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2110599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其他天然林保护支出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677.20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71.94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55.75</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21208</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国有土地使用权出让收入及对应专项债务收入安排的支出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71.94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55.75</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2120803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城市建设支出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55.75</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55.75</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其他国有土地使用权出让收入安排的支出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农林水支出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7,183.87</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3,699.55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3,484.31</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农业</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2130108</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病虫害控制</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林业</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7,158.87</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3,699.55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3,459.31</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916.04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716.61</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199.43</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2130204</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林业事业机构</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3,060.94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2,980.94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2130205</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森林培育</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180.99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180.99</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2130206</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林业技术推广</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229.69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229.69</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2130207</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森林资源管理</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18.26</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18.26</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2130208</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森林资源监测</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74.00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74.00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森林生态效益补偿</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463.82</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463.82</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2130210</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林业自然保护区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110.55</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110.55</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动植物保护</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湿地保护</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285.87</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285.87</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2130213</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林业执法与监督</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96.70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94.70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2130220</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林业对外合作与交流</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5.22</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5.22</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林业产业化</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5.70</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2130234</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林业防灾减灾</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27.48</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27.48</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其他林业支出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1,640.59</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1,640.59</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298.43</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22999</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2299901</w:t>
            </w:r>
          </w:p>
        </w:tc>
        <w:tc>
          <w:tcPr>
            <w:tcW w:w="505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2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47.24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bl>
    <w:p>
      <w:pPr>
        <w:widowControl/>
        <w:jc w:val="left"/>
      </w:pPr>
      <w:r>
        <w:rPr>
          <w:rFonts w:ascii="黑体" w:hAnsi="宋体" w:eastAsia="黑体" w:cs="宋体"/>
          <w:kern w:val="0"/>
          <w:sz w:val="28"/>
          <w:szCs w:val="28"/>
        </w:rPr>
        <w:fldChar w:fldCharType="end"/>
      </w:r>
      <w:r>
        <w:rPr>
          <w:rFonts w:ascii="黑体" w:hAnsi="宋体" w:eastAsia="黑体" w:cs="宋体"/>
          <w:kern w:val="0"/>
          <w:sz w:val="28"/>
          <w:szCs w:val="28"/>
        </w:rPr>
        <w:fldChar w:fldCharType="begin"/>
      </w:r>
      <w:r>
        <w:rPr>
          <w:rFonts w:ascii="黑体" w:hAnsi="宋体" w:eastAsia="黑体" w:cs="宋体"/>
          <w:kern w:val="0"/>
          <w:sz w:val="28"/>
          <w:szCs w:val="28"/>
        </w:rPr>
        <w:instrText xml:space="preserve"> LINK Excel.Sheet.8 D:\\桌面\\2018年决算公开\\公开04表.xls "Z01_1 财政拨款收入支出决算总表!R1C1:R36C8" \a \f 4 \h </w:instrText>
      </w:r>
      <w:r>
        <w:rPr>
          <w:rFonts w:ascii="黑体" w:hAnsi="宋体" w:eastAsia="黑体" w:cs="宋体"/>
          <w:kern w:val="0"/>
          <w:sz w:val="28"/>
          <w:szCs w:val="28"/>
        </w:rPr>
        <w:fldChar w:fldCharType="separate"/>
      </w:r>
    </w:p>
    <w:tbl>
      <w:tblPr>
        <w:tblStyle w:val="9"/>
        <w:tblW w:w="14120" w:type="dxa"/>
        <w:tblInd w:w="0" w:type="dxa"/>
        <w:tblLayout w:type="autofit"/>
        <w:tblCellMar>
          <w:top w:w="0" w:type="dxa"/>
          <w:left w:w="108" w:type="dxa"/>
          <w:bottom w:w="0" w:type="dxa"/>
          <w:right w:w="108" w:type="dxa"/>
        </w:tblCellMar>
      </w:tblPr>
      <w:tblGrid>
        <w:gridCol w:w="3737"/>
        <w:gridCol w:w="509"/>
        <w:gridCol w:w="1510"/>
        <w:gridCol w:w="3598"/>
        <w:gridCol w:w="509"/>
        <w:gridCol w:w="1042"/>
        <w:gridCol w:w="1576"/>
        <w:gridCol w:w="1639"/>
      </w:tblGrid>
      <w:tr>
        <w:tblPrEx>
          <w:tblCellMar>
            <w:top w:w="0" w:type="dxa"/>
            <w:left w:w="108" w:type="dxa"/>
            <w:bottom w:w="0" w:type="dxa"/>
            <w:right w:w="108" w:type="dxa"/>
          </w:tblCellMar>
        </w:tblPrEx>
        <w:trPr>
          <w:trHeight w:val="555" w:hRule="atLeast"/>
        </w:trPr>
        <w:tc>
          <w:tcPr>
            <w:tcW w:w="14120" w:type="dxa"/>
            <w:gridSpan w:val="8"/>
            <w:tcBorders>
              <w:top w:val="nil"/>
              <w:left w:val="nil"/>
              <w:bottom w:val="nil"/>
              <w:right w:val="nil"/>
            </w:tcBorders>
            <w:shd w:val="clear" w:color="000000" w:fill="FFFFFF"/>
            <w:noWrap/>
            <w:vAlign w:val="center"/>
          </w:tcPr>
          <w:p>
            <w:pPr>
              <w:widowControl/>
              <w:jc w:val="center"/>
              <w:rPr>
                <w:rFonts w:ascii="黑体" w:hAnsi="黑体" w:eastAsia="黑体" w:cs="Arial"/>
                <w:kern w:val="0"/>
                <w:sz w:val="32"/>
                <w:szCs w:val="32"/>
              </w:rPr>
            </w:pPr>
            <w:r>
              <w:rPr>
                <w:rFonts w:hint="eastAsia" w:ascii="黑体" w:hAnsi="黑体" w:eastAsia="黑体" w:cs="Arial"/>
                <w:kern w:val="0"/>
                <w:sz w:val="32"/>
                <w:szCs w:val="32"/>
              </w:rPr>
              <w:t>财政拨款收入支出决算总表</w:t>
            </w:r>
          </w:p>
        </w:tc>
      </w:tr>
      <w:tr>
        <w:tblPrEx>
          <w:tblCellMar>
            <w:top w:w="0" w:type="dxa"/>
            <w:left w:w="108" w:type="dxa"/>
            <w:bottom w:w="0" w:type="dxa"/>
            <w:right w:w="108" w:type="dxa"/>
          </w:tblCellMar>
        </w:tblPrEx>
        <w:trPr>
          <w:trHeight w:val="300" w:hRule="atLeast"/>
        </w:trPr>
        <w:tc>
          <w:tcPr>
            <w:tcW w:w="37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9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公开04表</w:t>
            </w:r>
          </w:p>
        </w:tc>
      </w:tr>
      <w:tr>
        <w:tblPrEx>
          <w:tblCellMar>
            <w:top w:w="0" w:type="dxa"/>
            <w:left w:w="108" w:type="dxa"/>
            <w:bottom w:w="0" w:type="dxa"/>
            <w:right w:w="108" w:type="dxa"/>
          </w:tblCellMar>
        </w:tblPrEx>
        <w:trPr>
          <w:trHeight w:val="300" w:hRule="atLeast"/>
        </w:trPr>
        <w:tc>
          <w:tcPr>
            <w:tcW w:w="373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编制单位：南阳市林业局</w:t>
            </w:r>
          </w:p>
        </w:tc>
        <w:tc>
          <w:tcPr>
            <w:tcW w:w="50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9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2"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57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3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单位：万元</w:t>
            </w:r>
          </w:p>
        </w:tc>
      </w:tr>
      <w:tr>
        <w:tblPrEx>
          <w:tblCellMar>
            <w:top w:w="0" w:type="dxa"/>
            <w:left w:w="108" w:type="dxa"/>
            <w:bottom w:w="0" w:type="dxa"/>
            <w:right w:w="108" w:type="dxa"/>
          </w:tblCellMar>
        </w:tblPrEx>
        <w:trPr>
          <w:trHeight w:val="495" w:hRule="atLeast"/>
        </w:trPr>
        <w:tc>
          <w:tcPr>
            <w:tcW w:w="5756" w:type="dxa"/>
            <w:gridSpan w:val="3"/>
            <w:tcBorders>
              <w:top w:val="nil"/>
              <w:left w:val="single" w:color="000000" w:sz="12" w:space="0"/>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8364" w:type="dxa"/>
            <w:gridSpan w:val="5"/>
            <w:tcBorders>
              <w:top w:val="nil"/>
              <w:left w:val="nil"/>
              <w:bottom w:val="nil"/>
              <w:right w:val="single" w:color="000000" w:sz="12"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600" w:hRule="atLeast"/>
        </w:trPr>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5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51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359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项目（按功能分类）</w:t>
            </w:r>
          </w:p>
        </w:tc>
        <w:tc>
          <w:tcPr>
            <w:tcW w:w="5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4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5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6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11462.67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8.23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8.23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20.72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20.72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七、文化体育与传媒支出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849.89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849.89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九、医疗卫生与计划生育支出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216.79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216.79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677.20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677.20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71.94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71.94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7183.87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7183.87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十八、国土海洋气象等支出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298.43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298.43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二十一、其他支出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二十二、债务还本支出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二十三、债务付息支出</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11762.87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77</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9327.07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9255.13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71.94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78</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1895.71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79</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4331.50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4092.75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238.75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1885.21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基本支出结转</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80</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489.03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489.03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项目支出结转和结余</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81</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3842.47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3603.72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238.75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82</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37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51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13658.58 </w:t>
            </w:r>
          </w:p>
        </w:tc>
        <w:tc>
          <w:tcPr>
            <w:tcW w:w="359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83</w:t>
            </w:r>
          </w:p>
        </w:tc>
        <w:tc>
          <w:tcPr>
            <w:tcW w:w="10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13658.58 </w:t>
            </w:r>
          </w:p>
        </w:tc>
        <w:tc>
          <w:tcPr>
            <w:tcW w:w="15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13347.88 </w:t>
            </w:r>
          </w:p>
        </w:tc>
        <w:tc>
          <w:tcPr>
            <w:tcW w:w="16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310.70 </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pPr>
      <w:r>
        <w:fldChar w:fldCharType="begin"/>
      </w:r>
      <w:r>
        <w:instrText xml:space="preserve"> LINK Excel.Sheet.8</w:instrText>
      </w:r>
      <w:r>
        <w:rPr>
          <w:rFonts w:hint="eastAsia"/>
        </w:rPr>
        <w:instrText xml:space="preserve"> D:\\桌面\\2018年决算公开\\公开05表.xls "Z07 一般公共预算财政拨款收入支出决算表!R1C1:R67C7" </w:instrText>
      </w:r>
      <w:r>
        <w:instrText xml:space="preserve">\a \f 4 \h </w:instrText>
      </w:r>
      <w:r>
        <w:fldChar w:fldCharType="separate"/>
      </w:r>
    </w:p>
    <w:tbl>
      <w:tblPr>
        <w:tblStyle w:val="9"/>
        <w:tblW w:w="13360" w:type="dxa"/>
        <w:tblInd w:w="0" w:type="dxa"/>
        <w:tblLayout w:type="autofit"/>
        <w:tblCellMar>
          <w:top w:w="0" w:type="dxa"/>
          <w:left w:w="108" w:type="dxa"/>
          <w:bottom w:w="0" w:type="dxa"/>
          <w:right w:w="108" w:type="dxa"/>
        </w:tblCellMar>
      </w:tblPr>
      <w:tblGrid>
        <w:gridCol w:w="416"/>
        <w:gridCol w:w="416"/>
        <w:gridCol w:w="416"/>
        <w:gridCol w:w="4100"/>
        <w:gridCol w:w="2680"/>
        <w:gridCol w:w="2740"/>
        <w:gridCol w:w="2820"/>
      </w:tblGrid>
      <w:tr>
        <w:tblPrEx>
          <w:tblCellMar>
            <w:top w:w="0" w:type="dxa"/>
            <w:left w:w="108" w:type="dxa"/>
            <w:bottom w:w="0" w:type="dxa"/>
            <w:right w:w="108" w:type="dxa"/>
          </w:tblCellMar>
        </w:tblPrEx>
        <w:trPr>
          <w:trHeight w:val="555" w:hRule="atLeast"/>
        </w:trPr>
        <w:tc>
          <w:tcPr>
            <w:tcW w:w="13360" w:type="dxa"/>
            <w:gridSpan w:val="7"/>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一般公共预算财政拨款支出决算表</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2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公开05表</w:t>
            </w:r>
          </w:p>
        </w:tc>
      </w:tr>
      <w:tr>
        <w:tblPrEx>
          <w:tblCellMar>
            <w:top w:w="0" w:type="dxa"/>
            <w:left w:w="108" w:type="dxa"/>
            <w:bottom w:w="0" w:type="dxa"/>
            <w:right w:w="108" w:type="dxa"/>
          </w:tblCellMar>
        </w:tblPrEx>
        <w:trPr>
          <w:trHeight w:val="300" w:hRule="atLeast"/>
        </w:trPr>
        <w:tc>
          <w:tcPr>
            <w:tcW w:w="512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编制单位：南阳市林业局</w:t>
            </w:r>
          </w:p>
        </w:tc>
        <w:tc>
          <w:tcPr>
            <w:tcW w:w="26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4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2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5120" w:type="dxa"/>
            <w:gridSpan w:val="4"/>
            <w:tcBorders>
              <w:top w:val="nil"/>
              <w:left w:val="single" w:color="000000" w:sz="12"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26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27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12"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支出功能分类科目编码</w:t>
            </w:r>
          </w:p>
        </w:tc>
        <w:tc>
          <w:tcPr>
            <w:tcW w:w="41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12"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600" w:hRule="atLeast"/>
        </w:trPr>
        <w:tc>
          <w:tcPr>
            <w:tcW w:w="1020" w:type="dxa"/>
            <w:gridSpan w:val="3"/>
            <w:vMerge w:val="continue"/>
            <w:tcBorders>
              <w:top w:val="nil"/>
              <w:left w:val="single" w:color="000000" w:sz="12"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40" w:type="dxa"/>
            <w:vMerge w:val="restart"/>
            <w:tcBorders>
              <w:top w:val="nil"/>
              <w:left w:val="single" w:color="000000" w:sz="12"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3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3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4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2680" w:type="dxa"/>
            <w:tcBorders>
              <w:top w:val="nil"/>
              <w:left w:val="nil"/>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740" w:type="dxa"/>
            <w:tcBorders>
              <w:top w:val="nil"/>
              <w:left w:val="nil"/>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820" w:type="dxa"/>
            <w:tcBorders>
              <w:top w:val="nil"/>
              <w:left w:val="nil"/>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340" w:type="dxa"/>
            <w:vMerge w:val="continue"/>
            <w:tcBorders>
              <w:top w:val="nil"/>
              <w:left w:val="single" w:color="000000" w:sz="12"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00" w:type="dxa"/>
            <w:tcBorders>
              <w:top w:val="nil"/>
              <w:left w:val="nil"/>
              <w:bottom w:val="single" w:color="000000" w:sz="4" w:space="0"/>
              <w:right w:val="nil"/>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9,255.13</w:t>
            </w:r>
          </w:p>
        </w:tc>
        <w:tc>
          <w:tcPr>
            <w:tcW w:w="27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5,064.67</w:t>
            </w:r>
          </w:p>
        </w:tc>
        <w:tc>
          <w:tcPr>
            <w:tcW w:w="282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4,190.46</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20111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纪检监察事务</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2011105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派驻派出机构</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20.72</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20.72</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科学技术管理事务</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2060199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其他科学技术管理事务支出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基础研究</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1.44</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2060207</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专项技术基础</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1.44</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0.77</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0.77</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0.77</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0.77</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科技条件与服务</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2060503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科技条件专项</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849.89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849.89</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人力资源和社会保障管理事务</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34.71</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34.71</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2080199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其他人力资源和社会保障管理事务支出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34.71</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34.71</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行政事业单位离退休</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577.73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577.73</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归口管理的行政单位离退休</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79.26</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79.26</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474.16</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474.16</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234.66</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234.66</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234.66</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234.66</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医疗卫生与计划生育支出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216.79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216.79</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216.79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216.79</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19.64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19.64</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157.99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157.99</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其他行政事业单位医疗支出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24.04</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自然保护区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天然林保护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2110599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其他天然林保护支出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677.20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农林水支出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7,183.87</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3,699.55</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3,484.31</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农业</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2130108</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病虫害控制</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21302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林业</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7,158.87</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3,699.55</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3,459.31</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916.04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716.61</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199.43</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2130204</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林业事业机构</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3,060.94</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2,980.94</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2130205</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森林培育</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180.99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180.99</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2130206</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林业技术推广</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229.69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229.69</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2130207</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森林资源管理</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18.26</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18.26</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2130208</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森林资源监测</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74.00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74.00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2130209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森林生态效益补偿</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463.82</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463.82</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2130210</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林业自然保护区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110.55</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110.55</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动植物保护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湿地保护</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285.87</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285.87</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2130213</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林业执法与监督</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96.70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94.70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2130220</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林业对外合作与交流</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5.22</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5.22</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林业产业化</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2130226</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林区公共支出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2130234</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林业防灾减灾</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27.48</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27.48</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2130299</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其他林业支出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1,640.59</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1,640.59</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410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12" w:space="0"/>
              <w:bottom w:val="single" w:color="000000" w:sz="12"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4100" w:type="dxa"/>
            <w:tcBorders>
              <w:top w:val="nil"/>
              <w:left w:val="nil"/>
              <w:bottom w:val="single" w:color="000000" w:sz="12" w:space="0"/>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6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298.43</w:t>
            </w:r>
          </w:p>
        </w:tc>
        <w:tc>
          <w:tcPr>
            <w:tcW w:w="28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pPr>
      <w:r>
        <w:fldChar w:fldCharType="begin"/>
      </w:r>
      <w:r>
        <w:instrText xml:space="preserve"> LINK Excel.Sheet.8</w:instrText>
      </w:r>
      <w:r>
        <w:rPr>
          <w:rFonts w:hint="eastAsia"/>
        </w:rPr>
        <w:instrText xml:space="preserve"> D:\\桌面\\2018年决算公开\\0059985867_一般公共预算财政拨款基本支出决算批复表.xls "Z08_1 一般公共预算财政拨款基本支出决算批复表!R1C1:R35C9" </w:instrText>
      </w:r>
      <w:r>
        <w:instrText xml:space="preserve">\a \f 4 \h  \* MERGEFORMAT </w:instrText>
      </w:r>
      <w:r>
        <w:fldChar w:fldCharType="separate"/>
      </w:r>
    </w:p>
    <w:tbl>
      <w:tblPr>
        <w:tblStyle w:val="9"/>
        <w:tblW w:w="14034" w:type="dxa"/>
        <w:tblInd w:w="0" w:type="dxa"/>
        <w:tblLayout w:type="autofit"/>
        <w:tblCellMar>
          <w:top w:w="0" w:type="dxa"/>
          <w:left w:w="108" w:type="dxa"/>
          <w:bottom w:w="0" w:type="dxa"/>
          <w:right w:w="108" w:type="dxa"/>
        </w:tblCellMar>
      </w:tblPr>
      <w:tblGrid>
        <w:gridCol w:w="740"/>
        <w:gridCol w:w="3160"/>
        <w:gridCol w:w="1060"/>
        <w:gridCol w:w="740"/>
        <w:gridCol w:w="2440"/>
        <w:gridCol w:w="891"/>
        <w:gridCol w:w="739"/>
        <w:gridCol w:w="2704"/>
        <w:gridCol w:w="1560"/>
      </w:tblGrid>
      <w:tr>
        <w:tblPrEx>
          <w:tblCellMar>
            <w:top w:w="0" w:type="dxa"/>
            <w:left w:w="108" w:type="dxa"/>
            <w:bottom w:w="0" w:type="dxa"/>
            <w:right w:w="108" w:type="dxa"/>
          </w:tblCellMar>
        </w:tblPrEx>
        <w:trPr>
          <w:trHeight w:val="375" w:hRule="atLeast"/>
        </w:trPr>
        <w:tc>
          <w:tcPr>
            <w:tcW w:w="14034" w:type="dxa"/>
            <w:gridSpan w:val="9"/>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9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0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公开06表</w:t>
            </w:r>
          </w:p>
        </w:tc>
      </w:tr>
      <w:tr>
        <w:tblPrEx>
          <w:tblCellMar>
            <w:top w:w="0" w:type="dxa"/>
            <w:left w:w="108" w:type="dxa"/>
            <w:bottom w:w="0" w:type="dxa"/>
            <w:right w:w="108" w:type="dxa"/>
          </w:tblCellMar>
        </w:tblPrEx>
        <w:trPr>
          <w:trHeight w:val="300" w:hRule="atLeast"/>
        </w:trPr>
        <w:tc>
          <w:tcPr>
            <w:tcW w:w="390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部门：南阳市林业局</w:t>
            </w:r>
          </w:p>
        </w:tc>
        <w:tc>
          <w:tcPr>
            <w:tcW w:w="10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4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91"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3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0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tblPrEx>
          <w:tblCellMar>
            <w:top w:w="0" w:type="dxa"/>
            <w:left w:w="108" w:type="dxa"/>
            <w:bottom w:w="0" w:type="dxa"/>
            <w:right w:w="108" w:type="dxa"/>
          </w:tblCellMar>
        </w:tblPrEx>
        <w:trPr>
          <w:trHeight w:val="300" w:hRule="atLeast"/>
        </w:trPr>
        <w:tc>
          <w:tcPr>
            <w:tcW w:w="4960" w:type="dxa"/>
            <w:gridSpan w:val="3"/>
            <w:tcBorders>
              <w:top w:val="nil"/>
              <w:left w:val="single" w:color="000000" w:sz="4" w:space="0"/>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074" w:type="dxa"/>
            <w:gridSpan w:val="6"/>
            <w:tcBorders>
              <w:top w:val="nil"/>
              <w:left w:val="nil"/>
              <w:bottom w:val="nil"/>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4549.11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332.12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1825.80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35.15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551.81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0.04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637.29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0.20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4.19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0.50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0.14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224.37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3.63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4.19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483.69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13.89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154.16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3.02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227.88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9.67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4.04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89.77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48.33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325.46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5.21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3.66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9.49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15.04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4.52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179.24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2.56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31.70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6.29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64.21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7.73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1.33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11.72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69.61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12.26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34.08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41.37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20.52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其他对个人和家庭的补助支出</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2.00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28.63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89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49.67 </w:t>
            </w:r>
          </w:p>
        </w:tc>
        <w:tc>
          <w:tcPr>
            <w:tcW w:w="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7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4728.35 </w:t>
            </w:r>
          </w:p>
        </w:tc>
        <w:tc>
          <w:tcPr>
            <w:tcW w:w="7514"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5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336.31 </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tabs>
          <w:tab w:val="left" w:pos="4785"/>
        </w:tabs>
        <w:jc w:val="left"/>
        <w:rPr>
          <w:rFonts w:ascii="黑体" w:hAnsi="宋体" w:eastAsia="黑体" w:cs="宋体"/>
          <w:kern w:val="0"/>
          <w:sz w:val="28"/>
          <w:szCs w:val="28"/>
        </w:rPr>
      </w:pPr>
      <w:r>
        <w:rPr>
          <w:rFonts w:ascii="黑体" w:hAnsi="宋体" w:eastAsia="黑体" w:cs="宋体"/>
          <w:kern w:val="0"/>
          <w:sz w:val="28"/>
          <w:szCs w:val="28"/>
        </w:rPr>
        <w:tab/>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tbl>
      <w:tblPr>
        <w:tblStyle w:val="9"/>
        <w:tblpPr w:leftFromText="180" w:rightFromText="180" w:vertAnchor="page" w:horzAnchor="margin" w:tblpY="2911"/>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部门：南阳市林业局</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r>
              <w:rPr>
                <w:rFonts w:ascii="宋体" w:hAnsi="宋体" w:eastAsia="宋体" w:cs="宋体"/>
                <w:color w:val="000000"/>
                <w:sz w:val="20"/>
                <w:szCs w:val="20"/>
              </w:rPr>
              <w:t>0.31</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r>
              <w:rPr>
                <w:rFonts w:ascii="宋体" w:hAnsi="宋体" w:eastAsia="宋体" w:cs="宋体"/>
                <w:color w:val="000000"/>
                <w:sz w:val="20"/>
                <w:szCs w:val="20"/>
              </w:rPr>
              <w:t>.21</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3</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3</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2.1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3.46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r>
              <w:rPr>
                <w:rFonts w:ascii="宋体" w:hAnsi="宋体" w:eastAsia="宋体" w:cs="宋体"/>
                <w:color w:val="000000"/>
                <w:sz w:val="20"/>
                <w:szCs w:val="20"/>
              </w:rPr>
              <w:t>.21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20.52</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r>
              <w:rPr>
                <w:rFonts w:ascii="宋体" w:hAnsi="宋体" w:eastAsia="宋体" w:cs="宋体"/>
                <w:color w:val="000000"/>
                <w:sz w:val="20"/>
                <w:szCs w:val="20"/>
              </w:rPr>
              <w:t>0.52</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r>
              <w:rPr>
                <w:rFonts w:ascii="宋体" w:hAnsi="宋体" w:eastAsia="宋体" w:cs="宋体"/>
                <w:color w:val="000000"/>
                <w:sz w:val="20"/>
                <w:szCs w:val="20"/>
              </w:rPr>
              <w:t>.73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注：本表反映部门本年度“三公”经费支出预决算情况。其中，</w:t>
            </w:r>
            <w:r>
              <w:rPr>
                <w:rFonts w:ascii="宋体" w:hAnsi="宋体" w:eastAsia="宋体" w:cs="宋体"/>
                <w:color w:val="000000"/>
                <w:sz w:val="20"/>
                <w:szCs w:val="20"/>
                <w:lang w:bidi="ar"/>
              </w:rPr>
              <w:t>预算数为“三公”经费年初预算数，决算数是包括当年一般公共预算财政拨款和以前年度结转资金安排的实际支出。</w:t>
            </w:r>
            <w:r>
              <w:rPr>
                <w:rFonts w:hint="eastAsia" w:ascii="宋体" w:hAnsi="宋体" w:eastAsia="宋体" w:cs="宋体"/>
                <w:color w:val="000000"/>
                <w:kern w:val="0"/>
                <w:sz w:val="20"/>
                <w:szCs w:val="20"/>
                <w:lang w:bidi="ar"/>
              </w:rPr>
              <w:t>本表金额转换为万元时，因四舍五入可能存在尾差。</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pPr>
      <w:r>
        <w:fldChar w:fldCharType="begin"/>
      </w:r>
      <w:r>
        <w:instrText xml:space="preserve"> LINK Excel.Sheet.8</w:instrText>
      </w:r>
      <w:r>
        <w:rPr>
          <w:rFonts w:hint="eastAsia"/>
        </w:rPr>
        <w:instrText xml:space="preserve"> D:\\桌面\\2018年决算公开\\公开08表.xls 公开08表!R1C1:R15C10 </w:instrText>
      </w:r>
      <w:r>
        <w:instrText xml:space="preserve">\a \f 4 \h </w:instrText>
      </w:r>
      <w:r>
        <w:fldChar w:fldCharType="separate"/>
      </w:r>
    </w:p>
    <w:tbl>
      <w:tblPr>
        <w:tblStyle w:val="9"/>
        <w:tblW w:w="13431" w:type="dxa"/>
        <w:tblInd w:w="0" w:type="dxa"/>
        <w:tblLayout w:type="autofit"/>
        <w:tblCellMar>
          <w:top w:w="0" w:type="dxa"/>
          <w:left w:w="108" w:type="dxa"/>
          <w:bottom w:w="0" w:type="dxa"/>
          <w:right w:w="108" w:type="dxa"/>
        </w:tblCellMar>
      </w:tblPr>
      <w:tblGrid>
        <w:gridCol w:w="610"/>
        <w:gridCol w:w="610"/>
        <w:gridCol w:w="610"/>
        <w:gridCol w:w="5050"/>
        <w:gridCol w:w="1072"/>
        <w:gridCol w:w="1204"/>
        <w:gridCol w:w="987"/>
        <w:gridCol w:w="981"/>
        <w:gridCol w:w="947"/>
        <w:gridCol w:w="1360"/>
      </w:tblGrid>
      <w:tr>
        <w:tblPrEx>
          <w:tblCellMar>
            <w:top w:w="0" w:type="dxa"/>
            <w:left w:w="108" w:type="dxa"/>
            <w:bottom w:w="0" w:type="dxa"/>
            <w:right w:w="108" w:type="dxa"/>
          </w:tblCellMar>
        </w:tblPrEx>
        <w:trPr>
          <w:trHeight w:val="660" w:hRule="atLeast"/>
        </w:trPr>
        <w:tc>
          <w:tcPr>
            <w:tcW w:w="13431" w:type="dxa"/>
            <w:gridSpan w:val="10"/>
            <w:tcBorders>
              <w:top w:val="nil"/>
              <w:left w:val="nil"/>
              <w:bottom w:val="nil"/>
              <w:right w:val="nil"/>
            </w:tcBorders>
            <w:shd w:val="clear" w:color="000000" w:fill="FFFFFF"/>
            <w:noWrap/>
            <w:vAlign w:val="center"/>
          </w:tcPr>
          <w:p>
            <w:pPr>
              <w:widowControl/>
              <w:jc w:val="center"/>
              <w:rPr>
                <w:rFonts w:ascii="宋体" w:hAnsi="宋体" w:eastAsia="宋体" w:cs="Arial"/>
                <w:kern w:val="0"/>
                <w:sz w:val="32"/>
                <w:szCs w:val="32"/>
              </w:rPr>
            </w:pPr>
            <w:r>
              <w:rPr>
                <w:rFonts w:hint="eastAsia" w:ascii="宋体" w:hAnsi="宋体" w:eastAsia="宋体" w:cs="Arial"/>
                <w:kern w:val="0"/>
                <w:sz w:val="32"/>
                <w:szCs w:val="32"/>
              </w:rPr>
              <w:t>政府性基金预算财政拨款收入支出决算表</w:t>
            </w:r>
          </w:p>
        </w:tc>
      </w:tr>
      <w:tr>
        <w:tblPrEx>
          <w:tblCellMar>
            <w:top w:w="0" w:type="dxa"/>
            <w:left w:w="108" w:type="dxa"/>
            <w:bottom w:w="0" w:type="dxa"/>
            <w:right w:w="108" w:type="dxa"/>
          </w:tblCellMar>
        </w:tblPrEx>
        <w:trPr>
          <w:trHeight w:val="300" w:hRule="atLeast"/>
        </w:trPr>
        <w:tc>
          <w:tcPr>
            <w:tcW w:w="61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7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6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公开08表</w:t>
            </w:r>
          </w:p>
        </w:tc>
      </w:tr>
      <w:tr>
        <w:tblPrEx>
          <w:tblCellMar>
            <w:top w:w="0" w:type="dxa"/>
            <w:left w:w="108" w:type="dxa"/>
            <w:bottom w:w="0" w:type="dxa"/>
            <w:right w:w="108" w:type="dxa"/>
          </w:tblCellMar>
        </w:tblPrEx>
        <w:trPr>
          <w:trHeight w:val="300" w:hRule="atLeast"/>
        </w:trPr>
        <w:tc>
          <w:tcPr>
            <w:tcW w:w="1830"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部门：南阳市林业局</w:t>
            </w:r>
          </w:p>
        </w:tc>
        <w:tc>
          <w:tcPr>
            <w:tcW w:w="50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7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6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trHeight w:val="300" w:hRule="atLeast"/>
        </w:trPr>
        <w:tc>
          <w:tcPr>
            <w:tcW w:w="183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5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29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183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3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83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8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83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8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6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610" w:type="dxa"/>
            <w:vMerge w:val="restart"/>
            <w:tcBorders>
              <w:top w:val="nil"/>
              <w:left w:val="nil"/>
              <w:bottom w:val="single" w:color="000000" w:sz="4" w:space="0"/>
              <w:right w:val="nil"/>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505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07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r>
      <w:tr>
        <w:tblPrEx>
          <w:tblCellMar>
            <w:top w:w="0" w:type="dxa"/>
            <w:left w:w="108" w:type="dxa"/>
            <w:bottom w:w="0" w:type="dxa"/>
            <w:right w:w="108" w:type="dxa"/>
          </w:tblCellMar>
        </w:tblPrEx>
        <w:trPr>
          <w:trHeight w:val="402" w:hRule="atLeast"/>
        </w:trPr>
        <w:tc>
          <w:tcPr>
            <w:tcW w:w="6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10" w:type="dxa"/>
            <w:vMerge w:val="continue"/>
            <w:tcBorders>
              <w:top w:val="nil"/>
              <w:left w:val="nil"/>
              <w:bottom w:val="single" w:color="000000" w:sz="4" w:space="0"/>
              <w:right w:val="nil"/>
            </w:tcBorders>
            <w:vAlign w:val="center"/>
          </w:tcPr>
          <w:p>
            <w:pPr>
              <w:widowControl/>
              <w:jc w:val="left"/>
              <w:rPr>
                <w:rFonts w:ascii="宋体" w:hAnsi="宋体" w:eastAsia="宋体" w:cs="Arial"/>
                <w:kern w:val="0"/>
                <w:sz w:val="20"/>
                <w:szCs w:val="20"/>
              </w:rPr>
            </w:pPr>
          </w:p>
        </w:tc>
        <w:tc>
          <w:tcPr>
            <w:tcW w:w="505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71.94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55.75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238.75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城乡社区支出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71.94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55.75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238.75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21208</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国有土地使用权出让收入及对应专项债务收入安排的支出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300.20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71.94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55.75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228.25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2120803</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城市建设支出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284.00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55.75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55.75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228.25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2120899</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其他国有土地使用权出让收入安排的支出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16.20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21213</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城市基础设施配套费及对应专项债务收入安排的支出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r>
      <w:tr>
        <w:tblPrEx>
          <w:tblCellMar>
            <w:top w:w="0" w:type="dxa"/>
            <w:left w:w="108" w:type="dxa"/>
            <w:bottom w:w="0" w:type="dxa"/>
            <w:right w:w="108" w:type="dxa"/>
          </w:tblCellMar>
        </w:tblPrEx>
        <w:trPr>
          <w:trHeight w:val="402" w:hRule="atLeast"/>
        </w:trPr>
        <w:tc>
          <w:tcPr>
            <w:tcW w:w="18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2121399</w:t>
            </w:r>
          </w:p>
        </w:tc>
        <w:tc>
          <w:tcPr>
            <w:tcW w:w="50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其他城市基础设施配套费安排的支出</w:t>
            </w:r>
          </w:p>
        </w:tc>
        <w:tc>
          <w:tcPr>
            <w:tcW w:w="1072"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c>
          <w:tcPr>
            <w:tcW w:w="1204"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8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81"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947"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0.00 </w:t>
            </w:r>
          </w:p>
        </w:tc>
        <w:tc>
          <w:tcPr>
            <w:tcW w:w="1360" w:type="dxa"/>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 xml:space="preserve">10.50 </w:t>
            </w:r>
          </w:p>
        </w:tc>
      </w:tr>
    </w:tbl>
    <w:p>
      <w:pPr>
        <w:widowControl/>
        <w:jc w:val="left"/>
        <w:rPr>
          <w:rFonts w:ascii="黑体" w:hAnsi="宋体" w:eastAsia="黑体" w:cs="宋体"/>
          <w:kern w:val="0"/>
          <w:sz w:val="28"/>
          <w:szCs w:val="28"/>
        </w:rPr>
      </w:pPr>
      <w:r>
        <w:rPr>
          <w:rFonts w:ascii="黑体" w:hAnsi="宋体" w:eastAsia="黑体" w:cs="宋体"/>
          <w:kern w:val="0"/>
          <w:sz w:val="28"/>
          <w:szCs w:val="28"/>
        </w:rPr>
        <w:fldChar w:fldCharType="end"/>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2018年度部门决算情况说明</w:t>
      </w:r>
    </w:p>
    <w:p>
      <w:pPr>
        <w:widowControl/>
        <w:jc w:val="left"/>
        <w:rPr>
          <w:rFonts w:ascii="黑体" w:hAnsi="黑体" w:eastAsia="黑体" w:cs="黑体"/>
          <w:sz w:val="48"/>
          <w:szCs w:val="48"/>
        </w:rPr>
        <w:sectPr>
          <w:pgSz w:w="16838" w:h="11906" w:orient="landscape"/>
          <w:pgMar w:top="1800" w:right="1440" w:bottom="1800" w:left="144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2018年度收、支总计均为1</w:t>
      </w:r>
      <w:r>
        <w:rPr>
          <w:rFonts w:ascii="仿宋_GB2312" w:hAnsi="仿宋_GB2312" w:eastAsia="仿宋_GB2312" w:cs="仿宋_GB2312"/>
          <w:sz w:val="32"/>
          <w:szCs w:val="32"/>
        </w:rPr>
        <w:t>3708.33</w:t>
      </w:r>
      <w:r>
        <w:rPr>
          <w:rFonts w:hint="eastAsia" w:ascii="仿宋_GB2312" w:hAnsi="仿宋_GB2312" w:eastAsia="仿宋_GB2312" w:cs="仿宋_GB2312"/>
          <w:sz w:val="32"/>
          <w:szCs w:val="32"/>
        </w:rPr>
        <w:t>万元。与上年度相比，收、支总计各增加4</w:t>
      </w:r>
      <w:r>
        <w:rPr>
          <w:rFonts w:ascii="仿宋_GB2312" w:hAnsi="仿宋_GB2312" w:eastAsia="仿宋_GB2312" w:cs="仿宋_GB2312"/>
          <w:sz w:val="32"/>
          <w:szCs w:val="32"/>
        </w:rPr>
        <w:t>360.69</w:t>
      </w:r>
      <w:r>
        <w:rPr>
          <w:rFonts w:hint="eastAsia" w:ascii="仿宋_GB2312" w:hAnsi="仿宋_GB2312" w:eastAsia="仿宋_GB2312" w:cs="仿宋_GB2312"/>
          <w:sz w:val="32"/>
          <w:szCs w:val="32"/>
        </w:rPr>
        <w:t>万元，增长4</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%。主要原因是林业工作任务较多，项目资金预算增加。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2018年度收入合计1</w:t>
      </w:r>
      <w:r>
        <w:rPr>
          <w:rFonts w:ascii="仿宋_GB2312" w:hAnsi="仿宋_GB2312" w:eastAsia="仿宋_GB2312" w:cs="仿宋_GB2312"/>
          <w:sz w:val="32"/>
          <w:szCs w:val="32"/>
        </w:rPr>
        <w:t>1812.62</w:t>
      </w:r>
      <w:r>
        <w:rPr>
          <w:rFonts w:hint="eastAsia" w:ascii="仿宋_GB2312" w:hAnsi="仿宋_GB2312" w:eastAsia="仿宋_GB2312" w:cs="仿宋_GB2312"/>
          <w:sz w:val="32"/>
          <w:szCs w:val="32"/>
        </w:rPr>
        <w:t>万元，其中：财政拨款收入1</w:t>
      </w:r>
      <w:r>
        <w:rPr>
          <w:rFonts w:ascii="仿宋_GB2312" w:hAnsi="仿宋_GB2312" w:eastAsia="仿宋_GB2312" w:cs="仿宋_GB2312"/>
          <w:sz w:val="32"/>
          <w:szCs w:val="32"/>
        </w:rPr>
        <w:t>1762.87</w:t>
      </w:r>
      <w:r>
        <w:rPr>
          <w:rFonts w:hint="eastAsia" w:ascii="仿宋_GB2312" w:hAnsi="仿宋_GB2312" w:eastAsia="仿宋_GB2312" w:cs="仿宋_GB2312"/>
          <w:sz w:val="32"/>
          <w:szCs w:val="32"/>
        </w:rPr>
        <w:t>万元，占9</w:t>
      </w:r>
      <w:r>
        <w:rPr>
          <w:rFonts w:ascii="仿宋_GB2312" w:hAnsi="仿宋_GB2312" w:eastAsia="仿宋_GB2312" w:cs="仿宋_GB2312"/>
          <w:sz w:val="32"/>
          <w:szCs w:val="32"/>
        </w:rPr>
        <w:t>9.58</w:t>
      </w:r>
      <w:r>
        <w:rPr>
          <w:rFonts w:hint="eastAsia" w:ascii="仿宋_GB2312" w:hAnsi="仿宋_GB2312" w:eastAsia="仿宋_GB2312" w:cs="仿宋_GB2312"/>
          <w:sz w:val="32"/>
          <w:szCs w:val="32"/>
        </w:rPr>
        <w:t>%；其他收入4</w:t>
      </w:r>
      <w:r>
        <w:rPr>
          <w:rFonts w:ascii="仿宋_GB2312" w:hAnsi="仿宋_GB2312" w:eastAsia="仿宋_GB2312" w:cs="仿宋_GB2312"/>
          <w:sz w:val="32"/>
          <w:szCs w:val="32"/>
        </w:rPr>
        <w:t>9.75</w:t>
      </w:r>
      <w:r>
        <w:rPr>
          <w:rFonts w:hint="eastAsia" w:ascii="仿宋_GB2312" w:hAnsi="仿宋_GB2312" w:eastAsia="仿宋_GB2312" w:cs="仿宋_GB2312"/>
          <w:sz w:val="32"/>
          <w:szCs w:val="32"/>
        </w:rPr>
        <w:t>万元，占0</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2018年度支出合计9</w:t>
      </w:r>
      <w:r>
        <w:rPr>
          <w:rFonts w:ascii="仿宋_GB2312" w:hAnsi="仿宋_GB2312" w:eastAsia="仿宋_GB2312" w:cs="仿宋_GB2312"/>
          <w:sz w:val="32"/>
          <w:szCs w:val="32"/>
        </w:rPr>
        <w:t>374.31</w:t>
      </w:r>
      <w:r>
        <w:rPr>
          <w:rFonts w:hint="eastAsia" w:ascii="仿宋_GB2312" w:hAnsi="仿宋_GB2312" w:eastAsia="仿宋_GB2312" w:cs="仿宋_GB2312"/>
          <w:sz w:val="32"/>
          <w:szCs w:val="32"/>
        </w:rPr>
        <w:t>万元，其中：基本支出5</w:t>
      </w:r>
      <w:r>
        <w:rPr>
          <w:rFonts w:ascii="仿宋_GB2312" w:hAnsi="仿宋_GB2312" w:eastAsia="仿宋_GB2312" w:cs="仿宋_GB2312"/>
          <w:sz w:val="32"/>
          <w:szCs w:val="32"/>
        </w:rPr>
        <w:t>128.1</w:t>
      </w:r>
      <w:r>
        <w:rPr>
          <w:rFonts w:hint="eastAsia" w:ascii="仿宋_GB2312" w:hAnsi="仿宋_GB2312" w:eastAsia="仿宋_GB2312" w:cs="仿宋_GB2312"/>
          <w:sz w:val="32"/>
          <w:szCs w:val="32"/>
        </w:rPr>
        <w:t>万元，占5</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%；项目支出4</w:t>
      </w:r>
      <w:r>
        <w:rPr>
          <w:rFonts w:ascii="仿宋_GB2312" w:hAnsi="仿宋_GB2312" w:eastAsia="仿宋_GB2312" w:cs="仿宋_GB2312"/>
          <w:sz w:val="32"/>
          <w:szCs w:val="32"/>
        </w:rPr>
        <w:t>246.21</w:t>
      </w:r>
      <w:r>
        <w:rPr>
          <w:rFonts w:hint="eastAsia" w:ascii="仿宋_GB2312" w:hAnsi="仿宋_GB2312" w:eastAsia="仿宋_GB2312" w:cs="仿宋_GB2312"/>
          <w:sz w:val="32"/>
          <w:szCs w:val="32"/>
        </w:rPr>
        <w:t>万元，占4</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2018年度财政拨款收、支总计均为1</w:t>
      </w:r>
      <w:r>
        <w:rPr>
          <w:rFonts w:ascii="仿宋_GB2312" w:hAnsi="仿宋_GB2312" w:eastAsia="仿宋_GB2312" w:cs="仿宋_GB2312"/>
          <w:sz w:val="32"/>
          <w:szCs w:val="32"/>
        </w:rPr>
        <w:t>3658.58</w:t>
      </w:r>
      <w:r>
        <w:rPr>
          <w:rFonts w:hint="eastAsia" w:ascii="仿宋_GB2312" w:hAnsi="仿宋_GB2312" w:eastAsia="仿宋_GB2312" w:cs="仿宋_GB2312"/>
          <w:sz w:val="32"/>
          <w:szCs w:val="32"/>
        </w:rPr>
        <w:t>万元。与上年度相比，财政拨款收、支总计各增加4</w:t>
      </w:r>
      <w:r>
        <w:rPr>
          <w:rFonts w:ascii="仿宋_GB2312" w:hAnsi="仿宋_GB2312" w:eastAsia="仿宋_GB2312" w:cs="仿宋_GB2312"/>
          <w:sz w:val="32"/>
          <w:szCs w:val="32"/>
        </w:rPr>
        <w:t>404.42</w:t>
      </w:r>
      <w:r>
        <w:rPr>
          <w:rFonts w:hint="eastAsia" w:ascii="仿宋_GB2312" w:hAnsi="仿宋_GB2312" w:eastAsia="仿宋_GB2312" w:cs="仿宋_GB2312"/>
          <w:sz w:val="32"/>
          <w:szCs w:val="32"/>
        </w:rPr>
        <w:t>万元，增长4</w:t>
      </w:r>
      <w:r>
        <w:rPr>
          <w:rFonts w:ascii="仿宋_GB2312" w:hAnsi="仿宋_GB2312" w:eastAsia="仿宋_GB2312" w:cs="仿宋_GB2312"/>
          <w:sz w:val="32"/>
          <w:szCs w:val="32"/>
        </w:rPr>
        <w:t>7.59</w:t>
      </w:r>
      <w:r>
        <w:rPr>
          <w:rFonts w:hint="eastAsia" w:ascii="仿宋_GB2312" w:hAnsi="仿宋_GB2312" w:eastAsia="仿宋_GB2312" w:cs="仿宋_GB2312"/>
          <w:sz w:val="32"/>
          <w:szCs w:val="32"/>
        </w:rPr>
        <w:t>%。主要原因是林业工作任务较多，项目资金预算增加。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2018年度一般公共预算财政拨款支出9</w:t>
      </w:r>
      <w:r>
        <w:rPr>
          <w:rFonts w:ascii="仿宋_GB2312" w:hAnsi="仿宋_GB2312" w:eastAsia="仿宋_GB2312" w:cs="仿宋_GB2312"/>
          <w:sz w:val="32"/>
          <w:szCs w:val="32"/>
        </w:rPr>
        <w:t>255.13</w:t>
      </w:r>
      <w:r>
        <w:rPr>
          <w:rFonts w:hint="eastAsia" w:ascii="仿宋_GB2312" w:hAnsi="仿宋_GB2312" w:eastAsia="仿宋_GB2312" w:cs="仿宋_GB2312"/>
          <w:sz w:val="32"/>
          <w:szCs w:val="32"/>
        </w:rPr>
        <w:t>万元，占本年支出合计的9</w:t>
      </w:r>
      <w:r>
        <w:rPr>
          <w:rFonts w:ascii="仿宋_GB2312" w:hAnsi="仿宋_GB2312" w:eastAsia="仿宋_GB2312" w:cs="仿宋_GB2312"/>
          <w:sz w:val="32"/>
          <w:szCs w:val="32"/>
        </w:rPr>
        <w:t>8.73</w:t>
      </w:r>
      <w:r>
        <w:rPr>
          <w:rFonts w:hint="eastAsia" w:ascii="仿宋_GB2312" w:hAnsi="仿宋_GB2312" w:eastAsia="仿宋_GB2312" w:cs="仿宋_GB2312"/>
          <w:sz w:val="32"/>
          <w:szCs w:val="32"/>
        </w:rPr>
        <w:t>%。与上年度相比，一般公共预算财政拨款支出增加1</w:t>
      </w:r>
      <w:r>
        <w:rPr>
          <w:rFonts w:ascii="仿宋_GB2312" w:hAnsi="仿宋_GB2312" w:eastAsia="仿宋_GB2312" w:cs="仿宋_GB2312"/>
          <w:sz w:val="32"/>
          <w:szCs w:val="32"/>
        </w:rPr>
        <w:t>613.38</w:t>
      </w:r>
      <w:r>
        <w:rPr>
          <w:rFonts w:hint="eastAsia" w:ascii="仿宋_GB2312" w:hAnsi="仿宋_GB2312" w:eastAsia="仿宋_GB2312" w:cs="仿宋_GB2312"/>
          <w:sz w:val="32"/>
          <w:szCs w:val="32"/>
        </w:rPr>
        <w:t>万元，增长2</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%。主要原因是林业工作任务较多，项目资金预算增加。</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2018年度一般公共预算财政拨款支出9</w:t>
      </w:r>
      <w:r>
        <w:rPr>
          <w:rFonts w:ascii="仿宋_GB2312" w:hAnsi="仿宋_GB2312" w:eastAsia="仿宋_GB2312" w:cs="仿宋_GB2312"/>
          <w:sz w:val="32"/>
          <w:szCs w:val="32"/>
        </w:rPr>
        <w:t>255.13</w:t>
      </w:r>
      <w:r>
        <w:rPr>
          <w:rFonts w:hint="eastAsia" w:ascii="仿宋_GB2312" w:hAnsi="仿宋_GB2312" w:eastAsia="仿宋_GB2312" w:cs="仿宋_GB2312"/>
          <w:sz w:val="32"/>
          <w:szCs w:val="32"/>
        </w:rPr>
        <w:t>万元，主要用于以下方面：一般公共服务（类）支出8</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万元，占0</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%；科学技术支出</w:t>
      </w:r>
      <w:r>
        <w:rPr>
          <w:rFonts w:ascii="仿宋_GB2312" w:hAnsi="仿宋_GB2312" w:eastAsia="仿宋_GB2312" w:cs="仿宋_GB2312"/>
          <w:sz w:val="32"/>
          <w:szCs w:val="32"/>
        </w:rPr>
        <w:t>20.72万元</w:t>
      </w:r>
      <w:r>
        <w:rPr>
          <w:rFonts w:hint="eastAsia" w:ascii="仿宋_GB2312" w:hAnsi="仿宋_GB2312" w:eastAsia="仿宋_GB2312" w:cs="仿宋_GB2312"/>
          <w:sz w:val="32"/>
          <w:szCs w:val="32"/>
        </w:rPr>
        <w:t>，占0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社会保障就业支出</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49.89万元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占</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医疗卫生与计划生育支出216.79万元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占</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节能环保</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677.2万元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占</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7183.87万元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占77.62%；</w:t>
      </w:r>
      <w:r>
        <w:rPr>
          <w:rFonts w:ascii="仿宋_GB2312" w:hAnsi="仿宋_GB2312" w:eastAsia="仿宋_GB2312" w:cs="仿宋_GB2312"/>
          <w:sz w:val="32"/>
          <w:szCs w:val="32"/>
        </w:rPr>
        <w:t>住房保障支出</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98.43万元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占</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2018年度一般公共预算财政拨款支出年初预算为8</w:t>
      </w:r>
      <w:r>
        <w:rPr>
          <w:rFonts w:ascii="仿宋_GB2312" w:hAnsi="仿宋_GB2312" w:eastAsia="仿宋_GB2312" w:cs="仿宋_GB2312"/>
          <w:sz w:val="32"/>
          <w:szCs w:val="32"/>
        </w:rPr>
        <w:t>950.96</w:t>
      </w:r>
      <w:r>
        <w:rPr>
          <w:rFonts w:hint="eastAsia" w:ascii="仿宋_GB2312" w:hAnsi="仿宋_GB2312" w:eastAsia="仿宋_GB2312" w:cs="仿宋_GB2312"/>
          <w:sz w:val="32"/>
          <w:szCs w:val="32"/>
        </w:rPr>
        <w:t>万元，支出决算为9</w:t>
      </w:r>
      <w:r>
        <w:rPr>
          <w:rFonts w:ascii="仿宋_GB2312" w:hAnsi="仿宋_GB2312" w:eastAsia="仿宋_GB2312" w:cs="仿宋_GB2312"/>
          <w:sz w:val="32"/>
          <w:szCs w:val="32"/>
        </w:rPr>
        <w:t>255.13</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03.4</w:t>
      </w:r>
      <w:r>
        <w:rPr>
          <w:rFonts w:hint="eastAsia" w:ascii="仿宋_GB2312" w:hAnsi="仿宋_GB2312" w:eastAsia="仿宋_GB2312" w:cs="仿宋_GB2312"/>
          <w:sz w:val="32"/>
          <w:szCs w:val="32"/>
        </w:rPr>
        <w:t>%。其中：</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一般公共服务支出</w:t>
      </w:r>
      <w:r>
        <w:rPr>
          <w:rFonts w:hint="eastAsia" w:ascii="仿宋_GB2312" w:hAnsi="仿宋_GB2312" w:eastAsia="仿宋_GB2312" w:cs="仿宋_GB2312"/>
          <w:b w:val="0"/>
          <w:bCs w:val="0"/>
          <w:sz w:val="32"/>
          <w:szCs w:val="32"/>
          <w:lang w:eastAsia="zh-CN"/>
        </w:rPr>
        <w:t>（类）纪检监察事务（款）派驻派出机构（项）。</w:t>
      </w:r>
      <w:r>
        <w:rPr>
          <w:rFonts w:hint="eastAsia" w:ascii="仿宋_GB2312" w:hAnsi="仿宋_GB2312" w:eastAsia="仿宋_GB2312" w:cs="仿宋_GB2312"/>
          <w:b w:val="0"/>
          <w:bCs w:val="0"/>
          <w:sz w:val="32"/>
          <w:szCs w:val="32"/>
        </w:rPr>
        <w:t>年初</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万元，支出决算为8</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万元。决算数与年初预算数存在差异的主要原因是预算追加纪检监察派出机构工作经费。</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lang w:eastAsia="zh-CN"/>
        </w:rPr>
        <w:t>（类）科学技术管理事务（款）其他科学技术管理事务支出（项）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lang w:eastAsia="zh-CN"/>
        </w:rPr>
        <w:t>（类）基础研究（款）专项技术基础（项）。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lang w:eastAsia="zh-CN"/>
        </w:rPr>
        <w:t>（类）应用研究（款）社会公益研究（项）。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lang w:eastAsia="zh-CN"/>
        </w:rPr>
        <w:t>（类）科技条件与服务（款）科技条件专项（项）。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16.53</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lang w:eastAsia="zh-CN"/>
        </w:rPr>
        <w:t>，人力资源与社会保障管理事务</w:t>
      </w:r>
      <w:r>
        <w:rPr>
          <w:rFonts w:hint="eastAsia" w:ascii="仿宋_GB2312" w:hAnsi="仿宋_GB2312" w:eastAsia="仿宋_GB2312" w:cs="仿宋_GB2312"/>
          <w:b w:val="0"/>
          <w:bCs w:val="0"/>
          <w:sz w:val="32"/>
          <w:szCs w:val="32"/>
          <w:lang w:eastAsia="zh-CN"/>
        </w:rPr>
        <w:t>（款），其他人力资源和社会保障管理事务支出（项）。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21.14</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34.71</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%。决算数与年初预算数存在差异的主要原因是年度人员增加和自然减员，财政追加调整预算。</w:t>
      </w:r>
    </w:p>
    <w:p>
      <w:pPr>
        <w:widowControl/>
        <w:numPr>
          <w:ilvl w:val="0"/>
          <w:numId w:val="2"/>
        </w:numPr>
        <w:spacing w:line="590" w:lineRule="exact"/>
        <w:ind w:left="-220" w:leftChars="0" w:firstLine="64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（类），行政事业单位离退休（款），归口管理的行政单位离退休（项）。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47.12</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79.26</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68.2</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年度人员增减和社保缴费基础数据调整，财政追加调整预算。</w:t>
      </w:r>
    </w:p>
    <w:p>
      <w:pPr>
        <w:widowControl/>
        <w:numPr>
          <w:ilvl w:val="0"/>
          <w:numId w:val="2"/>
        </w:numPr>
        <w:spacing w:line="590" w:lineRule="exact"/>
        <w:ind w:left="-220" w:leftChars="0" w:firstLine="64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（类），行政事业单位离退休（款），事业单位离退休（项）。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16.23</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149.72</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年度人员增减和社保缴费基础数据调整，财政追加调整预算。</w:t>
      </w:r>
    </w:p>
    <w:p>
      <w:pPr>
        <w:widowControl/>
        <w:numPr>
          <w:ilvl w:val="0"/>
          <w:numId w:val="2"/>
        </w:numPr>
        <w:spacing w:line="590" w:lineRule="exact"/>
        <w:ind w:left="-220" w:leftChars="0" w:firstLine="64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（类），行政事业单位离退休（款），机关事业单位基本养老保险缴费支出（项）。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417.59</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474.16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113.55</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年度人员增减和社保缴费基础数据调整，财政追加调整预算。</w:t>
      </w:r>
    </w:p>
    <w:p>
      <w:pPr>
        <w:widowControl/>
        <w:numPr>
          <w:ilvl w:val="0"/>
          <w:numId w:val="2"/>
        </w:numPr>
        <w:spacing w:line="590" w:lineRule="exact"/>
        <w:ind w:left="-220" w:leftChars="0" w:firstLine="640" w:firstLine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lang w:eastAsia="zh-CN"/>
        </w:rPr>
        <w:t>，抚恤（款），死亡</w:t>
      </w:r>
      <w:r>
        <w:rPr>
          <w:rFonts w:hint="eastAsia" w:ascii="仿宋_GB2312" w:hAnsi="仿宋_GB2312" w:eastAsia="仿宋_GB2312" w:cs="仿宋_GB2312"/>
          <w:b w:val="0"/>
          <w:bCs w:val="0"/>
          <w:sz w:val="32"/>
          <w:szCs w:val="32"/>
          <w:lang w:eastAsia="zh-CN"/>
        </w:rPr>
        <w:t>抚恤（项）。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lang w:eastAsia="zh-CN"/>
        </w:rPr>
        <w:t>（类），其它社会保障和就业支出（款），其它社会保障和就业支出（项）。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199.06</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234.66</w:t>
      </w:r>
      <w:r>
        <w:rPr>
          <w:rFonts w:hint="eastAsia" w:ascii="仿宋_GB2312" w:hAnsi="仿宋_GB2312" w:eastAsia="仿宋_GB2312" w:cs="仿宋_GB2312"/>
          <w:sz w:val="32"/>
          <w:szCs w:val="32"/>
        </w:rPr>
        <w:t>万元，完成年初预</w:t>
      </w:r>
      <w:bookmarkStart w:id="0" w:name="_GoBack"/>
      <w:bookmarkEnd w:id="0"/>
      <w:r>
        <w:rPr>
          <w:rFonts w:hint="eastAsia" w:ascii="仿宋_GB2312" w:hAnsi="仿宋_GB2312" w:eastAsia="仿宋_GB2312" w:cs="仿宋_GB2312"/>
          <w:sz w:val="32"/>
          <w:szCs w:val="32"/>
        </w:rPr>
        <w:t>算的</w:t>
      </w:r>
      <w:r>
        <w:rPr>
          <w:rFonts w:hint="eastAsia" w:ascii="仿宋_GB2312" w:hAnsi="仿宋_GB2312" w:eastAsia="仿宋_GB2312" w:cs="仿宋_GB2312"/>
          <w:sz w:val="32"/>
          <w:szCs w:val="32"/>
          <w:lang w:val="en-US" w:eastAsia="zh-CN"/>
        </w:rPr>
        <w:t>117.88</w:t>
      </w:r>
      <w:r>
        <w:rPr>
          <w:rFonts w:hint="eastAsia" w:ascii="仿宋_GB2312" w:hAnsi="仿宋_GB2312" w:eastAsia="仿宋_GB2312" w:cs="仿宋_GB2312"/>
          <w:sz w:val="32"/>
          <w:szCs w:val="32"/>
        </w:rPr>
        <w:t>%。决算数与年初预算数存在差异的主要原因是年度人员增加和自然减员，财政追加调整预算。</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医疗卫生与计划生育支出</w:t>
      </w:r>
      <w:r>
        <w:rPr>
          <w:rFonts w:hint="eastAsia" w:ascii="仿宋_GB2312" w:hAnsi="仿宋_GB2312" w:eastAsia="仿宋_GB2312" w:cs="仿宋_GB2312"/>
          <w:b w:val="0"/>
          <w:bCs w:val="0"/>
          <w:sz w:val="32"/>
          <w:szCs w:val="32"/>
          <w:lang w:eastAsia="zh-CN"/>
        </w:rPr>
        <w:t>（类），行政事业单位医疗（款），行政单位医疗（项）。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19.64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85.91</w:t>
      </w:r>
      <w:r>
        <w:rPr>
          <w:rFonts w:hint="eastAsia" w:ascii="仿宋_GB2312" w:hAnsi="仿宋_GB2312" w:eastAsia="仿宋_GB2312" w:cs="仿宋_GB2312"/>
          <w:sz w:val="32"/>
          <w:szCs w:val="32"/>
        </w:rPr>
        <w:t>%。决算数与年初预算数存在差异的主要原因是年度部门人员增减变动。</w:t>
      </w:r>
    </w:p>
    <w:p>
      <w:pPr>
        <w:widowControl/>
        <w:numPr>
          <w:ilvl w:val="0"/>
          <w:numId w:val="2"/>
        </w:numPr>
        <w:spacing w:line="590" w:lineRule="exact"/>
        <w:ind w:left="-220" w:leftChars="0" w:firstLine="640" w:firstLine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医疗卫生与计划生育支出</w:t>
      </w:r>
      <w:r>
        <w:rPr>
          <w:rFonts w:hint="eastAsia" w:ascii="仿宋_GB2312" w:hAnsi="仿宋_GB2312" w:eastAsia="仿宋_GB2312" w:cs="仿宋_GB2312"/>
          <w:b w:val="0"/>
          <w:bCs w:val="0"/>
          <w:sz w:val="32"/>
          <w:szCs w:val="32"/>
          <w:lang w:eastAsia="zh-CN"/>
        </w:rPr>
        <w:t>（类），行政事业单位医疗（款），事业单位医疗（项）。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171.88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157.99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91.92</w:t>
      </w:r>
      <w:r>
        <w:rPr>
          <w:rFonts w:hint="eastAsia" w:ascii="仿宋_GB2312" w:hAnsi="仿宋_GB2312" w:eastAsia="仿宋_GB2312" w:cs="仿宋_GB2312"/>
          <w:sz w:val="32"/>
          <w:szCs w:val="32"/>
        </w:rPr>
        <w:t>%。决算数与年初预算数存在差异的主要原因是年度部门人员增减变动。</w:t>
      </w:r>
    </w:p>
    <w:p>
      <w:pPr>
        <w:widowControl/>
        <w:numPr>
          <w:ilvl w:val="0"/>
          <w:numId w:val="2"/>
        </w:numPr>
        <w:spacing w:line="590" w:lineRule="exact"/>
        <w:ind w:left="-220" w:leftChars="0" w:firstLine="640" w:firstLine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医疗卫生与计划生育支出</w:t>
      </w:r>
      <w:r>
        <w:rPr>
          <w:rFonts w:hint="eastAsia" w:ascii="仿宋_GB2312" w:hAnsi="仿宋_GB2312" w:eastAsia="仿宋_GB2312" w:cs="仿宋_GB2312"/>
          <w:b w:val="0"/>
          <w:bCs w:val="0"/>
          <w:sz w:val="32"/>
          <w:szCs w:val="32"/>
          <w:lang w:eastAsia="zh-CN"/>
        </w:rPr>
        <w:t>（类），行政事业单位医疗（款），公务员医疗补助（项）。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85.6</w:t>
      </w:r>
      <w:r>
        <w:rPr>
          <w:rFonts w:hint="eastAsia" w:ascii="仿宋_GB2312" w:hAnsi="仿宋_GB2312" w:eastAsia="仿宋_GB2312" w:cs="仿宋_GB2312"/>
          <w:sz w:val="32"/>
          <w:szCs w:val="32"/>
        </w:rPr>
        <w:t>%。决算数与年初预算数存在差异的主要原因是年度部门人员增减变动。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医疗卫生与计划生育支出</w:t>
      </w:r>
      <w:r>
        <w:rPr>
          <w:rFonts w:hint="eastAsia" w:ascii="仿宋_GB2312" w:hAnsi="仿宋_GB2312" w:eastAsia="仿宋_GB2312" w:cs="仿宋_GB2312"/>
          <w:b w:val="0"/>
          <w:bCs w:val="0"/>
          <w:sz w:val="32"/>
          <w:szCs w:val="32"/>
          <w:lang w:eastAsia="zh-CN"/>
        </w:rPr>
        <w:t>（类），行政事业单位医疗（款），其他行政事业单位医疗（支出项）。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86.29</w:t>
      </w:r>
      <w:r>
        <w:rPr>
          <w:rFonts w:hint="eastAsia" w:ascii="仿宋_GB2312" w:hAnsi="仿宋_GB2312" w:eastAsia="仿宋_GB2312" w:cs="仿宋_GB2312"/>
          <w:sz w:val="32"/>
          <w:szCs w:val="32"/>
        </w:rPr>
        <w:t>%。决算数与年初预算数存在差异的主要原因是年度部门人员增减变动。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lang w:eastAsia="zh-CN"/>
        </w:rPr>
        <w:t>（类），天然林保护保护（款），其它天然林保护支出（项）。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725.5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677.2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93.34</w:t>
      </w:r>
      <w:r>
        <w:rPr>
          <w:rFonts w:hint="eastAsia" w:ascii="仿宋_GB2312" w:hAnsi="仿宋_GB2312" w:eastAsia="仿宋_GB2312" w:cs="仿宋_GB2312"/>
          <w:sz w:val="32"/>
          <w:szCs w:val="32"/>
        </w:rPr>
        <w:t>%。决算数与年初预算数存在差异的主要原因是项目跨年度实施，资金结转使用。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（类），农业（款），病虫害控制（项）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（类），林业（款），行政运行（项）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1013.68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916.04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90.37</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（类），林业（款），一般行政管理事务（项）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91.01</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（类），林业（款），林业事业机构（项）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3271.48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3060.94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93.56</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（类），林业（款），森林培育（项）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180.99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180.99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（类），林业（款），林业技术推广（项）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253.68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229.69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90.54</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（类），林业（款），森林资源管理（项）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（类），林业（款），森林资源监测（项）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78.41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94.38</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（类），林业（款），森林生态效益补偿（项）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463.82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463.82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（类），林业（款），林业自然保护区（项）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121.36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91.09</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（类），林业（款），动植物保护（项）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（类），林业（款），湿地保护（项）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310.16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285.87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92.17</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（类），林业（款），林业执法与监督（项）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（类），林业（款），林业对外合作与交流（项）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（类），林业（款），林业产业化（项）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（类），林业（款），林区公共支出（项）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（类），林业（款），林业防灾减灾（项）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27.48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left="-22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lang w:eastAsia="zh-CN"/>
        </w:rPr>
        <w:t>（类），林业（款），其它林业支出（项）。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1814.39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1640.59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90.42</w:t>
      </w:r>
      <w:r>
        <w:rPr>
          <w:rFonts w:hint="eastAsia" w:ascii="仿宋_GB2312" w:hAnsi="仿宋_GB2312" w:eastAsia="仿宋_GB2312" w:cs="仿宋_GB2312"/>
          <w:sz w:val="32"/>
          <w:szCs w:val="32"/>
        </w:rPr>
        <w:t>%。决算数与年初预算数存在差异的主要原因是部分项目实施跨年度，资金结转使用。</w:t>
      </w:r>
    </w:p>
    <w:p>
      <w:pPr>
        <w:widowControl/>
        <w:numPr>
          <w:ilvl w:val="0"/>
          <w:numId w:val="2"/>
        </w:numPr>
        <w:spacing w:line="590" w:lineRule="exact"/>
        <w:ind w:left="-22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eastAsia="zh-CN"/>
        </w:rPr>
        <w:t>（类），住房改革支出（款），住房公积金（项）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年初预算为3</w:t>
      </w:r>
      <w:r>
        <w:rPr>
          <w:rFonts w:ascii="仿宋_GB2312" w:hAnsi="仿宋_GB2312" w:eastAsia="仿宋_GB2312" w:cs="仿宋_GB2312"/>
          <w:sz w:val="32"/>
          <w:szCs w:val="32"/>
        </w:rPr>
        <w:t>05.23</w:t>
      </w:r>
      <w:r>
        <w:rPr>
          <w:rFonts w:hint="eastAsia" w:ascii="仿宋_GB2312" w:hAnsi="仿宋_GB2312" w:eastAsia="仿宋_GB2312" w:cs="仿宋_GB2312"/>
          <w:sz w:val="32"/>
          <w:szCs w:val="32"/>
        </w:rPr>
        <w:t>万元，支出决算为2</w:t>
      </w:r>
      <w:r>
        <w:rPr>
          <w:rFonts w:ascii="仿宋_GB2312" w:hAnsi="仿宋_GB2312" w:eastAsia="仿宋_GB2312" w:cs="仿宋_GB2312"/>
          <w:sz w:val="32"/>
          <w:szCs w:val="32"/>
        </w:rPr>
        <w:t>98.43</w:t>
      </w:r>
      <w:r>
        <w:rPr>
          <w:rFonts w:hint="eastAsia" w:ascii="仿宋_GB2312" w:hAnsi="仿宋_GB2312" w:eastAsia="仿宋_GB2312" w:cs="仿宋_GB2312"/>
          <w:sz w:val="32"/>
          <w:szCs w:val="32"/>
        </w:rPr>
        <w:t>万元，完成年初预算的9</w:t>
      </w:r>
      <w:r>
        <w:rPr>
          <w:rFonts w:ascii="仿宋_GB2312" w:hAnsi="仿宋_GB2312" w:eastAsia="仿宋_GB2312" w:cs="仿宋_GB2312"/>
          <w:sz w:val="32"/>
          <w:szCs w:val="32"/>
        </w:rPr>
        <w:t>7.77</w:t>
      </w:r>
      <w:r>
        <w:rPr>
          <w:rFonts w:hint="eastAsia" w:ascii="仿宋_GB2312" w:hAnsi="仿宋_GB2312" w:eastAsia="仿宋_GB2312" w:cs="仿宋_GB2312"/>
          <w:sz w:val="32"/>
          <w:szCs w:val="32"/>
        </w:rPr>
        <w:t>%。决算数与年初预算数存在差异的主要原因是年度部门人员增减变动。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2018年度一般公共预算财政拨款基本支出5</w:t>
      </w:r>
      <w:r>
        <w:rPr>
          <w:rFonts w:ascii="仿宋_GB2312" w:hAnsi="仿宋_GB2312" w:eastAsia="仿宋_GB2312" w:cs="仿宋_GB2312"/>
          <w:sz w:val="32"/>
          <w:szCs w:val="32"/>
        </w:rPr>
        <w:t>064.67</w:t>
      </w:r>
      <w:r>
        <w:rPr>
          <w:rFonts w:hint="eastAsia" w:ascii="仿宋_GB2312" w:hAnsi="仿宋_GB2312" w:eastAsia="仿宋_GB2312" w:cs="仿宋_GB2312"/>
          <w:sz w:val="32"/>
          <w:szCs w:val="32"/>
        </w:rPr>
        <w:t>万元。其中：人员经费4</w:t>
      </w:r>
      <w:r>
        <w:rPr>
          <w:rFonts w:ascii="仿宋_GB2312" w:hAnsi="仿宋_GB2312" w:eastAsia="仿宋_GB2312" w:cs="仿宋_GB2312"/>
          <w:sz w:val="32"/>
          <w:szCs w:val="32"/>
        </w:rPr>
        <w:t>728.35万</w:t>
      </w:r>
      <w:r>
        <w:rPr>
          <w:rFonts w:hint="eastAsia" w:ascii="仿宋_GB2312" w:hAnsi="仿宋_GB2312" w:eastAsia="仿宋_GB2312" w:cs="仿宋_GB2312"/>
          <w:sz w:val="32"/>
          <w:szCs w:val="32"/>
        </w:rPr>
        <w:t>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抚恤金、生活补助、其他对个人和家庭的补助支出；公用经费3</w:t>
      </w:r>
      <w:r>
        <w:rPr>
          <w:rFonts w:ascii="仿宋_GB2312" w:hAnsi="仿宋_GB2312" w:eastAsia="仿宋_GB2312" w:cs="仿宋_GB2312"/>
          <w:sz w:val="32"/>
          <w:szCs w:val="32"/>
        </w:rPr>
        <w:t>36.31</w:t>
      </w:r>
      <w:r>
        <w:rPr>
          <w:rFonts w:hint="eastAsia" w:ascii="仿宋_GB2312" w:hAnsi="仿宋_GB2312" w:eastAsia="仿宋_GB2312" w:cs="仿宋_GB2312"/>
          <w:sz w:val="32"/>
          <w:szCs w:val="32"/>
        </w:rPr>
        <w:t>万元，主要包括：办公费、印刷费、咨询费、手续费、水费、电费、邮电费、物业管理费、差旅费、因公出国（境）费用、维修（护）费、租赁费、会议费、培训费、公务接待费、劳务费、工会经费、福利费、公务用车运行维护费、其他交通费用、其他商品和服务支出、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w:t>
      </w:r>
      <w:r>
        <w:rPr>
          <w:rFonts w:ascii="仿宋_GB2312" w:hAnsi="仿宋_GB2312" w:eastAsia="仿宋_GB2312" w:cs="仿宋_GB2312"/>
          <w:sz w:val="32"/>
          <w:szCs w:val="32"/>
        </w:rPr>
        <w:t>50.31</w:t>
      </w:r>
      <w:r>
        <w:rPr>
          <w:rFonts w:hint="eastAsia" w:ascii="仿宋_GB2312" w:hAnsi="仿宋_GB2312" w:eastAsia="仿宋_GB2312" w:cs="仿宋_GB2312"/>
          <w:sz w:val="32"/>
          <w:szCs w:val="32"/>
        </w:rPr>
        <w:t>万元，支出决算为3</w:t>
      </w:r>
      <w:r>
        <w:rPr>
          <w:rFonts w:ascii="仿宋_GB2312" w:hAnsi="仿宋_GB2312" w:eastAsia="仿宋_GB2312" w:cs="仿宋_GB2312"/>
          <w:sz w:val="32"/>
          <w:szCs w:val="32"/>
        </w:rPr>
        <w:t>3.46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66.51</w:t>
      </w:r>
      <w:r>
        <w:rPr>
          <w:rFonts w:hint="eastAsia" w:ascii="仿宋_GB2312" w:hAnsi="仿宋_GB2312" w:eastAsia="仿宋_GB2312" w:cs="仿宋_GB2312"/>
          <w:sz w:val="32"/>
          <w:szCs w:val="32"/>
        </w:rPr>
        <w:t>%。2018年度“三公”经费支出决算数与预算数存在差异的主要原因是林业部门各单位加强</w:t>
      </w:r>
      <w:r>
        <w:rPr>
          <w:rFonts w:hint="eastAsia" w:ascii="仿宋_GB2312" w:eastAsia="仿宋_GB2312"/>
          <w:sz w:val="32"/>
          <w:szCs w:val="32"/>
        </w:rPr>
        <w:t>开展节约型机关建设、严格控制压缩三公经费的支出</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2018年度“三公”经费财政拨款支出决算中，因公出国（境）费支出决算5</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%，占1</w:t>
      </w:r>
      <w:r>
        <w:rPr>
          <w:rFonts w:ascii="仿宋_GB2312" w:hAnsi="仿宋_GB2312" w:eastAsia="仿宋_GB2312" w:cs="仿宋_GB2312"/>
          <w:sz w:val="32"/>
          <w:szCs w:val="32"/>
        </w:rPr>
        <w:t>5.57</w:t>
      </w:r>
      <w:r>
        <w:rPr>
          <w:rFonts w:hint="eastAsia" w:ascii="仿宋_GB2312" w:hAnsi="仿宋_GB2312" w:eastAsia="仿宋_GB2312" w:cs="仿宋_GB2312"/>
          <w:sz w:val="32"/>
          <w:szCs w:val="32"/>
        </w:rPr>
        <w:t>%；公务用车购置及运行费支出决算2</w:t>
      </w:r>
      <w:r>
        <w:rPr>
          <w:rFonts w:ascii="仿宋_GB2312" w:hAnsi="仿宋_GB2312" w:eastAsia="仿宋_GB2312" w:cs="仿宋_GB2312"/>
          <w:sz w:val="32"/>
          <w:szCs w:val="32"/>
        </w:rPr>
        <w:t>0.52</w:t>
      </w:r>
      <w:r>
        <w:rPr>
          <w:rFonts w:hint="eastAsia" w:ascii="仿宋_GB2312" w:hAnsi="仿宋_GB2312" w:eastAsia="仿宋_GB2312" w:cs="仿宋_GB2312"/>
          <w:sz w:val="32"/>
          <w:szCs w:val="32"/>
        </w:rPr>
        <w:t>万元，完成预算的8</w:t>
      </w:r>
      <w:r>
        <w:rPr>
          <w:rFonts w:ascii="仿宋_GB2312" w:hAnsi="仿宋_GB2312" w:eastAsia="仿宋_GB2312" w:cs="仿宋_GB2312"/>
          <w:sz w:val="32"/>
          <w:szCs w:val="32"/>
        </w:rPr>
        <w:t>9.22</w:t>
      </w:r>
      <w:r>
        <w:rPr>
          <w:rFonts w:hint="eastAsia" w:ascii="仿宋_GB2312" w:hAnsi="仿宋_GB2312" w:eastAsia="仿宋_GB2312" w:cs="仿宋_GB2312"/>
          <w:sz w:val="32"/>
          <w:szCs w:val="32"/>
        </w:rPr>
        <w:t>%，占6</w:t>
      </w:r>
      <w:r>
        <w:rPr>
          <w:rFonts w:ascii="仿宋_GB2312" w:hAnsi="仿宋_GB2312" w:eastAsia="仿宋_GB2312" w:cs="仿宋_GB2312"/>
          <w:sz w:val="32"/>
          <w:szCs w:val="32"/>
        </w:rPr>
        <w:t>1.33</w:t>
      </w:r>
      <w:r>
        <w:rPr>
          <w:rFonts w:hint="eastAsia" w:ascii="仿宋_GB2312" w:hAnsi="仿宋_GB2312" w:eastAsia="仿宋_GB2312" w:cs="仿宋_GB2312"/>
          <w:sz w:val="32"/>
          <w:szCs w:val="32"/>
        </w:rPr>
        <w:t>%；公务接待费支出决算7</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万元，完成预算的3</w:t>
      </w:r>
      <w:r>
        <w:rPr>
          <w:rFonts w:ascii="仿宋_GB2312" w:hAnsi="仿宋_GB2312" w:eastAsia="仿宋_GB2312" w:cs="仿宋_GB2312"/>
          <w:sz w:val="32"/>
          <w:szCs w:val="32"/>
        </w:rPr>
        <w:t>4.98</w:t>
      </w:r>
      <w:r>
        <w:rPr>
          <w:rFonts w:hint="eastAsia" w:ascii="仿宋_GB2312" w:hAnsi="仿宋_GB2312" w:eastAsia="仿宋_GB2312" w:cs="仿宋_GB2312"/>
          <w:sz w:val="32"/>
          <w:szCs w:val="32"/>
        </w:rPr>
        <w:t>%，占2</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万元，支出决算为5</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全年因公出国（境）团组1个，累计1人次。</w:t>
      </w:r>
      <w:r>
        <w:rPr>
          <w:rFonts w:hint="eastAsia" w:ascii="仿宋_GB2312" w:hAnsi="仿宋_GB2312" w:eastAsia="仿宋_GB2312" w:cs="仿宋_GB2312"/>
          <w:sz w:val="32"/>
          <w:szCs w:val="32"/>
        </w:rPr>
        <w:t>开支内容主要是随市政府团出访丹麦世界月季大会。</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初预算为2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万元，支出决算为2</w:t>
      </w:r>
      <w:r>
        <w:rPr>
          <w:rFonts w:ascii="仿宋_GB2312" w:hAnsi="仿宋_GB2312" w:eastAsia="仿宋_GB2312" w:cs="仿宋_GB2312"/>
          <w:sz w:val="32"/>
          <w:szCs w:val="32"/>
        </w:rPr>
        <w:t>0.52</w:t>
      </w:r>
      <w:r>
        <w:rPr>
          <w:rFonts w:hint="eastAsia" w:ascii="仿宋_GB2312" w:hAnsi="仿宋_GB2312" w:eastAsia="仿宋_GB2312" w:cs="仿宋_GB2312"/>
          <w:sz w:val="32"/>
          <w:szCs w:val="32"/>
        </w:rPr>
        <w:t>万元，完成年初预算的8</w:t>
      </w:r>
      <w:r>
        <w:rPr>
          <w:rFonts w:ascii="仿宋_GB2312" w:hAnsi="仿宋_GB2312" w:eastAsia="仿宋_GB2312" w:cs="仿宋_GB2312"/>
          <w:sz w:val="32"/>
          <w:szCs w:val="32"/>
        </w:rPr>
        <w:t>9.22</w:t>
      </w:r>
      <w:r>
        <w:rPr>
          <w:rFonts w:hint="eastAsia" w:ascii="仿宋_GB2312" w:hAnsi="仿宋_GB2312" w:eastAsia="仿宋_GB2312" w:cs="仿宋_GB2312"/>
          <w:sz w:val="32"/>
          <w:szCs w:val="32"/>
        </w:rPr>
        <w:t>%。决算数与年初预算数存在差异的主要原因是林业部门各单位加强</w:t>
      </w:r>
      <w:r>
        <w:rPr>
          <w:rFonts w:hint="eastAsia" w:ascii="仿宋_GB2312" w:eastAsia="仿宋_GB2312"/>
          <w:sz w:val="32"/>
          <w:szCs w:val="32"/>
        </w:rPr>
        <w:t>开展节约型机关建设、严格控制压缩三公经费的支出</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公务用车运行支出2</w:t>
      </w:r>
      <w:r>
        <w:rPr>
          <w:rFonts w:ascii="仿宋_GB2312" w:hAnsi="仿宋_GB2312" w:eastAsia="仿宋_GB2312" w:cs="仿宋_GB2312"/>
          <w:b/>
          <w:bCs/>
          <w:sz w:val="32"/>
          <w:szCs w:val="32"/>
        </w:rPr>
        <w:t>0.52</w:t>
      </w:r>
      <w:r>
        <w:rPr>
          <w:rFonts w:hint="eastAsia" w:ascii="仿宋_GB2312" w:hAnsi="仿宋_GB2312" w:eastAsia="仿宋_GB2312" w:cs="仿宋_GB2312"/>
          <w:sz w:val="32"/>
          <w:szCs w:val="32"/>
        </w:rPr>
        <w:t>万元。主要用于公务用车和执法执勤车辆燃油、维修、保养、过路桥费等。2018年期末，部门开支财政拨款的公务用车保有量为2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初预算为2</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万元，支出决算为7</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万元，完成年初预算的3</w:t>
      </w:r>
      <w:r>
        <w:rPr>
          <w:rFonts w:ascii="仿宋_GB2312" w:hAnsi="仿宋_GB2312" w:eastAsia="仿宋_GB2312" w:cs="仿宋_GB2312"/>
          <w:sz w:val="32"/>
          <w:szCs w:val="32"/>
        </w:rPr>
        <w:t>4.98</w:t>
      </w:r>
      <w:r>
        <w:rPr>
          <w:rFonts w:hint="eastAsia" w:ascii="仿宋_GB2312" w:hAnsi="仿宋_GB2312" w:eastAsia="仿宋_GB2312" w:cs="仿宋_GB2312"/>
          <w:sz w:val="32"/>
          <w:szCs w:val="32"/>
        </w:rPr>
        <w:t>%。决算数与年初预算数存在差异的主要原因是林业部门各单位加强</w:t>
      </w:r>
      <w:r>
        <w:rPr>
          <w:rFonts w:hint="eastAsia" w:ascii="仿宋_GB2312" w:eastAsia="仿宋_GB2312"/>
          <w:sz w:val="32"/>
          <w:szCs w:val="32"/>
        </w:rPr>
        <w:t>开展节约型机关建设、严格控制压缩三公经费的支出</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其他国内公务接待支出7</w:t>
      </w:r>
      <w:r>
        <w:rPr>
          <w:rFonts w:ascii="仿宋_GB2312" w:hAnsi="仿宋_GB2312" w:eastAsia="仿宋_GB2312" w:cs="仿宋_GB2312"/>
          <w:b/>
          <w:bCs/>
          <w:sz w:val="32"/>
          <w:szCs w:val="32"/>
        </w:rPr>
        <w:t>.73</w:t>
      </w:r>
      <w:r>
        <w:rPr>
          <w:rFonts w:hint="eastAsia" w:ascii="仿宋_GB2312" w:hAnsi="仿宋_GB2312" w:eastAsia="仿宋_GB2312" w:cs="仿宋_GB2312"/>
          <w:sz w:val="32"/>
          <w:szCs w:val="32"/>
        </w:rPr>
        <w:t>万元。主要用于</w:t>
      </w:r>
      <w:r>
        <w:rPr>
          <w:rFonts w:hint="eastAsia" w:ascii="仿宋_GB2312" w:eastAsia="仿宋_GB2312"/>
          <w:sz w:val="32"/>
          <w:szCs w:val="32"/>
        </w:rPr>
        <w:t>创建国家森林城市、国家储备林项目、白河湿地公园建设、月季洲际大会筹备等各项工作发生的公务接待</w:t>
      </w:r>
      <w:r>
        <w:rPr>
          <w:rFonts w:hint="eastAsia" w:ascii="仿宋_GB2312" w:hAnsi="仿宋_GB2312" w:eastAsia="仿宋_GB2312" w:cs="仿宋_GB2312"/>
          <w:sz w:val="32"/>
          <w:szCs w:val="32"/>
        </w:rPr>
        <w:t>。2018年共接待国内来访团组5</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个、来宾7</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eastAsia="仿宋_GB2312"/>
          <w:sz w:val="32"/>
          <w:szCs w:val="32"/>
        </w:rPr>
        <w:t>市林业局按照财政部门要求，积极开展市直林业部门预算绩效管理工作，要求所属的各单位对预算安排的资金和项目，及时开展绩效自评工作，确保项目顺利实施，按时完工，资金安全运行，发挥良好效益。</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eastAsia="仿宋_GB2312"/>
          <w:sz w:val="32"/>
          <w:szCs w:val="32"/>
        </w:rPr>
        <w:t>市直林业部门承担的各类建设项目，已按照实施内容均已完成年度目标任务，资金支出使用合理合规，项目生态效益、社会效益、经济效益显著，达到预期效果，自评为良好。</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outlineLvl w:val="2"/>
        <w:rPr>
          <w:rFonts w:ascii="楷体_GB2312" w:hAnsi="楷体_GB2312" w:eastAsia="楷体_GB2312" w:cs="楷体_GB2312"/>
          <w:b/>
          <w:bCs/>
          <w:sz w:val="32"/>
          <w:szCs w:val="32"/>
        </w:rPr>
      </w:pPr>
      <w:r>
        <w:rPr>
          <w:rFonts w:eastAsia="仿宋_GB2312"/>
          <w:sz w:val="32"/>
          <w:szCs w:val="32"/>
        </w:rPr>
        <w:t>2018年度林业重点</w:t>
      </w:r>
      <w:r>
        <w:rPr>
          <w:rFonts w:hint="eastAsia" w:eastAsia="仿宋_GB2312"/>
          <w:sz w:val="32"/>
          <w:szCs w:val="32"/>
        </w:rPr>
        <w:t>建设项目，已按照实施内容均已完成年度目标任务，资金支出使用合理合规，项目生态效益、社会效益、经济效益显著，达到预期良好效果。</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2018年度政府性基金预算财政拨款支出年初预算为3</w:t>
      </w:r>
      <w:r>
        <w:rPr>
          <w:rFonts w:ascii="仿宋_GB2312" w:hAnsi="仿宋_GB2312" w:eastAsia="仿宋_GB2312" w:cs="仿宋_GB2312"/>
          <w:sz w:val="32"/>
          <w:szCs w:val="32"/>
        </w:rPr>
        <w:t>00.20</w:t>
      </w:r>
      <w:r>
        <w:rPr>
          <w:rFonts w:hint="eastAsia" w:ascii="仿宋_GB2312" w:hAnsi="仿宋_GB2312" w:eastAsia="仿宋_GB2312" w:cs="仿宋_GB2312"/>
          <w:sz w:val="32"/>
          <w:szCs w:val="32"/>
        </w:rPr>
        <w:t>万元，支出决算为7</w:t>
      </w:r>
      <w:r>
        <w:rPr>
          <w:rFonts w:ascii="仿宋_GB2312" w:hAnsi="仿宋_GB2312" w:eastAsia="仿宋_GB2312" w:cs="仿宋_GB2312"/>
          <w:sz w:val="32"/>
          <w:szCs w:val="32"/>
        </w:rPr>
        <w:t>1.94</w:t>
      </w:r>
      <w:r>
        <w:rPr>
          <w:rFonts w:hint="eastAsia" w:ascii="仿宋_GB2312" w:hAnsi="仿宋_GB2312" w:eastAsia="仿宋_GB2312" w:cs="仿宋_GB2312"/>
          <w:sz w:val="32"/>
          <w:szCs w:val="32"/>
        </w:rPr>
        <w:t>万元，完成年初预算的2</w:t>
      </w:r>
      <w:r>
        <w:rPr>
          <w:rFonts w:ascii="仿宋_GB2312" w:hAnsi="仿宋_GB2312" w:eastAsia="仿宋_GB2312" w:cs="仿宋_GB2312"/>
          <w:sz w:val="32"/>
          <w:szCs w:val="32"/>
        </w:rPr>
        <w:t>3.96</w:t>
      </w:r>
      <w:r>
        <w:rPr>
          <w:rFonts w:hint="eastAsia" w:ascii="仿宋_GB2312" w:hAnsi="仿宋_GB2312" w:eastAsia="仿宋_GB2312" w:cs="仿宋_GB2312"/>
          <w:sz w:val="32"/>
          <w:szCs w:val="32"/>
        </w:rPr>
        <w:t>%。主要用于南阳市白河国家湿地公园建设，其中白河湿地恢复与保护工程等项目年末结转和结余资金数额较大，主要原因：项目计划分年度实施，部分工程款待竣工验收后兑付。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初预算为2</w:t>
      </w:r>
      <w:r>
        <w:rPr>
          <w:rFonts w:ascii="仿宋_GB2312" w:hAnsi="仿宋_GB2312" w:eastAsia="仿宋_GB2312" w:cs="仿宋_GB2312"/>
          <w:sz w:val="32"/>
          <w:szCs w:val="32"/>
        </w:rPr>
        <w:t>69.93</w:t>
      </w:r>
      <w:r>
        <w:rPr>
          <w:rFonts w:hint="eastAsia" w:ascii="仿宋_GB2312" w:hAnsi="仿宋_GB2312" w:eastAsia="仿宋_GB2312" w:cs="仿宋_GB2312"/>
          <w:sz w:val="32"/>
          <w:szCs w:val="32"/>
        </w:rPr>
        <w:t>万元，支出决算为2</w:t>
      </w:r>
      <w:r>
        <w:rPr>
          <w:rFonts w:ascii="仿宋_GB2312" w:hAnsi="仿宋_GB2312" w:eastAsia="仿宋_GB2312" w:cs="仿宋_GB2312"/>
          <w:sz w:val="32"/>
          <w:szCs w:val="32"/>
        </w:rPr>
        <w:t>66.67</w:t>
      </w:r>
      <w:r>
        <w:rPr>
          <w:rFonts w:hint="eastAsia" w:ascii="仿宋_GB2312" w:hAnsi="仿宋_GB2312" w:eastAsia="仿宋_GB2312" w:cs="仿宋_GB2312"/>
          <w:sz w:val="32"/>
          <w:szCs w:val="32"/>
        </w:rPr>
        <w:t>万元，完成年初预算的9</w:t>
      </w:r>
      <w:r>
        <w:rPr>
          <w:rFonts w:ascii="仿宋_GB2312" w:hAnsi="仿宋_GB2312" w:eastAsia="仿宋_GB2312" w:cs="仿宋_GB2312"/>
          <w:sz w:val="32"/>
          <w:szCs w:val="32"/>
        </w:rPr>
        <w:t>8.79</w:t>
      </w:r>
      <w:r>
        <w:rPr>
          <w:rFonts w:hint="eastAsia" w:ascii="仿宋_GB2312" w:hAnsi="仿宋_GB2312" w:eastAsia="仿宋_GB2312" w:cs="仿宋_GB2312"/>
          <w:sz w:val="32"/>
          <w:szCs w:val="32"/>
        </w:rPr>
        <w:t>%。决算数与年初预算数存在差异的主要原因是</w:t>
      </w:r>
      <w:r>
        <w:rPr>
          <w:rFonts w:hint="eastAsia" w:ascii="仿宋_GB2312" w:eastAsia="仿宋_GB2312"/>
          <w:sz w:val="32"/>
          <w:szCs w:val="32"/>
        </w:rPr>
        <w:t>为规范机关财务管理，合理运用公务费用，提高资金使用效益，近年来，我局在原有机关财务管理办法的基础上，修改完善了《南阳市林业局机关财务管理办法》《南阳市林业局来客和会议接待制度》《南阳市林业局机关车辆管理制度与奖惩办法》及《南阳市林业局机关文印工作制度》等相关制度，大力倡导艰苦奋斗、厉行节约的良好风尚，加强机关作风和领导干部作风建设，建设节约型机关，强化党风廉政建设，进一步严格控制一般性支出，改进和规范公务费用支出管理，明确了林业局降低办公运行费用的目标，强化责任措施，保证了公务费用合理支出和有效使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万元，其中：政府采购服务支出2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辆，其中：机要通信用车1辆、应急保障车1辆、执法执勤用车6辆、特种专业技术用车1辆、其他用车1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辆；单位无价值50万元以上通用设备和单位价值100万元以上专用设备。</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749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9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pt;mso-position-horizontal:center;mso-position-horizontal-relative:margin;mso-wrap-style:none;z-index:251660288;mso-width-relative:page;mso-height-relative:page;" filled="f" stroked="f" coordsize="21600,21600" o:gfxdata="UEsDBAoAAAAAAIdO4kAAAAAAAAAAAAAAAAAEAAAAZHJzL1BLAwQUAAAACACHTuJAc8HqCdEAAAAD&#10;AQAADwAAAGRycy9kb3ducmV2LnhtbE2PwU7DMBBE70j8g7VI3KjdgGgV4vRQiQs3CkLito23cYS9&#10;jmw3Tf4ewwUuK41mNPO22c3eiYliGgJrWK8UCOIumIF7De9vz3dbECkjG3SBScNCCXbt9VWDtQkX&#10;fqXpkHtRSjjVqMHmPNZSps6Sx7QKI3HxTiF6zEXGXpqIl1LunayUepQeBy4LFkfaW+q+DmevYTN/&#10;BBoT7enzNHXRDsvWvSxa396s1ROITHP+C8MPfkGHtjAdw5lNEk5DeST/3uLdbx5AHDVUlQLZNvI/&#10;e/sNUEsDBBQAAAAIAIdO4kCs/WhHCwIAAAIEAAAOAAAAZHJzL2Uyb0RvYy54bWytU0tu2zAQ3Rfo&#10;HQjua8lO0TSC5SCN4aJA+gGSHICmKIuoyCGGtCX3AO0Nuuqm+57L5+iQstw03WTRDTEkh2/eezOc&#10;X/amZTuFXoMt+XSSc6ashErbTcnv71YvXnPmg7CVaMGqku+V55eL58/mnSvUDBpoK4WMQKwvOlfy&#10;JgRXZJmXjTLCT8ApS5c1oBGBtrjJKhQdoZs2m+X5q6wDrByCVN7T6XK45EdEfAog1LWWaglya5QN&#10;AyqqVgSS5BvtPF8ktnWtZPhY114F1paclIa0UhGK13HNFnNRbFC4RssjBfEUCo80GaEtFT1BLUUQ&#10;bIv6HyijJYKHOkwkmGwQkhwhFdP8kTe3jXAqaSGrvTuZ7v8frPyw+4RMVyWfcWaFoYYfvn87/Ph1&#10;+PmVzaI9nfMFZd06ygv9G+hpaJJU725AfvbMwnUj7EZdIULXKFERvWl8mT14OuD4CLLu3kNFdcQ2&#10;QALqazTRO3KDETq1Zn9qjeoDk3Q4Ozt/eUE3kq6mZxfneWpdJorxsUMf3iowLAYlR+p8Ahe7Gx8i&#10;GVGMKbGWhZVu29T91v51QInxJJGPfAfmoV/3RzPWUO1JBsIwTPSVKGgAv3DW0SCV3NK/4ax9Z8mI&#10;OHNjgGOwHgNhJT0seeBsCK/DMJtbh3rTEO5o9RWZtdJJSHR14HBkSaOR9B3HOM7ew33K+vN1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8HqCdEAAAADAQAADwAAAAAAAAABACAAAAAiAAAAZHJz&#10;L2Rvd25yZXYueG1sUEsBAhQAFAAAAAgAh07iQKz9aEcLAgAAAgQAAA4AAAAAAAAAAQAgAAAAIAEA&#10;AGRycy9lMm9Eb2MueG1sUEsFBgAAAAAGAAYAWQEAAJ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WSE0QCAIAAAIEAAAOAAAAZHJzL2Uyb0RvYy54bWytU82O0zAQviPx&#10;DpbvNG1hK4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DKWnL149fyCM0lXs8X8YpFal4l8fOzQhzcKDItBwZE6n8DF/sYHkkGp&#10;Y0qsZWGj2zZ1v7V/HVBiPEnkI9+Beei3/cmMLZQHkoEwDBN9JQoawK+cdTRIBbf0bzhr31oyIs7c&#10;GOAYbMdAWEkPCx44G8LrMMzmzqGuG8Idrb4iszY6CYmuDhxOLGk0kr7TGMfZu79PWX++7u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LUWtdEAAAADAQAADwAAAAAAAAABACAAAAAiAAAAZHJzL2Rv&#10;d25yZXYueG1sUEsBAhQAFAAAAAgAh07iQNZITRAIAgAAAgQAAA4AAAAAAAAAAQAgAAAAIAEAAGRy&#10;cy9lMm9Eb2MueG1sUEsFBgAAAAAGAAYAWQEAAJo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131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8294yCwIAAAIEAAAOAAAAZHJzL2Uyb0RvYy54bWytU82O0zAQviPx&#10;DpbvNE0rYImarpatipCWH2nhAVzHaSxijzV2m5QHgDfgtBfuPFefg7HTlGW57IGLNbbH33zfN+PF&#10;ZW9atlfoNdiS55MpZ8pKqLTdlvzzp/WzC858ELYSLVhV8oPy/HL59Mmic4WaQQNtpZARiPVF50re&#10;hOCKLPOyUUb4CThl6bIGNCLQFrdZhaIjdNNms+n0RdYBVg5BKu/pdDVc8hMiPgYQ6lpLtQK5M8qG&#10;ARVVKwJJ8o12ni8T27pWMnyoa68Ca0tOSkNaqQjFm7hmy4Uotihco+WJgngMhQeajNCWip6hViII&#10;tkP9D5TREsFDHSYSTDYISY6Qinz6wJvbRjiVtJDV3p1N9/8PVr7ff0Smq5LPObPCUMOPP74f734d&#10;f35j82hP53xBWbeO8kL/GnoamiTVuxuQXzyzcN0Iu1VXiNA1SlREL48vs3tPBxwfQTbdO6iojtgF&#10;SEB9jSZ6R24wQqfWHM6tUX1gkg5n84t89pwzSVf5/NXLaWpdJorxsUMf3igwLAYlR+p8Ahf7Gx8i&#10;GVGMKbGWhbVu29T91v51QInxJJGPfAfmod/0JzM2UB1IBsIwTPSVKGgAv3LW0SCV3NK/4ax9a8mI&#10;OHNjgGOwGQNhJT0seeBsCK/DMJs7h3rbEO5o9R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Pzb3jILAgAAAgQAAA4AAAAAAAAAAQAgAAAAIAEA&#10;AGRycy9lMm9Eb2MueG1sUEsFBgAAAAAGAAYAWQEAAJ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7145F"/>
    <w:multiLevelType w:val="singleLevel"/>
    <w:tmpl w:val="4AD7145F"/>
    <w:lvl w:ilvl="0" w:tentative="0">
      <w:start w:val="1"/>
      <w:numFmt w:val="decimal"/>
      <w:suff w:val="nothing"/>
      <w:lvlText w:val="%1．"/>
      <w:lvlJc w:val="left"/>
      <w:pPr>
        <w:ind w:left="-220" w:firstLine="400"/>
      </w:pPr>
      <w:rPr>
        <w:rFonts w:hint="default"/>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1"/>
    <w:rsid w:val="00031087"/>
    <w:rsid w:val="00057E12"/>
    <w:rsid w:val="00067D87"/>
    <w:rsid w:val="00072320"/>
    <w:rsid w:val="00075592"/>
    <w:rsid w:val="00087F64"/>
    <w:rsid w:val="0009109F"/>
    <w:rsid w:val="000B6896"/>
    <w:rsid w:val="000C5886"/>
    <w:rsid w:val="000D0C1A"/>
    <w:rsid w:val="000E5F7B"/>
    <w:rsid w:val="000F20E8"/>
    <w:rsid w:val="00170FA6"/>
    <w:rsid w:val="00190D37"/>
    <w:rsid w:val="001A5FEC"/>
    <w:rsid w:val="001C4180"/>
    <w:rsid w:val="00213622"/>
    <w:rsid w:val="002251F3"/>
    <w:rsid w:val="00236A65"/>
    <w:rsid w:val="00254BD2"/>
    <w:rsid w:val="00263258"/>
    <w:rsid w:val="00297E4A"/>
    <w:rsid w:val="002A6BFC"/>
    <w:rsid w:val="002B669E"/>
    <w:rsid w:val="002E7FC1"/>
    <w:rsid w:val="00346879"/>
    <w:rsid w:val="00365AA5"/>
    <w:rsid w:val="00375994"/>
    <w:rsid w:val="00385AD6"/>
    <w:rsid w:val="00396BA9"/>
    <w:rsid w:val="003B2D9C"/>
    <w:rsid w:val="003B7A9E"/>
    <w:rsid w:val="003D0B29"/>
    <w:rsid w:val="004037D7"/>
    <w:rsid w:val="00443E8E"/>
    <w:rsid w:val="004460FC"/>
    <w:rsid w:val="0045063E"/>
    <w:rsid w:val="0046202F"/>
    <w:rsid w:val="0046740A"/>
    <w:rsid w:val="00483D6B"/>
    <w:rsid w:val="00487C77"/>
    <w:rsid w:val="004A3271"/>
    <w:rsid w:val="004B6D52"/>
    <w:rsid w:val="004F0C61"/>
    <w:rsid w:val="00525355"/>
    <w:rsid w:val="0058169C"/>
    <w:rsid w:val="005A32EC"/>
    <w:rsid w:val="005B10D1"/>
    <w:rsid w:val="005C03F6"/>
    <w:rsid w:val="005E28CC"/>
    <w:rsid w:val="00611A3C"/>
    <w:rsid w:val="0061694C"/>
    <w:rsid w:val="0063689B"/>
    <w:rsid w:val="00656940"/>
    <w:rsid w:val="00671A70"/>
    <w:rsid w:val="006A5189"/>
    <w:rsid w:val="006F4430"/>
    <w:rsid w:val="00724D76"/>
    <w:rsid w:val="00771D1F"/>
    <w:rsid w:val="00797D9F"/>
    <w:rsid w:val="007E6D63"/>
    <w:rsid w:val="00834C7E"/>
    <w:rsid w:val="00842CF7"/>
    <w:rsid w:val="00843B87"/>
    <w:rsid w:val="00844CF2"/>
    <w:rsid w:val="008475AA"/>
    <w:rsid w:val="00847B03"/>
    <w:rsid w:val="00864BD6"/>
    <w:rsid w:val="008763CE"/>
    <w:rsid w:val="00880176"/>
    <w:rsid w:val="00890225"/>
    <w:rsid w:val="00896AE8"/>
    <w:rsid w:val="008B15B8"/>
    <w:rsid w:val="008D6A73"/>
    <w:rsid w:val="008E051B"/>
    <w:rsid w:val="009164C0"/>
    <w:rsid w:val="0092260F"/>
    <w:rsid w:val="00967493"/>
    <w:rsid w:val="009745B6"/>
    <w:rsid w:val="009837EC"/>
    <w:rsid w:val="00993991"/>
    <w:rsid w:val="009A1D67"/>
    <w:rsid w:val="009A7BC8"/>
    <w:rsid w:val="009E5526"/>
    <w:rsid w:val="009F6CCD"/>
    <w:rsid w:val="00A074FD"/>
    <w:rsid w:val="00A3037B"/>
    <w:rsid w:val="00A55D51"/>
    <w:rsid w:val="00A85411"/>
    <w:rsid w:val="00A85B5C"/>
    <w:rsid w:val="00AA57D7"/>
    <w:rsid w:val="00AA7608"/>
    <w:rsid w:val="00AD07A7"/>
    <w:rsid w:val="00AE61A6"/>
    <w:rsid w:val="00AE7B99"/>
    <w:rsid w:val="00B17F68"/>
    <w:rsid w:val="00B421A6"/>
    <w:rsid w:val="00B54E46"/>
    <w:rsid w:val="00B60A3A"/>
    <w:rsid w:val="00B76F64"/>
    <w:rsid w:val="00BA4C52"/>
    <w:rsid w:val="00BB4414"/>
    <w:rsid w:val="00C00377"/>
    <w:rsid w:val="00C0361E"/>
    <w:rsid w:val="00C072B6"/>
    <w:rsid w:val="00C14DF5"/>
    <w:rsid w:val="00C160E2"/>
    <w:rsid w:val="00C20C63"/>
    <w:rsid w:val="00C27604"/>
    <w:rsid w:val="00C43352"/>
    <w:rsid w:val="00C77A66"/>
    <w:rsid w:val="00CA2AB1"/>
    <w:rsid w:val="00CA42E0"/>
    <w:rsid w:val="00CA5F9B"/>
    <w:rsid w:val="00CB5D0F"/>
    <w:rsid w:val="00CD45BE"/>
    <w:rsid w:val="00CD6277"/>
    <w:rsid w:val="00CE0019"/>
    <w:rsid w:val="00D543A7"/>
    <w:rsid w:val="00D55619"/>
    <w:rsid w:val="00D91F12"/>
    <w:rsid w:val="00D93D8A"/>
    <w:rsid w:val="00DA4802"/>
    <w:rsid w:val="00DE1517"/>
    <w:rsid w:val="00DE2D7E"/>
    <w:rsid w:val="00DE38B5"/>
    <w:rsid w:val="00DE778D"/>
    <w:rsid w:val="00E04F0A"/>
    <w:rsid w:val="00E11E82"/>
    <w:rsid w:val="00E32D59"/>
    <w:rsid w:val="00E646C8"/>
    <w:rsid w:val="00EA2789"/>
    <w:rsid w:val="00EB2816"/>
    <w:rsid w:val="00EE66E4"/>
    <w:rsid w:val="00F34C91"/>
    <w:rsid w:val="00F4256D"/>
    <w:rsid w:val="00F6214B"/>
    <w:rsid w:val="00F6413A"/>
    <w:rsid w:val="00F76C95"/>
    <w:rsid w:val="00FA41C1"/>
    <w:rsid w:val="00FB4A58"/>
    <w:rsid w:val="0FDB7521"/>
    <w:rsid w:val="10A868CD"/>
    <w:rsid w:val="25FA6890"/>
    <w:rsid w:val="2B1C2BF9"/>
    <w:rsid w:val="33FF0341"/>
    <w:rsid w:val="353015DD"/>
    <w:rsid w:val="41733146"/>
    <w:rsid w:val="4EB677C1"/>
    <w:rsid w:val="579F4C0A"/>
    <w:rsid w:val="5EAF126E"/>
    <w:rsid w:val="6219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unhideWhenUsed/>
    <w:qFormat/>
    <w:uiPriority w:val="99"/>
    <w:pPr>
      <w:jc w:val="left"/>
    </w:pPr>
    <w:rPr>
      <w:rFonts w:ascii="Calibri" w:hAnsi="Calibri" w:eastAsia="宋体" w:cs="Times New Roman"/>
    </w:rPr>
  </w:style>
  <w:style w:type="paragraph" w:styleId="4">
    <w:name w:val="Balloon Text"/>
    <w:basedOn w:val="1"/>
    <w:link w:val="21"/>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6"/>
    <w:unhideWhenUsed/>
    <w:qFormat/>
    <w:uiPriority w:val="99"/>
    <w:pPr>
      <w:snapToGrid w:val="0"/>
      <w:jc w:val="left"/>
    </w:pPr>
    <w:rPr>
      <w:rFonts w:ascii="Calibri" w:hAnsi="Calibri" w:eastAsia="宋体" w:cs="Times New Roman"/>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unhideWhenUsed/>
    <w:qFormat/>
    <w:uiPriority w:val="99"/>
    <w:rPr>
      <w:color w:val="0000FF"/>
      <w:u w:val="single"/>
    </w:rPr>
  </w:style>
  <w:style w:type="character" w:styleId="14">
    <w:name w:val="footnote reference"/>
    <w:basedOn w:val="11"/>
    <w:unhideWhenUsed/>
    <w:qFormat/>
    <w:uiPriority w:val="99"/>
    <w:rPr>
      <w:vertAlign w:val="superscript"/>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标题 1 Char"/>
    <w:basedOn w:val="11"/>
    <w:link w:val="2"/>
    <w:qFormat/>
    <w:uiPriority w:val="9"/>
    <w:rPr>
      <w:rFonts w:ascii="Calibri" w:hAnsi="Calibri" w:eastAsia="宋体" w:cs="Times New Roman"/>
      <w:b/>
      <w:bCs/>
      <w:kern w:val="44"/>
      <w:sz w:val="44"/>
      <w:szCs w:val="44"/>
    </w:rPr>
  </w:style>
  <w:style w:type="paragraph" w:customStyle="1" w:styleId="18">
    <w:name w:val="_Style 10"/>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21"/>
    <w:basedOn w:val="11"/>
    <w:qFormat/>
    <w:uiPriority w:val="0"/>
    <w:rPr>
      <w:rFonts w:hint="eastAsia" w:ascii="宋体" w:hAnsi="宋体" w:eastAsia="宋体" w:cs="宋体"/>
      <w:color w:val="000000"/>
      <w:sz w:val="22"/>
      <w:szCs w:val="22"/>
      <w:u w:val="none"/>
    </w:rPr>
  </w:style>
  <w:style w:type="character" w:customStyle="1" w:styleId="21">
    <w:name w:val="批注框文本 Char"/>
    <w:basedOn w:val="11"/>
    <w:link w:val="4"/>
    <w:qFormat/>
    <w:uiPriority w:val="99"/>
    <w:rPr>
      <w:sz w:val="18"/>
      <w:szCs w:val="18"/>
    </w:rPr>
  </w:style>
  <w:style w:type="character" w:customStyle="1" w:styleId="22">
    <w:name w:val="font51"/>
    <w:basedOn w:val="11"/>
    <w:qFormat/>
    <w:uiPriority w:val="0"/>
    <w:rPr>
      <w:rFonts w:hint="eastAsia" w:ascii="宋体" w:hAnsi="宋体" w:eastAsia="宋体" w:cs="宋体"/>
      <w:color w:val="000000"/>
      <w:sz w:val="24"/>
      <w:szCs w:val="24"/>
      <w:u w:val="none"/>
    </w:rPr>
  </w:style>
  <w:style w:type="character" w:customStyle="1" w:styleId="23">
    <w:name w:val="font01"/>
    <w:basedOn w:val="11"/>
    <w:qFormat/>
    <w:uiPriority w:val="0"/>
    <w:rPr>
      <w:rFonts w:hint="eastAsia" w:ascii="宋体" w:hAnsi="宋体" w:eastAsia="宋体" w:cs="宋体"/>
      <w:color w:val="000000"/>
      <w:sz w:val="22"/>
      <w:szCs w:val="22"/>
      <w:u w:val="none"/>
    </w:rPr>
  </w:style>
  <w:style w:type="character" w:customStyle="1" w:styleId="24">
    <w:name w:val="font41"/>
    <w:basedOn w:val="11"/>
    <w:qFormat/>
    <w:uiPriority w:val="0"/>
    <w:rPr>
      <w:rFonts w:hint="eastAsia" w:ascii="宋体" w:hAnsi="宋体" w:eastAsia="宋体" w:cs="宋体"/>
      <w:color w:val="000000"/>
      <w:sz w:val="24"/>
      <w:szCs w:val="24"/>
      <w:u w:val="none"/>
    </w:rPr>
  </w:style>
  <w:style w:type="character" w:customStyle="1" w:styleId="25">
    <w:name w:val="页眉 Char1"/>
    <w:basedOn w:val="11"/>
    <w:semiHidden/>
    <w:qFormat/>
    <w:uiPriority w:val="99"/>
    <w:rPr>
      <w:kern w:val="2"/>
      <w:sz w:val="18"/>
      <w:szCs w:val="18"/>
    </w:rPr>
  </w:style>
  <w:style w:type="character" w:customStyle="1" w:styleId="26">
    <w:name w:val="脚注文本 Char"/>
    <w:basedOn w:val="11"/>
    <w:link w:val="7"/>
    <w:qFormat/>
    <w:uiPriority w:val="99"/>
    <w:rPr>
      <w:rFonts w:ascii="Calibri" w:hAnsi="Calibri" w:eastAsia="宋体" w:cs="Times New Roman"/>
      <w:sz w:val="18"/>
    </w:rPr>
  </w:style>
  <w:style w:type="character" w:customStyle="1" w:styleId="27">
    <w:name w:val="页脚 Char1"/>
    <w:basedOn w:val="11"/>
    <w:semiHidden/>
    <w:qFormat/>
    <w:uiPriority w:val="99"/>
    <w:rPr>
      <w:kern w:val="2"/>
      <w:sz w:val="18"/>
      <w:szCs w:val="18"/>
    </w:rPr>
  </w:style>
  <w:style w:type="character" w:customStyle="1" w:styleId="28">
    <w:name w:val="批注框文本 Char1"/>
    <w:basedOn w:val="11"/>
    <w:semiHidden/>
    <w:qFormat/>
    <w:uiPriority w:val="99"/>
    <w:rPr>
      <w:sz w:val="18"/>
      <w:szCs w:val="18"/>
    </w:rPr>
  </w:style>
  <w:style w:type="character" w:customStyle="1" w:styleId="29">
    <w:name w:val="批注文字 Char"/>
    <w:basedOn w:val="11"/>
    <w:link w:val="3"/>
    <w:qFormat/>
    <w:uiPriority w:val="99"/>
    <w:rPr>
      <w:rFonts w:ascii="Calibri" w:hAnsi="Calibri" w:eastAsia="宋体" w:cs="Times New Roman"/>
    </w:rPr>
  </w:style>
  <w:style w:type="paragraph" w:customStyle="1" w:styleId="30">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31">
    <w:name w:val="访问过的超链接1"/>
    <w:basedOn w:val="11"/>
    <w:semiHidden/>
    <w:unhideWhenUsed/>
    <w:qFormat/>
    <w:uiPriority w:val="99"/>
    <w:rPr>
      <w:color w:val="954F7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39506-7991-4D3C-A7E2-37D15AB33BC1}">
  <ds:schemaRefs/>
</ds:datastoreItem>
</file>

<file path=docProps/app.xml><?xml version="1.0" encoding="utf-8"?>
<Properties xmlns="http://schemas.openxmlformats.org/officeDocument/2006/extended-properties" xmlns:vt="http://schemas.openxmlformats.org/officeDocument/2006/docPropsVTypes">
  <Template>Normal</Template>
  <Pages>38</Pages>
  <Words>3399</Words>
  <Characters>19380</Characters>
  <Lines>161</Lines>
  <Paragraphs>45</Paragraphs>
  <TotalTime>11</TotalTime>
  <ScaleCrop>false</ScaleCrop>
  <LinksUpToDate>false</LinksUpToDate>
  <CharactersWithSpaces>22734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2019-09-19T02:15:00Z</dcterms:created>
  <dc:creator>DELL</dc:creator>
  <cp:lastModifiedBy>Yan爽</cp:lastModifiedBy>
  <cp:lastPrinted>2019-09-19T09:11:00Z</cp:lastPrinted>
  <dcterms:modified xsi:type="dcterms:W3CDTF">2021-05-31T10:45:37Z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763C7885A0BA451D957FBE7D054F4F00</vt:lpwstr>
  </property>
</Properties>
</file>