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除跨省辖市、省直管县（市）河流水资源配置调整的项目之外的水利工程项目核准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除跨省辖市、省直管县（市）河流水资源配置调整的项目之外的水利工程项目核准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一条：涉及跨省辖市、省直管县(市)河流水资源配置调整的项目由省政府投资主管部门核准;其余项目由省辖市、省直管县(市)政府投资主管部门核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涉及大中型水利水电工程，省移民主管部门出具的征地移民安置规划审核意见；涉及小型水利水电工程，省移民主管部门出具的征地移民安置规划大</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移民安置规划审核</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省水行政主管部门取水申请批准文件（兴建取水工程或设施的）</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；办理人：李良；办理时限：1个工作日；审查标准：符合法定要求，予以审核；办理结果：</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给出审核意见，如果不同意，及时反馈；</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；办理人：李伟；办理时限：2个工作日；审查标准：符合法定要求，予以核准；办理结果：作出予以核准决定，即发项目核准文件，作出不予核准的，出具不予核准书面报告，并说明原因；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；办理人：申丽；办理时限：1个工作日；审查标准：送达；办理结果：办结；"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lang w:val="en-US" w:eastAsia="zh-CN" w:bidi="ar"/>
        </w:rPr>
        <w:drawing>
          <wp:inline distT="0" distB="0" distL="114300" distR="114300">
            <wp:extent cx="6487160" cy="9178290"/>
            <wp:effectExtent l="0" t="0" r="889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487160" cy="917829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715DA"/>
    <w:multiLevelType w:val="singleLevel"/>
    <w:tmpl w:val="359715DA"/>
    <w:lvl w:ilvl="0" w:tentative="0">
      <w:start w:val="1"/>
      <w:numFmt w:val="decimal"/>
      <w:lvlText w:val="%1."/>
      <w:lvlJc w:val="left"/>
      <w:pPr>
        <w:ind w:left="425" w:hanging="425"/>
      </w:pPr>
      <w:rPr>
        <w:rFonts w:hint="default"/>
      </w:rPr>
    </w:lvl>
  </w:abstractNum>
  <w:abstractNum w:abstractNumId="1">
    <w:nsid w:val="6E2B6EDE"/>
    <w:multiLevelType w:val="singleLevel"/>
    <w:tmpl w:val="6E2B6ED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42503422"/>
    <w:rsid w:val="4A7E498E"/>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2020-12-05T08:49:44Z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