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就业服务设施项目核准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就业服务设施项目核准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市国土资源主管部门出具的用地预审意见（国土资源主管部门明确可以不进行用地预审的情形除外）</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招标方案（仅需发展改革委规定的必须招标的工程项目提供）</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市城乡规划主管部门出具的选址意见书（仅指以划拨方式提供国有土地使用权的项目）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环节名称：审核；办理人：杜鹏；办理时限：1个工作日；审查标准：符合法定要求，予以审核；办理结果：给出审核意见，如果不同意，及时反馈；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环节名称：决定；办理人：马林；办理时限：2个工作日；审查标准：符合法定要求，予以核准；办理结果：作出予以核准决定，即发项目核准文件，作出不予核准的，出具不予核准书面报告，并说明原因；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环节名称：送达；办理人：兰玉富；办理时限：1个工作日；审查标准：送达；办理结果：办结；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652770" cy="7998460"/>
            <wp:effectExtent l="0" t="0" r="5080"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52770" cy="7998460"/>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24F55"/>
    <w:multiLevelType w:val="singleLevel"/>
    <w:tmpl w:val="46E24F5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35706A7"/>
    <w:rsid w:val="3C8500DD"/>
    <w:rsid w:val="3E1E2576"/>
    <w:rsid w:val="4D356E7D"/>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12</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2020-12-05T08:40:59Z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