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both"/>
        <w:rPr>
          <w:rFonts w:hint="eastAsia" w:ascii="黑体" w:hAnsi="黑体" w:eastAsia="黑体" w:cs="黑体"/>
          <w:b/>
          <w:bCs/>
          <w:sz w:val="36"/>
          <w:szCs w:val="36"/>
        </w:rPr>
      </w:pPr>
      <w:r>
        <w:rPr>
          <w:rFonts w:hint="eastAsia" w:ascii="黑体" w:hAnsi="黑体" w:eastAsia="黑体" w:cs="黑体"/>
          <w:b/>
          <w:bCs/>
          <w:sz w:val="36"/>
          <w:szCs w:val="36"/>
        </w:rPr>
        <w:t>农村电网改造升级中央预算内投资工程验收</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南阳市发展和改革委员会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农村电网改造升级中央预算内投资工程验收</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其他职权</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"一、《国务院办公厅转发发展改革委关于实施新一轮农村电网改造升级工程意见的通知》（国办发〔2011〕23号）第四部分（二）：“加强工程质量管理。发展改革委要制定农村电网改造升级项目管理办法。”</w:t>
      </w:r>
    </w:p>
    <w:p>
      <w:pPr>
        <w:numPr>
          <w:ilvl w:val="0"/>
          <w:numId w:val="1"/>
        </w:numPr>
        <w:spacing w:line="220" w:lineRule="atLeast"/>
        <w:ind w:left="140" w:leftChars="0" w:firstLine="0" w:firstLineChars="0"/>
        <w:jc w:val="both"/>
        <w:rPr>
          <w:rFonts w:hint="eastAsia" w:ascii="宋体" w:hAnsi="宋体" w:eastAsia="宋体" w:cs="宋体"/>
          <w:sz w:val="28"/>
          <w:szCs w:val="28"/>
          <w:lang w:eastAsia="zh-CN"/>
        </w:rPr>
      </w:pPr>
      <w:r>
        <w:rPr>
          <w:rFonts w:hint="eastAsia" w:ascii="宋体" w:hAnsi="宋体" w:eastAsia="宋体" w:cs="宋体"/>
          <w:sz w:val="28"/>
          <w:szCs w:val="28"/>
        </w:rPr>
        <w:t>《国家发展改革委办公厅关于印发农村电网改造升级项目管理办法的通知》（发改办能源〔2010〕2520号）附件第二十八条：“农网改造升级工程项目完工后，省级发展改革委应及时组织对本省级区域内农网改造升级项目进行总体竣工验收，验收报告应报国家发展改革委备案。项目法人负责单项工程的验收，验收报告报省级发展改革委备案。”"</w:t>
      </w:r>
    </w:p>
    <w:p>
      <w:pPr>
        <w:numPr>
          <w:ilvl w:val="0"/>
          <w:numId w:val="1"/>
        </w:numPr>
        <w:spacing w:line="220" w:lineRule="atLeast"/>
        <w:ind w:left="140" w:leftChars="0" w:firstLine="0" w:firstLineChars="0"/>
        <w:jc w:val="both"/>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2"/>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省属企业或所在地省辖市、直管县（市）发改部门出具的开展总体工程验收申请文件</w:t>
      </w:r>
    </w:p>
    <w:p>
      <w:pPr>
        <w:keepNext w:val="0"/>
        <w:keepLines w:val="0"/>
        <w:pageBreakBefore w:val="0"/>
        <w:widowControl/>
        <w:numPr>
          <w:ilvl w:val="0"/>
          <w:numId w:val="2"/>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单项工程总体验收报告</w:t>
      </w:r>
    </w:p>
    <w:p>
      <w:pPr>
        <w:keepNext w:val="0"/>
        <w:keepLines w:val="0"/>
        <w:pageBreakBefore w:val="0"/>
        <w:widowControl/>
        <w:numPr>
          <w:ilvl w:val="0"/>
          <w:numId w:val="2"/>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单项工程总体验收报告</w:t>
      </w:r>
    </w:p>
    <w:p>
      <w:pPr>
        <w:keepNext w:val="0"/>
        <w:keepLines w:val="0"/>
        <w:pageBreakBefore w:val="0"/>
        <w:widowControl/>
        <w:numPr>
          <w:ilvl w:val="0"/>
          <w:numId w:val="2"/>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项目法人出具的开展总体工程验收申请文件</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固话咨询:0377-61387730</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固话投诉:0377-61387772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r>
        <w:rPr>
          <w:rFonts w:hint="eastAsia" w:ascii="宋体" w:hAnsi="宋体" w:eastAsia="宋体" w:cs="宋体"/>
          <w:color w:val="000000"/>
          <w:sz w:val="28"/>
          <w:szCs w:val="28"/>
        </w:rPr>
        <w:t>南阳市宛城区（县）仲景街道范蠡东路1666号3号楼二楼北厅工程建设项目综合受理区室（窗口）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K1、6、14、22、27、36路等公交车均可到达。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"环节名称：受理；办理人：杜佳可；办理时限：1个工作日；审查标准：要件齐全；办理结果：符合法定要求受理，不符合，不予受理；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环节名称：审核；办理人：邢建伟；办理时限：1个工作日；审查标准：符合法定要求，予以审核；办理结果：</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给出审核意见，如果不同意，及时反馈 ；</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办理人：张帆；办理时限：2个工作日；审查标准：工程建设符合已审批要求，予以验收；办理结果：作出同意验收决定，即发项目验收文件，作出不同意验收决定的，出具不同意验收书面报告，并说明原因；</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环节名称：送达；办理人：张希立；办理时限：1个工作日；审查标准：送达；办理结果：办结；"</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pStyle w:val="11"/>
      </w:pPr>
      <w:r>
        <w:t>窗体顶端</w:t>
      </w:r>
    </w:p>
    <w:p>
      <w:pPr>
        <w:keepNext w:val="0"/>
        <w:keepLines w:val="0"/>
        <w:widowControl/>
        <w:suppressLineNumbers w:val="0"/>
        <w:pBdr>
          <w:top w:val="none" w:color="auto" w:sz="0" w:space="0"/>
          <w:left w:val="none" w:color="auto" w:sz="0" w:space="0"/>
          <w:bottom w:val="none" w:color="auto" w:sz="0" w:space="0"/>
          <w:right w:val="none" w:color="auto" w:sz="0" w:space="0"/>
        </w:pBdr>
        <w:jc w:val="center"/>
      </w:pPr>
      <w:bookmarkStart w:id="0" w:name="_GoBack"/>
      <w:r>
        <w:rPr>
          <w:rFonts w:ascii="宋体" w:hAnsi="宋体" w:eastAsia="宋体" w:cs="宋体"/>
          <w:kern w:val="0"/>
          <w:sz w:val="24"/>
          <w:szCs w:val="24"/>
          <w:bdr w:val="none" w:color="auto" w:sz="0" w:space="0"/>
          <w:lang w:val="en-US" w:eastAsia="zh-CN" w:bidi="ar"/>
        </w:rPr>
        <w:drawing>
          <wp:inline distT="0" distB="0" distL="114300" distR="114300">
            <wp:extent cx="6253480" cy="8848725"/>
            <wp:effectExtent l="0" t="0" r="1397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253480" cy="8848725"/>
                    </a:xfrm>
                    <a:prstGeom prst="rect">
                      <a:avLst/>
                    </a:prstGeom>
                    <a:noFill/>
                    <a:ln w="9525">
                      <a:noFill/>
                    </a:ln>
                  </pic:spPr>
                </pic:pic>
              </a:graphicData>
            </a:graphic>
          </wp:inline>
        </w:drawing>
      </w:r>
      <w:bookmarkEnd w:id="0"/>
    </w:p>
    <w:p>
      <w:pPr>
        <w:pStyle w:val="12"/>
      </w:pPr>
      <w:r>
        <w:t>窗体底端</w:t>
      </w:r>
    </w:p>
    <w:p>
      <w:pPr>
        <w:spacing w:line="220" w:lineRule="atLeast"/>
        <w:jc w:val="both"/>
        <w:rPr>
          <w:rFonts w:hint="eastAsia" w:ascii="黑体" w:hAnsi="黑体" w:eastAsia="黑体" w:cs="黑体"/>
          <w:b/>
          <w:sz w:val="30"/>
          <w:szCs w:val="30"/>
        </w:rPr>
      </w:pPr>
    </w:p>
    <w:p>
      <w:pPr>
        <w:spacing w:line="220" w:lineRule="atLeast"/>
        <w:jc w:val="cente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E9FC16"/>
    <w:multiLevelType w:val="singleLevel"/>
    <w:tmpl w:val="94E9FC16"/>
    <w:lvl w:ilvl="0" w:tentative="0">
      <w:start w:val="1"/>
      <w:numFmt w:val="decimal"/>
      <w:lvlText w:val="%1."/>
      <w:lvlJc w:val="left"/>
      <w:pPr>
        <w:ind w:left="425" w:hanging="425"/>
      </w:pPr>
      <w:rPr>
        <w:rFonts w:hint="default"/>
      </w:rPr>
    </w:lvl>
  </w:abstractNum>
  <w:abstractNum w:abstractNumId="1">
    <w:nsid w:val="C74C472B"/>
    <w:multiLevelType w:val="singleLevel"/>
    <w:tmpl w:val="C74C472B"/>
    <w:lvl w:ilvl="0" w:tentative="0">
      <w:start w:val="2"/>
      <w:numFmt w:val="chineseCounting"/>
      <w:suff w:val="nothing"/>
      <w:lvlText w:val="%1、"/>
      <w:lvlJc w:val="left"/>
      <w:pPr>
        <w:ind w:left="140" w:leftChars="0" w:firstLine="0" w:firstLineChars="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2F891684"/>
    <w:rsid w:val="3C8500DD"/>
    <w:rsid w:val="3E1E2576"/>
    <w:rsid w:val="59AC68F5"/>
    <w:rsid w:val="68DE4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
    <w:lsdException w:unhideWhenUsed="0" w:uiPriority="0" w:semiHidden="0" w:nam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 w:type="paragraph" w:styleId="11">
    <w:name w:val=""/>
    <w:basedOn w:val="1"/>
    <w:next w:val="1"/>
    <w:uiPriority w:val="0"/>
    <w:pPr>
      <w:pBdr>
        <w:bottom w:val="single" w:color="auto" w:sz="6" w:space="1"/>
      </w:pBdr>
      <w:jc w:val="center"/>
    </w:pPr>
    <w:rPr>
      <w:rFonts w:ascii="Arial" w:eastAsia="宋体"/>
      <w:vanish/>
      <w:sz w:val="16"/>
    </w:rPr>
  </w:style>
  <w:style w:type="paragraph" w:styleId="12">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16</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010</cp:lastModifiedBy>
  <dcterms:modified xsi:type="dcterms:W3CDTF">2020-12-05T08:43:55Z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