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养老服务设施项目核准</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南阳市发展和改革委员会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养老服务设施项目核准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企业投资项目核准和备案管理条例》（国务院令第673号）第三条：对关系国家安全、涉及全国重大生产力布局、战略性资源开发和重大公共利益等项目，实行核准管理。具体项目范围以及核准机关、核准权限依照政府核准的投资项目目录执行。政府核准的投资项目目录由国务院投资主管部门会同国务院有关部门提出，报国务院批准后实施，并适时调整。国务院另有规定的，依照其规定。 对前款规定以外的项目，实行备案管理。除国务院另有规定的，实行备案管理的项目按照属地原则备案，备案机关及其权限由省、自治区、直辖市和计划单列市人民政府规定。</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政府核准的投资项目目录（河南省2017年本）》（豫政办〔2017〕56号）第十条：其他社会事业项目:除国务院已明确改为备案管理的项目外,事业单位、人民团体投资(含与社会资本合资)建设的项目应按隶属关系报同级政府投资主管部门核准;企业、社会团体、民办非企业单位等投资建设的项目实行备案管理。"</w:t>
      </w:r>
    </w:p>
    <w:p>
      <w:pPr>
        <w:numPr>
          <w:ilvl w:val="0"/>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中华人民共和国建设项目用地预审与选址意见书</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选址意见书（仅指以划拨方式提供国有土地使用权的项目）</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招标方案（仅限符合《必须招标的工程项目规定》（国家发展改革委16号令）规定的项目）</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项目社会稳定风险评估报告及审核意见</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项目申请报告</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用地预审意见（国土资源主管部门明确可以不进行用地预审的情形除外）</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项目申请报告</w:t>
      </w:r>
    </w:p>
    <w:p>
      <w:pPr>
        <w:numPr>
          <w:ilvl w:val="0"/>
          <w:numId w:val="1"/>
        </w:numPr>
        <w:spacing w:line="220" w:lineRule="atLeast"/>
        <w:jc w:val="both"/>
        <w:rPr>
          <w:rFonts w:hint="eastAsia" w:ascii="黑体" w:hAnsi="黑体" w:eastAsia="黑体" w:cs="黑体"/>
          <w:b/>
          <w:sz w:val="30"/>
          <w:szCs w:val="30"/>
        </w:rPr>
      </w:pPr>
      <w:r>
        <w:rPr>
          <w:rFonts w:hint="eastAsia" w:ascii="宋体" w:hAnsi="宋体" w:eastAsia="宋体" w:cs="宋体"/>
          <w:sz w:val="28"/>
          <w:szCs w:val="28"/>
        </w:rPr>
        <w:t>申请人直接提交或通过行业主管部门、投资主管部门转送的拟建项目核准申请文件</w:t>
      </w:r>
    </w:p>
    <w:p>
      <w:pPr>
        <w:numPr>
          <w:ilvl w:val="0"/>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固话咨询:0377-61387730</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固话投诉:0377-61387772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b/>
        </w:rPr>
      </w:pPr>
      <w:r>
        <w:rPr>
          <w:rFonts w:hint="eastAsia" w:ascii="宋体" w:hAnsi="宋体" w:eastAsia="宋体" w:cs="宋体"/>
          <w:color w:val="000000"/>
          <w:sz w:val="28"/>
          <w:szCs w:val="28"/>
        </w:rPr>
        <w:t>南阳市宛城区（县）仲景街道范蠡东路1666号3号楼二楼北厅工程建设项目综合受理区室（窗口）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公共交通或开车，乘坐1、6、14、22、36路等公交车均可到达。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申请：申请人通过河南省政务服务网和河南省政务服务大厅进行事项的申请，提交有关申请材料和反映真实情况，并对其申请材料实质内容的真实性负责。河南省政务服务网和河南省政务服务大厅同步接收申报材料，所交材料齐全的，河南省政务服务大厅签发《收件清单表》；所交材料不齐全或不符合法定要求的，签发《一次性告知书》。如所交材料存在可以当场更正的错误或补齐的材料，申请人可当场更正或补齐。</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（2）受理：河南省政务服务网和河南省政务服务大厅将项目申请材料转至办理处室。自收到转来申请材料之日起，办理处室2个工作日内做出是否受理决定，并签发《受理通知书》或《不予受理通知书》。</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3）审查：在受理项目申请材料后，由办理处室对内容进行审查。如有必要，在受理后2个工作日内，委托有相应资质的工程咨询机构进行咨询评估，评估时限不得超过30个工作日，项目情况复杂的，履行批准程序后，可以延长评估时限，但延长的期限不得超过60个工作日。对于特别重大的项目，可以实行专家评议，原则上不得超过30个工作日。接受委托的工程咨询机构应在项目核准机关要求的时间内提交评估报告，并对评估结论负责。如涉及其它行业主管部门的职能，应征求相关部门意见。相关部门自收到征求意见函及有关材料之日起7个工作日内，向本机关提交书面反馈意见，逾期不反馈的视为同意。审批事项可能对公众利益构成重大影响的，项目核准机关在作出核准决定前，应当采取适当方式征求公众意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4）决定：在受理项目申请材料后10个工作日内，省发展改革委作出对项目申请报告是否予以核准的决定。作出准予核准决定的，印发项目核准文件；作出不予核准决定的，出具不予核准的书面通知，并说明不予核准的理由。由于特殊原因不能在10个工作日内作出决定的，经本机关负责人批准，可延长20个工作日。</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（5）送达：自作出决定之日起2个工作日内，由办理处室向申请人送达项目核准文件。"</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pStyle w:val="11"/>
      </w:pPr>
      <w:r>
        <w:t>窗体顶端</w:t>
      </w:r>
    </w:p>
    <w:p>
      <w:pPr>
        <w:keepNext w:val="0"/>
        <w:keepLines w:val="0"/>
        <w:widowControl/>
        <w:suppressLineNumbers w:val="0"/>
        <w:pBdr>
          <w:top w:val="none" w:color="auto" w:sz="6" w:space="0"/>
          <w:left w:val="none" w:color="auto" w:sz="0" w:space="0"/>
          <w:bottom w:val="none" w:color="auto" w:sz="0" w:space="0"/>
          <w:right w:val="none" w:color="auto" w:sz="0" w:space="0"/>
        </w:pBdr>
        <w:jc w:val="center"/>
      </w:pPr>
      <w:bookmarkStart w:id="0" w:name="_GoBack"/>
      <w:r>
        <w:rPr>
          <w:rFonts w:ascii="宋体" w:hAnsi="宋体" w:eastAsia="宋体" w:cs="宋体"/>
          <w:kern w:val="0"/>
          <w:sz w:val="24"/>
          <w:szCs w:val="24"/>
          <w:lang w:val="en-US" w:eastAsia="zh-CN" w:bidi="ar"/>
        </w:rPr>
        <w:drawing>
          <wp:inline distT="0" distB="0" distL="114300" distR="114300">
            <wp:extent cx="6573520" cy="9300845"/>
            <wp:effectExtent l="0" t="0" r="17780" b="1460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573520" cy="9300845"/>
                    </a:xfrm>
                    <a:prstGeom prst="rect">
                      <a:avLst/>
                    </a:prstGeom>
                    <a:noFill/>
                    <a:ln w="9525">
                      <a:noFill/>
                    </a:ln>
                  </pic:spPr>
                </pic:pic>
              </a:graphicData>
            </a:graphic>
          </wp:inline>
        </w:drawing>
      </w:r>
      <w:bookmarkEnd w:id="0"/>
    </w:p>
    <w:p>
      <w:pPr>
        <w:pStyle w:val="12"/>
      </w:pPr>
      <w:r>
        <w:t>窗体底端</w:t>
      </w:r>
    </w:p>
    <w:p>
      <w:pPr>
        <w:spacing w:line="220" w:lineRule="atLeast"/>
        <w:jc w:val="both"/>
        <w:rPr>
          <w:rFonts w:hint="eastAsia" w:ascii="黑体" w:hAnsi="黑体" w:eastAsia="黑体" w:cs="黑体"/>
          <w:b/>
          <w:sz w:val="30"/>
          <w:szCs w:val="30"/>
        </w:rPr>
      </w:pPr>
    </w:p>
    <w:p>
      <w:pPr>
        <w:spacing w:line="220" w:lineRule="atLeast"/>
        <w:jc w:val="cente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E4E5EF"/>
    <w:multiLevelType w:val="singleLevel"/>
    <w:tmpl w:val="B4E4E5EF"/>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34BC620B"/>
    <w:rsid w:val="3C8500DD"/>
    <w:rsid w:val="3E1E2576"/>
    <w:rsid w:val="59AC68F5"/>
    <w:rsid w:val="6C182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
    <w:lsdException w:unhideWhenUsed="0" w:uiPriority="0" w:semiHidden="0" w:nam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 w:type="paragraph" w:styleId="11">
    <w:name w:val=""/>
    <w:basedOn w:val="1"/>
    <w:next w:val="1"/>
    <w:uiPriority w:val="0"/>
    <w:pPr>
      <w:pBdr>
        <w:bottom w:val="single" w:color="auto" w:sz="6" w:space="1"/>
      </w:pBdr>
      <w:jc w:val="center"/>
    </w:pPr>
    <w:rPr>
      <w:rFonts w:ascii="Arial" w:eastAsia="宋体"/>
      <w:vanish/>
      <w:sz w:val="16"/>
    </w:rPr>
  </w:style>
  <w:style w:type="paragraph" w:styleId="12">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0</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010</cp:lastModifiedBy>
  <dcterms:modified xsi:type="dcterms:W3CDTF">2020-12-05T08:55:40Z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