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r>
        <w:rPr>
          <w:rFonts w:hint="eastAsia" w:ascii="黑体" w:hAnsi="黑体" w:eastAsia="黑体" w:cs="黑体"/>
          <w:b/>
          <w:bCs/>
          <w:sz w:val="36"/>
          <w:szCs w:val="36"/>
        </w:rPr>
        <w:t>110千伏及以下和产业集聚区局域电网220千伏电网项目核准</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南阳市发展和改革委员会</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110千伏及以下和产业集聚区局域电网220千伏电网项目核准</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行政许可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一、《企业投资项目核准和备案管理条例》（国务院令第673号）第三条：对关系国家安全、涉及全国重大生产力布局、战略性资源开发和重大公共利益等项目，实行核准管理。具体项目范围以及核准机关、核准权限依照政府核准的投资项目目录执行。政府核准的投资项目目录由国务院投资主管部门会同国务院有关部门提出，报国务院批准后实施，并适时调整。国务院另有规定的，依照其规定。 对前款规定以外的项目，实行备案管理。除国务院另有规定的，实行备案管理的项目按照属地原则备案，备案机关及其权限由省、自治区、直辖市和计划单列市人民政府规定。</w:t>
      </w:r>
    </w:p>
    <w:p>
      <w:pPr>
        <w:numPr>
          <w:ilvl w:val="0"/>
          <w:numId w:val="1"/>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政府核准的投资项目目录（河南省2017年本）》（豫政办〔2017〕56号）第二条第七款：“电网工程：...其余项目（注：110千伏及以下和产业集聚区局域电网220千伏电网项目）由省辖市、省直管县（市）政府投资主管部门按照国家和省制定的相关规划核准”。"</w:t>
      </w:r>
    </w:p>
    <w:p>
      <w:pPr>
        <w:numPr>
          <w:ilvl w:val="0"/>
          <w:numId w:val="1"/>
        </w:num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申请材料：</w:t>
      </w:r>
    </w:p>
    <w:p>
      <w:pPr>
        <w:numPr>
          <w:ilvl w:val="0"/>
          <w:numId w:val="1"/>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招标方案（仅限符合《必须招标的工程项目规定》（国家发展改革委16号令）规定的项目）</w:t>
      </w:r>
    </w:p>
    <w:p>
      <w:pPr>
        <w:numPr>
          <w:ilvl w:val="0"/>
          <w:numId w:val="1"/>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中华人民共和国建设项目用地预审与选址意见书</w:t>
      </w:r>
    </w:p>
    <w:p>
      <w:pPr>
        <w:numPr>
          <w:ilvl w:val="0"/>
          <w:numId w:val="1"/>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选址意见书（仅指以划拨方式提供国有土地使用权的项目）</w:t>
      </w:r>
    </w:p>
    <w:p>
      <w:pPr>
        <w:numPr>
          <w:ilvl w:val="0"/>
          <w:numId w:val="1"/>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项目申请报告</w:t>
      </w:r>
    </w:p>
    <w:p>
      <w:pPr>
        <w:numPr>
          <w:ilvl w:val="0"/>
          <w:numId w:val="1"/>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用地预审意见（国土资源主管部门明确可以不进行用地预审的情形除外）</w:t>
      </w:r>
    </w:p>
    <w:p>
      <w:pPr>
        <w:numPr>
          <w:ilvl w:val="0"/>
          <w:numId w:val="1"/>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项目申请报告</w:t>
      </w:r>
    </w:p>
    <w:p>
      <w:pPr>
        <w:numPr>
          <w:ilvl w:val="0"/>
          <w:numId w:val="1"/>
        </w:numPr>
        <w:spacing w:line="220" w:lineRule="atLeast"/>
        <w:jc w:val="both"/>
        <w:rPr>
          <w:rFonts w:hint="eastAsia" w:ascii="黑体" w:hAnsi="黑体" w:eastAsia="黑体" w:cs="黑体"/>
          <w:b/>
          <w:sz w:val="30"/>
          <w:szCs w:val="30"/>
        </w:rPr>
      </w:pPr>
      <w:r>
        <w:rPr>
          <w:rFonts w:hint="eastAsia" w:ascii="宋体" w:hAnsi="宋体" w:eastAsia="宋体" w:cs="宋体"/>
          <w:sz w:val="28"/>
          <w:szCs w:val="28"/>
        </w:rPr>
        <w:t>市级企业或所在地县发改部门转送的拟建项目核准申请文件</w:t>
      </w:r>
    </w:p>
    <w:p>
      <w:pPr>
        <w:numPr>
          <w:ilvl w:val="0"/>
          <w:numId w:val="0"/>
        </w:num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5</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固话咨询:0377-61387730</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固话投诉:0377-61387772 </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ind w:firstLine="560" w:firstLineChars="200"/>
        <w:jc w:val="both"/>
        <w:rPr>
          <w:rFonts w:hint="eastAsia"/>
          <w:b/>
        </w:rPr>
      </w:pPr>
      <w:r>
        <w:rPr>
          <w:rFonts w:hint="eastAsia" w:ascii="宋体" w:hAnsi="宋体" w:eastAsia="宋体" w:cs="宋体"/>
          <w:color w:val="000000"/>
          <w:sz w:val="28"/>
          <w:szCs w:val="28"/>
        </w:rPr>
        <w:t>南阳市宛城区（县）仲景街道范蠡东路1666号3号楼二楼北厅工程建设项目综合受理区室（窗口）</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K1、6、14、22、27、36路等公交车均可到达。</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ascii="宋体" w:hAnsi="宋体" w:eastAsia="宋体" w:cs="宋体"/>
          <w:color w:val="000000"/>
        </w:rPr>
      </w:pPr>
      <w:r>
        <w:rPr>
          <w:rFonts w:hint="eastAsia" w:ascii="宋体" w:hAnsi="宋体" w:eastAsia="宋体" w:cs="宋体"/>
          <w:color w:val="000000"/>
          <w:sz w:val="28"/>
          <w:szCs w:val="28"/>
        </w:rPr>
        <w:t>窗口领取或邮寄</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1）申请：申请人通过河南省政务服务网和本级政务服务大厅进行事项的申请，提交有关申请材料和反映真实情况，并对其申请材料实质内容的真实性负责。河南省政务服务网和本级政务服务大厅同步接收申报材料，所交材料齐全的，本级政务服务大厅签发《收件清单表》；所交材料不齐全或不符合法定要求的，签发《一次性告知书》。如所交材料存在可以当场更正的错误或补齐的材料，申请人可当场更正或补齐。</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（2）受理：河南省政务服务网和本级政务服务大厅将项目申请材料转至办理科室。自收到转来申请材料之日起，办理科室2个工作日内做出是否受理决定，并签发《受理通知书》或《不予受理通知书》。</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3）审查：在受理项目申请报告后，由办理处室对内容进行审查。如有必要，在受理后2个工作日内，委托有相应资质的工程咨询机构进行咨询评估，评估时限不得超过30个工作日，项目情况复杂的，履行批准程序后，可以延长评估时限，但延长的期限不得超过60个工作日。对于特别重大的项目，可以实行专家评议，原则上不得超过30个工作日。接受委托的工程咨询机构应在项目核准机关要求的时间内提交评估报告，并对评估结论负责。如涉及其它行业主管部门的职能，应征求相关部门意见。相关部门自收到征求意见函及有关材料之日起3个工作日内，向本机关提交书面反馈意见，逾期不反馈的视为同意。审批事项可能对公众利益构成重大影响的，项目核准机关在作出核准决定前，应当采取适当方式征求公众意见。</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4）决定：在受理项目申请报告后10个工作日内，作出对项目申请报告是否予以核准的决定。作出准予核准决定的，印发项目核准文件；作出不予核准决定的，出具不予核准的书面通知，并说明不予核准的理由。由于特殊原因不能在10个工作日内作出决定的，经本机关负责人批准，可延长20个工作日。</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（5）送达：自作出决定之日起2个工作日内，由办理处室向申请人送达项目核准文件。"</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pStyle w:val="11"/>
      </w:pPr>
      <w:r>
        <w:t>窗体顶端</w:t>
      </w:r>
    </w:p>
    <w:p>
      <w:pPr>
        <w:keepNext w:val="0"/>
        <w:keepLines w:val="0"/>
        <w:widowControl/>
        <w:suppressLineNumbers w:val="0"/>
        <w:pBdr>
          <w:top w:val="none" w:color="auto" w:sz="0" w:space="0"/>
          <w:left w:val="none" w:color="auto" w:sz="0" w:space="0"/>
          <w:bottom w:val="none" w:color="auto" w:sz="0" w:space="0"/>
          <w:right w:val="none" w:color="auto" w:sz="0" w:space="0"/>
        </w:pBdr>
        <w:jc w:val="center"/>
      </w:pPr>
      <w:bookmarkStart w:id="0" w:name="_GoBack"/>
      <w:r>
        <w:rPr>
          <w:rFonts w:ascii="宋体" w:hAnsi="宋体" w:eastAsia="宋体" w:cs="宋体"/>
          <w:kern w:val="0"/>
          <w:sz w:val="24"/>
          <w:szCs w:val="24"/>
          <w:bdr w:val="none" w:color="auto" w:sz="0" w:space="0"/>
          <w:lang w:val="en-US" w:eastAsia="zh-CN" w:bidi="ar"/>
        </w:rPr>
        <w:drawing>
          <wp:inline distT="0" distB="0" distL="114300" distR="114300">
            <wp:extent cx="6324600" cy="8948420"/>
            <wp:effectExtent l="0" t="0" r="0" b="508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6324600" cy="8948420"/>
                    </a:xfrm>
                    <a:prstGeom prst="rect">
                      <a:avLst/>
                    </a:prstGeom>
                    <a:noFill/>
                    <a:ln w="9525">
                      <a:noFill/>
                    </a:ln>
                  </pic:spPr>
                </pic:pic>
              </a:graphicData>
            </a:graphic>
          </wp:inline>
        </w:drawing>
      </w:r>
      <w:bookmarkEnd w:id="0"/>
    </w:p>
    <w:p>
      <w:pPr>
        <w:pStyle w:val="12"/>
      </w:pPr>
      <w:r>
        <w:t>窗体底端</w:t>
      </w:r>
    </w:p>
    <w:p>
      <w:pPr>
        <w:spacing w:line="220" w:lineRule="atLeast"/>
        <w:jc w:val="both"/>
        <w:rPr>
          <w:rFonts w:hint="eastAsia" w:ascii="黑体" w:hAnsi="黑体" w:eastAsia="黑体" w:cs="黑体"/>
          <w:b/>
          <w:sz w:val="30"/>
          <w:szCs w:val="30"/>
        </w:rPr>
      </w:pPr>
    </w:p>
    <w:p>
      <w:pPr>
        <w:spacing w:line="220" w:lineRule="atLeast"/>
        <w:jc w:val="center"/>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80551C5"/>
    <w:multiLevelType w:val="singleLevel"/>
    <w:tmpl w:val="780551C5"/>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5DF725B"/>
    <w:rsid w:val="1BBF0F06"/>
    <w:rsid w:val="3C8500DD"/>
    <w:rsid w:val="3E1E2576"/>
    <w:rsid w:val="59AC68F5"/>
    <w:rsid w:val="61D300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
    <w:lsdException w:unhideWhenUsed="0" w:uiPriority="0" w:semiHidden="0" w:nam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Tahoma" w:hAnsi="Tahoma"/>
      <w:sz w:val="18"/>
      <w:szCs w:val="18"/>
    </w:rPr>
  </w:style>
  <w:style w:type="paragraph" w:styleId="11">
    <w:name w:val=""/>
    <w:basedOn w:val="1"/>
    <w:next w:val="1"/>
    <w:uiPriority w:val="0"/>
    <w:pPr>
      <w:pBdr>
        <w:bottom w:val="single" w:color="auto" w:sz="6" w:space="1"/>
      </w:pBdr>
      <w:jc w:val="center"/>
    </w:pPr>
    <w:rPr>
      <w:rFonts w:ascii="Arial" w:eastAsia="宋体"/>
      <w:vanish/>
      <w:sz w:val="16"/>
    </w:rPr>
  </w:style>
  <w:style w:type="paragraph" w:styleId="12">
    <w:name w:val=""/>
    <w:basedOn w:val="1"/>
    <w:next w:val="1"/>
    <w:uiPriority w:val="0"/>
    <w:pPr>
      <w:pBdr>
        <w:top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4</TotalTime>
  <ScaleCrop>false</ScaleCrop>
  <LinksUpToDate>false</LinksUpToDate>
  <CharactersWithSpaces>1178</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010</cp:lastModifiedBy>
  <dcterms:modified xsi:type="dcterms:W3CDTF">2020-12-05T08:55:02Z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