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both"/>
        <w:rPr>
          <w:rFonts w:hint="eastAsia" w:ascii="黑体" w:hAnsi="黑体" w:eastAsia="黑体" w:cs="黑体"/>
          <w:b/>
          <w:bCs/>
          <w:sz w:val="36"/>
          <w:szCs w:val="36"/>
        </w:rPr>
      </w:pPr>
      <w:bookmarkStart w:id="0" w:name="_GoBack"/>
      <w:r>
        <w:rPr>
          <w:rFonts w:hint="eastAsia" w:ascii="黑体" w:hAnsi="黑体" w:eastAsia="黑体" w:cs="黑体"/>
          <w:b/>
          <w:bCs/>
          <w:sz w:val="36"/>
          <w:szCs w:val="36"/>
        </w:rPr>
        <w:t>液化石油气接收、存储设施（不含油气田、炼油厂的配套项目）项目核准</w:t>
      </w:r>
    </w:p>
    <w:bookmarkEnd w:id="0"/>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液化石油气接收、存储设施（不含油气田、炼油厂的配套项目）项目核准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企业投资项目核准和备案管理条例》（国务院令第673号）第三条：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 对前款规定以外的项目，实行备案管理。除国务院另有规定的，实行备案管理的项目按照属地原则备案，备案机关及其权限由省、自治区、直辖市和计划单列市人民政府规定。</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《政府核准的投资项目目录（河南省2017年本）》（豫政办〔2017〕56号）第二条：液化石油气接收、存储设施(不含油气田、炼油厂的配套项目):由省辖市、省直管县(市)政府投资主管部门核准。"</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申请人直接提交或通过行业主管部门、投资主管部门转送的拟建项目核准申请文件</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项目社会稳定风险评估报告及审核意见</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中华人民共和国建设项目用地预审与选址意见书</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项目申请报告</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选址意见书（仅指以划拨方式提供国有土地使用权的项目）</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项目申请报告</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用地预审意见（国土资源主管部门明确可以不进行用地预审的情形除外）</w:t>
      </w:r>
    </w:p>
    <w:p>
      <w:pPr>
        <w:numPr>
          <w:ilvl w:val="0"/>
          <w:numId w:val="1"/>
        </w:numPr>
        <w:spacing w:line="220" w:lineRule="atLeast"/>
        <w:jc w:val="both"/>
        <w:rPr>
          <w:rFonts w:hint="eastAsia" w:ascii="黑体" w:hAnsi="黑体" w:eastAsia="黑体" w:cs="黑体"/>
          <w:b/>
          <w:sz w:val="30"/>
          <w:szCs w:val="30"/>
        </w:rPr>
      </w:pPr>
      <w:r>
        <w:rPr>
          <w:rFonts w:hint="eastAsia" w:ascii="宋体" w:hAnsi="宋体" w:eastAsia="宋体" w:cs="宋体"/>
          <w:sz w:val="28"/>
          <w:szCs w:val="28"/>
        </w:rPr>
        <w:t>招标方案（仅限符合《必须招标的工程项目规定》（国家发展改革委16号令）规定的项目）</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固话咨询:0377-61387730</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固话投诉:0377-61387772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b/>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公共交通或开车，乘坐1、6、14、22、36路等公交车均可到达。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申请：申请人通过河南省政务服务网和本级政务服务大厅进行事项的申请，提交有关申请材料和反映真实情况，并对其申请材料实质内容的真实性负责。河南省政务服务网和本级政务服务大厅同步接收申报材料，所交材料齐全的，本级政务服务大厅签发《收件清单表》；所交材料不齐全或不符合法定要求的，签发《一次性告知书》。如所交材料存在可以当场更正的错误或补齐的材料，申请人可当场更正或补齐。</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（2）受理：河南省政务服务网和本级政务服务大厅将项目申请材料转至办理科室。自收到转来申请材料之日起，办理科室2个工作日内做出是否受理决定，并签发《受理通知书》或《不予受理通知书》。</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审查：在受理项目申请报告后，由办理处室对内容进行审查。如有必要，在受理后2个工作日内，委托有相应资质的工程咨询机构进行咨询评估，评估时限不得超过30个工作日，项目情况复杂的，履行批准程序后，可以延长评估时限，但延长的期限不得超过60个工作日。对于特别重大的项目，可以实行专家评议，原则上不得超过30个工作日。接受委托的工程咨询机构应在项目核准机关要求的时间内提交评估报告，并对评估结论负责。如涉及其它行业主管部门的职能，应征求相关部门意见。相关部门自收到征求意见函及有关材料之日起3个工作日内，向本机关提交书面反馈意见，逾期不反馈的视为同意。审批事项可能对公众利益构成重大影响的，项目核准机关在作出核准决定前，应当采取适当方式征求公众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决定：在受理项目申请报告后10个工作日内，作出对项目申请报告是否予以核准的决定。作出准予核准决定的，印发项目核准文件；作出不予核准决定的，出具不予核准的书面通知，并说明不予核准的理由。由于特殊原因不能在10个工作日内作出决定的，经本机关负责人批准，可延长20个工作日。</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（5）送达：自作出决定之日起2个工作日内，由办理处室向申请人送达项目核准文件。"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11"/>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ascii="宋体" w:hAnsi="宋体" w:eastAsia="宋体" w:cs="宋体"/>
          <w:kern w:val="0"/>
          <w:sz w:val="24"/>
          <w:szCs w:val="24"/>
          <w:bdr w:val="none" w:color="auto" w:sz="0" w:space="0"/>
          <w:lang w:val="en-US" w:eastAsia="zh-CN" w:bidi="ar"/>
        </w:rPr>
        <w:drawing>
          <wp:inline distT="0" distB="0" distL="114300" distR="114300">
            <wp:extent cx="6376670" cy="9022715"/>
            <wp:effectExtent l="0" t="0" r="5080" b="698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376670" cy="9022715"/>
                    </a:xfrm>
                    <a:prstGeom prst="rect">
                      <a:avLst/>
                    </a:prstGeom>
                    <a:noFill/>
                    <a:ln w="9525">
                      <a:noFill/>
                    </a:ln>
                  </pic:spPr>
                </pic:pic>
              </a:graphicData>
            </a:graphic>
          </wp:inline>
        </w:drawing>
      </w:r>
    </w:p>
    <w:p>
      <w:pPr>
        <w:pStyle w:val="12"/>
      </w:pPr>
      <w:r>
        <w:t>窗体底端</w:t>
      </w:r>
    </w:p>
    <w:p>
      <w:pPr>
        <w:spacing w:line="220" w:lineRule="atLeast"/>
        <w:jc w:val="both"/>
        <w:rPr>
          <w:rFonts w:hint="eastAsia" w:ascii="黑体" w:hAnsi="黑体" w:eastAsia="黑体" w:cs="黑体"/>
          <w:b/>
          <w:sz w:val="30"/>
          <w:szCs w:val="30"/>
        </w:rPr>
      </w:pPr>
    </w:p>
    <w:p>
      <w:pPr>
        <w:spacing w:line="220" w:lineRule="atLeast"/>
        <w:jc w:val="cente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EE0145"/>
    <w:multiLevelType w:val="singleLevel"/>
    <w:tmpl w:val="8EEE014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28BA5D22"/>
    <w:rsid w:val="3C8500DD"/>
    <w:rsid w:val="3E1E2576"/>
    <w:rsid w:val="59AC68F5"/>
    <w:rsid w:val="5E4841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 w:type="paragraph" w:styleId="11">
    <w:name w:val=""/>
    <w:basedOn w:val="1"/>
    <w:next w:val="1"/>
    <w:uiPriority w:val="0"/>
    <w:pPr>
      <w:pBdr>
        <w:bottom w:val="single" w:color="auto" w:sz="6" w:space="1"/>
      </w:pBdr>
      <w:jc w:val="center"/>
    </w:pPr>
    <w:rPr>
      <w:rFonts w:ascii="Arial" w:eastAsia="宋体"/>
      <w:vanish/>
      <w:sz w:val="16"/>
    </w:rPr>
  </w:style>
  <w:style w:type="paragraph" w:styleId="12">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0</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2020-12-05T08:54:00Z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