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非跨黄河大桥及非跨省辖市、省直管县（市）的独立公（铁）路桥梁、隧道项目核准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非跨黄河大桥及非跨省辖市、省直管县（市）的独立公（铁）路桥梁、隧道项目核准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三条：独立公(铁)路桥梁、隧道:跨黄河大桥及跨省辖市、省直管县(市)的项目由省政府投资主管部门核准;其余项目由市、县级政府投资主管部门分别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用地预审意见（国土资源主管部门明确可以不进行用地预审的情形除外）</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申请人直接提交或通过行业主管部门、投资主管部门转送的拟建项目核准申请文件</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选址意见书（仅指以划拨方式提供国有土地使用权的项目）</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招标方案（仅限符合《必须招标的工程项目规定》（国家发展改革委16号令）规定的项目）</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中华人民共和国建设项目用地预审与选址意见书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项目社会稳定风险评估报告及审核意见</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固话咨询:0377-61387730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环节名称：审核；办理人：杨东；办理时限：1个工作日；审查标准：符合法定要求，予以审核；办理结果：给出审核意见，如果不同意，及时反馈；</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环节名称：决定；办理人：付建璞；办理时限：2个工作日；审查标准：符合法定要求，予以核准；办理结果：作出予以核准决定，即发项目核准文件，作出不予核准的，出具不予核准书面报告，并说明原因；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环节名称：送达；办理人：尹楷；办理时限：1个工作日；审查标准：送达；办理结果：办结；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2B902D"/>
    <w:multiLevelType w:val="singleLevel"/>
    <w:tmpl w:val="A62B902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224E2A"/>
    <w:rsid w:val="05DF725B"/>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2020-12-05T03:49:06Z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