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市级建设项目环境影响评价文件审批（非辐射类且编制报告书的项目）首次申请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市级建设项目环境影响评价文件审批（非辐射类且编制报告书的项目）首次申请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第十九条 编制有关开发利用规划，建设对环境有影响的项目，应当依法进行环境影响评价。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未依法进行环境影响评价的开发利用规划，不得组织实施；未依法进行环境影响评价的建设项目，不得开工建设。</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二、《中华人民共和国环境影响评价法》（2016年7月2日主席令第七十七号，2016年7月2日主席令第四十八号修改，2018年12月29日主席令第二十四号修改）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第十六条 国家根据建设项目对环境的影响程度，对建设项目的环境影响评价实行分类管理。 建设单位应当按照下列规定组织编制环境影响报告书、环境影响报告表或者填报环境影响登记表（以下统称环境影响评价文件）：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（一）可能造成重大环境影响的，应当编制环境影响报告书，对产生的环境影响进行全面评价；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（二）可能造成轻度环境影响的，应当编制环境影响报告表，对产生的环境影响进行分析或者专项评价；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（三）对环境影响很小、不需要进行环境影响评价的，应当填报环境影响登记表。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建设项目的环境影响评价分类管理名录，由国务院生态环境主管部门制定并公布。</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第二十二条 建设项目的环境影响报告书、报告表，由建设单位按照国务院的规定报有审批权的生态环境主管部门审批。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海洋工程建设项目的海洋环境影响报告书的审批，依照《中华人民共和国海洋环境保护法》的规定办理。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审批部门应当自收到环境影响报告书之日起六十日内，收到环境影响报告表之日起三十日内，分别作出审批决定并书面通知建设单位。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国家对环境影响登记表实行备案管理。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审核、审批建设项目环境影响报告书、报告表以及备案环境影响登记表，不得收取任何费用。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第二十三条 国务院生态环境主管部门负责审批下列建设项目的环境影响评价文件：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（一）核设施、绝密工程等特殊性质的建设项目；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（二）跨省、自治区、直辖市行政区域的建设项目；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（三）由国务院审批的或者由国务院授权有关部门审批的建设项目。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前款规定以外的建设项目的环境影响评价文件的审批权限，由省、自治区、直辖市人民政府规定。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建设项目可能造成跨行政区域的不良环境影响，有关生态环境主管部门对该项目的环境影响评价结论有争议的，其环境影响评价文件由共同的上一级生态环境主管部门审批。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第二十四条 建设项目的环境影响评价文件经批准后，建设项目的性质、规模、地点、采用的生产工艺或者防治污染、防止生态破坏的措施发生重大变动的，建设单位应当重新报批建设项目的环境影响评价文件。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b/>
          <w:sz w:val="28"/>
          <w:szCs w:val="28"/>
        </w:rPr>
      </w:pPr>
      <w:r>
        <w:rPr>
          <w:rFonts w:hint="eastAsia" w:ascii="宋体" w:hAnsi="宋体" w:eastAsia="宋体" w:cs="宋体"/>
          <w:sz w:val="28"/>
          <w:szCs w:val="28"/>
        </w:rPr>
        <w:t>第二十五条 建设项目的环境影响评价文件未依法经审批部门审查或者审查后未予批准的，建设单位不得开工建设。"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建设单位正式申请文件（电子版1份）</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建设项目环境影响报告书公众参与说明</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环境影响评价文件（电子版1份）</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上述申报材料的纸质版</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公众参与过程中公开环评文件全文及编制环境影响报告书的建设项目公开公众参与情况说明（过程及结果）的证明材料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建设项目环境影响评价文件行政审批申请书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固话咨询:0377-61388092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宋体" w:hAnsi="宋体" w:eastAsia="宋体" w:cs="宋体"/>
          <w:color w:val="000000"/>
          <w:sz w:val="28"/>
          <w:szCs w:val="28"/>
        </w:rPr>
      </w:pP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"环节名称：收件 ；办理人：明小龙；办理时限：1个工作日；审查标准：要件齐全；办理结果：收件；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；办理人：宁军；办理时限：1个工作日；审查标准：符合各项要求；办理结果：受理；</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；办理人：宁军；办理时限：10个工作日；审查标准：合法合规审核；办理结果：审核审批；</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；办理人：张全献；办理时限：3个工作日；审查标准：同意审批；办理结果：审批；"</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center"/>
      </w:pPr>
      <w:r>
        <w:drawing>
          <wp:inline distT="0" distB="0" distL="114300" distR="114300">
            <wp:extent cx="5272405" cy="7452995"/>
            <wp:effectExtent l="0" t="0" r="444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7452995"/>
                    </a:xfrm>
                    <a:prstGeom prst="rect">
                      <a:avLst/>
                    </a:prstGeom>
                    <a:noFill/>
                    <a:ln>
                      <a:noFill/>
                    </a:ln>
                  </pic:spPr>
                </pic:pic>
              </a:graphicData>
            </a:graphic>
          </wp:inline>
        </w:drawing>
      </w: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9C7314"/>
    <w:multiLevelType w:val="singleLevel"/>
    <w:tmpl w:val="C39C731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6734F0"/>
    <w:rsid w:val="0267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2020-12-05T09:39:00Z</dcterms:created>
  <dc:creator>大松鼠</dc:creator>
  <cp:lastModifiedBy>大松鼠</cp:lastModifiedBy>
  <dcterms:modified xsi:type="dcterms:W3CDTF">2020-12-05T09:42:58Z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