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20" w:lineRule="atLeast"/>
        <w:jc w:val="center"/>
        <w:rPr>
          <w:rFonts w:hint="eastAsia" w:ascii="黑体" w:hAnsi="黑体" w:eastAsia="黑体" w:cs="黑体"/>
          <w:b/>
          <w:bCs/>
          <w:sz w:val="36"/>
          <w:szCs w:val="36"/>
        </w:rPr>
      </w:pPr>
      <w:r>
        <w:rPr>
          <w:rFonts w:hint="eastAsia" w:ascii="黑体" w:hAnsi="黑体" w:eastAsia="黑体" w:cs="黑体"/>
          <w:b/>
          <w:bCs/>
          <w:sz w:val="36"/>
          <w:szCs w:val="36"/>
        </w:rPr>
        <w:t>入河排污口的设置和扩大审核</w:t>
      </w:r>
    </w:p>
    <w:p>
      <w:pPr>
        <w:spacing w:line="220" w:lineRule="atLeast"/>
        <w:jc w:val="both"/>
        <w:rPr>
          <w:rFonts w:hint="eastAsia" w:ascii="黑体" w:hAnsi="黑体" w:eastAsia="黑体" w:cs="黑体"/>
          <w:b/>
          <w:sz w:val="30"/>
          <w:szCs w:val="30"/>
          <w:lang w:eastAsia="zh-CN"/>
        </w:rPr>
      </w:pPr>
      <w:r>
        <w:rPr>
          <w:rFonts w:hint="eastAsia" w:ascii="黑体" w:hAnsi="黑体" w:eastAsia="黑体" w:cs="黑体"/>
          <w:b/>
          <w:sz w:val="30"/>
          <w:szCs w:val="30"/>
        </w:rPr>
        <w:t>实施主体：</w:t>
      </w:r>
    </w:p>
    <w:p>
      <w:pPr>
        <w:spacing w:line="220" w:lineRule="atLeast"/>
        <w:jc w:val="both"/>
        <w:rPr>
          <w:rFonts w:hint="eastAsia" w:ascii="宋体" w:hAnsi="宋体" w:eastAsia="宋体" w:cs="宋体"/>
          <w:sz w:val="28"/>
          <w:szCs w:val="28"/>
        </w:rPr>
      </w:pPr>
      <w:r>
        <w:rPr>
          <w:rFonts w:hint="eastAsia" w:ascii="宋体" w:hAnsi="宋体" w:eastAsia="宋体" w:cs="宋体"/>
          <w:sz w:val="28"/>
          <w:szCs w:val="28"/>
        </w:rPr>
        <w:t>南阳市生态环境局</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适用范围：</w:t>
      </w:r>
    </w:p>
    <w:p>
      <w:pPr>
        <w:spacing w:line="220" w:lineRule="atLeast"/>
        <w:jc w:val="both"/>
        <w:rPr>
          <w:rFonts w:hint="eastAsia" w:ascii="宋体" w:hAnsi="宋体" w:eastAsia="宋体" w:cs="宋体"/>
          <w:sz w:val="28"/>
          <w:szCs w:val="28"/>
        </w:rPr>
      </w:pPr>
      <w:r>
        <w:rPr>
          <w:rFonts w:hint="eastAsia" w:ascii="宋体" w:hAnsi="宋体" w:eastAsia="宋体" w:cs="宋体"/>
          <w:sz w:val="28"/>
          <w:szCs w:val="28"/>
        </w:rPr>
        <w:t>入河排污口的设置和扩大审核</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事项类别：</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行政许可</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实施依据：</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一、《中华人民共和国水法》（中华人民共和国主席令第四十八号，根据2016年7月2日第十二届全国人民代表大会常务委员会第二十一次会议《关于修改〈中华人民共和国节约能源法〉等六部法律的决定》第二次修正）</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第三十四条规定，“在江河、湖泊新建、改建或者扩大排污口，应当经过有管辖权的水行政主管部门或者流域管理机构同意，由环境保护行政主管部门负责对该建设项目的环境影响报告书进行审批”</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二、《中华人民共和国水污染防治法(2017修正) 》（中华人民共和国主席令第七十号，现行版本为2017年6月27日第十二届全国人民代表大会常务委员会第二十八次会议修正，自2018年1月1日起施行）</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 xml:space="preserve">第十九条 新建、改建、扩建直接或者间接向水体排放污染物的建设项目和其他水上设施，应当依法进行环境影响评价。 建设单位在江河、湖泊新建、改建、扩建排污口的，应当取得水行政主管部门或者流域管理机构同意；涉及通航、渔业水域的，环境保护主管部门在审批环境影响评价文件时，应当征求交通、渔业主管部门的意见。 建设项目的水污染防治设施，应当与主体工程同时设计、同时施工、同时投入使用。水污染防治设施应当符合经批准或者备案的环境影响评价文件的要求。 </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三、《入河排污口监督管理办法》（中华人民共和国水利部令第47号，2004年11月30日水利部令第22号发布，根据2015年12月16日《水利部关于废止和修改部分规章的决定》修正）</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第六条规定“设置入河排污口的单位（下称排污单位），应当在向环境保护行政主管部门报送建设项目环境影响报告书（表）之前，向有管辖权的县级以上地方人民政府水行政主管部门或者流域管理机构提出入河排污口设置申请。依法需要办理河道管理范围内建设项目审查手续或者取水许可审批手续的，排污单位应当根据具体要求，分别在提出河道管理范围内建设项目申请或者取水许可申请的同时，提出入河排污口设置申请。依法不需要编制环境影响报告书（表）以及依法不需要办理河道管理范围内建设项目审查手续和取水许可手续的，排污单位应当在设置入河排污口前，向有管辖权的县级以上地方人民政府水行政主管部门或者流域管理机构提出入河排污口设置申请。</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四、《河南省机构改革方案》（豫办〔2018〕29号）</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“将省水利厅入河排污口设置管理职能划转省生态环境厅。”"</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申请材料：</w:t>
      </w:r>
    </w:p>
    <w:p>
      <w:pPr>
        <w:keepNext w:val="0"/>
        <w:keepLines w:val="0"/>
        <w:pageBreakBefore w:val="0"/>
        <w:widowControl/>
        <w:numPr>
          <w:ilvl w:val="0"/>
          <w:numId w:val="1"/>
        </w:numPr>
        <w:kinsoku/>
        <w:wordWrap/>
        <w:overflowPunct/>
        <w:topLinePunct w:val="0"/>
        <w:autoSpaceDE/>
        <w:autoSpaceDN/>
        <w:bidi w:val="0"/>
        <w:adjustRightInd w:val="0"/>
        <w:snapToGrid w:val="0"/>
        <w:spacing w:line="360" w:lineRule="auto"/>
        <w:ind w:left="425" w:leftChars="0" w:hanging="425" w:firstLineChars="0"/>
        <w:jc w:val="both"/>
        <w:textAlignment w:val="auto"/>
        <w:rPr>
          <w:rFonts w:hint="eastAsia" w:ascii="宋体" w:hAnsi="宋体" w:eastAsia="宋体" w:cs="宋体"/>
          <w:sz w:val="28"/>
          <w:szCs w:val="28"/>
        </w:rPr>
      </w:pPr>
      <w:r>
        <w:rPr>
          <w:rFonts w:hint="eastAsia" w:ascii="宋体" w:hAnsi="宋体" w:eastAsia="宋体" w:cs="宋体"/>
          <w:sz w:val="28"/>
          <w:szCs w:val="28"/>
        </w:rPr>
        <w:t>入河排污口设置论证报告书</w:t>
      </w:r>
    </w:p>
    <w:p>
      <w:pPr>
        <w:keepNext w:val="0"/>
        <w:keepLines w:val="0"/>
        <w:pageBreakBefore w:val="0"/>
        <w:widowControl/>
        <w:numPr>
          <w:ilvl w:val="0"/>
          <w:numId w:val="1"/>
        </w:numPr>
        <w:kinsoku/>
        <w:wordWrap/>
        <w:overflowPunct/>
        <w:topLinePunct w:val="0"/>
        <w:autoSpaceDE/>
        <w:autoSpaceDN/>
        <w:bidi w:val="0"/>
        <w:adjustRightInd w:val="0"/>
        <w:snapToGrid w:val="0"/>
        <w:spacing w:line="360" w:lineRule="auto"/>
        <w:ind w:left="425" w:leftChars="0" w:hanging="425" w:firstLineChars="0"/>
        <w:jc w:val="both"/>
        <w:textAlignment w:val="auto"/>
        <w:rPr>
          <w:rFonts w:hint="eastAsia" w:ascii="宋体" w:hAnsi="宋体" w:eastAsia="宋体" w:cs="宋体"/>
          <w:sz w:val="28"/>
          <w:szCs w:val="28"/>
        </w:rPr>
      </w:pPr>
      <w:r>
        <w:rPr>
          <w:rFonts w:hint="eastAsia" w:ascii="宋体" w:hAnsi="宋体" w:eastAsia="宋体" w:cs="宋体"/>
          <w:sz w:val="28"/>
          <w:szCs w:val="28"/>
        </w:rPr>
        <w:t>建设项目依据文件</w:t>
      </w:r>
    </w:p>
    <w:p>
      <w:pPr>
        <w:keepNext w:val="0"/>
        <w:keepLines w:val="0"/>
        <w:pageBreakBefore w:val="0"/>
        <w:widowControl/>
        <w:numPr>
          <w:ilvl w:val="0"/>
          <w:numId w:val="1"/>
        </w:numPr>
        <w:kinsoku/>
        <w:wordWrap/>
        <w:overflowPunct/>
        <w:topLinePunct w:val="0"/>
        <w:autoSpaceDE/>
        <w:autoSpaceDN/>
        <w:bidi w:val="0"/>
        <w:adjustRightInd w:val="0"/>
        <w:snapToGrid w:val="0"/>
        <w:spacing w:line="360" w:lineRule="auto"/>
        <w:ind w:left="425" w:leftChars="0" w:hanging="425" w:firstLineChars="0"/>
        <w:jc w:val="both"/>
        <w:textAlignment w:val="auto"/>
        <w:rPr>
          <w:rFonts w:hint="eastAsia" w:ascii="宋体" w:hAnsi="宋体" w:eastAsia="宋体" w:cs="宋体"/>
          <w:sz w:val="28"/>
          <w:szCs w:val="28"/>
        </w:rPr>
      </w:pPr>
      <w:r>
        <w:rPr>
          <w:rFonts w:hint="eastAsia" w:ascii="宋体" w:hAnsi="宋体" w:eastAsia="宋体" w:cs="宋体"/>
          <w:sz w:val="28"/>
          <w:szCs w:val="28"/>
        </w:rPr>
        <w:t>入河排污口设置申请书</w:t>
      </w:r>
    </w:p>
    <w:p>
      <w:pPr>
        <w:keepNext w:val="0"/>
        <w:keepLines w:val="0"/>
        <w:pageBreakBefore w:val="0"/>
        <w:widowControl/>
        <w:numPr>
          <w:ilvl w:val="0"/>
          <w:numId w:val="1"/>
        </w:numPr>
        <w:kinsoku/>
        <w:wordWrap/>
        <w:overflowPunct/>
        <w:topLinePunct w:val="0"/>
        <w:autoSpaceDE/>
        <w:autoSpaceDN/>
        <w:bidi w:val="0"/>
        <w:adjustRightInd w:val="0"/>
        <w:snapToGrid w:val="0"/>
        <w:spacing w:line="360" w:lineRule="auto"/>
        <w:ind w:left="425" w:leftChars="0" w:hanging="425" w:firstLineChars="0"/>
        <w:jc w:val="both"/>
        <w:textAlignment w:val="auto"/>
        <w:rPr>
          <w:rFonts w:hint="eastAsia" w:ascii="宋体" w:hAnsi="宋体" w:eastAsia="宋体" w:cs="宋体"/>
          <w:sz w:val="28"/>
          <w:szCs w:val="28"/>
        </w:rPr>
      </w:pPr>
      <w:r>
        <w:rPr>
          <w:rFonts w:hint="eastAsia" w:ascii="宋体" w:hAnsi="宋体" w:eastAsia="宋体" w:cs="宋体"/>
          <w:sz w:val="28"/>
          <w:szCs w:val="28"/>
        </w:rPr>
        <w:t>入河排污口设置申请书</w:t>
      </w:r>
    </w:p>
    <w:p>
      <w:pPr>
        <w:keepNext w:val="0"/>
        <w:keepLines w:val="0"/>
        <w:pageBreakBefore w:val="0"/>
        <w:widowControl/>
        <w:numPr>
          <w:ilvl w:val="0"/>
          <w:numId w:val="1"/>
        </w:numPr>
        <w:kinsoku/>
        <w:wordWrap/>
        <w:overflowPunct/>
        <w:topLinePunct w:val="0"/>
        <w:autoSpaceDE/>
        <w:autoSpaceDN/>
        <w:bidi w:val="0"/>
        <w:adjustRightInd w:val="0"/>
        <w:snapToGrid w:val="0"/>
        <w:spacing w:line="360" w:lineRule="auto"/>
        <w:ind w:left="425" w:leftChars="0" w:hanging="425" w:firstLineChars="0"/>
        <w:jc w:val="both"/>
        <w:textAlignment w:val="auto"/>
        <w:rPr>
          <w:rFonts w:hint="eastAsia" w:ascii="宋体" w:hAnsi="宋体" w:eastAsia="宋体" w:cs="宋体"/>
          <w:sz w:val="28"/>
          <w:szCs w:val="28"/>
        </w:rPr>
      </w:pPr>
      <w:r>
        <w:rPr>
          <w:rFonts w:hint="eastAsia" w:ascii="宋体" w:hAnsi="宋体" w:eastAsia="宋体" w:cs="宋体"/>
          <w:sz w:val="28"/>
          <w:szCs w:val="28"/>
        </w:rPr>
        <w:t>入河排污口设置论证报告书</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法定时限：</w:t>
      </w:r>
    </w:p>
    <w:p>
      <w:pPr>
        <w:adjustRightInd/>
        <w:snapToGrid/>
        <w:spacing w:after="0"/>
        <w:jc w:val="both"/>
        <w:rPr>
          <w:rFonts w:hint="eastAsia" w:ascii="宋体" w:hAnsi="宋体" w:eastAsia="宋体" w:cs="宋体"/>
          <w:color w:val="000000"/>
          <w:sz w:val="28"/>
          <w:szCs w:val="28"/>
        </w:rPr>
      </w:pPr>
      <w:r>
        <w:rPr>
          <w:rFonts w:hint="eastAsia" w:ascii="宋体" w:hAnsi="宋体" w:eastAsia="宋体" w:cs="宋体"/>
          <w:color w:val="000000"/>
          <w:sz w:val="28"/>
          <w:szCs w:val="28"/>
          <w:lang w:val="en-US" w:eastAsia="zh-CN"/>
        </w:rPr>
        <w:t>20</w:t>
      </w:r>
      <w:r>
        <w:rPr>
          <w:rFonts w:hint="eastAsia" w:ascii="宋体" w:hAnsi="宋体" w:eastAsia="宋体" w:cs="宋体"/>
          <w:color w:val="000000"/>
          <w:sz w:val="28"/>
          <w:szCs w:val="28"/>
        </w:rPr>
        <w:t>个工作日</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承诺时限：</w:t>
      </w:r>
    </w:p>
    <w:p>
      <w:pPr>
        <w:adjustRightInd/>
        <w:snapToGrid/>
        <w:spacing w:after="0"/>
        <w:jc w:val="both"/>
        <w:rPr>
          <w:rFonts w:hint="eastAsia" w:ascii="宋体" w:hAnsi="宋体" w:eastAsia="宋体" w:cs="宋体"/>
          <w:color w:val="000000"/>
          <w:sz w:val="28"/>
          <w:szCs w:val="28"/>
        </w:rPr>
      </w:pPr>
      <w:r>
        <w:rPr>
          <w:rFonts w:hint="eastAsia" w:ascii="宋体" w:hAnsi="宋体" w:eastAsia="宋体" w:cs="宋体"/>
          <w:color w:val="000000"/>
          <w:sz w:val="28"/>
          <w:szCs w:val="28"/>
          <w:lang w:val="en-US" w:eastAsia="zh-CN"/>
        </w:rPr>
        <w:t>2</w:t>
      </w:r>
      <w:r>
        <w:rPr>
          <w:rFonts w:hint="eastAsia" w:ascii="宋体" w:hAnsi="宋体" w:eastAsia="宋体" w:cs="宋体"/>
          <w:color w:val="000000"/>
          <w:sz w:val="28"/>
          <w:szCs w:val="28"/>
        </w:rPr>
        <w:t>个工作日</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收费标准：</w:t>
      </w:r>
    </w:p>
    <w:p>
      <w:pPr>
        <w:adjustRightInd/>
        <w:snapToGrid/>
        <w:spacing w:after="0"/>
        <w:jc w:val="both"/>
        <w:rPr>
          <w:rFonts w:hint="eastAsia" w:ascii="宋体" w:hAnsi="宋体" w:eastAsia="宋体" w:cs="宋体"/>
          <w:color w:val="000000"/>
          <w:sz w:val="28"/>
          <w:szCs w:val="28"/>
        </w:rPr>
      </w:pPr>
      <w:r>
        <w:rPr>
          <w:rFonts w:hint="eastAsia" w:ascii="宋体" w:hAnsi="宋体" w:eastAsia="宋体" w:cs="宋体"/>
          <w:color w:val="000000"/>
          <w:sz w:val="28"/>
          <w:szCs w:val="28"/>
        </w:rPr>
        <w:t>否</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咨询电话：</w:t>
      </w:r>
    </w:p>
    <w:p>
      <w:pPr>
        <w:spacing w:line="220" w:lineRule="atLeast"/>
        <w:jc w:val="both"/>
        <w:rPr>
          <w:rFonts w:hint="eastAsia" w:ascii="宋体" w:hAnsi="宋体" w:eastAsia="宋体" w:cs="宋体"/>
          <w:color w:val="000000"/>
          <w:sz w:val="28"/>
          <w:szCs w:val="28"/>
        </w:rPr>
      </w:pPr>
      <w:r>
        <w:rPr>
          <w:rFonts w:hint="eastAsia" w:ascii="宋体" w:hAnsi="宋体" w:eastAsia="宋体" w:cs="宋体"/>
          <w:color w:val="000000"/>
          <w:sz w:val="28"/>
          <w:szCs w:val="28"/>
        </w:rPr>
        <w:t>固话咨询:0377-61388056</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投诉电话：</w:t>
      </w:r>
    </w:p>
    <w:p>
      <w:pPr>
        <w:spacing w:line="220" w:lineRule="atLeast"/>
        <w:jc w:val="both"/>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固话投诉:0377-31387687  </w:t>
      </w:r>
    </w:p>
    <w:p>
      <w:pPr>
        <w:adjustRightInd/>
        <w:snapToGrid/>
        <w:spacing w:after="0"/>
        <w:jc w:val="both"/>
        <w:rPr>
          <w:rFonts w:hint="eastAsia" w:ascii="黑体" w:hAnsi="黑体" w:eastAsia="黑体" w:cs="黑体"/>
          <w:b/>
          <w:sz w:val="30"/>
          <w:szCs w:val="30"/>
        </w:rPr>
      </w:pPr>
      <w:r>
        <w:rPr>
          <w:rFonts w:hint="eastAsia" w:ascii="黑体" w:hAnsi="黑体" w:eastAsia="黑体" w:cs="黑体"/>
          <w:b/>
          <w:sz w:val="30"/>
          <w:szCs w:val="30"/>
        </w:rPr>
        <w:t>办理地址：</w:t>
      </w:r>
    </w:p>
    <w:p>
      <w:pPr>
        <w:spacing w:line="220" w:lineRule="atLeast"/>
        <w:ind w:firstLine="560" w:firstLineChars="200"/>
        <w:jc w:val="both"/>
        <w:rPr>
          <w:rFonts w:hint="eastAsia"/>
          <w:b/>
        </w:rPr>
      </w:pPr>
      <w:r>
        <w:rPr>
          <w:rFonts w:hint="eastAsia" w:ascii="宋体" w:hAnsi="宋体" w:eastAsia="宋体" w:cs="宋体"/>
          <w:color w:val="000000"/>
          <w:sz w:val="28"/>
          <w:szCs w:val="28"/>
        </w:rPr>
        <w:t>南阳市宛城区（县）仲景街道范蠡东路1666号3号楼一楼北厅综合服务区室（窗口）</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公交线路指引：</w:t>
      </w:r>
    </w:p>
    <w:p>
      <w:pPr>
        <w:spacing w:line="220" w:lineRule="atLeast"/>
        <w:jc w:val="both"/>
        <w:rPr>
          <w:rFonts w:hint="eastAsia" w:ascii="宋体" w:hAnsi="宋体" w:eastAsia="宋体" w:cs="宋体"/>
          <w:color w:val="000000"/>
          <w:sz w:val="28"/>
          <w:szCs w:val="28"/>
        </w:rPr>
      </w:pPr>
      <w:r>
        <w:rPr>
          <w:rFonts w:hint="eastAsia" w:ascii="宋体" w:hAnsi="宋体" w:eastAsia="宋体" w:cs="宋体"/>
          <w:color w:val="000000"/>
          <w:sz w:val="28"/>
          <w:szCs w:val="28"/>
        </w:rPr>
        <w:t>公交路线：6路 、14路</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结果领取方式：</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ascii="宋体" w:hAnsi="宋体" w:eastAsia="宋体" w:cs="宋体"/>
          <w:color w:val="000000"/>
        </w:rPr>
      </w:pPr>
      <w:r>
        <w:rPr>
          <w:rFonts w:hint="eastAsia" w:ascii="宋体" w:hAnsi="宋体" w:eastAsia="宋体" w:cs="宋体"/>
          <w:color w:val="000000"/>
          <w:sz w:val="28"/>
          <w:szCs w:val="28"/>
        </w:rPr>
        <w:t>窗口领取</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流程环节：</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color w:val="000000"/>
          <w:sz w:val="28"/>
          <w:szCs w:val="28"/>
        </w:rPr>
      </w:pPr>
      <w:r>
        <w:rPr>
          <w:rFonts w:hint="eastAsia" w:ascii="宋体" w:hAnsi="宋体" w:eastAsia="宋体" w:cs="宋体"/>
          <w:color w:val="000000"/>
          <w:sz w:val="28"/>
          <w:szCs w:val="28"/>
        </w:rPr>
        <w:t>"（1）申请：申请人通过政务服务网、移动端和实体大厅进行事项的申请，提交有关申请材料和反映真实情况，并对其申请材料实质内容的真实性负责。</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color w:val="000000"/>
          <w:sz w:val="28"/>
          <w:szCs w:val="28"/>
        </w:rPr>
      </w:pPr>
      <w:r>
        <w:rPr>
          <w:rFonts w:hint="eastAsia" w:ascii="宋体" w:hAnsi="宋体" w:eastAsia="宋体" w:cs="宋体"/>
          <w:color w:val="000000"/>
          <w:sz w:val="28"/>
          <w:szCs w:val="28"/>
        </w:rPr>
        <w:t>（2）受理：工作人员通过窗口或河南政务服务网接收申报材料，所交材料不齐全或不符合法定要求的，签发《一次性告知书》。如所交材料存在可以当场更正的错误，申请人可当场更正。如所交材料齐全，应当场做出是否受理决定，并签发《受理通知书》或《不予受理通知书》。</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color w:val="000000"/>
          <w:sz w:val="28"/>
          <w:szCs w:val="28"/>
        </w:rPr>
      </w:pPr>
      <w:r>
        <w:rPr>
          <w:rFonts w:hint="eastAsia" w:ascii="宋体" w:hAnsi="宋体" w:eastAsia="宋体" w:cs="宋体"/>
          <w:color w:val="000000"/>
          <w:sz w:val="28"/>
          <w:szCs w:val="28"/>
        </w:rPr>
        <w:t>（3）审查：在受理申报材料后，由办理科室对内容进行审查。如有必要，启动特殊环节进行辅助审查。</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color w:val="000000"/>
          <w:sz w:val="28"/>
          <w:szCs w:val="28"/>
        </w:rPr>
      </w:pPr>
      <w:r>
        <w:rPr>
          <w:rFonts w:hint="eastAsia" w:ascii="宋体" w:hAnsi="宋体" w:eastAsia="宋体" w:cs="宋体"/>
          <w:color w:val="000000"/>
          <w:sz w:val="28"/>
          <w:szCs w:val="28"/>
        </w:rPr>
        <w:t>（4）决定：在办理科室审查完成后，实施部门应在承诺时限内作出是否同意申请事项的决定。作出准予审批（办理）决定的，签发审批办理结果；作出不予审批（办理）决定的，签发《不予审批（办理）告知单》。</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宋体" w:hAnsi="宋体" w:eastAsia="宋体" w:cs="宋体"/>
          <w:color w:val="000000"/>
          <w:sz w:val="28"/>
          <w:szCs w:val="28"/>
        </w:rPr>
      </w:pPr>
      <w:r>
        <w:rPr>
          <w:rFonts w:hint="eastAsia" w:ascii="宋体" w:hAnsi="宋体" w:eastAsia="宋体" w:cs="宋体"/>
          <w:color w:val="000000"/>
          <w:sz w:val="28"/>
          <w:szCs w:val="28"/>
        </w:rPr>
        <w:t>（5）送达：实施机关作出决定当日应通知申请人，及时向申请人颁发、送达审批服务事项办理结果。"</w:t>
      </w:r>
    </w:p>
    <w:p>
      <w:pPr>
        <w:spacing w:line="220" w:lineRule="atLeast"/>
        <w:jc w:val="both"/>
        <w:rPr>
          <w:rFonts w:hint="eastAsia" w:ascii="黑体" w:hAnsi="黑体" w:eastAsia="黑体" w:cs="黑体"/>
          <w:b/>
          <w:sz w:val="30"/>
          <w:szCs w:val="30"/>
        </w:rPr>
      </w:pPr>
      <w:r>
        <w:rPr>
          <w:rFonts w:hint="eastAsia" w:ascii="黑体" w:hAnsi="黑体" w:eastAsia="黑体" w:cs="黑体"/>
          <w:b/>
          <w:sz w:val="30"/>
          <w:szCs w:val="30"/>
        </w:rPr>
        <w:t>流程图：</w:t>
      </w:r>
    </w:p>
    <w:p>
      <w:pPr>
        <w:spacing w:line="220" w:lineRule="atLeast"/>
        <w:jc w:val="center"/>
      </w:pPr>
    </w:p>
    <w:p>
      <w:bookmarkStart w:id="0" w:name="_GoBack"/>
      <w:r>
        <w:drawing>
          <wp:inline distT="0" distB="0" distL="114300" distR="114300">
            <wp:extent cx="3954780" cy="5026025"/>
            <wp:effectExtent l="0" t="0" r="762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3954780" cy="5026025"/>
                    </a:xfrm>
                    <a:prstGeom prst="rect">
                      <a:avLst/>
                    </a:prstGeom>
                    <a:noFill/>
                    <a:ln>
                      <a:noFill/>
                    </a:ln>
                  </pic:spPr>
                </pic:pic>
              </a:graphicData>
            </a:graphic>
          </wp:inline>
        </w:drawing>
      </w:r>
      <w:bookmarkEnd w:id="0"/>
    </w:p>
    <w:p/>
    <w:sectPr>
      <w:pgSz w:w="11906" w:h="16838"/>
      <w:pgMar w:top="1440" w:right="1800" w:bottom="1440" w:left="1800" w:header="708" w:footer="708"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7632A0"/>
    <w:multiLevelType w:val="singleLevel"/>
    <w:tmpl w:val="FF7632A0"/>
    <w:lvl w:ilvl="0" w:tentative="0">
      <w:start w:val="1"/>
      <w:numFmt w:val="decimal"/>
      <w:lvlText w:val="%1."/>
      <w:lvlJc w:val="left"/>
      <w:pPr>
        <w:ind w:left="425" w:hanging="425"/>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C2403EA"/>
    <w:rsid w:val="4C2403E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spacing w:after="200" w:line="240" w:lineRule="auto"/>
    </w:pPr>
    <w:rPr>
      <w:rFonts w:ascii="Tahoma" w:hAnsi="Tahoma" w:eastAsia="微软雅黑" w:cstheme="minorBidi"/>
      <w:sz w:val="22"/>
      <w:szCs w:val="22"/>
      <w:lang w:val="en-US" w:eastAsia="zh-CN" w:bidi="ar-SA"/>
    </w:rPr>
  </w:style>
  <w:style w:type="character" w:default="1" w:styleId="3">
    <w:name w:val="Default Paragraph Font"/>
    <w:semiHidden/>
    <w:uiPriority w:val="0"/>
  </w:style>
  <w:style w:type="table" w:default="1" w:styleId="2">
    <w:name w:val="Normal Table"/>
    <w:semiHidden/>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其他</Company>
  <Pages>1</Pages>
  <Words>0</Words>
  <Characters>0</Characters>
  <Lines>0</Lines>
  <Paragraphs>0</Paragraphs>
  <TotalTime>4</TotalTime>
  <ScaleCrop>false</ScaleCrop>
  <LinksUpToDate>false</LinksUpToDate>
  <CharactersWithSpaces>0</CharactersWithSpaces>
  <Application>WPS Office_11.8.2.8875_F1E327BC-269C-435d-A152-05C5408002CA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2020-12-05T11:17:00Z</dcterms:created>
  <dc:creator>Administrator</dc:creator>
  <cp:lastModifiedBy>Administrator</cp:lastModifiedBy>
  <dcterms:modified xsi:type="dcterms:W3CDTF">2020-12-05T11:23:11Z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