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废弃电器电子产品处理资格许可证新申请</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废弃电器电子产品处理资格许可证新申请</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废弃电器电子产品回收处理管理条例》（2009年2月25日国务院令第551号）第六条：国家对度弃电器电子产品处理实行资格许可制度。设区的市级人民政府环境保护主管部门审批废弃电器电子产品处理企业（以下简称处理企业）资格。第二十四条：申请废弃电器电子产品处理资格，应当向所在地的设区的市级人民政府环境保护主管部门提交书面申请，并提供相关证明材料。受理申请的环境保护主管部门应当自收到完整的申请材料之日起60日内完成审查，作出准予许可或者不予许可的决定。</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《废弃电器电子产品处理资格申请书》（新申请）</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废弃电器电子产品处理资格申请书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所在地县（区）环保部门出具的初审意见</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专家评审意见</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废弃电器电子产品处理资格申请证明材料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所在地县（区）环保部门出具的初审意见</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废弃电器电子产品处理资格申请证明材料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符合本地区废弃电器电子产品处理发展规划的证明文件</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专家评审意见</w:t>
      </w:r>
    </w:p>
    <w:p>
      <w:pPr>
        <w:numPr>
          <w:ilvl w:val="0"/>
          <w:numId w:val="1"/>
        </w:numPr>
        <w:spacing w:line="220" w:lineRule="atLeast"/>
        <w:ind w:left="425" w:leftChars="0" w:hanging="425" w:firstLineChars="0"/>
        <w:jc w:val="both"/>
        <w:rPr>
          <w:rFonts w:hint="eastAsia" w:ascii="黑体" w:hAnsi="黑体" w:eastAsia="黑体" w:cs="黑体"/>
          <w:b/>
          <w:sz w:val="30"/>
          <w:szCs w:val="30"/>
        </w:rPr>
      </w:pPr>
      <w:r>
        <w:rPr>
          <w:rFonts w:hint="eastAsia" w:ascii="宋体" w:hAnsi="宋体" w:eastAsia="宋体" w:cs="宋体"/>
          <w:sz w:val="28"/>
          <w:szCs w:val="28"/>
        </w:rPr>
        <w:t>符合本地区废弃电器电子产品处理发展规划的证明文件</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60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固话咨询:0377-61388022</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固话投诉:0377-61387687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b/>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1路，6路，22路，27路，32路，36路等</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1.受理和公示：市环保局行政服务大厅受理并进行公示（公示10个工作日）；2.审查：市环保局进行审查；3.决定：市环保局审查研究决定，作出确认决定；4.送达：市环保局行政服务大厅通知企业领取办理结果。</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rPr>
          <w:rFonts w:hint="eastAsia" w:ascii="黑体" w:hAnsi="黑体" w:eastAsia="黑体" w:cs="黑体"/>
          <w:b/>
          <w:sz w:val="30"/>
          <w:szCs w:val="30"/>
        </w:rPr>
      </w:pPr>
      <w:r>
        <w:drawing>
          <wp:inline distT="0" distB="0" distL="114300" distR="114300">
            <wp:extent cx="5267325" cy="3030220"/>
            <wp:effectExtent l="0" t="0" r="5715"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7325" cy="3030220"/>
                    </a:xfrm>
                    <a:prstGeom prst="rect">
                      <a:avLst/>
                    </a:prstGeom>
                    <a:noFill/>
                    <a:ln>
                      <a:noFill/>
                    </a:ln>
                  </pic:spPr>
                </pic:pic>
              </a:graphicData>
            </a:graphic>
          </wp:inline>
        </w:drawing>
      </w:r>
      <w:bookmarkStart w:id="0" w:name="_GoBack"/>
      <w:bookmarkEnd w:id="0"/>
    </w:p>
    <w:p>
      <w:pPr>
        <w:spacing w:line="220" w:lineRule="atLeast"/>
        <w:jc w:val="center"/>
      </w:pPr>
    </w:p>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C0747"/>
    <w:multiLevelType w:val="singleLevel"/>
    <w:tmpl w:val="0A5C0747"/>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10599F"/>
    <w:rsid w:val="6D1059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4</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2020-12-05T12:04:00Z</dcterms:created>
  <dc:creator>Administrator</dc:creator>
  <cp:lastModifiedBy>Administrator</cp:lastModifiedBy>
  <dcterms:modified xsi:type="dcterms:W3CDTF">2020-12-05T12:09:04Z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