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黑体" w:hAnsi="黑体" w:eastAsia="黑体" w:cs="黑体"/>
          <w:b/>
          <w:bCs/>
          <w:sz w:val="36"/>
          <w:szCs w:val="36"/>
        </w:rPr>
      </w:pPr>
      <w:r>
        <w:rPr>
          <w:rFonts w:hint="eastAsia" w:ascii="黑体" w:hAnsi="黑体" w:eastAsia="黑体" w:cs="黑体"/>
          <w:b/>
          <w:bCs/>
          <w:sz w:val="36"/>
          <w:szCs w:val="36"/>
        </w:rPr>
        <w:t>市级建设项目环境影响评价文件审批（辐射类报告表）重新报批</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市级建设项目环境影响评价文件审批（辐射类报告表）重新报批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第十六条  </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第二十一条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第二十二条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第二十三条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第二十四条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第二十五条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第二十七条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第二十八条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建设项目环境影响评价文件报批申请</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南阳市市宛城区区（县）仲景街道1666号3号楼417室（窗口）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或者辖区内政务服务大厅进行事项的申请，递交申请所需材料，并保证材料的真实性。（电子版申请材料包括：建设单位正式申请文件；环境影响评价文件；公众参与过程中公开环评文件全文及编制环境影响报告书的建设项目公开公众参与情况说明（过程及结果）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2.受理：网上受理依法应当提交的材料清单；一次性告知补正材料；依法受理或不予受理（不予受理的依法告知理由）。纸质版文件由政务服务中心接受申报材料，所交材料齐全的，签发《受理通知单》。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3.审查：审批科按照《中华人民共和国环境影响评价法》《建设项目环境保护管理条例》等法律、法规、规章、标准规定的各项环境保护要求对材料进行审查。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收到环境影响报告书60个（环境影响报告表30个）工作日内，作出对项目申请报告许可的决定。印发行政许可批复文件（对于不予行政许可的，书面告知申请人，并说明理由）。对批复项目进行公示、公告。</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5.送达：通知企业凭受理通知书领取行政许可办理结果。"</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bookmarkStart w:id="0" w:name="_GoBack"/>
      <w:bookmarkEnd w:id="0"/>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5F197F"/>
    <w:rsid w:val="455F1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2020-12-05T09:57:00Z</dcterms:created>
  <dc:creator>大松鼠</dc:creator>
  <cp:lastModifiedBy>大松鼠</cp:lastModifiedBy>
  <dcterms:modified xsi:type="dcterms:W3CDTF">2020-12-05T09:59:36Z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