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放射性同位</w:t>
      </w:r>
      <w:bookmarkStart w:id="0" w:name="_GoBack"/>
      <w:bookmarkEnd w:id="0"/>
      <w:r>
        <w:rPr>
          <w:rFonts w:hint="eastAsia" w:ascii="黑体" w:hAnsi="黑体" w:eastAsia="黑体" w:cs="黑体"/>
          <w:b/>
          <w:bCs/>
          <w:sz w:val="36"/>
          <w:szCs w:val="36"/>
        </w:rPr>
        <w:t>素出口备案</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放射性同位素出口备案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一、《放射性同位素和射线装置安全和防护条例》（国务院令第449号）第二十一条：“放射性同位素的转出、转入单位应当在转让活动完成之日起20日内，分别向其所在地省、自治区、直辖市人民政府环境保护主管部门备案。” 3.河南省环境保护厅关于做好已下放辐射类建设项目监管工作的通知（豫环文〔2018〕44号）第一条第三款：“放射源进出口备案和转入备案、非密封放射性物质转入备案、放射性药品转入备案，放射源送贮到我省废物库后的备案。”</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二、《放射性同位素与射线装置安全许可管理办法》（原环境保护部令第31号）第二十九条第二款：“进口单位和使用单位应当在进口活动完成之日起20日内，分别将批准的放射性同位素进口审批表报送各自所在地的省级环境保护主管部门。”、第三十条第三款：“出口单位应当在出口活动完成之日起20日内，将放射性同位素出口表报送所在地的省级环境保护主管部门。”、第三十三条：“转入、转出放射性同位素的单位应当在转让活动完成之日起20日内，分别将一份放射性同位素转让审批表报送各自所在地省级环境保护主管部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放射源编码卡</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放射源编码卡或密封放射源出厂证书</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放射性同位素备案表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放射源进出口审批表或转让审批表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备案申请单位的辐射安全许可证正副本</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经审批的放射性同位素的转让审批表或进出口审批表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放射性同位素备案表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经审批的放射性同位素的转让审批表或进出口审批表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备案申请单位的辐射安全许可证正副本</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放射源进出口审批表或转让审批表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放射源编码卡</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放射源编码卡或密封放射源出厂证书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p>
    <w:p>
      <w:pPr>
        <w:spacing w:line="220" w:lineRule="atLeast"/>
        <w:jc w:val="both"/>
        <w:rPr>
          <w:rFonts w:hint="eastAsia" w:ascii="宋体" w:hAnsi="宋体" w:eastAsia="宋体" w:cs="宋体"/>
          <w:b/>
          <w:bCs/>
          <w:color w:val="000000"/>
          <w:sz w:val="28"/>
          <w:szCs w:val="28"/>
        </w:rPr>
      </w:pPr>
      <w:r>
        <w:rPr>
          <w:rFonts w:hint="eastAsia" w:ascii="宋体" w:hAnsi="宋体" w:eastAsia="宋体" w:cs="宋体"/>
          <w:color w:val="000000"/>
          <w:sz w:val="28"/>
          <w:szCs w:val="28"/>
        </w:rPr>
        <w:t>南阳市宛城 区（县）仲景街道1666号3号 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"1.受理：市环保局行政服务大厅进行受理；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2.审查：按规定材料审查；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3.决定：作出决定（对于不予行政备案的，书面告知申请人，并说明理由）；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4.送达：按规定将备案申请表送达当事人。"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62DE11"/>
    <w:multiLevelType w:val="singleLevel"/>
    <w:tmpl w:val="8B62DE1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923CB"/>
    <w:rsid w:val="06C92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8</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2020-12-05T11:38:00Z</dcterms:created>
  <dc:creator>Administrator</dc:creator>
  <cp:lastModifiedBy>Administrator</cp:lastModifiedBy>
  <dcterms:modified xsi:type="dcterms:W3CDTF">2020-12-05T11:46:19Z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