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汇缴</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南阳市住房公积金管理中心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汇缴</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1.《住房公积金管理条例》(国务院令第262号发布,国务院令第350号修订)第十九条 “职工个人缴存的住房公积金，由所在单位每月从其工资中代扣代缴。单位应当于每月发放职工工资之日起5日内将单位缴存的</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河南省住房公积金管理条例》（河南省人民代表大会常务委员会公告第16号）第二十一条“职工个人缴存的住房公积金由单位每月从职工个人的工资中代扣代缴。单位应于每月工资发放之日起五日内将单位缴存的和为职工代缴的住房公积金汇缴到住房公积金专户内，由受委托银行计入职工住房公积金账户。住房公积金自存入受委托银行职工住房公积金账户之日起按照国家规定的利率计息”。</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补缴依据</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经办人身份证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汇缴核定书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住房公积金职工补缴清册</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固话咨询:0377-12329</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固话投诉:0377-63198297 </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南阳市宛城区（县）仲景街道范蠡东路1666号3号楼二楼北厅住房公积金室（窗口） </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63502833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61387612  南阳市范蠡东路1666号市行政审批服务中心二楼北厅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62292208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63595357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69691992  西峡县时代广场南路帝景天城北门2号楼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66912933  南召县人民南路新公共汽车站对面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65916083  镇平县杏山大道与北大街交叉口东北角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66271286  新野县城中兴路与书院路交叉口南侧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67252628  方城县解放路中段便民服务中心东门对面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67989956  社旗县滨河路公园道1号小区西门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68979366  唐河县星江路与解放路交叉口西南角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68223698  桐柏县乙三街与甲七路交叉口东南角香溪安澜园西门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65330596  内乡县工业路与螺狮路交汇处东北角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审查标准：对申请材料进行初步审核。经审核，申请材料齐全、符合法定形式的，决定予以受理。申请材料存在可以当场更正的错误的，应当允许有权更正人当场予以更正，由更正人在更正处签名或盖章、注明更正日期；经确认申请材料齐全，符合法定形式的，应当决定予以受理。申请材料不齐全或者不符合法定形式的，应当当场告知申请人需要补正的全部内容。不属于本中心管辖范围的事项，应当即时决定不予受理，并告知申请人向有关行政机关申请。；办理结果：1、缴存单位在汇缴月份有人员增减变动，由经办人员携带相关资料，至南阳住房公积金管理中心各服务窗口，由窗口人员进行职工人员变动</w:t>
      </w:r>
      <w:bookmarkStart w:id="0" w:name="_GoBack"/>
      <w:bookmarkEnd w:id="0"/>
      <w:r>
        <w:rPr>
          <w:rFonts w:hint="eastAsia" w:ascii="宋体" w:hAnsi="宋体" w:eastAsia="宋体" w:cs="宋体"/>
          <w:color w:val="000000"/>
          <w:sz w:val="28"/>
          <w:szCs w:val="28"/>
        </w:rPr>
        <w:t>的相关业务处理，并进行该月份的汇缴核定。</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环节名称：决定；审查标准：到账资金与核定金额相符入账，不符退回。；办理结果：2、窗口前台人员根据到账资金进行汇缴入账。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p>
    <w:p>
      <w:pPr>
        <w:spacing w:line="220" w:lineRule="atLeast"/>
        <w:jc w:val="both"/>
      </w:pPr>
      <w:r>
        <w:drawing>
          <wp:inline distT="0" distB="0" distL="114300" distR="114300">
            <wp:extent cx="5263515" cy="2654935"/>
            <wp:effectExtent l="0" t="0" r="1333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3515" cy="2654935"/>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FD9F68"/>
    <w:multiLevelType w:val="singleLevel"/>
    <w:tmpl w:val="97FD9F68"/>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0023AF"/>
    <w:rsid w:val="01C23EEB"/>
    <w:rsid w:val="03D721B0"/>
    <w:rsid w:val="05DF725B"/>
    <w:rsid w:val="09BD77FC"/>
    <w:rsid w:val="18230913"/>
    <w:rsid w:val="25195F34"/>
    <w:rsid w:val="3159201C"/>
    <w:rsid w:val="3C8500DD"/>
    <w:rsid w:val="3E1E2576"/>
    <w:rsid w:val="46C92176"/>
    <w:rsid w:val="4B805015"/>
    <w:rsid w:val="576D1E67"/>
    <w:rsid w:val="59AC68F5"/>
    <w:rsid w:val="5CF44725"/>
    <w:rsid w:val="73926547"/>
    <w:rsid w:val="79C1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44</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2020-12-05T06:50:06Z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