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缴存基数调整</w:t>
      </w:r>
    </w:p>
    <w:p>
      <w:pPr>
        <w:spacing w:line="220" w:lineRule="atLeast"/>
        <w:jc w:val="center"/>
        <w:rPr>
          <w:rFonts w:hint="eastAsia" w:ascii="黑体" w:hAnsi="黑体" w:eastAsia="黑体" w:cs="黑体"/>
          <w:b/>
          <w:bCs/>
          <w:sz w:val="36"/>
          <w:szCs w:val="36"/>
        </w:rPr>
      </w:pP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缴存基数调整</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住房公积金管理条例》（国务院令第262号发布，国务院令第350号修订）第十八条“职工和单位住房公积金的缴存比例均不得低于职工上一年度月平均工资的5%。有条件的城市，可以适当提高缴存比例。具体缴存比例由住房公积金管理委员会拟订，经本级人民政府审核后，报省、自治区、直辖市人民政府批准”。</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2.《河南省住房公积金管理条例》（河南省人民代表大会常务委员会公告第16号）第二十条“职工住房公积金的缴存基数，每年核定一次”。</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职工工资表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住房公积金缴存核定表 </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职工工资表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住房公积金缴存基数调整申请表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经办人身份证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中华人民共和国居民身份证</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固话咨询:0377-63198297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固话投诉:0377-63198270</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南阳市市宛城区区（县）范蠡街道；市直管理部：范蠡东路市行政审批服务中心二楼北厅；范蠡路700号市住房公积金管理中心二楼服务大厅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卧龙管理部：光武路与百里奚路交叉口向西先锋橡树湾小区楼下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：孔明路与杜诗路交汇处向南西天麒家园1666号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方城管理部：城关镇解放路中段便民服务中心东门对面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社旗管理部：滨河路公园道1号小区</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桐柏管理部：乙三街与甲七路交叉口东南角香溪安澜园</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b/>
        </w:rPr>
      </w:pPr>
      <w:r>
        <w:rPr>
          <w:rFonts w:hint="eastAsia" w:ascii="宋体" w:hAnsi="宋体" w:eastAsia="宋体" w:cs="宋体"/>
          <w:color w:val="000000"/>
          <w:sz w:val="28"/>
          <w:szCs w:val="28"/>
        </w:rPr>
        <w:t>新野管理部：城中兴路与书院路交叉口南</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审查标准：对申请材料进行初步审核。经审核，申请材料齐全、符合法定形式的，决定予以受理。申请材料存在可以当场更正的错误的，应当允许有权更正人当场予以更正，由更正人在更正处签名或盖章、注明更正日期；经确认申请材料齐全，符合法定形式的，应当决定予以受理。申请材料不齐全或者不符合法定形式的，应当当场告知申请人需要补正的全部内容。不属于本中心管辖范围的事项，应当即时决定不予受理，并告知申请人向有关行政机关申请。；办理结果：由单位经办人携带本指南规定的相关资料，至南阳市住房公积金管理中心各服务窗口，由窗口人员进行资料受理。</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；审查标准：提交材料是否齐全、是否符合法定形式；材料需要核实</w:t>
      </w:r>
      <w:bookmarkStart w:id="0" w:name="_GoBack"/>
      <w:bookmarkEnd w:id="0"/>
      <w:r>
        <w:rPr>
          <w:rFonts w:hint="eastAsia" w:ascii="宋体" w:hAnsi="宋体" w:eastAsia="宋体" w:cs="宋体"/>
          <w:color w:val="000000"/>
          <w:sz w:val="28"/>
          <w:szCs w:val="28"/>
        </w:rPr>
        <w:t>的，核实相关材料。；办理结果：对于审查通过的，予以当场办理；审查不通过的，退回材料并告知原因。</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5273675" cy="2746375"/>
            <wp:effectExtent l="0" t="0" r="317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675" cy="2746375"/>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21757"/>
    <w:multiLevelType w:val="singleLevel"/>
    <w:tmpl w:val="5AA2175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3C8500DD"/>
    <w:rsid w:val="3E1E2576"/>
    <w:rsid w:val="4B805015"/>
    <w:rsid w:val="59AC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7</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2020-12-05T06:02:15Z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