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360" w:lineRule="auto"/>
        <w:jc w:val="center"/>
        <w:textAlignment w:val="auto"/>
        <w:rPr>
          <w:rFonts w:hint="eastAsia" w:ascii="黑体" w:hAnsi="黑体" w:eastAsia="黑体" w:cs="黑体"/>
          <w:b/>
          <w:bCs/>
          <w:sz w:val="36"/>
          <w:szCs w:val="36"/>
        </w:rPr>
      </w:pPr>
      <w:r>
        <w:rPr>
          <w:rFonts w:hint="eastAsia" w:ascii="黑体" w:hAnsi="黑体" w:eastAsia="黑体" w:cs="黑体"/>
          <w:b/>
          <w:bCs/>
          <w:sz w:val="36"/>
          <w:szCs w:val="36"/>
        </w:rPr>
        <w:t>缴存比例调整</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南阳市住房公积金管理中心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适用范围：</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缴存比例调整</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其他职权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numPr>
          <w:ilvl w:val="0"/>
          <w:numId w:val="0"/>
        </w:numPr>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住房公积金管理条例》（国务院令第262号发布，国务院令第350号修订）第十八条“职工和单位住房公积金的缴存比例均不得低于职工上一年度月平均工资的5%。有条件的城市，可以适当提高缴存比例。具体缴存比例由住房公积金管理委员会拟订，经本级人民政府审核后，报省、自治区、直辖市人民政府批准”。</w:t>
      </w:r>
    </w:p>
    <w:p>
      <w:pPr>
        <w:keepNext w:val="0"/>
        <w:keepLines w:val="0"/>
        <w:pageBreakBefore w:val="0"/>
        <w:widowControl/>
        <w:numPr>
          <w:ilvl w:val="0"/>
          <w:numId w:val="0"/>
        </w:numPr>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2.《河南省住房公积金管理条例》（河南省人民代表大会常务委员会公告第16号）第二十条“职工住房公积金的缴存基数，每年核定一次”。</w:t>
      </w:r>
    </w:p>
    <w:p>
      <w:pPr>
        <w:keepNext w:val="0"/>
        <w:keepLines w:val="0"/>
        <w:pageBreakBefore w:val="0"/>
        <w:widowControl/>
        <w:numPr>
          <w:ilvl w:val="0"/>
          <w:numId w:val="0"/>
        </w:numPr>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住房公积金缴存比例调整申请表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经办人身份证</w:t>
      </w:r>
    </w:p>
    <w:p>
      <w:pPr>
        <w:keepNext w:val="0"/>
        <w:keepLines w:val="0"/>
        <w:pageBreakBefore w:val="0"/>
        <w:widowControl/>
        <w:numPr>
          <w:ilvl w:val="0"/>
          <w:numId w:val="0"/>
        </w:numPr>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法定时限：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承诺时限：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收费标准：</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咨询电话：</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固话咨询:0377-63198297    </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投诉电话：</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固话投诉:0377-63198207</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南阳市宛城区（县）范蠡街道；市直管理部：范蠡东路市行政审批服务中心二楼北厅；范蠡路市住房公积金管理中心二楼综合服务大厅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卧龙管理部：光武路与百里奚路交叉口向西先锋橡树湾小区楼下</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宛城管理部 ：孔明路与杜诗路交汇处向南西天麒家园</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镇平管理部 ：杏山大道与北大街交叉口东北角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内乡管理部 ：工业路与螺狮路交汇处东北角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西峡管理部 ：时代广场南路帝景天城北门2号楼</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南召管理部：人民南路新公共汽车站对面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方城管理部：城关镇解放路中段便民服务中心东门对面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社旗管理部：滨河路公园道1号小区西门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唐河管理部：星江路与解放路交叉口西南角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桐柏管理部：乙三街与甲七路交叉口东南角香溪安澜园西门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新野管理部：城中兴路与书院路交叉口南</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市直管理部 63502833  南阳市范蠡路700号市住房公积金管理中心二楼综合服务大厅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市直管理部 61387612  南阳市范蠡东路1666号市行政审批服务中心二楼北厅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卧龙管理部 62292208  南阳市光武路与百里奚路交叉口向西500米路南先锋橡树湾小区楼下</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宛城管理部 63595357  南阳市孔明路与杜诗路交汇处向南400米路西天麒家园1666号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西峡管理部 69691992  西峡县时代广场南路帝景天城北门2号楼</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南召管理部 66912933  南召县人民南路新公共汽车站对面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镇平管理部 65916083  镇平县杏山大道与北大街交叉口东北角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新野管理部 66271286  新野县城中兴路与书院路交叉口南侧</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方城管理部 67252628  方城县解放路中段便民服务中心东门对面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社旗管理部 67989956  社旗县滨河路公园道1号小区西门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唐河管理部 68979366  唐河县星江路与解放路交叉口西南角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桐柏管理部 68223698  桐柏县乙三街与甲七路交叉口东南角香溪安澜园西门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内乡管理部 65330596  内乡县工业路与螺狮路交汇处东北角</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审查标准：对申请材料进行初步审核。经审核，申请材料齐全、符合法定形式的，决定予以受理。申请材料存在可以当场更正的错误的，应当允许有权更正人当场予以更正，由更正人在更正处签名或盖章、注明更正日期；经确认申请材料齐全，符合法定形式的，应当决定予以受理。申请材料不齐全或者不符合法定形式的，应当当场告知申请人需要补正的全部内容。不属于本中心管辖范围的事项，应当即时决定不予受理，并告知申请人向有关行政机关申请。；办理结果：由单位经办人携带本指南规定的相关资料，至南阳市住房公积金管理中心各服务窗口，由窗口人员进行资料受理。</w:t>
      </w:r>
      <w:bookmarkStart w:id="0" w:name="_GoBack"/>
      <w:bookmarkEnd w:id="0"/>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；审查标准：提交材料是否齐全、是否符合法定形式；材料需要核实的，核实相关材料。；办理结果：对于审查通过的，予以当场办理；审查不通过的，退回材料并告知原因。</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rPr>
          <w:rFonts w:hint="eastAsia" w:ascii="黑体" w:hAnsi="黑体" w:eastAsia="黑体" w:cs="黑体"/>
          <w:b/>
          <w:sz w:val="30"/>
          <w:szCs w:val="30"/>
        </w:rPr>
      </w:pPr>
      <w:r>
        <w:drawing>
          <wp:inline distT="0" distB="0" distL="114300" distR="114300">
            <wp:extent cx="5273675" cy="2746375"/>
            <wp:effectExtent l="0" t="0" r="3175" b="158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3675" cy="2746375"/>
                    </a:xfrm>
                    <a:prstGeom prst="rect">
                      <a:avLst/>
                    </a:prstGeom>
                    <a:noFill/>
                    <a:ln>
                      <a:noFill/>
                    </a:ln>
                  </pic:spPr>
                </pic:pic>
              </a:graphicData>
            </a:graphic>
          </wp:inline>
        </w:drawing>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30C5F30"/>
    <w:multiLevelType w:val="singleLevel"/>
    <w:tmpl w:val="F30C5F30"/>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10023AF"/>
    <w:rsid w:val="01780125"/>
    <w:rsid w:val="01C23EEB"/>
    <w:rsid w:val="03D721B0"/>
    <w:rsid w:val="05DF725B"/>
    <w:rsid w:val="073875A2"/>
    <w:rsid w:val="08A116C7"/>
    <w:rsid w:val="09BD77FC"/>
    <w:rsid w:val="0C937913"/>
    <w:rsid w:val="17640FEF"/>
    <w:rsid w:val="18230913"/>
    <w:rsid w:val="1C3C0BAA"/>
    <w:rsid w:val="21EA6F67"/>
    <w:rsid w:val="25195F34"/>
    <w:rsid w:val="27640B38"/>
    <w:rsid w:val="2C714EFD"/>
    <w:rsid w:val="2E945870"/>
    <w:rsid w:val="3159201C"/>
    <w:rsid w:val="3B3C1036"/>
    <w:rsid w:val="3C8500DD"/>
    <w:rsid w:val="3E1E2576"/>
    <w:rsid w:val="43EA5560"/>
    <w:rsid w:val="45237B12"/>
    <w:rsid w:val="45495480"/>
    <w:rsid w:val="46C92176"/>
    <w:rsid w:val="4B805015"/>
    <w:rsid w:val="576D1E67"/>
    <w:rsid w:val="57B8309D"/>
    <w:rsid w:val="59AC68F5"/>
    <w:rsid w:val="5CF44725"/>
    <w:rsid w:val="6AE07934"/>
    <w:rsid w:val="6B301C46"/>
    <w:rsid w:val="73926547"/>
    <w:rsid w:val="7834403E"/>
    <w:rsid w:val="79C17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18</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2020-12-05T08:07:13Z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