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体育类民办非企业单位名称变更的审查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体育类民办非企业单位名称变更的审查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【行政法规】《民办非企业单位登记管理暂行条例》（国务院令第251号）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第八条申请登记民办非企业单位，应当具备下列条件：</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（一）经业务主管单位审查同意；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【规章】《体育类民办非企业单位登记审查与管理暂行办法》（国家体育总局、民政部令第5号）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民办非企业单位变更登记申请表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南阳市体育类民办非企业单位法定代表人登记表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南阳市体育类民办非企业单位变更申请表</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固话咨询:0377-63159337</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；办理人：审核岗；办理时限：2；审查标准：在受理申报材料后，由体育产业科对内容进行审查。如有必要，启动特殊环节进行辅助审查。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5；审查标准：在体育产业科审查完成后，南阳市体育局应在承诺时限内作出是否同意申请事项的决定。作出准予审批（办理）决定的，签发审批办理结果；作出不予审批（办理）决定的，签发《不予审批（办理）告知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环节名称：送达 ；办理人：送达岗；办理</w:t>
      </w:r>
      <w:bookmarkStart w:id="0" w:name="_GoBack"/>
      <w:bookmarkEnd w:id="0"/>
      <w:r>
        <w:rPr>
          <w:rFonts w:hint="eastAsia" w:ascii="宋体" w:hAnsi="宋体" w:eastAsia="宋体" w:cs="宋体"/>
          <w:color w:val="000000"/>
          <w:sz w:val="28"/>
          <w:szCs w:val="28"/>
        </w:rPr>
        <w:t>时限：1；审查标准：南阳市体育局作出决定当日应通知申请人，及时向申请人颁发、送达审批服务事项办理结果。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drawing>
          <wp:inline distT="0" distB="0" distL="114300" distR="114300">
            <wp:extent cx="3293745" cy="4660265"/>
            <wp:effectExtent l="0" t="0" r="190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293745" cy="4660265"/>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185373"/>
    <w:multiLevelType w:val="singleLevel"/>
    <w:tmpl w:val="A518537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81630D0"/>
    <w:rsid w:val="0DA02AD6"/>
    <w:rsid w:val="28F55D32"/>
    <w:rsid w:val="29D873EF"/>
    <w:rsid w:val="2C216AB3"/>
    <w:rsid w:val="362B699B"/>
    <w:rsid w:val="3C8500DD"/>
    <w:rsid w:val="3E1E2576"/>
    <w:rsid w:val="59AC68F5"/>
    <w:rsid w:val="5BFD24F5"/>
    <w:rsid w:val="5C873C32"/>
    <w:rsid w:val="5FA01947"/>
    <w:rsid w:val="74DA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0</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2020-12-05T02:39:35Z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