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b/>
          <w:bCs/>
          <w:sz w:val="36"/>
          <w:szCs w:val="36"/>
        </w:rPr>
      </w:pPr>
      <w:r>
        <w:rPr>
          <w:rFonts w:hint="eastAsia" w:ascii="黑体" w:hAnsi="黑体" w:eastAsia="黑体" w:cs="黑体"/>
          <w:b/>
          <w:bCs/>
          <w:sz w:val="36"/>
          <w:szCs w:val="36"/>
        </w:rPr>
        <w:t>二级社会体育指导员审批</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二级社会体育指导员审批</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行政确认</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《社会体育指导员管理办法》（国家体育总局令第16号）第十四条各级体育主管部门或经批准的协会按照社会体育指导员等级标准，批准授予相应社会体育指导员称号：</w:t>
      </w:r>
    </w:p>
    <w:p>
      <w:pPr>
        <w:keepNext w:val="0"/>
        <w:keepLines w:val="0"/>
        <w:pageBreakBefore w:val="0"/>
        <w:widowControl/>
        <w:numPr>
          <w:ilvl w:val="0"/>
          <w:numId w:val="1"/>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县级体育主管部门批准授予三级社会体育指导员技术等级称号；</w:t>
      </w:r>
    </w:p>
    <w:p>
      <w:pPr>
        <w:keepNext w:val="0"/>
        <w:keepLines w:val="0"/>
        <w:pageBreakBefore w:val="0"/>
        <w:widowControl/>
        <w:numPr>
          <w:ilvl w:val="0"/>
          <w:numId w:val="0"/>
        </w:numPr>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（二）地（市）级体育主管部门或经批准的省级协会批准授予二级社会体育指导员技术等级称号；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（三）省级体育主管部门或经批准的全国性协会批准授予一级社会体育指导员技术等级称号；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（四）国家体育总局批准授予国家级社会体育指导员技术等级称号。</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社会体育指导员技术等级称号申请审批表一份</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一寸免冠照片</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继续培训、工作交流和展示活动的佐证材料</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社会体育指导员技术等级称号申请审批表</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身份证复印件一份</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社会体育指导员技术等级培训合格证书复印件一份</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一寸免冠照片</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社会体育指导员培训合格证书</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继续培训、工作交流和展示活动的佐证材料</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社会体育指导员原技术等级证书复印件（晋升人员）一份</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社会体育指导员培训合格证书</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高等体育专业学历、体育教师、职业社会体育指导员、教练员、优秀运动员资质证书复印件（特许人员）一份</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2"/>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社会体育指导员技术等级称号申请审批表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固话咨询:0377-63186631 </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南阳市卧龙区（县）中州路街道291号3楼333室（窗口）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中州路市政府站公交站（6路、14路、26路、28路）</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窗口领取</w:t>
      </w:r>
      <w:bookmarkStart w:id="0" w:name="_GoBack"/>
      <w:bookmarkEnd w:id="0"/>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；办理人：审核岗；办理时限：30；审查标准：在受理申报材料后，由群众体育科对内容进行审查。如有必要，启动特殊环节进行辅助审查。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12；审查标准：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both"/>
        <w:rPr>
          <w:rFonts w:hint="eastAsia" w:ascii="黑体" w:hAnsi="黑体" w:eastAsia="黑体" w:cs="黑体"/>
          <w:b/>
          <w:sz w:val="30"/>
          <w:szCs w:val="30"/>
        </w:rPr>
      </w:pPr>
      <w:r>
        <w:drawing>
          <wp:inline distT="0" distB="0" distL="114300" distR="114300">
            <wp:extent cx="5162550" cy="70580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162550" cy="7058025"/>
                    </a:xfrm>
                    <a:prstGeom prst="rect">
                      <a:avLst/>
                    </a:prstGeom>
                    <a:noFill/>
                    <a:ln>
                      <a:noFill/>
                    </a:ln>
                  </pic:spPr>
                </pic:pic>
              </a:graphicData>
            </a:graphic>
          </wp:inline>
        </w:drawing>
      </w:r>
    </w:p>
    <w:p>
      <w:pPr>
        <w:spacing w:line="220" w:lineRule="atLeast"/>
        <w:jc w:val="cente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DDF259"/>
    <w:multiLevelType w:val="singleLevel"/>
    <w:tmpl w:val="CCDDF259"/>
    <w:lvl w:ilvl="0" w:tentative="0">
      <w:start w:val="1"/>
      <w:numFmt w:val="decimal"/>
      <w:lvlText w:val="%1."/>
      <w:lvlJc w:val="left"/>
      <w:pPr>
        <w:ind w:left="425" w:hanging="425"/>
      </w:pPr>
      <w:rPr>
        <w:rFonts w:hint="default"/>
      </w:rPr>
    </w:lvl>
  </w:abstractNum>
  <w:abstractNum w:abstractNumId="1">
    <w:nsid w:val="EB5AFB2F"/>
    <w:multiLevelType w:val="singleLevel"/>
    <w:tmpl w:val="EB5AFB2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29D873EF"/>
    <w:rsid w:val="3C8500DD"/>
    <w:rsid w:val="3E1E2576"/>
    <w:rsid w:val="42114852"/>
    <w:rsid w:val="59AC68F5"/>
    <w:rsid w:val="5FA01947"/>
    <w:rsid w:val="721B0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13</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2020-12-05T02:17:45Z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