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20" w:lineRule="atLeast"/>
        <w:jc w:val="both"/>
        <w:rPr>
          <w:rFonts w:hint="eastAsia" w:ascii="黑体" w:hAnsi="黑体" w:eastAsia="黑体" w:cs="黑体"/>
          <w:b/>
          <w:bCs/>
          <w:sz w:val="36"/>
          <w:szCs w:val="36"/>
        </w:rPr>
      </w:pPr>
      <w:r>
        <w:rPr>
          <w:rFonts w:hint="eastAsia" w:ascii="黑体" w:hAnsi="黑体" w:eastAsia="黑体" w:cs="黑体"/>
          <w:b/>
          <w:bCs/>
          <w:sz w:val="36"/>
          <w:szCs w:val="36"/>
        </w:rPr>
        <w:t>涉及国家安全事项的建设项目审批（立项选址阶段）</w:t>
      </w:r>
    </w:p>
    <w:p>
      <w:pPr>
        <w:spacing w:line="220" w:lineRule="atLeast"/>
        <w:jc w:val="both"/>
        <w:rPr>
          <w:rFonts w:hint="eastAsia" w:ascii="黑体" w:hAnsi="黑体" w:eastAsia="黑体" w:cs="黑体"/>
          <w:b/>
          <w:bCs/>
          <w:sz w:val="36"/>
          <w:szCs w:val="36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jc w:val="both"/>
        <w:textAlignment w:val="auto"/>
        <w:rPr>
          <w:rFonts w:hint="eastAsia" w:ascii="黑体" w:hAnsi="黑体" w:eastAsia="黑体" w:cs="黑体"/>
          <w:b/>
          <w:sz w:val="30"/>
          <w:szCs w:val="30"/>
          <w:lang w:eastAsia="zh-CN"/>
        </w:rPr>
      </w:pPr>
      <w:r>
        <w:rPr>
          <w:rFonts w:hint="eastAsia" w:ascii="黑体" w:hAnsi="黑体" w:eastAsia="黑体" w:cs="黑体"/>
          <w:b/>
          <w:sz w:val="30"/>
          <w:szCs w:val="30"/>
        </w:rPr>
        <w:t>实施主体：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南阳市国家安全局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jc w:val="both"/>
        <w:textAlignment w:val="auto"/>
        <w:rPr>
          <w:rFonts w:hint="eastAsia" w:ascii="黑体" w:hAnsi="黑体" w:eastAsia="黑体" w:cs="黑体"/>
          <w:b/>
          <w:sz w:val="30"/>
          <w:szCs w:val="30"/>
        </w:rPr>
      </w:pPr>
      <w:r>
        <w:rPr>
          <w:rFonts w:hint="eastAsia" w:ascii="黑体" w:hAnsi="黑体" w:eastAsia="黑体" w:cs="黑体"/>
          <w:b/>
          <w:sz w:val="30"/>
          <w:szCs w:val="30"/>
        </w:rPr>
        <w:t>适用范围：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涉及国家安全事项的建设项目审批（立项选址阶段）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jc w:val="both"/>
        <w:textAlignment w:val="auto"/>
        <w:rPr>
          <w:rFonts w:hint="eastAsia" w:ascii="黑体" w:hAnsi="黑体" w:eastAsia="黑体" w:cs="黑体"/>
          <w:b/>
          <w:sz w:val="30"/>
          <w:szCs w:val="30"/>
        </w:rPr>
      </w:pPr>
      <w:r>
        <w:rPr>
          <w:rFonts w:hint="eastAsia" w:ascii="黑体" w:hAnsi="黑体" w:eastAsia="黑体" w:cs="黑体"/>
          <w:b/>
          <w:sz w:val="30"/>
          <w:szCs w:val="30"/>
        </w:rPr>
        <w:t>事项类别：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行政许可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jc w:val="both"/>
        <w:textAlignment w:val="auto"/>
        <w:rPr>
          <w:rFonts w:hint="eastAsia" w:ascii="黑体" w:hAnsi="黑体" w:eastAsia="黑体" w:cs="黑体"/>
          <w:b/>
          <w:sz w:val="30"/>
          <w:szCs w:val="30"/>
        </w:rPr>
      </w:pPr>
      <w:r>
        <w:rPr>
          <w:rFonts w:hint="eastAsia" w:ascii="黑体" w:hAnsi="黑体" w:eastAsia="黑体" w:cs="黑体"/>
          <w:b/>
          <w:sz w:val="30"/>
          <w:szCs w:val="30"/>
        </w:rPr>
        <w:t>实施依据：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1.《国家安全法》第59条： “国家建立国家安全审查和监管的制度和机制，对影响或者可能影响国家安全的外商投资、特定物项和关键技术、网络信息技术产品和服务、涉及国家安全事项的建设项目，以及其他重大事项和活动，进行国家安全审查，有效预防和化解国家安全风险。”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2.《国务院对确需保留的行政审批项目设定行政许可的决定》（国务院令第412号）附件第66项：“涉及国家安全事项的建设项目审批，实施机关为安全部、地方各级国家安全机关。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3.《河南省国家安全技术保卫条例》第四条：“国家安全机关对新建、改建、扩建的下列建设项目进行涉及国家安全事项审批：（一）国际机场、出入境口岸、火车站、邮政枢纽、电信枢纽、海关；（二）省辖市以上国家机关、军事设施、重点科研单位和军工企事业单位等重点部门、重点部位周边安全控制区范围内的宾馆饭店、写字楼、公寓、别墅、度假村、厂房等建筑物、构筑物；（三）法律、行政法规规定应当进行涉及国家安全事项审批的其他建设项目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jc w:val="both"/>
        <w:textAlignment w:val="auto"/>
        <w:rPr>
          <w:rFonts w:hint="eastAsia" w:ascii="黑体" w:hAnsi="黑体" w:eastAsia="黑体" w:cs="黑体"/>
          <w:b/>
          <w:sz w:val="30"/>
          <w:szCs w:val="30"/>
        </w:rPr>
      </w:pPr>
      <w:r>
        <w:rPr>
          <w:rFonts w:hint="eastAsia" w:ascii="黑体" w:hAnsi="黑体" w:eastAsia="黑体" w:cs="黑体"/>
          <w:b/>
          <w:sz w:val="30"/>
          <w:szCs w:val="30"/>
        </w:rPr>
        <w:t>申请材料：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425" w:leftChars="0"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涉及的变更、转移合同和政府批文（土地转移变更）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425" w:leftChars="0"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土地转移变更合同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425" w:leftChars="0"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原土地产权资料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425" w:leftChars="0"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涉及土地双方的统一信用代码证、营业执照或组织机构代码证、身份证复印件（土地转移变更）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425" w:leftChars="0"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审查申请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425" w:leftChars="0"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原土地产权资料（土地转移变更）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425" w:leftChars="0"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中华人民共和国居民身份证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425" w:leftChars="0"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统一社会信用代码证书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425" w:leftChars="0"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土地使用权挂牌出让文件（土地竞拍）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425" w:leftChars="0"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涉及国家安全事项的立项选址审查申请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425" w:leftChars="0"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审查申请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425" w:leftChars="0"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土地转移变更批文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425" w:leftChars="0"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土地使用权挂牌出让文件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425" w:leftChars="0"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申请方统一信用代码、营业执照或组织机构代码证、申请人身份证复印件（土地竞拍）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jc w:val="both"/>
        <w:textAlignment w:val="auto"/>
        <w:rPr>
          <w:rFonts w:hint="eastAsia" w:ascii="黑体" w:hAnsi="黑体" w:eastAsia="黑体" w:cs="黑体"/>
          <w:b/>
          <w:sz w:val="30"/>
          <w:szCs w:val="30"/>
        </w:rPr>
      </w:pPr>
      <w:r>
        <w:rPr>
          <w:rFonts w:hint="eastAsia" w:ascii="黑体" w:hAnsi="黑体" w:eastAsia="黑体" w:cs="黑体"/>
          <w:b/>
          <w:sz w:val="30"/>
          <w:szCs w:val="30"/>
        </w:rPr>
        <w:t>法定时限：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  <w:lang w:val="en-US" w:eastAsia="zh-CN"/>
        </w:rPr>
        <w:t>20</w:t>
      </w:r>
      <w:r>
        <w:rPr>
          <w:rFonts w:hint="eastAsia" w:ascii="宋体" w:hAnsi="宋体" w:eastAsia="宋体" w:cs="宋体"/>
          <w:color w:val="000000"/>
          <w:sz w:val="28"/>
          <w:szCs w:val="28"/>
        </w:rPr>
        <w:t>个工作日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jc w:val="both"/>
        <w:textAlignment w:val="auto"/>
        <w:rPr>
          <w:rFonts w:hint="eastAsia" w:ascii="黑体" w:hAnsi="黑体" w:eastAsia="黑体" w:cs="黑体"/>
          <w:b/>
          <w:sz w:val="30"/>
          <w:szCs w:val="30"/>
        </w:rPr>
      </w:pPr>
      <w:r>
        <w:rPr>
          <w:rFonts w:hint="eastAsia" w:ascii="黑体" w:hAnsi="黑体" w:eastAsia="黑体" w:cs="黑体"/>
          <w:b/>
          <w:sz w:val="30"/>
          <w:szCs w:val="30"/>
        </w:rPr>
        <w:t>承诺时限：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  <w:lang w:val="en-US" w:eastAsia="zh-CN"/>
        </w:rPr>
        <w:t>5</w:t>
      </w:r>
      <w:r>
        <w:rPr>
          <w:rFonts w:hint="eastAsia" w:ascii="宋体" w:hAnsi="宋体" w:eastAsia="宋体" w:cs="宋体"/>
          <w:color w:val="000000"/>
          <w:sz w:val="28"/>
          <w:szCs w:val="28"/>
        </w:rPr>
        <w:t>个工作日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jc w:val="both"/>
        <w:textAlignment w:val="auto"/>
        <w:rPr>
          <w:rFonts w:hint="eastAsia" w:ascii="黑体" w:hAnsi="黑体" w:eastAsia="黑体" w:cs="黑体"/>
          <w:b/>
          <w:sz w:val="30"/>
          <w:szCs w:val="30"/>
        </w:rPr>
      </w:pPr>
      <w:r>
        <w:rPr>
          <w:rFonts w:hint="eastAsia" w:ascii="黑体" w:hAnsi="黑体" w:eastAsia="黑体" w:cs="黑体"/>
          <w:b/>
          <w:sz w:val="30"/>
          <w:szCs w:val="30"/>
        </w:rPr>
        <w:t>收费标准：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否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jc w:val="both"/>
        <w:textAlignment w:val="auto"/>
        <w:rPr>
          <w:rFonts w:hint="eastAsia" w:ascii="黑体" w:hAnsi="黑体" w:eastAsia="黑体" w:cs="黑体"/>
          <w:b/>
          <w:sz w:val="30"/>
          <w:szCs w:val="30"/>
        </w:rPr>
      </w:pPr>
      <w:r>
        <w:rPr>
          <w:rFonts w:hint="eastAsia" w:ascii="黑体" w:hAnsi="黑体" w:eastAsia="黑体" w:cs="黑体"/>
          <w:b/>
          <w:sz w:val="30"/>
          <w:szCs w:val="30"/>
        </w:rPr>
        <w:t>咨询电话：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 xml:space="preserve">固话咨询:0377-63281122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jc w:val="both"/>
        <w:textAlignment w:val="auto"/>
        <w:rPr>
          <w:rFonts w:hint="eastAsia" w:ascii="黑体" w:hAnsi="黑体" w:eastAsia="黑体" w:cs="黑体"/>
          <w:b/>
          <w:sz w:val="30"/>
          <w:szCs w:val="30"/>
        </w:rPr>
      </w:pPr>
      <w:r>
        <w:rPr>
          <w:rFonts w:hint="eastAsia" w:ascii="黑体" w:hAnsi="黑体" w:eastAsia="黑体" w:cs="黑体"/>
          <w:b/>
          <w:sz w:val="30"/>
          <w:szCs w:val="30"/>
        </w:rPr>
        <w:t>投诉电话：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固话投诉:0377-63201777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both"/>
        <w:textAlignment w:val="auto"/>
        <w:rPr>
          <w:rFonts w:hint="eastAsia" w:ascii="黑体" w:hAnsi="黑体" w:eastAsia="黑体" w:cs="黑体"/>
          <w:b/>
          <w:sz w:val="30"/>
          <w:szCs w:val="30"/>
        </w:rPr>
      </w:pPr>
      <w:r>
        <w:rPr>
          <w:rFonts w:hint="eastAsia" w:ascii="黑体" w:hAnsi="黑体" w:eastAsia="黑体" w:cs="黑体"/>
          <w:b/>
          <w:sz w:val="30"/>
          <w:szCs w:val="30"/>
        </w:rPr>
        <w:t>办理地址：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ind w:firstLine="560" w:firstLineChars="200"/>
        <w:jc w:val="both"/>
        <w:textAlignment w:val="auto"/>
        <w:rPr>
          <w:rFonts w:hint="eastAsia"/>
          <w:b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南阳市宛城区（县）仲景街道范蠡东路1666号3号楼二楼北厅工程建设项目综合受理区室（窗口）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jc w:val="both"/>
        <w:textAlignment w:val="auto"/>
        <w:rPr>
          <w:rFonts w:hint="eastAsia" w:ascii="黑体" w:hAnsi="黑体" w:eastAsia="黑体" w:cs="黑体"/>
          <w:b/>
          <w:sz w:val="30"/>
          <w:szCs w:val="30"/>
        </w:rPr>
      </w:pPr>
      <w:r>
        <w:rPr>
          <w:rFonts w:hint="eastAsia" w:ascii="黑体" w:hAnsi="黑体" w:eastAsia="黑体" w:cs="黑体"/>
          <w:b/>
          <w:sz w:val="30"/>
          <w:szCs w:val="30"/>
        </w:rPr>
        <w:t>公交线路指引：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市内坐1、6、15、30、34、35、36路公交车到范蠡路南阳市民服务中心站下车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jc w:val="both"/>
        <w:textAlignment w:val="auto"/>
        <w:rPr>
          <w:rFonts w:hint="eastAsia" w:ascii="黑体" w:hAnsi="黑体" w:eastAsia="黑体" w:cs="黑体"/>
          <w:b/>
          <w:sz w:val="30"/>
          <w:szCs w:val="30"/>
        </w:rPr>
      </w:pPr>
      <w:r>
        <w:rPr>
          <w:rFonts w:hint="eastAsia" w:ascii="黑体" w:hAnsi="黑体" w:eastAsia="黑体" w:cs="黑体"/>
          <w:b/>
          <w:sz w:val="30"/>
          <w:szCs w:val="30"/>
        </w:rPr>
        <w:t>结果领取方式：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560" w:firstLineChars="200"/>
        <w:jc w:val="both"/>
        <w:textAlignment w:val="auto"/>
        <w:rPr>
          <w:rFonts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窗口领取或邮寄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jc w:val="both"/>
        <w:textAlignment w:val="auto"/>
        <w:rPr>
          <w:rFonts w:hint="eastAsia" w:ascii="黑体" w:hAnsi="黑体" w:eastAsia="黑体" w:cs="黑体"/>
          <w:b/>
          <w:sz w:val="30"/>
          <w:szCs w:val="30"/>
        </w:rPr>
      </w:pPr>
      <w:r>
        <w:rPr>
          <w:rFonts w:hint="eastAsia" w:ascii="黑体" w:hAnsi="黑体" w:eastAsia="黑体" w:cs="黑体"/>
          <w:b/>
          <w:sz w:val="30"/>
          <w:szCs w:val="30"/>
        </w:rPr>
        <w:t>流程环节：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（1）申请：申请人通过实体大厅进行事项申请，提交有关申请材料和反映真实情况，并对其申请材料实质内容的真实性负责。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（2）受理：工作人员通过窗口接收申报材料，所交材料不齐全或不符合法定要求的，签发《一次性告知书》。如所交材料存在可以当场更正的错误，申请人可当场更正。如所交材料齐全，应当场作出是否受理决定，并签发《受理通知书》或《不予受理通知书》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（3）审查：在受理申报材料后，由办理处室对内容进行审查。如有必要，启动特殊环节进行辅助审查。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（4）决定：在办理处室审查完成后，实施部门应在承诺时限内做出是否同意申请事项的决定。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360" w:lineRule="auto"/>
        <w:ind w:firstLine="560" w:firstLineChars="200"/>
        <w:jc w:val="both"/>
        <w:textAlignment w:val="auto"/>
        <w:rPr>
          <w:rFonts w:hint="eastAsia" w:ascii="宋体" w:hAnsi="宋体" w:eastAsia="宋体" w:cs="宋体"/>
          <w:color w:val="00000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sz w:val="28"/>
          <w:szCs w:val="28"/>
        </w:rPr>
        <w:t>（5）送达：实施机关做出决定当日应通知申请人，及时向申请人颁发、送达审批服务事项办理结果。</w:t>
      </w:r>
    </w:p>
    <w:p>
      <w:pPr>
        <w:spacing w:line="220" w:lineRule="atLeast"/>
        <w:jc w:val="both"/>
        <w:rPr>
          <w:rFonts w:hint="eastAsia" w:ascii="黑体" w:hAnsi="黑体" w:eastAsia="黑体" w:cs="黑体"/>
          <w:b/>
          <w:sz w:val="30"/>
          <w:szCs w:val="30"/>
        </w:rPr>
      </w:pPr>
      <w:r>
        <w:rPr>
          <w:rFonts w:hint="eastAsia" w:ascii="黑体" w:hAnsi="黑体" w:eastAsia="黑体" w:cs="黑体"/>
          <w:b/>
          <w:sz w:val="30"/>
          <w:szCs w:val="30"/>
        </w:rPr>
        <w:t>流程图：</w:t>
      </w:r>
      <w:bookmarkStart w:id="0" w:name="_GoBack"/>
      <w:bookmarkEnd w:id="0"/>
    </w:p>
    <w:p>
      <w:pPr>
        <w:spacing w:line="220" w:lineRule="atLeast"/>
        <w:jc w:val="both"/>
      </w:pPr>
      <w:r>
        <w:drawing>
          <wp:inline distT="0" distB="0" distL="114300" distR="114300">
            <wp:extent cx="5269865" cy="6219190"/>
            <wp:effectExtent l="0" t="0" r="698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21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E819056"/>
    <w:multiLevelType w:val="singleLevel"/>
    <w:tmpl w:val="AE819056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D50"/>
    <w:rsid w:val="00305E97"/>
    <w:rsid w:val="00323B43"/>
    <w:rsid w:val="003D37D8"/>
    <w:rsid w:val="00426133"/>
    <w:rsid w:val="004358AB"/>
    <w:rsid w:val="00472BD2"/>
    <w:rsid w:val="00487BB5"/>
    <w:rsid w:val="0067741C"/>
    <w:rsid w:val="00767782"/>
    <w:rsid w:val="007F1FFB"/>
    <w:rsid w:val="008B7726"/>
    <w:rsid w:val="008C50DD"/>
    <w:rsid w:val="009E1355"/>
    <w:rsid w:val="00A82E11"/>
    <w:rsid w:val="00AB4444"/>
    <w:rsid w:val="00B37EFB"/>
    <w:rsid w:val="00C63849"/>
    <w:rsid w:val="00C82EE8"/>
    <w:rsid w:val="00D31D50"/>
    <w:rsid w:val="00D65702"/>
    <w:rsid w:val="00DF21AA"/>
    <w:rsid w:val="00E61428"/>
    <w:rsid w:val="00E6154D"/>
    <w:rsid w:val="00EA4EB0"/>
    <w:rsid w:val="00EB2C69"/>
    <w:rsid w:val="00EE17D2"/>
    <w:rsid w:val="00F65DC8"/>
    <w:rsid w:val="05DF725B"/>
    <w:rsid w:val="169C077C"/>
    <w:rsid w:val="2A7A1910"/>
    <w:rsid w:val="3C8500DD"/>
    <w:rsid w:val="3E1E2576"/>
    <w:rsid w:val="571D62CD"/>
    <w:rsid w:val="59AC68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="微软雅黑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qFormat/>
    <w:uiPriority w:val="99"/>
    <w:pPr>
      <w:spacing w:after="0"/>
    </w:pPr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rFonts w:ascii="Tahoma" w:hAnsi="Tahoma"/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rFonts w:ascii="Tahoma" w:hAnsi="Tahoma"/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customStyle="1" w:styleId="10">
    <w:name w:val="批注框文本 Char"/>
    <w:basedOn w:val="6"/>
    <w:link w:val="2"/>
    <w:semiHidden/>
    <w:qFormat/>
    <w:uiPriority w:val="99"/>
    <w:rPr>
      <w:rFonts w:ascii="Tahoma" w:hAnsi="Tahoma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176</Words>
  <Characters>1004</Characters>
  <Lines>8</Lines>
  <Paragraphs>2</Paragraphs>
  <TotalTime>4</TotalTime>
  <ScaleCrop>false</ScaleCrop>
  <LinksUpToDate>false</LinksUpToDate>
  <CharactersWithSpaces>1178</CharactersWithSpaces>
  <Application>WPS Office_11.1.0.8808_F1E327BC-269C-435d-A152-05C5408002CA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2008-09-11T17:20:00Z</dcterms:created>
  <dc:creator>Administrator</dc:creator>
  <cp:lastModifiedBy>Administrator</cp:lastModifiedBy>
  <dcterms:modified xsi:type="dcterms:W3CDTF">2020-12-05T04:39:48Z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2052-11.1.0.8808</vt:lpwstr>
  </property>
</Properties>
</file>