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建立古树名木档案和标记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南阳市城市管理局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sz w:val="28"/>
          <w:szCs w:val="28"/>
        </w:rPr>
        <w:t>建立古树名木档案和标记</w:t>
      </w:r>
    </w:p>
    <w:bookmarkEnd w:id="0"/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行政确认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【行政法规】《城市绿化条例》（国务院令第100号）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第二十四条 百年以上树龄的树木,稀有?珍贵树木,具有历史价值或者重要纪念意义的树木,均属古树名木?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对城市古树名木实行统一管理,分别养护?城市人民政府城市绿化行政主管部门,应当建立古树名木的档案和标志,划定保护范围,加强养护管理?在单位管界内或者私人庭院内的古树名木,由该单位或者居民负责养护,城市人民政府城市绿化行政主管部门负责监督和技术指导?</w:t>
      </w:r>
    </w:p>
    <w:p>
      <w:pPr>
        <w:spacing w:line="220" w:lineRule="atLeast"/>
        <w:ind w:firstLine="56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严禁砍伐或者迁移古树名木?因特殊需要迁移古树名木,必须经城市人民政府城市绿化行政主管部门审查同意,并报同级或者上级人民政府批准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古树名木建档资料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古树名木位置图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古树名木现状说明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申请表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固话咨询:0377-61387686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固话投诉:0377-61688023 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市内乘车路线:1路、6路、14路、22路、30路、32路、35路、36路到南阳市民服务中心站下车;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窗口领取或邮寄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办理人：受理；办理时限：现场办理；审查标准：对申请材料进行初步审核，经审核，申请材料齐全，符合法定形式的，予以受理，申请材料存在可以当场更正的错误，应当允许有权更正人予以更正，由更正人在更正出签名或盖章（注明更正日期）；确认申请材料齐全，符合法定形式的，应当予以受理，申请材料不全或不符合法定形式，应当当场告知申请人需要补正的内容。；办理结果：接收申报材料，所交材料齐全的，签发《材料接收凭证》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所交材料不齐全或不符合法定要求的，签发《一次性告知书》。如所交材料存在可以当场更正的错误，申请人可当场更正。如所交材料齐全，签发《受理通知书》或《不予受理通知书》。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申请材料不齐，愿意容缺受理的，签订《申请容缺承诺书》后出具《容缺受理通知书》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补正时限内不能补齐容缺材料的，签发《容缺受理终止办理通知书》并承担后果。；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 ；办理人：审核；办理时限：现场办理；审查标准：对申请事项的地点现状进行现场勘查，现场勘查是否符合法定形式。；办理结果：现场勘查是否符合法定形式，书写勘查记录。；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环节名称：送达 ；办理人：送达；办理时限：现场办理；审查标准：根据申请人选择，当场或快递送达决定书；办理结果：准予许可决定书；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</w:pPr>
      <w:r>
        <w:drawing>
          <wp:inline distT="0" distB="0" distL="114300" distR="114300">
            <wp:extent cx="4495800" cy="641604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41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EF95B5B"/>
    <w:multiLevelType w:val="singleLevel"/>
    <w:tmpl w:val="DEF95B5B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3C8500DD"/>
    <w:rsid w:val="3E1E2576"/>
    <w:rsid w:val="487C65EB"/>
    <w:rsid w:val="58B928BD"/>
    <w:rsid w:val="59AC68F5"/>
    <w:rsid w:val="68572F5E"/>
    <w:rsid w:val="6BB60F6B"/>
    <w:rsid w:val="71D7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8</TotalTime>
  <ScaleCrop>false</ScaleCrop>
  <LinksUpToDate>false</LinksUpToDate>
  <CharactersWithSpaces>1178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2020-12-05T05:35:13Z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