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r>
        <w:rPr>
          <w:rFonts w:hint="eastAsia" w:ascii="黑体" w:hAnsi="黑体" w:eastAsia="黑体" w:cs="黑体"/>
          <w:b/>
          <w:bCs/>
          <w:sz w:val="36"/>
          <w:szCs w:val="36"/>
        </w:rPr>
        <w:t>对本地高中阶段及以下学校教师申诉的处理（市级）</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南阳市教育局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对本地高中阶段及以下学校教师申诉的处理（市级）</w:t>
      </w:r>
    </w:p>
    <w:p>
      <w:pPr>
        <w:spacing w:line="220" w:lineRule="atLeast"/>
        <w:ind w:firstLine="560" w:firstLineChars="200"/>
        <w:jc w:val="both"/>
        <w:rPr>
          <w:rFonts w:hint="eastAsia" w:ascii="宋体" w:hAnsi="宋体" w:eastAsia="宋体" w:cs="宋体"/>
          <w:sz w:val="28"/>
          <w:szCs w:val="28"/>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spacing w:line="220" w:lineRule="atLeast"/>
        <w:jc w:val="both"/>
        <w:rPr>
          <w:rFonts w:hint="eastAsia" w:ascii="宋体" w:hAnsi="宋体" w:eastAsia="宋体" w:cs="宋体"/>
          <w:sz w:val="28"/>
          <w:szCs w:val="28"/>
        </w:rPr>
      </w:pPr>
      <w:r>
        <w:rPr>
          <w:rFonts w:hint="eastAsia" w:ascii="宋体" w:hAnsi="宋体" w:eastAsia="宋体" w:cs="宋体"/>
          <w:sz w:val="28"/>
          <w:szCs w:val="28"/>
        </w:rPr>
        <w:t>中华人民共和国教师法》第三十九条：教师对学校或者其他教育机构侵犯其合法权益的，或者对学校或者其他教育机构作出的处理不服的，可以向教育行政部门提出申诉，教育行政部门应当在接到申诉的三十日内，作出处理。教师认为当地人民政府有关行政部门侵犯其根据本法规定享有的权利的，可以向同级人民政府或者上一级人民政府有关部门提出申诉，同级人民政府或者上一级人民政府有关部门应当作出处理。</w:t>
      </w:r>
    </w:p>
    <w:p>
      <w:pPr>
        <w:spacing w:line="220" w:lineRule="atLeast"/>
        <w:jc w:val="both"/>
        <w:rPr>
          <w:rFonts w:hint="eastAsia" w:ascii="宋体" w:hAnsi="宋体" w:eastAsia="宋体" w:cs="宋体"/>
          <w:sz w:val="28"/>
          <w:szCs w:val="28"/>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个人申诉申请书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个人申诉申请书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学校处分意见</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教师申诉书</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425" w:leftChars="0" w:hanging="425"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教师申诉书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30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固话咨询:0377-63171559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固话投诉:0377-63137469     </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b/>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3路，13路梅溪路七一路站西200米</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1、申请：教师本人提出申诉</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2、受理：南阳市教育局人事科受理</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3、审查：南阳市教育局人事科组织人员进行审查</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4、决定：南阳市教育局对教师申诉进行裁决</w:t>
      </w:r>
    </w:p>
    <w:p>
      <w:pPr>
        <w:spacing w:line="220" w:lineRule="atLeast"/>
        <w:ind w:firstLine="560" w:firstLineChars="200"/>
        <w:jc w:val="both"/>
        <w:rPr>
          <w:rFonts w:hint="eastAsia" w:ascii="宋体" w:hAnsi="宋体" w:eastAsia="宋体" w:cs="宋体"/>
          <w:sz w:val="28"/>
          <w:szCs w:val="28"/>
        </w:rPr>
      </w:pPr>
    </w:p>
    <w:p>
      <w:pPr>
        <w:spacing w:line="220" w:lineRule="atLeast"/>
        <w:jc w:val="both"/>
        <w:rPr>
          <w:rFonts w:hint="eastAsia" w:ascii="黑体" w:hAnsi="黑体" w:eastAsia="黑体" w:cs="黑体"/>
          <w:b/>
          <w:sz w:val="30"/>
          <w:szCs w:val="3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pStyle w:val="11"/>
      </w:pPr>
      <w:r>
        <w:t>窗体顶端</w:t>
      </w:r>
    </w:p>
    <w:p>
      <w:pPr>
        <w:keepNext w:val="0"/>
        <w:keepLines w:val="0"/>
        <w:widowControl/>
        <w:suppressLineNumbers w:val="0"/>
        <w:pBdr>
          <w:top w:val="none" w:color="auto" w:sz="6" w:space="0"/>
          <w:left w:val="none" w:color="auto" w:sz="0" w:space="0"/>
          <w:bottom w:val="none" w:color="auto" w:sz="0" w:space="0"/>
          <w:right w:val="none" w:color="auto" w:sz="0" w:space="0"/>
        </w:pBdr>
        <w:jc w:val="center"/>
      </w:pPr>
      <w:bookmarkStart w:id="0" w:name="_GoBack"/>
      <w:r>
        <w:rPr>
          <w:rFonts w:ascii="宋体" w:hAnsi="宋体" w:eastAsia="宋体" w:cs="宋体"/>
          <w:kern w:val="0"/>
          <w:sz w:val="24"/>
          <w:szCs w:val="24"/>
          <w:bdr w:val="none" w:color="auto" w:sz="0" w:space="0"/>
          <w:lang w:val="en-US" w:eastAsia="zh-CN" w:bidi="ar"/>
        </w:rPr>
        <w:drawing>
          <wp:inline distT="0" distB="0" distL="114300" distR="114300">
            <wp:extent cx="5160010" cy="6877050"/>
            <wp:effectExtent l="0" t="0" r="254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160010" cy="6877050"/>
                    </a:xfrm>
                    <a:prstGeom prst="rect">
                      <a:avLst/>
                    </a:prstGeom>
                    <a:noFill/>
                    <a:ln w="9525">
                      <a:noFill/>
                    </a:ln>
                  </pic:spPr>
                </pic:pic>
              </a:graphicData>
            </a:graphic>
          </wp:inline>
        </w:drawing>
      </w:r>
      <w:bookmarkEnd w:id="0"/>
    </w:p>
    <w:p>
      <w:pPr>
        <w:pStyle w:val="12"/>
      </w:pPr>
      <w:r>
        <w:t>窗体底端</w:t>
      </w:r>
    </w:p>
    <w:p>
      <w:pPr>
        <w:spacing w:line="220" w:lineRule="atLeast"/>
        <w:jc w:val="both"/>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A33D3"/>
    <w:multiLevelType w:val="singleLevel"/>
    <w:tmpl w:val="398A33D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05E97"/>
    <w:rsid w:val="00323B43"/>
    <w:rsid w:val="003D37D8"/>
    <w:rsid w:val="00426133"/>
    <w:rsid w:val="004358AB"/>
    <w:rsid w:val="00472BD2"/>
    <w:rsid w:val="00487BB5"/>
    <w:rsid w:val="0067741C"/>
    <w:rsid w:val="00767782"/>
    <w:rsid w:val="007F1FFB"/>
    <w:rsid w:val="008B7726"/>
    <w:rsid w:val="008C50DD"/>
    <w:rsid w:val="009E1355"/>
    <w:rsid w:val="00A82E11"/>
    <w:rsid w:val="00AB4444"/>
    <w:rsid w:val="00B37EFB"/>
    <w:rsid w:val="00C63849"/>
    <w:rsid w:val="00C82EE8"/>
    <w:rsid w:val="00D31D50"/>
    <w:rsid w:val="00D65702"/>
    <w:rsid w:val="00DF21AA"/>
    <w:rsid w:val="00E61428"/>
    <w:rsid w:val="00E6154D"/>
    <w:rsid w:val="00EA4EB0"/>
    <w:rsid w:val="00EB2C69"/>
    <w:rsid w:val="00EE17D2"/>
    <w:rsid w:val="00F65DC8"/>
    <w:rsid w:val="05DF725B"/>
    <w:rsid w:val="0A477865"/>
    <w:rsid w:val="174E6186"/>
    <w:rsid w:val="3C8500DD"/>
    <w:rsid w:val="3E1E2576"/>
    <w:rsid w:val="5742054D"/>
    <w:rsid w:val="579103AE"/>
    <w:rsid w:val="59AC68F5"/>
    <w:rsid w:val="5EE1207A"/>
    <w:rsid w:val="6EF238C2"/>
    <w:rsid w:val="73BE6469"/>
    <w:rsid w:val="75855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
    <w:lsdException w:unhideWhenUsed="0" w:uiPriority="0" w:semiHidden="0" w:nam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rFonts w:ascii="Tahoma" w:hAnsi="Tahoma"/>
      <w:sz w:val="18"/>
      <w:szCs w:val="18"/>
    </w:rPr>
  </w:style>
  <w:style w:type="paragraph" w:styleId="11">
    <w:name w:val=""/>
    <w:basedOn w:val="1"/>
    <w:next w:val="1"/>
    <w:uiPriority w:val="0"/>
    <w:pPr>
      <w:pBdr>
        <w:bottom w:val="single" w:color="auto" w:sz="6" w:space="1"/>
      </w:pBdr>
      <w:jc w:val="center"/>
    </w:pPr>
    <w:rPr>
      <w:rFonts w:ascii="Arial" w:eastAsia="宋体"/>
      <w:vanish/>
      <w:sz w:val="16"/>
    </w:rPr>
  </w:style>
  <w:style w:type="paragraph" w:styleId="12">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176</Words>
  <Characters>1004</Characters>
  <Lines>8</Lines>
  <Paragraphs>2</Paragraphs>
  <TotalTime>4</TotalTime>
  <ScaleCrop>false</ScaleCrop>
  <LinksUpToDate>false</LinksUpToDate>
  <CharactersWithSpaces>1178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010</cp:lastModifiedBy>
  <dcterms:modified xsi:type="dcterms:W3CDTF">2020-12-05T07:35:56Z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