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小额贷款公司设立（复审）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小额贷款公司设立（复审）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新设小额贷款公司当地主流报纸公告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新设小额贷款公司的设立申请书原件一份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新设小额贷款公司的自然人股东提供以下资料:①身份证复印件一份②自然人股东资金来源说明(原件签字和按手印)一份③三个月内银行出具的个</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属地人民政府或主管单位出具的风险防范承诺书和风险处置工作预案原件一份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新设小额贷款公司提供的工商行政管理机关核发的在有效期的《企业名称预先核准通知书》复印件一份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xx县（市、区）金融工作局关于设立xx小额贷款有限公司的请示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新设小额贷款公司股东资料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设立小额贷款公司申请登记表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新设小额贷款公司在媒体（当地主流报纸）刊登的基本情况、材料真实性承诺和合规经营承诺情况的公告原件一份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属地金融局对股东、董事、监事和高级管理人员的监管谈话材料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新设小额贷款公司的拟任董事、监事、高级管理人员材料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新设小额贷款公司拟任董事、监事、高级管理人员情况表原件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新设小额贷款公司制度：信息披露制度,内部控制制度,突发事件应急预案、业务规范和风险控制等内部管理制度原件一份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新设小额贷款公司的企业法人股东提供以下资料:　①法人股东近三年(不足三年,按实际提供)的审计报告复印件一份②人民银行的信用报告原件一份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省辖市、省直管县(市)监管部门或主发起人的行政主管单位关于设立小额贷款公司的请示或函原件一份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新设小额贷款公司的股东会、董事会的决议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法定验资机构出具的股东出资验资报告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新设小额贷款公司提交法定验资机构出具的验资报告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新设小额贷款公司的可行性研究报告(包括经营发展战略和规划)原件一份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新设小额贷款公司的可行性研究报告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新设小额贷款公司章程原件一份。</w:t>
      </w:r>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 </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3.决定：决定批准的，上报省政府金融办；对于不予批准的，书面告知申请人，并说明理由；按时办结；法定告知。</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BEDBC9"/>
    <w:multiLevelType w:val="singleLevel"/>
    <w:tmpl w:val="B8BEDBC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6831EDE"/>
    <w:rsid w:val="274A4E55"/>
    <w:rsid w:val="280B7E6F"/>
    <w:rsid w:val="29795185"/>
    <w:rsid w:val="2BA90455"/>
    <w:rsid w:val="2BE661B9"/>
    <w:rsid w:val="2C4023D1"/>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CF70E59"/>
    <w:rsid w:val="4D10433B"/>
    <w:rsid w:val="4E3C122C"/>
    <w:rsid w:val="4FAE66A9"/>
    <w:rsid w:val="52486BCD"/>
    <w:rsid w:val="53614905"/>
    <w:rsid w:val="555E57CD"/>
    <w:rsid w:val="55FF2A12"/>
    <w:rsid w:val="59AC68F5"/>
    <w:rsid w:val="5A04327F"/>
    <w:rsid w:val="5B227C8C"/>
    <w:rsid w:val="5DA943E5"/>
    <w:rsid w:val="5E4E08D2"/>
    <w:rsid w:val="62717FFD"/>
    <w:rsid w:val="62C4323C"/>
    <w:rsid w:val="68C4154F"/>
    <w:rsid w:val="69E74596"/>
    <w:rsid w:val="6A1B3747"/>
    <w:rsid w:val="6B4571BE"/>
    <w:rsid w:val="6E54776A"/>
    <w:rsid w:val="6EA3396C"/>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40</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2020-12-05T06:09:33Z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