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小额贷款公司减少注册资本（复审）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小额贷款公司减少注册资本（复审）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法定验资机构出具的股东出资验资报告原件一份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小额贷款公司股权转让协议、转款单据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新设小额贷款公司股东资料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县（区）监管部门关于小额贷款公司变更股权结构的请示原件一份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小额贷款公司变更股权结构后的新章程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小额贷款公司变更股权结构的新章程原件一份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新增自然人股东资信材料：①身份证复印件一份②自然人股东资金来源说明(原件签字和按手印)一份③三个月内银行出具的个人信用记录原件一份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新增法人股东资信材料：①法人股东近三年(不足三年,按实际提供)的审计报告复印件一份②人民银行出具的企业基本信用信息报告原件一份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bookmarkStart w:id="0" w:name="_GoBack"/>
      <w:bookmarkEnd w:id="0"/>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融资担保公司监督管理条例》和《河南省人民政府办公厅关于转发河南省融资性担保公司管理暂行办法的通知》等有关规定进行审查；需要现场核查的，组织专家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4.送达：制作送达文书；按规定送达当事人；信息公开。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B96FB0"/>
    <w:multiLevelType w:val="singleLevel"/>
    <w:tmpl w:val="93B96FB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202B309F"/>
    <w:rsid w:val="20546CBF"/>
    <w:rsid w:val="20C25240"/>
    <w:rsid w:val="21BF500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5A071FD"/>
    <w:rsid w:val="36574DA5"/>
    <w:rsid w:val="37A6097E"/>
    <w:rsid w:val="391D2352"/>
    <w:rsid w:val="39DE0F6D"/>
    <w:rsid w:val="3ACD52AA"/>
    <w:rsid w:val="3B5C29C3"/>
    <w:rsid w:val="3BCD2B41"/>
    <w:rsid w:val="3C8500DD"/>
    <w:rsid w:val="3E1D7A63"/>
    <w:rsid w:val="3E1E2576"/>
    <w:rsid w:val="3E5D57EA"/>
    <w:rsid w:val="40263C50"/>
    <w:rsid w:val="40C363D8"/>
    <w:rsid w:val="416B2596"/>
    <w:rsid w:val="45026B68"/>
    <w:rsid w:val="46A316C0"/>
    <w:rsid w:val="490025D2"/>
    <w:rsid w:val="49C97EE7"/>
    <w:rsid w:val="4CF70E59"/>
    <w:rsid w:val="4D10433B"/>
    <w:rsid w:val="4E3C122C"/>
    <w:rsid w:val="4F290794"/>
    <w:rsid w:val="4FAE66A9"/>
    <w:rsid w:val="51E91E12"/>
    <w:rsid w:val="52486BCD"/>
    <w:rsid w:val="53614905"/>
    <w:rsid w:val="555E57CD"/>
    <w:rsid w:val="55FF2A12"/>
    <w:rsid w:val="574B5E49"/>
    <w:rsid w:val="590A1002"/>
    <w:rsid w:val="59AC68F5"/>
    <w:rsid w:val="5A04327F"/>
    <w:rsid w:val="5B227C8C"/>
    <w:rsid w:val="5D46323A"/>
    <w:rsid w:val="5DA943E5"/>
    <w:rsid w:val="5E4E08D2"/>
    <w:rsid w:val="62497B68"/>
    <w:rsid w:val="62717FFD"/>
    <w:rsid w:val="62C4323C"/>
    <w:rsid w:val="62D37D39"/>
    <w:rsid w:val="643A325F"/>
    <w:rsid w:val="68C4154F"/>
    <w:rsid w:val="69E74596"/>
    <w:rsid w:val="6A1B3747"/>
    <w:rsid w:val="6AC34381"/>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72</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2020-12-05T06:50:27Z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