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小额贷款公司变更董事、监事、高级管理人员（公司法定代表人、董事长、执行董事、总经理除外）(审核)</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小额贷款公司变更董事、监事、高级管理人员（公司法定代表人、董事长、执行董事、总经理除外）(审核)</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bookmarkStart w:id="0" w:name="_GoBack"/>
      <w:r>
        <w:rPr>
          <w:rFonts w:hint="eastAsia" w:ascii="宋体" w:hAnsi="宋体" w:eastAsia="宋体" w:cs="宋体"/>
          <w:sz w:val="28"/>
          <w:szCs w:val="28"/>
        </w:rPr>
        <w:t>小额贷款公司拟任董事、监事、高级管理人员任职资格审核表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县（区）监管部门关于小额贷款公司变更董事、监事、高级管理人员的请示原件一份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小额贷款公司变更董事、监事、高级管理人员（公司法定代表人、董事长、执行董事、总经理除外）后的新章程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在当地主流媒体（报纸、电视或网站）上进行公告原件一份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小额贷款公司拟任董事、监事、高级管理人员任职资格审核表原件一份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小额贷款公司拟任董事、监事、高级管理人员陈述书、承诺书及未来履职计划原件一份</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3.决定：决定批准的，下达变更批复；对于不予批准的，书面告知申请人，并说明理由；按时办结；法定告知。</w:t>
      </w:r>
    </w:p>
    <w:p>
      <w:pPr>
        <w:numPr>
          <w:ilvl w:val="0"/>
          <w:numId w:val="0"/>
        </w:num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 xml:space="preserve">4.送达：制作送达文书；按规定送达当事人；信息公开。                                         </w:t>
      </w: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B9B3C"/>
    <w:multiLevelType w:val="singleLevel"/>
    <w:tmpl w:val="389B9B3C"/>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17E81"/>
    <w:rsid w:val="1D8F44CF"/>
    <w:rsid w:val="1EAF2EBB"/>
    <w:rsid w:val="1F40389E"/>
    <w:rsid w:val="202B309F"/>
    <w:rsid w:val="20546CBF"/>
    <w:rsid w:val="20C25240"/>
    <w:rsid w:val="21BF500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46606F5"/>
    <w:rsid w:val="35A071FD"/>
    <w:rsid w:val="36574DA5"/>
    <w:rsid w:val="37A6097E"/>
    <w:rsid w:val="391D2352"/>
    <w:rsid w:val="39DE0F6D"/>
    <w:rsid w:val="3ACD52AA"/>
    <w:rsid w:val="3B5C29C3"/>
    <w:rsid w:val="3BCD2B41"/>
    <w:rsid w:val="3C8500DD"/>
    <w:rsid w:val="3E1D7A63"/>
    <w:rsid w:val="3E1E2576"/>
    <w:rsid w:val="3E5D57EA"/>
    <w:rsid w:val="40263C50"/>
    <w:rsid w:val="40C363D8"/>
    <w:rsid w:val="416B2596"/>
    <w:rsid w:val="45026B68"/>
    <w:rsid w:val="46A316C0"/>
    <w:rsid w:val="490025D2"/>
    <w:rsid w:val="49C97EE7"/>
    <w:rsid w:val="4CF70E59"/>
    <w:rsid w:val="4D10433B"/>
    <w:rsid w:val="4E3C122C"/>
    <w:rsid w:val="4F290794"/>
    <w:rsid w:val="4FAE66A9"/>
    <w:rsid w:val="51E91E12"/>
    <w:rsid w:val="52486BCD"/>
    <w:rsid w:val="53614905"/>
    <w:rsid w:val="555E57CD"/>
    <w:rsid w:val="55FF2A12"/>
    <w:rsid w:val="574B5E49"/>
    <w:rsid w:val="590A1002"/>
    <w:rsid w:val="59AC68F5"/>
    <w:rsid w:val="5A04327F"/>
    <w:rsid w:val="5B227C8C"/>
    <w:rsid w:val="5D46323A"/>
    <w:rsid w:val="5DA943E5"/>
    <w:rsid w:val="5E4E08D2"/>
    <w:rsid w:val="62497B68"/>
    <w:rsid w:val="62717FFD"/>
    <w:rsid w:val="62C4323C"/>
    <w:rsid w:val="62D37D39"/>
    <w:rsid w:val="643A325F"/>
    <w:rsid w:val="68C4154F"/>
    <w:rsid w:val="69E74596"/>
    <w:rsid w:val="6A1B3747"/>
    <w:rsid w:val="6AC34381"/>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74</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2020-12-05T06:52:25Z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