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小额贷款公司变更股权结构（涉及第一大股东或其他一致行动人股东合计持股变更比例高于第一大股东现有股份）（复审）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小额贷款公司变更股权结构（涉及第一大股东或其他一致行动人股东合计持股变更比例高于第一大股东现有股份）（复审）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小额贷款公司股权转让协议、转款单据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法定验资机构出具的股东出资验资报告原件一份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小额贷款公司新进股东资信材料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新增法人股东资信材料：①法人股东近三年(不足三年,按实际提供)的审计报告复印件一份②人民银行的信用报告原件一份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小额贷款公司变更股权结构的新章程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新增自然人股东资信材料：①身份证复印件一份②自然人股东资金来源说明(原件签字和按手印)一份③三个月内银行出具的个人信用记录原件一份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县（区）监管部门关于小额贷款公司变更股权结构的请示原件一份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A98E"/>
    <w:multiLevelType w:val="singleLevel"/>
    <w:tmpl w:val="0C70A98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16B2596"/>
    <w:rsid w:val="45026B68"/>
    <w:rsid w:val="490025D2"/>
    <w:rsid w:val="49C97EE7"/>
    <w:rsid w:val="4CF70E59"/>
    <w:rsid w:val="4D10433B"/>
    <w:rsid w:val="4E3C122C"/>
    <w:rsid w:val="4F290794"/>
    <w:rsid w:val="4FAE66A9"/>
    <w:rsid w:val="52486BCD"/>
    <w:rsid w:val="53614905"/>
    <w:rsid w:val="555E57CD"/>
    <w:rsid w:val="55FF2A12"/>
    <w:rsid w:val="59AC68F5"/>
    <w:rsid w:val="5A04327F"/>
    <w:rsid w:val="5B227C8C"/>
    <w:rsid w:val="5D46323A"/>
    <w:rsid w:val="5DA943E5"/>
    <w:rsid w:val="5E4E08D2"/>
    <w:rsid w:val="62497B68"/>
    <w:rsid w:val="62717FFD"/>
    <w:rsid w:val="62C4323C"/>
    <w:rsid w:val="62D37D39"/>
    <w:rsid w:val="643A325F"/>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61</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2020-12-05T06:39:20Z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