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河南省创新龙头企业培育审核推荐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河南省创新龙头企业培育审核推荐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《河南省创新龙头企业培育工程实施方案》（豫科〔2016〕84号）</w:t>
      </w: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</w:t>
      </w:r>
      <w:r>
        <w:rPr>
          <w:rFonts w:hint="eastAsia" w:ascii="宋体" w:hAnsi="宋体" w:eastAsia="宋体" w:cs="宋体"/>
          <w:sz w:val="28"/>
          <w:szCs w:val="28"/>
        </w:rPr>
        <w:t>业基本情况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企业创新发展情况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过程审核意见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企业上年度主营业务产品（服务）情况表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河南省创新龙头企业创新成果明细表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企业财务状况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河南省创新龙头企业人才引进培养情况表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河南省创新龙头企业申报认定审核推荐材料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过程审核意见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河南省创新龙头企业创新成果明细表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河南省创新龙头企业人才引进培养情况表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河南省创新龙头企业年度评估审核推荐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企业基本情况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企业财务状况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企业创新发展情况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河南省创新龙头企业自评估报告书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0377-63164946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环节名称：决定；办理人：姚彦海；办理时限：2个工作日；审查标准：审核材料；办理结果：行文推荐；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1" name="图片 1" descr="K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AE935"/>
    <w:multiLevelType w:val="singleLevel"/>
    <w:tmpl w:val="7A2AE93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A1F65"/>
    <w:rsid w:val="6FAA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2020-12-05T02:32:00Z</dcterms:created>
  <dc:creator>Administrator</dc:creator>
  <cp:lastModifiedBy>Administrator</cp:lastModifiedBy>
  <dcterms:modified xsi:type="dcterms:W3CDTF">2020-12-05T02:35:07Z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