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bookmarkStart w:id="0" w:name="_GoBack"/>
      <w:r>
        <w:rPr>
          <w:rFonts w:hint="eastAsia" w:ascii="黑体" w:hAnsi="黑体" w:eastAsia="黑体" w:cs="黑体"/>
          <w:b/>
          <w:bCs/>
          <w:sz w:val="36"/>
          <w:szCs w:val="36"/>
        </w:rPr>
        <w:t>河南省重大新型研发机构遴选审核推荐</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南阳市科学技术局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河南省重大新型研发机构遴选审核推荐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《中共河南省委河南省人民政府关于深化科技体制改革推进创新驱动发展若干实施意见》（豫发〔2015〕13号）。2.《《河南省人民政府关于加快科技服务业发展的若干意见》（豫政〔2016〕5号）。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体制机制创新有关情况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河南省重大新型研发机构遴选审查推荐项目申报书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财务数据相关情况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技术服务有关情况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近三年的年度财务报表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已创办、孵化企业有关情况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研发基础条件有关情况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发起设立有关情况</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专利和科技成果有关情况</w:t>
      </w:r>
    </w:p>
    <w:p>
      <w:pPr>
        <w:numPr>
          <w:ilvl w:val="0"/>
          <w:numId w:val="1"/>
        </w:numPr>
        <w:spacing w:line="220" w:lineRule="atLeast"/>
        <w:ind w:left="425" w:leftChars="0" w:hanging="425" w:firstLineChars="0"/>
        <w:jc w:val="both"/>
        <w:rPr>
          <w:rFonts w:hint="eastAsia" w:ascii="黑体" w:hAnsi="黑体" w:eastAsia="黑体" w:cs="黑体"/>
          <w:b/>
          <w:sz w:val="30"/>
          <w:szCs w:val="30"/>
        </w:rPr>
      </w:pPr>
      <w:r>
        <w:rPr>
          <w:rFonts w:hint="eastAsia" w:ascii="宋体" w:hAnsi="宋体" w:eastAsia="宋体" w:cs="宋体"/>
          <w:sz w:val="28"/>
          <w:szCs w:val="28"/>
        </w:rPr>
        <w:t>河南省重大新型研发机构申报书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固话咨询:0377-63134946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固话投诉:0377-63165555</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市内乘坐23路、34路、5路到张衡路与孔明路交叉口下车即到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环节名称：受理；办理人：徐涛；办理时限：2个工作日；审查标准：材料统一受理；办理结果：受理材料转交相关科室；</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环节名称：决定；办理人：李连三；办理时限：2个工作日；审查标准：审核材料推荐上报省厅；办理结果：行文推荐；</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pPr>
        <w:rPr>
          <w:rFonts w:hint="eastAsia" w:eastAsia="微软雅黑"/>
          <w:lang w:eastAsia="zh-CN"/>
        </w:rPr>
      </w:pPr>
      <w:r>
        <w:rPr>
          <w:rFonts w:hint="eastAsia" w:eastAsia="微软雅黑"/>
          <w:lang w:eastAsia="zh-CN"/>
        </w:rPr>
        <w:drawing>
          <wp:inline distT="0" distB="0" distL="114300" distR="114300">
            <wp:extent cx="5271135" cy="7453630"/>
            <wp:effectExtent l="0" t="0" r="5715" b="13970"/>
            <wp:docPr id="2" name="图片 2" descr="K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K3"/>
                    <pic:cNvPicPr>
                      <a:picLocks noChangeAspect="1"/>
                    </pic:cNvPicPr>
                  </pic:nvPicPr>
                  <pic:blipFill>
                    <a:blip r:embed="rId4"/>
                    <a:stretch>
                      <a:fillRect/>
                    </a:stretch>
                  </pic:blipFill>
                  <pic:spPr>
                    <a:xfrm>
                      <a:off x="0" y="0"/>
                      <a:ext cx="5271135" cy="7453630"/>
                    </a:xfrm>
                    <a:prstGeom prst="rect">
                      <a:avLst/>
                    </a:prstGeom>
                  </pic:spPr>
                </pic:pic>
              </a:graphicData>
            </a:graphic>
          </wp:inline>
        </w:drawing>
      </w:r>
    </w:p>
    <w:p>
      <w:pPr>
        <w:rPr>
          <w:rFonts w:hint="eastAsia" w:eastAsia="宋体"/>
          <w:lang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C2281"/>
    <w:multiLevelType w:val="singleLevel"/>
    <w:tmpl w:val="27BC228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A442E"/>
    <w:rsid w:val="3B2A4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2020-12-05T01:37:00Z</dcterms:created>
  <dc:creator>Administrator</dc:creator>
  <cp:lastModifiedBy>Administrator</cp:lastModifiedBy>
  <dcterms:modified xsi:type="dcterms:W3CDTF">2020-12-05T01:40:58Z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