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河南省创新龙头企业评估审核推荐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河南省创新龙头企业评估审核推荐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sz w:val="28"/>
          <w:szCs w:val="28"/>
        </w:rPr>
        <w:t>《河南省创新龙头企业培育工程实施方案》（豫科〔2016〕84号）</w:t>
      </w: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过程审核意见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河南省创新龙头企业创新成果明细表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河南省创新龙头企业人才引进培养情况表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河南省创新龙头企业年度评估审核推荐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企业基本情况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企业财务状况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企业创新发展情况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河南省创新龙头企业自评估报告书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0377-63164946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；办理人：徐涛；办理时限：2个工作日；审查标准：材料统一受理；办理结果：受理材料转交科室；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；办理人：姚彦海；办理时限：2个工作日；审查标准：审核材料；办理结果：行文推荐；</w:t>
      </w:r>
    </w:p>
    <w:p>
      <w:pPr>
        <w:spacing w:line="220" w:lineRule="atLeast"/>
        <w:jc w:val="both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r>
        <w:rPr>
          <w:rFonts w:hint="eastAsia" w:eastAsia="黑体"/>
          <w:lang w:eastAsia="zh-CN"/>
        </w:rPr>
        <w:drawing>
          <wp:inline distT="0" distB="0" distL="114300" distR="114300">
            <wp:extent cx="4979035" cy="8851265"/>
            <wp:effectExtent l="0" t="0" r="12065" b="6985"/>
            <wp:docPr id="2" name="图片 2" descr="K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K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84EB6A"/>
    <w:multiLevelType w:val="singleLevel"/>
    <w:tmpl w:val="B284EB6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6753C"/>
    <w:rsid w:val="05D46064"/>
    <w:rsid w:val="6D86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2020-12-05T02:44:00Z</dcterms:created>
  <dc:creator>Administrator</dc:creator>
  <cp:lastModifiedBy>Administrator</cp:lastModifiedBy>
  <dcterms:modified xsi:type="dcterms:W3CDTF">2020-12-05T02:50:19Z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