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技术合同认定登记</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南阳市科学技术局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技术合同认定登记</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行政确认</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numPr>
          <w:ilvl w:val="0"/>
          <w:numId w:val="1"/>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中华人民共和国合同法》（主席令第15号）第十八章技术合同。2.科技部、财政部、国家税务总局《关于印发〈技术合同认定登记管理办法〉的通知》（国科发政字〔2000〕063号）第三条科学技术部管理全国技术合同认定登记工作。省、自治区、直辖市和计划单列市科学技术行政部门管理本行政区划的技术合同认定登记工作。地、市、区、县科学技术行政部门设立技术合同登记机构，具体负责办理技术合同的认定登记工作。3.《科学技术部关于印发&lt;技术合同认定规则&gt;的通知》（国科发政字[2001]253号）。4.财政部国家税务总局《关于贯彻落实〈中共中央国务院关于加强技术创新，发展高科技，实现产业化的决定〉有关税收问题的通知》（财税字〔1999〕273号）第二条第（三）款免税的审批程序：纳税人从事技术转让、开发业务申请免征营业税时，须持技术转让、开发的书面合同，到纳税人所在地省级科技主管部门进行认定，再持有关的书面合同和科技主管部门审核意见证明报当地省级主管税务机关审核。外国企业和外籍个人从境外向中国境内转让技术需要免征营业税的，需提供技术转让或技术开发书面合同，纳税人或其授权人书面申请以及技术受让方所在地的省级科技主管部门审核意见证明，经省级税务主管机关审核后，层报国家税务总局批准。5.《财政部国家税务总局关于居民企业技术转让有关企业所得税政策问题的通知》（财税〔2010〕111号）3.技术转让应签订技术转让合同。其中，境内的技术转让需经省级以上（含省级）科技部门认定登记，跨境的技术转让须经省级以上（含省级）商务部门认定登记，涉及财政经费支持产生技术的转让，需省级以上（含省级）科技部门审批。6.《财政部国家税务总局关于全面推开营业税改征增值税试点的通知》（财税〔2016〕36号）“附件3（二十六）2.备案程序。试点纳税人申请免征增值税时，经持技术转让、开发的书面合同，到纳税人所在地省级科技主管部门进行认定，并持有关的书面合同和科技主管部门审核意见证明文件包主管税务机关备查。”7.《国家税务总局关于企业研究开发费用税前加计扣除政策有关问题的公告》2015年第97号第六条（三）3.经科技行政主管部门登记的委托、合作研究开发项目的合同。8.《河南省人民政府关于取消调整行政审批项目和部门非行政许可审批事项的决定》（豫政〔2015〕56号）。“附件6省政府决定取消和调整的部门非行政许可审批事项目录4：技术合同认定登记省政府科技部门不再登记”。9.《河南省科技厅关于下放技术合同认定登记审核权限的通知》（2015年10月9日）“1.从发文之日起，经各省辖市、省直管县（市）科技行政部门认定登记审核的技术合同不再送省科技厅复核盖章。二、各省辖市、省直管县（市）科技行政管理部门要设立技术合同认定登记审核机构，具体负责本行政区划内技术合同的认定登记审核工作。”</w:t>
      </w:r>
    </w:p>
    <w:p>
      <w:pPr>
        <w:numPr>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0" w:leftChars="0" w:firstLine="0" w:firstLineChars="0"/>
        <w:jc w:val="both"/>
        <w:rPr>
          <w:rFonts w:hint="eastAsia" w:ascii="宋体" w:hAnsi="宋体" w:eastAsia="宋体" w:cs="宋体"/>
          <w:sz w:val="28"/>
          <w:szCs w:val="28"/>
        </w:rPr>
      </w:pPr>
      <w:r>
        <w:rPr>
          <w:rFonts w:hint="eastAsia" w:ascii="宋体" w:hAnsi="宋体" w:eastAsia="宋体" w:cs="宋体"/>
          <w:sz w:val="28"/>
          <w:szCs w:val="28"/>
        </w:rPr>
        <w:t>河南省技术合同认定登记申请表</w:t>
      </w:r>
    </w:p>
    <w:p>
      <w:pPr>
        <w:numPr>
          <w:ilvl w:val="0"/>
          <w:numId w:val="1"/>
        </w:numPr>
        <w:spacing w:line="220" w:lineRule="atLeast"/>
        <w:ind w:left="0" w:leftChars="0" w:firstLine="0" w:firstLineChars="0"/>
        <w:jc w:val="both"/>
        <w:rPr>
          <w:rFonts w:hint="eastAsia" w:ascii="宋体" w:hAnsi="宋体" w:eastAsia="宋体" w:cs="宋体"/>
          <w:sz w:val="28"/>
          <w:szCs w:val="28"/>
        </w:rPr>
      </w:pPr>
      <w:r>
        <w:rPr>
          <w:rFonts w:hint="eastAsia" w:ascii="宋体" w:hAnsi="宋体" w:eastAsia="宋体" w:cs="宋体"/>
          <w:sz w:val="28"/>
          <w:szCs w:val="28"/>
        </w:rPr>
        <w:t>技术咨询合同</w:t>
      </w:r>
    </w:p>
    <w:p>
      <w:pPr>
        <w:numPr>
          <w:ilvl w:val="0"/>
          <w:numId w:val="1"/>
        </w:numPr>
        <w:spacing w:line="220" w:lineRule="atLeast"/>
        <w:ind w:left="0" w:leftChars="0" w:firstLine="0" w:firstLineChars="0"/>
        <w:jc w:val="both"/>
        <w:rPr>
          <w:rFonts w:hint="eastAsia" w:ascii="宋体" w:hAnsi="宋体" w:eastAsia="宋体" w:cs="宋体"/>
          <w:sz w:val="28"/>
          <w:szCs w:val="28"/>
        </w:rPr>
      </w:pPr>
      <w:r>
        <w:rPr>
          <w:rFonts w:hint="eastAsia" w:ascii="宋体" w:hAnsi="宋体" w:eastAsia="宋体" w:cs="宋体"/>
          <w:sz w:val="28"/>
          <w:szCs w:val="28"/>
        </w:rPr>
        <w:t>技术转让（专利申请权）合同</w:t>
      </w:r>
    </w:p>
    <w:p>
      <w:pPr>
        <w:numPr>
          <w:ilvl w:val="0"/>
          <w:numId w:val="1"/>
        </w:numPr>
        <w:spacing w:line="220" w:lineRule="atLeast"/>
        <w:ind w:left="0" w:leftChars="0" w:firstLine="0" w:firstLineChars="0"/>
        <w:jc w:val="both"/>
        <w:rPr>
          <w:rFonts w:hint="eastAsia" w:ascii="宋体" w:hAnsi="宋体" w:eastAsia="宋体" w:cs="宋体"/>
          <w:sz w:val="28"/>
          <w:szCs w:val="28"/>
        </w:rPr>
      </w:pPr>
      <w:r>
        <w:rPr>
          <w:rFonts w:hint="eastAsia" w:ascii="宋体" w:hAnsi="宋体" w:eastAsia="宋体" w:cs="宋体"/>
          <w:sz w:val="28"/>
          <w:szCs w:val="28"/>
        </w:rPr>
        <w:t>技术转让（专利权）合同</w:t>
      </w:r>
    </w:p>
    <w:p>
      <w:pPr>
        <w:numPr>
          <w:ilvl w:val="0"/>
          <w:numId w:val="1"/>
        </w:numPr>
        <w:spacing w:line="220" w:lineRule="atLeast"/>
        <w:ind w:left="0" w:leftChars="0" w:firstLine="0" w:firstLineChars="0"/>
        <w:jc w:val="both"/>
        <w:rPr>
          <w:rFonts w:hint="eastAsia" w:ascii="宋体" w:hAnsi="宋体" w:eastAsia="宋体" w:cs="宋体"/>
          <w:sz w:val="28"/>
          <w:szCs w:val="28"/>
        </w:rPr>
      </w:pPr>
      <w:r>
        <w:rPr>
          <w:rFonts w:hint="eastAsia" w:ascii="宋体" w:hAnsi="宋体" w:eastAsia="宋体" w:cs="宋体"/>
          <w:sz w:val="28"/>
          <w:szCs w:val="28"/>
        </w:rPr>
        <w:t>技术开发（合作）合同</w:t>
      </w:r>
    </w:p>
    <w:p>
      <w:pPr>
        <w:numPr>
          <w:ilvl w:val="0"/>
          <w:numId w:val="1"/>
        </w:numPr>
        <w:spacing w:line="220" w:lineRule="atLeast"/>
        <w:ind w:left="0" w:leftChars="0" w:firstLine="0" w:firstLineChars="0"/>
        <w:jc w:val="both"/>
        <w:rPr>
          <w:rFonts w:hint="eastAsia" w:ascii="宋体" w:hAnsi="宋体" w:eastAsia="宋体" w:cs="宋体"/>
          <w:sz w:val="28"/>
          <w:szCs w:val="28"/>
        </w:rPr>
      </w:pPr>
      <w:r>
        <w:rPr>
          <w:rFonts w:hint="eastAsia" w:ascii="宋体" w:hAnsi="宋体" w:eastAsia="宋体" w:cs="宋体"/>
          <w:sz w:val="28"/>
          <w:szCs w:val="28"/>
        </w:rPr>
        <w:t>技术转让（技术秘密）合同</w:t>
      </w:r>
    </w:p>
    <w:p>
      <w:pPr>
        <w:numPr>
          <w:ilvl w:val="0"/>
          <w:numId w:val="1"/>
        </w:numPr>
        <w:spacing w:line="220" w:lineRule="atLeast"/>
        <w:ind w:left="0" w:leftChars="0" w:firstLine="0" w:firstLineChars="0"/>
        <w:jc w:val="both"/>
        <w:rPr>
          <w:rFonts w:hint="eastAsia" w:ascii="宋体" w:hAnsi="宋体" w:eastAsia="宋体" w:cs="宋体"/>
          <w:sz w:val="28"/>
          <w:szCs w:val="28"/>
        </w:rPr>
      </w:pPr>
      <w:r>
        <w:rPr>
          <w:rFonts w:hint="eastAsia" w:ascii="宋体" w:hAnsi="宋体" w:eastAsia="宋体" w:cs="宋体"/>
          <w:sz w:val="28"/>
          <w:szCs w:val="28"/>
        </w:rPr>
        <w:t>技术转让（专利权）合同</w:t>
      </w:r>
    </w:p>
    <w:p>
      <w:pPr>
        <w:numPr>
          <w:ilvl w:val="0"/>
          <w:numId w:val="1"/>
        </w:numPr>
        <w:spacing w:line="220" w:lineRule="atLeast"/>
        <w:ind w:left="0" w:leftChars="0" w:firstLine="0" w:firstLineChars="0"/>
        <w:jc w:val="both"/>
        <w:rPr>
          <w:rFonts w:hint="eastAsia" w:ascii="宋体" w:hAnsi="宋体" w:eastAsia="宋体" w:cs="宋体"/>
          <w:sz w:val="28"/>
          <w:szCs w:val="28"/>
        </w:rPr>
      </w:pPr>
      <w:r>
        <w:rPr>
          <w:rFonts w:hint="eastAsia" w:ascii="宋体" w:hAnsi="宋体" w:eastAsia="宋体" w:cs="宋体"/>
          <w:sz w:val="28"/>
          <w:szCs w:val="28"/>
        </w:rPr>
        <w:t>河南省技术合同认定登记申请表</w:t>
      </w:r>
    </w:p>
    <w:p>
      <w:pPr>
        <w:numPr>
          <w:ilvl w:val="0"/>
          <w:numId w:val="1"/>
        </w:numPr>
        <w:spacing w:line="220" w:lineRule="atLeast"/>
        <w:ind w:left="0" w:leftChars="0" w:firstLine="0" w:firstLineChars="0"/>
        <w:jc w:val="both"/>
        <w:rPr>
          <w:rFonts w:hint="eastAsia" w:ascii="宋体" w:hAnsi="宋体" w:eastAsia="宋体" w:cs="宋体"/>
          <w:sz w:val="28"/>
          <w:szCs w:val="28"/>
        </w:rPr>
      </w:pPr>
      <w:r>
        <w:rPr>
          <w:rFonts w:hint="eastAsia" w:ascii="宋体" w:hAnsi="宋体" w:eastAsia="宋体" w:cs="宋体"/>
          <w:sz w:val="28"/>
          <w:szCs w:val="28"/>
        </w:rPr>
        <w:t>技术转让（专利实施许可）合同</w:t>
      </w:r>
    </w:p>
    <w:p>
      <w:pPr>
        <w:numPr>
          <w:ilvl w:val="0"/>
          <w:numId w:val="1"/>
        </w:numPr>
        <w:spacing w:line="220" w:lineRule="atLeast"/>
        <w:ind w:left="0" w:leftChars="0" w:firstLine="0" w:firstLineChars="0"/>
        <w:jc w:val="both"/>
        <w:rPr>
          <w:rFonts w:hint="eastAsia" w:ascii="宋体" w:hAnsi="宋体" w:eastAsia="宋体" w:cs="宋体"/>
          <w:sz w:val="28"/>
          <w:szCs w:val="28"/>
        </w:rPr>
      </w:pPr>
      <w:r>
        <w:rPr>
          <w:rFonts w:hint="eastAsia" w:ascii="宋体" w:hAnsi="宋体" w:eastAsia="宋体" w:cs="宋体"/>
          <w:sz w:val="28"/>
          <w:szCs w:val="28"/>
        </w:rPr>
        <w:t>技术转让（技术秘密）合同</w:t>
      </w:r>
    </w:p>
    <w:p>
      <w:pPr>
        <w:numPr>
          <w:ilvl w:val="0"/>
          <w:numId w:val="1"/>
        </w:numPr>
        <w:spacing w:line="220" w:lineRule="atLeast"/>
        <w:ind w:left="0" w:leftChars="0" w:firstLine="0" w:firstLineChars="0"/>
        <w:jc w:val="both"/>
        <w:rPr>
          <w:rFonts w:hint="eastAsia" w:ascii="宋体" w:hAnsi="宋体" w:eastAsia="宋体" w:cs="宋体"/>
          <w:sz w:val="28"/>
          <w:szCs w:val="28"/>
        </w:rPr>
      </w:pPr>
      <w:r>
        <w:rPr>
          <w:rFonts w:hint="eastAsia" w:ascii="宋体" w:hAnsi="宋体" w:eastAsia="宋体" w:cs="宋体"/>
          <w:sz w:val="28"/>
          <w:szCs w:val="28"/>
        </w:rPr>
        <w:t>技术转让（专利实施许可）合同</w:t>
      </w:r>
    </w:p>
    <w:p>
      <w:pPr>
        <w:numPr>
          <w:ilvl w:val="0"/>
          <w:numId w:val="1"/>
        </w:numPr>
        <w:spacing w:line="220" w:lineRule="atLeast"/>
        <w:ind w:left="0" w:leftChars="0" w:firstLine="0" w:firstLineChars="0"/>
        <w:jc w:val="both"/>
        <w:rPr>
          <w:rFonts w:hint="eastAsia" w:ascii="宋体" w:hAnsi="宋体" w:eastAsia="宋体" w:cs="宋体"/>
          <w:sz w:val="28"/>
          <w:szCs w:val="28"/>
        </w:rPr>
      </w:pPr>
      <w:r>
        <w:rPr>
          <w:rFonts w:hint="eastAsia" w:ascii="宋体" w:hAnsi="宋体" w:eastAsia="宋体" w:cs="宋体"/>
          <w:sz w:val="28"/>
          <w:szCs w:val="28"/>
        </w:rPr>
        <w:t>河南省技术合同认定登记证明</w:t>
      </w:r>
    </w:p>
    <w:p>
      <w:pPr>
        <w:numPr>
          <w:ilvl w:val="0"/>
          <w:numId w:val="1"/>
        </w:numPr>
        <w:spacing w:line="220" w:lineRule="atLeast"/>
        <w:ind w:left="0" w:leftChars="0" w:firstLine="0" w:firstLineChars="0"/>
        <w:jc w:val="both"/>
        <w:rPr>
          <w:rFonts w:hint="eastAsia" w:ascii="宋体" w:hAnsi="宋体" w:eastAsia="宋体" w:cs="宋体"/>
          <w:sz w:val="28"/>
          <w:szCs w:val="28"/>
        </w:rPr>
      </w:pPr>
      <w:r>
        <w:rPr>
          <w:rFonts w:hint="eastAsia" w:ascii="宋体" w:hAnsi="宋体" w:eastAsia="宋体" w:cs="宋体"/>
          <w:sz w:val="28"/>
          <w:szCs w:val="28"/>
        </w:rPr>
        <w:t>技术开发（委托）合同</w:t>
      </w:r>
    </w:p>
    <w:p>
      <w:pPr>
        <w:numPr>
          <w:ilvl w:val="0"/>
          <w:numId w:val="1"/>
        </w:numPr>
        <w:spacing w:line="220" w:lineRule="atLeast"/>
        <w:ind w:left="0" w:leftChars="0" w:firstLine="0" w:firstLineChars="0"/>
        <w:jc w:val="both"/>
        <w:rPr>
          <w:rFonts w:hint="eastAsia" w:ascii="宋体" w:hAnsi="宋体" w:eastAsia="宋体" w:cs="宋体"/>
          <w:sz w:val="28"/>
          <w:szCs w:val="28"/>
        </w:rPr>
      </w:pPr>
      <w:r>
        <w:rPr>
          <w:rFonts w:hint="eastAsia" w:ascii="宋体" w:hAnsi="宋体" w:eastAsia="宋体" w:cs="宋体"/>
          <w:sz w:val="28"/>
          <w:szCs w:val="28"/>
        </w:rPr>
        <w:t>技术开发（合作）合同</w:t>
      </w:r>
    </w:p>
    <w:p>
      <w:pPr>
        <w:numPr>
          <w:ilvl w:val="0"/>
          <w:numId w:val="1"/>
        </w:numPr>
        <w:spacing w:line="220" w:lineRule="atLeast"/>
        <w:ind w:left="0" w:leftChars="0" w:firstLine="0" w:firstLineChars="0"/>
        <w:jc w:val="both"/>
        <w:rPr>
          <w:rFonts w:hint="eastAsia" w:ascii="宋体" w:hAnsi="宋体" w:eastAsia="宋体" w:cs="宋体"/>
          <w:sz w:val="28"/>
          <w:szCs w:val="28"/>
        </w:rPr>
      </w:pPr>
      <w:r>
        <w:rPr>
          <w:rFonts w:hint="eastAsia" w:ascii="宋体" w:hAnsi="宋体" w:eastAsia="宋体" w:cs="宋体"/>
          <w:sz w:val="28"/>
          <w:szCs w:val="28"/>
        </w:rPr>
        <w:t>技术服务合同</w:t>
      </w:r>
    </w:p>
    <w:p>
      <w:pPr>
        <w:numPr>
          <w:ilvl w:val="0"/>
          <w:numId w:val="1"/>
        </w:numPr>
        <w:spacing w:line="220" w:lineRule="atLeast"/>
        <w:ind w:left="0" w:leftChars="0" w:firstLine="0" w:firstLineChars="0"/>
        <w:jc w:val="both"/>
        <w:rPr>
          <w:rFonts w:hint="eastAsia" w:ascii="宋体" w:hAnsi="宋体" w:eastAsia="宋体" w:cs="宋体"/>
          <w:sz w:val="28"/>
          <w:szCs w:val="28"/>
        </w:rPr>
      </w:pPr>
      <w:r>
        <w:rPr>
          <w:rFonts w:hint="eastAsia" w:ascii="宋体" w:hAnsi="宋体" w:eastAsia="宋体" w:cs="宋体"/>
          <w:sz w:val="28"/>
          <w:szCs w:val="28"/>
        </w:rPr>
        <w:t>技术转让（专利申请权）合同</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30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固话咨询:0377-63134946</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固话投诉:0377-63165555</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黑体" w:hAnsi="黑体" w:eastAsia="黑体" w:cs="黑体"/>
          <w:b/>
          <w:sz w:val="30"/>
          <w:szCs w:val="30"/>
        </w:rPr>
      </w:pPr>
      <w:r>
        <w:rPr>
          <w:rFonts w:hint="eastAsia" w:ascii="宋体" w:hAnsi="宋体" w:eastAsia="宋体" w:cs="宋体"/>
          <w:color w:val="000000"/>
          <w:sz w:val="28"/>
          <w:szCs w:val="28"/>
        </w:rPr>
        <w:t>南阳市宛城区（县）仲景街道1666号3号楼楼一楼综合室（窗口）</w:t>
      </w: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市内乘坐23路、34路、5路到张衡路与孔明路交叉口下车即到</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 ；办理人：徐涛；办理时限：1个工作日；审查标准：材料统一受理；办理结果：受理材料转交科室；</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 ；办理人：李连三；办理时限：1个工作日；审查标准：审核材料；办理结果：行文办结；</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center"/>
        <w:rPr>
          <w:rFonts w:hint="eastAsia" w:eastAsia="微软雅黑"/>
          <w:lang w:eastAsia="zh-CN"/>
        </w:rPr>
      </w:pPr>
    </w:p>
    <w:p>
      <w:pPr>
        <w:rPr>
          <w:rFonts w:hint="eastAsia" w:eastAsia="微软雅黑"/>
          <w:lang w:eastAsia="zh-CN"/>
        </w:rPr>
      </w:pPr>
    </w:p>
    <w:p>
      <w:pPr>
        <w:rPr>
          <w:rFonts w:hint="eastAsia" w:eastAsia="宋体"/>
          <w:lang w:eastAsia="zh-CN"/>
        </w:rPr>
      </w:pPr>
      <w:r>
        <w:rPr>
          <w:rFonts w:ascii="宋体" w:hAnsi="宋体" w:eastAsia="宋体" w:cs="宋体"/>
          <w:sz w:val="24"/>
          <w:szCs w:val="24"/>
        </w:rPr>
        <w:drawing>
          <wp:inline distT="0" distB="0" distL="114300" distR="114300">
            <wp:extent cx="304800" cy="3048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304800" cy="304800"/>
                    </a:xfrm>
                    <a:prstGeom prst="rect">
                      <a:avLst/>
                    </a:prstGeom>
                    <a:noFill/>
                    <a:ln w="9525">
                      <a:noFill/>
                    </a:ln>
                  </pic:spPr>
                </pic:pic>
              </a:graphicData>
            </a:graphic>
          </wp:inline>
        </w:drawing>
      </w:r>
      <w:r>
        <w:rPr>
          <w:rFonts w:ascii="宋体" w:hAnsi="宋体" w:eastAsia="宋体" w:cs="宋体"/>
          <w:sz w:val="24"/>
          <w:szCs w:val="24"/>
        </w:rPr>
        <w:drawing>
          <wp:inline distT="0" distB="0" distL="114300" distR="114300">
            <wp:extent cx="304800" cy="304800"/>
            <wp:effectExtent l="0" t="0" r="0" b="0"/>
            <wp:docPr id="5"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G_256"/>
                    <pic:cNvPicPr>
                      <a:picLocks noChangeAspect="1"/>
                    </pic:cNvPicPr>
                  </pic:nvPicPr>
                  <pic:blipFill>
                    <a:blip r:embed="rId4"/>
                    <a:stretch>
                      <a:fillRect/>
                    </a:stretch>
                  </pic:blipFill>
                  <pic:spPr>
                    <a:xfrm>
                      <a:off x="0" y="0"/>
                      <a:ext cx="304800" cy="304800"/>
                    </a:xfrm>
                    <a:prstGeom prst="rect">
                      <a:avLst/>
                    </a:prstGeom>
                    <a:noFill/>
                    <a:ln w="9525">
                      <a:noFill/>
                    </a:ln>
                  </pic:spPr>
                </pic:pic>
              </a:graphicData>
            </a:graphic>
          </wp:inline>
        </w:drawing>
      </w:r>
    </w:p>
    <w:p>
      <w:pPr>
        <w:rPr>
          <w:rFonts w:hint="eastAsia" w:eastAsia="微软雅黑"/>
          <w:lang w:eastAsia="zh-CN"/>
        </w:rPr>
      </w:pPr>
      <w:bookmarkStart w:id="0" w:name="_GoBack"/>
      <w:r>
        <w:rPr>
          <w:rFonts w:hint="eastAsia" w:eastAsia="微软雅黑"/>
          <w:lang w:eastAsia="zh-CN"/>
        </w:rPr>
        <w:drawing>
          <wp:inline distT="0" distB="0" distL="114300" distR="114300">
            <wp:extent cx="5266690" cy="3950335"/>
            <wp:effectExtent l="0" t="0" r="12065" b="10160"/>
            <wp:docPr id="2" name="图片 2" descr="K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K6"/>
                    <pic:cNvPicPr>
                      <a:picLocks noChangeAspect="1"/>
                    </pic:cNvPicPr>
                  </pic:nvPicPr>
                  <pic:blipFill>
                    <a:blip r:embed="rId5"/>
                    <a:stretch>
                      <a:fillRect/>
                    </a:stretch>
                  </pic:blipFill>
                  <pic:spPr>
                    <a:xfrm rot="16200000">
                      <a:off x="0" y="0"/>
                      <a:ext cx="5266690" cy="3950335"/>
                    </a:xfrm>
                    <a:prstGeom prst="rect">
                      <a:avLst/>
                    </a:prstGeom>
                  </pic:spPr>
                </pic:pic>
              </a:graphicData>
            </a:graphic>
          </wp:inline>
        </w:drawing>
      </w:r>
      <w:bookmarkEnd w:id="0"/>
    </w:p>
    <w:p/>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233CD3F"/>
    <w:multiLevelType w:val="singleLevel"/>
    <w:tmpl w:val="B233CD3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554E13"/>
    <w:rsid w:val="15554E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NUL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2020-12-05T01:52:00Z</dcterms:created>
  <dc:creator>Administrator</dc:creator>
  <cp:lastModifiedBy>Administrator</cp:lastModifiedBy>
  <dcterms:modified xsi:type="dcterms:W3CDTF">2020-12-05T01:57:38Z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