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</w:rPr>
        <w:t>河南省院士工作站建设推荐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河南省院士工作站建设推荐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院士工作站管理办法发》（豫科〔2017〕169号）第九条“院士工作站由符合条件的单位自愿申请，程序是：（一）填写《河南省院士工作站建设申请书》，并附相关证明材料，经主管部门审核确认后报省院士工作办公室。新型研发机构可经所在地科技主管部门推荐上报。”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河南省院士工作站建站申请书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河南省院士工作站建设申请书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固话咨询:0377-63134946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 徐涛 ；办理时限：2个工作日；审查标准：材料统一受理；办理结果：受理材料转交科室；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环节名称：决定；办理人：袁廷海；办理时限：2个工作日；审查标准：审核材料；办理结果：行文推荐；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3" name="图片 3" descr="K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K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微软雅黑"/>
          <w:lang w:eastAsia="zh-CN"/>
        </w:rPr>
      </w:pPr>
    </w:p>
    <w:p/>
    <w:p/>
    <w:p/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723AC"/>
    <w:multiLevelType w:val="singleLevel"/>
    <w:tmpl w:val="4B4723A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F166D"/>
    <w:rsid w:val="6CDF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2020-12-05T02:06:00Z</dcterms:created>
  <dc:creator>Administrator</dc:creator>
  <cp:lastModifiedBy>Administrator</cp:lastModifiedBy>
  <dcterms:modified xsi:type="dcterms:W3CDTF">2020-12-05T02:08:40Z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