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bookmarkStart w:id="0" w:name="_GoBack"/>
      <w:r>
        <w:rPr>
          <w:rFonts w:hint="eastAsia" w:ascii="黑体" w:hAnsi="黑体" w:eastAsia="黑体" w:cs="黑体"/>
          <w:b/>
          <w:bCs/>
          <w:sz w:val="36"/>
          <w:szCs w:val="36"/>
        </w:rPr>
        <w:t>省级工程技术研究中心建设审核推荐</w:t>
      </w:r>
      <w:bookmarkEnd w:id="0"/>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省级工程技术研究中心建设审核推荐</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共河南省委河南省人民政府关于加快自主创新体系建设促进创新驱动发展的意见》(豫发〔2013〕7号)第七条:“(二十)构建人才创新发展平台。通过建设重点实验室、工程技术研究中心、……等,为高层次科技人才创新创业创造条件。”2.《河南省人民政府关于进一步推进自主创新体系建设的实施意见》(豫政〔2011〕30号)第四条:“(十)支持企业建立研发中心。引导和支持企业加强技术研发能力建设,省工程技术类研究中心和实验室优先在具备条件的行业骨干企业布局。”3.《关于印发河南省科学技术厅主要职责内设机构和人员编制规定的通知》(豫政办〔2014〕77号)“组织省级工程技术研究中心等科技创新基地的规划布局和建设。”</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0" w:leftChars="0" w:firstLine="0"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河南省工程技术研究中心申请书</w:t>
      </w:r>
    </w:p>
    <w:p>
      <w:pPr>
        <w:numPr>
          <w:ilvl w:val="0"/>
          <w:numId w:val="1"/>
        </w:numPr>
        <w:adjustRightInd/>
        <w:snapToGrid/>
        <w:spacing w:after="0"/>
        <w:ind w:left="0" w:leftChars="0" w:firstLine="0"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河南省工程技术研究中心可行性研究报告</w:t>
      </w:r>
    </w:p>
    <w:p>
      <w:pPr>
        <w:numPr>
          <w:ilvl w:val="0"/>
          <w:numId w:val="1"/>
        </w:numPr>
        <w:adjustRightInd/>
        <w:snapToGrid/>
        <w:spacing w:after="0"/>
        <w:ind w:left="0" w:leftChars="0" w:firstLine="0"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河南省工程技术研究中心申请书</w:t>
      </w:r>
    </w:p>
    <w:p>
      <w:pPr>
        <w:numPr>
          <w:ilvl w:val="0"/>
          <w:numId w:val="1"/>
        </w:numPr>
        <w:adjustRightInd/>
        <w:snapToGrid/>
        <w:spacing w:after="0"/>
        <w:ind w:left="0" w:leftChars="0" w:firstLine="0"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河南省工程技术研究中心可行性研究报告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固话咨询:0377-63134946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固话投诉:0377-63165555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环节名称：受理；办理人：徐涛；办理时限：2个工作日；审查标准：材料统一受理；办理结果：受理材料转交科室；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环节名称：决定；办理人：程进远；办理时限：2个工作日；审查标准：审核材料；办理结果：行文推荐；</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流程图：</w:t>
      </w:r>
    </w:p>
    <w:p>
      <w:pPr>
        <w:rPr>
          <w:rFonts w:hint="eastAsia" w:eastAsia="微软雅黑"/>
          <w:lang w:eastAsia="zh-CN"/>
        </w:rPr>
      </w:pPr>
    </w:p>
    <w:p>
      <w:pPr>
        <w:rPr>
          <w:rFonts w:hint="eastAsia" w:eastAsia="微软雅黑"/>
          <w:lang w:eastAsia="zh-CN"/>
        </w:rPr>
      </w:pPr>
    </w:p>
    <w:p>
      <w:pPr>
        <w:rPr>
          <w:rFonts w:hint="eastAsia" w:eastAsia="微软雅黑"/>
          <w:lang w:eastAsia="zh-CN"/>
        </w:rPr>
      </w:pPr>
      <w:r>
        <w:rPr>
          <w:rFonts w:hint="eastAsia" w:eastAsia="微软雅黑"/>
          <w:lang w:eastAsia="zh-CN"/>
        </w:rPr>
        <w:drawing>
          <wp:inline distT="0" distB="0" distL="114300" distR="114300">
            <wp:extent cx="5266690" cy="3950335"/>
            <wp:effectExtent l="0" t="0" r="10160" b="12065"/>
            <wp:docPr id="1" name="图片 1" descr="k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k14"/>
                    <pic:cNvPicPr>
                      <a:picLocks noChangeAspect="1"/>
                    </pic:cNvPicPr>
                  </pic:nvPicPr>
                  <pic:blipFill>
                    <a:blip r:embed="rId4"/>
                    <a:stretch>
                      <a:fillRect/>
                    </a:stretch>
                  </pic:blipFill>
                  <pic:spPr>
                    <a:xfrm>
                      <a:off x="0" y="0"/>
                      <a:ext cx="5266690" cy="3950335"/>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58C397"/>
    <w:multiLevelType w:val="singleLevel"/>
    <w:tmpl w:val="F658C39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400564"/>
    <w:rsid w:val="2B400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2020-12-05T02:27:00Z</dcterms:created>
  <dc:creator>Administrator</dc:creator>
  <cp:lastModifiedBy>Administrator</cp:lastModifiedBy>
  <dcterms:modified xsi:type="dcterms:W3CDTF">2020-12-05T02:30:17Z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