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备案制的建设项目临时占用林地许可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备案制的建设项目临时占用林地许可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八条：“需要临时使用林地的，应当经县级以上人民政府林业主管部门批准；临时使用林地的期限一般不超过二年，并不得在临时使用的林地上修建永久性建筑物。临时使用林地期满后一年内，用地单位或者个人应当恢复植被和林业生产条件。”</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符合城镇规划的建设项目的材料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备案制的建设项目批准文件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临时占用林地恢复林业生产条件的协议</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用地单位提供原地恢复林业生产条件的方案或者与林权权利人签订的临时占用林地恢复林业生产条件的协议，包括恢复面积、恢复措施、时间安排、</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spacing w:line="220" w:lineRule="atLeast"/>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 ；办理人：服务窗口；办理时限：0；审查标准：申请人通过政务网上传材料；办理结果：材料上传完成，提交受理；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 ；办理人：党博；办理时限：2；审查标准：市林业局窗口收到县区上传文件2日内做出是否受理。；办理结果：1、材料不齐或不符合法定形式，2个工作日内一次性告知补正的全部材料；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 ；办理人：邹平洲；办理时限：6；审查标准：审核材料内容；办理结果：1、符合上报条件，报送省局。</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2、不符合上报条件、标准的，做出退回重报。；</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B4CA0"/>
    <w:multiLevelType w:val="singleLevel"/>
    <w:tmpl w:val="1CCB4CA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0D92520"/>
    <w:rsid w:val="57E52708"/>
    <w:rsid w:val="58B928BD"/>
    <w:rsid w:val="59AC68F5"/>
    <w:rsid w:val="5C586061"/>
    <w:rsid w:val="68170419"/>
    <w:rsid w:val="68572F5E"/>
    <w:rsid w:val="688F20A4"/>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2020-12-05T14:03:27Z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