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宗教、殡葬设施等建设项目临时占用林地许可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宗教、殡葬设施等建设项目临时占用林地许可</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八条：“需要临时使用林地的，应当经县级以上人民政府林业主管部门批准；临时使用林地的期限一般不超过二年，并不得在临时使用的林地上修建永久性建筑物。临时使用林地期满后一年内，用地单位或者个人应当恢复植被和林业生产条件。”</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项目所在地林业部门出具的使用林地现场查验表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使用林地单位的资质证明或者个人的身份证明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符合城镇规划的建设项目的材料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宗教、殡葬的建设项目批准文件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临时占用林地恢复林业生产条件的协议</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用地单位提供原地恢复林业生产条件的方案或者与林权权利人签订的临时占用林地恢复林业生产条件的协议，包括恢复面积、恢复措施、时间安排、</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环节名称：收件；办理人：服务窗口；办理时限：0；审查标准：申请人通过政务网上传材料。；办理结果： 材料上传完成，提交受理；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环节名称：受理；办理人：党博；办理时限：2；审查标准：市林业局窗口收到县区上传文件2日内做出是否受理。；办理结果：1、材料不齐或不符合法定形式，2个工作日内一次性告知补正的全部材料；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2、申请材料齐全且符合法定形式，予以受理。；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环节名称：审核；办理人：邹平洲；办理时限：3；审查标准：审核材料内容。；办理结果：1、符合上报条件，报送省局。</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2、不符合上报条件、标准的，做出退回重报。；</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决定；办理人：邹平洲；办理时限：1；审查标准：市林业局在三个工作日内，做出是否准予许可的决定。；办理结果：1、准予许可，通知申请人缴纳植被恢复费，出具行政许可决定。2、不予许可，告知申请人不予许可的理由。；</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环节名称：送达；办理人：张爱玲；办理时限：0、5；审查标准：寄送审核同意书 ；办理结果： 通知申请人注意查收；</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23129"/>
    <w:multiLevelType w:val="singleLevel"/>
    <w:tmpl w:val="1952312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2AE5744"/>
    <w:rsid w:val="1C5C1B6B"/>
    <w:rsid w:val="23C76385"/>
    <w:rsid w:val="36B92F09"/>
    <w:rsid w:val="3C8500DD"/>
    <w:rsid w:val="3E1E2576"/>
    <w:rsid w:val="487C65EB"/>
    <w:rsid w:val="4A610575"/>
    <w:rsid w:val="52832104"/>
    <w:rsid w:val="57E52708"/>
    <w:rsid w:val="58B928BD"/>
    <w:rsid w:val="59AC68F5"/>
    <w:rsid w:val="5C586061"/>
    <w:rsid w:val="68170419"/>
    <w:rsid w:val="68572F5E"/>
    <w:rsid w:val="688F20A4"/>
    <w:rsid w:val="71D72AA7"/>
    <w:rsid w:val="73EF33B5"/>
    <w:rsid w:val="76B77BAE"/>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2020-12-05T13:44:25Z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