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备案制的建设项目占用林地许可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备案制的建设项目占用林地许可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备案制的建设项目批准文件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环节名称：收件；办理人：服务窗口；办理时限：0；审查标准：申请人通过政务网上传材料。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；办理结果：   材料上传完成，提交受理；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环节名称：审核；办理人：邹平洲；办理时限：6；审查标准：审核材料内容。；办理结果：1、符合上报条件，报送省局。</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2、不符合上报条件、标准的，做出退回。；</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0EE60"/>
    <w:multiLevelType w:val="singleLevel"/>
    <w:tmpl w:val="1CC0EE6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572F5E"/>
    <w:rsid w:val="688F20A4"/>
    <w:rsid w:val="71D72AA7"/>
    <w:rsid w:val="73EF33B5"/>
    <w:rsid w:val="757A05C8"/>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2020-12-05T13:59:37Z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