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在渔港内新建、改建、扩建各种设施，或者进行其他水上、水下施工作业审批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在渔港内新建、改建、扩建各种设施，或者进行其他水上、水下施工作业审批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渔港水域交通安全管理条例》（1989年7月3日国务院令第38号，2011年1月8日予以修改）第九条：在渔港内新建、改建、扩建各种设施，或者进行其他水上、水下施工作业，除依照国家规定履行审批手续外，应当报请渔政渔港监督管理机关批准。渔政渔港监督管理机关批准后，应当事先发布航行通告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建设工程项目环境评价报告书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港内建设工程名称、建设内容及相关图纸材料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无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渔港区域施工作业许可申请审批表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营业执照或中华人民共和国居民身份证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施工作业方案及应急预案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施工作业船舶的船舶证书和船员适任证书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建设单位资质证书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申请表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lang w:val="en-US" w:eastAsia="zh-CN"/>
        </w:rPr>
        <w:t>20个工作日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固话咨询:0377-61387729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</w:rPr>
        <w:t>一、固话投诉:0377-61387772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乘1路、6路、15路、22路、27、32路公交，在南都路南阳市民服务中心公交站下车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收件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；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审核；办理人：倪全胜；办理时限：3个工作日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决定；办理人：李光白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送达；办理人：张秋菊；办理时限：即时；审查标准：在作出决定当日通知申请人，及时向申请人送达审批服务事项办理结果。；办理结果：根据申请人选择的送达方式送达相应行政许可文书。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  <w:bookmarkStart w:id="0" w:name="_GoBack"/>
      <w:r>
        <w:drawing>
          <wp:inline distT="0" distB="0" distL="114300" distR="114300">
            <wp:extent cx="5272405" cy="430339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FB21CB"/>
    <w:multiLevelType w:val="singleLevel"/>
    <w:tmpl w:val="ACFB21C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8798EE9"/>
    <w:multiLevelType w:val="singleLevel"/>
    <w:tmpl w:val="C8798EE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3A57744"/>
    <w:rsid w:val="29605D5F"/>
    <w:rsid w:val="34352DFC"/>
    <w:rsid w:val="3474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2020-12-05T01:51:54Z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