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rPr>
      </w:pPr>
      <w:r>
        <w:rPr>
          <w:rFonts w:hint="eastAsia"/>
        </w:rPr>
        <w:t>水产苗种生产审批</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水产苗种生产审批</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 xml:space="preserve">一、《中华人民共和国渔业法》（全国人民代表大会常务委员会2013年12月28日修正）第十六条第三款：水产苗种的生产由县级以上地方人民政府渔业行政主管部门审批。但是，渔业生产者自育、自用水产苗种的除外。          </w:t>
      </w:r>
    </w:p>
    <w:p>
      <w:pPr>
        <w:spacing w:line="220" w:lineRule="atLeast"/>
        <w:rPr>
          <w:rFonts w:hint="eastAsia" w:ascii="宋体" w:hAnsi="宋体" w:eastAsia="宋体" w:cs="宋体"/>
        </w:rPr>
      </w:pPr>
      <w:r>
        <w:rPr>
          <w:rFonts w:hint="eastAsia" w:ascii="宋体" w:hAnsi="宋体" w:eastAsia="宋体" w:cs="宋体"/>
        </w:rPr>
        <w:t>二、《水产苗种管理办法》（农业部2001年12月8日颁布 2005年1月5日修订）第十一条单位和个人从事水产苗种生产，应当经县级以上地方人民政府渔业行政主管部门批准，取得水产苗种生产许可证。但是，渔业生产者自育、自用水产苗种的除外。省级人民政府渔业行政主管部门负责水产原、良种场的水产苗种生产许可证的核发工作；其他水产苗种生产许可证发放权限由省级人民政府渔业行政主管部门规定。 第十七条　县级以上人民政府渔业行政主管部门应当组织有关质量检验机构对辖区内苗种场的亲本和稚、幼体质量进行检验，检验不合格的，给予警告，限期整改；到期仍不合格的，由发证机关收回并注销水产苗种生产许可证。</w:t>
      </w:r>
    </w:p>
    <w:p>
      <w:pPr>
        <w:spacing w:line="220" w:lineRule="atLeast"/>
        <w:rPr>
          <w:rFonts w:hint="eastAsia" w:ascii="宋体" w:hAnsi="宋体" w:eastAsia="宋体" w:cs="宋体"/>
        </w:rPr>
      </w:pPr>
      <w:r>
        <w:rPr>
          <w:rFonts w:hint="eastAsia" w:ascii="宋体" w:hAnsi="宋体" w:eastAsia="宋体" w:cs="宋体"/>
        </w:rPr>
        <w:t>三、《河南省水产苗种管理办法》第十条凡是在全省范围内从事水产苗种生产的单位和个人都必须办理河南省水产苗种生产许可证，渔业生产单位自育、自用的水产苗种，经县级以上渔业行政主管部门审核，可免办理。省人民政府渔业行政主管部门负责水产原、良种场的水产苗种生产许可证的核发工作；其他水产苗种繁育场的水产苗种生产许可证由所在地县级以上人民政府渔业行政主管部门核发，并报省、市渔业行政主管部门备案。</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b w:val="0"/>
          <w:bCs/>
        </w:rPr>
      </w:pPr>
      <w:r>
        <w:rPr>
          <w:rFonts w:hint="eastAsia"/>
          <w:b w:val="0"/>
          <w:bCs/>
        </w:rPr>
        <w:t>与水产苗种生产和质量检验相适应的专业技术人员材料</w:t>
      </w:r>
    </w:p>
    <w:p>
      <w:pPr>
        <w:numPr>
          <w:ilvl w:val="0"/>
          <w:numId w:val="1"/>
        </w:numPr>
        <w:spacing w:line="220" w:lineRule="atLeast"/>
        <w:ind w:left="425" w:leftChars="0" w:hanging="425" w:firstLineChars="0"/>
        <w:rPr>
          <w:rFonts w:hint="eastAsia"/>
          <w:b w:val="0"/>
          <w:bCs/>
        </w:rPr>
      </w:pPr>
      <w:r>
        <w:rPr>
          <w:rFonts w:hint="eastAsia"/>
          <w:b w:val="0"/>
          <w:bCs/>
        </w:rPr>
        <w:t>来源于原、良种场、质量符合种质标准的用于繁殖的亲本证明材料</w:t>
      </w:r>
    </w:p>
    <w:p>
      <w:pPr>
        <w:numPr>
          <w:ilvl w:val="0"/>
          <w:numId w:val="1"/>
        </w:numPr>
        <w:spacing w:line="220" w:lineRule="atLeast"/>
        <w:ind w:left="425" w:leftChars="0" w:hanging="425" w:firstLineChars="0"/>
        <w:rPr>
          <w:rFonts w:hint="eastAsia"/>
          <w:b w:val="0"/>
          <w:bCs/>
        </w:rPr>
      </w:pPr>
      <w:r>
        <w:rPr>
          <w:rFonts w:hint="eastAsia"/>
          <w:b w:val="0"/>
          <w:bCs/>
        </w:rPr>
        <w:t>来源于原、良种场、质量符合种质标准的用于繁殖的亲本证明材料</w:t>
      </w:r>
    </w:p>
    <w:p>
      <w:pPr>
        <w:numPr>
          <w:ilvl w:val="0"/>
          <w:numId w:val="1"/>
        </w:numPr>
        <w:spacing w:line="220" w:lineRule="atLeast"/>
        <w:ind w:left="425" w:leftChars="0" w:hanging="425" w:firstLineChars="0"/>
        <w:rPr>
          <w:rFonts w:hint="eastAsia"/>
          <w:b w:val="0"/>
          <w:bCs/>
        </w:rPr>
      </w:pPr>
      <w:r>
        <w:rPr>
          <w:rFonts w:hint="eastAsia"/>
          <w:b w:val="0"/>
          <w:bCs/>
        </w:rPr>
        <w:t>水产苗种生产审批申请表</w:t>
      </w:r>
    </w:p>
    <w:p>
      <w:pPr>
        <w:numPr>
          <w:ilvl w:val="0"/>
          <w:numId w:val="1"/>
        </w:numPr>
        <w:spacing w:line="220" w:lineRule="atLeast"/>
        <w:ind w:left="425" w:leftChars="0" w:hanging="425" w:firstLineChars="0"/>
        <w:rPr>
          <w:rFonts w:hint="eastAsia"/>
          <w:b w:val="0"/>
          <w:bCs/>
        </w:rPr>
      </w:pPr>
      <w:r>
        <w:rPr>
          <w:rFonts w:hint="eastAsia"/>
          <w:b w:val="0"/>
          <w:bCs/>
        </w:rPr>
        <w:t>水产苗种生产申请表</w:t>
      </w:r>
    </w:p>
    <w:p>
      <w:pPr>
        <w:numPr>
          <w:ilvl w:val="0"/>
          <w:numId w:val="1"/>
        </w:numPr>
        <w:spacing w:line="220" w:lineRule="atLeast"/>
        <w:ind w:left="425" w:leftChars="0" w:hanging="425" w:firstLineChars="0"/>
        <w:rPr>
          <w:rFonts w:hint="eastAsia"/>
          <w:b w:val="0"/>
          <w:bCs/>
        </w:rPr>
      </w:pPr>
      <w:r>
        <w:rPr>
          <w:rFonts w:hint="eastAsia"/>
          <w:b w:val="0"/>
          <w:bCs/>
        </w:rPr>
        <w:t>生产场地用地协议</w:t>
      </w:r>
    </w:p>
    <w:p>
      <w:pPr>
        <w:numPr>
          <w:ilvl w:val="0"/>
          <w:numId w:val="1"/>
        </w:numPr>
        <w:spacing w:line="220" w:lineRule="atLeast"/>
        <w:ind w:left="425" w:leftChars="0" w:hanging="425" w:firstLineChars="0"/>
        <w:rPr>
          <w:rFonts w:hint="eastAsia"/>
          <w:b w:val="0"/>
          <w:bCs/>
        </w:rPr>
      </w:pPr>
      <w:r>
        <w:rPr>
          <w:rFonts w:hint="eastAsia"/>
          <w:b w:val="0"/>
          <w:bCs/>
        </w:rPr>
        <w:t>生产场地用地协议</w:t>
      </w:r>
    </w:p>
    <w:p>
      <w:pPr>
        <w:numPr>
          <w:ilvl w:val="0"/>
          <w:numId w:val="1"/>
        </w:numPr>
        <w:spacing w:line="220" w:lineRule="atLeast"/>
        <w:ind w:left="425" w:leftChars="0" w:hanging="425" w:firstLineChars="0"/>
        <w:rPr>
          <w:rFonts w:hint="eastAsia"/>
          <w:b w:val="0"/>
          <w:bCs/>
        </w:rPr>
      </w:pPr>
      <w:r>
        <w:rPr>
          <w:rFonts w:hint="eastAsia"/>
          <w:b w:val="0"/>
          <w:bCs/>
        </w:rPr>
        <w:t>符合水产苗种生产技术操作规程要求的生产条件和设施材料</w:t>
      </w:r>
    </w:p>
    <w:p>
      <w:pPr>
        <w:numPr>
          <w:ilvl w:val="0"/>
          <w:numId w:val="1"/>
        </w:numPr>
        <w:spacing w:line="220" w:lineRule="atLeast"/>
        <w:ind w:left="425" w:leftChars="0" w:hanging="425" w:firstLineChars="0"/>
        <w:rPr>
          <w:rFonts w:hint="eastAsia"/>
          <w:b w:val="0"/>
          <w:bCs/>
        </w:rPr>
      </w:pPr>
      <w:r>
        <w:rPr>
          <w:rFonts w:hint="eastAsia"/>
          <w:b w:val="0"/>
          <w:bCs/>
        </w:rPr>
        <w:t>与水产苗种生产和质量检验相适应的专业技术人员证明材料</w:t>
      </w:r>
    </w:p>
    <w:p>
      <w:pPr>
        <w:numPr>
          <w:ilvl w:val="0"/>
          <w:numId w:val="1"/>
        </w:numPr>
        <w:spacing w:line="220" w:lineRule="atLeast"/>
        <w:ind w:left="425" w:leftChars="0" w:hanging="425" w:firstLineChars="0"/>
        <w:rPr>
          <w:rFonts w:hint="eastAsia"/>
          <w:b w:val="0"/>
          <w:bCs/>
        </w:rPr>
      </w:pPr>
      <w:r>
        <w:rPr>
          <w:rFonts w:hint="eastAsia"/>
          <w:b w:val="0"/>
          <w:bCs/>
        </w:rPr>
        <w:t>符合水产苗种生产技术操作规程要求的生产条件和设施证明材料</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5</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spacing w:line="220" w:lineRule="atLeast"/>
        <w:rPr>
          <w:rFonts w:hint="eastAsia" w:ascii="宋体" w:hAnsi="宋体" w:eastAsia="宋体" w:cs="宋体"/>
          <w:color w:val="000000"/>
        </w:rPr>
      </w:pPr>
      <w:r>
        <w:rPr>
          <w:rFonts w:hint="eastAsia" w:ascii="宋体" w:hAnsi="宋体" w:eastAsia="宋体" w:cs="宋体"/>
          <w:color w:val="000000"/>
        </w:rPr>
        <w:t xml:space="preserve">0377-61387772   </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乘坐1路、14路、22路、6路、30路、32路、35路、36路公交车，在范蠡路南阳市民服务中心（南阳市人才市场）下车；或乘坐1路、6路、30路、14路、35路，到南都路南阳市民服务中心下车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收件 ；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r>
        <w:rPr>
          <w:rFonts w:hint="eastAsia" w:ascii="宋体" w:hAnsi="宋体" w:eastAsia="宋体" w:cs="宋体"/>
          <w:b w:val="0"/>
          <w:bCs/>
          <w:color w:val="000000"/>
          <w:lang w:eastAsia="zh-CN"/>
        </w:rPr>
        <w:t>。</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受理 ；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r>
        <w:rPr>
          <w:rFonts w:hint="eastAsia" w:ascii="宋体" w:hAnsi="宋体" w:eastAsia="宋体" w:cs="宋体"/>
          <w:b w:val="0"/>
          <w:bCs/>
          <w:color w:val="000000"/>
          <w:lang w:eastAsia="zh-CN"/>
        </w:rPr>
        <w:t>。</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环节名称：审核 ；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决定 ；办理人：李光白；办理时限：1个工作日；审查标准：复核申请材料和审查环节作出审批意见意见，并在承诺时限内做出是否同意申请事项的决定；办理结果：1、同意批准的，承诺时限内送达《准予行政许可决定书》和《水产苗种生产许可证》；2、不同意批准的，承诺时限内送达《不予行政许可决定书》。；</w:t>
      </w:r>
    </w:p>
    <w:p>
      <w:pPr>
        <w:numPr>
          <w:ilvl w:val="0"/>
          <w:numId w:val="2"/>
        </w:numPr>
        <w:adjustRightInd/>
        <w:snapToGrid/>
        <w:spacing w:after="0"/>
        <w:ind w:left="0" w:leftChars="0" w:firstLine="420" w:firstLineChars="0"/>
        <w:rPr>
          <w:rFonts w:ascii="宋体" w:hAnsi="宋体" w:eastAsia="宋体" w:cs="宋体"/>
          <w:color w:val="000000"/>
        </w:rPr>
      </w:pPr>
      <w:r>
        <w:rPr>
          <w:rFonts w:hint="eastAsia" w:ascii="宋体" w:hAnsi="宋体" w:eastAsia="宋体" w:cs="宋体"/>
          <w:b w:val="0"/>
          <w:bCs/>
          <w:color w:val="000000"/>
        </w:rPr>
        <w:t>送达 ；办理人：张秋菊；办理时限：即时；审查标准：在作出决定当日通知申请人，及时向申请人送达审批服务事项办理结果。；办理结果：根据申请人选择的送达方式送达相应行政许可文书。</w:t>
      </w:r>
    </w:p>
    <w:p>
      <w:pPr>
        <w:spacing w:line="220" w:lineRule="atLeast"/>
        <w:rPr>
          <w:b/>
        </w:rPr>
      </w:pPr>
      <w:r>
        <w:rPr>
          <w:rFonts w:hint="eastAsia"/>
          <w:b/>
        </w:rPr>
        <w:t>流程图：</w:t>
      </w:r>
    </w:p>
    <w:p>
      <w:pPr>
        <w:spacing w:line="220" w:lineRule="atLeast"/>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A879F3"/>
    <w:multiLevelType w:val="singleLevel"/>
    <w:tmpl w:val="AFA879F3"/>
    <w:lvl w:ilvl="0" w:tentative="0">
      <w:start w:val="1"/>
      <w:numFmt w:val="chineseCounting"/>
      <w:suff w:val="nothing"/>
      <w:lvlText w:val="%1、"/>
      <w:lvlJc w:val="left"/>
      <w:pPr>
        <w:ind w:left="0" w:firstLine="420"/>
      </w:pPr>
      <w:rPr>
        <w:rFonts w:hint="eastAsia"/>
      </w:rPr>
    </w:lvl>
  </w:abstractNum>
  <w:abstractNum w:abstractNumId="1">
    <w:nsid w:val="E3285956"/>
    <w:multiLevelType w:val="singleLevel"/>
    <w:tmpl w:val="E3285956"/>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16053382"/>
    <w:rsid w:val="2B71569A"/>
    <w:rsid w:val="37510672"/>
    <w:rsid w:val="5E4636DE"/>
    <w:rsid w:val="74AF5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86</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2020-12-05T01:39:06Z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