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rPr>
      </w:pPr>
      <w:r>
        <w:rPr>
          <w:rFonts w:hint="eastAsia"/>
          <w:b/>
        </w:rPr>
        <w:t>种畜禽生产经营许可（变更）</w:t>
      </w:r>
    </w:p>
    <w:p>
      <w:pPr>
        <w:spacing w:line="220" w:lineRule="atLeast"/>
        <w:rPr>
          <w:rFonts w:hint="eastAsia"/>
          <w:b/>
        </w:rPr>
      </w:pPr>
      <w:r>
        <w:rPr>
          <w:rFonts w:hint="eastAsia"/>
          <w:b/>
        </w:rPr>
        <w:t>实施主体：</w:t>
      </w:r>
    </w:p>
    <w:p>
      <w:pPr>
        <w:spacing w:line="220" w:lineRule="atLeast"/>
        <w:rPr>
          <w:rFonts w:hint="eastAsia"/>
        </w:rPr>
      </w:pPr>
      <w:r>
        <w:rPr>
          <w:rFonts w:hint="eastAsia"/>
        </w:rPr>
        <w:t>南阳市农业农村局</w:t>
      </w:r>
    </w:p>
    <w:p>
      <w:pPr>
        <w:spacing w:line="220" w:lineRule="atLeast"/>
        <w:rPr>
          <w:rFonts w:hint="eastAsia"/>
          <w:b/>
        </w:rPr>
      </w:pPr>
      <w:r>
        <w:rPr>
          <w:rFonts w:hint="eastAsia"/>
          <w:b/>
        </w:rPr>
        <w:t>适用范围：</w:t>
      </w:r>
    </w:p>
    <w:p>
      <w:pPr>
        <w:spacing w:line="220" w:lineRule="atLeast"/>
        <w:rPr>
          <w:rFonts w:hint="eastAsia"/>
        </w:rPr>
      </w:pPr>
      <w:r>
        <w:rPr>
          <w:rFonts w:hint="eastAsia"/>
        </w:rPr>
        <w:t>种畜禽生产经营许可（变更）</w:t>
      </w:r>
    </w:p>
    <w:p>
      <w:pPr>
        <w:spacing w:line="220" w:lineRule="atLeast"/>
        <w:rPr>
          <w:b/>
        </w:rPr>
      </w:pPr>
      <w:r>
        <w:rPr>
          <w:rFonts w:hint="eastAsia"/>
          <w:b/>
        </w:rPr>
        <w:t>事项类别：</w:t>
      </w:r>
    </w:p>
    <w:p>
      <w:pPr>
        <w:spacing w:line="220" w:lineRule="atLeast"/>
      </w:pPr>
      <w:r>
        <w:rPr>
          <w:rFonts w:hint="eastAsia"/>
        </w:rPr>
        <w:t>行政许可</w:t>
      </w:r>
    </w:p>
    <w:p>
      <w:pPr>
        <w:spacing w:line="220" w:lineRule="atLeast"/>
        <w:rPr>
          <w:b/>
        </w:rPr>
      </w:pPr>
      <w:r>
        <w:rPr>
          <w:rFonts w:hint="eastAsia"/>
          <w:b/>
        </w:rPr>
        <w:t>实施依据：</w:t>
      </w:r>
    </w:p>
    <w:p>
      <w:pPr>
        <w:spacing w:line="220" w:lineRule="atLeast"/>
        <w:rPr>
          <w:rFonts w:hint="eastAsia"/>
        </w:rPr>
      </w:pPr>
      <w:r>
        <w:rPr>
          <w:rFonts w:hint="eastAsia"/>
        </w:rPr>
        <w:t>《中华人民共和国畜牧法》（2005年12月29日主席令第四十五号，2015年4月24日予以修改） 第二十二条第一款：从事种畜禽生产经营或者生产商品代仔畜、雏禽的单位、个人，应当取得种畜禽生产经营许可证……。第二十四条第一款：申请取得生产家畜卵子、冷冻精液、胚胎等遗传材料的生产经营许可证，应当向省级人民政府畜牧兽医行政主管部门提出申请。受理申请的畜牧兽医行政主管部门应当自收到申请之日起六十个工作日内依法决定是否发给生产经营许可证。其他种畜禽的生产经营许可证由县级以上地方人民政府畜牧兽医行政主管部门审核发放，具体审核发放办法由省级人民政府规定。</w:t>
      </w:r>
    </w:p>
    <w:p>
      <w:pPr>
        <w:spacing w:line="220" w:lineRule="atLeast"/>
        <w:rPr>
          <w:rFonts w:hint="eastAsia"/>
        </w:rPr>
      </w:pPr>
      <w:r>
        <w:rPr>
          <w:rFonts w:hint="eastAsia"/>
        </w:rPr>
        <w:t>《河南省人民政府办公厅关于转发河南省种畜禽生产经营许可证审核发放办法的通知》（豫政办〔2017〕150号）第七条：种畜禽生产经营许可证审核发放实行分级管理。第八条：申请取得生产家畜卵子、冷冻精液、胚胎等遗传材料的种畜禽生产经营许可证,由申请人向省畜牧兽医行政主管部门提出申请。第九条：申请取得畜禽原种场、保种场或者地方畜禽遗传资源场、一级良种扩繁场,配套系的曾祖代场、祖代场的种畜禽生产经营许可证,由申请人向省辖市或者省直管县(市)畜牧兽医行政主管部门提出申请。第十条：申请取得二级良种扩繁场、配套系的父母代场、种公猪站的种畜禽生产经营许可证,由申请人向县级畜牧兽医行政主管部门提出申请……申请人生产地址在省直管县(市)的,直接报省直管县(市)畜牧兽医行政主管部门审批。第十一条：申请取得家畜人工授精(配种)站及专门从事禽蛋孵化的种畜禽生产经营许可证,由申请人向县级畜牧兽医行政主管部门提出申请。第十五条：种畜禽生产经营许可证有效期满需继续从事种畜禽生产经营的,持证者应当在期满3个月前提出复验换证申请,并按本办法第八、九、十、十一条规定的程序办理。</w:t>
      </w:r>
    </w:p>
    <w:p>
      <w:pPr>
        <w:spacing w:line="220" w:lineRule="atLeast"/>
        <w:rPr>
          <w:rFonts w:hint="eastAsia"/>
          <w:b/>
        </w:rPr>
      </w:pPr>
      <w:r>
        <w:rPr>
          <w:rFonts w:hint="eastAsia"/>
          <w:b/>
        </w:rPr>
        <w:t>申请材料：</w:t>
      </w:r>
    </w:p>
    <w:p>
      <w:pPr>
        <w:numPr>
          <w:ilvl w:val="0"/>
          <w:numId w:val="1"/>
        </w:numPr>
        <w:spacing w:line="220" w:lineRule="atLeast"/>
        <w:ind w:left="425" w:leftChars="0" w:hanging="425" w:firstLineChars="0"/>
        <w:rPr>
          <w:rFonts w:hint="eastAsia"/>
        </w:rPr>
      </w:pPr>
      <w:r>
        <w:rPr>
          <w:rFonts w:hint="eastAsia"/>
        </w:rPr>
        <w:t>中华人民共和国居民身份证</w:t>
      </w:r>
    </w:p>
    <w:p>
      <w:pPr>
        <w:numPr>
          <w:ilvl w:val="0"/>
          <w:numId w:val="1"/>
        </w:numPr>
        <w:spacing w:line="220" w:lineRule="atLeast"/>
        <w:ind w:left="425" w:leftChars="0" w:hanging="425" w:firstLineChars="0"/>
        <w:rPr>
          <w:rFonts w:hint="eastAsia"/>
        </w:rPr>
      </w:pPr>
      <w:r>
        <w:rPr>
          <w:rFonts w:hint="eastAsia"/>
        </w:rPr>
        <w:t>需变更的证书复印件</w:t>
      </w:r>
    </w:p>
    <w:p>
      <w:pPr>
        <w:numPr>
          <w:ilvl w:val="0"/>
          <w:numId w:val="1"/>
        </w:numPr>
        <w:spacing w:line="220" w:lineRule="atLeast"/>
        <w:ind w:left="425" w:leftChars="0" w:hanging="425" w:firstLineChars="0"/>
        <w:rPr>
          <w:rFonts w:hint="eastAsia"/>
        </w:rPr>
      </w:pPr>
      <w:r>
        <w:rPr>
          <w:rFonts w:hint="eastAsia"/>
        </w:rPr>
        <w:t>营业执照</w:t>
      </w:r>
    </w:p>
    <w:p>
      <w:pPr>
        <w:numPr>
          <w:ilvl w:val="0"/>
          <w:numId w:val="1"/>
        </w:numPr>
        <w:spacing w:line="220" w:lineRule="atLeast"/>
        <w:ind w:left="425" w:leftChars="0" w:hanging="425" w:firstLineChars="0"/>
        <w:rPr>
          <w:rFonts w:hint="eastAsia"/>
        </w:rPr>
      </w:pPr>
      <w:r>
        <w:rPr>
          <w:rFonts w:hint="eastAsia"/>
        </w:rPr>
        <w:t>农业农村厅委托书</w:t>
      </w:r>
    </w:p>
    <w:p>
      <w:pPr>
        <w:numPr>
          <w:ilvl w:val="0"/>
          <w:numId w:val="1"/>
        </w:numPr>
        <w:spacing w:line="220" w:lineRule="atLeast"/>
        <w:ind w:left="425" w:leftChars="0" w:hanging="425" w:firstLineChars="0"/>
        <w:rPr>
          <w:rFonts w:hint="eastAsia"/>
        </w:rPr>
      </w:pPr>
      <w:r>
        <w:rPr>
          <w:rFonts w:hint="eastAsia"/>
        </w:rPr>
        <w:t>企业法人代表和委托代理人身份证复印件，委托书，变更后的《工商营业执照》复印件</w:t>
      </w:r>
    </w:p>
    <w:p>
      <w:pPr>
        <w:numPr>
          <w:ilvl w:val="0"/>
          <w:numId w:val="1"/>
        </w:numPr>
        <w:spacing w:line="220" w:lineRule="atLeast"/>
        <w:ind w:left="425" w:leftChars="0" w:hanging="425" w:firstLineChars="0"/>
        <w:rPr>
          <w:rFonts w:hint="eastAsia"/>
        </w:rPr>
      </w:pPr>
      <w:r>
        <w:rPr>
          <w:rFonts w:hint="eastAsia"/>
        </w:rPr>
        <w:t>种畜禽生产经营许可证</w:t>
      </w:r>
    </w:p>
    <w:p>
      <w:pPr>
        <w:numPr>
          <w:ilvl w:val="0"/>
          <w:numId w:val="1"/>
        </w:numPr>
        <w:spacing w:line="220" w:lineRule="atLeast"/>
        <w:ind w:left="425" w:leftChars="0" w:hanging="425" w:firstLineChars="0"/>
        <w:rPr>
          <w:rFonts w:hint="eastAsia"/>
        </w:rPr>
      </w:pPr>
      <w:r>
        <w:rPr>
          <w:rFonts w:hint="eastAsia"/>
        </w:rPr>
        <w:t>种畜禽生产经营许可证变更申请</w:t>
      </w:r>
    </w:p>
    <w:p>
      <w:pPr>
        <w:numPr>
          <w:ilvl w:val="0"/>
          <w:numId w:val="1"/>
        </w:numPr>
        <w:spacing w:line="220" w:lineRule="atLeast"/>
        <w:ind w:left="425" w:leftChars="0" w:hanging="425" w:firstLineChars="0"/>
        <w:rPr>
          <w:rFonts w:hint="eastAsia"/>
        </w:rPr>
      </w:pPr>
      <w:r>
        <w:rPr>
          <w:rFonts w:hint="eastAsia"/>
        </w:rPr>
        <w:t>种畜禽生产经营许可证变更申请</w:t>
      </w:r>
    </w:p>
    <w:p>
      <w:pPr>
        <w:spacing w:line="220" w:lineRule="atLeast"/>
        <w:rPr>
          <w:rFonts w:hint="eastAsia"/>
          <w:b/>
        </w:rPr>
      </w:pPr>
    </w:p>
    <w:p>
      <w:pPr>
        <w:spacing w:line="220" w:lineRule="atLeast"/>
        <w:rPr>
          <w:rFonts w:hint="eastAsia"/>
          <w:b/>
        </w:rPr>
      </w:pPr>
      <w:r>
        <w:rPr>
          <w:rFonts w:hint="eastAsia"/>
          <w:b/>
        </w:rPr>
        <w:t>法定时限：</w:t>
      </w:r>
    </w:p>
    <w:p>
      <w:pPr>
        <w:numPr>
          <w:ilvl w:val="0"/>
          <w:numId w:val="0"/>
        </w:numPr>
        <w:spacing w:line="220" w:lineRule="atLeast"/>
        <w:ind w:leftChars="0"/>
        <w:rPr>
          <w:rFonts w:hint="eastAsia"/>
        </w:rPr>
      </w:pPr>
      <w:r>
        <w:rPr>
          <w:rFonts w:hint="eastAsia"/>
          <w:lang w:val="en-US" w:eastAsia="zh-CN"/>
        </w:rPr>
        <w:t>20</w:t>
      </w:r>
      <w:r>
        <w:rPr>
          <w:rFonts w:hint="eastAsia"/>
        </w:rPr>
        <w:t>个工作日</w:t>
      </w:r>
    </w:p>
    <w:p>
      <w:pPr>
        <w:spacing w:line="220" w:lineRule="atLeast"/>
        <w:rPr>
          <w:b/>
        </w:rPr>
      </w:pPr>
      <w:r>
        <w:rPr>
          <w:rFonts w:hint="eastAsia"/>
          <w:b/>
        </w:rPr>
        <w:t>承诺时限：</w:t>
      </w:r>
    </w:p>
    <w:p>
      <w:pPr>
        <w:spacing w:line="220" w:lineRule="atLeast"/>
      </w:pPr>
      <w:r>
        <w:rPr>
          <w:rFonts w:hint="eastAsia"/>
          <w:lang w:val="en-US" w:eastAsia="zh-CN"/>
        </w:rPr>
        <w:t>1</w:t>
      </w:r>
      <w:r>
        <w:rPr>
          <w:rFonts w:hint="eastAsia"/>
        </w:rPr>
        <w:t>个工作日。</w:t>
      </w:r>
    </w:p>
    <w:p>
      <w:pPr>
        <w:spacing w:line="220" w:lineRule="atLeast"/>
        <w:rPr>
          <w:b/>
        </w:rPr>
      </w:pPr>
      <w:r>
        <w:rPr>
          <w:rFonts w:hint="eastAsia"/>
          <w:b/>
        </w:rPr>
        <w:t>收费标准：</w:t>
      </w:r>
    </w:p>
    <w:p>
      <w:pPr>
        <w:spacing w:line="220" w:lineRule="atLeast"/>
        <w:rPr>
          <w:rFonts w:ascii="宋体" w:hAnsi="宋体" w:eastAsia="宋体" w:cs="宋体"/>
          <w:color w:val="000000"/>
        </w:rPr>
      </w:pPr>
      <w:r>
        <w:rPr>
          <w:rFonts w:hint="eastAsia" w:ascii="宋体" w:hAnsi="宋体" w:eastAsia="宋体" w:cs="宋体"/>
          <w:color w:val="000000"/>
        </w:rPr>
        <w:t>否</w:t>
      </w:r>
    </w:p>
    <w:p>
      <w:pPr>
        <w:spacing w:line="220" w:lineRule="atLeast"/>
        <w:rPr>
          <w:b/>
        </w:rPr>
      </w:pPr>
      <w:r>
        <w:rPr>
          <w:rFonts w:hint="eastAsia"/>
          <w:b/>
        </w:rPr>
        <w:t>咨询电话：</w:t>
      </w:r>
    </w:p>
    <w:p>
      <w:pPr>
        <w:adjustRightInd/>
        <w:snapToGrid/>
        <w:spacing w:after="0"/>
        <w:rPr>
          <w:rFonts w:ascii="宋体" w:hAnsi="宋体" w:eastAsia="宋体" w:cs="宋体"/>
          <w:color w:val="000000"/>
        </w:rPr>
      </w:pPr>
      <w:r>
        <w:rPr>
          <w:rFonts w:hint="eastAsia" w:ascii="宋体" w:hAnsi="宋体" w:eastAsia="宋体" w:cs="宋体"/>
          <w:color w:val="000000"/>
        </w:rPr>
        <w:t xml:space="preserve">0377-61387600  </w:t>
      </w:r>
      <w:r>
        <w:rPr>
          <w:rFonts w:hint="eastAsia" w:ascii="宋体" w:hAnsi="宋体" w:eastAsia="宋体" w:cs="宋体"/>
          <w:color w:val="000000"/>
        </w:rPr>
        <w:br w:type="textWrapping"/>
      </w:r>
    </w:p>
    <w:p>
      <w:pPr>
        <w:spacing w:line="220" w:lineRule="atLeast"/>
        <w:rPr>
          <w:b/>
        </w:rPr>
      </w:pPr>
      <w:r>
        <w:rPr>
          <w:rFonts w:hint="eastAsia"/>
          <w:b/>
        </w:rPr>
        <w:t>投诉电话：</w:t>
      </w:r>
    </w:p>
    <w:p>
      <w:pPr>
        <w:adjustRightInd/>
        <w:snapToGrid/>
        <w:spacing w:after="0"/>
        <w:rPr>
          <w:rFonts w:hint="eastAsia"/>
          <w:b/>
        </w:rPr>
      </w:pPr>
      <w:r>
        <w:rPr>
          <w:rFonts w:hint="eastAsia" w:ascii="宋体" w:hAnsi="宋体" w:eastAsia="宋体" w:cs="宋体"/>
          <w:color w:val="000000"/>
        </w:rPr>
        <w:t xml:space="preserve">0377-63162040 </w:t>
      </w:r>
      <w:r>
        <w:rPr>
          <w:rFonts w:hint="eastAsia" w:ascii="宋体" w:hAnsi="宋体" w:eastAsia="宋体" w:cs="宋体"/>
          <w:color w:val="000000"/>
        </w:rPr>
        <w:br w:type="textWrapping"/>
      </w:r>
    </w:p>
    <w:p>
      <w:pPr>
        <w:adjustRightInd/>
        <w:snapToGrid/>
        <w:spacing w:after="0"/>
        <w:rPr>
          <w:rFonts w:hint="eastAsia"/>
          <w:b/>
        </w:rPr>
      </w:pPr>
      <w:r>
        <w:rPr>
          <w:rFonts w:hint="eastAsia"/>
          <w:b/>
        </w:rPr>
        <w:t>办理地址：</w:t>
      </w:r>
    </w:p>
    <w:p>
      <w:pPr>
        <w:spacing w:line="220" w:lineRule="atLeast"/>
        <w:rPr>
          <w:rFonts w:hint="eastAsia"/>
        </w:rPr>
      </w:pPr>
      <w:r>
        <w:rPr>
          <w:rFonts w:hint="eastAsia"/>
        </w:rPr>
        <w:t>南阳市宛城区（县）仲景街道范蠡东路1666号3号楼一楼北厅综合受理窗口室（窗口）</w:t>
      </w:r>
    </w:p>
    <w:p>
      <w:pPr>
        <w:spacing w:line="220" w:lineRule="atLeast"/>
        <w:rPr>
          <w:b/>
        </w:rPr>
      </w:pPr>
      <w:r>
        <w:rPr>
          <w:rFonts w:hint="eastAsia"/>
          <w:b/>
        </w:rPr>
        <w:t>公交线路指引：</w:t>
      </w:r>
    </w:p>
    <w:p>
      <w:pPr>
        <w:adjustRightInd/>
        <w:snapToGrid/>
        <w:spacing w:after="0"/>
        <w:rPr>
          <w:rFonts w:ascii="宋体" w:hAnsi="宋体" w:eastAsia="宋体" w:cs="宋体"/>
          <w:color w:val="000000"/>
        </w:rPr>
      </w:pPr>
      <w:r>
        <w:rPr>
          <w:rFonts w:hint="eastAsia" w:ascii="宋体" w:hAnsi="宋体" w:eastAsia="宋体" w:cs="宋体"/>
          <w:color w:val="000000"/>
        </w:rPr>
        <w:t>乘1路、6路、14路、15路、22路、30路、32路、35路、36路等公交车到南阳市民服务中心</w:t>
      </w:r>
    </w:p>
    <w:p>
      <w:pPr>
        <w:spacing w:line="220" w:lineRule="atLeast"/>
        <w:rPr>
          <w:rFonts w:hint="eastAsia"/>
          <w:b/>
        </w:rPr>
      </w:pPr>
    </w:p>
    <w:p>
      <w:pPr>
        <w:spacing w:line="220" w:lineRule="atLeast"/>
        <w:rPr>
          <w:b/>
        </w:rPr>
      </w:pPr>
      <w:r>
        <w:rPr>
          <w:rFonts w:hint="eastAsia"/>
          <w:b/>
        </w:rPr>
        <w:t>结果领取方式：</w:t>
      </w:r>
    </w:p>
    <w:p>
      <w:pPr>
        <w:adjustRightInd/>
        <w:snapToGrid/>
        <w:spacing w:after="0"/>
        <w:rPr>
          <w:rFonts w:hint="eastAsia" w:ascii="宋体" w:hAnsi="宋体" w:eastAsia="宋体" w:cs="宋体"/>
          <w:color w:val="000000"/>
        </w:rPr>
      </w:pPr>
      <w:r>
        <w:rPr>
          <w:rFonts w:hint="eastAsia" w:ascii="宋体" w:hAnsi="宋体" w:eastAsia="宋体" w:cs="宋体"/>
          <w:color w:val="000000"/>
        </w:rPr>
        <w:t>窗口领取或邮寄</w:t>
      </w:r>
    </w:p>
    <w:p>
      <w:pPr>
        <w:adjustRightInd/>
        <w:snapToGrid/>
        <w:spacing w:after="0"/>
        <w:rPr>
          <w:rFonts w:ascii="宋体" w:hAnsi="宋体" w:eastAsia="宋体" w:cs="宋体"/>
          <w:color w:val="000000"/>
        </w:rPr>
      </w:pPr>
    </w:p>
    <w:p>
      <w:pPr>
        <w:spacing w:line="220" w:lineRule="atLeast"/>
        <w:rPr>
          <w:rFonts w:hint="eastAsia"/>
          <w:b/>
        </w:rPr>
      </w:pPr>
      <w:r>
        <w:rPr>
          <w:rFonts w:hint="eastAsia"/>
          <w:b/>
        </w:rPr>
        <w:t>流程环环节名称：</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收件 ；办理人：综合受理；办理时限：即时；审查标准：申请人通过南阳政务服务网、移动端和南阳市行政审批服务中心进行事项申请，提交申请材料并选择送达方式。；办理结果：提交有关申请材料能反映真实情况，并对其申请材料实质内容的真实性负责。</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环节名称：受理 ；办理人：张丛正；办理时限：即时；审查标准：对申请材料进行初步审核。经审核，申请材料齐全、符合法定形式的，决定予以受理。申请材料不齐全或者不符合法定形式的，应当当场告知申请人需要补正的全部内容。；办理结果：1、申请事项依法不属于本行政机关职权范围的出具《不予受理决定书》；2、材料不齐全或者不符合法定形式的，一次性告知需补齐补正的全部材料，出具《申请材料补正告知书》；3、申请材料齐全并且符合法定形式的，予以受理并出具《受理通知书》。</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环节名称：审核 ；办理人：庞孝义；办理时限：即时；审查标准：在受理申报材料后，由办理科室对申请材料进行实质性审查，并依法组织专家进行专家现场评审（专家现场评审和企业整改时间不包含在承诺工作日内）。；办理结果：1、申请主体符合法定条件、标准或要求的，作出同意批准意见；2、申请主体不符合法定条件、标准或要求的，作出不同意批准意见。</w:t>
      </w:r>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环节名称：决定 ；办理人：刘德奇；办理时限：即时；审查标准：复核申请材料和审查环节作出审批意见意见，并在承诺时限内做出是否同意申请事项的决定。；办理结果：1、同意批准的，承诺时限内送达《准予行政许可决定书2、不同意批准的，承诺时限内送达《不予行政许可决定书》。</w:t>
      </w:r>
      <w:bookmarkStart w:id="0" w:name="_GoBack"/>
      <w:bookmarkEnd w:id="0"/>
    </w:p>
    <w:p>
      <w:pPr>
        <w:numPr>
          <w:ilvl w:val="0"/>
          <w:numId w:val="2"/>
        </w:numPr>
        <w:adjustRightInd/>
        <w:snapToGrid/>
        <w:spacing w:after="0"/>
        <w:ind w:left="0" w:leftChars="0" w:firstLine="420" w:firstLineChars="0"/>
        <w:rPr>
          <w:rFonts w:hint="eastAsia" w:ascii="宋体" w:hAnsi="宋体" w:eastAsia="宋体" w:cs="宋体"/>
          <w:color w:val="000000"/>
        </w:rPr>
      </w:pPr>
      <w:r>
        <w:rPr>
          <w:rFonts w:hint="eastAsia" w:ascii="宋体" w:hAnsi="宋体" w:eastAsia="宋体" w:cs="宋体"/>
          <w:color w:val="000000"/>
        </w:rPr>
        <w:t>环节名称：送达 ；办理人：张秋菊；办理时限：即时；审查标准：在作出决定当日通知申请人，及时向申请人送达审批服务事项办理结果。；办理结果：根据申请人选择的送达方式送达相应行政许可文书。</w:t>
      </w:r>
    </w:p>
    <w:p>
      <w:pPr>
        <w:adjustRightInd/>
        <w:snapToGrid/>
        <w:spacing w:after="0"/>
        <w:rPr>
          <w:rFonts w:ascii="宋体" w:hAnsi="宋体" w:eastAsia="宋体" w:cs="宋体"/>
          <w:color w:val="000000"/>
        </w:rPr>
      </w:pPr>
    </w:p>
    <w:p>
      <w:pPr>
        <w:spacing w:line="220" w:lineRule="atLeast"/>
        <w:rPr>
          <w:b/>
        </w:rPr>
      </w:pPr>
      <w:r>
        <w:rPr>
          <w:rFonts w:hint="eastAsia"/>
          <w:b/>
        </w:rPr>
        <w:t>流程图：</w:t>
      </w:r>
    </w:p>
    <w:p>
      <w:pPr>
        <w:spacing w:line="220" w:lineRule="atLeast"/>
        <w:rPr>
          <w:rFonts w:hint="eastAsia" w:eastAsia="微软雅黑"/>
          <w:lang w:eastAsia="zh-CN"/>
        </w:rPr>
      </w:pPr>
      <w:r>
        <w:rPr>
          <w:rFonts w:hint="eastAsia" w:eastAsia="微软雅黑"/>
          <w:lang w:eastAsia="zh-CN"/>
        </w:rPr>
        <w:drawing>
          <wp:inline distT="0" distB="0" distL="114300" distR="114300">
            <wp:extent cx="5268595" cy="7450455"/>
            <wp:effectExtent l="0" t="0" r="8255" b="17145"/>
            <wp:docPr id="1" name="图片 1" descr="downloa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ownload (2)"/>
                    <pic:cNvPicPr>
                      <a:picLocks noChangeAspect="1"/>
                    </pic:cNvPicPr>
                  </pic:nvPicPr>
                  <pic:blipFill>
                    <a:blip r:embed="rId4"/>
                    <a:stretch>
                      <a:fillRect/>
                    </a:stretch>
                  </pic:blipFill>
                  <pic:spPr>
                    <a:xfrm>
                      <a:off x="0" y="0"/>
                      <a:ext cx="5268595" cy="7450455"/>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89EBD2"/>
    <w:multiLevelType w:val="singleLevel"/>
    <w:tmpl w:val="EF89EBD2"/>
    <w:lvl w:ilvl="0" w:tentative="0">
      <w:start w:val="1"/>
      <w:numFmt w:val="chineseCounting"/>
      <w:suff w:val="nothing"/>
      <w:lvlText w:val="%1、"/>
      <w:lvlJc w:val="left"/>
      <w:pPr>
        <w:ind w:left="0" w:firstLine="420"/>
      </w:pPr>
      <w:rPr>
        <w:rFonts w:hint="eastAsia"/>
      </w:rPr>
    </w:lvl>
  </w:abstractNum>
  <w:abstractNum w:abstractNumId="1">
    <w:nsid w:val="6F63190F"/>
    <w:multiLevelType w:val="singleLevel"/>
    <w:tmpl w:val="6F63190F"/>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1E502986"/>
    <w:rsid w:val="311C3EB1"/>
    <w:rsid w:val="62DC5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佩奇</cp:lastModifiedBy>
  <dcterms:modified xsi:type="dcterms:W3CDTF">2020-12-05T02:05:36Z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