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b/>
        </w:rPr>
      </w:pPr>
      <w:r>
        <w:rPr>
          <w:rFonts w:hint="eastAsia"/>
          <w:b/>
        </w:rPr>
        <w:t>种蜂生产经营许可证核发（复验换发）</w:t>
      </w:r>
    </w:p>
    <w:p>
      <w:pPr>
        <w:spacing w:line="220" w:lineRule="atLeast"/>
        <w:rPr>
          <w:rFonts w:hint="eastAsia"/>
          <w:b/>
        </w:rPr>
      </w:pPr>
      <w:r>
        <w:rPr>
          <w:rFonts w:hint="eastAsia"/>
          <w:b/>
        </w:rPr>
        <w:t>实施主体：</w:t>
      </w:r>
    </w:p>
    <w:p>
      <w:pPr>
        <w:spacing w:line="220" w:lineRule="atLeast"/>
        <w:rPr>
          <w:rFonts w:hint="eastAsia"/>
          <w:b/>
        </w:rPr>
      </w:pPr>
      <w:r>
        <w:rPr>
          <w:rFonts w:hint="eastAsia"/>
        </w:rPr>
        <w:t>南阳市农业农村局</w:t>
      </w:r>
    </w:p>
    <w:p>
      <w:pPr>
        <w:spacing w:line="220" w:lineRule="atLeast"/>
        <w:rPr>
          <w:rFonts w:hint="eastAsia"/>
        </w:rPr>
      </w:pPr>
      <w:r>
        <w:rPr>
          <w:rFonts w:hint="eastAsia"/>
          <w:b/>
        </w:rPr>
        <w:t>适用范围：</w:t>
      </w:r>
    </w:p>
    <w:p>
      <w:pPr>
        <w:spacing w:line="220" w:lineRule="atLeast"/>
        <w:rPr>
          <w:rFonts w:hint="eastAsia"/>
        </w:rPr>
      </w:pPr>
      <w:r>
        <w:rPr>
          <w:rFonts w:hint="eastAsia"/>
        </w:rPr>
        <w:t>种蜂生产经营许可证核发（复验换发）</w:t>
      </w:r>
    </w:p>
    <w:p>
      <w:pPr>
        <w:spacing w:line="220" w:lineRule="atLeast"/>
        <w:rPr>
          <w:b/>
        </w:rPr>
      </w:pPr>
      <w:r>
        <w:rPr>
          <w:rFonts w:hint="eastAsia"/>
          <w:b/>
        </w:rPr>
        <w:t>事项类别：</w:t>
      </w:r>
    </w:p>
    <w:p>
      <w:pPr>
        <w:spacing w:line="220" w:lineRule="atLeast"/>
      </w:pPr>
      <w:r>
        <w:rPr>
          <w:rFonts w:hint="eastAsia"/>
        </w:rPr>
        <w:t>行政许可</w:t>
      </w:r>
    </w:p>
    <w:p>
      <w:pPr>
        <w:spacing w:line="220" w:lineRule="atLeast"/>
        <w:rPr>
          <w:b/>
        </w:rPr>
      </w:pPr>
      <w:r>
        <w:rPr>
          <w:rFonts w:hint="eastAsia"/>
          <w:b/>
        </w:rPr>
        <w:t>实施依据：</w:t>
      </w:r>
    </w:p>
    <w:p>
      <w:pPr>
        <w:spacing w:line="220" w:lineRule="atLeast"/>
        <w:rPr>
          <w:rFonts w:hint="eastAsia"/>
        </w:rPr>
      </w:pPr>
      <w:r>
        <w:rPr>
          <w:rFonts w:hint="eastAsia"/>
        </w:rPr>
        <w:t>一、《中华人民共和国畜牧法》（2005年12月29日主席令第四十五号，2015年4月24日予以修改）第二条：在境内从事畜禽的遗传资源保护利用、繁育、饲养、经营、运输等活动，适用本法。本法所称畜禽，是指列入依照本法第十一条规定公布的畜禽遗传资源目录的畜禽。蜂、蚕的资源保护利用和生产经营，适用本法有关规定。第二十二条：从事种畜禽生产经营或者生产商品代仔畜、雏禽的单位、个人，应当取得种畜禽生产经营许可证。</w:t>
      </w:r>
    </w:p>
    <w:p>
      <w:pPr>
        <w:spacing w:line="220" w:lineRule="atLeast"/>
        <w:rPr>
          <w:rFonts w:hint="eastAsia"/>
        </w:rPr>
      </w:pPr>
      <w:r>
        <w:rPr>
          <w:rFonts w:hint="eastAsia"/>
        </w:rPr>
        <w:t>二、《蚕种管理办法》（2006年6月28日农业部令第68号）第十八条：申请蚕种生产、经营许可证应当向所在地县级以上地方人民政府农业（蚕业）行政主管部门提出。受理申请的行政主管部门应当自收到申请之日起二十个工作日内完成审核，并报省级人民政府农业（蚕业）行政主管部门审批。省级人民政府农业（蚕业）行政主管部门应当自收到申请之日起二十个工作日内做出审批决定。不予批准的，应当书面通知申请者，并说明理由。</w:t>
      </w:r>
    </w:p>
    <w:p>
      <w:pPr>
        <w:spacing w:line="220" w:lineRule="atLeast"/>
        <w:rPr>
          <w:rFonts w:hint="eastAsia"/>
        </w:rPr>
      </w:pPr>
      <w:r>
        <w:rPr>
          <w:rFonts w:hint="eastAsia"/>
        </w:rPr>
        <w:t>三、《养蜂管理办法（试行）》（2011年12月13日农业部公告第1692号）第七条：种蜂生产经营单位和个人，应当依法取得《种畜禽生产经营许可证》。出售的种蜂应当附具检疫合格证明和种蜂合格证。</w:t>
      </w:r>
    </w:p>
    <w:p>
      <w:pPr>
        <w:spacing w:line="220" w:lineRule="atLeast"/>
        <w:rPr>
          <w:b/>
        </w:rPr>
      </w:pPr>
      <w:r>
        <w:rPr>
          <w:rFonts w:hint="eastAsia"/>
          <w:b/>
        </w:rPr>
        <w:t>申请材料：</w:t>
      </w:r>
    </w:p>
    <w:p>
      <w:pPr>
        <w:numPr>
          <w:ilvl w:val="0"/>
          <w:numId w:val="1"/>
        </w:numPr>
        <w:spacing w:line="220" w:lineRule="atLeast"/>
        <w:ind w:left="425" w:leftChars="0" w:hanging="425" w:firstLineChars="0"/>
        <w:rPr>
          <w:rFonts w:hint="eastAsia"/>
        </w:rPr>
      </w:pPr>
      <w:r>
        <w:rPr>
          <w:rFonts w:hint="eastAsia"/>
        </w:rPr>
        <w:t>畜牧技术人员学历证明或者资格证明</w:t>
      </w:r>
    </w:p>
    <w:p>
      <w:pPr>
        <w:numPr>
          <w:ilvl w:val="0"/>
          <w:numId w:val="1"/>
        </w:numPr>
        <w:spacing w:line="220" w:lineRule="atLeast"/>
        <w:ind w:left="425" w:leftChars="0" w:hanging="425" w:firstLineChars="0"/>
        <w:rPr>
          <w:rFonts w:hint="eastAsia"/>
        </w:rPr>
      </w:pPr>
      <w:r>
        <w:rPr>
          <w:rFonts w:hint="eastAsia"/>
        </w:rPr>
        <w:t>种畜禽生产经营许可证申请报告</w:t>
      </w:r>
    </w:p>
    <w:p>
      <w:pPr>
        <w:numPr>
          <w:ilvl w:val="0"/>
          <w:numId w:val="1"/>
        </w:numPr>
        <w:spacing w:line="220" w:lineRule="atLeast"/>
        <w:ind w:left="425" w:leftChars="0" w:hanging="425" w:firstLineChars="0"/>
        <w:rPr>
          <w:rFonts w:hint="eastAsia"/>
        </w:rPr>
      </w:pPr>
      <w:r>
        <w:rPr>
          <w:rFonts w:hint="eastAsia"/>
        </w:rPr>
        <w:t>种畜禽选育方案</w:t>
      </w:r>
    </w:p>
    <w:p>
      <w:pPr>
        <w:numPr>
          <w:ilvl w:val="0"/>
          <w:numId w:val="1"/>
        </w:numPr>
        <w:spacing w:line="220" w:lineRule="atLeast"/>
        <w:ind w:left="425" w:leftChars="0" w:hanging="425" w:firstLineChars="0"/>
        <w:rPr>
          <w:rFonts w:hint="eastAsia"/>
        </w:rPr>
      </w:pPr>
      <w:r>
        <w:rPr>
          <w:rFonts w:hint="eastAsia"/>
        </w:rPr>
        <w:t>畜牧技术人员学历证明或者资格证明</w:t>
      </w:r>
    </w:p>
    <w:p>
      <w:pPr>
        <w:numPr>
          <w:ilvl w:val="0"/>
          <w:numId w:val="1"/>
        </w:numPr>
        <w:spacing w:line="220" w:lineRule="atLeast"/>
        <w:ind w:left="425" w:leftChars="0" w:hanging="425" w:firstLineChars="0"/>
        <w:rPr>
          <w:rFonts w:hint="eastAsia"/>
        </w:rPr>
      </w:pPr>
      <w:r>
        <w:rPr>
          <w:rFonts w:hint="eastAsia"/>
        </w:rPr>
        <w:t>种畜禽品种来源证明</w:t>
      </w:r>
    </w:p>
    <w:p>
      <w:pPr>
        <w:numPr>
          <w:ilvl w:val="0"/>
          <w:numId w:val="1"/>
        </w:numPr>
        <w:spacing w:line="220" w:lineRule="atLeast"/>
        <w:ind w:left="425" w:leftChars="0" w:hanging="425" w:firstLineChars="0"/>
        <w:rPr>
          <w:rFonts w:hint="eastAsia"/>
        </w:rPr>
      </w:pPr>
      <w:r>
        <w:rPr>
          <w:rFonts w:hint="eastAsia"/>
        </w:rPr>
        <w:t>种畜禽生产经营许可证申请表</w:t>
      </w:r>
    </w:p>
    <w:p>
      <w:pPr>
        <w:numPr>
          <w:ilvl w:val="0"/>
          <w:numId w:val="1"/>
        </w:numPr>
        <w:spacing w:line="220" w:lineRule="atLeast"/>
        <w:ind w:left="425" w:leftChars="0" w:hanging="425" w:firstLineChars="0"/>
        <w:rPr>
          <w:rFonts w:hint="eastAsia"/>
        </w:rPr>
      </w:pPr>
      <w:r>
        <w:rPr>
          <w:rFonts w:hint="eastAsia"/>
        </w:rPr>
        <w:t>法人代表委托书</w:t>
      </w:r>
    </w:p>
    <w:p>
      <w:pPr>
        <w:numPr>
          <w:ilvl w:val="0"/>
          <w:numId w:val="1"/>
        </w:numPr>
        <w:spacing w:line="220" w:lineRule="atLeast"/>
        <w:ind w:left="425" w:leftChars="0" w:hanging="425" w:firstLineChars="0"/>
        <w:rPr>
          <w:rFonts w:hint="eastAsia"/>
        </w:rPr>
      </w:pPr>
      <w:r>
        <w:rPr>
          <w:rFonts w:hint="eastAsia"/>
        </w:rPr>
        <w:t>申请报告</w:t>
      </w:r>
    </w:p>
    <w:p>
      <w:pPr>
        <w:numPr>
          <w:ilvl w:val="0"/>
          <w:numId w:val="1"/>
        </w:numPr>
        <w:spacing w:line="220" w:lineRule="atLeast"/>
        <w:ind w:left="425" w:leftChars="0" w:hanging="425" w:firstLineChars="0"/>
        <w:rPr>
          <w:rFonts w:hint="eastAsia"/>
        </w:rPr>
      </w:pPr>
      <w:r>
        <w:rPr>
          <w:rFonts w:hint="eastAsia"/>
        </w:rPr>
        <w:t>三年持证期内种畜禽生产经营情况总结报告（新办场除外）</w:t>
      </w:r>
    </w:p>
    <w:p>
      <w:pPr>
        <w:numPr>
          <w:ilvl w:val="0"/>
          <w:numId w:val="1"/>
        </w:numPr>
        <w:spacing w:line="220" w:lineRule="atLeast"/>
        <w:ind w:left="425" w:leftChars="0" w:hanging="425" w:firstLineChars="0"/>
        <w:rPr>
          <w:rFonts w:hint="eastAsia"/>
        </w:rPr>
      </w:pPr>
      <w:r>
        <w:rPr>
          <w:rFonts w:hint="eastAsia"/>
        </w:rPr>
        <w:t>种畜禽品种来源证明</w:t>
      </w:r>
    </w:p>
    <w:p>
      <w:pPr>
        <w:numPr>
          <w:ilvl w:val="0"/>
          <w:numId w:val="1"/>
        </w:numPr>
        <w:spacing w:line="220" w:lineRule="atLeast"/>
        <w:ind w:left="425" w:leftChars="0" w:hanging="425" w:firstLineChars="0"/>
        <w:rPr>
          <w:rFonts w:hint="eastAsia"/>
        </w:rPr>
      </w:pPr>
      <w:r>
        <w:rPr>
          <w:rFonts w:hint="eastAsia"/>
        </w:rPr>
        <w:t>种畜禽选育方案</w:t>
      </w:r>
    </w:p>
    <w:p>
      <w:pPr>
        <w:numPr>
          <w:ilvl w:val="0"/>
          <w:numId w:val="1"/>
        </w:numPr>
        <w:spacing w:line="220" w:lineRule="atLeast"/>
        <w:ind w:left="425" w:leftChars="0" w:hanging="425" w:firstLineChars="0"/>
        <w:rPr>
          <w:rFonts w:hint="eastAsia"/>
        </w:rPr>
      </w:pPr>
      <w:r>
        <w:rPr>
          <w:rFonts w:hint="eastAsia"/>
        </w:rPr>
        <w:t>种畜禽生产经营许可证申请表</w:t>
      </w:r>
    </w:p>
    <w:p>
      <w:pPr>
        <w:numPr>
          <w:ilvl w:val="0"/>
          <w:numId w:val="1"/>
        </w:numPr>
        <w:spacing w:line="220" w:lineRule="atLeast"/>
        <w:ind w:left="425" w:leftChars="0" w:hanging="425" w:firstLineChars="0"/>
        <w:rPr>
          <w:rFonts w:hint="eastAsia"/>
        </w:rPr>
      </w:pPr>
      <w:r>
        <w:rPr>
          <w:rFonts w:hint="eastAsia"/>
        </w:rPr>
        <w:t>中华人民共和国居民身份证</w:t>
      </w:r>
    </w:p>
    <w:p>
      <w:pPr>
        <w:numPr>
          <w:ilvl w:val="0"/>
          <w:numId w:val="1"/>
        </w:numPr>
        <w:spacing w:line="220" w:lineRule="atLeast"/>
        <w:ind w:left="425" w:leftChars="0" w:hanging="425" w:firstLineChars="0"/>
        <w:rPr>
          <w:rFonts w:hint="eastAsia"/>
        </w:rPr>
      </w:pPr>
      <w:r>
        <w:rPr>
          <w:rFonts w:hint="eastAsia"/>
        </w:rPr>
        <w:t>企业法人代表和委托代理人身份证复印件、委托书，企业营业执照正副本复印件</w:t>
      </w:r>
    </w:p>
    <w:p>
      <w:pPr>
        <w:numPr>
          <w:ilvl w:val="0"/>
          <w:numId w:val="1"/>
        </w:numPr>
        <w:spacing w:line="220" w:lineRule="atLeast"/>
        <w:ind w:left="425" w:leftChars="0" w:hanging="425" w:firstLineChars="0"/>
        <w:rPr>
          <w:rFonts w:hint="eastAsia"/>
        </w:rPr>
      </w:pPr>
      <w:r>
        <w:rPr>
          <w:rFonts w:hint="eastAsia"/>
        </w:rPr>
        <w:t>营业执照</w:t>
      </w:r>
    </w:p>
    <w:p>
      <w:pPr>
        <w:numPr>
          <w:ilvl w:val="0"/>
          <w:numId w:val="1"/>
        </w:numPr>
        <w:spacing w:line="220" w:lineRule="atLeast"/>
        <w:ind w:left="425" w:leftChars="0" w:hanging="425" w:firstLineChars="0"/>
        <w:rPr>
          <w:rFonts w:hint="eastAsia"/>
        </w:rPr>
      </w:pPr>
      <w:r>
        <w:rPr>
          <w:rFonts w:hint="eastAsia"/>
        </w:rPr>
        <w:t>三年持证期内种畜禽生产经营情况总结报告</w:t>
      </w:r>
    </w:p>
    <w:p>
      <w:pPr>
        <w:spacing w:line="220" w:lineRule="atLeast"/>
        <w:rPr>
          <w:rFonts w:hint="eastAsia"/>
          <w:b/>
        </w:rPr>
      </w:pPr>
      <w:r>
        <w:rPr>
          <w:rFonts w:hint="eastAsia"/>
          <w:b/>
        </w:rPr>
        <w:t>法定时限：</w:t>
      </w:r>
    </w:p>
    <w:p>
      <w:pPr>
        <w:numPr>
          <w:ilvl w:val="0"/>
          <w:numId w:val="0"/>
        </w:numPr>
        <w:spacing w:line="220" w:lineRule="atLeast"/>
        <w:ind w:leftChars="0"/>
        <w:rPr>
          <w:rFonts w:hint="eastAsia"/>
        </w:rPr>
      </w:pPr>
      <w:r>
        <w:rPr>
          <w:rFonts w:hint="eastAsia"/>
          <w:lang w:val="en-US" w:eastAsia="zh-CN"/>
        </w:rPr>
        <w:t>20</w:t>
      </w:r>
      <w:r>
        <w:rPr>
          <w:rFonts w:hint="eastAsia"/>
        </w:rPr>
        <w:t>个工作日</w:t>
      </w:r>
    </w:p>
    <w:p>
      <w:pPr>
        <w:spacing w:line="220" w:lineRule="atLeast"/>
        <w:rPr>
          <w:b/>
        </w:rPr>
      </w:pPr>
      <w:r>
        <w:rPr>
          <w:rFonts w:hint="eastAsia"/>
          <w:b/>
        </w:rPr>
        <w:t>承诺时限：</w:t>
      </w:r>
    </w:p>
    <w:p>
      <w:pPr>
        <w:spacing w:line="220" w:lineRule="atLeast"/>
      </w:pPr>
      <w:r>
        <w:rPr>
          <w:rFonts w:hint="eastAsia"/>
        </w:rPr>
        <w:t>5个工作日。</w:t>
      </w:r>
    </w:p>
    <w:p>
      <w:pPr>
        <w:spacing w:line="220" w:lineRule="atLeast"/>
        <w:rPr>
          <w:b/>
        </w:rPr>
      </w:pPr>
      <w:r>
        <w:rPr>
          <w:rFonts w:hint="eastAsia"/>
          <w:b/>
        </w:rPr>
        <w:t>收费标准：</w:t>
      </w:r>
    </w:p>
    <w:p>
      <w:pPr>
        <w:spacing w:line="220" w:lineRule="atLeast"/>
        <w:rPr>
          <w:rFonts w:ascii="宋体" w:hAnsi="宋体" w:eastAsia="宋体" w:cs="宋体"/>
          <w:color w:val="000000"/>
        </w:rPr>
      </w:pPr>
      <w:r>
        <w:rPr>
          <w:rFonts w:hint="eastAsia" w:ascii="宋体" w:hAnsi="宋体" w:eastAsia="宋体" w:cs="宋体"/>
          <w:color w:val="000000"/>
        </w:rPr>
        <w:t>否</w:t>
      </w:r>
    </w:p>
    <w:p>
      <w:pPr>
        <w:spacing w:line="220" w:lineRule="atLeast"/>
        <w:rPr>
          <w:rFonts w:hint="eastAsia"/>
          <w:b/>
        </w:rPr>
      </w:pPr>
      <w:r>
        <w:rPr>
          <w:rFonts w:hint="eastAsia"/>
          <w:b/>
        </w:rPr>
        <w:t>咨询电话：</w:t>
      </w:r>
    </w:p>
    <w:p>
      <w:pPr>
        <w:adjustRightInd/>
        <w:snapToGrid/>
        <w:spacing w:after="0"/>
        <w:rPr>
          <w:rFonts w:hint="eastAsia" w:ascii="宋体" w:hAnsi="宋体" w:eastAsia="宋体" w:cs="宋体"/>
          <w:color w:val="000000"/>
        </w:rPr>
      </w:pPr>
      <w:r>
        <w:rPr>
          <w:rFonts w:hint="eastAsia" w:ascii="宋体" w:hAnsi="宋体" w:eastAsia="宋体" w:cs="宋体"/>
          <w:color w:val="000000"/>
        </w:rPr>
        <w:t xml:space="preserve">0377-61387729  </w:t>
      </w:r>
    </w:p>
    <w:p>
      <w:pPr>
        <w:adjustRightInd/>
        <w:snapToGrid/>
        <w:spacing w:after="0"/>
        <w:rPr>
          <w:b/>
        </w:rPr>
      </w:pPr>
      <w:r>
        <w:rPr>
          <w:rFonts w:hint="eastAsia"/>
          <w:b/>
        </w:rPr>
        <w:t>投诉电话：</w:t>
      </w:r>
    </w:p>
    <w:p>
      <w:pPr>
        <w:adjustRightInd/>
        <w:snapToGrid/>
        <w:spacing w:after="0"/>
        <w:rPr>
          <w:rFonts w:hint="eastAsia"/>
          <w:b/>
        </w:rPr>
      </w:pPr>
      <w:r>
        <w:rPr>
          <w:rFonts w:hint="eastAsia" w:ascii="宋体" w:hAnsi="宋体" w:eastAsia="宋体" w:cs="宋体"/>
          <w:color w:val="000000"/>
        </w:rPr>
        <w:t xml:space="preserve">0377-63162040 </w:t>
      </w:r>
      <w:r>
        <w:rPr>
          <w:rFonts w:hint="eastAsia" w:ascii="宋体" w:hAnsi="宋体" w:eastAsia="宋体" w:cs="宋体"/>
          <w:color w:val="000000"/>
        </w:rPr>
        <w:br w:type="textWrapping"/>
      </w:r>
    </w:p>
    <w:p>
      <w:pPr>
        <w:spacing w:line="220" w:lineRule="atLeast"/>
        <w:rPr>
          <w:b/>
        </w:rPr>
      </w:pPr>
      <w:r>
        <w:rPr>
          <w:rFonts w:hint="eastAsia"/>
          <w:b/>
        </w:rPr>
        <w:t>办理地址：</w:t>
      </w:r>
    </w:p>
    <w:p>
      <w:pPr>
        <w:adjustRightInd/>
        <w:snapToGrid/>
        <w:spacing w:after="0"/>
        <w:rPr>
          <w:rFonts w:hint="eastAsia" w:ascii="宋体" w:hAnsi="宋体" w:eastAsia="宋体" w:cs="宋体"/>
          <w:color w:val="000000"/>
        </w:rPr>
      </w:pPr>
      <w:r>
        <w:rPr>
          <w:rFonts w:hint="eastAsia" w:ascii="宋体" w:hAnsi="宋体" w:eastAsia="宋体" w:cs="宋体"/>
          <w:color w:val="000000"/>
        </w:rPr>
        <w:t>南阳市宛城区（县）仲景街道范蠡东路1666号3号楼一楼北厅综合受理窗口室（窗口）</w:t>
      </w:r>
    </w:p>
    <w:p>
      <w:pPr>
        <w:spacing w:line="220" w:lineRule="atLeast"/>
        <w:rPr>
          <w:b/>
        </w:rPr>
      </w:pPr>
      <w:r>
        <w:rPr>
          <w:rFonts w:hint="eastAsia"/>
          <w:b/>
        </w:rPr>
        <w:t>公交线路指引：</w:t>
      </w:r>
    </w:p>
    <w:p>
      <w:pPr>
        <w:adjustRightInd/>
        <w:snapToGrid/>
        <w:spacing w:after="0"/>
        <w:rPr>
          <w:rFonts w:ascii="宋体" w:hAnsi="宋体" w:eastAsia="宋体" w:cs="宋体"/>
          <w:color w:val="000000"/>
        </w:rPr>
      </w:pPr>
      <w:r>
        <w:rPr>
          <w:rFonts w:hint="eastAsia" w:ascii="宋体" w:hAnsi="宋体" w:eastAsia="宋体" w:cs="宋体"/>
          <w:color w:val="000000"/>
        </w:rPr>
        <w:t>乘1路、6路、14路、15路、22路、30路、32路、35路、36路等公交车到南阳市民服务中心</w:t>
      </w:r>
    </w:p>
    <w:p>
      <w:pPr>
        <w:spacing w:line="220" w:lineRule="atLeast"/>
        <w:rPr>
          <w:rFonts w:hint="eastAsia"/>
          <w:b/>
        </w:rPr>
      </w:pPr>
    </w:p>
    <w:p>
      <w:pPr>
        <w:spacing w:line="220" w:lineRule="atLeast"/>
        <w:rPr>
          <w:b/>
        </w:rPr>
      </w:pPr>
      <w:r>
        <w:rPr>
          <w:rFonts w:hint="eastAsia"/>
          <w:b/>
        </w:rPr>
        <w:t>结果领取方式：</w:t>
      </w:r>
    </w:p>
    <w:p>
      <w:pPr>
        <w:adjustRightInd/>
        <w:snapToGrid/>
        <w:spacing w:after="0"/>
        <w:rPr>
          <w:rFonts w:hint="eastAsia" w:ascii="宋体" w:hAnsi="宋体" w:eastAsia="宋体" w:cs="宋体"/>
          <w:color w:val="000000"/>
        </w:rPr>
      </w:pPr>
      <w:r>
        <w:rPr>
          <w:rFonts w:hint="eastAsia" w:ascii="宋体" w:hAnsi="宋体" w:eastAsia="宋体" w:cs="宋体"/>
          <w:color w:val="000000"/>
        </w:rPr>
        <w:t>窗口领取或邮寄</w:t>
      </w:r>
    </w:p>
    <w:p>
      <w:pPr>
        <w:adjustRightInd/>
        <w:snapToGrid/>
        <w:spacing w:after="0"/>
        <w:rPr>
          <w:rFonts w:ascii="宋体" w:hAnsi="宋体" w:eastAsia="宋体" w:cs="宋体"/>
          <w:color w:val="000000"/>
        </w:rPr>
      </w:pPr>
    </w:p>
    <w:p>
      <w:pPr>
        <w:spacing w:line="220" w:lineRule="atLeast"/>
        <w:rPr>
          <w:b/>
        </w:rPr>
      </w:pPr>
      <w:r>
        <w:rPr>
          <w:rFonts w:hint="eastAsia"/>
          <w:b/>
        </w:rPr>
        <w:t>流程环节：</w:t>
      </w:r>
    </w:p>
    <w:p>
      <w:pPr>
        <w:numPr>
          <w:ilvl w:val="0"/>
          <w:numId w:val="2"/>
        </w:numPr>
        <w:adjustRightInd/>
        <w:snapToGrid/>
        <w:spacing w:after="0"/>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环节名称：收件 ；办理人：综合受理窗口；办理时限：即时；审查标准：申请人通过南阳政务服务网、移动端和南阳市行政审批服务中心进行事项申请，提交申请材料并选择送达方式。办理结果：提交有关申请材料能反映真实情况，并对其申请材料实质内容的真实性负责。</w:t>
      </w:r>
    </w:p>
    <w:p>
      <w:pPr>
        <w:numPr>
          <w:ilvl w:val="0"/>
          <w:numId w:val="2"/>
        </w:numPr>
        <w:adjustRightInd/>
        <w:snapToGrid/>
        <w:spacing w:after="0"/>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环节名称：受理 ；办理人：张丛正；办理时限：1个工作日；审查标准：对申请材料进行初步审核。经审核，申请材料齐全、符合法定形式的，决定予以受理。申请材料不齐全或者不符合法定形式的，应当当场告知申请人需要补正的全部内容。；办理结果：1、</w:t>
      </w:r>
      <w:r>
        <w:rPr>
          <w:rFonts w:hint="eastAsia" w:ascii="宋体" w:hAnsi="宋体" w:eastAsia="宋体" w:cs="宋体"/>
          <w:color w:val="000000"/>
        </w:rPr>
        <w:tab/>
      </w:r>
      <w:r>
        <w:rPr>
          <w:rFonts w:hint="eastAsia" w:ascii="宋体" w:hAnsi="宋体" w:eastAsia="宋体" w:cs="宋体"/>
          <w:color w:val="000000"/>
        </w:rPr>
        <w:t>申请事项依法不属于本行政机关职权范围的出具《不予受理决定书》；2、材料不齐全或者不符合法定形式的，一次性告知需补齐补正的全部材料，出具《申请材料补正告知书》；3、申请材料齐全并且符合法定形式的，予以受理并出具《受理通知书》。</w:t>
      </w:r>
      <w:bookmarkStart w:id="0" w:name="_GoBack"/>
      <w:bookmarkEnd w:id="0"/>
    </w:p>
    <w:p>
      <w:pPr>
        <w:numPr>
          <w:ilvl w:val="0"/>
          <w:numId w:val="2"/>
        </w:numPr>
        <w:adjustRightInd/>
        <w:snapToGrid/>
        <w:spacing w:after="0"/>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环节名称：审核 ；办理人：庞孝义；办理时限：3个工作日；审查标准：在受理申报材料后，由办理科室对申请材料进行实质性审查，并依法组织专家进行专家现场评审（专家现场评审和企业整改时间不包含在承诺工作日内）；办理结果：1、申请主体符合法定条件、标准或要求的，作出同意批准意见；2、申请主体不符合法定条件、标准或要求的，作出不同意批准意见。</w:t>
      </w:r>
    </w:p>
    <w:p>
      <w:pPr>
        <w:numPr>
          <w:ilvl w:val="0"/>
          <w:numId w:val="2"/>
        </w:numPr>
        <w:adjustRightInd/>
        <w:snapToGrid/>
        <w:spacing w:after="0"/>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环节名称：决定 ；办理人：刘德奇；办理时限：1个工作日；审查标准：复核申请材料和审查环节作出审批意见意见，并在承诺时限内做出是否同意申请事项的决定。办理结果：1、同意批准的，承诺时限内送达《准予行政许可决定书》和《种畜禽生产经营许可证》；2、不同意批准的，承诺时限内送达《不予行政许可决定书》。</w:t>
      </w:r>
    </w:p>
    <w:p>
      <w:pPr>
        <w:numPr>
          <w:ilvl w:val="0"/>
          <w:numId w:val="2"/>
        </w:numPr>
        <w:adjustRightInd/>
        <w:snapToGrid/>
        <w:spacing w:after="0"/>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环节名称：送达 ；办理人：张秋菊；办理时限：即时；审查标准：在作出决定当日通知申请人，及时向申请人送达审批服务事项办理结果。；办理结果：根据申请人选择的送达方式送达相应行政许可文书。</w:t>
      </w:r>
    </w:p>
    <w:p>
      <w:pPr>
        <w:adjustRightInd/>
        <w:snapToGrid/>
        <w:spacing w:after="0"/>
        <w:rPr>
          <w:rFonts w:ascii="宋体" w:hAnsi="宋体" w:eastAsia="宋体" w:cs="宋体"/>
          <w:color w:val="000000"/>
        </w:rPr>
      </w:pPr>
    </w:p>
    <w:p>
      <w:pPr>
        <w:spacing w:line="220" w:lineRule="atLeast"/>
        <w:rPr>
          <w:b/>
        </w:rPr>
      </w:pPr>
      <w:r>
        <w:rPr>
          <w:rFonts w:hint="eastAsia"/>
          <w:b/>
        </w:rPr>
        <w:t>流程图：</w:t>
      </w:r>
    </w:p>
    <w:p>
      <w:pPr>
        <w:spacing w:line="220" w:lineRule="atLeast"/>
        <w:rPr>
          <w:rFonts w:hint="eastAsia" w:eastAsia="微软雅黑"/>
          <w:lang w:eastAsia="zh-CN"/>
        </w:rPr>
      </w:pPr>
      <w:r>
        <w:rPr>
          <w:rFonts w:hint="eastAsia" w:eastAsia="微软雅黑"/>
          <w:lang w:eastAsia="zh-CN"/>
        </w:rPr>
        <w:drawing>
          <wp:inline distT="0" distB="0" distL="114300" distR="114300">
            <wp:extent cx="5268595" cy="7450455"/>
            <wp:effectExtent l="0" t="0" r="8255" b="17145"/>
            <wp:docPr id="1" name="图片 1" descr="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6"/>
                    <pic:cNvPicPr>
                      <a:picLocks noChangeAspect="1"/>
                    </pic:cNvPicPr>
                  </pic:nvPicPr>
                  <pic:blipFill>
                    <a:blip r:embed="rId4"/>
                    <a:stretch>
                      <a:fillRect/>
                    </a:stretch>
                  </pic:blipFill>
                  <pic:spPr>
                    <a:xfrm>
                      <a:off x="0" y="0"/>
                      <a:ext cx="5268595" cy="7450455"/>
                    </a:xfrm>
                    <a:prstGeom prst="rect">
                      <a:avLst/>
                    </a:prstGeom>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4F36505"/>
    <w:multiLevelType w:val="singleLevel"/>
    <w:tmpl w:val="C4F36505"/>
    <w:lvl w:ilvl="0" w:tentative="0">
      <w:start w:val="1"/>
      <w:numFmt w:val="decimal"/>
      <w:lvlText w:val="%1."/>
      <w:lvlJc w:val="left"/>
      <w:pPr>
        <w:ind w:left="425" w:hanging="425"/>
      </w:pPr>
      <w:rPr>
        <w:rFonts w:hint="default"/>
      </w:rPr>
    </w:lvl>
  </w:abstractNum>
  <w:abstractNum w:abstractNumId="1">
    <w:nsid w:val="52C3D489"/>
    <w:multiLevelType w:val="singleLevel"/>
    <w:tmpl w:val="52C3D48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240A0A97"/>
    <w:rsid w:val="349B2338"/>
    <w:rsid w:val="6A8161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uiPriority w:val="99"/>
    <w:rPr>
      <w:rFonts w:ascii="Tahoma" w:hAnsi="Tahoma"/>
      <w:sz w:val="18"/>
      <w:szCs w:val="18"/>
    </w:rPr>
  </w:style>
  <w:style w:type="character" w:customStyle="1" w:styleId="8">
    <w:name w:val="页脚 Char"/>
    <w:basedOn w:val="6"/>
    <w:link w:val="3"/>
    <w:semiHidden/>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3</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佩奇</cp:lastModifiedBy>
  <dcterms:modified xsi:type="dcterms:W3CDTF">2020-12-05T02:08:43Z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