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渔业船舶登记</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渔业船舶登记</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渔港水域交通安全管理条例》（1989年7月3日国务院令第38号，2011年1月8日予以修改）第十二条：渔业船舶在向渔政渔港监督管理机关申请船舶登记，并取得渔业船舶国籍证书或者渔业船舶登记证书后，方可悬挂中华人民共和国国旗航行。</w:t>
      </w:r>
    </w:p>
    <w:p>
      <w:pPr>
        <w:spacing w:line="220" w:lineRule="atLeast"/>
        <w:rPr>
          <w:rFonts w:hint="eastAsia" w:ascii="宋体" w:hAnsi="宋体" w:eastAsia="宋体" w:cs="宋体"/>
        </w:rPr>
      </w:pPr>
      <w:r>
        <w:rPr>
          <w:rFonts w:hint="eastAsia" w:ascii="宋体" w:hAnsi="宋体" w:eastAsia="宋体" w:cs="宋体"/>
        </w:rPr>
        <w:t>《中华人民共和国渔业船舶登记办法》（2012年10月22日农业部令第８号，2013年12月31日予以修改）第三条：农业部主管全国渔业船舶登记工作。中华人民共和国渔政局具体负责全国渔业船舶登记及其监督管理工作。县级以上地方人民政府渔业行政主管部门主管本行政区域内的渔业船舶登记工作。县级以上地方人民政府渔业行政主管部门所属的渔港监督机关（以下称登记机关）依照规定权限负责本行政区域内的渔业船舶登记及其监督管理工作。第六条：渔业船舶所有人应当向户籍所在地或企业注册地的县级以上登记机关申请办理渔业船舶登记。远洋渔业船舶登记由渔业船舶所有人向所在地省级登记机关申请办理。中央在京直属企业所属远洋渔业船舶登记由渔业船舶所有人向船舶所在地的省级登记机关申请办理。</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取得渔业船舶所有权的证明文件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中华人民共和国水域滩涂养殖证</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批准建造、购买的证明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渔业船舶检验证书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反映船舶全貌和主要特征的渔业船舶照片</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取得船舶所有的合法文件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营业执照或中华人民共和国居民身份证</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船舶侧面6寸照片</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渔业船舶登记申请表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《渔业船舶登记证》申请表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渔业船舶共有的，需提交共有协议</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船舶所有人的身份证（执照）及影印件等资料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中华人民共和国内河渔业船舶证书中的检验内容</w:t>
      </w:r>
    </w:p>
    <w:p>
      <w:pPr>
        <w:spacing w:line="220" w:lineRule="atLeast"/>
        <w:rPr>
          <w:rFonts w:hint="eastAsia"/>
          <w:b/>
        </w:rPr>
      </w:pPr>
      <w:r>
        <w:rPr>
          <w:rFonts w:hint="eastAsia"/>
          <w:b/>
        </w:rPr>
        <w:t>法定时限：</w:t>
      </w:r>
    </w:p>
    <w:p>
      <w:pPr>
        <w:spacing w:line="220" w:lineRule="atLeast"/>
        <w:rPr>
          <w:rFonts w:hint="eastAsia"/>
          <w:b/>
        </w:rPr>
      </w:pPr>
      <w:r>
        <w:rPr>
          <w:rFonts w:hint="eastAsia"/>
          <w:lang w:val="en-US" w:eastAsia="zh-CN"/>
        </w:rPr>
        <w:t>20个工作日</w:t>
      </w:r>
    </w:p>
    <w:p>
      <w:pPr>
        <w:spacing w:line="220" w:lineRule="atLeast"/>
        <w:rPr>
          <w:b/>
        </w:rPr>
      </w:pPr>
      <w:r>
        <w:rPr>
          <w:rFonts w:hint="eastAsia"/>
          <w:b/>
        </w:rPr>
        <w:t>承诺时限：</w:t>
      </w:r>
    </w:p>
    <w:p>
      <w:pPr>
        <w:spacing w:line="220" w:lineRule="atLeast"/>
      </w:pPr>
      <w:r>
        <w:rPr>
          <w:rFonts w:hint="eastAsia"/>
          <w:lang w:val="en-US" w:eastAsia="zh-CN"/>
        </w:rPr>
        <w:t>5</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ascii="宋体" w:hAnsi="宋体" w:eastAsia="宋体" w:cs="宋体"/>
          <w:b/>
          <w:color w:val="000000"/>
        </w:rPr>
      </w:pPr>
      <w:r>
        <w:rPr>
          <w:rFonts w:hint="eastAsia" w:ascii="宋体" w:hAnsi="宋体" w:eastAsia="宋体" w:cs="宋体"/>
          <w:color w:val="000000"/>
        </w:rPr>
        <w:t>一、固话投诉:0377-61387772</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乘1路、6路、15路、22路、27、32路公交，在南都路南阳市民服务中心公交站下车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决定；办理人：李光白；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送达；办理人：张秋菊；办理时限：即时；审查标准：在作出决定当日通知申请人，及时向申请人送达审批服务事项办理结果。</w:t>
      </w:r>
      <w:bookmarkStart w:id="0" w:name="_GoBack"/>
      <w:bookmarkEnd w:id="0"/>
      <w:r>
        <w:rPr>
          <w:rFonts w:hint="eastAsia" w:ascii="宋体" w:hAnsi="宋体" w:eastAsia="宋体" w:cs="宋体"/>
          <w:color w:val="000000"/>
        </w:rPr>
        <w:t>办理结果：根据申请人选择的送达方式送达相应行政许可文书。</w:t>
      </w:r>
    </w:p>
    <w:p>
      <w:pPr>
        <w:spacing w:line="220" w:lineRule="atLeast"/>
        <w:rPr>
          <w:b/>
        </w:rPr>
      </w:pPr>
      <w:r>
        <w:rPr>
          <w:rFonts w:hint="eastAsia"/>
          <w:b/>
        </w:rPr>
        <w:t>流程图：</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070EC8"/>
    <w:multiLevelType w:val="singleLevel"/>
    <w:tmpl w:val="EA070EC8"/>
    <w:lvl w:ilvl="0" w:tentative="0">
      <w:start w:val="1"/>
      <w:numFmt w:val="chineseCounting"/>
      <w:suff w:val="nothing"/>
      <w:lvlText w:val="%1、"/>
      <w:lvlJc w:val="left"/>
      <w:pPr>
        <w:ind w:left="0" w:firstLine="420"/>
      </w:pPr>
      <w:rPr>
        <w:rFonts w:hint="eastAsia"/>
      </w:rPr>
    </w:lvl>
  </w:abstractNum>
  <w:abstractNum w:abstractNumId="1">
    <w:nsid w:val="71F0AC18"/>
    <w:multiLevelType w:val="singleLevel"/>
    <w:tmpl w:val="71F0AC18"/>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9C6A69"/>
    <w:rsid w:val="05DF725B"/>
    <w:rsid w:val="1DC60AB4"/>
    <w:rsid w:val="23A57744"/>
    <w:rsid w:val="34740EBB"/>
    <w:rsid w:val="42C23059"/>
    <w:rsid w:val="6C84211E"/>
    <w:rsid w:val="7ABE7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12</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2020-12-05T01:58:04Z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