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农药经营许可证变更</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农药经营许可证变更</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 xml:space="preserve">农药管理条例（2017年修订） </w:t>
      </w:r>
    </w:p>
    <w:p>
      <w:pPr>
        <w:spacing w:line="220" w:lineRule="atLeast"/>
        <w:rPr>
          <w:rFonts w:hint="eastAsia" w:ascii="宋体" w:hAnsi="宋体" w:eastAsia="宋体" w:cs="宋体"/>
        </w:rPr>
      </w:pPr>
      <w:r>
        <w:rPr>
          <w:rFonts w:hint="eastAsia" w:ascii="宋体" w:hAnsi="宋体" w:eastAsia="宋体" w:cs="宋体"/>
        </w:rPr>
        <w:t xml:space="preserve">中华人民共和国国务院令　第677号 </w:t>
      </w:r>
    </w:p>
    <w:p>
      <w:pPr>
        <w:spacing w:line="220" w:lineRule="atLeast"/>
        <w:rPr>
          <w:rFonts w:hint="eastAsia" w:ascii="宋体" w:hAnsi="宋体" w:eastAsia="宋体" w:cs="宋体"/>
        </w:rPr>
      </w:pPr>
      <w:r>
        <w:rPr>
          <w:rFonts w:hint="eastAsia" w:ascii="宋体" w:hAnsi="宋体" w:eastAsia="宋体" w:cs="宋体"/>
        </w:rPr>
        <w:t>第二十五条</w:t>
      </w:r>
    </w:p>
    <w:p>
      <w:pPr>
        <w:spacing w:line="220" w:lineRule="atLeast"/>
        <w:rPr>
          <w:rFonts w:hint="eastAsia" w:ascii="宋体" w:hAnsi="宋体" w:eastAsia="宋体" w:cs="宋体"/>
        </w:rPr>
      </w:pPr>
      <w:r>
        <w:rPr>
          <w:rFonts w:hint="eastAsia" w:ascii="宋体" w:hAnsi="宋体" w:eastAsia="宋体" w:cs="宋体"/>
        </w:rPr>
        <w:t xml:space="preserve">第一款 农药经营许可证应当载明农药经营者名称、住所、负责人、经营范围以及有效期等事项。 </w:t>
      </w:r>
    </w:p>
    <w:p>
      <w:pPr>
        <w:spacing w:line="220" w:lineRule="atLeast"/>
        <w:rPr>
          <w:rFonts w:hint="eastAsia" w:ascii="宋体" w:hAnsi="宋体" w:eastAsia="宋体" w:cs="宋体"/>
        </w:rPr>
      </w:pPr>
      <w:r>
        <w:rPr>
          <w:rFonts w:hint="eastAsia" w:ascii="宋体" w:hAnsi="宋体" w:eastAsia="宋体" w:cs="宋体"/>
        </w:rPr>
        <w:t xml:space="preserve">第二款 农药经营许可证有效期为5年。有效期届满，需要继续经营农药的，农药经营者应当在有效期届满90日前向发证机关申请延续。 </w:t>
      </w:r>
    </w:p>
    <w:p>
      <w:pPr>
        <w:spacing w:line="220" w:lineRule="atLeast"/>
        <w:rPr>
          <w:rFonts w:hint="eastAsia" w:ascii="宋体" w:hAnsi="宋体" w:eastAsia="宋体" w:cs="宋体"/>
        </w:rPr>
      </w:pPr>
      <w:r>
        <w:rPr>
          <w:rFonts w:hint="eastAsia" w:ascii="宋体" w:hAnsi="宋体" w:eastAsia="宋体" w:cs="宋体"/>
        </w:rPr>
        <w:t xml:space="preserve">第三款 农药经营许可证载明事项发生变化的，农药经营者应当按照国务院农业主管部门的规定申请变更农药经营许可证。 </w:t>
      </w:r>
    </w:p>
    <w:p>
      <w:pPr>
        <w:spacing w:line="220" w:lineRule="atLeast"/>
        <w:rPr>
          <w:rFonts w:hint="eastAsia" w:ascii="宋体" w:hAnsi="宋体" w:eastAsia="宋体" w:cs="宋体"/>
        </w:rPr>
      </w:pPr>
      <w:r>
        <w:rPr>
          <w:rFonts w:hint="eastAsia" w:ascii="宋体" w:hAnsi="宋体" w:eastAsia="宋体" w:cs="宋体"/>
        </w:rPr>
        <w:t xml:space="preserve">农药经营许可管理办法 </w:t>
      </w:r>
    </w:p>
    <w:p>
      <w:pPr>
        <w:spacing w:line="220" w:lineRule="atLeast"/>
        <w:rPr>
          <w:rFonts w:hint="eastAsia" w:ascii="宋体" w:hAnsi="宋体" w:eastAsia="宋体" w:cs="宋体"/>
        </w:rPr>
      </w:pPr>
      <w:r>
        <w:rPr>
          <w:rFonts w:hint="eastAsia" w:ascii="宋体" w:hAnsi="宋体" w:eastAsia="宋体" w:cs="宋体"/>
        </w:rPr>
        <w:t xml:space="preserve">中华人民共和国农业部令2017年第5号公布 </w:t>
      </w:r>
    </w:p>
    <w:p>
      <w:pPr>
        <w:spacing w:line="220" w:lineRule="atLeast"/>
        <w:rPr>
          <w:rFonts w:hint="eastAsia" w:ascii="宋体" w:hAnsi="宋体" w:eastAsia="宋体" w:cs="宋体"/>
        </w:rPr>
      </w:pPr>
      <w:r>
        <w:rPr>
          <w:rFonts w:hint="eastAsia" w:ascii="宋体" w:hAnsi="宋体" w:eastAsia="宋体" w:cs="宋体"/>
        </w:rPr>
        <w:t xml:space="preserve">第三条 在中华人民共和国境内销售农药的，应当取得农药经营许可证。 </w:t>
      </w:r>
    </w:p>
    <w:p>
      <w:pPr>
        <w:spacing w:line="220" w:lineRule="atLeast"/>
        <w:rPr>
          <w:rFonts w:hint="eastAsia" w:ascii="宋体" w:hAnsi="宋体" w:eastAsia="宋体" w:cs="宋体"/>
        </w:rPr>
      </w:pPr>
      <w:r>
        <w:rPr>
          <w:rFonts w:hint="eastAsia" w:ascii="宋体" w:hAnsi="宋体" w:eastAsia="宋体" w:cs="宋体"/>
        </w:rPr>
        <w:t xml:space="preserve">第四条 农业部负责监督指导全国农药经营许可管理工作。 限制使用农药经营许可由省级人民政府农业主管部门（以下简称省级农业部门）核发；其他农药经营许可由县级以上地方人民政府农业主管部门（以下简称县级以上地方农业部门）根据农药经营者的申请分别核发。 </w:t>
      </w:r>
    </w:p>
    <w:p>
      <w:pPr>
        <w:spacing w:line="220" w:lineRule="atLeast"/>
        <w:rPr>
          <w:rFonts w:hint="eastAsia" w:ascii="宋体" w:hAnsi="宋体" w:eastAsia="宋体" w:cs="宋体"/>
        </w:rPr>
      </w:pPr>
      <w:r>
        <w:rPr>
          <w:rFonts w:hint="eastAsia" w:ascii="宋体" w:hAnsi="宋体" w:eastAsia="宋体" w:cs="宋体"/>
        </w:rPr>
        <w:t>第十三条 农药经营许可证有效期为五年。农药经营许可证有效期内，改变农药经营者名称、法定代表人（负责人）、住所、调整分支机构，或者减少经营范围的，应当自发生变化之日起三十日内向原发证机关提出变更申请，并提交变更申请表和相关证明等材料。 原发证机关应当自受理变更申请之日起二十个工作日内办理。符合条件的，重新核发农药经营许可证；不符合条件的，书面通知申请人并说明理由。</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农药经营许可证原件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农药经营许可证变更申请表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营业执照</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申请资料真实性、合法性声明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工商管理部门出具的核准变更通知书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农药经营许可证（变更）申请表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营业执照或中华人民共和国居民身份证</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更名的情况说明</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1</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spacing w:line="220" w:lineRule="atLeast"/>
        <w:rPr>
          <w:rFonts w:hint="eastAsia" w:ascii="宋体" w:hAnsi="宋体" w:eastAsia="宋体" w:cs="宋体"/>
          <w:color w:val="000000"/>
        </w:rPr>
      </w:pPr>
      <w:r>
        <w:rPr>
          <w:rFonts w:hint="eastAsia" w:ascii="宋体" w:hAnsi="宋体" w:eastAsia="宋体" w:cs="宋体"/>
          <w:color w:val="000000"/>
        </w:rPr>
        <w:t xml:space="preserve">0377-61387772   </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市区乘坐1路、6路、15路、22路、30路、36路车至南阳市行政审批服务中心下车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收件 ；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受理 ；办理人：张丛正；办理时限：即时；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审核 ；办理人：万客义；办理时限：即时；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决定 ；办理人：董国良；办理时限：即时；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送达 ；办理人：张秋菊；办理时限：即时；审查标准：在作出决定当日通知申请人，及时向申请人送达审批服务事项办理结果。；办理结果：根据申请人选择的送达方式送达相应行政许可文书。</w:t>
      </w:r>
      <w:bookmarkStart w:id="0" w:name="_GoBack"/>
      <w:bookmarkEnd w:id="0"/>
    </w:p>
    <w:p>
      <w:pPr>
        <w:spacing w:line="220" w:lineRule="atLeast"/>
        <w:rPr>
          <w:b/>
        </w:rPr>
      </w:pPr>
      <w:r>
        <w:rPr>
          <w:rFonts w:hint="eastAsia"/>
          <w:b/>
        </w:rPr>
        <w:t>流程图：</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10F9A4"/>
    <w:multiLevelType w:val="singleLevel"/>
    <w:tmpl w:val="CD10F9A4"/>
    <w:lvl w:ilvl="0" w:tentative="0">
      <w:start w:val="1"/>
      <w:numFmt w:val="decimal"/>
      <w:lvlText w:val="%1."/>
      <w:lvlJc w:val="left"/>
      <w:pPr>
        <w:ind w:left="425" w:hanging="425"/>
      </w:pPr>
      <w:rPr>
        <w:rFonts w:hint="default"/>
      </w:rPr>
    </w:lvl>
  </w:abstractNum>
  <w:abstractNum w:abstractNumId="1">
    <w:nsid w:val="FEB577B3"/>
    <w:multiLevelType w:val="singleLevel"/>
    <w:tmpl w:val="FEB577B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EF07C9C"/>
    <w:rsid w:val="0FD324E4"/>
    <w:rsid w:val="16053382"/>
    <w:rsid w:val="2B71569A"/>
    <w:rsid w:val="37510672"/>
    <w:rsid w:val="5E46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2020-12-05T01:48:26Z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