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国家保护水生野生动物或其产品经营利用审核</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国家保护水生野生动物或其产品经营利用审核</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野生动物保护法》（1988年11月8日主席令第九号，2004年8月28日予以修正，2009年8月27日予以修正，2016年7月2日主席令第四十七号予以修订，2017年1月1日起实施）第七条：国务院林业、渔业主管部门分别主管全国陆生、水生野生动物保护工作。县级以上地方人民政府林业、渔业主管部门分别主管本行政区域内陆生、水生野生动物保护工作。第二十五条：国家支持有关科学研究机构因物种保护目的人工繁育国家重点保护野生动物。前款规定以外的人工繁育国家重点保护野生动物实行许可制度。人工繁育国家重点保护野生动物的，应当经省、自治区、直辖市人民政府野生动物保护主管部门批准，取得人工繁育许可证，但国务院对批准机关另有规定的除外。           《中华人民共和国水生野生动物利用特许办法》（1999年6月24日农业部令第15号公布，2004年7月1日农业部令第38号、2010年11月26日农业部令2010年第11号、2013年12月31日农业部令2013年第5号修订、2017年11月30日农业部令2017年第8号修订）第三条 农业部主管全国水生野生动物利用特许管理工作，负责国家一级保护水生野生动物的捕捉、水生野生动物或其制品进出口和国务院规定由农业部负责的国家重点水生野生动物的人工繁育和出售购买利用其活体及制品活动的审批。</w:t>
      </w:r>
    </w:p>
    <w:p>
      <w:pPr>
        <w:spacing w:line="220" w:lineRule="atLeast"/>
        <w:rPr>
          <w:rFonts w:hint="eastAsia"/>
          <w:b/>
        </w:rPr>
      </w:pPr>
      <w:r>
        <w:rPr>
          <w:rFonts w:hint="eastAsia" w:ascii="宋体" w:hAnsi="宋体" w:eastAsia="宋体" w:cs="宋体"/>
        </w:rPr>
        <w:t>省级人民政府渔业行政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物种或其产品来源和场所使用证明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中华人民共和国水生野生动植物及其产品利用特许证件申请表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购销合同复印件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双方资质证明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场地设施及设备照片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 xml:space="preserve">固话咨询:0377-62299233   </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 xml:space="preserve">固话投诉0377-62299215  </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w:t>
      </w:r>
      <w:r>
        <w:rPr>
          <w:rFonts w:hint="eastAsia" w:ascii="宋体" w:hAnsi="宋体" w:eastAsia="宋体" w:cs="宋体"/>
          <w:color w:val="000000"/>
        </w:rPr>
        <w:t>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环节名称：决定；办理人：李光白；办理时限：1个工作日；审查标准：复核申请材料和审查环节作出审批意见</w:t>
      </w:r>
      <w:bookmarkStart w:id="0" w:name="_GoBack"/>
      <w:bookmarkEnd w:id="0"/>
      <w:r>
        <w:rPr>
          <w:rFonts w:hint="eastAsia" w:ascii="宋体" w:hAnsi="宋体" w:eastAsia="宋体" w:cs="宋体"/>
          <w:color w:val="000000"/>
        </w:rPr>
        <w:t>意见，并在承诺时限内做出是否同意申请事项的决定。办理结果：1、同意批准的，承诺时限内送达《准予行政许可决定书》2、不同意批准的，承诺时限内送达《不予行政许可决定书》。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环节名称：送达；办理人：张秋菊；办理时限：即时；审查标准：在作出决定当日通知申请人，及时向申请人送达审批服务事项办理结果。办理结果：根据申请人选择的送达方式送达相应行政许可文书。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r>
        <w:rPr>
          <w:rFonts w:ascii="宋体" w:hAnsi="宋体" w:eastAsia="宋体" w:cs="宋体"/>
          <w:sz w:val="24"/>
          <w:szCs w:val="24"/>
        </w:rPr>
        <w:drawing>
          <wp:inline distT="0" distB="0" distL="114300" distR="114300">
            <wp:extent cx="304800" cy="3048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spacing w:line="220" w:lineRule="atLeast"/>
      </w:pPr>
    </w:p>
    <w:p>
      <w:pPr>
        <w:rPr>
          <w:rFonts w:hint="eastAsia" w:eastAsia="微软雅黑"/>
          <w:lang w:eastAsia="zh-CN"/>
        </w:rPr>
      </w:pPr>
      <w:r>
        <w:rPr>
          <w:rFonts w:hint="eastAsia" w:eastAsia="微软雅黑"/>
          <w:lang w:eastAsia="zh-CN"/>
        </w:rPr>
        <w:drawing>
          <wp:inline distT="0" distB="0" distL="114300" distR="114300">
            <wp:extent cx="4457700" cy="5867400"/>
            <wp:effectExtent l="0" t="0" r="0" b="0"/>
            <wp:docPr id="3" name="图片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23"/>
                    <pic:cNvPicPr>
                      <a:picLocks noChangeAspect="1"/>
                    </pic:cNvPicPr>
                  </pic:nvPicPr>
                  <pic:blipFill>
                    <a:blip r:embed="rId5"/>
                    <a:stretch>
                      <a:fillRect/>
                    </a:stretch>
                  </pic:blipFill>
                  <pic:spPr>
                    <a:xfrm>
                      <a:off x="0" y="0"/>
                      <a:ext cx="4457700" cy="586740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B7C841"/>
    <w:multiLevelType w:val="singleLevel"/>
    <w:tmpl w:val="99B7C841"/>
    <w:lvl w:ilvl="0" w:tentative="0">
      <w:start w:val="1"/>
      <w:numFmt w:val="decimal"/>
      <w:lvlText w:val="%1."/>
      <w:lvlJc w:val="left"/>
      <w:pPr>
        <w:ind w:left="425" w:hanging="425"/>
      </w:pPr>
      <w:rPr>
        <w:rFonts w:hint="default"/>
      </w:rPr>
    </w:lvl>
  </w:abstractNum>
  <w:abstractNum w:abstractNumId="1">
    <w:nsid w:val="73BCB4B1"/>
    <w:multiLevelType w:val="singleLevel"/>
    <w:tmpl w:val="73BCB4B1"/>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71F76"/>
    <w:rsid w:val="2D1208CF"/>
    <w:rsid w:val="47E06689"/>
    <w:rsid w:val="78E71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2020-12-04T07:45:00Z</dcterms:created>
  <dc:creator>Administrator</dc:creator>
  <cp:lastModifiedBy>佩奇</cp:lastModifiedBy>
  <dcterms:modified xsi:type="dcterms:W3CDTF">2020-12-05T02:14:33Z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