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rPr>
      </w:pPr>
      <w:r>
        <w:rPr>
          <w:rFonts w:hint="eastAsia"/>
        </w:rPr>
        <w:t>农作物种子生产经营许可证核发(CD证设立)</w:t>
      </w:r>
    </w:p>
    <w:p>
      <w:pPr>
        <w:spacing w:line="220" w:lineRule="atLeast"/>
        <w:rPr>
          <w:b/>
        </w:rPr>
      </w:pPr>
      <w:r>
        <w:rPr>
          <w:rFonts w:hint="eastAsia"/>
          <w:b/>
        </w:rPr>
        <w:t>实施主体：</w:t>
      </w:r>
    </w:p>
    <w:p>
      <w:pPr>
        <w:spacing w:line="220" w:lineRule="atLeast"/>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农作物种子生产经营许可证核发(CD证设立)</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《中华人民共和国种子法》第三十一条 从事种子进出口业务的种子生产经营许可证，由省、自治区、直辖市人民政府农业、林业主管部门审核，国务院农业、林业主管部门核发。</w:t>
      </w:r>
    </w:p>
    <w:p>
      <w:pPr>
        <w:spacing w:line="220" w:lineRule="atLeast"/>
        <w:rPr>
          <w:rFonts w:hint="eastAsia" w:ascii="宋体" w:hAnsi="宋体" w:eastAsia="宋体" w:cs="宋体"/>
        </w:rPr>
      </w:pPr>
      <w:r>
        <w:rPr>
          <w:rFonts w:hint="eastAsia" w:ascii="宋体" w:hAnsi="宋体" w:eastAsia="宋体" w:cs="宋体"/>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pPr>
        <w:spacing w:line="220" w:lineRule="atLeast"/>
        <w:rPr>
          <w:rFonts w:hint="eastAsia"/>
          <w:b/>
        </w:rPr>
      </w:pPr>
      <w:r>
        <w:rPr>
          <w:rFonts w:hint="eastAsia" w:ascii="宋体" w:hAnsi="宋体" w:eastAsia="宋体" w:cs="宋体"/>
        </w:rPr>
        <w:t>前两款规定以外的其他种子的生产经营许可证，由生产经营者所在地县级以上地方人民政府农业、林业主管部门核发。只从事非主要农作物种子和非主要林木种子生产的，不需要办理种子生产经营许可证。</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主要农作物品种审定证书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公司基本情况</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单位性质、股权结构等基本情况，公司章程、营业执照复印件，设立分支机构、委托生产种子、委托代销种子以及以购销方式销售种子等情况说明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种子检验室、加工厂房、仓库和设施的自有产权或自有资产的证明材料；办公场所自有产权证明复印件或租赁合同；种子检验、加工设备清单</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农作物种子生产经营许可证申请表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农作物种子生产设施设备的情况说明及实景照片</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品种审定证书复印件；生产经营授权品种种子的，提交植物新品种权证书复印件及品种权人的书面同意证明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委托种子生产合同复印件或自行组织种子生产的情况说明和证明材料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租赁合同</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场地使用证明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种子生产、加工贮藏、检验专业技术人员的基本情况及其企业缴纳的社保证明复印件，企业法定代表人和高级管理人员名单及其种业从业简历</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人员基本情况</w:t>
      </w:r>
    </w:p>
    <w:p>
      <w:pPr>
        <w:spacing w:line="220" w:lineRule="atLeast"/>
        <w:rPr>
          <w:rFonts w:hint="eastAsia"/>
          <w:b/>
        </w:rPr>
      </w:pP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一、固话投诉:0377-61387772</w:t>
      </w:r>
      <w:r>
        <w:rPr>
          <w:rFonts w:hint="eastAsia" w:ascii="宋体" w:hAnsi="宋体" w:eastAsia="宋体" w:cs="宋体"/>
          <w:color w:val="000000"/>
        </w:rPr>
        <w:br w:type="textWrapping"/>
      </w:r>
    </w:p>
    <w:p>
      <w:pPr>
        <w:spacing w:line="220" w:lineRule="atLeast"/>
        <w:rPr>
          <w:b/>
        </w:rPr>
      </w:pPr>
      <w:r>
        <w:rPr>
          <w:rFonts w:hint="eastAsia"/>
          <w:b/>
        </w:rPr>
        <w:t>办理地址：</w:t>
      </w:r>
    </w:p>
    <w:p>
      <w:pPr>
        <w:spacing w:line="220" w:lineRule="atLeast"/>
        <w:rPr>
          <w:rFonts w:hint="eastAsia"/>
          <w:b/>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市区乘坐1路、6路、15路、22路、30路、36路车至南阳市行政审批服务中心下车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收件 ；办理人：综合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受理 ；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2个工作日内一次性告知需补齐补正的全部材料，出具《申请材料补正告知书》；3、申请材料齐全并且符合法定形式的，予以受理并出具《受理通知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审核 ；办理人：赵群友；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决定 ；办理人：董国良；办理时限：1个工作日；审查标准：复核申请材料和审查环节作出审批意见意见，并在承诺时限内做出是否同意申请事项的决定。；办理结果：1、同意批准的，承诺时限内送达《准予行政许可决定书》和《农作物种子生产经营许可证》；2、不同意批准的，承诺时限内送达《不予行政许可决定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送达 ；办理人：张秋菊；办理时限：即时；审查标准：在作出决定当日通知申请人，及时向申请人送达审批服务事项办理结果。；办理结果：根据申请人选择的送达方式送达相应行政许</w:t>
      </w:r>
      <w:bookmarkStart w:id="0" w:name="_GoBack"/>
      <w:bookmarkEnd w:id="0"/>
      <w:r>
        <w:rPr>
          <w:rFonts w:hint="eastAsia" w:ascii="宋体" w:hAnsi="宋体" w:eastAsia="宋体" w:cs="宋体"/>
          <w:color w:val="000000"/>
        </w:rPr>
        <w:t>可文书。</w:t>
      </w:r>
    </w:p>
    <w:p>
      <w:pPr>
        <w:adjustRightInd/>
        <w:snapToGrid/>
        <w:spacing w:after="0"/>
        <w:rPr>
          <w:b/>
        </w:rPr>
      </w:pPr>
      <w:r>
        <w:rPr>
          <w:rFonts w:hint="eastAsia"/>
          <w:b/>
        </w:rPr>
        <w:t>流程图：</w:t>
      </w:r>
    </w:p>
    <w:p>
      <w:pPr>
        <w:spacing w:line="220" w:lineRule="atLeast"/>
        <w:rPr>
          <w:rFonts w:hint="eastAsia" w:eastAsia="微软雅黑"/>
          <w:lang w:eastAsia="zh-CN"/>
        </w:rPr>
      </w:pPr>
      <w:r>
        <w:rPr>
          <w:rFonts w:hint="eastAsia" w:eastAsia="微软雅黑"/>
          <w:lang w:eastAsia="zh-CN"/>
        </w:rPr>
        <w:drawing>
          <wp:inline distT="0" distB="0" distL="114300" distR="114300">
            <wp:extent cx="5268595" cy="7450455"/>
            <wp:effectExtent l="0" t="0" r="8255" b="17145"/>
            <wp:docPr id="1" name="图片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
                    <pic:cNvPicPr>
                      <a:picLocks noChangeAspect="1"/>
                    </pic:cNvPicPr>
                  </pic:nvPicPr>
                  <pic:blipFill>
                    <a:blip r:embed="rId4"/>
                    <a:stretch>
                      <a:fillRect/>
                    </a:stretch>
                  </pic:blipFill>
                  <pic:spPr>
                    <a:xfrm>
                      <a:off x="0" y="0"/>
                      <a:ext cx="5268595" cy="745045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0E9A23"/>
    <w:multiLevelType w:val="singleLevel"/>
    <w:tmpl w:val="880E9A23"/>
    <w:lvl w:ilvl="0" w:tentative="0">
      <w:start w:val="1"/>
      <w:numFmt w:val="chineseCounting"/>
      <w:suff w:val="nothing"/>
      <w:lvlText w:val="%1、"/>
      <w:lvlJc w:val="left"/>
      <w:pPr>
        <w:ind w:left="0" w:firstLine="420"/>
      </w:pPr>
      <w:rPr>
        <w:rFonts w:hint="eastAsia"/>
      </w:rPr>
    </w:lvl>
  </w:abstractNum>
  <w:abstractNum w:abstractNumId="1">
    <w:nsid w:val="58547EF3"/>
    <w:multiLevelType w:val="singleLevel"/>
    <w:tmpl w:val="58547EF3"/>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E99399B"/>
    <w:rsid w:val="3A170102"/>
    <w:rsid w:val="436C66F5"/>
    <w:rsid w:val="510C0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2020-12-05T01:36:43Z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