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b/>
        </w:rPr>
      </w:pPr>
      <w:r>
        <w:rPr>
          <w:rFonts w:hint="eastAsia"/>
          <w:b/>
        </w:rPr>
        <w:t>农药经营许可证延续</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农药经营许可证延续</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 xml:space="preserve">农药经营许可管理办法 </w:t>
      </w:r>
    </w:p>
    <w:p>
      <w:pPr>
        <w:spacing w:line="220" w:lineRule="atLeast"/>
        <w:rPr>
          <w:rFonts w:hint="eastAsia" w:ascii="宋体" w:hAnsi="宋体" w:eastAsia="宋体" w:cs="宋体"/>
        </w:rPr>
      </w:pPr>
      <w:r>
        <w:rPr>
          <w:rFonts w:hint="eastAsia" w:ascii="宋体" w:hAnsi="宋体" w:eastAsia="宋体" w:cs="宋体"/>
        </w:rPr>
        <w:t xml:space="preserve">中华人民共和国农业部令2017年第5号公布 </w:t>
      </w:r>
    </w:p>
    <w:p>
      <w:pPr>
        <w:spacing w:line="220" w:lineRule="atLeast"/>
        <w:rPr>
          <w:rFonts w:hint="eastAsia" w:ascii="宋体" w:hAnsi="宋体" w:eastAsia="宋体" w:cs="宋体"/>
        </w:rPr>
      </w:pPr>
      <w:r>
        <w:rPr>
          <w:rFonts w:hint="eastAsia" w:ascii="宋体" w:hAnsi="宋体" w:eastAsia="宋体" w:cs="宋体"/>
        </w:rPr>
        <w:t>第三条 在中华人民共和国境内销售农药的，应当取得农药经营许可证。</w:t>
      </w:r>
    </w:p>
    <w:p>
      <w:pPr>
        <w:spacing w:line="220" w:lineRule="atLeast"/>
        <w:rPr>
          <w:rFonts w:hint="eastAsia" w:ascii="宋体" w:hAnsi="宋体" w:eastAsia="宋体" w:cs="宋体"/>
        </w:rPr>
      </w:pPr>
      <w:r>
        <w:rPr>
          <w:rFonts w:hint="eastAsia" w:ascii="宋体" w:hAnsi="宋体" w:eastAsia="宋体" w:cs="宋体"/>
        </w:rPr>
        <w:t xml:space="preserve">第四条 农业部负责监督指导全国农药经营许可管理工作。 限制使用农药经营许可由省级人民政府农业主管部门（以下简称省级农业部门）核发；其他农药经营许可由县级以上地方人民政府农业主管部门（以下简称县级以上地方农业部门）根据农药经营者的申请分别核发。 </w:t>
      </w:r>
    </w:p>
    <w:p>
      <w:pPr>
        <w:spacing w:line="220" w:lineRule="atLeast"/>
        <w:rPr>
          <w:rFonts w:hint="eastAsia" w:ascii="宋体" w:hAnsi="宋体" w:eastAsia="宋体" w:cs="宋体"/>
        </w:rPr>
      </w:pPr>
      <w:r>
        <w:rPr>
          <w:rFonts w:hint="eastAsia" w:ascii="宋体" w:hAnsi="宋体" w:eastAsia="宋体" w:cs="宋体"/>
        </w:rPr>
        <w:t xml:space="preserve">第十五条 农药经营许可证有效期届满，需要继续经营农药的，农药经营者应当在有效期届满九十日前向原发证机关申请延续。 </w:t>
      </w:r>
    </w:p>
    <w:p>
      <w:pPr>
        <w:spacing w:line="220" w:lineRule="atLeast"/>
        <w:rPr>
          <w:rFonts w:hint="eastAsia" w:ascii="宋体" w:hAnsi="宋体" w:eastAsia="宋体" w:cs="宋体"/>
        </w:rPr>
      </w:pPr>
      <w:r>
        <w:rPr>
          <w:rFonts w:hint="eastAsia" w:ascii="宋体" w:hAnsi="宋体" w:eastAsia="宋体" w:cs="宋体"/>
        </w:rPr>
        <w:t xml:space="preserve">第十六条 申请农药经营许可证延续的，应当向原发证机关提交申请表、农药经营情况综合报告等材料。 </w:t>
      </w:r>
    </w:p>
    <w:p>
      <w:pPr>
        <w:spacing w:line="220" w:lineRule="atLeast"/>
        <w:rPr>
          <w:rFonts w:hint="eastAsia" w:ascii="宋体" w:hAnsi="宋体" w:eastAsia="宋体" w:cs="宋体"/>
        </w:rPr>
      </w:pPr>
      <w:r>
        <w:rPr>
          <w:rFonts w:hint="eastAsia" w:ascii="宋体" w:hAnsi="宋体" w:eastAsia="宋体" w:cs="宋体"/>
        </w:rPr>
        <w:t xml:space="preserve">农药管理条例（2017年修订） </w:t>
      </w:r>
    </w:p>
    <w:p>
      <w:pPr>
        <w:spacing w:line="220" w:lineRule="atLeast"/>
        <w:rPr>
          <w:rFonts w:hint="eastAsia" w:ascii="宋体" w:hAnsi="宋体" w:eastAsia="宋体" w:cs="宋体"/>
        </w:rPr>
      </w:pPr>
      <w:r>
        <w:rPr>
          <w:rFonts w:hint="eastAsia" w:ascii="宋体" w:hAnsi="宋体" w:eastAsia="宋体" w:cs="宋体"/>
        </w:rPr>
        <w:t xml:space="preserve">中华人民共和国国务院令　第677号 </w:t>
      </w:r>
    </w:p>
    <w:p>
      <w:pPr>
        <w:spacing w:line="220" w:lineRule="atLeast"/>
        <w:rPr>
          <w:rFonts w:hint="eastAsia" w:ascii="宋体" w:hAnsi="宋体" w:eastAsia="宋体" w:cs="宋体"/>
        </w:rPr>
      </w:pPr>
      <w:r>
        <w:rPr>
          <w:rFonts w:hint="eastAsia" w:ascii="宋体" w:hAnsi="宋体" w:eastAsia="宋体" w:cs="宋体"/>
        </w:rPr>
        <w:t xml:space="preserve">第二十四条 </w:t>
      </w:r>
    </w:p>
    <w:p>
      <w:pPr>
        <w:spacing w:line="220" w:lineRule="atLeast"/>
        <w:rPr>
          <w:rFonts w:hint="eastAsia" w:ascii="宋体" w:hAnsi="宋体" w:eastAsia="宋体" w:cs="宋体"/>
        </w:rPr>
      </w:pPr>
      <w:r>
        <w:rPr>
          <w:rFonts w:hint="eastAsia" w:ascii="宋体" w:hAnsi="宋体" w:eastAsia="宋体" w:cs="宋体"/>
        </w:rPr>
        <w:t xml:space="preserve">第一款 国家实行农药经营许可制度，但经营卫生用农药的除外。农药经营者应当具备下列条件，并按照国务院农业主管部门的规定向县级以上地方人民政府农业主管部门申请农药经营许可证： </w:t>
      </w:r>
    </w:p>
    <w:p>
      <w:pPr>
        <w:spacing w:line="220" w:lineRule="atLeast"/>
        <w:rPr>
          <w:rFonts w:hint="eastAsia" w:ascii="宋体" w:hAnsi="宋体" w:eastAsia="宋体" w:cs="宋体"/>
        </w:rPr>
      </w:pPr>
      <w:r>
        <w:rPr>
          <w:rFonts w:hint="eastAsia" w:ascii="宋体" w:hAnsi="宋体" w:eastAsia="宋体" w:cs="宋体"/>
        </w:rPr>
        <w:t xml:space="preserve">（一） 有具备农药和病虫害防治专业知识，熟悉农药管理规定，能够指导安全合理使用农药的经营人员 </w:t>
      </w:r>
    </w:p>
    <w:p>
      <w:pPr>
        <w:spacing w:line="220" w:lineRule="atLeast"/>
        <w:rPr>
          <w:rFonts w:hint="eastAsia" w:ascii="宋体" w:hAnsi="宋体" w:eastAsia="宋体" w:cs="宋体"/>
        </w:rPr>
      </w:pPr>
      <w:r>
        <w:rPr>
          <w:rFonts w:hint="eastAsia" w:ascii="宋体" w:hAnsi="宋体" w:eastAsia="宋体" w:cs="宋体"/>
        </w:rPr>
        <w:t xml:space="preserve">（二） 有与其他商品以及饮用水水源、生活区域等有效隔离的营业场所和仓储场所，并配备与所申请经营农药相适应的防护设施 </w:t>
      </w:r>
    </w:p>
    <w:p>
      <w:pPr>
        <w:spacing w:line="220" w:lineRule="atLeast"/>
        <w:rPr>
          <w:rFonts w:hint="eastAsia" w:ascii="宋体" w:hAnsi="宋体" w:eastAsia="宋体" w:cs="宋体"/>
        </w:rPr>
      </w:pPr>
      <w:r>
        <w:rPr>
          <w:rFonts w:hint="eastAsia" w:ascii="宋体" w:hAnsi="宋体" w:eastAsia="宋体" w:cs="宋体"/>
        </w:rPr>
        <w:t xml:space="preserve">（三） 有与所申请经营农药相适应的质量管理、台账记录、安全防护、应急处置、仓储管理等制度 </w:t>
      </w:r>
    </w:p>
    <w:p>
      <w:pPr>
        <w:spacing w:line="220" w:lineRule="atLeast"/>
        <w:rPr>
          <w:rFonts w:hint="eastAsia" w:ascii="宋体" w:hAnsi="宋体" w:eastAsia="宋体" w:cs="宋体"/>
        </w:rPr>
      </w:pPr>
      <w:r>
        <w:rPr>
          <w:rFonts w:hint="eastAsia" w:ascii="宋体" w:hAnsi="宋体" w:eastAsia="宋体" w:cs="宋体"/>
        </w:rPr>
        <w:t xml:space="preserve">第二十五条 </w:t>
      </w:r>
    </w:p>
    <w:p>
      <w:pPr>
        <w:spacing w:line="220" w:lineRule="atLeast"/>
        <w:rPr>
          <w:rFonts w:hint="eastAsia" w:ascii="宋体" w:hAnsi="宋体" w:eastAsia="宋体" w:cs="宋体"/>
        </w:rPr>
      </w:pPr>
      <w:r>
        <w:rPr>
          <w:rFonts w:hint="eastAsia" w:ascii="宋体" w:hAnsi="宋体" w:eastAsia="宋体" w:cs="宋体"/>
        </w:rPr>
        <w:t xml:space="preserve">第一款 农药经营许可证应当载明农药经营者名称、住所、负责人、经营范围以及有效期等事项。 </w:t>
      </w:r>
    </w:p>
    <w:p>
      <w:pPr>
        <w:spacing w:line="220" w:lineRule="atLeast"/>
        <w:rPr>
          <w:rFonts w:hint="eastAsia" w:ascii="宋体" w:hAnsi="宋体" w:eastAsia="宋体" w:cs="宋体"/>
        </w:rPr>
      </w:pPr>
      <w:r>
        <w:rPr>
          <w:rFonts w:hint="eastAsia" w:ascii="宋体" w:hAnsi="宋体" w:eastAsia="宋体" w:cs="宋体"/>
        </w:rPr>
        <w:t>第二款 农药经营许可证有效期为5年。有效期届满，需要继续经营农药的，农药经营者应当在有效期届满90日前向发证机关申请延续。</w:t>
      </w:r>
    </w:p>
    <w:p>
      <w:pPr>
        <w:spacing w:line="220" w:lineRule="atLeast"/>
        <w:rPr>
          <w:rFonts w:hint="eastAsia"/>
          <w:b/>
        </w:rPr>
      </w:pPr>
      <w:r>
        <w:rPr>
          <w:rFonts w:hint="eastAsia"/>
          <w:b/>
        </w:rPr>
        <w:t>申请材料：</w:t>
      </w:r>
    </w:p>
    <w:p>
      <w:pPr>
        <w:numPr>
          <w:ilvl w:val="0"/>
          <w:numId w:val="1"/>
        </w:numPr>
        <w:spacing w:line="220" w:lineRule="atLeast"/>
        <w:ind w:left="425" w:leftChars="0" w:hanging="425" w:firstLineChars="0"/>
        <w:rPr>
          <w:rFonts w:hint="eastAsia"/>
          <w:b w:val="0"/>
          <w:bCs/>
        </w:rPr>
      </w:pPr>
      <w:r>
        <w:rPr>
          <w:rFonts w:hint="eastAsia"/>
          <w:b w:val="0"/>
          <w:bCs/>
        </w:rPr>
        <w:t>农业经营许可证延续</w:t>
      </w:r>
    </w:p>
    <w:p>
      <w:pPr>
        <w:numPr>
          <w:ilvl w:val="0"/>
          <w:numId w:val="1"/>
        </w:numPr>
        <w:spacing w:line="220" w:lineRule="atLeast"/>
        <w:ind w:left="425" w:leftChars="0" w:hanging="425" w:firstLineChars="0"/>
        <w:rPr>
          <w:rFonts w:hint="eastAsia"/>
          <w:b w:val="0"/>
          <w:bCs/>
        </w:rPr>
      </w:pPr>
      <w:r>
        <w:rPr>
          <w:rFonts w:hint="eastAsia"/>
          <w:b w:val="0"/>
          <w:bCs/>
        </w:rPr>
        <w:t>农药经营情况综合报告</w:t>
      </w:r>
    </w:p>
    <w:p>
      <w:pPr>
        <w:numPr>
          <w:ilvl w:val="0"/>
          <w:numId w:val="1"/>
        </w:numPr>
        <w:spacing w:line="220" w:lineRule="atLeast"/>
        <w:ind w:left="425" w:leftChars="0" w:hanging="425" w:firstLineChars="0"/>
        <w:rPr>
          <w:rFonts w:hint="eastAsia"/>
          <w:b w:val="0"/>
          <w:bCs/>
        </w:rPr>
      </w:pPr>
      <w:r>
        <w:rPr>
          <w:rFonts w:hint="eastAsia"/>
          <w:b w:val="0"/>
          <w:bCs/>
        </w:rPr>
        <w:t>农药经营许可证延续申请表</w:t>
      </w:r>
    </w:p>
    <w:p>
      <w:pPr>
        <w:spacing w:line="220" w:lineRule="atLeast"/>
        <w:rPr>
          <w:rFonts w:hint="eastAsia"/>
          <w:b/>
        </w:rPr>
      </w:pPr>
      <w:r>
        <w:rPr>
          <w:rFonts w:hint="eastAsia"/>
          <w:b/>
        </w:rPr>
        <w:t>法定时限：</w:t>
      </w:r>
    </w:p>
    <w:p>
      <w:pPr>
        <w:spacing w:line="220" w:lineRule="atLeast"/>
        <w:rPr>
          <w:rFonts w:hint="eastAsia"/>
          <w:b/>
        </w:rPr>
      </w:pPr>
      <w:r>
        <w:rPr>
          <w:rFonts w:hint="eastAsia"/>
          <w:b/>
          <w:lang w:val="en-US" w:eastAsia="zh-CN"/>
        </w:rPr>
        <w:t>20</w:t>
      </w:r>
      <w:r>
        <w:rPr>
          <w:rFonts w:hint="eastAsia"/>
          <w:b/>
        </w:rPr>
        <w:t>个工作日</w:t>
      </w:r>
    </w:p>
    <w:p>
      <w:pPr>
        <w:spacing w:line="220" w:lineRule="atLeast"/>
        <w:rPr>
          <w:b/>
        </w:rPr>
      </w:pPr>
      <w:r>
        <w:rPr>
          <w:rFonts w:hint="eastAsia"/>
          <w:b/>
        </w:rPr>
        <w:t>承诺时限：</w:t>
      </w:r>
    </w:p>
    <w:p>
      <w:pPr>
        <w:spacing w:line="220" w:lineRule="atLeast"/>
      </w:pPr>
      <w:r>
        <w:rPr>
          <w:rFonts w:hint="eastAsia"/>
          <w:lang w:val="en-US" w:eastAsia="zh-CN"/>
        </w:rPr>
        <w:t>5</w:t>
      </w:r>
      <w:r>
        <w:rPr>
          <w:rFonts w:hint="eastAsia"/>
        </w:rPr>
        <w:t>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固话咨询:0377-61387729</w:t>
      </w:r>
      <w:r>
        <w:rPr>
          <w:rFonts w:hint="eastAsia" w:ascii="宋体" w:hAnsi="宋体" w:eastAsia="宋体" w:cs="宋体"/>
          <w:color w:val="000000"/>
        </w:rPr>
        <w:br w:type="textWrapping"/>
      </w:r>
    </w:p>
    <w:p>
      <w:pPr>
        <w:spacing w:line="220" w:lineRule="atLeast"/>
        <w:rPr>
          <w:b/>
        </w:rPr>
      </w:pPr>
      <w:r>
        <w:rPr>
          <w:rFonts w:hint="eastAsia"/>
          <w:b/>
        </w:rPr>
        <w:t>投诉电话：</w:t>
      </w:r>
    </w:p>
    <w:p>
      <w:pPr>
        <w:adjustRightInd/>
        <w:snapToGrid/>
        <w:spacing w:after="0"/>
        <w:rPr>
          <w:rFonts w:hint="eastAsia"/>
          <w:b/>
        </w:rPr>
      </w:pPr>
      <w:r>
        <w:rPr>
          <w:rFonts w:hint="eastAsia" w:ascii="宋体" w:hAnsi="宋体" w:eastAsia="宋体" w:cs="宋体"/>
          <w:color w:val="000000"/>
        </w:rPr>
        <w:t xml:space="preserve">固话投诉:0377-61387772 </w:t>
      </w:r>
      <w:r>
        <w:rPr>
          <w:rFonts w:hint="eastAsia" w:ascii="宋体" w:hAnsi="宋体" w:eastAsia="宋体" w:cs="宋体"/>
          <w:color w:val="000000"/>
        </w:rPr>
        <w:br w:type="textWrapping"/>
      </w:r>
    </w:p>
    <w:p>
      <w:pPr>
        <w:spacing w:line="220" w:lineRule="atLeast"/>
        <w:rPr>
          <w:b/>
        </w:rPr>
      </w:pPr>
      <w:r>
        <w:rPr>
          <w:rFonts w:hint="eastAsia"/>
          <w:b/>
        </w:rPr>
        <w:t>办理地址：</w:t>
      </w:r>
    </w:p>
    <w:p>
      <w:pPr>
        <w:adjustRightInd/>
        <w:snapToGrid/>
        <w:spacing w:after="0"/>
        <w:rPr>
          <w:rFonts w:ascii="宋体" w:hAnsi="宋体" w:eastAsia="宋体" w:cs="宋体"/>
          <w:color w:val="000000"/>
        </w:rPr>
      </w:pPr>
      <w:r>
        <w:rPr>
          <w:rFonts w:hint="eastAsia" w:ascii="宋体" w:hAnsi="宋体" w:eastAsia="宋体" w:cs="宋体"/>
          <w:color w:val="000000"/>
        </w:rPr>
        <w:t>南阳市宛城区（县）仲景街道范蠡东路1666号3号楼一楼北厅综合受理窗口室（窗口）</w:t>
      </w:r>
    </w:p>
    <w:p>
      <w:pPr>
        <w:spacing w:line="220" w:lineRule="atLeast"/>
        <w:rPr>
          <w:rFonts w:hint="eastAsia"/>
          <w:b/>
        </w:rPr>
      </w:pPr>
    </w:p>
    <w:p>
      <w:pPr>
        <w:spacing w:line="220" w:lineRule="atLeast"/>
        <w:rPr>
          <w:b/>
        </w:rPr>
      </w:pPr>
      <w:r>
        <w:rPr>
          <w:rFonts w:hint="eastAsia"/>
          <w:b/>
        </w:rPr>
        <w:t>公交线路指引：</w:t>
      </w:r>
    </w:p>
    <w:p>
      <w:pPr>
        <w:spacing w:line="220" w:lineRule="atLeast"/>
        <w:rPr>
          <w:rFonts w:hint="eastAsia" w:ascii="宋体" w:hAnsi="宋体" w:eastAsia="宋体" w:cs="宋体"/>
          <w:color w:val="000000"/>
        </w:rPr>
      </w:pPr>
      <w:r>
        <w:rPr>
          <w:rFonts w:hint="eastAsia" w:ascii="宋体" w:hAnsi="宋体" w:eastAsia="宋体" w:cs="宋体"/>
          <w:color w:val="000000"/>
        </w:rPr>
        <w:t>乘1路、6路、15路、22路、27、32路公交</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收件；办理人：综合受理；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受理；办理人：张丛正；办理时限：1个工作日；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审核；办理人：万客义；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决定；办理人：董国良；办理时限：1个工作日；审查标准：复核申请材料和审查环节作出审批意见意见，并在承诺时限内做出是否同意申请事项的决定。；办理结果：1、同意批准的，承诺时限内送达《准予行政许可决定书2、不同意批准的，承诺时限内送达《不予行政许可决定书》。；</w:t>
      </w:r>
    </w:p>
    <w:p>
      <w:pPr>
        <w:numPr>
          <w:ilvl w:val="0"/>
          <w:numId w:val="2"/>
        </w:numPr>
        <w:spacing w:line="220" w:lineRule="atLeast"/>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送达；办理人：张秋菊；办理时限：即时；审查标准：在作出决定当日通知申请人，及时向申请人送达审批服务事项办理结果。；办理结果：根据申请人选择的送达方式送达相应行政许可文书。</w:t>
      </w:r>
      <w:bookmarkStart w:id="0" w:name="_GoBack"/>
      <w:bookmarkEnd w:id="0"/>
    </w:p>
    <w:p>
      <w:pPr>
        <w:spacing w:line="220" w:lineRule="atLeast"/>
        <w:rPr>
          <w:b/>
        </w:rPr>
      </w:pPr>
      <w:r>
        <w:rPr>
          <w:rFonts w:hint="eastAsia"/>
          <w:b/>
        </w:rPr>
        <w:t>流程图：</w:t>
      </w:r>
    </w:p>
    <w:p>
      <w:pPr>
        <w:spacing w:line="220" w:lineRule="atLeast"/>
      </w:pPr>
    </w:p>
    <w:p>
      <w:pPr>
        <w:rPr>
          <w:rFonts w:hint="eastAsia" w:eastAsia="宋体"/>
          <w:lang w:eastAsia="zh-CN"/>
        </w:rPr>
      </w:pPr>
      <w:r>
        <w:rPr>
          <w:rFonts w:ascii="宋体" w:hAnsi="宋体" w:eastAsia="宋体" w:cs="宋体"/>
          <w:sz w:val="24"/>
          <w:szCs w:val="24"/>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Fonts w:hint="eastAsia" w:eastAsia="宋体"/>
          <w:lang w:eastAsia="zh-CN"/>
        </w:rPr>
        <w:drawing>
          <wp:inline distT="0" distB="0" distL="114300" distR="114300">
            <wp:extent cx="5269865" cy="5625465"/>
            <wp:effectExtent l="0" t="0" r="6985" b="13335"/>
            <wp:docPr id="2" name="图片 2"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8"/>
                    <pic:cNvPicPr>
                      <a:picLocks noChangeAspect="1"/>
                    </pic:cNvPicPr>
                  </pic:nvPicPr>
                  <pic:blipFill>
                    <a:blip r:embed="rId5"/>
                    <a:stretch>
                      <a:fillRect/>
                    </a:stretch>
                  </pic:blipFill>
                  <pic:spPr>
                    <a:xfrm>
                      <a:off x="0" y="0"/>
                      <a:ext cx="5269865" cy="5625465"/>
                    </a:xfrm>
                    <a:prstGeom prst="rect">
                      <a:avLst/>
                    </a:prstGeom>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CEFBE"/>
    <w:multiLevelType w:val="singleLevel"/>
    <w:tmpl w:val="024CEFBE"/>
    <w:lvl w:ilvl="0" w:tentative="0">
      <w:start w:val="1"/>
      <w:numFmt w:val="decimal"/>
      <w:lvlText w:val="%1."/>
      <w:lvlJc w:val="left"/>
      <w:pPr>
        <w:ind w:left="425" w:hanging="425"/>
      </w:pPr>
      <w:rPr>
        <w:rFonts w:hint="default"/>
      </w:rPr>
    </w:lvl>
  </w:abstractNum>
  <w:abstractNum w:abstractNumId="1">
    <w:nsid w:val="4FD2C3DF"/>
    <w:multiLevelType w:val="singleLevel"/>
    <w:tmpl w:val="4FD2C3DF"/>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5E4E36"/>
    <w:rsid w:val="2F5E4E36"/>
    <w:rsid w:val="3D9C24F3"/>
    <w:rsid w:val="797B56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2020-12-04T08:51:00Z</dcterms:created>
  <dc:creator>靑</dc:creator>
  <cp:lastModifiedBy>佩奇</cp:lastModifiedBy>
  <dcterms:modified xsi:type="dcterms:W3CDTF">2020-12-05T01:47:28Z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