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sz w:val="32"/>
          <w:szCs w:val="32"/>
        </w:rPr>
      </w:pPr>
      <w:r>
        <w:rPr>
          <w:rFonts w:hint="eastAsia" w:ascii="黑体" w:hAnsi="黑体" w:eastAsia="黑体" w:cs="黑体"/>
          <w:sz w:val="32"/>
          <w:szCs w:val="32"/>
        </w:rPr>
        <w:t>农作物种子生产经营许可证核发(副证变更)</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农作物种子生产经营许可证核发(副证变更)</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《农作物种子生产经营许可管理办法》第十九条种子生产经营许可证有效期为五年。</w:t>
      </w:r>
    </w:p>
    <w:p>
      <w:pPr>
        <w:spacing w:line="220" w:lineRule="atLeast"/>
        <w:rPr>
          <w:rFonts w:hint="eastAsia" w:ascii="宋体" w:hAnsi="宋体" w:eastAsia="宋体" w:cs="宋体"/>
        </w:rPr>
      </w:pPr>
      <w:r>
        <w:rPr>
          <w:rFonts w:hint="eastAsia" w:ascii="宋体" w:hAnsi="宋体" w:eastAsia="宋体" w:cs="宋体"/>
        </w:rPr>
        <w:t>在有效期内变更主证载明事项的，应当向原发证机关申请变更并提交相应材料，原发证机关应当依法进行审查，办理变更手续。</w:t>
      </w:r>
    </w:p>
    <w:p>
      <w:pPr>
        <w:spacing w:line="220" w:lineRule="atLeast"/>
        <w:rPr>
          <w:rFonts w:hint="eastAsia"/>
          <w:b/>
        </w:rPr>
      </w:pPr>
      <w:r>
        <w:rPr>
          <w:rFonts w:hint="eastAsia" w:ascii="宋体" w:hAnsi="宋体" w:eastAsia="宋体" w:cs="宋体"/>
        </w:rPr>
        <w:t>在有效期内变更副证载明的生产种子的品种、地点等事项的，应当在播种三十日前向原发证机关申请变更并提交相应材料，申请材料齐全且符合法定形式的，原发证机关应当当场予以变更登记。</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种子生产经营许可证申请表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委托种子生产合同复印件或自行组织种子生产的情况说明和证明材料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种子生产地点检疫证明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种子生产地点检疫材料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品种审定证书复印件；生产经营授权品种种子的，提交植物新品种权证书复印件及品种权人的书面同意证明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种子生产地点检疫材料</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主要农作物品种审定证书</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种子生产情况说明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种子检验室、加工厂房、仓库和设施的自有产权或自有资产的证明材料；办公场所自有产权证明复印件或租赁合同；种子检验、加工设备清单</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农作物种子生产经营许可证申请表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农作物种子生产经营许可证申请表</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种子生产、加工贮藏、检验专业技术人员的基本情况及其企业缴纳的社保证明复印件，企业法定代表人和高级管理人员名单及其种业从业简历</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单位性质、股权结构等基本情况，公司章程、营业执照复印件，设立分支机构、委托生产种子、委托代销种子以及以购销方式销售种子等情况说明</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主要农作物品种审定证书</w:t>
      </w:r>
    </w:p>
    <w:p>
      <w:pPr>
        <w:numPr>
          <w:ilvl w:val="0"/>
          <w:numId w:val="1"/>
        </w:numPr>
        <w:spacing w:line="220" w:lineRule="atLeast"/>
        <w:ind w:left="425" w:leftChars="0" w:hanging="425" w:firstLineChars="0"/>
        <w:rPr>
          <w:rFonts w:hint="eastAsia" w:ascii="宋体" w:hAnsi="宋体" w:eastAsia="宋体" w:cs="宋体"/>
        </w:rPr>
      </w:pPr>
      <w:r>
        <w:rPr>
          <w:rFonts w:hint="eastAsia" w:ascii="宋体" w:hAnsi="宋体" w:eastAsia="宋体" w:cs="宋体"/>
        </w:rPr>
        <w:t>种子生产情况说明</w:t>
      </w:r>
    </w:p>
    <w:p>
      <w:pPr>
        <w:spacing w:line="220" w:lineRule="atLeast"/>
        <w:rPr>
          <w:rFonts w:hint="eastAsia"/>
          <w:b/>
        </w:rPr>
      </w:pPr>
      <w:r>
        <w:rPr>
          <w:rFonts w:hint="eastAsia"/>
          <w:b/>
        </w:rPr>
        <w:t>法定时限：</w:t>
      </w:r>
    </w:p>
    <w:p>
      <w:pPr>
        <w:spacing w:line="220" w:lineRule="atLeast"/>
        <w:rPr>
          <w:rFonts w:hint="eastAsia"/>
          <w:b/>
        </w:rPr>
      </w:pPr>
      <w:r>
        <w:rPr>
          <w:rFonts w:hint="eastAsia"/>
          <w:b/>
          <w:lang w:val="en-US" w:eastAsia="zh-CN"/>
        </w:rPr>
        <w:t>20</w:t>
      </w:r>
      <w:r>
        <w:rPr>
          <w:rFonts w:hint="eastAsia"/>
          <w:b/>
        </w:rPr>
        <w:t>个工作日</w:t>
      </w:r>
    </w:p>
    <w:p>
      <w:pPr>
        <w:spacing w:line="220" w:lineRule="atLeast"/>
        <w:rPr>
          <w:b/>
        </w:rPr>
      </w:pPr>
      <w:r>
        <w:rPr>
          <w:rFonts w:hint="eastAsia"/>
          <w:b/>
        </w:rPr>
        <w:t>承诺时限：</w:t>
      </w:r>
    </w:p>
    <w:p>
      <w:pPr>
        <w:spacing w:line="220" w:lineRule="atLeast"/>
      </w:pPr>
      <w:r>
        <w:rPr>
          <w:rFonts w:hint="eastAsia"/>
          <w:lang w:val="en-US" w:eastAsia="zh-CN"/>
        </w:rPr>
        <w:t>1</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固话咨询:0377-61387729</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固话投诉:0377-61387772</w:t>
      </w:r>
      <w:r>
        <w:rPr>
          <w:rFonts w:hint="eastAsia" w:ascii="宋体" w:hAnsi="宋体" w:eastAsia="宋体" w:cs="宋体"/>
          <w:color w:val="000000"/>
        </w:rPr>
        <w:br w:type="textWrapping"/>
      </w:r>
    </w:p>
    <w:p>
      <w:pPr>
        <w:spacing w:line="220" w:lineRule="atLeast"/>
        <w:rPr>
          <w:b/>
        </w:rPr>
      </w:pPr>
      <w:r>
        <w:rPr>
          <w:rFonts w:hint="eastAsia"/>
          <w:b/>
        </w:rPr>
        <w:t>办理地址：</w:t>
      </w:r>
    </w:p>
    <w:p>
      <w:pPr>
        <w:spacing w:line="220" w:lineRule="atLeast"/>
        <w:rPr>
          <w:rFonts w:hint="eastAsia"/>
          <w:b/>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b/>
        </w:rPr>
      </w:pPr>
      <w:r>
        <w:rPr>
          <w:rFonts w:hint="eastAsia" w:ascii="宋体" w:hAnsi="宋体" w:eastAsia="宋体" w:cs="宋体"/>
          <w:color w:val="000000"/>
        </w:rPr>
        <w:t>市区乘坐1路、6路、15路、22路、30路、36路车至南阳市行政审批服务中心下车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环节名称：收件 ；办理人：综合受理窗口；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环节名称：受理 ；办理人：张丛正；办理时限：即时；审查标准：对申请材料进行初步审核。经审核，申请材料齐全、符合法定形式的，决定予以受理。申请材料不齐全或者不符合法定形式的，应当当场告知申请人需要补正的全部内容。；办理结果：1、</w:t>
      </w:r>
      <w:r>
        <w:rPr>
          <w:rFonts w:hint="eastAsia" w:ascii="宋体" w:hAnsi="宋体" w:eastAsia="宋体" w:cs="宋体"/>
          <w:color w:val="000000"/>
        </w:rPr>
        <w:tab/>
      </w:r>
      <w:r>
        <w:rPr>
          <w:rFonts w:hint="eastAsia" w:ascii="宋体" w:hAnsi="宋体" w:eastAsia="宋体" w:cs="宋体"/>
          <w:color w:val="000000"/>
        </w:rPr>
        <w:t>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环节名称：审核 ；办理人：赵群友；办理时限：即时；审查标准：在受理申报材料后，由办理科室对申请材料进行实质性审查，并依法组织专家进行专家现场评审（专家现场评审和企业整改时间不包含在承诺工作日内）。；办理结果：1、</w:t>
      </w:r>
      <w:r>
        <w:rPr>
          <w:rFonts w:hint="eastAsia" w:ascii="宋体" w:hAnsi="宋体" w:eastAsia="宋体" w:cs="宋体"/>
          <w:color w:val="000000"/>
        </w:rPr>
        <w:tab/>
      </w:r>
      <w:r>
        <w:rPr>
          <w:rFonts w:hint="eastAsia" w:ascii="宋体" w:hAnsi="宋体" w:eastAsia="宋体" w:cs="宋体"/>
          <w:color w:val="000000"/>
        </w:rPr>
        <w:t>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环节名称：决定 ；办理人：董国良；办理时限：即时；审查标准：复核申请材料和审查环节作出审批意见意见，并在承诺时限内做出是否同意申请事项的决定。；办理结果：1、</w:t>
      </w:r>
      <w:r>
        <w:rPr>
          <w:rFonts w:hint="eastAsia" w:ascii="宋体" w:hAnsi="宋体" w:eastAsia="宋体" w:cs="宋体"/>
          <w:color w:val="000000"/>
        </w:rPr>
        <w:tab/>
      </w:r>
      <w:r>
        <w:rPr>
          <w:rFonts w:hint="eastAsia" w:ascii="宋体" w:hAnsi="宋体" w:eastAsia="宋体" w:cs="宋体"/>
          <w:color w:val="000000"/>
        </w:rPr>
        <w:t>同意批准的，承诺时限内送达《准予行政许可决定书》和《农作物种子生产经营许可证》；2、不同意批准的，承诺时限内送达《不予行政许可决定书》。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环节名称：送达 ；办理人：张秋菊；办理时限：即时；审查标准：在作出决定当日通知申请人，及时向申请人送达审批服务事项办理结果。；办理结果：根据申请人选择的送达方式送达相应行政许可文书。</w:t>
      </w:r>
      <w:bookmarkStart w:id="0" w:name="_GoBack"/>
      <w:bookmarkEnd w:id="0"/>
    </w:p>
    <w:p>
      <w:pPr>
        <w:spacing w:line="220" w:lineRule="atLeast"/>
        <w:rPr>
          <w:b/>
        </w:rPr>
      </w:pPr>
      <w:r>
        <w:rPr>
          <w:rFonts w:hint="eastAsia"/>
          <w:b/>
        </w:rPr>
        <w:t>流程图：</w:t>
      </w:r>
    </w:p>
    <w:p>
      <w:pPr>
        <w:spacing w:line="220" w:lineRule="atLeast"/>
      </w:pPr>
      <w:r>
        <w:rPr>
          <w:rFonts w:ascii="宋体" w:hAnsi="宋体" w:eastAsia="宋体" w:cs="宋体"/>
          <w:sz w:val="24"/>
          <w:szCs w:val="24"/>
        </w:rPr>
        <w:drawing>
          <wp:inline distT="0" distB="0" distL="114300" distR="114300">
            <wp:extent cx="6187440" cy="8751570"/>
            <wp:effectExtent l="0" t="0" r="3810" b="1143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187440" cy="8751570"/>
                    </a:xfrm>
                    <a:prstGeom prst="rect">
                      <a:avLst/>
                    </a:prstGeom>
                    <a:noFill/>
                    <a:ln w="9525">
                      <a:noFill/>
                    </a:ln>
                  </pic:spPr>
                </pic:pic>
              </a:graphicData>
            </a:graphic>
          </wp:inline>
        </w:drawing>
      </w: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5D2F4A"/>
    <w:multiLevelType w:val="singleLevel"/>
    <w:tmpl w:val="AC5D2F4A"/>
    <w:lvl w:ilvl="0" w:tentative="0">
      <w:start w:val="1"/>
      <w:numFmt w:val="chineseCounting"/>
      <w:suff w:val="nothing"/>
      <w:lvlText w:val="%1、"/>
      <w:lvlJc w:val="left"/>
      <w:pPr>
        <w:ind w:left="0" w:firstLine="420"/>
      </w:pPr>
      <w:rPr>
        <w:rFonts w:hint="eastAsia"/>
      </w:rPr>
    </w:lvl>
  </w:abstractNum>
  <w:abstractNum w:abstractNumId="1">
    <w:nsid w:val="E576735E"/>
    <w:multiLevelType w:val="singleLevel"/>
    <w:tmpl w:val="E576735E"/>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1D41AF"/>
    <w:rsid w:val="0BD309F5"/>
    <w:rsid w:val="3B1D4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2020-12-04T08:09:00Z</dcterms:created>
  <dc:creator>Administrator</dc:creator>
  <cp:lastModifiedBy>佩奇</cp:lastModifiedBy>
  <dcterms:modified xsi:type="dcterms:W3CDTF">2020-12-05T02:12:38Z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