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渔业捕捞许可审批</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sz w:val="30"/>
          <w:szCs w:val="30"/>
        </w:rPr>
      </w:pPr>
      <w:r>
        <w:rPr>
          <w:rFonts w:hint="eastAsia"/>
          <w:sz w:val="30"/>
          <w:szCs w:val="30"/>
        </w:rPr>
        <w:t>渔业捕捞许可审批</w:t>
      </w:r>
    </w:p>
    <w:p>
      <w:pPr>
        <w:spacing w:line="220" w:lineRule="atLeast"/>
        <w:rPr>
          <w:rFonts w:hint="eastAsia"/>
          <w:b/>
          <w:sz w:val="30"/>
          <w:szCs w:val="30"/>
        </w:rPr>
      </w:pPr>
      <w:r>
        <w:rPr>
          <w:rFonts w:hint="eastAsia"/>
          <w:b/>
          <w:sz w:val="30"/>
          <w:szCs w:val="30"/>
        </w:rPr>
        <w:t>事项类别：</w:t>
      </w:r>
    </w:p>
    <w:p>
      <w:pPr>
        <w:spacing w:line="220" w:lineRule="atLeast"/>
        <w:rPr>
          <w:rFonts w:hint="default" w:eastAsia="微软雅黑"/>
          <w:sz w:val="30"/>
          <w:szCs w:val="30"/>
          <w:lang w:val="en-US" w:eastAsia="zh-CN"/>
        </w:rPr>
      </w:pPr>
      <w:r>
        <w:rPr>
          <w:rFonts w:hint="eastAsia"/>
          <w:sz w:val="30"/>
          <w:szCs w:val="30"/>
          <w:lang w:val="en-US" w:eastAsia="zh-CN"/>
        </w:rPr>
        <w:t>行政许可</w:t>
      </w:r>
    </w:p>
    <w:p>
      <w:pPr>
        <w:spacing w:line="220" w:lineRule="atLeast"/>
        <w:rPr>
          <w:rFonts w:hint="eastAsia"/>
          <w:b/>
          <w:sz w:val="30"/>
          <w:szCs w:val="30"/>
        </w:rPr>
      </w:pPr>
      <w:r>
        <w:rPr>
          <w:rFonts w:hint="eastAsia"/>
          <w:b/>
          <w:sz w:val="30"/>
          <w:szCs w:val="30"/>
        </w:rPr>
        <w:t>实施依据：</w:t>
      </w:r>
    </w:p>
    <w:p>
      <w:pPr>
        <w:spacing w:line="220" w:lineRule="atLeast"/>
        <w:rPr>
          <w:rFonts w:hint="eastAsia"/>
          <w:sz w:val="30"/>
          <w:szCs w:val="30"/>
        </w:rPr>
      </w:pPr>
      <w:r>
        <w:rPr>
          <w:rFonts w:hint="eastAsia"/>
          <w:sz w:val="30"/>
          <w:szCs w:val="30"/>
        </w:rPr>
        <w:t>《中华人民共和国渔业法》（1986年1月20日主席令第三十四号，2013年12月28日予以修改）第二十三条：国家对捕捞业实行捕捞许可制度。到中华人民共和国与有关国家缔结的协定确定的共同管理的渔区或者公海从事捕捞作业的捕捞许可证，由国务院渔业行政主管部门批准发放。海洋大型拖网、围网作业的捕捞许可证，由省、自治区、直辖市渔业行政主管部门批准发放。其他作业的捕捞许可证，由县级以上地方人民政府渔业行政主管部门批准发放。但是批准发放海洋作业的捕捞许可证不得超过国家下达的船网工具控制指标，具体办法由省、自治区、直辖市人民政府规定。</w:t>
      </w:r>
    </w:p>
    <w:p>
      <w:pPr>
        <w:spacing w:line="220" w:lineRule="atLeast"/>
        <w:rPr>
          <w:rFonts w:hint="eastAsia"/>
          <w:sz w:val="30"/>
          <w:szCs w:val="30"/>
        </w:rPr>
      </w:pPr>
      <w:r>
        <w:rPr>
          <w:rFonts w:hint="eastAsia"/>
          <w:sz w:val="30"/>
          <w:szCs w:val="30"/>
        </w:rPr>
        <w:t>《中华人民共和国渔业法实施细则》（1987年10月14日国务院批准，1987年10月20日农牧渔业部发布）第十五条：国家对捕捞业，实行捕捞许可制度……近海大型拖网、围网作业的捕捞许可证，由国务院渔业行政主管部门批准发放；近海其他作业的捕捞许可证，由省、自治区、直辖市人民政府渔业行政主管部门按照国家下达的船网工具控制指标批准发放。</w:t>
      </w:r>
    </w:p>
    <w:p>
      <w:pPr>
        <w:spacing w:line="220" w:lineRule="atLeast"/>
        <w:rPr>
          <w:rFonts w:hint="eastAsia"/>
          <w:b/>
          <w:sz w:val="30"/>
          <w:szCs w:val="30"/>
        </w:rPr>
      </w:pPr>
      <w:r>
        <w:rPr>
          <w:rFonts w:hint="eastAsia"/>
          <w:b/>
          <w:sz w:val="30"/>
          <w:szCs w:val="30"/>
        </w:rPr>
        <w:t>申请材料：</w:t>
      </w:r>
    </w:p>
    <w:p>
      <w:pPr>
        <w:numPr>
          <w:ilvl w:val="0"/>
          <w:numId w:val="1"/>
        </w:numPr>
        <w:spacing w:line="220" w:lineRule="atLeast"/>
        <w:ind w:left="425" w:leftChars="0" w:hanging="425" w:firstLineChars="0"/>
        <w:rPr>
          <w:rFonts w:hint="eastAsia"/>
          <w:sz w:val="30"/>
          <w:szCs w:val="30"/>
        </w:rPr>
      </w:pPr>
      <w:r>
        <w:rPr>
          <w:rFonts w:hint="eastAsia"/>
          <w:sz w:val="30"/>
          <w:szCs w:val="30"/>
        </w:rPr>
        <w:t>渔业船舶所有权登记证书</w:t>
      </w:r>
    </w:p>
    <w:p>
      <w:pPr>
        <w:numPr>
          <w:ilvl w:val="0"/>
          <w:numId w:val="1"/>
        </w:numPr>
        <w:spacing w:line="220" w:lineRule="atLeast"/>
        <w:ind w:left="425" w:leftChars="0" w:hanging="425" w:firstLineChars="0"/>
        <w:rPr>
          <w:rFonts w:hint="eastAsia"/>
          <w:sz w:val="30"/>
          <w:szCs w:val="30"/>
        </w:rPr>
      </w:pPr>
      <w:r>
        <w:rPr>
          <w:rFonts w:hint="eastAsia"/>
          <w:sz w:val="30"/>
          <w:szCs w:val="30"/>
        </w:rPr>
        <w:t>渔业船网工具指标批准书</w:t>
      </w:r>
    </w:p>
    <w:p>
      <w:pPr>
        <w:numPr>
          <w:ilvl w:val="0"/>
          <w:numId w:val="1"/>
        </w:numPr>
        <w:spacing w:line="220" w:lineRule="atLeast"/>
        <w:ind w:left="425" w:leftChars="0" w:hanging="425" w:firstLineChars="0"/>
        <w:rPr>
          <w:rFonts w:hint="eastAsia"/>
          <w:sz w:val="30"/>
          <w:szCs w:val="30"/>
        </w:rPr>
      </w:pPr>
      <w:r>
        <w:rPr>
          <w:rFonts w:hint="eastAsia"/>
          <w:sz w:val="30"/>
          <w:szCs w:val="30"/>
        </w:rPr>
        <w:t>渔业捕捞许可证</w:t>
      </w:r>
    </w:p>
    <w:p>
      <w:pPr>
        <w:numPr>
          <w:ilvl w:val="0"/>
          <w:numId w:val="1"/>
        </w:numPr>
        <w:spacing w:line="220" w:lineRule="atLeast"/>
        <w:ind w:left="425" w:leftChars="0" w:hanging="425" w:firstLineChars="0"/>
        <w:rPr>
          <w:rFonts w:hint="eastAsia"/>
          <w:sz w:val="30"/>
          <w:szCs w:val="30"/>
        </w:rPr>
      </w:pPr>
      <w:r>
        <w:rPr>
          <w:rFonts w:hint="eastAsia"/>
          <w:sz w:val="30"/>
          <w:szCs w:val="30"/>
        </w:rPr>
        <w:t>渔业船舶检验证书</w:t>
      </w:r>
    </w:p>
    <w:p>
      <w:pPr>
        <w:numPr>
          <w:ilvl w:val="0"/>
          <w:numId w:val="1"/>
        </w:numPr>
        <w:spacing w:line="220" w:lineRule="atLeast"/>
        <w:ind w:left="425" w:leftChars="0" w:hanging="425" w:firstLineChars="0"/>
        <w:rPr>
          <w:rFonts w:hint="eastAsia"/>
          <w:sz w:val="30"/>
          <w:szCs w:val="30"/>
        </w:rPr>
      </w:pPr>
      <w:r>
        <w:rPr>
          <w:rFonts w:hint="eastAsia"/>
          <w:sz w:val="30"/>
          <w:szCs w:val="30"/>
        </w:rPr>
        <w:t>申请人所在地省级渔业主管部门出具的申请入渔的文件</w:t>
      </w:r>
    </w:p>
    <w:p>
      <w:pPr>
        <w:numPr>
          <w:ilvl w:val="0"/>
          <w:numId w:val="1"/>
        </w:numPr>
        <w:spacing w:line="220" w:lineRule="atLeast"/>
        <w:ind w:left="425" w:leftChars="0" w:hanging="425" w:firstLineChars="0"/>
        <w:rPr>
          <w:rFonts w:hint="eastAsia"/>
          <w:sz w:val="30"/>
          <w:szCs w:val="30"/>
        </w:rPr>
      </w:pPr>
      <w:r>
        <w:rPr>
          <w:rFonts w:hint="eastAsia"/>
          <w:sz w:val="30"/>
          <w:szCs w:val="30"/>
        </w:rPr>
        <w:t>渔业船舶检验证书</w:t>
      </w:r>
    </w:p>
    <w:p>
      <w:pPr>
        <w:numPr>
          <w:ilvl w:val="0"/>
          <w:numId w:val="1"/>
        </w:numPr>
        <w:spacing w:line="220" w:lineRule="atLeast"/>
        <w:ind w:left="425" w:leftChars="0" w:hanging="425" w:firstLineChars="0"/>
        <w:rPr>
          <w:rFonts w:hint="eastAsia"/>
          <w:sz w:val="30"/>
          <w:szCs w:val="30"/>
        </w:rPr>
      </w:pPr>
      <w:r>
        <w:rPr>
          <w:rFonts w:hint="eastAsia"/>
          <w:sz w:val="30"/>
          <w:szCs w:val="30"/>
        </w:rPr>
        <w:t>渔业船舶登记证书</w:t>
      </w:r>
    </w:p>
    <w:p>
      <w:pPr>
        <w:numPr>
          <w:ilvl w:val="0"/>
          <w:numId w:val="1"/>
        </w:numPr>
        <w:spacing w:line="220" w:lineRule="atLeast"/>
        <w:ind w:left="425" w:leftChars="0" w:hanging="425" w:firstLineChars="0"/>
        <w:rPr>
          <w:rFonts w:hint="eastAsia"/>
          <w:sz w:val="30"/>
          <w:szCs w:val="30"/>
        </w:rPr>
      </w:pPr>
      <w:r>
        <w:rPr>
          <w:rFonts w:hint="eastAsia"/>
          <w:sz w:val="30"/>
          <w:szCs w:val="30"/>
        </w:rPr>
        <w:t>渔业捕捞许可申请书</w:t>
      </w:r>
    </w:p>
    <w:p>
      <w:pPr>
        <w:numPr>
          <w:ilvl w:val="0"/>
          <w:numId w:val="1"/>
        </w:numPr>
        <w:spacing w:line="220" w:lineRule="atLeast"/>
        <w:ind w:left="425" w:leftChars="0" w:hanging="425" w:firstLineChars="0"/>
        <w:rPr>
          <w:rFonts w:hint="eastAsia"/>
          <w:sz w:val="30"/>
          <w:szCs w:val="30"/>
        </w:rPr>
      </w:pPr>
      <w:r>
        <w:rPr>
          <w:rFonts w:hint="eastAsia"/>
          <w:sz w:val="30"/>
          <w:szCs w:val="30"/>
        </w:rPr>
        <w:t>个人身份证、2寸证件照或者企业法人营业执照</w:t>
      </w:r>
    </w:p>
    <w:p>
      <w:pPr>
        <w:numPr>
          <w:ilvl w:val="0"/>
          <w:numId w:val="1"/>
        </w:numPr>
        <w:spacing w:line="220" w:lineRule="atLeast"/>
        <w:ind w:left="425" w:leftChars="0" w:hanging="425" w:firstLineChars="0"/>
        <w:rPr>
          <w:rFonts w:hint="eastAsia"/>
          <w:sz w:val="30"/>
          <w:szCs w:val="30"/>
        </w:rPr>
      </w:pPr>
      <w:r>
        <w:rPr>
          <w:rFonts w:hint="eastAsia"/>
          <w:sz w:val="30"/>
          <w:szCs w:val="30"/>
        </w:rPr>
        <w:t>营业执照或中华人民共和国居民身份证</w:t>
      </w:r>
    </w:p>
    <w:p>
      <w:pPr>
        <w:numPr>
          <w:ilvl w:val="0"/>
          <w:numId w:val="1"/>
        </w:numPr>
        <w:spacing w:line="220" w:lineRule="atLeast"/>
        <w:ind w:left="425" w:leftChars="0" w:hanging="425" w:firstLineChars="0"/>
        <w:rPr>
          <w:rFonts w:hint="eastAsia"/>
          <w:sz w:val="30"/>
          <w:szCs w:val="30"/>
        </w:rPr>
      </w:pPr>
      <w:r>
        <w:rPr>
          <w:rFonts w:hint="eastAsia"/>
          <w:sz w:val="30"/>
          <w:szCs w:val="30"/>
        </w:rPr>
        <w:t>遗失证明</w:t>
      </w:r>
    </w:p>
    <w:p>
      <w:pPr>
        <w:numPr>
          <w:ilvl w:val="0"/>
          <w:numId w:val="1"/>
        </w:numPr>
        <w:spacing w:line="220" w:lineRule="atLeast"/>
        <w:ind w:left="425" w:leftChars="0" w:hanging="425" w:firstLineChars="0"/>
        <w:rPr>
          <w:rFonts w:hint="eastAsia"/>
          <w:sz w:val="30"/>
          <w:szCs w:val="30"/>
        </w:rPr>
      </w:pPr>
      <w:r>
        <w:rPr>
          <w:rFonts w:hint="eastAsia"/>
          <w:sz w:val="30"/>
          <w:szCs w:val="30"/>
        </w:rPr>
        <w:t>渔业捕捞许可证申请书</w:t>
      </w:r>
    </w:p>
    <w:p>
      <w:pPr>
        <w:numPr>
          <w:ilvl w:val="0"/>
          <w:numId w:val="1"/>
        </w:numPr>
        <w:spacing w:line="220" w:lineRule="atLeast"/>
        <w:ind w:left="425" w:leftChars="0" w:hanging="425" w:firstLineChars="0"/>
        <w:rPr>
          <w:rFonts w:hint="eastAsia"/>
          <w:sz w:val="30"/>
          <w:szCs w:val="30"/>
        </w:rPr>
      </w:pPr>
      <w:r>
        <w:rPr>
          <w:rFonts w:hint="eastAsia"/>
          <w:sz w:val="30"/>
          <w:szCs w:val="30"/>
        </w:rPr>
        <w:t>如有经办人，另需经办人身份证复印件及法人代表委托书</w:t>
      </w:r>
    </w:p>
    <w:p>
      <w:pPr>
        <w:spacing w:line="220" w:lineRule="atLeast"/>
        <w:rPr>
          <w:rFonts w:hint="eastAsia"/>
          <w:b/>
          <w:sz w:val="30"/>
          <w:szCs w:val="30"/>
          <w:lang w:val="en-US" w:eastAsia="zh-CN"/>
        </w:rPr>
      </w:pPr>
      <w:r>
        <w:rPr>
          <w:rFonts w:hint="eastAsia"/>
          <w:b/>
          <w:sz w:val="30"/>
          <w:szCs w:val="30"/>
          <w:lang w:val="en-US" w:eastAsia="zh-CN"/>
        </w:rPr>
        <w:t>法定时限：</w:t>
      </w:r>
    </w:p>
    <w:p>
      <w:pPr>
        <w:spacing w:line="220" w:lineRule="atLeast"/>
        <w:rPr>
          <w:rFonts w:hint="default"/>
          <w:sz w:val="30"/>
          <w:szCs w:val="30"/>
          <w:lang w:val="en-US" w:eastAsia="zh-CN"/>
        </w:rPr>
      </w:pPr>
      <w:r>
        <w:rPr>
          <w:rFonts w:hint="eastAsia"/>
          <w:sz w:val="30"/>
          <w:szCs w:val="30"/>
          <w:lang w:val="en-US" w:eastAsia="zh-CN"/>
        </w:rPr>
        <w:t>20个工作日。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5</w:t>
      </w:r>
      <w:r>
        <w:rPr>
          <w:rFonts w:hint="eastAsia"/>
          <w:sz w:val="30"/>
          <w:szCs w:val="30"/>
        </w:rPr>
        <w:t xml:space="preserve"> 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sz w:val="30"/>
          <w:szCs w:val="30"/>
        </w:rPr>
      </w:pPr>
      <w:r>
        <w:rPr>
          <w:rFonts w:hint="eastAsia"/>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0377-62299233</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 xml:space="preserve">0377-62299215 </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乘坐1路、14路、22路、6路、30路、32路、35路、36路公交车，在范蠡路南阳市民服务中心（南阳市人才市场）下车；或乘坐1路、6路、30路、14路、35路，到南都路南阳市民服务中心下车</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窗口领取或邮寄</w:t>
      </w:r>
    </w:p>
    <w:p>
      <w:pPr>
        <w:spacing w:line="220" w:lineRule="atLeast"/>
        <w:rPr>
          <w:rFonts w:hint="eastAsia"/>
          <w:b/>
          <w:sz w:val="30"/>
          <w:szCs w:val="30"/>
        </w:rPr>
      </w:pPr>
      <w:r>
        <w:rPr>
          <w:rFonts w:hint="eastAsia"/>
          <w:b/>
          <w:sz w:val="30"/>
          <w:szCs w:val="30"/>
        </w:rPr>
        <w:t>流程环节：</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环节名称：送达；办理人：张秋菊；办理时限：即时；审查标准：在作出决定当日通知申请人，及时向申请人送达审批服务事项办理结果。办理结果：根据申请人选择的送达方式送达相应行政许可文书。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rFonts w:hint="eastAsia"/>
          <w:b/>
          <w:sz w:val="30"/>
          <w:szCs w:val="30"/>
        </w:rPr>
      </w:pPr>
      <w:r>
        <w:rPr>
          <w:rFonts w:hint="eastAsia"/>
          <w:b/>
          <w:sz w:val="30"/>
          <w:szCs w:val="30"/>
        </w:rPr>
        <w:t>流程图：</w:t>
      </w:r>
    </w:p>
    <w:p>
      <w:pPr>
        <w:spacing w:line="220" w:lineRule="atLeast"/>
        <w:jc w:val="center"/>
        <w:rPr>
          <w:rFonts w:hint="eastAsia"/>
          <w:b/>
        </w:rPr>
      </w:pPr>
      <w:r>
        <w:rPr>
          <w:rFonts w:ascii="宋体" w:hAnsi="宋体" w:eastAsia="宋体" w:cs="宋体"/>
          <w:sz w:val="24"/>
          <w:szCs w:val="24"/>
        </w:rPr>
        <w:drawing>
          <wp:inline distT="0" distB="0" distL="114300" distR="114300">
            <wp:extent cx="4287520" cy="6064250"/>
            <wp:effectExtent l="0" t="0" r="17780" b="1270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287520" cy="6064250"/>
                    </a:xfrm>
                    <a:prstGeom prst="rect">
                      <a:avLst/>
                    </a:prstGeom>
                    <a:noFill/>
                    <a:ln w="9525">
                      <a:noFill/>
                    </a:ln>
                  </pic:spPr>
                </pic:pic>
              </a:graphicData>
            </a:graphic>
          </wp:inline>
        </w:drawing>
      </w:r>
    </w:p>
    <w:p>
      <w:pPr>
        <w:spacing w:line="220" w:lineRule="atLeast"/>
        <w:rPr>
          <w:rFonts w:hint="eastAsia"/>
        </w:rPr>
      </w:pP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8BEE2"/>
    <w:multiLevelType w:val="singleLevel"/>
    <w:tmpl w:val="82D8BEE2"/>
    <w:lvl w:ilvl="0" w:tentative="0">
      <w:start w:val="1"/>
      <w:numFmt w:val="chineseCounting"/>
      <w:suff w:val="nothing"/>
      <w:lvlText w:val="%1、"/>
      <w:lvlJc w:val="left"/>
      <w:pPr>
        <w:ind w:left="0" w:firstLine="420"/>
      </w:pPr>
      <w:rPr>
        <w:rFonts w:hint="eastAsia"/>
      </w:rPr>
    </w:lvl>
  </w:abstractNum>
  <w:abstractNum w:abstractNumId="1">
    <w:nsid w:val="AF87B049"/>
    <w:multiLevelType w:val="singleLevel"/>
    <w:tmpl w:val="AF87B049"/>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67782"/>
    <w:rsid w:val="008B7726"/>
    <w:rsid w:val="00C63849"/>
    <w:rsid w:val="00C82EE8"/>
    <w:rsid w:val="00D31D50"/>
    <w:rsid w:val="00EE17D2"/>
    <w:rsid w:val="00F65DC8"/>
    <w:rsid w:val="37BD754C"/>
    <w:rsid w:val="396151E6"/>
    <w:rsid w:val="3E3D1475"/>
    <w:rsid w:val="46744C93"/>
    <w:rsid w:val="49344CFC"/>
    <w:rsid w:val="57C37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Words>
  <Characters>166</Characters>
  <Lines>1</Lines>
  <Paragraphs>1</Paragraphs>
  <TotalTime>8</TotalTime>
  <ScaleCrop>false</ScaleCrop>
  <LinksUpToDate>false</LinksUpToDate>
  <CharactersWithSpaces>194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2020-12-05T02:49:51Z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