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b/>
          <w:bCs/>
        </w:rPr>
      </w:pPr>
      <w:r>
        <w:rPr>
          <w:rFonts w:hint="eastAsia"/>
          <w:b/>
          <w:bCs/>
        </w:rPr>
        <w:t>水产苗种产地检疫</w:t>
      </w:r>
    </w:p>
    <w:p>
      <w:pPr>
        <w:spacing w:line="220" w:lineRule="atLeast"/>
        <w:rPr>
          <w:b/>
        </w:rPr>
      </w:pPr>
      <w:r>
        <w:rPr>
          <w:rFonts w:hint="eastAsia"/>
          <w:b/>
        </w:rPr>
        <w:t>实施主体：</w:t>
      </w:r>
    </w:p>
    <w:p>
      <w:pPr>
        <w:spacing w:line="220" w:lineRule="atLeast"/>
        <w:rPr>
          <w:rFonts w:hint="eastAsia"/>
        </w:rPr>
      </w:pPr>
      <w:r>
        <w:rPr>
          <w:rFonts w:hint="eastAsia"/>
        </w:rPr>
        <w:t>南阳市农业农村局</w:t>
      </w:r>
    </w:p>
    <w:p>
      <w:pPr>
        <w:spacing w:line="220" w:lineRule="atLeast"/>
        <w:rPr>
          <w:b/>
        </w:rPr>
      </w:pPr>
      <w:r>
        <w:rPr>
          <w:rFonts w:hint="eastAsia"/>
          <w:b/>
        </w:rPr>
        <w:t>适用范围：</w:t>
      </w:r>
    </w:p>
    <w:p>
      <w:pPr>
        <w:spacing w:line="220" w:lineRule="atLeast"/>
        <w:rPr>
          <w:rFonts w:hint="eastAsia"/>
        </w:rPr>
      </w:pPr>
      <w:r>
        <w:rPr>
          <w:rFonts w:hint="eastAsia"/>
        </w:rPr>
        <w:t>水产苗种产地检疫</w:t>
      </w:r>
    </w:p>
    <w:p>
      <w:pPr>
        <w:spacing w:line="220" w:lineRule="atLeast"/>
        <w:rPr>
          <w:b/>
        </w:rPr>
      </w:pPr>
      <w:r>
        <w:rPr>
          <w:rFonts w:hint="eastAsia"/>
          <w:b/>
        </w:rPr>
        <w:t>事项类别：</w:t>
      </w:r>
    </w:p>
    <w:p>
      <w:pPr>
        <w:spacing w:line="220" w:lineRule="atLeast"/>
      </w:pPr>
      <w:r>
        <w:rPr>
          <w:rFonts w:hint="eastAsia"/>
        </w:rPr>
        <w:t>行政许可</w:t>
      </w:r>
    </w:p>
    <w:p>
      <w:pPr>
        <w:spacing w:line="220" w:lineRule="atLeast"/>
        <w:rPr>
          <w:b/>
        </w:rPr>
      </w:pPr>
      <w:r>
        <w:rPr>
          <w:rFonts w:hint="eastAsia"/>
          <w:b/>
        </w:rPr>
        <w:t>实施依据：</w:t>
      </w:r>
    </w:p>
    <w:p>
      <w:pPr>
        <w:spacing w:line="220" w:lineRule="atLeast"/>
        <w:rPr>
          <w:rFonts w:hint="eastAsia" w:ascii="宋体" w:hAnsi="宋体" w:eastAsia="宋体" w:cs="宋体"/>
        </w:rPr>
      </w:pPr>
      <w:r>
        <w:rPr>
          <w:rFonts w:hint="eastAsia" w:ascii="宋体" w:hAnsi="宋体" w:eastAsia="宋体" w:cs="宋体"/>
        </w:rPr>
        <w:t>《中华人民共和国动物防疫法》（1997年7月3日主席令第八十七号，2015年4月24日予以修改）第八条：县级以上地方人民政府设立的动物卫生监督机构依照本法规定，负责动物、动物产品的检疫工作和其他有关动物防疫的监督管理执法工作。第四十二条：屠宰、出售或者运输动物以及出售或者运输动物产品前，货主应当按照国务院兽医主管部门的规定向当地动物卫生监督机构申报检疫。</w:t>
      </w:r>
    </w:p>
    <w:p>
      <w:pPr>
        <w:spacing w:line="220" w:lineRule="atLeast"/>
        <w:rPr>
          <w:rFonts w:hint="eastAsia" w:ascii="宋体" w:hAnsi="宋体" w:eastAsia="宋体" w:cs="宋体"/>
        </w:rPr>
      </w:pPr>
      <w:r>
        <w:rPr>
          <w:rFonts w:hint="eastAsia" w:ascii="宋体" w:hAnsi="宋体" w:eastAsia="宋体" w:cs="宋体"/>
        </w:rPr>
        <w:t>《水产苗种管理办法》（2005年1月5日农业部令第46号）第十八条：县级以上地方人民政府渔业行政主管部门应当加强对水产苗种的产地检疫。国内异地引进水产苗种的，应当先到当地渔业行政主管部门办理检疫手续，经检疫合格后方可运输和销售。检疫人员应当按照检疫规程实施检疫，对检疫合格的水产苗种出具检疫合格证明。</w:t>
      </w:r>
    </w:p>
    <w:p>
      <w:pPr>
        <w:spacing w:line="220" w:lineRule="atLeast"/>
        <w:rPr>
          <w:rFonts w:hint="eastAsia"/>
          <w:b/>
        </w:rPr>
      </w:pPr>
      <w:r>
        <w:rPr>
          <w:rFonts w:hint="eastAsia"/>
          <w:b/>
        </w:rPr>
        <w:t>申请材料：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水产苗种产地检疫</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水产苗种产地检疫申请表</w:t>
      </w:r>
    </w:p>
    <w:p>
      <w:pPr>
        <w:spacing w:line="220" w:lineRule="atLeast"/>
        <w:rPr>
          <w:rFonts w:hint="eastAsia"/>
          <w:b/>
        </w:rPr>
      </w:pPr>
      <w:r>
        <w:rPr>
          <w:rFonts w:hint="eastAsia"/>
          <w:b/>
        </w:rPr>
        <w:t>法定时限：</w:t>
      </w:r>
    </w:p>
    <w:p>
      <w:pPr>
        <w:spacing w:line="220" w:lineRule="atLeast"/>
        <w:rPr>
          <w:rFonts w:hint="eastAsia"/>
          <w:b/>
        </w:rPr>
      </w:pPr>
      <w:r>
        <w:rPr>
          <w:rFonts w:hint="eastAsia"/>
          <w:lang w:val="en-US" w:eastAsia="zh-CN"/>
        </w:rPr>
        <w:t>20个工作日</w:t>
      </w:r>
    </w:p>
    <w:p>
      <w:pPr>
        <w:spacing w:line="220" w:lineRule="atLeast"/>
        <w:rPr>
          <w:b/>
        </w:rPr>
      </w:pPr>
      <w:r>
        <w:rPr>
          <w:rFonts w:hint="eastAsia"/>
          <w:b/>
        </w:rPr>
        <w:t>承诺时限：</w:t>
      </w:r>
    </w:p>
    <w:p>
      <w:pPr>
        <w:spacing w:line="220" w:lineRule="atLeast"/>
      </w:pPr>
      <w:r>
        <w:rPr>
          <w:rFonts w:hint="eastAsia"/>
          <w:lang w:val="en-US" w:eastAsia="zh-CN"/>
        </w:rPr>
        <w:t>5</w:t>
      </w:r>
      <w:r>
        <w:rPr>
          <w:rFonts w:hint="eastAsia"/>
        </w:rPr>
        <w:t>个工作日。</w:t>
      </w:r>
    </w:p>
    <w:p>
      <w:pPr>
        <w:spacing w:line="220" w:lineRule="atLeast"/>
        <w:rPr>
          <w:b/>
        </w:rPr>
      </w:pPr>
      <w:r>
        <w:rPr>
          <w:rFonts w:hint="eastAsia"/>
          <w:b/>
        </w:rPr>
        <w:t>收费标准：</w:t>
      </w:r>
    </w:p>
    <w:p>
      <w:pPr>
        <w:spacing w:line="220" w:lineRule="atLeast"/>
        <w:rPr>
          <w:rFonts w:ascii="宋体" w:hAnsi="宋体" w:eastAsia="宋体" w:cs="宋体"/>
          <w:color w:val="000000"/>
        </w:rPr>
      </w:pPr>
      <w:r>
        <w:rPr>
          <w:rFonts w:hint="eastAsia" w:ascii="宋体" w:hAnsi="宋体" w:eastAsia="宋体" w:cs="宋体"/>
          <w:color w:val="000000"/>
        </w:rPr>
        <w:t>否</w:t>
      </w:r>
    </w:p>
    <w:p>
      <w:pPr>
        <w:spacing w:line="220" w:lineRule="atLeast"/>
        <w:rPr>
          <w:b/>
        </w:rPr>
      </w:pPr>
      <w:r>
        <w:rPr>
          <w:rFonts w:hint="eastAsia"/>
          <w:b/>
        </w:rPr>
        <w:t>咨询电话：</w:t>
      </w:r>
    </w:p>
    <w:p>
      <w:pPr>
        <w:adjustRightInd/>
        <w:snapToGrid/>
        <w:spacing w:after="0"/>
        <w:rPr>
          <w:rFonts w:ascii="宋体" w:hAnsi="宋体" w:eastAsia="宋体" w:cs="宋体"/>
          <w:color w:val="000000"/>
        </w:rPr>
      </w:pPr>
      <w:r>
        <w:rPr>
          <w:rFonts w:hint="eastAsia" w:ascii="宋体" w:hAnsi="宋体" w:eastAsia="宋体" w:cs="宋体"/>
          <w:color w:val="000000"/>
        </w:rPr>
        <w:t>固话咨询:0377-61387729</w:t>
      </w:r>
      <w:r>
        <w:rPr>
          <w:rFonts w:hint="eastAsia" w:ascii="宋体" w:hAnsi="宋体" w:eastAsia="宋体" w:cs="宋体"/>
          <w:color w:val="000000"/>
        </w:rPr>
        <w:br w:type="textWrapping"/>
      </w:r>
    </w:p>
    <w:p>
      <w:pPr>
        <w:spacing w:line="220" w:lineRule="atLeast"/>
        <w:rPr>
          <w:b/>
        </w:rPr>
      </w:pPr>
      <w:r>
        <w:rPr>
          <w:rFonts w:hint="eastAsia"/>
          <w:b/>
        </w:rPr>
        <w:t>投诉电话：</w:t>
      </w:r>
    </w:p>
    <w:p>
      <w:pPr>
        <w:adjustRightInd/>
        <w:snapToGrid/>
        <w:spacing w:after="0"/>
        <w:rPr>
          <w:rFonts w:hint="eastAsia" w:ascii="宋体" w:hAnsi="宋体" w:eastAsia="宋体" w:cs="宋体"/>
          <w:b/>
          <w:color w:val="000000"/>
        </w:rPr>
      </w:pPr>
      <w:r>
        <w:rPr>
          <w:rFonts w:hint="eastAsia" w:ascii="宋体" w:hAnsi="宋体" w:eastAsia="宋体" w:cs="宋体"/>
          <w:color w:val="000000"/>
        </w:rPr>
        <w:t>一、固话投诉:0377-61387772</w:t>
      </w:r>
    </w:p>
    <w:p>
      <w:pPr>
        <w:spacing w:line="220" w:lineRule="atLeast"/>
        <w:rPr>
          <w:b/>
        </w:rPr>
      </w:pPr>
      <w:r>
        <w:rPr>
          <w:rFonts w:hint="eastAsia"/>
          <w:b/>
        </w:rPr>
        <w:t>办理地址：</w:t>
      </w:r>
    </w:p>
    <w:p>
      <w:pPr>
        <w:spacing w:line="220" w:lineRule="atLeast"/>
        <w:rPr>
          <w:rFonts w:hint="eastAsia" w:ascii="宋体" w:hAnsi="宋体" w:eastAsia="宋体" w:cs="宋体"/>
          <w:color w:val="000000"/>
        </w:rPr>
      </w:pPr>
      <w:r>
        <w:rPr>
          <w:rFonts w:hint="eastAsia" w:ascii="宋体" w:hAnsi="宋体" w:eastAsia="宋体" w:cs="宋体"/>
          <w:color w:val="000000"/>
        </w:rPr>
        <w:t>南阳市宛城区（县）仲景街道范蠡东路1666号3号楼一楼北厅综合受理窗口室（窗口）</w:t>
      </w:r>
    </w:p>
    <w:p>
      <w:pPr>
        <w:spacing w:line="220" w:lineRule="atLeast"/>
        <w:rPr>
          <w:b/>
        </w:rPr>
      </w:pPr>
      <w:r>
        <w:rPr>
          <w:rFonts w:hint="eastAsia"/>
          <w:b/>
        </w:rPr>
        <w:t>公交线路指引：</w:t>
      </w:r>
    </w:p>
    <w:p>
      <w:pPr>
        <w:spacing w:line="220" w:lineRule="atLeast"/>
        <w:rPr>
          <w:rFonts w:hint="eastAsia"/>
          <w:b/>
        </w:rPr>
      </w:pPr>
      <w:r>
        <w:rPr>
          <w:rFonts w:hint="eastAsia" w:ascii="宋体" w:hAnsi="宋体" w:eastAsia="宋体" w:cs="宋体"/>
          <w:color w:val="000000"/>
        </w:rPr>
        <w:t>乘1路、6路、15路、22路、27、32路公交，在南都路南阳市民服务中心公交站下车</w:t>
      </w:r>
    </w:p>
    <w:p>
      <w:pPr>
        <w:spacing w:line="220" w:lineRule="atLeast"/>
        <w:rPr>
          <w:b/>
        </w:rPr>
      </w:pPr>
      <w:r>
        <w:rPr>
          <w:rFonts w:hint="eastAsia"/>
          <w:b/>
        </w:rPr>
        <w:t>结果领取方式：</w:t>
      </w:r>
    </w:p>
    <w:p>
      <w:pPr>
        <w:adjustRightInd/>
        <w:snapToGrid/>
        <w:spacing w:after="0"/>
        <w:rPr>
          <w:rFonts w:hint="eastAsia" w:ascii="宋体" w:hAnsi="宋体" w:eastAsia="宋体" w:cs="宋体"/>
          <w:color w:val="000000"/>
        </w:rPr>
      </w:pPr>
      <w:r>
        <w:rPr>
          <w:rFonts w:hint="eastAsia" w:ascii="宋体" w:hAnsi="宋体" w:eastAsia="宋体" w:cs="宋体"/>
          <w:color w:val="000000"/>
        </w:rPr>
        <w:t>窗口领取</w:t>
      </w:r>
    </w:p>
    <w:p>
      <w:pPr>
        <w:adjustRightInd/>
        <w:snapToGrid/>
        <w:spacing w:after="0"/>
        <w:rPr>
          <w:rFonts w:ascii="宋体" w:hAnsi="宋体" w:eastAsia="宋体" w:cs="宋体"/>
          <w:color w:val="000000"/>
        </w:rPr>
      </w:pPr>
    </w:p>
    <w:p>
      <w:pPr>
        <w:spacing w:line="220" w:lineRule="atLeast"/>
        <w:rPr>
          <w:b/>
        </w:rPr>
      </w:pPr>
      <w:r>
        <w:rPr>
          <w:rFonts w:hint="eastAsia"/>
          <w:b/>
        </w:rPr>
        <w:t>流程环节：</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收件；办理人：综合受理；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受理；办理人：张丛正；办理时限：1个工作日；审查标准：对申请材料进行初步审核。经审核，申请材料齐全、符合法定形式的，决定予以受理。申请材料不齐全或者不符合法定形式的，应当当场告知申请人需要补正的全部内容。办理结果：1、申请事项依法不属于本行政机关职权范围的出具《不予受理决定书》；2、材料不齐全或者不符合法定形式的，一次性告知需补齐补正的全部材料，出具《申请材料补正告知书》；3、申请材料齐全并且符合法定形式的，予以受理并出具《受理通知书》。</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审核；办理人：倪全胜；办理时限：3个工作日；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2、申请主体不符合法定条件、标准或要求的，作出不同意批准意见。</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决定；办理人：李光白；办理时限：1个工作日；审查标准：复核申请材料和审查环节作出审批意见意见，并在承诺时限内做出是否同意申请事项的决定。；办理结果：1、同意批准的，承诺时限内送达《准予行政许可决定书2、不同意批准的，承诺时限内送达《不予行政许可决定书》。</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送达；办理人：张秋菊；办理时限：即时；审查标准：在作出决定当日通知申请人，及时向申请人送达审批服务事项办理结果。</w:t>
      </w:r>
      <w:bookmarkStart w:id="0" w:name="_GoBack"/>
      <w:bookmarkEnd w:id="0"/>
      <w:r>
        <w:rPr>
          <w:rFonts w:hint="eastAsia" w:ascii="宋体" w:hAnsi="宋体" w:eastAsia="宋体" w:cs="宋体"/>
          <w:color w:val="000000"/>
        </w:rPr>
        <w:t>办理结果：根据申请人选择的送达方式送达相应行政许可文书。</w:t>
      </w:r>
    </w:p>
    <w:p>
      <w:pPr>
        <w:spacing w:line="220" w:lineRule="atLeast"/>
        <w:rPr>
          <w:b/>
        </w:rPr>
      </w:pPr>
      <w:r>
        <w:rPr>
          <w:rFonts w:hint="eastAsia"/>
          <w:b/>
        </w:rPr>
        <w:t>流程图：</w:t>
      </w:r>
      <w:r>
        <w:drawing>
          <wp:inline distT="0" distB="0" distL="114300" distR="114300">
            <wp:extent cx="5267960" cy="6222365"/>
            <wp:effectExtent l="0" t="0" r="889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7960" cy="6222365"/>
                    </a:xfrm>
                    <a:prstGeom prst="rect">
                      <a:avLst/>
                    </a:prstGeom>
                    <a:noFill/>
                    <a:ln>
                      <a:noFill/>
                    </a:ln>
                  </pic:spPr>
                </pic:pic>
              </a:graphicData>
            </a:graphic>
          </wp:inline>
        </w:drawing>
      </w:r>
    </w:p>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D2AB64"/>
    <w:multiLevelType w:val="singleLevel"/>
    <w:tmpl w:val="DFD2AB64"/>
    <w:lvl w:ilvl="0" w:tentative="0">
      <w:start w:val="1"/>
      <w:numFmt w:val="decimal"/>
      <w:lvlText w:val="%1."/>
      <w:lvlJc w:val="left"/>
      <w:pPr>
        <w:ind w:left="425" w:hanging="425"/>
      </w:pPr>
      <w:rPr>
        <w:rFonts w:hint="default"/>
      </w:rPr>
    </w:lvl>
  </w:abstractNum>
  <w:abstractNum w:abstractNumId="1">
    <w:nsid w:val="775842BD"/>
    <w:multiLevelType w:val="singleLevel"/>
    <w:tmpl w:val="775842BD"/>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1DC60AB4"/>
    <w:rsid w:val="23A57744"/>
    <w:rsid w:val="34740EBB"/>
    <w:rsid w:val="42C23059"/>
    <w:rsid w:val="59E723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6</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佩奇</cp:lastModifiedBy>
  <dcterms:modified xsi:type="dcterms:W3CDTF">2020-12-05T01:53:02Z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