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B3" w:rsidRDefault="00BA6FB3" w:rsidP="00BA6FB3">
      <w:pPr>
        <w:pStyle w:val="1"/>
        <w:spacing w:before="107"/>
        <w:ind w:left="0"/>
        <w:jc w:val="center"/>
        <w:rPr>
          <w:sz w:val="25"/>
        </w:rPr>
      </w:pPr>
      <w:r>
        <w:rPr>
          <w:rFonts w:hint="eastAsia"/>
        </w:rPr>
        <w:t>河南省气候可行性论证项目指导目录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70"/>
        <w:gridCol w:w="5531"/>
      </w:tblGrid>
      <w:tr w:rsidR="00BA6FB3" w:rsidRPr="00BA6FB3" w:rsidTr="00BA6FB3">
        <w:trPr>
          <w:trHeight w:val="701"/>
          <w:tblHeader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37" w:right="29"/>
              <w:contextualSpacing/>
              <w:jc w:val="center"/>
              <w:rPr>
                <w:rFonts w:ascii="黑体" w:eastAsia="黑体"/>
                <w:sz w:val="28"/>
                <w:szCs w:val="28"/>
              </w:rPr>
            </w:pPr>
            <w:r w:rsidRPr="00BA6FB3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tabs>
                <w:tab w:val="left" w:pos="705"/>
              </w:tabs>
              <w:spacing w:line="400" w:lineRule="exact"/>
              <w:ind w:left="5"/>
              <w:contextualSpacing/>
              <w:jc w:val="center"/>
              <w:rPr>
                <w:rFonts w:ascii="黑体" w:eastAsia="黑体"/>
                <w:sz w:val="28"/>
                <w:szCs w:val="28"/>
              </w:rPr>
            </w:pPr>
            <w:r w:rsidRPr="00BA6FB3">
              <w:rPr>
                <w:rFonts w:ascii="黑体" w:eastAsia="黑体" w:hint="eastAsia"/>
                <w:sz w:val="28"/>
                <w:szCs w:val="28"/>
              </w:rPr>
              <w:t>类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BA6FB3">
              <w:rPr>
                <w:rFonts w:ascii="黑体" w:eastAsia="黑体" w:hint="eastAsia"/>
                <w:sz w:val="28"/>
                <w:szCs w:val="28"/>
              </w:rPr>
              <w:t>别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tabs>
                <w:tab w:val="left" w:pos="567"/>
              </w:tabs>
              <w:spacing w:line="400" w:lineRule="exact"/>
              <w:ind w:left="6"/>
              <w:contextualSpacing/>
              <w:jc w:val="center"/>
              <w:rPr>
                <w:rFonts w:ascii="黑体" w:eastAsia="黑体"/>
                <w:sz w:val="28"/>
                <w:szCs w:val="28"/>
              </w:rPr>
            </w:pPr>
            <w:r w:rsidRPr="00BA6FB3">
              <w:rPr>
                <w:rFonts w:ascii="黑体" w:eastAsia="黑体" w:hint="eastAsia"/>
                <w:sz w:val="28"/>
                <w:szCs w:val="28"/>
              </w:rPr>
              <w:t>范围</w:t>
            </w:r>
          </w:p>
        </w:tc>
      </w:tr>
      <w:tr w:rsidR="00BA6FB3" w:rsidRPr="00BA6FB3" w:rsidTr="00BA6FB3">
        <w:trPr>
          <w:trHeight w:val="1343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8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w w:val="99"/>
                <w:sz w:val="28"/>
                <w:szCs w:val="28"/>
              </w:rPr>
              <w:t>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国土空间规划及专项规划</w:t>
            </w:r>
            <w:bookmarkStart w:id="0" w:name="_GoBack"/>
            <w:bookmarkEnd w:id="0"/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6" w:right="88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国土空间总体规划、城市排水规划、海绵城市建设规划、气候适应型城市发展规划、通风廊道规划等。</w:t>
            </w:r>
          </w:p>
        </w:tc>
      </w:tr>
      <w:tr w:rsidR="00BA6FB3" w:rsidRPr="00BA6FB3" w:rsidTr="00BA6FB3">
        <w:trPr>
          <w:trHeight w:val="1344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区域发展规划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区域发展建设规划和区域性经济开发区、产业园区、化工园区建设规划以及区域农（牧）业结构调整规划。</w:t>
            </w:r>
          </w:p>
        </w:tc>
      </w:tr>
      <w:tr w:rsidR="00BA6FB3" w:rsidRPr="00BA6FB3" w:rsidTr="00BA6FB3">
        <w:trPr>
          <w:trHeight w:val="944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气候资源开发利用规划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太阳能、风能、旅游气候资源等开发利用规划。</w:t>
            </w:r>
          </w:p>
        </w:tc>
      </w:tr>
      <w:tr w:rsidR="00BA6FB3" w:rsidRPr="00BA6FB3" w:rsidTr="00BA6FB3">
        <w:trPr>
          <w:trHeight w:val="2896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大型建（构）筑物以及大型公共设施工程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1.高度超过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150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米的建（构）筑物。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2.采用柔性盖层结构以及质量轻、刚度小的索膜结构的，建筑高度超过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30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米且跨度大于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36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米的大跨度建筑。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3.城市通风廊道管控区内的建设或改造项目。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4.额定日处理能力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1200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吨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/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日以上的城市生活垃圾处理工程。</w:t>
            </w:r>
          </w:p>
        </w:tc>
      </w:tr>
      <w:tr w:rsidR="00BA6FB3" w:rsidRPr="00BA6FB3" w:rsidTr="00BA6FB3">
        <w:trPr>
          <w:trHeight w:val="218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公路工程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1.新建高速公路和一级公路。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2.交通运输部《关于在初步设计阶段实行桥梁和隧道工程安全风险评估制度的通知》（交公路发〔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2010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〕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175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号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)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规定的公路桥梁和隧道工程安全风险评估范围。</w:t>
            </w:r>
          </w:p>
        </w:tc>
      </w:tr>
      <w:tr w:rsidR="00BA6FB3" w:rsidRPr="00BA6FB3" w:rsidTr="00BA6FB3">
        <w:trPr>
          <w:trHeight w:val="1928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lastRenderedPageBreak/>
              <w:t>6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铁路工程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1.新建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I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级铁路、高速铁路工程。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2.各级铁路中桥长在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500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米以上的特大桥工程。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3.高速铁路处于山谷垭口与隧道直接相连的桥梁工程。</w:t>
            </w:r>
          </w:p>
        </w:tc>
      </w:tr>
      <w:tr w:rsidR="00BA6FB3" w:rsidRPr="00BA6FB3" w:rsidTr="00BA6FB3">
        <w:trPr>
          <w:trHeight w:val="1262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城市轨道交通项目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城市轨道交通工程。</w:t>
            </w:r>
          </w:p>
        </w:tc>
      </w:tr>
      <w:tr w:rsidR="00BA6FB3" w:rsidRPr="00BA6FB3" w:rsidTr="00BA6FB3">
        <w:trPr>
          <w:trHeight w:val="1972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机场、港口工程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1.新建机场、跑道建设项目。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2.年吞吐量在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100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万吨以上的中型以上港口工程。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3.内河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1000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吨级以上的集装箱码头和原油码头工程。</w:t>
            </w:r>
          </w:p>
        </w:tc>
      </w:tr>
      <w:tr w:rsidR="00BA6FB3" w:rsidRPr="00BA6FB3" w:rsidTr="00BA6FB3">
        <w:trPr>
          <w:trHeight w:val="1934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电网工程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1.500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千伏及以上新建输变电工程。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2.穿越重覆冰区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(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覆冰厚度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&gt;20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毫米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)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的架空输电线路工程。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3.输电线路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300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公里以上的输电线路工程。</w:t>
            </w:r>
          </w:p>
        </w:tc>
      </w:tr>
      <w:tr w:rsidR="00BA6FB3" w:rsidRPr="00BA6FB3" w:rsidTr="00BA6FB3">
        <w:trPr>
          <w:trHeight w:val="1604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石油、天然气、化工工程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1.新建（改扩建）的煤化工、石油（气）生产和加工项目以及输油（气）管道工程。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2.危险气体、化工品的存贮、输送工程。</w:t>
            </w:r>
          </w:p>
        </w:tc>
      </w:tr>
      <w:tr w:rsidR="00BA6FB3" w:rsidRPr="00BA6FB3" w:rsidTr="00BA6FB3">
        <w:trPr>
          <w:trHeight w:val="160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水利、水电工程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按照《水利水电工程等级划分及洪水标准》（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SL 252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—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2017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），工程等别为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I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级和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II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级的水利水电工程。</w:t>
            </w:r>
          </w:p>
        </w:tc>
      </w:tr>
      <w:tr w:rsidR="00BA6FB3" w:rsidRPr="00BA6FB3" w:rsidTr="00BA6FB3">
        <w:trPr>
          <w:trHeight w:val="125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火电、热电项目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1.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单机容量</w:t>
            </w:r>
            <w:r w:rsidRPr="00BA6FB3">
              <w:rPr>
                <w:rFonts w:ascii="仿宋_GB2312" w:hAnsi="仿宋_GB2312" w:cs="仿宋_GB2312"/>
                <w:sz w:val="28"/>
                <w:szCs w:val="28"/>
              </w:rPr>
              <w:t>60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万千瓦以上的火电项目。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2.30</w:t>
            </w: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万千瓦以上的供热项目。</w:t>
            </w:r>
          </w:p>
        </w:tc>
      </w:tr>
      <w:tr w:rsidR="00BA6FB3" w:rsidRPr="00BA6FB3" w:rsidTr="00BA6FB3">
        <w:trPr>
          <w:trHeight w:val="1442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旅游景区工程及公共游乐工程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1.重点旅游景区建设项目及其公共游乐工程。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2.重点建设的大型主题公园及其娱乐设施项目。</w:t>
            </w:r>
          </w:p>
        </w:tc>
      </w:tr>
      <w:tr w:rsidR="00BA6FB3" w:rsidRPr="00BA6FB3" w:rsidTr="00BA6FB3">
        <w:trPr>
          <w:trHeight w:val="1257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气候资源开发利用项目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大型太阳能、风能等气候资源开发利用项目。</w:t>
            </w:r>
          </w:p>
        </w:tc>
      </w:tr>
      <w:tr w:rsidR="00BA6FB3" w:rsidRPr="00BA6FB3" w:rsidTr="00BA6FB3">
        <w:trPr>
          <w:trHeight w:val="218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核工程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1.核电厂。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2.核燃料后处理厂。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3.核供热站。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4.高放废物处置场。</w:t>
            </w:r>
          </w:p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5.其他受龙卷、台风等气象灾害破坏后可能引发放射性污染的核设施建设工程。</w:t>
            </w:r>
          </w:p>
        </w:tc>
      </w:tr>
      <w:tr w:rsidR="00BA6FB3" w:rsidRPr="00BA6FB3" w:rsidTr="00BA6FB3">
        <w:trPr>
          <w:trHeight w:val="116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/>
                <w:sz w:val="28"/>
                <w:szCs w:val="28"/>
              </w:rPr>
              <w:t>16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其他项目</w:t>
            </w:r>
          </w:p>
        </w:tc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FB3" w:rsidRPr="00BA6FB3" w:rsidRDefault="00BA6FB3" w:rsidP="00BA6FB3">
            <w:pPr>
              <w:pStyle w:val="TableParagraph"/>
              <w:spacing w:line="400" w:lineRule="exact"/>
              <w:ind w:left="107" w:right="54"/>
              <w:contextualSpacing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BA6FB3">
              <w:rPr>
                <w:rFonts w:ascii="仿宋_GB2312" w:hAnsi="仿宋_GB2312" w:cs="仿宋_GB2312" w:hint="eastAsia"/>
                <w:sz w:val="28"/>
                <w:szCs w:val="28"/>
              </w:rPr>
              <w:t>其他依照规定需要进行气候分析和论证的项目。</w:t>
            </w:r>
          </w:p>
        </w:tc>
      </w:tr>
    </w:tbl>
    <w:p w:rsidR="00BA6FB3" w:rsidRPr="00BA6FB3" w:rsidRDefault="00BA6FB3" w:rsidP="00BA6FB3">
      <w:pPr>
        <w:snapToGrid w:val="0"/>
        <w:spacing w:line="560" w:lineRule="exact"/>
        <w:ind w:left="231" w:right="218"/>
        <w:rPr>
          <w:rFonts w:ascii="楷体_GB2312" w:eastAsia="楷体_GB2312" w:hAnsi="仿宋_GB2312" w:cs="仿宋_GB2312"/>
          <w:sz w:val="28"/>
          <w:szCs w:val="28"/>
        </w:rPr>
      </w:pPr>
      <w:r w:rsidRPr="00BA6FB3">
        <w:rPr>
          <w:rFonts w:ascii="楷体_GB2312" w:eastAsia="楷体_GB2312" w:hAnsi="仿宋_GB2312" w:cs="仿宋_GB2312" w:hint="eastAsia"/>
          <w:sz w:val="28"/>
          <w:szCs w:val="28"/>
        </w:rPr>
        <w:t>注：以上项目在自由贸易试验区、产业集聚区、高新技术产业开发区、经济技术开发区等园区、功能区的，按工程建设项目区域评估政策执行。</w:t>
      </w:r>
    </w:p>
    <w:p w:rsidR="00E345A6" w:rsidRPr="00BA6FB3" w:rsidRDefault="00E345A6" w:rsidP="00BA6FB3">
      <w:pPr>
        <w:rPr>
          <w:sz w:val="28"/>
          <w:szCs w:val="28"/>
        </w:rPr>
      </w:pPr>
    </w:p>
    <w:sectPr w:rsidR="00E345A6" w:rsidRPr="00BA6FB3" w:rsidSect="00BA6FB3">
      <w:footerReference w:type="even" r:id="rId8"/>
      <w:pgSz w:w="11906" w:h="16838"/>
      <w:pgMar w:top="2268" w:right="1701" w:bottom="2268" w:left="1701" w:header="992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0B" w:rsidRDefault="00B33B0B">
      <w:r>
        <w:separator/>
      </w:r>
    </w:p>
  </w:endnote>
  <w:endnote w:type="continuationSeparator" w:id="0">
    <w:p w:rsidR="00B33B0B" w:rsidRDefault="00B3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A6" w:rsidRDefault="00B33B0B">
    <w:pPr>
      <w:pStyle w:val="a4"/>
      <w:ind w:leftChars="100" w:left="320"/>
      <w:rPr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sz w:val="28"/>
        <w:szCs w:val="28"/>
      </w:rPr>
      <w:t>2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0B" w:rsidRDefault="00B33B0B">
      <w:r>
        <w:separator/>
      </w:r>
    </w:p>
  </w:footnote>
  <w:footnote w:type="continuationSeparator" w:id="0">
    <w:p w:rsidR="00B33B0B" w:rsidRDefault="00B3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B33B0B"/>
    <w:rsid w:val="00BA6FB3"/>
    <w:rsid w:val="00E345A6"/>
    <w:rsid w:val="1D4C2F2B"/>
    <w:rsid w:val="393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="1"/>
      <w:ind w:left="243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TableParagraph">
    <w:name w:val="Table Paragraph"/>
    <w:basedOn w:val="a"/>
    <w:qFormat/>
  </w:style>
  <w:style w:type="paragraph" w:styleId="a6">
    <w:name w:val="Balloon Text"/>
    <w:basedOn w:val="a"/>
    <w:link w:val="Char"/>
    <w:rsid w:val="00BA6FB3"/>
    <w:rPr>
      <w:sz w:val="18"/>
      <w:szCs w:val="18"/>
    </w:rPr>
  </w:style>
  <w:style w:type="character" w:customStyle="1" w:styleId="Char">
    <w:name w:val="批注框文本 Char"/>
    <w:basedOn w:val="a0"/>
    <w:link w:val="a6"/>
    <w:rsid w:val="00BA6FB3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0"/>
    <w:rsid w:val="00BA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A6FB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="1"/>
      <w:ind w:left="243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TableParagraph">
    <w:name w:val="Table Paragraph"/>
    <w:basedOn w:val="a"/>
    <w:qFormat/>
  </w:style>
  <w:style w:type="paragraph" w:styleId="a6">
    <w:name w:val="Balloon Text"/>
    <w:basedOn w:val="a"/>
    <w:link w:val="Char"/>
    <w:rsid w:val="00BA6FB3"/>
    <w:rPr>
      <w:sz w:val="18"/>
      <w:szCs w:val="18"/>
    </w:rPr>
  </w:style>
  <w:style w:type="character" w:customStyle="1" w:styleId="Char">
    <w:name w:val="批注框文本 Char"/>
    <w:basedOn w:val="a0"/>
    <w:link w:val="a6"/>
    <w:rsid w:val="00BA6FB3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0"/>
    <w:rsid w:val="00BA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A6FB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976</Characters>
  <Application>Microsoft Office Word</Application>
  <DocSecurity>0</DocSecurity>
  <Lines>8</Lines>
  <Paragraphs>2</Paragraphs>
  <ScaleCrop>false</ScaleCrop>
  <Company>Kingsoft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Administrator</cp:lastModifiedBy>
  <cp:revision>3</cp:revision>
  <dcterms:created xsi:type="dcterms:W3CDTF">2014-10-29T12:08:00Z</dcterms:created>
  <dcterms:modified xsi:type="dcterms:W3CDTF">2020-05-08T07:48:00Z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