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文星标宋" w:hAnsi="文星标宋" w:eastAsia="文星标宋" w:cs="黑体"/>
          <w:sz w:val="44"/>
          <w:szCs w:val="44"/>
        </w:rPr>
      </w:pPr>
      <w:r>
        <w:rPr>
          <w:rFonts w:hint="eastAsia" w:ascii="文星标宋" w:hAnsi="文星标宋" w:eastAsia="文星标宋" w:cs="黑体"/>
          <w:sz w:val="44"/>
          <w:szCs w:val="44"/>
        </w:rPr>
        <w:t>南阳市深化安全生产风险隐患双重预防</w:t>
      </w:r>
    </w:p>
    <w:p>
      <w:pPr>
        <w:spacing w:line="560" w:lineRule="exact"/>
        <w:jc w:val="center"/>
        <w:rPr>
          <w:rFonts w:hint="eastAsia" w:ascii="文星标宋" w:hAnsi="文星标宋" w:eastAsia="文星标宋" w:cs="黑体"/>
        </w:rPr>
      </w:pPr>
      <w:bookmarkStart w:id="0" w:name="_GoBack"/>
      <w:r>
        <w:rPr>
          <w:rFonts w:hint="eastAsia" w:ascii="文星标宋" w:hAnsi="文星标宋" w:eastAsia="文星标宋" w:cs="黑体"/>
          <w:sz w:val="44"/>
          <w:szCs w:val="44"/>
        </w:rPr>
        <w:t>体系建设行业职责分工</w:t>
      </w:r>
      <w:r>
        <w:rPr>
          <w:rFonts w:hint="eastAsia" w:ascii="文星标宋" w:hAnsi="文星标宋" w:eastAsia="文星标宋" w:cs="黑体"/>
        </w:rPr>
        <w:t xml:space="preserve"> </w:t>
      </w:r>
    </w:p>
    <w:bookmarkEnd w:id="0"/>
    <w:tbl>
      <w:tblPr>
        <w:tblStyle w:val="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22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blHeader/>
          <w:jc w:val="center"/>
        </w:trPr>
        <w:tc>
          <w:tcPr>
            <w:tcW w:w="4284"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行业职责</w:t>
            </w:r>
          </w:p>
        </w:tc>
        <w:tc>
          <w:tcPr>
            <w:tcW w:w="2259"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责任单位</w:t>
            </w:r>
          </w:p>
        </w:tc>
        <w:tc>
          <w:tcPr>
            <w:tcW w:w="2177"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pacing w:val="-6"/>
                <w:sz w:val="28"/>
                <w:szCs w:val="28"/>
              </w:rPr>
            </w:pPr>
            <w:r>
              <w:rPr>
                <w:rFonts w:hint="eastAsia" w:ascii="仿宋_GB2312" w:hAnsi="仿宋" w:cs="仿宋"/>
                <w:spacing w:val="-6"/>
                <w:sz w:val="28"/>
                <w:szCs w:val="28"/>
              </w:rPr>
              <w:t>组织、指导、监督全市危险化学品、非煤矿山、工贸行业双重预防体系建设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市安监局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6</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组织、指导、监督全市各类学校（含幼儿园）双重预防体系建设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市教育局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6</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组织、指导、监督全市房屋建筑双重预防体系建设</w:t>
            </w:r>
          </w:p>
        </w:tc>
        <w:tc>
          <w:tcPr>
            <w:tcW w:w="2259" w:type="dxa"/>
            <w:noWrap w:val="0"/>
            <w:vAlign w:val="center"/>
          </w:tcPr>
          <w:p>
            <w:pPr>
              <w:spacing w:line="300" w:lineRule="exact"/>
              <w:jc w:val="center"/>
              <w:rPr>
                <w:rFonts w:hint="eastAsia" w:ascii="仿宋_GB2312" w:hAnsi="仿宋" w:cs="仿宋"/>
                <w:sz w:val="28"/>
                <w:szCs w:val="28"/>
              </w:rPr>
            </w:pPr>
            <w:r>
              <w:rPr>
                <w:rFonts w:hint="eastAsia" w:ascii="仿宋_GB2312" w:hAnsi="仿宋" w:cs="仿宋"/>
                <w:sz w:val="28"/>
                <w:szCs w:val="28"/>
              </w:rPr>
              <w:t>市住建委</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6</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组织、指导、监督全市道路运输业、水上交通业和公路、水路建设工程双重预防体系建设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市交通局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6</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组织、指导、监督全市商贸、流通行业双重预防体系建设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市商务局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6</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组织、指导、监督全市文化市场和文化系统双重预防体系建设</w:t>
            </w:r>
          </w:p>
        </w:tc>
        <w:tc>
          <w:tcPr>
            <w:tcW w:w="2259" w:type="dxa"/>
            <w:noWrap w:val="0"/>
            <w:vAlign w:val="center"/>
          </w:tcPr>
          <w:p>
            <w:pPr>
              <w:spacing w:line="300" w:lineRule="exact"/>
              <w:jc w:val="center"/>
              <w:rPr>
                <w:rFonts w:hint="eastAsia" w:ascii="仿宋_GB2312" w:hAnsi="仿宋" w:cs="仿宋"/>
                <w:sz w:val="28"/>
                <w:szCs w:val="28"/>
              </w:rPr>
            </w:pPr>
            <w:r>
              <w:rPr>
                <w:rFonts w:hint="eastAsia" w:ascii="仿宋_GB2312" w:hAnsi="仿宋" w:cs="仿宋"/>
                <w:sz w:val="28"/>
                <w:szCs w:val="28"/>
              </w:rPr>
              <w:t>市文广新局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6</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组织、指导、监督全市医疗卫生和计生机构双重预防体系建设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市卫计委</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6</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组织、指导、监督全市旅游行业双重预防体系建设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市旅游外侨局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6</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组织、指导、监督全市民爆、民用船舶等行业双重预防体系建设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市工信委</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6</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负责组织、指导、监督全市各类养老院、敬老院、社会福利院、殡仪馆等民政服务机构双重预防体系建设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市民政局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12</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组织、指导、监督全市水利行业和水利建设工程双重预防体系建设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市水利局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12</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组织、指导、监督全市农业、渔业和农机行业双重预防体系建设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市农业局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12</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组织、指导、监督全市林业和国有林场双重预防体系建设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市林业局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12</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组织、指导、监督全市特种设备领域双重预防体系建设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市质监局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12</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组织、指导、监督全市粮食储备系统双重预防体系建设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市粮食局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12</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组织、指导、监督全市监狱系统双重预防体系建设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市司法局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12</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组织、指导、监督全市供销系统双重预防体系建设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市供销社</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12</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组织、指导、监督全市电信行业及通信建设领域双重预防体系建设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市通信发展管理办公室</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12</w:t>
            </w:r>
            <w:r>
              <w:rPr>
                <w:rFonts w:hint="eastAsia" w:ascii="仿宋_GB2312" w:hAnsi="仿宋" w:cs="仿宋"/>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284" w:type="dxa"/>
            <w:noWrap w:val="0"/>
            <w:vAlign w:val="center"/>
          </w:tcPr>
          <w:p>
            <w:pPr>
              <w:spacing w:line="300" w:lineRule="exact"/>
              <w:rPr>
                <w:rFonts w:ascii="仿宋_GB2312" w:hAnsi="仿宋" w:cs="仿宋"/>
                <w:sz w:val="28"/>
                <w:szCs w:val="28"/>
              </w:rPr>
            </w:pPr>
            <w:r>
              <w:rPr>
                <w:rFonts w:hint="eastAsia" w:ascii="仿宋_GB2312" w:hAnsi="仿宋" w:cs="仿宋"/>
                <w:sz w:val="28"/>
                <w:szCs w:val="28"/>
              </w:rPr>
              <w:t>在国家能源局河南能源监管办和省政府电力行业管理部门的组织领导下，组织、指导、监督管辖范围内电力运行、电力建设工程施工双重预防体系建设</w:t>
            </w:r>
          </w:p>
        </w:tc>
        <w:tc>
          <w:tcPr>
            <w:tcW w:w="2259" w:type="dxa"/>
            <w:noWrap w:val="0"/>
            <w:vAlign w:val="center"/>
          </w:tcPr>
          <w:p>
            <w:pPr>
              <w:spacing w:line="300" w:lineRule="exact"/>
              <w:jc w:val="center"/>
              <w:rPr>
                <w:rFonts w:ascii="仿宋_GB2312" w:hAnsi="仿宋" w:cs="仿宋"/>
                <w:sz w:val="28"/>
                <w:szCs w:val="28"/>
              </w:rPr>
            </w:pPr>
            <w:r>
              <w:rPr>
                <w:rFonts w:hint="eastAsia" w:ascii="仿宋_GB2312" w:hAnsi="仿宋" w:cs="仿宋"/>
                <w:sz w:val="28"/>
                <w:szCs w:val="28"/>
              </w:rPr>
              <w:t>市发改委（能源局）</w:t>
            </w:r>
          </w:p>
        </w:tc>
        <w:tc>
          <w:tcPr>
            <w:tcW w:w="2177" w:type="dxa"/>
            <w:noWrap w:val="0"/>
            <w:vAlign w:val="center"/>
          </w:tcPr>
          <w:p>
            <w:pPr>
              <w:spacing w:line="300" w:lineRule="exact"/>
              <w:rPr>
                <w:rFonts w:ascii="仿宋_GB2312" w:hAnsi="仿宋" w:cs="仿宋"/>
                <w:sz w:val="28"/>
                <w:szCs w:val="28"/>
              </w:rPr>
            </w:pPr>
            <w:r>
              <w:rPr>
                <w:rFonts w:ascii="仿宋_GB2312" w:hAnsi="仿宋" w:cs="仿宋"/>
                <w:sz w:val="28"/>
                <w:szCs w:val="28"/>
              </w:rPr>
              <w:t>2019</w:t>
            </w:r>
            <w:r>
              <w:rPr>
                <w:rFonts w:hint="eastAsia" w:ascii="仿宋_GB2312" w:hAnsi="仿宋" w:cs="仿宋"/>
                <w:sz w:val="28"/>
                <w:szCs w:val="28"/>
              </w:rPr>
              <w:t>年</w:t>
            </w:r>
            <w:r>
              <w:rPr>
                <w:rFonts w:ascii="仿宋_GB2312" w:hAnsi="仿宋" w:cs="仿宋"/>
                <w:sz w:val="28"/>
                <w:szCs w:val="28"/>
              </w:rPr>
              <w:t>12</w:t>
            </w:r>
            <w:r>
              <w:rPr>
                <w:rFonts w:hint="eastAsia" w:ascii="仿宋_GB2312" w:hAnsi="仿宋" w:cs="仿宋"/>
                <w:sz w:val="28"/>
                <w:szCs w:val="28"/>
              </w:rPr>
              <w:t>月底前</w:t>
            </w:r>
          </w:p>
        </w:tc>
      </w:tr>
    </w:tbl>
    <w:p>
      <w:pPr>
        <w:spacing w:line="380" w:lineRule="exact"/>
        <w:rPr>
          <w:rFonts w:hint="eastAsia" w:ascii="仿宋_GB2312" w:hAnsi="仿宋" w:cs="仿宋"/>
          <w:sz w:val="28"/>
          <w:szCs w:val="28"/>
        </w:rPr>
      </w:pPr>
      <w:r>
        <w:rPr>
          <w:rFonts w:hint="eastAsia" w:ascii="仿宋_GB2312" w:hAnsi="仿宋" w:cs="仿宋"/>
          <w:sz w:val="28"/>
          <w:szCs w:val="28"/>
        </w:rPr>
        <w:t>注：双重预防体系建设行业职责分工根据《党委政府及有关部门安全生产工作职责》（宛办</w:t>
      </w:r>
      <w:r>
        <w:rPr>
          <w:rFonts w:hint="eastAsia" w:ascii="文星仿宋" w:hAnsi="文星仿宋" w:eastAsia="文星仿宋" w:cs="文星仿宋"/>
          <w:sz w:val="28"/>
          <w:szCs w:val="28"/>
        </w:rPr>
        <w:t>〔</w:t>
      </w:r>
      <w:r>
        <w:rPr>
          <w:rFonts w:hint="eastAsia" w:ascii="仿宋_GB2312" w:hAnsi="仿宋" w:cs="仿宋"/>
          <w:sz w:val="28"/>
          <w:szCs w:val="28"/>
        </w:rPr>
        <w:t>2017</w:t>
      </w:r>
      <w:r>
        <w:rPr>
          <w:rFonts w:hint="eastAsia" w:ascii="文星仿宋" w:hAnsi="文星仿宋" w:eastAsia="文星仿宋" w:cs="文星仿宋"/>
          <w:sz w:val="28"/>
          <w:szCs w:val="28"/>
        </w:rPr>
        <w:t>〕</w:t>
      </w:r>
      <w:r>
        <w:rPr>
          <w:rFonts w:hint="eastAsia" w:ascii="仿宋_GB2312" w:hAnsi="仿宋" w:cs="仿宋"/>
          <w:sz w:val="28"/>
          <w:szCs w:val="28"/>
        </w:rPr>
        <w:t xml:space="preserve">49号）确定。 </w:t>
      </w:r>
    </w:p>
    <w:p/>
    <w:sectPr>
      <w:footerReference r:id="rId3" w:type="even"/>
      <w:pgSz w:w="11906" w:h="16838"/>
      <w:pgMar w:top="2268" w:right="1701" w:bottom="2268" w:left="1701" w:header="992" w:footer="158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2010604000101010101"/>
    <w:charset w:val="86"/>
    <w:family w:val="auto"/>
    <w:pitch w:val="default"/>
    <w:sig w:usb0="00000000" w:usb1="00000000" w:usb2="00000010" w:usb3="00000000" w:csb0="00040001" w:csb1="00000000"/>
  </w:font>
  <w:font w:name="文星仿宋">
    <w:altName w:val="仿宋"/>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F6C79"/>
    <w:rsid w:val="46BF6C79"/>
    <w:rsid w:val="62917F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2018-12-27T06:10:00Z</dcterms:created>
  <dc:creator>王依鸣</dc:creator>
  <cp:lastModifiedBy>王依鸣</cp:lastModifiedBy>
  <dcterms:modified xsi:type="dcterms:W3CDTF">2018-12-27T06:20:28Z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