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76EE" w:rsidRPr="007276EE" w:rsidRDefault="007276EE" w:rsidP="007276EE">
      <w:pPr>
        <w:pStyle w:val="a6"/>
        <w:spacing w:line="23" w:lineRule="atLeast"/>
        <w:jc w:val="center"/>
        <w:rPr>
          <w:rFonts w:ascii="方正小标宋_GBK" w:eastAsia="方正小标宋_GBK" w:hAnsi="方正小标宋_GBK" w:cs="方正小标宋_GBK"/>
          <w:sz w:val="44"/>
          <w:szCs w:val="44"/>
        </w:rPr>
      </w:pPr>
      <w:r w:rsidRPr="007276EE">
        <w:rPr>
          <w:rFonts w:ascii="方正小标宋_GBK" w:eastAsia="方正小标宋_GBK" w:hAnsi="方正小标宋_GBK" w:cs="方正小标宋_GBK" w:hint="eastAsia"/>
          <w:color w:val="333333"/>
          <w:sz w:val="44"/>
          <w:szCs w:val="44"/>
        </w:rPr>
        <w:t>南阳市“十三五”区域卫生规划</w:t>
      </w:r>
    </w:p>
    <w:p w:rsidR="007276EE" w:rsidRPr="007276EE" w:rsidRDefault="007276EE" w:rsidP="000A3365">
      <w:pPr>
        <w:pStyle w:val="a6"/>
        <w:widowControl w:val="0"/>
        <w:spacing w:before="0" w:beforeAutospacing="0" w:after="0" w:afterAutospacing="0" w:line="580" w:lineRule="exact"/>
        <w:ind w:firstLineChars="200" w:firstLine="600"/>
        <w:contextualSpacing/>
        <w:rPr>
          <w:rFonts w:ascii="仿宋_GB2312" w:eastAsia="仿宋_GB2312" w:hAnsi="Times New Roman"/>
          <w:kern w:val="2"/>
          <w:sz w:val="30"/>
          <w:szCs w:val="30"/>
        </w:rPr>
      </w:pPr>
      <w:r w:rsidRPr="007276EE">
        <w:rPr>
          <w:rFonts w:ascii="仿宋_GB2312" w:eastAsia="仿宋_GB2312" w:hAnsi="Times New Roman" w:hint="eastAsia"/>
          <w:kern w:val="2"/>
          <w:sz w:val="30"/>
          <w:szCs w:val="30"/>
        </w:rPr>
        <w:t>区域卫生规划是政府对卫生事业发展实行调控的重要手段。随着经济社会的不断发展，南阳卫生工作面临着新的形势和要求。为进一步改善和提高南阳市卫生综合服务能力和资源利用效益，根据《中共中央国务院关于深化医药卫生体制改革的意见》（中发〔2009〕6号）、《全国医疗卫生服务体系规划纲要（2015-2020年）》（国发〔2015〕14号））、《河南省全面建成小康社会加快现代化建设战略纲要》、《</w:t>
      </w:r>
      <w:r w:rsidRPr="007276EE">
        <w:rPr>
          <w:rFonts w:ascii="仿宋_GB2312" w:eastAsia="仿宋_GB2312" w:hAnsi="Times New Roman"/>
          <w:kern w:val="2"/>
          <w:sz w:val="30"/>
          <w:szCs w:val="30"/>
        </w:rPr>
        <w:t>“</w:t>
      </w:r>
      <w:r w:rsidRPr="007276EE">
        <w:rPr>
          <w:rFonts w:ascii="仿宋_GB2312" w:eastAsia="仿宋_GB2312" w:hAnsi="Times New Roman" w:hint="eastAsia"/>
          <w:kern w:val="2"/>
          <w:sz w:val="30"/>
          <w:szCs w:val="30"/>
        </w:rPr>
        <w:t>健康中原2030</w:t>
      </w:r>
      <w:r w:rsidRPr="007276EE">
        <w:rPr>
          <w:rFonts w:ascii="仿宋_GB2312" w:eastAsia="仿宋_GB2312" w:hAnsi="Times New Roman"/>
          <w:kern w:val="2"/>
          <w:sz w:val="30"/>
          <w:szCs w:val="30"/>
        </w:rPr>
        <w:t>”</w:t>
      </w:r>
      <w:r w:rsidRPr="007276EE">
        <w:rPr>
          <w:rFonts w:ascii="仿宋_GB2312" w:eastAsia="仿宋_GB2312" w:hAnsi="Times New Roman" w:hint="eastAsia"/>
          <w:kern w:val="2"/>
          <w:sz w:val="30"/>
          <w:szCs w:val="30"/>
        </w:rPr>
        <w:t xml:space="preserve">规划纲要》、《河南省医疗卫生服务体系规划（2016-2020年）》、《南阳市城市总体规划（2011-2020）》的精神，进一步完善我市医疗卫生服务体系，优化卫生资源配置，提高医疗卫生服务质量和效率，增强卫生综合服务能力，全力推进“健康南阳”建设，现结合我市实际，制定本规划。 </w:t>
      </w:r>
    </w:p>
    <w:p w:rsidR="007276EE" w:rsidRDefault="007276EE" w:rsidP="000A3365">
      <w:pPr>
        <w:pStyle w:val="a6"/>
        <w:widowControl w:val="0"/>
        <w:spacing w:beforeLines="50" w:beforeAutospacing="0" w:afterLines="50" w:afterAutospacing="0" w:line="580" w:lineRule="exact"/>
        <w:ind w:firstLineChars="196" w:firstLine="588"/>
        <w:contextualSpacing/>
        <w:jc w:val="center"/>
        <w:rPr>
          <w:rFonts w:ascii="黑体" w:eastAsia="黑体" w:hAnsi="黑体" w:cs="黑体"/>
          <w:bCs/>
          <w:kern w:val="2"/>
          <w:sz w:val="30"/>
          <w:szCs w:val="30"/>
        </w:rPr>
      </w:pPr>
      <w:r w:rsidRPr="007276EE">
        <w:rPr>
          <w:rFonts w:ascii="黑体" w:eastAsia="黑体" w:hAnsi="黑体" w:cs="黑体" w:hint="eastAsia"/>
          <w:bCs/>
          <w:kern w:val="2"/>
          <w:sz w:val="30"/>
          <w:szCs w:val="30"/>
        </w:rPr>
        <w:t>第一节  规划背景</w:t>
      </w:r>
    </w:p>
    <w:p w:rsidR="007276EE" w:rsidRPr="007276EE" w:rsidRDefault="007276EE" w:rsidP="000A3365">
      <w:pPr>
        <w:pStyle w:val="a6"/>
        <w:widowControl w:val="0"/>
        <w:spacing w:beforeLines="50" w:beforeAutospacing="0" w:afterLines="50" w:afterAutospacing="0" w:line="580" w:lineRule="exact"/>
        <w:ind w:firstLineChars="196" w:firstLine="588"/>
        <w:contextualSpacing/>
        <w:rPr>
          <w:rFonts w:ascii="楷体_GB2312" w:eastAsia="楷体_GB2312" w:hAnsi="楷体_GB2312" w:cs="楷体_GB2312"/>
          <w:bCs/>
          <w:kern w:val="2"/>
          <w:sz w:val="30"/>
          <w:szCs w:val="30"/>
        </w:rPr>
      </w:pPr>
      <w:r w:rsidRPr="007276EE">
        <w:rPr>
          <w:rFonts w:ascii="楷体_GB2312" w:eastAsia="楷体_GB2312" w:hAnsi="楷体_GB2312" w:cs="楷体_GB2312" w:hint="eastAsia"/>
          <w:bCs/>
          <w:kern w:val="2"/>
          <w:sz w:val="30"/>
          <w:szCs w:val="30"/>
        </w:rPr>
        <w:t>一、社会经济状况</w:t>
      </w:r>
    </w:p>
    <w:p w:rsidR="007276EE" w:rsidRPr="007276EE" w:rsidRDefault="007276EE" w:rsidP="000A3365">
      <w:pPr>
        <w:pStyle w:val="a6"/>
        <w:widowControl w:val="0"/>
        <w:spacing w:before="0" w:beforeAutospacing="0" w:after="0" w:afterAutospacing="0" w:line="580" w:lineRule="exact"/>
        <w:contextualSpacing/>
        <w:rPr>
          <w:rFonts w:ascii="仿宋_GB2312" w:eastAsia="仿宋_GB2312" w:hAnsi="Times New Roman"/>
          <w:kern w:val="2"/>
          <w:sz w:val="30"/>
          <w:szCs w:val="30"/>
        </w:rPr>
      </w:pPr>
      <w:r w:rsidRPr="007276EE">
        <w:rPr>
          <w:rFonts w:ascii="仿宋_GB2312" w:eastAsia="仿宋_GB2312" w:hAnsi="Times New Roman" w:hint="eastAsia"/>
          <w:kern w:val="2"/>
          <w:sz w:val="30"/>
          <w:szCs w:val="30"/>
        </w:rPr>
        <w:t xml:space="preserve">    南阳市位于河南省西南部、豫鄂陕三省交界地带，因地处</w:t>
      </w:r>
      <w:hyperlink r:id="rId7" w:tgtFrame="http://baike.baidu.com/_blank" w:history="1">
        <w:r w:rsidRPr="007276EE">
          <w:rPr>
            <w:rFonts w:ascii="仿宋_GB2312" w:eastAsia="仿宋_GB2312" w:hAnsi="Times New Roman" w:hint="eastAsia"/>
            <w:kern w:val="2"/>
            <w:sz w:val="30"/>
            <w:szCs w:val="30"/>
          </w:rPr>
          <w:t>伏牛山</w:t>
        </w:r>
      </w:hyperlink>
      <w:r w:rsidRPr="007276EE">
        <w:rPr>
          <w:rFonts w:ascii="仿宋_GB2312" w:eastAsia="仿宋_GB2312" w:hAnsi="Times New Roman" w:hint="eastAsia"/>
          <w:kern w:val="2"/>
          <w:sz w:val="30"/>
          <w:szCs w:val="30"/>
        </w:rPr>
        <w:t>以南，汉水以北而得名。北靠伏牛山，东扶桐柏山，西依秦岭，南临汉江。全市现辖2个行政区、4个功能区、10个县。全市187个乡镇，38个街道办事处。总面积2.66万平方公里。2015年年末，全市总人口为1005.7万人，常住人口859.6万人。与2010年相比，总人口增加18.8万人，增长1.9%；常住人口减少20万人，下降0.24%。65岁以上老年人口99.66万人，占比8.47%。常住人口城镇化率达到42.07%</w:t>
      </w:r>
      <w:r w:rsidRPr="007276EE">
        <w:rPr>
          <w:rFonts w:ascii="仿宋_GB2312" w:eastAsia="仿宋_GB2312" w:hAnsi="Times New Roman" w:hint="eastAsia"/>
          <w:kern w:val="2"/>
          <w:sz w:val="30"/>
          <w:szCs w:val="30"/>
        </w:rPr>
        <w:lastRenderedPageBreak/>
        <w:t>（数据来源于南阳市统计局2015年南阳市1%人口抽样调查主要数据公报）。全市生产总值2675.57亿元，地方财政总收入141.02亿元，城镇居民人均可支配收入25140元，农村居民人均可支配收入10777元，居民人均消费支出18130元。</w:t>
      </w:r>
    </w:p>
    <w:p w:rsidR="007276EE" w:rsidRPr="007276EE" w:rsidRDefault="007276EE" w:rsidP="000A3365">
      <w:pPr>
        <w:pStyle w:val="a6"/>
        <w:widowControl w:val="0"/>
        <w:spacing w:before="0" w:beforeAutospacing="0" w:after="0" w:afterAutospacing="0" w:line="580" w:lineRule="exact"/>
        <w:ind w:firstLine="420"/>
        <w:contextualSpacing/>
        <w:rPr>
          <w:rFonts w:ascii="楷体_GB2312" w:eastAsia="楷体_GB2312" w:hAnsi="楷体_GB2312" w:cs="楷体_GB2312"/>
          <w:sz w:val="30"/>
          <w:szCs w:val="30"/>
        </w:rPr>
      </w:pPr>
      <w:r w:rsidRPr="007276EE">
        <w:rPr>
          <w:rFonts w:ascii="Times New Roman" w:eastAsia="华文楷体" w:hAnsi="Times New Roman"/>
          <w:b/>
          <w:bCs/>
          <w:sz w:val="30"/>
          <w:szCs w:val="30"/>
        </w:rPr>
        <w:t xml:space="preserve"> </w:t>
      </w:r>
      <w:r w:rsidRPr="007276EE">
        <w:rPr>
          <w:rFonts w:ascii="楷体_GB2312" w:eastAsia="楷体_GB2312" w:hAnsi="楷体_GB2312" w:cs="楷体_GB2312" w:hint="eastAsia"/>
          <w:sz w:val="30"/>
          <w:szCs w:val="30"/>
        </w:rPr>
        <w:t>二、对南阳市卫生资源状况的总体判断</w:t>
      </w:r>
    </w:p>
    <w:p w:rsidR="007276EE" w:rsidRPr="007276EE" w:rsidRDefault="007276EE" w:rsidP="000A3365">
      <w:pPr>
        <w:pStyle w:val="a6"/>
        <w:widowControl w:val="0"/>
        <w:spacing w:before="0" w:beforeAutospacing="0" w:after="0" w:afterAutospacing="0" w:line="580" w:lineRule="exact"/>
        <w:ind w:firstLine="420"/>
        <w:contextualSpacing/>
        <w:rPr>
          <w:rFonts w:ascii="仿宋_GB2312" w:eastAsia="仿宋_GB2312" w:hAnsi="仿宋_GB2312" w:cs="仿宋_GB2312"/>
          <w:sz w:val="30"/>
          <w:szCs w:val="30"/>
        </w:rPr>
      </w:pPr>
      <w:r w:rsidRPr="007276EE">
        <w:rPr>
          <w:rFonts w:ascii="Times New Roman" w:eastAsia="仿宋_GB2312" w:hAnsi="Times New Roman"/>
          <w:sz w:val="30"/>
          <w:szCs w:val="30"/>
        </w:rPr>
        <w:t xml:space="preserve"> </w:t>
      </w:r>
      <w:r w:rsidRPr="007276EE">
        <w:rPr>
          <w:rFonts w:ascii="仿宋_GB2312" w:eastAsia="仿宋_GB2312" w:hAnsi="仿宋_GB2312" w:cs="仿宋_GB2312" w:hint="eastAsia"/>
          <w:sz w:val="30"/>
          <w:szCs w:val="30"/>
        </w:rPr>
        <w:t xml:space="preserve">经过多年建设，南阳市已具备比较完善的卫生服务体系，卫生资源规模、水平和利用情况总体良好。 </w:t>
      </w:r>
    </w:p>
    <w:p w:rsidR="007276EE" w:rsidRPr="007276EE" w:rsidRDefault="007276EE" w:rsidP="000A3365">
      <w:pPr>
        <w:pStyle w:val="a6"/>
        <w:widowControl w:val="0"/>
        <w:spacing w:before="0" w:beforeAutospacing="0" w:after="0" w:afterAutospacing="0" w:line="580" w:lineRule="exact"/>
        <w:ind w:firstLine="420"/>
        <w:contextualSpacing/>
        <w:jc w:val="both"/>
        <w:rPr>
          <w:rFonts w:ascii="仿宋_GB2312" w:eastAsia="仿宋_GB2312" w:hAnsi="仿宋_GB2312" w:cs="仿宋_GB2312"/>
          <w:sz w:val="30"/>
          <w:szCs w:val="30"/>
        </w:rPr>
      </w:pPr>
      <w:r w:rsidRPr="007276EE">
        <w:rPr>
          <w:rFonts w:ascii="仿宋_GB2312" w:eastAsia="仿宋_GB2312" w:hAnsi="仿宋_GB2312" w:cs="仿宋_GB2312" w:hint="eastAsia"/>
          <w:sz w:val="30"/>
          <w:szCs w:val="30"/>
        </w:rPr>
        <w:t xml:space="preserve"> </w:t>
      </w:r>
      <w:r w:rsidRPr="007276EE">
        <w:rPr>
          <w:rFonts w:ascii="仿宋_GB2312" w:eastAsia="仿宋_GB2312" w:hAnsi="仿宋_GB2312" w:cs="仿宋_GB2312" w:hint="eastAsia"/>
          <w:b/>
          <w:bCs/>
          <w:sz w:val="30"/>
          <w:szCs w:val="30"/>
        </w:rPr>
        <w:t>（一）服务体系。</w:t>
      </w:r>
      <w:r w:rsidRPr="007276EE">
        <w:rPr>
          <w:rFonts w:ascii="仿宋_GB2312" w:eastAsia="仿宋_GB2312" w:hAnsi="仿宋_GB2312" w:cs="仿宋_GB2312" w:hint="eastAsia"/>
          <w:sz w:val="30"/>
          <w:szCs w:val="30"/>
        </w:rPr>
        <w:t xml:space="preserve">公共卫生服务体系通过2003年“非典”之后的国债项目建设和2008年底以来的中央新增投资卫生项目建设，硬件设施和服务能力得到明显提升，布局合理、运作协调的体系架构基本形成，有效应对了各类公共卫生疫情和突发事件，保障了城乡安全；通过实施基本公共卫生服务项目，基本公共卫生服务均等化初步实现。城乡医疗服务体系不断完善，形成了以乡镇卫生院（社区卫生服务机构）为基础，各级各类医院为主体，门诊部、卫生室、卫生服务站、诊所、医务室为延伸的医疗服务网络，总体能够满足居民基本医疗服务需求；2008年底以来的中央新增投资1046个基层医疗卫生机构建设项目，使优质资源的可及性进一步改善；开展了区域性医疗联合体试点，在建立各级医疗机构间的梯度支撑、双向转诊工作机制方面作了积极探索。13个社区卫生服务机构和145个乡镇卫生院通过中央新增投资项目建设，基本实现了均衡布局、覆盖城乡，有效发挥了公共卫生和医疗服务的双重网底作用。 </w:t>
      </w:r>
    </w:p>
    <w:p w:rsidR="007276EE" w:rsidRPr="007276EE" w:rsidRDefault="007276EE" w:rsidP="000A3365">
      <w:pPr>
        <w:numPr>
          <w:ilvl w:val="0"/>
          <w:numId w:val="1"/>
        </w:numPr>
        <w:spacing w:line="580" w:lineRule="exact"/>
        <w:ind w:firstLine="640"/>
        <w:contextualSpacing/>
        <w:rPr>
          <w:rFonts w:ascii="仿宋_GB2312" w:hAnsi="仿宋_GB2312" w:cs="仿宋_GB2312"/>
          <w:kern w:val="0"/>
          <w:sz w:val="30"/>
          <w:szCs w:val="30"/>
        </w:rPr>
      </w:pPr>
      <w:r w:rsidRPr="007276EE">
        <w:rPr>
          <w:rFonts w:ascii="仿宋_GB2312" w:hAnsi="仿宋_GB2312" w:cs="仿宋_GB2312" w:hint="eastAsia"/>
          <w:b/>
          <w:bCs/>
          <w:kern w:val="0"/>
          <w:sz w:val="30"/>
          <w:szCs w:val="30"/>
        </w:rPr>
        <w:t>资源规模。</w:t>
      </w:r>
      <w:r w:rsidRPr="007276EE">
        <w:rPr>
          <w:rFonts w:ascii="仿宋_GB2312" w:hAnsi="仿宋_GB2312" w:cs="仿宋_GB2312" w:hint="eastAsia"/>
          <w:sz w:val="30"/>
          <w:szCs w:val="30"/>
        </w:rPr>
        <w:t>卫生资源配置低于全省平均水平，属于卫生资</w:t>
      </w:r>
      <w:r w:rsidRPr="007276EE">
        <w:rPr>
          <w:rFonts w:ascii="仿宋_GB2312" w:hAnsi="仿宋_GB2312" w:cs="仿宋_GB2312" w:hint="eastAsia"/>
          <w:sz w:val="30"/>
          <w:szCs w:val="30"/>
        </w:rPr>
        <w:lastRenderedPageBreak/>
        <w:t>源薄弱地市。</w:t>
      </w:r>
      <w:r w:rsidRPr="007276EE">
        <w:rPr>
          <w:rFonts w:ascii="仿宋_GB2312" w:hAnsi="仿宋_GB2312" w:cs="仿宋_GB2312" w:hint="eastAsia"/>
          <w:kern w:val="0"/>
          <w:sz w:val="30"/>
          <w:szCs w:val="30"/>
        </w:rPr>
        <w:t>“十二五”末, 全市共有各级各类医疗卫生计生机构8157个。其中，综合医院115个，中医医院49个，疾控中心13个、妇幼保健院13个，专科医院32个，社区卫生服务中心34个，社区卫生服务站75个，乡镇卫生院187个，结核病防治所1个，门诊部71个，诊所（卫生所、医务室、护理站）857个，村卫生室5776个等。所辖医疗机构有三级综合医院6家，三级中医医院1家，二级综合医院24家，二级中医院13家，二级专科医院9家。</w:t>
      </w:r>
    </w:p>
    <w:p w:rsidR="007276EE" w:rsidRPr="007276EE" w:rsidRDefault="007276EE" w:rsidP="000A3365">
      <w:pPr>
        <w:spacing w:line="580" w:lineRule="exact"/>
        <w:ind w:firstLine="560"/>
        <w:contextualSpacing/>
        <w:rPr>
          <w:rFonts w:ascii="仿宋_GB2312" w:hAnsi="仿宋_GB2312" w:cs="仿宋_GB2312"/>
          <w:kern w:val="0"/>
          <w:sz w:val="30"/>
          <w:szCs w:val="30"/>
        </w:rPr>
      </w:pPr>
      <w:r w:rsidRPr="007276EE">
        <w:rPr>
          <w:rFonts w:ascii="仿宋_GB2312" w:hAnsi="仿宋_GB2312" w:cs="仿宋_GB2312" w:hint="eastAsia"/>
          <w:kern w:val="0"/>
          <w:sz w:val="30"/>
          <w:szCs w:val="30"/>
        </w:rPr>
        <w:t>全市设床位的医疗机构总数达488个（其中，公立医疗机构392个，社会办医96个），较2010年的353个增加39个;实际床位数41084张,较2010年的25896张增加15188张;每千人口病床数4.09张,比2010年增加1.43张。</w:t>
      </w:r>
    </w:p>
    <w:p w:rsidR="007276EE" w:rsidRPr="007276EE" w:rsidRDefault="007276EE" w:rsidP="000A3365">
      <w:pPr>
        <w:spacing w:line="580" w:lineRule="exact"/>
        <w:ind w:firstLine="560"/>
        <w:contextualSpacing/>
        <w:rPr>
          <w:rFonts w:ascii="仿宋_GB2312" w:hAnsi="仿宋_GB2312" w:cs="仿宋_GB2312"/>
          <w:kern w:val="0"/>
          <w:sz w:val="30"/>
          <w:szCs w:val="30"/>
        </w:rPr>
      </w:pPr>
      <w:r w:rsidRPr="007276EE">
        <w:rPr>
          <w:rFonts w:ascii="仿宋_GB2312" w:hAnsi="仿宋_GB2312" w:cs="仿宋_GB2312" w:hint="eastAsia"/>
          <w:kern w:val="0"/>
          <w:sz w:val="30"/>
          <w:szCs w:val="30"/>
        </w:rPr>
        <w:t>实际卫生技术人员47465人,较2010年的37039人增加10426人;执业(助理)医师20711人,较2010年的17096人增加3615人，增长率21.1％;执业护士17888人，较2010年的9749人增加8139人，增长率83.49％；每千人口执业(助理)医师达到2.06人、执业护士达到1.78人。</w:t>
      </w:r>
    </w:p>
    <w:p w:rsidR="007276EE" w:rsidRPr="007276EE" w:rsidRDefault="007276EE" w:rsidP="000A3365">
      <w:pPr>
        <w:spacing w:line="580" w:lineRule="exact"/>
        <w:ind w:firstLine="560"/>
        <w:contextualSpacing/>
        <w:rPr>
          <w:rFonts w:ascii="仿宋_GB2312" w:hAnsi="仿宋_GB2312" w:cs="仿宋_GB2312"/>
          <w:kern w:val="0"/>
          <w:sz w:val="30"/>
          <w:szCs w:val="30"/>
        </w:rPr>
      </w:pPr>
      <w:r w:rsidRPr="007276EE">
        <w:rPr>
          <w:rFonts w:ascii="仿宋_GB2312" w:hAnsi="仿宋_GB2312" w:cs="仿宋_GB2312" w:hint="eastAsia"/>
          <w:kern w:val="0"/>
          <w:sz w:val="30"/>
          <w:szCs w:val="30"/>
        </w:rPr>
        <w:t xml:space="preserve">配置了一批处于全省技术前沿的先进医疗设备，2015年全市拥有单价10万元以上的仪器设备2711台，比2010年增加了1444台。拥有乙类大型医用设备147台，其中市级34台、县级95台、乡镇卫生院18台。2015年年底，全市五类大型医用设备中，配置CT59台、MRI24台、DSA9台、LA11台、SPECT4台、PEFCF1台。2015年，全市卫生总费用95.8亿元。  </w:t>
      </w:r>
    </w:p>
    <w:p w:rsidR="007276EE" w:rsidRPr="007276EE" w:rsidRDefault="007276EE" w:rsidP="000A3365">
      <w:pPr>
        <w:pStyle w:val="a6"/>
        <w:widowControl w:val="0"/>
        <w:spacing w:before="0" w:beforeAutospacing="0" w:after="0" w:afterAutospacing="0" w:line="580" w:lineRule="exact"/>
        <w:ind w:firstLine="420"/>
        <w:contextualSpacing/>
        <w:rPr>
          <w:rFonts w:ascii="仿宋_GB2312" w:eastAsia="仿宋_GB2312" w:hAnsi="仿宋_GB2312" w:cs="仿宋_GB2312"/>
          <w:sz w:val="30"/>
          <w:szCs w:val="30"/>
        </w:rPr>
      </w:pPr>
      <w:r w:rsidRPr="007276EE">
        <w:rPr>
          <w:rFonts w:ascii="仿宋_GB2312" w:eastAsia="仿宋_GB2312" w:hAnsi="仿宋_GB2312" w:cs="仿宋_GB2312" w:hint="eastAsia"/>
          <w:sz w:val="30"/>
          <w:szCs w:val="30"/>
        </w:rPr>
        <w:lastRenderedPageBreak/>
        <w:t xml:space="preserve"> </w:t>
      </w:r>
      <w:r w:rsidRPr="007276EE">
        <w:rPr>
          <w:rFonts w:ascii="仿宋_GB2312" w:eastAsia="仿宋_GB2312" w:hAnsi="仿宋_GB2312" w:cs="仿宋_GB2312" w:hint="eastAsia"/>
          <w:b/>
          <w:bCs/>
          <w:sz w:val="30"/>
          <w:szCs w:val="30"/>
        </w:rPr>
        <w:t>（三）资源利用。</w:t>
      </w:r>
      <w:r w:rsidRPr="007276EE">
        <w:rPr>
          <w:rFonts w:ascii="仿宋_GB2312" w:eastAsia="仿宋_GB2312" w:hAnsi="仿宋_GB2312" w:cs="仿宋_GB2312" w:hint="eastAsia"/>
          <w:sz w:val="30"/>
          <w:szCs w:val="30"/>
        </w:rPr>
        <w:t>医疗卫生资源利用比较充分，各级各类医疗机构总体处于较高负荷运行状态。2015年，全市医疗机构共提供门急诊服务4832.6万人次，其中三级医院占6.92％，二级医院占19.86％，基层医疗机构占73.22％；出院人数1533.9万人，其中三级医院占23.16％，二级医院占32.91％，基层医疗机构占43.93％；住院手术服务23.96万人次，其中三级医院占29.4％，二级医院占52.5％，基层医疗机构占18.1％。2015年，全市医疗机构病床周转次数为36次，病床使用率为86.73%，平均住院天数为8.5天（同期全省医疗机构病床周转次数为31.4次，平均住院天数为9.9天，病床使用率为87.2%）。</w:t>
      </w:r>
    </w:p>
    <w:p w:rsidR="007276EE" w:rsidRPr="007276EE" w:rsidRDefault="007276EE" w:rsidP="000A3365">
      <w:pPr>
        <w:spacing w:line="580" w:lineRule="exact"/>
        <w:ind w:firstLineChars="200" w:firstLine="602"/>
        <w:contextualSpacing/>
        <w:rPr>
          <w:rFonts w:ascii="仿宋_GB2312" w:hAnsi="仿宋_GB2312" w:cs="仿宋_GB2312"/>
          <w:kern w:val="0"/>
          <w:sz w:val="30"/>
          <w:szCs w:val="30"/>
        </w:rPr>
      </w:pPr>
      <w:r w:rsidRPr="007276EE">
        <w:rPr>
          <w:rFonts w:ascii="仿宋_GB2312" w:hAnsi="仿宋_GB2312" w:cs="仿宋_GB2312" w:hint="eastAsia"/>
          <w:b/>
          <w:bCs/>
          <w:sz w:val="30"/>
          <w:szCs w:val="30"/>
        </w:rPr>
        <w:t>（四）</w:t>
      </w:r>
      <w:r w:rsidRPr="007276EE">
        <w:rPr>
          <w:rFonts w:ascii="仿宋_GB2312" w:hAnsi="仿宋_GB2312" w:cs="仿宋_GB2312" w:hint="eastAsia"/>
          <w:b/>
          <w:bCs/>
          <w:kern w:val="0"/>
          <w:sz w:val="30"/>
          <w:szCs w:val="30"/>
        </w:rPr>
        <w:t>健康水平。</w:t>
      </w:r>
      <w:r w:rsidRPr="007276EE">
        <w:rPr>
          <w:rFonts w:ascii="仿宋_GB2312" w:hAnsi="仿宋_GB2312" w:cs="仿宋_GB2312" w:hint="eastAsia"/>
          <w:kern w:val="0"/>
          <w:sz w:val="30"/>
          <w:szCs w:val="30"/>
        </w:rPr>
        <w:t>居民健康水平显著提高。2015年，全市人均期望寿命达到75岁。孕产妇死亡率从2011的13.26/10万上升到2015年的15.84/10万，5岁以下儿童死亡率从2011年的6.47‰下降到2015年的5.16‰，婴儿死亡率从2011年的5.08‰下降到2015年的3.77‰。</w:t>
      </w:r>
    </w:p>
    <w:p w:rsidR="007276EE" w:rsidRPr="007276EE" w:rsidRDefault="007276EE" w:rsidP="000A3365">
      <w:pPr>
        <w:spacing w:line="580" w:lineRule="exact"/>
        <w:ind w:firstLineChars="200" w:firstLine="602"/>
        <w:contextualSpacing/>
        <w:rPr>
          <w:rFonts w:ascii="仿宋_GB2312" w:hAnsi="仿宋_GB2312" w:cs="仿宋_GB2312"/>
          <w:sz w:val="30"/>
          <w:szCs w:val="30"/>
        </w:rPr>
      </w:pPr>
      <w:r w:rsidRPr="007276EE">
        <w:rPr>
          <w:rFonts w:ascii="仿宋_GB2312" w:hAnsi="仿宋_GB2312" w:cs="仿宋_GB2312" w:hint="eastAsia"/>
          <w:b/>
          <w:bCs/>
          <w:sz w:val="30"/>
          <w:szCs w:val="30"/>
        </w:rPr>
        <w:t>（五）</w:t>
      </w:r>
      <w:r w:rsidRPr="007276EE">
        <w:rPr>
          <w:rFonts w:ascii="仿宋_GB2312" w:hAnsi="仿宋_GB2312" w:cs="仿宋_GB2312" w:hint="eastAsia"/>
          <w:b/>
          <w:bCs/>
          <w:kern w:val="0"/>
          <w:sz w:val="30"/>
          <w:szCs w:val="30"/>
        </w:rPr>
        <w:t>医改成效。</w:t>
      </w:r>
      <w:r w:rsidRPr="007276EE">
        <w:rPr>
          <w:rFonts w:ascii="仿宋_GB2312" w:hAnsi="仿宋_GB2312" w:cs="仿宋_GB2312" w:hint="eastAsia"/>
          <w:sz w:val="30"/>
          <w:szCs w:val="30"/>
        </w:rPr>
        <w:t>按照“保基本、强基层、建机制”的要求，统筹推进五项重点改革，为卫生事业科学发展提供了有力的体制机制保障。新农合保障水平不断提升。人均筹资水平从“十一五”末的150元提高到470元，参合率达到99.35%。2011-2015年，住院率由8.48%上升到12.56%；参合群众受益人次由803万上升到1885万；补偿总额由17.33亿元上升到34.6亿元；住院封顶线由10万上升到20万；实际住院补偿比由47.07%，政策范围内补偿比66.2%。2011年我市全面推行农村儿童重大疾病医疗保障水平工作，从2014年10月1日起全面开展新农合大病保险工作，着力减轻群众重大疾病负担，有效保</w:t>
      </w:r>
      <w:r w:rsidRPr="007276EE">
        <w:rPr>
          <w:rFonts w:ascii="仿宋_GB2312" w:hAnsi="仿宋_GB2312" w:cs="仿宋_GB2312" w:hint="eastAsia"/>
          <w:sz w:val="30"/>
          <w:szCs w:val="30"/>
        </w:rPr>
        <w:lastRenderedPageBreak/>
        <w:t>障了群众就医需求；基本药物制度框架初步建立。2011年6月30日起，全市乡镇卫生院启动实施了基本药物制度，全部实行了药品网上集中采购和零差率销售。2012年将村卫生室纳入基本药物制度实施范围，实现了乡村两级基本药物制度全覆盖。启动了基层医疗卫生机构综合改革，完成了定编定岗和全员竞聘上岗，初步建立了激励性的绩效考核分配机制；基本公共卫生服务均等化服务不断提高，2016年城乡居民人均基本公共卫生服务项目经费达到45元，面向全体城乡居民提供居民健康档案、健康教育、免疫规划、传染病防治等13项基本公共卫生服务项目；县级公立医院综合改革全面启动，社会办医步伐不断加快。2014年11月在全市10个县启动实施了县级公立医院综合改革工作。全市参与此次改革的19家县级公立医院，执行了药品全省网上统一采购，除中药饮片外，其他全部药品实行了零差率销售。同步调整了医疗服务价格，改革了医保支付方式，初步实行了人事及分配制度改革。同时，积极引进社会资本加快社会办医步伐。10家医疗机构引进社会资本，进行合资合作建院。签约资金52.8亿元，已完成投资11亿元，占总投资的20.83％。卫生信息化建设取得显著成效。扎实推进智慧医疗项目。完成了市级区域卫生信息平台硬件和网络建设任务，在全省率先发放了“居民健康卡”。</w:t>
      </w:r>
    </w:p>
    <w:p w:rsidR="007276EE" w:rsidRPr="007276EE" w:rsidRDefault="007276EE" w:rsidP="000A3365">
      <w:pPr>
        <w:spacing w:line="580" w:lineRule="exact"/>
        <w:ind w:firstLineChars="200" w:firstLine="602"/>
        <w:contextualSpacing/>
        <w:rPr>
          <w:rFonts w:ascii="仿宋_GB2312" w:hAnsi="仿宋_GB2312" w:cs="仿宋_GB2312"/>
          <w:sz w:val="30"/>
          <w:szCs w:val="30"/>
        </w:rPr>
      </w:pPr>
      <w:r w:rsidRPr="007276EE">
        <w:rPr>
          <w:rFonts w:ascii="仿宋_GB2312" w:hAnsi="仿宋_GB2312" w:cs="仿宋_GB2312" w:hint="eastAsia"/>
          <w:b/>
          <w:bCs/>
          <w:sz w:val="30"/>
          <w:szCs w:val="30"/>
        </w:rPr>
        <w:t>（六）</w:t>
      </w:r>
      <w:r w:rsidRPr="007276EE">
        <w:rPr>
          <w:rFonts w:ascii="仿宋_GB2312" w:hAnsi="仿宋_GB2312" w:cs="仿宋_GB2312" w:hint="eastAsia"/>
          <w:b/>
          <w:bCs/>
          <w:kern w:val="0"/>
          <w:sz w:val="30"/>
          <w:szCs w:val="30"/>
        </w:rPr>
        <w:t>服务质量。</w:t>
      </w:r>
      <w:r w:rsidRPr="007276EE">
        <w:rPr>
          <w:rFonts w:ascii="仿宋_GB2312" w:hAnsi="仿宋_GB2312" w:cs="仿宋_GB2312" w:hint="eastAsia"/>
          <w:sz w:val="30"/>
          <w:szCs w:val="30"/>
        </w:rPr>
        <w:t>先后深入开展“三好一满意”、“医疗质量万里行动”、“医德医风优化年”等活动。加强二级以上医院药占比等“十大指标”监管，医疗护理核心制度和各项惠民举措有效落实，在全市35家二级以上综合医院实施了“先诊疗后付费”服务模式，医疗</w:t>
      </w:r>
      <w:r w:rsidRPr="007276EE">
        <w:rPr>
          <w:rFonts w:ascii="仿宋_GB2312" w:hAnsi="仿宋_GB2312" w:cs="仿宋_GB2312" w:hint="eastAsia"/>
          <w:sz w:val="30"/>
          <w:szCs w:val="30"/>
        </w:rPr>
        <w:lastRenderedPageBreak/>
        <w:t>机构就医环境、服务行为和服务质量明显提升，群众就医感受明显改善。市第二人民医院、南石医院创成国家三级甲等医院。市中心城区已建成社区卫生服务中心34个、服务站75个，创建省级示范社区卫生服务中心2个。持续实施“51111”等人才培养计划，基层医疗机构卫生专业人才匮乏现象得以缓解。目前，我市拥有国家级重点（培育）专科3个，省级重点（培育）专科25个，省级特色专科17个，市级重点专科94个，特色专科66个。五年来我市共举办国家级学术交流活动10余次，省级近100次，市级200余次。引进新技术、开展新业务300余项，填补了我市医学相关技术领域的一大批空白，部分项目达到了省内领先水平，对提高我市医疗卫生技术水平起到了积极作用。</w:t>
      </w:r>
    </w:p>
    <w:p w:rsidR="007276EE" w:rsidRPr="007276EE" w:rsidRDefault="007276EE" w:rsidP="000A3365">
      <w:pPr>
        <w:spacing w:line="580" w:lineRule="exact"/>
        <w:ind w:firstLineChars="200" w:firstLine="602"/>
        <w:contextualSpacing/>
        <w:rPr>
          <w:rFonts w:ascii="仿宋_GB2312" w:hAnsi="仿宋_GB2312" w:cs="仿宋_GB2312"/>
          <w:sz w:val="30"/>
          <w:szCs w:val="30"/>
        </w:rPr>
      </w:pPr>
      <w:r w:rsidRPr="007276EE">
        <w:rPr>
          <w:rFonts w:ascii="仿宋_GB2312" w:hAnsi="仿宋_GB2312" w:cs="仿宋_GB2312" w:hint="eastAsia"/>
          <w:b/>
          <w:bCs/>
          <w:sz w:val="30"/>
          <w:szCs w:val="30"/>
        </w:rPr>
        <w:t>（七）</w:t>
      </w:r>
      <w:r w:rsidRPr="007276EE">
        <w:rPr>
          <w:rFonts w:ascii="仿宋_GB2312" w:hAnsi="仿宋_GB2312" w:cs="仿宋_GB2312" w:hint="eastAsia"/>
          <w:b/>
          <w:bCs/>
          <w:kern w:val="0"/>
          <w:sz w:val="30"/>
          <w:szCs w:val="30"/>
        </w:rPr>
        <w:t>公共卫生。</w:t>
      </w:r>
      <w:r w:rsidRPr="007276EE">
        <w:rPr>
          <w:rFonts w:ascii="仿宋_GB2312" w:hAnsi="仿宋_GB2312" w:cs="仿宋_GB2312" w:hint="eastAsia"/>
          <w:sz w:val="30"/>
          <w:szCs w:val="30"/>
        </w:rPr>
        <w:t>疾病预防控制工作取得明显成效，甲乙类传染病发病率总体平稳，未发生重大传染病大规模流行。艾滋病各项预防控制措施得到全面落实，结核病控制策略全面实施。妇幼保健水平不断提高。农村孕产妇住院分娩、增补叶酸及妇女“两癌”筛查等重大公共卫生项目进展顺利。7岁以下儿童保健覆盖率88.5%,3岁以下系统管理率87.02%,住院分娩率88.31%。卫生监督工作卓有成效，持续开展非法行医严打活动，切实维护了医疗服务市场的正常秩序。卫生应急能力显著增强。全市突发公共卫生事件应急处理机制逐步完善,应急管理体制、机制和法制建设进一步加强,扎实开展全市卫生应急人员培训与演练,有效提高了突发公共卫生事件预警和应急处置能力。圆满完成农运会等大型体育活动保障等工作。爱国卫生运动深入开展，城乡环境卫生面貌持续改善。</w:t>
      </w:r>
    </w:p>
    <w:p w:rsidR="007276EE" w:rsidRPr="007276EE" w:rsidRDefault="007276EE" w:rsidP="000A3365">
      <w:pPr>
        <w:spacing w:line="580" w:lineRule="exact"/>
        <w:ind w:firstLineChars="200" w:firstLine="602"/>
        <w:contextualSpacing/>
        <w:rPr>
          <w:rFonts w:ascii="仿宋_GB2312" w:hAnsi="仿宋_GB2312" w:cs="仿宋_GB2312"/>
          <w:sz w:val="30"/>
          <w:szCs w:val="30"/>
        </w:rPr>
      </w:pPr>
      <w:r w:rsidRPr="007276EE">
        <w:rPr>
          <w:rFonts w:ascii="仿宋_GB2312" w:hAnsi="仿宋_GB2312" w:cs="仿宋_GB2312" w:hint="eastAsia"/>
          <w:b/>
          <w:bCs/>
          <w:sz w:val="30"/>
          <w:szCs w:val="30"/>
        </w:rPr>
        <w:lastRenderedPageBreak/>
        <w:t>（八）</w:t>
      </w:r>
      <w:r w:rsidRPr="007276EE">
        <w:rPr>
          <w:rFonts w:ascii="仿宋_GB2312" w:hAnsi="仿宋_GB2312" w:cs="仿宋_GB2312" w:hint="eastAsia"/>
          <w:b/>
          <w:bCs/>
          <w:kern w:val="0"/>
          <w:sz w:val="30"/>
          <w:szCs w:val="30"/>
        </w:rPr>
        <w:t>中医医药。</w:t>
      </w:r>
      <w:r w:rsidRPr="007276EE">
        <w:rPr>
          <w:rFonts w:ascii="仿宋_GB2312" w:hAnsi="仿宋_GB2312" w:cs="仿宋_GB2312" w:hint="eastAsia"/>
          <w:sz w:val="30"/>
          <w:szCs w:val="30"/>
        </w:rPr>
        <w:t>整合全市相关中医药管理职能，成立了南阳市中医药管理局。13届张仲景医药文化节连续成功举办，创办了国家级仲景论坛，成立了河南南阳张仲景基金会、南阳市中医药学会、张仲景研究院、南阳市仲景健康产业促进会。中医药健康服务业发展势头强劲。实施基层中医药服务能力提升工程，加大中医医疗机构基本建设力度。开展了187个乡镇卫生院“中医堂”建设活动和15个二级以上综合医院“仲景苑”创建活动。完成了中药资源普查工作。中医药服务贸易发展良好。入选全国中医药服务贸易先行先试重点区域城市。“十二五”末，全市中医中医编制床位数5560张，其中，城市中医编制床位数1300张，卧龙、宛城两区中医编制床位数150张，10个县中医编制床位数4110张。每千人中医床位数0.553张。</w:t>
      </w:r>
    </w:p>
    <w:p w:rsidR="007276EE" w:rsidRPr="007276EE" w:rsidRDefault="007276EE" w:rsidP="000A3365">
      <w:pPr>
        <w:spacing w:line="580" w:lineRule="exact"/>
        <w:ind w:firstLineChars="200" w:firstLine="602"/>
        <w:contextualSpacing/>
        <w:rPr>
          <w:rFonts w:ascii="仿宋_GB2312" w:hAnsi="仿宋_GB2312" w:cs="仿宋_GB2312"/>
          <w:sz w:val="30"/>
          <w:szCs w:val="30"/>
        </w:rPr>
      </w:pPr>
      <w:r w:rsidRPr="007276EE">
        <w:rPr>
          <w:rFonts w:ascii="仿宋_GB2312" w:hAnsi="仿宋_GB2312" w:cs="仿宋_GB2312" w:hint="eastAsia"/>
          <w:b/>
          <w:bCs/>
          <w:sz w:val="30"/>
          <w:szCs w:val="30"/>
        </w:rPr>
        <w:t>（九）</w:t>
      </w:r>
      <w:r w:rsidRPr="007276EE">
        <w:rPr>
          <w:rFonts w:ascii="仿宋_GB2312" w:hAnsi="仿宋_GB2312" w:cs="仿宋_GB2312" w:hint="eastAsia"/>
          <w:b/>
          <w:bCs/>
          <w:kern w:val="0"/>
          <w:sz w:val="30"/>
          <w:szCs w:val="30"/>
        </w:rPr>
        <w:t>人口计生。</w:t>
      </w:r>
      <w:r w:rsidRPr="007276EE">
        <w:rPr>
          <w:rFonts w:ascii="仿宋_GB2312" w:hAnsi="仿宋_GB2312" w:cs="仿宋_GB2312" w:hint="eastAsia"/>
          <w:sz w:val="30"/>
          <w:szCs w:val="30"/>
        </w:rPr>
        <w:t>坚持计划生育基本国策，稳妥实施“双独”和“单独”二孩生育政策，保持适度低生育水平，妇女总和生育率保持在1.65左右，年均人口自然增长率控制在7.1‰以内。实施“优生促进工程”，开展生殖健康进家庭优质服务活动，持续推进免费孕前优生健康检查项目。加快推进流动人口计划生育服务管理信息化、卫生计划基本公共服务均等化，积极开展流动人口健康促进示范企业、学校和健康家庭活动。流动人口计划生育服务能力和水平不断提高。严厉打击“两非”行为，出生人口性别比逐步趋于平衡。建立完善城乡一致的计划生育奖励扶助制度和特别扶助制度，探索了以政府购买、居家养老为主的计划生育家庭养老模式，计划生育利益导向机制不断完善。</w:t>
      </w:r>
    </w:p>
    <w:p w:rsidR="007276EE" w:rsidRPr="007276EE" w:rsidRDefault="007276EE" w:rsidP="000A3365">
      <w:pPr>
        <w:pStyle w:val="a6"/>
        <w:widowControl w:val="0"/>
        <w:spacing w:before="0" w:beforeAutospacing="0" w:after="0" w:afterAutospacing="0" w:line="580" w:lineRule="exact"/>
        <w:contextualSpacing/>
        <w:rPr>
          <w:rFonts w:ascii="楷体_GB2312" w:eastAsia="楷体_GB2312" w:hAnsi="楷体_GB2312" w:cs="楷体_GB2312"/>
          <w:sz w:val="30"/>
          <w:szCs w:val="30"/>
        </w:rPr>
      </w:pPr>
      <w:r w:rsidRPr="007276EE">
        <w:rPr>
          <w:rFonts w:ascii="Times New Roman" w:eastAsia="仿宋_GB2312" w:hAnsi="Times New Roman"/>
          <w:sz w:val="30"/>
          <w:szCs w:val="30"/>
        </w:rPr>
        <w:lastRenderedPageBreak/>
        <w:t xml:space="preserve">   </w:t>
      </w:r>
      <w:r w:rsidRPr="007276EE">
        <w:rPr>
          <w:rFonts w:ascii="Times New Roman" w:eastAsia="仿宋_GB2312" w:hAnsi="Times New Roman" w:hint="eastAsia"/>
          <w:sz w:val="30"/>
          <w:szCs w:val="30"/>
        </w:rPr>
        <w:t xml:space="preserve"> </w:t>
      </w:r>
      <w:r w:rsidRPr="007276EE">
        <w:rPr>
          <w:rFonts w:ascii="楷体_GB2312" w:eastAsia="楷体_GB2312" w:hAnsi="楷体_GB2312" w:cs="楷体_GB2312" w:hint="eastAsia"/>
          <w:sz w:val="30"/>
          <w:szCs w:val="30"/>
        </w:rPr>
        <w:t xml:space="preserve"> 三、面临的主要形势 </w:t>
      </w:r>
    </w:p>
    <w:p w:rsidR="007276EE" w:rsidRPr="007276EE" w:rsidRDefault="007276EE" w:rsidP="000A3365">
      <w:pPr>
        <w:pStyle w:val="a6"/>
        <w:widowControl w:val="0"/>
        <w:spacing w:before="0" w:beforeAutospacing="0" w:after="0" w:afterAutospacing="0" w:line="580" w:lineRule="exact"/>
        <w:ind w:firstLine="420"/>
        <w:contextualSpacing/>
        <w:rPr>
          <w:rFonts w:ascii="仿宋_GB2312" w:eastAsia="仿宋_GB2312" w:hAnsi="仿宋_GB2312" w:cs="仿宋_GB2312"/>
          <w:b/>
          <w:bCs/>
          <w:sz w:val="30"/>
          <w:szCs w:val="30"/>
        </w:rPr>
      </w:pPr>
      <w:r w:rsidRPr="007276EE">
        <w:rPr>
          <w:rFonts w:ascii="仿宋_GB2312" w:eastAsia="仿宋_GB2312" w:hAnsi="仿宋_GB2312" w:cs="仿宋_GB2312" w:hint="eastAsia"/>
          <w:sz w:val="30"/>
          <w:szCs w:val="30"/>
        </w:rPr>
        <w:t xml:space="preserve"> </w:t>
      </w:r>
      <w:r w:rsidRPr="007276EE">
        <w:rPr>
          <w:rFonts w:ascii="仿宋_GB2312" w:eastAsia="仿宋_GB2312" w:hAnsi="仿宋_GB2312" w:cs="仿宋_GB2312" w:hint="eastAsia"/>
          <w:b/>
          <w:bCs/>
          <w:sz w:val="30"/>
          <w:szCs w:val="30"/>
        </w:rPr>
        <w:t>（一）全民医疗。</w:t>
      </w:r>
      <w:r w:rsidRPr="007276EE">
        <w:rPr>
          <w:rFonts w:ascii="仿宋_GB2312" w:eastAsia="仿宋_GB2312" w:hAnsi="仿宋_GB2312" w:cs="仿宋_GB2312" w:hint="eastAsia"/>
          <w:sz w:val="30"/>
          <w:szCs w:val="30"/>
        </w:rPr>
        <w:t>党的十八大提出“健康是促进人的全面发展的必然要求”和“全面建成小康社会”的宏伟目标，要求在“病有所医”上持续取得新进展，特别是打造“健康中国”“健康优先、把健康融入所有政策”，实现“人人享有基本医疗卫生服务”的健康梦，实现全民医疗，为卫生计生事业发展提出了新的更高要求，指明了发展方向。“十三五”期间，是全面建设小康社会的关键时期，医疗卫生事业关系广大人民群众的健康，关系到千家万户的幸福，是重大的民生问题，也是建设小康社会的重要保障。</w:t>
      </w:r>
    </w:p>
    <w:p w:rsidR="007276EE" w:rsidRPr="007276EE" w:rsidRDefault="007276EE" w:rsidP="000A3365">
      <w:pPr>
        <w:pStyle w:val="a6"/>
        <w:widowControl w:val="0"/>
        <w:spacing w:before="0" w:beforeAutospacing="0" w:after="0" w:afterAutospacing="0" w:line="580" w:lineRule="exact"/>
        <w:ind w:firstLine="420"/>
        <w:contextualSpacing/>
        <w:rPr>
          <w:rFonts w:ascii="仿宋_GB2312" w:eastAsia="仿宋_GB2312" w:hAnsi="仿宋_GB2312" w:cs="仿宋_GB2312"/>
          <w:sz w:val="30"/>
          <w:szCs w:val="30"/>
        </w:rPr>
      </w:pPr>
      <w:r w:rsidRPr="007276EE">
        <w:rPr>
          <w:rFonts w:ascii="仿宋_GB2312" w:eastAsia="仿宋_GB2312" w:hAnsi="仿宋_GB2312" w:cs="仿宋_GB2312" w:hint="eastAsia"/>
          <w:b/>
          <w:bCs/>
          <w:sz w:val="30"/>
          <w:szCs w:val="30"/>
        </w:rPr>
        <w:t xml:space="preserve"> （二）医改背景。</w:t>
      </w:r>
      <w:r w:rsidRPr="007276EE">
        <w:rPr>
          <w:rFonts w:ascii="仿宋_GB2312" w:eastAsia="仿宋_GB2312" w:hAnsi="仿宋_GB2312" w:cs="仿宋_GB2312" w:hint="eastAsia"/>
          <w:sz w:val="30"/>
          <w:szCs w:val="30"/>
        </w:rPr>
        <w:t xml:space="preserve"> 公立医院改革有待深化，科学合理的补偿机制尚未建立，外部治理体系和内部治理结构有待改善，符合行业特点的人事薪酬制度有待健全，合理的就医秩序还未形成，迫切需要通过深化体制机制改革逐步加以解决。公立医院资源占比偏大，挤压了基层医疗卫生机构与社会办医的发展空间，影响了医疗卫生服务体系整体效率的提升。</w:t>
      </w:r>
    </w:p>
    <w:p w:rsidR="007276EE" w:rsidRPr="007276EE" w:rsidRDefault="007276EE" w:rsidP="000A3365">
      <w:pPr>
        <w:pStyle w:val="a6"/>
        <w:widowControl w:val="0"/>
        <w:spacing w:before="0" w:beforeAutospacing="0" w:after="0" w:afterAutospacing="0" w:line="580" w:lineRule="exact"/>
        <w:ind w:firstLine="420"/>
        <w:contextualSpacing/>
        <w:rPr>
          <w:rFonts w:ascii="仿宋_GB2312" w:eastAsia="仿宋_GB2312" w:hAnsi="仿宋_GB2312" w:cs="仿宋_GB2312"/>
          <w:sz w:val="30"/>
          <w:szCs w:val="30"/>
        </w:rPr>
      </w:pPr>
      <w:r w:rsidRPr="007276EE">
        <w:rPr>
          <w:rFonts w:ascii="仿宋_GB2312" w:eastAsia="仿宋_GB2312" w:hAnsi="仿宋_GB2312" w:cs="仿宋_GB2312" w:hint="eastAsia"/>
          <w:sz w:val="30"/>
          <w:szCs w:val="30"/>
        </w:rPr>
        <w:t xml:space="preserve"> </w:t>
      </w:r>
      <w:r w:rsidRPr="007276EE">
        <w:rPr>
          <w:rFonts w:ascii="仿宋_GB2312" w:eastAsia="仿宋_GB2312" w:hAnsi="仿宋_GB2312" w:cs="仿宋_GB2312" w:hint="eastAsia"/>
          <w:b/>
          <w:bCs/>
          <w:sz w:val="30"/>
          <w:szCs w:val="30"/>
        </w:rPr>
        <w:t>（三）国际趋势。</w:t>
      </w:r>
      <w:r w:rsidRPr="007276EE">
        <w:rPr>
          <w:rFonts w:ascii="仿宋_GB2312" w:eastAsia="仿宋_GB2312" w:hAnsi="仿宋_GB2312" w:cs="仿宋_GB2312" w:hint="eastAsia"/>
          <w:sz w:val="30"/>
          <w:szCs w:val="30"/>
        </w:rPr>
        <w:t>从国际视野来看，已有越来越多的国家将国民健康战略纳入国家发展战略，医疗卫生服务越来越强调对居民全生命周期的健康管理，从单纯的疾病诊治转向综合性的健康干预和健康管理，从以医院为基础的服务转向以社区、家庭为基础的服务，强调疾病诊治过程中人的整体性。这些趋势，要求南阳市进一步重视卫生工作的战略地位，推动形成以“维护健康”和“健康南阳”为中心的各类卫生资源分工协作格局，发展预防、治疗、康复、护理协调发展的</w:t>
      </w:r>
      <w:r w:rsidRPr="007276EE">
        <w:rPr>
          <w:rFonts w:ascii="仿宋_GB2312" w:eastAsia="仿宋_GB2312" w:hAnsi="仿宋_GB2312" w:cs="仿宋_GB2312" w:hint="eastAsia"/>
          <w:sz w:val="30"/>
          <w:szCs w:val="30"/>
        </w:rPr>
        <w:lastRenderedPageBreak/>
        <w:t xml:space="preserve">健康服务体系。 </w:t>
      </w:r>
    </w:p>
    <w:p w:rsidR="007276EE" w:rsidRPr="007276EE" w:rsidRDefault="007276EE" w:rsidP="000A3365">
      <w:pPr>
        <w:pStyle w:val="a6"/>
        <w:widowControl w:val="0"/>
        <w:spacing w:before="0" w:beforeAutospacing="0" w:after="0" w:afterAutospacing="0" w:line="580" w:lineRule="exact"/>
        <w:ind w:firstLine="420"/>
        <w:contextualSpacing/>
        <w:rPr>
          <w:rFonts w:ascii="仿宋_GB2312" w:eastAsia="仿宋_GB2312" w:hAnsi="仿宋_GB2312" w:cs="仿宋_GB2312"/>
          <w:sz w:val="30"/>
          <w:szCs w:val="30"/>
        </w:rPr>
      </w:pPr>
      <w:r w:rsidRPr="007276EE">
        <w:rPr>
          <w:rFonts w:ascii="仿宋_GB2312" w:eastAsia="仿宋_GB2312" w:hAnsi="仿宋_GB2312" w:cs="仿宋_GB2312" w:hint="eastAsia"/>
          <w:sz w:val="30"/>
          <w:szCs w:val="30"/>
        </w:rPr>
        <w:t xml:space="preserve"> </w:t>
      </w:r>
      <w:r w:rsidRPr="007276EE">
        <w:rPr>
          <w:rFonts w:ascii="仿宋_GB2312" w:eastAsia="仿宋_GB2312" w:hAnsi="仿宋_GB2312" w:cs="仿宋_GB2312" w:hint="eastAsia"/>
          <w:b/>
          <w:bCs/>
          <w:sz w:val="30"/>
          <w:szCs w:val="30"/>
        </w:rPr>
        <w:t>（四）疾病形势。</w:t>
      </w:r>
      <w:r w:rsidRPr="007276EE">
        <w:rPr>
          <w:rFonts w:ascii="仿宋_GB2312" w:eastAsia="仿宋_GB2312" w:hAnsi="仿宋_GB2312" w:cs="仿宋_GB2312" w:hint="eastAsia"/>
          <w:sz w:val="30"/>
          <w:szCs w:val="30"/>
        </w:rPr>
        <w:t xml:space="preserve">经济社会转型中呈现的快速城镇化、工业化，使食品药品安全、饮水安全、职业安全和环境问题成为重大危险因素，我市居民同时面临重大传染病和慢性非传染性疾病的双重威胁。到2020年，全市总人口预计达到1050万人，城镇化率接近55%。人口老龄化形势严峻。人口老龄化和生活方式的变化使恶性肿瘤、心脏病、脑血管病、糖尿病、精神卫生等重大慢性非传染性疾病逐渐成为影响居民生命质量的主要因素和主要疾病负担。 </w:t>
      </w:r>
    </w:p>
    <w:p w:rsidR="007276EE" w:rsidRPr="007276EE" w:rsidRDefault="007276EE" w:rsidP="000A3365">
      <w:pPr>
        <w:spacing w:line="580" w:lineRule="exact"/>
        <w:contextualSpacing/>
        <w:rPr>
          <w:rFonts w:ascii="仿宋_GB2312" w:hAnsi="仿宋_GB2312" w:cs="仿宋_GB2312"/>
          <w:sz w:val="30"/>
          <w:szCs w:val="30"/>
        </w:rPr>
      </w:pPr>
      <w:r w:rsidRPr="007276EE">
        <w:rPr>
          <w:rFonts w:ascii="仿宋_GB2312" w:hAnsi="仿宋_GB2312" w:cs="仿宋_GB2312" w:hint="eastAsia"/>
          <w:sz w:val="30"/>
          <w:szCs w:val="30"/>
        </w:rPr>
        <w:t xml:space="preserve">    </w:t>
      </w:r>
      <w:r w:rsidRPr="007276EE">
        <w:rPr>
          <w:rFonts w:ascii="仿宋_GB2312" w:hAnsi="仿宋_GB2312" w:cs="仿宋_GB2312" w:hint="eastAsia"/>
          <w:b/>
          <w:bCs/>
          <w:sz w:val="30"/>
          <w:szCs w:val="30"/>
        </w:rPr>
        <w:t>（五）发展要求。</w:t>
      </w:r>
      <w:r w:rsidRPr="007276EE">
        <w:rPr>
          <w:rFonts w:ascii="仿宋_GB2312" w:hAnsi="仿宋_GB2312" w:cs="仿宋_GB2312" w:hint="eastAsia"/>
          <w:kern w:val="0"/>
          <w:sz w:val="30"/>
          <w:szCs w:val="30"/>
        </w:rPr>
        <w:t>随着人民群众健康保健意识不断增强，居民多样化、多层次的需求对医疗卫生资源的供给提出新的要求。医疗保障制度逐步完善，保障水平不断提高，带来基本医疗需求总量增加。全面实施两孩政策、生育政策的调整，新增出生人口将会增长，对妇科、儿科、母婴保健、生殖保健等医疗卫生服务需求将快速增长。城镇化进程明显加快，区域、城乡优质医疗卫生资源的配置不均衡与城镇快速扩张的矛盾日益突出。</w:t>
      </w:r>
    </w:p>
    <w:p w:rsidR="007276EE" w:rsidRPr="007276EE" w:rsidRDefault="007276EE" w:rsidP="000A3365">
      <w:pPr>
        <w:spacing w:line="580" w:lineRule="exact"/>
        <w:ind w:firstLine="640"/>
        <w:contextualSpacing/>
        <w:rPr>
          <w:rFonts w:ascii="仿宋_GB2312" w:hAnsi="仿宋_GB2312" w:cs="仿宋_GB2312"/>
          <w:b/>
          <w:bCs/>
          <w:sz w:val="30"/>
          <w:szCs w:val="30"/>
        </w:rPr>
      </w:pPr>
      <w:r w:rsidRPr="007276EE">
        <w:rPr>
          <w:rFonts w:ascii="仿宋_GB2312" w:hAnsi="仿宋_GB2312" w:cs="仿宋_GB2312" w:hint="eastAsia"/>
          <w:b/>
          <w:bCs/>
          <w:sz w:val="30"/>
          <w:szCs w:val="30"/>
        </w:rPr>
        <w:t>（六）科技进步。</w:t>
      </w:r>
      <w:r w:rsidRPr="007276EE">
        <w:rPr>
          <w:rFonts w:ascii="仿宋_GB2312" w:hAnsi="仿宋_GB2312" w:cs="仿宋_GB2312" w:hint="eastAsia"/>
          <w:sz w:val="30"/>
          <w:szCs w:val="30"/>
        </w:rPr>
        <w:t>全球范围内，医学研究的深度和广度不断拓展，医学相关领域理论和技术不断创新,创新药物和新型医疗器械不断面世，疾病预防和诊治手段不断进步。同时，计算、物联网、移动互联网、大数据等信息化技术快速发展，必将推动医疗卫生服务模式和管理模式的深刻转变。这些均为加快推进医药卫生体制改革、整合各级医疗卫生机构资源、优化医疗卫生业务流程、提高服务效率提供了有利条件。</w:t>
      </w:r>
    </w:p>
    <w:p w:rsidR="007276EE" w:rsidRPr="007276EE" w:rsidRDefault="007276EE" w:rsidP="000A3365">
      <w:pPr>
        <w:pStyle w:val="a6"/>
        <w:widowControl w:val="0"/>
        <w:spacing w:before="0" w:beforeAutospacing="0" w:after="0" w:afterAutospacing="0" w:line="580" w:lineRule="exact"/>
        <w:contextualSpacing/>
        <w:rPr>
          <w:rFonts w:ascii="楷体_GB2312" w:eastAsia="楷体_GB2312" w:hAnsi="楷体_GB2312" w:cs="楷体_GB2312"/>
          <w:sz w:val="30"/>
          <w:szCs w:val="30"/>
        </w:rPr>
      </w:pPr>
      <w:r w:rsidRPr="007276EE">
        <w:rPr>
          <w:rFonts w:ascii="Times New Roman" w:eastAsia="华文楷体" w:hAnsi="Times New Roman"/>
          <w:b/>
          <w:bCs/>
          <w:sz w:val="30"/>
          <w:szCs w:val="30"/>
        </w:rPr>
        <w:lastRenderedPageBreak/>
        <w:t xml:space="preserve">   </w:t>
      </w:r>
      <w:r w:rsidRPr="007276EE">
        <w:rPr>
          <w:rFonts w:ascii="Times New Roman" w:eastAsia="华文楷体" w:hAnsi="Times New Roman" w:hint="eastAsia"/>
          <w:b/>
          <w:bCs/>
          <w:sz w:val="30"/>
          <w:szCs w:val="30"/>
        </w:rPr>
        <w:t xml:space="preserve"> </w:t>
      </w:r>
      <w:r w:rsidRPr="007276EE">
        <w:rPr>
          <w:rFonts w:ascii="楷体_GB2312" w:eastAsia="楷体_GB2312" w:hAnsi="楷体_GB2312" w:cs="楷体_GB2312" w:hint="eastAsia"/>
          <w:sz w:val="30"/>
          <w:szCs w:val="30"/>
        </w:rPr>
        <w:t xml:space="preserve"> 四、存在的主要问题 </w:t>
      </w:r>
    </w:p>
    <w:p w:rsidR="007276EE" w:rsidRPr="007276EE" w:rsidRDefault="007276EE" w:rsidP="000A3365">
      <w:pPr>
        <w:pStyle w:val="a6"/>
        <w:widowControl w:val="0"/>
        <w:spacing w:before="0" w:beforeAutospacing="0" w:after="0" w:afterAutospacing="0" w:line="580" w:lineRule="exact"/>
        <w:ind w:firstLine="420"/>
        <w:contextualSpacing/>
        <w:rPr>
          <w:rFonts w:ascii="仿宋_GB2312" w:eastAsia="仿宋_GB2312" w:hAnsi="仿宋_GB2312" w:cs="仿宋_GB2312"/>
          <w:sz w:val="30"/>
          <w:szCs w:val="30"/>
        </w:rPr>
      </w:pPr>
      <w:r w:rsidRPr="007276EE">
        <w:rPr>
          <w:rFonts w:ascii="Times New Roman" w:eastAsia="仿宋_GB2312" w:hAnsi="Times New Roman"/>
          <w:sz w:val="30"/>
          <w:szCs w:val="30"/>
        </w:rPr>
        <w:t xml:space="preserve"> </w:t>
      </w:r>
      <w:r w:rsidRPr="007276EE">
        <w:rPr>
          <w:rFonts w:ascii="仿宋_GB2312" w:eastAsia="仿宋_GB2312" w:hAnsi="仿宋_GB2312" w:cs="仿宋_GB2312" w:hint="eastAsia"/>
          <w:b/>
          <w:bCs/>
          <w:sz w:val="30"/>
          <w:szCs w:val="30"/>
        </w:rPr>
        <w:t>（一）资源结构问题。</w:t>
      </w:r>
      <w:r w:rsidRPr="007276EE">
        <w:rPr>
          <w:rFonts w:ascii="仿宋_GB2312" w:eastAsia="仿宋_GB2312" w:hAnsi="仿宋_GB2312" w:cs="仿宋_GB2312" w:hint="eastAsia"/>
          <w:sz w:val="30"/>
          <w:szCs w:val="30"/>
        </w:rPr>
        <w:t>一是纵向配置失衡，优质资源相对集中于城市三级医院和市级公共卫生机构，社区卫生服务机构和乡镇卫生院硬件建设虽已得到加强，但最核心的人才等资源配置尚未到位，随着职能增加，基层卫生资源更显紧缺。南阳市7家三级医院，有6家集中在南阳市中心城区。2015年底，中心城区（含4个功能区）常住人口186.9万人，占全市人口的18.58％；全市医疗机构床位总数41084张，中心城区16422张，占39.97％；全市每千常住人口床位数4.09张，中心城区8.79张，10个县平均3.39张（同期河南省平均每千常住人口床位数5.16张、全国5.11张）；全市每千常住人口执业（助理）医师数2.06人，中心城区7.06人，10个县平均1.42人（同期河南省平均每千常住人口执业&lt;助理&gt;医师数2.10人、全国2.21人）；全市每千常住人口注册护士数1.78人，中心城区5.28人，10个县平均1.15人（同期河南省平均每千常住人口执业护士数2.17人、全国2.36人）。二是区域配置失衡，尤其是各县与中心城区相比配置相对不足。2015年全市医护比为1:0.86，低于全省1:1.0的平均水平，距离2020年全国医护比达到1:1.25的目标有很大差距，注册护士配置严重不足；全市床护比为1:0.44，高于同期全省平均水平，低于全国平均水平（全省、全国分别为1:0.42、1:0.45）；三是专科医疗体系不健全，仍存在数量少、规模小、专科优势不突出、服务能力弱等问题。其中儿科、康复、养老医疗护理、精神卫生、妇幼卫生、院前急救等资源供需矛盾比较突出，人力资源配置有待进一步加强。四是社</w:t>
      </w:r>
      <w:r w:rsidRPr="007276EE">
        <w:rPr>
          <w:rFonts w:ascii="仿宋_GB2312" w:eastAsia="仿宋_GB2312" w:hAnsi="仿宋_GB2312" w:cs="仿宋_GB2312" w:hint="eastAsia"/>
          <w:sz w:val="30"/>
          <w:szCs w:val="30"/>
        </w:rPr>
        <w:lastRenderedPageBreak/>
        <w:t>会办医数量虽然较多，但体量较小，总体水平不高，公共卫生社会服务未得到有效发展。全市设置床位的各级各类医疗机构488家，其中社会办医96家，占19.67％；全市医疗机构床位总数41084张，其中社会办医3739张，占9.10％。</w:t>
      </w:r>
    </w:p>
    <w:p w:rsidR="007276EE" w:rsidRPr="007276EE" w:rsidRDefault="007276EE" w:rsidP="000A3365">
      <w:pPr>
        <w:pStyle w:val="a6"/>
        <w:widowControl w:val="0"/>
        <w:spacing w:before="0" w:beforeAutospacing="0" w:after="0" w:afterAutospacing="0" w:line="580" w:lineRule="exact"/>
        <w:ind w:firstLine="420"/>
        <w:contextualSpacing/>
        <w:rPr>
          <w:rFonts w:ascii="仿宋_GB2312" w:eastAsia="仿宋_GB2312" w:hAnsi="仿宋_GB2312" w:cs="仿宋_GB2312"/>
          <w:sz w:val="30"/>
          <w:szCs w:val="30"/>
        </w:rPr>
      </w:pPr>
      <w:r w:rsidRPr="007276EE">
        <w:rPr>
          <w:rFonts w:ascii="仿宋_GB2312" w:eastAsia="仿宋_GB2312" w:hAnsi="仿宋_GB2312" w:cs="仿宋_GB2312" w:hint="eastAsia"/>
          <w:sz w:val="30"/>
          <w:szCs w:val="30"/>
        </w:rPr>
        <w:t xml:space="preserve"> </w:t>
      </w:r>
      <w:r w:rsidRPr="007276EE">
        <w:rPr>
          <w:rFonts w:ascii="仿宋_GB2312" w:eastAsia="仿宋_GB2312" w:hAnsi="仿宋_GB2312" w:cs="仿宋_GB2312" w:hint="eastAsia"/>
          <w:b/>
          <w:bCs/>
          <w:sz w:val="30"/>
          <w:szCs w:val="30"/>
        </w:rPr>
        <w:t>（二）配置效率问题。</w:t>
      </w:r>
      <w:r w:rsidRPr="007276EE">
        <w:rPr>
          <w:rFonts w:ascii="仿宋_GB2312" w:eastAsia="仿宋_GB2312" w:hAnsi="仿宋_GB2312" w:cs="仿宋_GB2312" w:hint="eastAsia"/>
          <w:sz w:val="30"/>
          <w:szCs w:val="30"/>
        </w:rPr>
        <w:t xml:space="preserve">全市卫生资源整体宏观配置效率有待进一步提高。不同级别医疗卫生机构分工协作机制不够顺畅，人员、技术、设备、信息等资源共享程度较低。各级医疗机构的功能定位未能有效落实，优质医疗资源过度利用，患者重复就医造成资源浪费。市、区县两级公共卫生机构的能级分工有待进一步明晰。 </w:t>
      </w:r>
    </w:p>
    <w:p w:rsidR="007276EE" w:rsidRPr="007276EE" w:rsidRDefault="007276EE" w:rsidP="000A3365">
      <w:pPr>
        <w:pStyle w:val="a6"/>
        <w:widowControl w:val="0"/>
        <w:spacing w:before="0" w:beforeAutospacing="0" w:after="0" w:afterAutospacing="0" w:line="580" w:lineRule="exact"/>
        <w:ind w:firstLine="420"/>
        <w:contextualSpacing/>
        <w:rPr>
          <w:rFonts w:ascii="Times New Roman" w:eastAsia="仿宋_GB2312" w:hAnsi="Times New Roman"/>
          <w:sz w:val="30"/>
          <w:szCs w:val="30"/>
        </w:rPr>
      </w:pPr>
      <w:r w:rsidRPr="007276EE">
        <w:rPr>
          <w:rFonts w:ascii="仿宋_GB2312" w:eastAsia="仿宋_GB2312" w:hAnsi="仿宋_GB2312" w:cs="仿宋_GB2312" w:hint="eastAsia"/>
          <w:sz w:val="30"/>
          <w:szCs w:val="30"/>
        </w:rPr>
        <w:t xml:space="preserve"> </w:t>
      </w:r>
      <w:r w:rsidRPr="007276EE">
        <w:rPr>
          <w:rFonts w:ascii="仿宋_GB2312" w:eastAsia="仿宋_GB2312" w:hAnsi="仿宋_GB2312" w:cs="仿宋_GB2312" w:hint="eastAsia"/>
          <w:b/>
          <w:bCs/>
          <w:sz w:val="30"/>
          <w:szCs w:val="30"/>
        </w:rPr>
        <w:t>（三）服务能级问题。</w:t>
      </w:r>
      <w:r w:rsidRPr="007276EE">
        <w:rPr>
          <w:rFonts w:ascii="仿宋_GB2312" w:eastAsia="仿宋_GB2312" w:hAnsi="仿宋_GB2312" w:cs="仿宋_GB2312" w:hint="eastAsia"/>
          <w:sz w:val="30"/>
          <w:szCs w:val="30"/>
        </w:rPr>
        <w:t>从全省来看，南阳市卫生资源总量已经具备较高质量，但人均卫生资源与兄弟地市相比还有很大差距。医疗卫生服务的供需双方尚未得到有效培育，医学高端人才等优质资源要素聚集不足。医学科技创新、临床和公共卫生转化能力还有待增强，有关服务平台和交易市场尚不健全。在医改释放需求和现代服务业发展的背景下，优质医疗卫生服务资源的有效供给不足，南阳市医疗卫生服务的辐射力和吸引力有待进一步提升。</w:t>
      </w:r>
      <w:r w:rsidRPr="007276EE">
        <w:rPr>
          <w:rFonts w:ascii="Times New Roman" w:eastAsia="仿宋_GB2312" w:hAnsi="Times New Roman"/>
          <w:sz w:val="30"/>
          <w:szCs w:val="30"/>
        </w:rPr>
        <w:t xml:space="preserve"> </w:t>
      </w:r>
    </w:p>
    <w:p w:rsidR="007276EE" w:rsidRPr="007276EE" w:rsidRDefault="007276EE" w:rsidP="000A3365">
      <w:pPr>
        <w:pStyle w:val="a6"/>
        <w:widowControl w:val="0"/>
        <w:spacing w:beforeLines="50" w:beforeAutospacing="0" w:afterLines="50" w:afterAutospacing="0" w:line="580" w:lineRule="exact"/>
        <w:ind w:firstLine="420"/>
        <w:contextualSpacing/>
        <w:jc w:val="center"/>
        <w:rPr>
          <w:rFonts w:ascii="黑体" w:eastAsia="黑体" w:hAnsi="黑体" w:cs="黑体"/>
          <w:sz w:val="30"/>
          <w:szCs w:val="30"/>
        </w:rPr>
      </w:pPr>
      <w:r w:rsidRPr="007276EE">
        <w:rPr>
          <w:rFonts w:ascii="黑体" w:eastAsia="黑体" w:hAnsi="黑体" w:cs="黑体" w:hint="eastAsia"/>
          <w:sz w:val="30"/>
          <w:szCs w:val="30"/>
        </w:rPr>
        <w:t>第二节  规划总体思路</w:t>
      </w:r>
    </w:p>
    <w:p w:rsidR="007276EE" w:rsidRPr="007276EE" w:rsidRDefault="007276EE" w:rsidP="000A3365">
      <w:pPr>
        <w:pStyle w:val="a6"/>
        <w:widowControl w:val="0"/>
        <w:spacing w:before="0" w:beforeAutospacing="0" w:after="0" w:afterAutospacing="0" w:line="580" w:lineRule="exact"/>
        <w:ind w:firstLine="420"/>
        <w:contextualSpacing/>
        <w:rPr>
          <w:rFonts w:ascii="Times New Roman" w:eastAsia="仿宋_GB2312" w:hAnsi="Times New Roman"/>
          <w:sz w:val="30"/>
          <w:szCs w:val="30"/>
        </w:rPr>
      </w:pPr>
      <w:r w:rsidRPr="007276EE">
        <w:rPr>
          <w:rFonts w:ascii="Times New Roman" w:eastAsia="华文楷体" w:hAnsi="Times New Roman"/>
          <w:b/>
          <w:bCs/>
          <w:sz w:val="30"/>
          <w:szCs w:val="30"/>
        </w:rPr>
        <w:t xml:space="preserve"> </w:t>
      </w:r>
      <w:r w:rsidRPr="007276EE">
        <w:rPr>
          <w:rFonts w:ascii="Times New Roman" w:eastAsia="华文楷体" w:hAnsi="Times New Roman"/>
          <w:sz w:val="30"/>
          <w:szCs w:val="30"/>
        </w:rPr>
        <w:t>一、指导思想</w:t>
      </w:r>
      <w:r w:rsidRPr="007276EE">
        <w:rPr>
          <w:rFonts w:ascii="Times New Roman" w:eastAsia="华文楷体" w:hAnsi="Times New Roman"/>
          <w:sz w:val="30"/>
          <w:szCs w:val="30"/>
        </w:rPr>
        <w:t xml:space="preserve"> </w:t>
      </w:r>
    </w:p>
    <w:p w:rsidR="007276EE" w:rsidRPr="007276EE" w:rsidRDefault="007276EE" w:rsidP="000A3365">
      <w:pPr>
        <w:spacing w:line="580" w:lineRule="exact"/>
        <w:ind w:firstLineChars="200" w:firstLine="600"/>
        <w:contextualSpacing/>
        <w:rPr>
          <w:kern w:val="0"/>
          <w:sz w:val="30"/>
          <w:szCs w:val="30"/>
        </w:rPr>
      </w:pPr>
      <w:r w:rsidRPr="007276EE">
        <w:rPr>
          <w:rFonts w:hint="eastAsia"/>
          <w:kern w:val="0"/>
          <w:sz w:val="30"/>
          <w:szCs w:val="30"/>
        </w:rPr>
        <w:t>以习近平新时代中国特色社会主义思想为指导，全面贯彻党的十九大精神，</w:t>
      </w:r>
      <w:r w:rsidRPr="007276EE">
        <w:rPr>
          <w:kern w:val="0"/>
          <w:sz w:val="30"/>
          <w:szCs w:val="30"/>
        </w:rPr>
        <w:t>紧紧围绕</w:t>
      </w:r>
      <w:r w:rsidRPr="007276EE">
        <w:rPr>
          <w:kern w:val="0"/>
          <w:sz w:val="30"/>
          <w:szCs w:val="30"/>
        </w:rPr>
        <w:t>“</w:t>
      </w:r>
      <w:r w:rsidRPr="007276EE">
        <w:rPr>
          <w:kern w:val="0"/>
          <w:sz w:val="30"/>
          <w:szCs w:val="30"/>
        </w:rPr>
        <w:t>四个全面</w:t>
      </w:r>
      <w:r w:rsidRPr="007276EE">
        <w:rPr>
          <w:kern w:val="0"/>
          <w:sz w:val="30"/>
          <w:szCs w:val="30"/>
        </w:rPr>
        <w:t>”</w:t>
      </w:r>
      <w:r w:rsidRPr="007276EE">
        <w:rPr>
          <w:kern w:val="0"/>
          <w:sz w:val="30"/>
          <w:szCs w:val="30"/>
        </w:rPr>
        <w:t>战略布局和</w:t>
      </w:r>
      <w:r w:rsidRPr="007276EE">
        <w:rPr>
          <w:kern w:val="0"/>
          <w:sz w:val="30"/>
          <w:szCs w:val="30"/>
        </w:rPr>
        <w:t>“</w:t>
      </w:r>
      <w:r w:rsidRPr="007276EE">
        <w:rPr>
          <w:kern w:val="0"/>
          <w:sz w:val="30"/>
          <w:szCs w:val="30"/>
        </w:rPr>
        <w:t>健康中国</w:t>
      </w:r>
      <w:r w:rsidRPr="007276EE">
        <w:rPr>
          <w:kern w:val="0"/>
          <w:sz w:val="30"/>
          <w:szCs w:val="30"/>
        </w:rPr>
        <w:t>2030”</w:t>
      </w:r>
      <w:r w:rsidRPr="007276EE">
        <w:rPr>
          <w:kern w:val="0"/>
          <w:sz w:val="30"/>
          <w:szCs w:val="30"/>
        </w:rPr>
        <w:t>重大战略，牢固树立创新、协调、绿色、开放、共享五大发展理念，以人人享有基本医疗卫生服务为目标，持续深化医药卫生体制改革，坚持保基本、</w:t>
      </w:r>
      <w:r w:rsidRPr="007276EE">
        <w:rPr>
          <w:kern w:val="0"/>
          <w:sz w:val="30"/>
          <w:szCs w:val="30"/>
        </w:rPr>
        <w:lastRenderedPageBreak/>
        <w:t>强基层、建机制，进一步发挥卫生资源配置对卫生计生事业发展的保障促进作用，加快推进健康南阳建设，为建设历史文化南阳、中国优秀旅游南阳、园林城市南阳、生态宜居南阳和区域性中心城市提供坚强有力的健康保障。</w:t>
      </w:r>
    </w:p>
    <w:p w:rsidR="007276EE" w:rsidRPr="007276EE" w:rsidRDefault="007276EE" w:rsidP="000A3365">
      <w:pPr>
        <w:spacing w:line="580" w:lineRule="exact"/>
        <w:ind w:firstLineChars="200" w:firstLine="600"/>
        <w:contextualSpacing/>
        <w:rPr>
          <w:kern w:val="0"/>
          <w:sz w:val="30"/>
          <w:szCs w:val="30"/>
        </w:rPr>
      </w:pPr>
      <w:r w:rsidRPr="007276EE">
        <w:rPr>
          <w:rFonts w:eastAsia="华文楷体"/>
          <w:kern w:val="0"/>
          <w:sz w:val="30"/>
          <w:szCs w:val="30"/>
        </w:rPr>
        <w:t>二、总体目标</w:t>
      </w:r>
      <w:r w:rsidRPr="007276EE">
        <w:rPr>
          <w:kern w:val="0"/>
          <w:sz w:val="30"/>
          <w:szCs w:val="30"/>
        </w:rPr>
        <w:t xml:space="preserve"> </w:t>
      </w:r>
    </w:p>
    <w:p w:rsidR="007276EE" w:rsidRPr="007276EE" w:rsidRDefault="007276EE" w:rsidP="000A3365">
      <w:pPr>
        <w:spacing w:line="580" w:lineRule="exact"/>
        <w:ind w:firstLineChars="200" w:firstLine="600"/>
        <w:contextualSpacing/>
        <w:rPr>
          <w:kern w:val="0"/>
          <w:sz w:val="30"/>
          <w:szCs w:val="30"/>
        </w:rPr>
      </w:pPr>
      <w:r w:rsidRPr="007276EE">
        <w:rPr>
          <w:kern w:val="0"/>
          <w:sz w:val="30"/>
          <w:szCs w:val="30"/>
        </w:rPr>
        <w:t>规划期内，以</w:t>
      </w:r>
      <w:r w:rsidRPr="007276EE">
        <w:rPr>
          <w:kern w:val="0"/>
          <w:sz w:val="30"/>
          <w:szCs w:val="30"/>
        </w:rPr>
        <w:t>“</w:t>
      </w:r>
      <w:r w:rsidRPr="007276EE">
        <w:rPr>
          <w:kern w:val="0"/>
          <w:sz w:val="30"/>
          <w:szCs w:val="30"/>
        </w:rPr>
        <w:t>调结构、补短板，建秩序、促效率，升能级、建中心</w:t>
      </w:r>
      <w:r w:rsidRPr="007276EE">
        <w:rPr>
          <w:kern w:val="0"/>
          <w:sz w:val="30"/>
          <w:szCs w:val="30"/>
        </w:rPr>
        <w:t>”</w:t>
      </w:r>
      <w:r w:rsidRPr="007276EE">
        <w:rPr>
          <w:kern w:val="0"/>
          <w:sz w:val="30"/>
          <w:szCs w:val="30"/>
        </w:rPr>
        <w:t>为主线，加强供给、完善调控、深化改革，全面提升医疗卫生管理和服务水平，合理布局卫生资源，优化资源配置结构，增进资源利用效率，努力满足人民群众健康需求。</w:t>
      </w:r>
      <w:r w:rsidRPr="007276EE">
        <w:rPr>
          <w:kern w:val="0"/>
          <w:sz w:val="30"/>
          <w:szCs w:val="30"/>
        </w:rPr>
        <w:t xml:space="preserve"> </w:t>
      </w:r>
    </w:p>
    <w:p w:rsidR="007276EE" w:rsidRPr="007276EE" w:rsidRDefault="007276EE" w:rsidP="000A3365">
      <w:pPr>
        <w:spacing w:line="580" w:lineRule="exact"/>
        <w:ind w:firstLine="630"/>
        <w:contextualSpacing/>
        <w:rPr>
          <w:kern w:val="0"/>
          <w:sz w:val="30"/>
          <w:szCs w:val="30"/>
        </w:rPr>
      </w:pPr>
      <w:r w:rsidRPr="007276EE">
        <w:rPr>
          <w:kern w:val="0"/>
          <w:sz w:val="30"/>
          <w:szCs w:val="30"/>
        </w:rPr>
        <w:t>优化医疗卫生资源配置，提高资源利用效率，构建与我市经济社会发展水平相适应、与居民健康需求相匹配、与基本医保制度相衔接、结构完整、分工明确、功能互补、密切协作的整合型医疗卫生服务体系，满足人民群众多层次、多样化的健康需求，为实现</w:t>
      </w:r>
      <w:r w:rsidRPr="007276EE">
        <w:rPr>
          <w:kern w:val="0"/>
          <w:sz w:val="30"/>
          <w:szCs w:val="30"/>
        </w:rPr>
        <w:t>2020</w:t>
      </w:r>
      <w:r w:rsidRPr="007276EE">
        <w:rPr>
          <w:kern w:val="0"/>
          <w:sz w:val="30"/>
          <w:szCs w:val="30"/>
        </w:rPr>
        <w:t>年基本建立覆盖城乡居民的基本医疗卫生制度奠定坚实的基础。</w:t>
      </w:r>
    </w:p>
    <w:p w:rsidR="007276EE" w:rsidRPr="007276EE" w:rsidRDefault="007276EE" w:rsidP="000A3365">
      <w:pPr>
        <w:spacing w:line="580" w:lineRule="exact"/>
        <w:ind w:firstLine="630"/>
        <w:contextualSpacing/>
        <w:rPr>
          <w:rFonts w:eastAsia="华文楷体"/>
          <w:b/>
          <w:bCs/>
          <w:kern w:val="0"/>
          <w:sz w:val="30"/>
          <w:szCs w:val="30"/>
        </w:rPr>
      </w:pPr>
      <w:r w:rsidRPr="007276EE">
        <w:rPr>
          <w:kern w:val="0"/>
          <w:sz w:val="30"/>
          <w:szCs w:val="30"/>
        </w:rPr>
        <w:t>主要指标：到</w:t>
      </w:r>
      <w:r w:rsidRPr="007276EE">
        <w:rPr>
          <w:kern w:val="0"/>
          <w:sz w:val="30"/>
          <w:szCs w:val="30"/>
        </w:rPr>
        <w:t>2020</w:t>
      </w:r>
      <w:r w:rsidRPr="007276EE">
        <w:rPr>
          <w:kern w:val="0"/>
          <w:sz w:val="30"/>
          <w:szCs w:val="30"/>
        </w:rPr>
        <w:t>年，主要健康指标达到或高于全省平均水平，人均预期寿命在</w:t>
      </w:r>
      <w:r w:rsidRPr="007276EE">
        <w:rPr>
          <w:kern w:val="0"/>
          <w:sz w:val="30"/>
          <w:szCs w:val="30"/>
        </w:rPr>
        <w:t>2015</w:t>
      </w:r>
      <w:r w:rsidRPr="007276EE">
        <w:rPr>
          <w:kern w:val="0"/>
          <w:sz w:val="30"/>
          <w:szCs w:val="30"/>
        </w:rPr>
        <w:t>年基础上提高</w:t>
      </w:r>
      <w:r w:rsidRPr="007276EE">
        <w:rPr>
          <w:kern w:val="0"/>
          <w:sz w:val="30"/>
          <w:szCs w:val="30"/>
        </w:rPr>
        <w:t>2.5</w:t>
      </w:r>
      <w:r w:rsidRPr="007276EE">
        <w:rPr>
          <w:kern w:val="0"/>
          <w:sz w:val="30"/>
          <w:szCs w:val="30"/>
        </w:rPr>
        <w:t>岁，达到</w:t>
      </w:r>
      <w:r w:rsidRPr="007276EE">
        <w:rPr>
          <w:kern w:val="0"/>
          <w:sz w:val="30"/>
          <w:szCs w:val="30"/>
        </w:rPr>
        <w:t>77.5</w:t>
      </w:r>
      <w:r w:rsidRPr="007276EE">
        <w:rPr>
          <w:kern w:val="0"/>
          <w:sz w:val="30"/>
          <w:szCs w:val="30"/>
        </w:rPr>
        <w:t>岁；婴儿死亡率控制在</w:t>
      </w:r>
      <w:r w:rsidRPr="007276EE">
        <w:rPr>
          <w:kern w:val="0"/>
          <w:sz w:val="30"/>
          <w:szCs w:val="30"/>
        </w:rPr>
        <w:t>4.3‰</w:t>
      </w:r>
      <w:r w:rsidRPr="007276EE">
        <w:rPr>
          <w:kern w:val="0"/>
          <w:sz w:val="30"/>
          <w:szCs w:val="30"/>
        </w:rPr>
        <w:t>以下；</w:t>
      </w:r>
      <w:r w:rsidRPr="007276EE">
        <w:rPr>
          <w:kern w:val="0"/>
          <w:sz w:val="30"/>
          <w:szCs w:val="30"/>
        </w:rPr>
        <w:t>5</w:t>
      </w:r>
      <w:r w:rsidRPr="007276EE">
        <w:rPr>
          <w:kern w:val="0"/>
          <w:sz w:val="30"/>
          <w:szCs w:val="30"/>
        </w:rPr>
        <w:t>岁以下儿童死亡率控制在</w:t>
      </w:r>
      <w:r w:rsidRPr="007276EE">
        <w:rPr>
          <w:kern w:val="0"/>
          <w:sz w:val="30"/>
          <w:szCs w:val="30"/>
        </w:rPr>
        <w:t>5.5‰</w:t>
      </w:r>
      <w:r w:rsidRPr="007276EE">
        <w:rPr>
          <w:kern w:val="0"/>
          <w:sz w:val="30"/>
          <w:szCs w:val="30"/>
        </w:rPr>
        <w:t>以下；孕产妇死亡率控制在</w:t>
      </w:r>
      <w:r w:rsidRPr="007276EE">
        <w:rPr>
          <w:kern w:val="0"/>
          <w:sz w:val="30"/>
          <w:szCs w:val="30"/>
        </w:rPr>
        <w:t>10.0/10</w:t>
      </w:r>
      <w:r w:rsidRPr="007276EE">
        <w:rPr>
          <w:kern w:val="0"/>
          <w:sz w:val="30"/>
          <w:szCs w:val="30"/>
        </w:rPr>
        <w:t>万以下。人均医疗保障水平与经济发展水平基本适应。</w:t>
      </w:r>
    </w:p>
    <w:p w:rsidR="007276EE" w:rsidRPr="007276EE" w:rsidRDefault="007276EE" w:rsidP="000A3365">
      <w:pPr>
        <w:pStyle w:val="a6"/>
        <w:widowControl w:val="0"/>
        <w:spacing w:before="0" w:beforeAutospacing="0" w:after="0" w:afterAutospacing="0" w:line="580" w:lineRule="exact"/>
        <w:ind w:firstLine="420"/>
        <w:contextualSpacing/>
        <w:rPr>
          <w:rFonts w:ascii="Times New Roman" w:eastAsia="华文楷体" w:hAnsi="Times New Roman"/>
          <w:b/>
          <w:bCs/>
          <w:sz w:val="30"/>
          <w:szCs w:val="30"/>
        </w:rPr>
      </w:pPr>
      <w:r w:rsidRPr="007276EE">
        <w:rPr>
          <w:rFonts w:ascii="Times New Roman" w:eastAsia="华文楷体" w:hAnsi="Times New Roman"/>
          <w:b/>
          <w:bCs/>
          <w:sz w:val="30"/>
          <w:szCs w:val="30"/>
        </w:rPr>
        <w:t xml:space="preserve"> </w:t>
      </w:r>
      <w:r w:rsidRPr="007276EE">
        <w:rPr>
          <w:rFonts w:ascii="Times New Roman" w:eastAsia="华文楷体" w:hAnsi="Times New Roman"/>
          <w:sz w:val="30"/>
          <w:szCs w:val="30"/>
        </w:rPr>
        <w:t>三、基本原则</w:t>
      </w:r>
      <w:r w:rsidRPr="007276EE">
        <w:rPr>
          <w:rFonts w:ascii="Times New Roman" w:eastAsia="华文楷体" w:hAnsi="Times New Roman"/>
          <w:sz w:val="30"/>
          <w:szCs w:val="30"/>
        </w:rPr>
        <w:t xml:space="preserve"> </w:t>
      </w:r>
    </w:p>
    <w:p w:rsidR="007276EE" w:rsidRPr="007276EE" w:rsidRDefault="007276EE" w:rsidP="000A3365">
      <w:pPr>
        <w:pStyle w:val="a6"/>
        <w:widowControl w:val="0"/>
        <w:spacing w:before="0" w:beforeAutospacing="0" w:after="0" w:afterAutospacing="0" w:line="580" w:lineRule="exact"/>
        <w:ind w:firstLine="420"/>
        <w:contextualSpacing/>
        <w:rPr>
          <w:rFonts w:ascii="仿宋_GB2312" w:eastAsia="仿宋_GB2312" w:hAnsi="仿宋_GB2312" w:cs="仿宋_GB2312"/>
          <w:sz w:val="30"/>
          <w:szCs w:val="30"/>
        </w:rPr>
      </w:pPr>
      <w:r w:rsidRPr="007276EE">
        <w:rPr>
          <w:rFonts w:ascii="Times New Roman" w:eastAsia="仿宋_GB2312" w:hAnsi="Times New Roman"/>
          <w:sz w:val="30"/>
          <w:szCs w:val="30"/>
        </w:rPr>
        <w:t xml:space="preserve"> </w:t>
      </w:r>
      <w:r w:rsidRPr="007276EE">
        <w:rPr>
          <w:rFonts w:ascii="仿宋_GB2312" w:eastAsia="仿宋_GB2312" w:hAnsi="仿宋_GB2312" w:cs="仿宋_GB2312" w:hint="eastAsia"/>
          <w:b/>
          <w:bCs/>
          <w:sz w:val="30"/>
          <w:szCs w:val="30"/>
        </w:rPr>
        <w:t>（一）关注民生，以人为本。</w:t>
      </w:r>
      <w:r w:rsidRPr="007276EE">
        <w:rPr>
          <w:rFonts w:ascii="仿宋_GB2312" w:eastAsia="仿宋_GB2312" w:hAnsi="仿宋_GB2312" w:cs="仿宋_GB2312" w:hint="eastAsia"/>
          <w:sz w:val="30"/>
          <w:szCs w:val="30"/>
        </w:rPr>
        <w:t>突出人的主体地位，围绕人的健康开展资源配置。强调人的能动作用，把调动人员积极性和人力资源配</w:t>
      </w:r>
      <w:r w:rsidRPr="007276EE">
        <w:rPr>
          <w:rFonts w:ascii="仿宋_GB2312" w:eastAsia="仿宋_GB2312" w:hAnsi="仿宋_GB2312" w:cs="仿宋_GB2312" w:hint="eastAsia"/>
          <w:sz w:val="30"/>
          <w:szCs w:val="30"/>
        </w:rPr>
        <w:lastRenderedPageBreak/>
        <w:t xml:space="preserve">套作为调整资源结构的必要条件。 </w:t>
      </w:r>
    </w:p>
    <w:p w:rsidR="007276EE" w:rsidRPr="007276EE" w:rsidRDefault="007276EE" w:rsidP="000A3365">
      <w:pPr>
        <w:pStyle w:val="a6"/>
        <w:widowControl w:val="0"/>
        <w:spacing w:before="0" w:beforeAutospacing="0" w:after="0" w:afterAutospacing="0" w:line="580" w:lineRule="exact"/>
        <w:ind w:firstLine="420"/>
        <w:contextualSpacing/>
        <w:rPr>
          <w:rFonts w:ascii="仿宋_GB2312" w:eastAsia="仿宋_GB2312" w:hAnsi="仿宋_GB2312" w:cs="仿宋_GB2312"/>
          <w:sz w:val="30"/>
          <w:szCs w:val="30"/>
        </w:rPr>
      </w:pPr>
      <w:r w:rsidRPr="007276EE">
        <w:rPr>
          <w:rFonts w:ascii="仿宋_GB2312" w:eastAsia="仿宋_GB2312" w:hAnsi="仿宋_GB2312" w:cs="仿宋_GB2312" w:hint="eastAsia"/>
          <w:sz w:val="30"/>
          <w:szCs w:val="30"/>
        </w:rPr>
        <w:t xml:space="preserve"> </w:t>
      </w:r>
      <w:r w:rsidRPr="007276EE">
        <w:rPr>
          <w:rFonts w:ascii="仿宋_GB2312" w:eastAsia="仿宋_GB2312" w:hAnsi="仿宋_GB2312" w:cs="仿宋_GB2312" w:hint="eastAsia"/>
          <w:b/>
          <w:bCs/>
          <w:sz w:val="30"/>
          <w:szCs w:val="30"/>
        </w:rPr>
        <w:t>（二）政府主导，社会参与。</w:t>
      </w:r>
      <w:r w:rsidRPr="007276EE">
        <w:rPr>
          <w:rFonts w:ascii="仿宋_GB2312" w:eastAsia="仿宋_GB2312" w:hAnsi="仿宋_GB2312" w:cs="仿宋_GB2312" w:hint="eastAsia"/>
          <w:sz w:val="30"/>
          <w:szCs w:val="30"/>
        </w:rPr>
        <w:t xml:space="preserve">强化政府对基本、基层、基础卫生资源的责任和投入，加强宏观调控和统筹管理，并有效动员、利用社会资源，增加供给，促进有序竞争，实现公平和效率的统一。 </w:t>
      </w:r>
    </w:p>
    <w:p w:rsidR="007276EE" w:rsidRPr="007276EE" w:rsidRDefault="007276EE" w:rsidP="000A3365">
      <w:pPr>
        <w:pStyle w:val="a6"/>
        <w:widowControl w:val="0"/>
        <w:spacing w:before="0" w:beforeAutospacing="0" w:after="0" w:afterAutospacing="0" w:line="580" w:lineRule="exact"/>
        <w:ind w:firstLine="420"/>
        <w:contextualSpacing/>
        <w:rPr>
          <w:rFonts w:ascii="仿宋_GB2312" w:eastAsia="仿宋_GB2312" w:hAnsi="仿宋_GB2312" w:cs="仿宋_GB2312"/>
          <w:sz w:val="30"/>
          <w:szCs w:val="30"/>
        </w:rPr>
      </w:pPr>
      <w:r w:rsidRPr="007276EE">
        <w:rPr>
          <w:rFonts w:ascii="仿宋_GB2312" w:eastAsia="仿宋_GB2312" w:hAnsi="仿宋_GB2312" w:cs="仿宋_GB2312" w:hint="eastAsia"/>
          <w:sz w:val="30"/>
          <w:szCs w:val="30"/>
        </w:rPr>
        <w:t xml:space="preserve"> </w:t>
      </w:r>
      <w:r w:rsidRPr="007276EE">
        <w:rPr>
          <w:rFonts w:ascii="仿宋_GB2312" w:eastAsia="仿宋_GB2312" w:hAnsi="仿宋_GB2312" w:cs="仿宋_GB2312" w:hint="eastAsia"/>
          <w:b/>
          <w:bCs/>
          <w:sz w:val="30"/>
          <w:szCs w:val="30"/>
        </w:rPr>
        <w:t>（三）盘活存量、发展增量。</w:t>
      </w:r>
      <w:r w:rsidRPr="007276EE">
        <w:rPr>
          <w:rFonts w:ascii="仿宋_GB2312" w:eastAsia="仿宋_GB2312" w:hAnsi="仿宋_GB2312" w:cs="仿宋_GB2312" w:hint="eastAsia"/>
          <w:sz w:val="30"/>
          <w:szCs w:val="30"/>
        </w:rPr>
        <w:t xml:space="preserve">进一步优化已有卫生资源的总体结构和布局，补短板、促协作，推进资源整合，并着眼于经济社会转型发展，促进卫生资源的增量提质，发挥规模效应和辐射效应。 </w:t>
      </w:r>
    </w:p>
    <w:p w:rsidR="007276EE" w:rsidRPr="007276EE" w:rsidRDefault="007276EE" w:rsidP="000A3365">
      <w:pPr>
        <w:pStyle w:val="a6"/>
        <w:widowControl w:val="0"/>
        <w:spacing w:before="0" w:beforeAutospacing="0" w:after="0" w:afterAutospacing="0" w:line="580" w:lineRule="exact"/>
        <w:ind w:firstLine="420"/>
        <w:contextualSpacing/>
        <w:rPr>
          <w:rFonts w:ascii="仿宋_GB2312" w:eastAsia="仿宋_GB2312" w:hAnsi="仿宋_GB2312" w:cs="仿宋_GB2312"/>
          <w:sz w:val="30"/>
          <w:szCs w:val="30"/>
        </w:rPr>
      </w:pPr>
      <w:r w:rsidRPr="007276EE">
        <w:rPr>
          <w:rFonts w:ascii="仿宋_GB2312" w:eastAsia="仿宋_GB2312" w:hAnsi="仿宋_GB2312" w:cs="仿宋_GB2312" w:hint="eastAsia"/>
          <w:sz w:val="30"/>
          <w:szCs w:val="30"/>
        </w:rPr>
        <w:t xml:space="preserve"> </w:t>
      </w:r>
      <w:r w:rsidRPr="007276EE">
        <w:rPr>
          <w:rFonts w:ascii="仿宋_GB2312" w:eastAsia="仿宋_GB2312" w:hAnsi="仿宋_GB2312" w:cs="仿宋_GB2312" w:hint="eastAsia"/>
          <w:b/>
          <w:bCs/>
          <w:sz w:val="30"/>
          <w:szCs w:val="30"/>
        </w:rPr>
        <w:t>（四）提升能级，内涵发展。</w:t>
      </w:r>
      <w:r w:rsidRPr="007276EE">
        <w:rPr>
          <w:rFonts w:ascii="仿宋_GB2312" w:eastAsia="仿宋_GB2312" w:hAnsi="仿宋_GB2312" w:cs="仿宋_GB2312" w:hint="eastAsia"/>
          <w:sz w:val="30"/>
          <w:szCs w:val="30"/>
        </w:rPr>
        <w:t xml:space="preserve">瞄准国内质子治疗中心等建设目标，不仅注重硬件建设，更注重科研、人才、制度环境等软件建设，吸引、集聚高端优质资源，提升南阳市医疗卫生服务能级。 </w:t>
      </w:r>
    </w:p>
    <w:p w:rsidR="007276EE" w:rsidRPr="007276EE" w:rsidRDefault="007276EE" w:rsidP="000A3365">
      <w:pPr>
        <w:pStyle w:val="a6"/>
        <w:widowControl w:val="0"/>
        <w:spacing w:before="0" w:beforeAutospacing="0" w:after="0" w:afterAutospacing="0" w:line="580" w:lineRule="exact"/>
        <w:ind w:firstLine="420"/>
        <w:contextualSpacing/>
        <w:rPr>
          <w:rFonts w:ascii="仿宋_GB2312" w:eastAsia="仿宋_GB2312" w:hAnsi="仿宋_GB2312" w:cs="仿宋_GB2312"/>
          <w:sz w:val="30"/>
          <w:szCs w:val="30"/>
        </w:rPr>
      </w:pPr>
      <w:r w:rsidRPr="007276EE">
        <w:rPr>
          <w:rFonts w:ascii="仿宋_GB2312" w:eastAsia="仿宋_GB2312" w:hAnsi="仿宋_GB2312" w:cs="仿宋_GB2312" w:hint="eastAsia"/>
          <w:sz w:val="30"/>
          <w:szCs w:val="30"/>
        </w:rPr>
        <w:t xml:space="preserve"> </w:t>
      </w:r>
      <w:r w:rsidRPr="007276EE">
        <w:rPr>
          <w:rFonts w:ascii="仿宋_GB2312" w:eastAsia="仿宋_GB2312" w:hAnsi="仿宋_GB2312" w:cs="仿宋_GB2312" w:hint="eastAsia"/>
          <w:b/>
          <w:bCs/>
          <w:sz w:val="30"/>
          <w:szCs w:val="30"/>
        </w:rPr>
        <w:t>（五）中西并重，优势互补。</w:t>
      </w:r>
      <w:r w:rsidRPr="007276EE">
        <w:rPr>
          <w:rFonts w:ascii="仿宋_GB2312" w:eastAsia="仿宋_GB2312" w:hAnsi="仿宋_GB2312" w:cs="仿宋_GB2312" w:hint="eastAsia"/>
          <w:sz w:val="30"/>
          <w:szCs w:val="30"/>
        </w:rPr>
        <w:t>坚持传承与创新相结合，发挥中医药特色优势，促进中医药产业化，积极推进中医药生产现代化，努力实现由中医药大市向中医药强市跨越。</w:t>
      </w:r>
    </w:p>
    <w:p w:rsidR="007276EE" w:rsidRPr="007276EE" w:rsidRDefault="007276EE" w:rsidP="000A3365">
      <w:pPr>
        <w:pStyle w:val="a6"/>
        <w:widowControl w:val="0"/>
        <w:spacing w:beforeLines="50" w:beforeAutospacing="0" w:afterLines="50" w:afterAutospacing="0" w:line="580" w:lineRule="exact"/>
        <w:ind w:firstLine="420"/>
        <w:contextualSpacing/>
        <w:jc w:val="center"/>
        <w:rPr>
          <w:rFonts w:ascii="Times New Roman" w:eastAsia="仿宋_GB2312" w:hAnsi="Times New Roman"/>
          <w:sz w:val="30"/>
          <w:szCs w:val="30"/>
        </w:rPr>
      </w:pPr>
      <w:r w:rsidRPr="007276EE">
        <w:rPr>
          <w:rFonts w:ascii="黑体" w:eastAsia="黑体" w:hAnsi="黑体" w:cs="黑体" w:hint="eastAsia"/>
          <w:sz w:val="30"/>
          <w:szCs w:val="30"/>
        </w:rPr>
        <w:t>第三节  主要任务</w:t>
      </w:r>
    </w:p>
    <w:p w:rsidR="007276EE" w:rsidRPr="007276EE" w:rsidRDefault="007276EE" w:rsidP="000A3365">
      <w:pPr>
        <w:pStyle w:val="a6"/>
        <w:widowControl w:val="0"/>
        <w:spacing w:before="0" w:beforeAutospacing="0" w:after="0" w:afterAutospacing="0" w:line="580" w:lineRule="exact"/>
        <w:ind w:firstLine="420"/>
        <w:contextualSpacing/>
        <w:rPr>
          <w:rFonts w:ascii="Times New Roman" w:eastAsia="仿宋_GB2312" w:hAnsi="Times New Roman"/>
          <w:sz w:val="30"/>
          <w:szCs w:val="30"/>
        </w:rPr>
      </w:pPr>
      <w:r w:rsidRPr="007276EE">
        <w:rPr>
          <w:rFonts w:ascii="Times New Roman" w:eastAsia="华文楷体" w:hAnsi="Times New Roman"/>
          <w:b/>
          <w:bCs/>
          <w:sz w:val="30"/>
          <w:szCs w:val="30"/>
        </w:rPr>
        <w:t xml:space="preserve"> </w:t>
      </w:r>
      <w:r w:rsidRPr="007276EE">
        <w:rPr>
          <w:rFonts w:ascii="Times New Roman" w:eastAsia="华文楷体" w:hAnsi="Times New Roman"/>
          <w:sz w:val="30"/>
          <w:szCs w:val="30"/>
        </w:rPr>
        <w:t>一、资源配置上调结构、补短板</w:t>
      </w:r>
      <w:r w:rsidRPr="007276EE">
        <w:rPr>
          <w:rFonts w:ascii="Times New Roman" w:eastAsia="仿宋_GB2312" w:hAnsi="Times New Roman"/>
          <w:sz w:val="30"/>
          <w:szCs w:val="30"/>
        </w:rPr>
        <w:t xml:space="preserve"> </w:t>
      </w:r>
    </w:p>
    <w:p w:rsidR="007276EE" w:rsidRPr="007276EE" w:rsidRDefault="007276EE" w:rsidP="000A3365">
      <w:pPr>
        <w:pStyle w:val="a6"/>
        <w:widowControl w:val="0"/>
        <w:spacing w:before="0" w:beforeAutospacing="0" w:after="0" w:afterAutospacing="0" w:line="580" w:lineRule="exact"/>
        <w:ind w:firstLine="420"/>
        <w:contextualSpacing/>
        <w:jc w:val="both"/>
        <w:rPr>
          <w:rFonts w:ascii="仿宋_GB2312" w:eastAsia="仿宋_GB2312" w:hAnsi="仿宋_GB2312" w:cs="仿宋_GB2312"/>
          <w:sz w:val="30"/>
          <w:szCs w:val="30"/>
        </w:rPr>
      </w:pPr>
      <w:r w:rsidRPr="007276EE">
        <w:rPr>
          <w:rFonts w:ascii="仿宋_GB2312" w:eastAsia="仿宋_GB2312" w:hAnsi="仿宋_GB2312" w:cs="仿宋_GB2312" w:hint="eastAsia"/>
          <w:sz w:val="30"/>
          <w:szCs w:val="30"/>
        </w:rPr>
        <w:t xml:space="preserve"> </w:t>
      </w:r>
      <w:r w:rsidRPr="007276EE">
        <w:rPr>
          <w:rFonts w:ascii="仿宋_GB2312" w:eastAsia="仿宋_GB2312" w:hAnsi="仿宋_GB2312" w:cs="仿宋_GB2312" w:hint="eastAsia"/>
          <w:b/>
          <w:bCs/>
          <w:sz w:val="30"/>
          <w:szCs w:val="30"/>
        </w:rPr>
        <w:t>（一）促进基本医疗卫生资源均衡布局。</w:t>
      </w:r>
      <w:r w:rsidRPr="007276EE">
        <w:rPr>
          <w:rFonts w:ascii="仿宋_GB2312" w:eastAsia="仿宋_GB2312" w:hAnsi="仿宋_GB2312" w:cs="仿宋_GB2312" w:hint="eastAsia"/>
          <w:sz w:val="30"/>
          <w:szCs w:val="30"/>
        </w:rPr>
        <w:t xml:space="preserve">根据南阳市行政区划调整、人口规模布局变化和功能区的设置，适时配置、调整医疗卫生机构及相关卫生资源。鼓励通过迁建、合并、转型等多种形式，推动资源从配置富余地区向配置短缺地区转移。加强基础医疗服务网络和公共卫生基层网络建设。 </w:t>
      </w:r>
    </w:p>
    <w:p w:rsidR="007276EE" w:rsidRPr="007276EE" w:rsidRDefault="007276EE" w:rsidP="000A3365">
      <w:pPr>
        <w:pStyle w:val="a6"/>
        <w:widowControl w:val="0"/>
        <w:spacing w:before="0" w:beforeAutospacing="0" w:after="0" w:afterAutospacing="0" w:line="580" w:lineRule="exact"/>
        <w:ind w:firstLine="420"/>
        <w:contextualSpacing/>
        <w:rPr>
          <w:rFonts w:ascii="仿宋_GB2312" w:eastAsia="仿宋_GB2312" w:hAnsi="仿宋_GB2312" w:cs="仿宋_GB2312"/>
          <w:sz w:val="30"/>
          <w:szCs w:val="30"/>
        </w:rPr>
      </w:pPr>
      <w:r w:rsidRPr="007276EE">
        <w:rPr>
          <w:rFonts w:ascii="仿宋_GB2312" w:eastAsia="仿宋_GB2312" w:hAnsi="仿宋_GB2312" w:cs="仿宋_GB2312" w:hint="eastAsia"/>
          <w:b/>
          <w:bCs/>
          <w:sz w:val="30"/>
          <w:szCs w:val="30"/>
        </w:rPr>
        <w:t xml:space="preserve"> （二）进一步加强乡镇卫生院（社区卫生服务）网底功能。</w:t>
      </w:r>
      <w:r w:rsidRPr="007276EE">
        <w:rPr>
          <w:rFonts w:ascii="仿宋_GB2312" w:eastAsia="仿宋_GB2312" w:hAnsi="仿宋_GB2312" w:cs="仿宋_GB2312" w:hint="eastAsia"/>
          <w:sz w:val="30"/>
          <w:szCs w:val="30"/>
        </w:rPr>
        <w:t>发挥乡镇卫生院（社区卫生服务中心）服务和管理平台作用，整合利用相</w:t>
      </w:r>
      <w:r w:rsidRPr="007276EE">
        <w:rPr>
          <w:rFonts w:ascii="仿宋_GB2312" w:eastAsia="仿宋_GB2312" w:hAnsi="仿宋_GB2312" w:cs="仿宋_GB2312" w:hint="eastAsia"/>
          <w:sz w:val="30"/>
          <w:szCs w:val="30"/>
        </w:rPr>
        <w:lastRenderedPageBreak/>
        <w:t xml:space="preserve">关医疗卫生资源，把更多的财力、物力投向基层、投向社区，更多的人才、技术引向基层、引向社区，实现服务重心向基层下沉。推行家庭医生制服务，与居民建立相对稳定的服务关系。 </w:t>
      </w:r>
    </w:p>
    <w:p w:rsidR="007276EE" w:rsidRPr="007276EE" w:rsidRDefault="007276EE" w:rsidP="000A3365">
      <w:pPr>
        <w:pStyle w:val="a6"/>
        <w:widowControl w:val="0"/>
        <w:spacing w:before="0" w:beforeAutospacing="0" w:after="0" w:afterAutospacing="0" w:line="580" w:lineRule="exact"/>
        <w:ind w:firstLine="420"/>
        <w:contextualSpacing/>
        <w:rPr>
          <w:rFonts w:ascii="仿宋_GB2312" w:eastAsia="仿宋_GB2312" w:hAnsi="仿宋_GB2312" w:cs="仿宋_GB2312"/>
          <w:sz w:val="30"/>
          <w:szCs w:val="30"/>
        </w:rPr>
      </w:pPr>
      <w:r w:rsidRPr="007276EE">
        <w:rPr>
          <w:rFonts w:ascii="仿宋_GB2312" w:eastAsia="仿宋_GB2312" w:hAnsi="仿宋_GB2312" w:cs="仿宋_GB2312" w:hint="eastAsia"/>
          <w:sz w:val="30"/>
          <w:szCs w:val="30"/>
        </w:rPr>
        <w:t xml:space="preserve"> </w:t>
      </w:r>
      <w:r w:rsidRPr="007276EE">
        <w:rPr>
          <w:rFonts w:ascii="仿宋_GB2312" w:eastAsia="仿宋_GB2312" w:hAnsi="仿宋_GB2312" w:cs="仿宋_GB2312" w:hint="eastAsia"/>
          <w:b/>
          <w:bCs/>
          <w:sz w:val="30"/>
          <w:szCs w:val="30"/>
        </w:rPr>
        <w:t>（三）提升公共卫生资源的质量水平。</w:t>
      </w:r>
      <w:r w:rsidRPr="007276EE">
        <w:rPr>
          <w:rFonts w:ascii="仿宋_GB2312" w:eastAsia="仿宋_GB2312" w:hAnsi="仿宋_GB2312" w:cs="仿宋_GB2312" w:hint="eastAsia"/>
          <w:sz w:val="30"/>
          <w:szCs w:val="30"/>
        </w:rPr>
        <w:t xml:space="preserve">加强市、区县专业公共卫生机构建设，健全运行管理机制，做到任务明确、能级清晰。提高专业公共卫生机构疾病防控策略制定和组织实施的水平，提高实验室检验检测能力。加强慢性病防治，争取建设慢性病综合防控示范市，建立脑卒中防治体系。完善健康教育和促进网络，建设数字化健康教育和传播平台。进一步健全突发事件医疗卫生应急救援体系。 </w:t>
      </w:r>
    </w:p>
    <w:p w:rsidR="007276EE" w:rsidRPr="007276EE" w:rsidRDefault="007276EE" w:rsidP="000A3365">
      <w:pPr>
        <w:pStyle w:val="a6"/>
        <w:widowControl w:val="0"/>
        <w:spacing w:before="0" w:beforeAutospacing="0" w:after="0" w:afterAutospacing="0" w:line="580" w:lineRule="exact"/>
        <w:ind w:firstLine="420"/>
        <w:contextualSpacing/>
        <w:rPr>
          <w:rFonts w:ascii="仿宋_GB2312" w:eastAsia="仿宋_GB2312" w:hAnsi="仿宋_GB2312" w:cs="仿宋_GB2312"/>
          <w:sz w:val="30"/>
          <w:szCs w:val="30"/>
        </w:rPr>
      </w:pPr>
      <w:r w:rsidRPr="007276EE">
        <w:rPr>
          <w:rFonts w:ascii="仿宋_GB2312" w:eastAsia="仿宋_GB2312" w:hAnsi="仿宋_GB2312" w:cs="仿宋_GB2312" w:hint="eastAsia"/>
          <w:b/>
          <w:bCs/>
          <w:sz w:val="30"/>
          <w:szCs w:val="30"/>
        </w:rPr>
        <w:t>（四）加强短缺和社会办卫生资源配置。</w:t>
      </w:r>
      <w:r w:rsidRPr="007276EE">
        <w:rPr>
          <w:rFonts w:ascii="仿宋_GB2312" w:eastAsia="仿宋_GB2312" w:hAnsi="仿宋_GB2312" w:cs="仿宋_GB2312" w:hint="eastAsia"/>
          <w:sz w:val="30"/>
          <w:szCs w:val="30"/>
        </w:rPr>
        <w:t xml:space="preserve">健全医疗养老护理服务体系，发展专业康复医疗机构，在二级医院设立康复、老年护理床位，实施治疗、康复、护理床位分类管理政策。加强综合医院产科、儿科设置，建立产科、儿科床位调整卫生部门核准制度。增加县区精神卫生床位，在乡镇卫生院设立精神科门诊。加强院前急救三级网络建设。调整和新增卫生资源优先考虑社会资本，鼓励社会资本参与公立医疗机构改制。 </w:t>
      </w:r>
    </w:p>
    <w:p w:rsidR="007276EE" w:rsidRPr="007276EE" w:rsidRDefault="007276EE" w:rsidP="000A3365">
      <w:pPr>
        <w:pStyle w:val="a6"/>
        <w:widowControl w:val="0"/>
        <w:spacing w:before="0" w:beforeAutospacing="0" w:after="0" w:afterAutospacing="0" w:line="580" w:lineRule="exact"/>
        <w:ind w:firstLine="420"/>
        <w:contextualSpacing/>
        <w:rPr>
          <w:rFonts w:ascii="仿宋_GB2312" w:eastAsia="仿宋_GB2312" w:hAnsi="仿宋_GB2312" w:cs="仿宋_GB2312"/>
          <w:sz w:val="30"/>
          <w:szCs w:val="30"/>
        </w:rPr>
      </w:pPr>
      <w:r w:rsidRPr="007276EE">
        <w:rPr>
          <w:rFonts w:ascii="仿宋_GB2312" w:eastAsia="仿宋_GB2312" w:hAnsi="仿宋_GB2312" w:cs="仿宋_GB2312" w:hint="eastAsia"/>
          <w:sz w:val="30"/>
          <w:szCs w:val="30"/>
        </w:rPr>
        <w:t xml:space="preserve"> </w:t>
      </w:r>
      <w:r w:rsidRPr="007276EE">
        <w:rPr>
          <w:rFonts w:ascii="仿宋_GB2312" w:eastAsia="仿宋_GB2312" w:hAnsi="仿宋_GB2312" w:cs="仿宋_GB2312" w:hint="eastAsia"/>
          <w:b/>
          <w:bCs/>
          <w:sz w:val="30"/>
          <w:szCs w:val="30"/>
        </w:rPr>
        <w:t>（五）优化卫生人力结构。</w:t>
      </w:r>
      <w:r w:rsidRPr="007276EE">
        <w:rPr>
          <w:rFonts w:ascii="仿宋_GB2312" w:eastAsia="仿宋_GB2312" w:hAnsi="仿宋_GB2312" w:cs="仿宋_GB2312" w:hint="eastAsia"/>
          <w:sz w:val="30"/>
          <w:szCs w:val="30"/>
        </w:rPr>
        <w:t>按照卫生事业发展需求，完善卫生人力资源储备机制，前瞻性地制订并落实医学生培养计划。加强儿科医师、精神科医师、护士等紧缺人才队伍建设。加快心理治疗师、康复治疗师、医务社工等新型队伍建设。进一步完善住院医师、全科医师的规范化培训，建立专科医师和公共卫生医师规范化培训制度。推动人力资源下沉基层，引导具有一定资质的执业医师以全职或兼职的形</w:t>
      </w:r>
      <w:r w:rsidRPr="007276EE">
        <w:rPr>
          <w:rFonts w:ascii="仿宋_GB2312" w:eastAsia="仿宋_GB2312" w:hAnsi="仿宋_GB2312" w:cs="仿宋_GB2312" w:hint="eastAsia"/>
          <w:sz w:val="30"/>
          <w:szCs w:val="30"/>
        </w:rPr>
        <w:lastRenderedPageBreak/>
        <w:t xml:space="preserve">式充实家庭医生队伍。规范护理员培训。 </w:t>
      </w:r>
    </w:p>
    <w:p w:rsidR="007276EE" w:rsidRPr="007276EE" w:rsidRDefault="007276EE" w:rsidP="000A3365">
      <w:pPr>
        <w:pStyle w:val="a6"/>
        <w:widowControl w:val="0"/>
        <w:spacing w:before="0" w:beforeAutospacing="0" w:after="0" w:afterAutospacing="0" w:line="580" w:lineRule="exact"/>
        <w:ind w:firstLine="726"/>
        <w:contextualSpacing/>
        <w:rPr>
          <w:rFonts w:ascii="Times New Roman" w:eastAsia="仿宋_GB2312" w:hAnsi="Times New Roman"/>
          <w:sz w:val="30"/>
          <w:szCs w:val="30"/>
        </w:rPr>
      </w:pPr>
      <w:r w:rsidRPr="007276EE">
        <w:rPr>
          <w:rFonts w:ascii="楷体_GB2312" w:eastAsia="楷体_GB2312" w:hAnsi="楷体_GB2312" w:cs="楷体_GB2312" w:hint="eastAsia"/>
          <w:sz w:val="30"/>
          <w:szCs w:val="30"/>
        </w:rPr>
        <w:t>二、资源利用上建秩序、促效率</w:t>
      </w:r>
      <w:r w:rsidRPr="007276EE">
        <w:rPr>
          <w:rFonts w:ascii="Times New Roman" w:eastAsia="华文楷体" w:hAnsi="Times New Roman"/>
          <w:b/>
          <w:bCs/>
          <w:sz w:val="30"/>
          <w:szCs w:val="30"/>
        </w:rPr>
        <w:t xml:space="preserve"> </w:t>
      </w:r>
    </w:p>
    <w:p w:rsidR="007276EE" w:rsidRPr="007276EE" w:rsidRDefault="007276EE" w:rsidP="000A3365">
      <w:pPr>
        <w:pStyle w:val="a6"/>
        <w:widowControl w:val="0"/>
        <w:spacing w:before="0" w:beforeAutospacing="0" w:after="0" w:afterAutospacing="0" w:line="580" w:lineRule="exact"/>
        <w:ind w:firstLine="420"/>
        <w:contextualSpacing/>
        <w:rPr>
          <w:rFonts w:ascii="仿宋_GB2312" w:eastAsia="仿宋_GB2312" w:hAnsi="仿宋_GB2312" w:cs="仿宋_GB2312"/>
          <w:sz w:val="30"/>
          <w:szCs w:val="30"/>
        </w:rPr>
      </w:pPr>
      <w:r w:rsidRPr="007276EE">
        <w:rPr>
          <w:rFonts w:ascii="仿宋_GB2312" w:eastAsia="仿宋_GB2312" w:hAnsi="仿宋_GB2312" w:cs="仿宋_GB2312" w:hint="eastAsia"/>
          <w:sz w:val="30"/>
          <w:szCs w:val="30"/>
        </w:rPr>
        <w:t xml:space="preserve"> </w:t>
      </w:r>
      <w:r w:rsidRPr="007276EE">
        <w:rPr>
          <w:rFonts w:ascii="仿宋_GB2312" w:eastAsia="仿宋_GB2312" w:hAnsi="仿宋_GB2312" w:cs="仿宋_GB2312" w:hint="eastAsia"/>
          <w:b/>
          <w:bCs/>
          <w:sz w:val="30"/>
          <w:szCs w:val="30"/>
        </w:rPr>
        <w:t>（一）探索实施卫生院（社区）首诊和梯度就医模式。</w:t>
      </w:r>
      <w:r w:rsidRPr="007276EE">
        <w:rPr>
          <w:rFonts w:ascii="仿宋_GB2312" w:eastAsia="仿宋_GB2312" w:hAnsi="仿宋_GB2312" w:cs="仿宋_GB2312" w:hint="eastAsia"/>
          <w:sz w:val="30"/>
          <w:szCs w:val="30"/>
        </w:rPr>
        <w:t>逐步落实各级各类医疗机构功能定位，确立转诊制度。逐步强化家庭医生的健康“守护人”作用，推动卫生院（社区）首诊。</w:t>
      </w:r>
    </w:p>
    <w:p w:rsidR="007276EE" w:rsidRPr="007276EE" w:rsidRDefault="007276EE" w:rsidP="000A3365">
      <w:pPr>
        <w:spacing w:line="580" w:lineRule="exact"/>
        <w:ind w:firstLine="640"/>
        <w:contextualSpacing/>
        <w:rPr>
          <w:rFonts w:ascii="仿宋_GB2312" w:hAnsi="仿宋_GB2312" w:cs="仿宋_GB2312"/>
          <w:kern w:val="0"/>
          <w:sz w:val="30"/>
          <w:szCs w:val="30"/>
        </w:rPr>
      </w:pPr>
      <w:r w:rsidRPr="007276EE">
        <w:rPr>
          <w:rFonts w:ascii="仿宋_GB2312" w:hAnsi="仿宋_GB2312" w:cs="仿宋_GB2312" w:hint="eastAsia"/>
          <w:kern w:val="0"/>
          <w:sz w:val="30"/>
          <w:szCs w:val="30"/>
        </w:rPr>
        <w:t>乡镇卫生院和社区卫生服务中心，负责提供基本公共卫生服务，以及常见病、多发病的诊疗护理、康复治疗、康复训练等综合服务，并受上级卫生计生行政部门委托，承担辖区内的公共卫生管理工作，负责对村卫生室、社区卫生服务站的综合管理、技术指导和乡村医生的培训等。乡镇卫生院分为中心乡镇卫生院和一般乡镇卫生院，承担急诊抢救、二级以下常规手术、正常分娩、高危孕产妇筛查、儿科等医疗服务。中心乡镇卫生院着重强化医疗服务能力并承担周边区域内一般乡镇卫生院的技术指导工作。</w:t>
      </w:r>
    </w:p>
    <w:p w:rsidR="007276EE" w:rsidRPr="007276EE" w:rsidRDefault="007276EE" w:rsidP="000A3365">
      <w:pPr>
        <w:spacing w:line="580" w:lineRule="exact"/>
        <w:ind w:firstLine="640"/>
        <w:contextualSpacing/>
        <w:rPr>
          <w:rFonts w:ascii="仿宋_GB2312" w:hAnsi="仿宋_GB2312" w:cs="仿宋_GB2312"/>
          <w:kern w:val="0"/>
          <w:sz w:val="30"/>
          <w:szCs w:val="30"/>
        </w:rPr>
      </w:pPr>
      <w:r w:rsidRPr="007276EE">
        <w:rPr>
          <w:rFonts w:ascii="仿宋_GB2312" w:hAnsi="仿宋_GB2312" w:cs="仿宋_GB2312" w:hint="eastAsia"/>
          <w:kern w:val="0"/>
          <w:sz w:val="30"/>
          <w:szCs w:val="30"/>
        </w:rPr>
        <w:t>村卫生室、社区卫生服务站在乡镇卫生院和社区卫生服务中心的统一管理和指导下，承担行政村、居委会范围内人群的基本公共卫生服务和普通常见病、多发病的初级诊治、康复等工作。</w:t>
      </w:r>
    </w:p>
    <w:p w:rsidR="007276EE" w:rsidRPr="007276EE" w:rsidRDefault="007276EE" w:rsidP="000A3365">
      <w:pPr>
        <w:spacing w:line="580" w:lineRule="exact"/>
        <w:ind w:firstLine="640"/>
        <w:contextualSpacing/>
        <w:rPr>
          <w:rFonts w:ascii="仿宋_GB2312" w:hAnsi="仿宋_GB2312" w:cs="仿宋_GB2312"/>
          <w:sz w:val="30"/>
          <w:szCs w:val="30"/>
        </w:rPr>
      </w:pPr>
      <w:r w:rsidRPr="007276EE">
        <w:rPr>
          <w:rFonts w:ascii="仿宋_GB2312" w:hAnsi="仿宋_GB2312" w:cs="仿宋_GB2312" w:hint="eastAsia"/>
          <w:kern w:val="0"/>
          <w:sz w:val="30"/>
          <w:szCs w:val="30"/>
        </w:rPr>
        <w:t>单位内部的医务室和门诊部等基层医疗卫生机构，负责本单位或本功能社区的基本公共卫生和基本医疗服务。其他门诊部、诊所等基层医疗卫生机构根据居民健康需求，提供相关医疗卫生服务。政府可以通过购买服务的方式对其提供的服务予以补助。</w:t>
      </w:r>
    </w:p>
    <w:p w:rsidR="007276EE" w:rsidRPr="007276EE" w:rsidRDefault="007276EE" w:rsidP="000A3365">
      <w:pPr>
        <w:pStyle w:val="a6"/>
        <w:widowControl w:val="0"/>
        <w:spacing w:before="0" w:beforeAutospacing="0" w:after="0" w:afterAutospacing="0" w:line="580" w:lineRule="exact"/>
        <w:ind w:firstLine="420"/>
        <w:contextualSpacing/>
        <w:rPr>
          <w:rFonts w:ascii="仿宋_GB2312" w:eastAsia="仿宋_GB2312" w:hAnsi="仿宋_GB2312" w:cs="仿宋_GB2312"/>
          <w:sz w:val="30"/>
          <w:szCs w:val="30"/>
        </w:rPr>
      </w:pPr>
      <w:r w:rsidRPr="007276EE">
        <w:rPr>
          <w:rFonts w:ascii="仿宋_GB2312" w:eastAsia="仿宋_GB2312" w:hAnsi="仿宋_GB2312" w:cs="仿宋_GB2312" w:hint="eastAsia"/>
          <w:sz w:val="30"/>
          <w:szCs w:val="30"/>
        </w:rPr>
        <w:t xml:space="preserve">  组建区域性医疗联合体，统筹规划联合体内各医疗机构的功能布局，在联合体内部实行人员柔性流动，强化联合体内各级各类医疗机</w:t>
      </w:r>
      <w:r w:rsidRPr="007276EE">
        <w:rPr>
          <w:rFonts w:ascii="仿宋_GB2312" w:eastAsia="仿宋_GB2312" w:hAnsi="仿宋_GB2312" w:cs="仿宋_GB2312" w:hint="eastAsia"/>
          <w:sz w:val="30"/>
          <w:szCs w:val="30"/>
        </w:rPr>
        <w:lastRenderedPageBreak/>
        <w:t xml:space="preserve">构的服务协同，探索实施联合体内的资源共享统一调配和医保对联合体的统一支付。综合运用财政、医保、价格等多种政策手段，推进卫生院（社区）首诊、村卫生室(服务站)梯度就医的实现。 </w:t>
      </w:r>
    </w:p>
    <w:p w:rsidR="007276EE" w:rsidRPr="007276EE" w:rsidRDefault="007276EE" w:rsidP="000A3365">
      <w:pPr>
        <w:pStyle w:val="a6"/>
        <w:widowControl w:val="0"/>
        <w:spacing w:before="0" w:beforeAutospacing="0" w:after="0" w:afterAutospacing="0" w:line="580" w:lineRule="exact"/>
        <w:ind w:firstLine="420"/>
        <w:contextualSpacing/>
        <w:rPr>
          <w:rFonts w:ascii="仿宋_GB2312" w:eastAsia="仿宋_GB2312" w:hAnsi="仿宋_GB2312" w:cs="仿宋_GB2312"/>
          <w:sz w:val="30"/>
          <w:szCs w:val="30"/>
        </w:rPr>
      </w:pPr>
      <w:r w:rsidRPr="007276EE">
        <w:rPr>
          <w:rFonts w:ascii="仿宋_GB2312" w:eastAsia="仿宋_GB2312" w:hAnsi="仿宋_GB2312" w:cs="仿宋_GB2312" w:hint="eastAsia"/>
          <w:sz w:val="30"/>
          <w:szCs w:val="30"/>
        </w:rPr>
        <w:t xml:space="preserve"> </w:t>
      </w:r>
      <w:r w:rsidRPr="007276EE">
        <w:rPr>
          <w:rFonts w:ascii="仿宋_GB2312" w:eastAsia="仿宋_GB2312" w:hAnsi="仿宋_GB2312" w:cs="仿宋_GB2312" w:hint="eastAsia"/>
          <w:b/>
          <w:bCs/>
          <w:sz w:val="30"/>
          <w:szCs w:val="30"/>
        </w:rPr>
        <w:t>（二）促进医疗卫生资源共享。</w:t>
      </w:r>
      <w:r w:rsidRPr="007276EE">
        <w:rPr>
          <w:rFonts w:ascii="仿宋_GB2312" w:eastAsia="仿宋_GB2312" w:hAnsi="仿宋_GB2312" w:cs="仿宋_GB2312" w:hint="eastAsia"/>
          <w:sz w:val="30"/>
          <w:szCs w:val="30"/>
        </w:rPr>
        <w:t xml:space="preserve">实施卫生信息化工程，建设覆盖全市医疗卫生机构的健康信息网，建设统一标准的居民电子健康档案，促进医疗卫生服务和健康信息的共享利用。推进专业公共卫生机构资源共享，建立市、区县两级联动实验室检测网络。鼓励设立区域性实验室诊断、影像诊断中心，推进相关医疗机构资源的整合。建立院前急救受理、调度、指挥、考核“四个统一”管理模式，强化全市急救资源共享。 </w:t>
      </w:r>
    </w:p>
    <w:p w:rsidR="007276EE" w:rsidRPr="007276EE" w:rsidRDefault="007276EE" w:rsidP="000A3365">
      <w:pPr>
        <w:pStyle w:val="a6"/>
        <w:widowControl w:val="0"/>
        <w:spacing w:before="0" w:beforeAutospacing="0" w:after="0" w:afterAutospacing="0" w:line="580" w:lineRule="exact"/>
        <w:ind w:firstLine="420"/>
        <w:contextualSpacing/>
        <w:rPr>
          <w:rFonts w:ascii="仿宋_GB2312" w:eastAsia="仿宋_GB2312" w:hAnsi="仿宋_GB2312" w:cs="仿宋_GB2312"/>
          <w:sz w:val="30"/>
          <w:szCs w:val="30"/>
        </w:rPr>
      </w:pPr>
      <w:r w:rsidRPr="007276EE">
        <w:rPr>
          <w:rFonts w:ascii="仿宋_GB2312" w:eastAsia="仿宋_GB2312" w:hAnsi="仿宋_GB2312" w:cs="仿宋_GB2312" w:hint="eastAsia"/>
          <w:sz w:val="30"/>
          <w:szCs w:val="30"/>
        </w:rPr>
        <w:t xml:space="preserve"> </w:t>
      </w:r>
      <w:r w:rsidRPr="007276EE">
        <w:rPr>
          <w:rFonts w:ascii="仿宋_GB2312" w:eastAsia="仿宋_GB2312" w:hAnsi="仿宋_GB2312" w:cs="仿宋_GB2312" w:hint="eastAsia"/>
          <w:b/>
          <w:bCs/>
          <w:sz w:val="30"/>
          <w:szCs w:val="30"/>
        </w:rPr>
        <w:t>（三）提高医疗卫生服务提供的适宜程度。</w:t>
      </w:r>
      <w:r w:rsidRPr="007276EE">
        <w:rPr>
          <w:rFonts w:ascii="仿宋_GB2312" w:eastAsia="仿宋_GB2312" w:hAnsi="仿宋_GB2312" w:cs="仿宋_GB2312" w:hint="eastAsia"/>
          <w:sz w:val="30"/>
          <w:szCs w:val="30"/>
        </w:rPr>
        <w:t>全面推行医院等级复核和新医院等级评审工作。健全临床质量控制体系，加强临床路径管理，全面开展各级各类医疗卫生机构绩效考核。促进医防结合，加强群体健康诊断和开具群体健康处方工作，将健康宣教融入医疗服务中，通过预防手段，降低疾病负担。完善卫生适宜技术的推广应用机制，在社区卫生服务机构推广应用</w:t>
      </w:r>
      <w:r w:rsidRPr="007276EE">
        <w:rPr>
          <w:rFonts w:ascii="仿宋_GB2312" w:eastAsia="仿宋_GB2312" w:hAnsi="仿宋_GB2312" w:cs="仿宋_GB2312" w:hint="eastAsia"/>
          <w:b/>
          <w:bCs/>
          <w:sz w:val="30"/>
          <w:szCs w:val="30"/>
        </w:rPr>
        <w:t>60-80</w:t>
      </w:r>
      <w:r w:rsidRPr="007276EE">
        <w:rPr>
          <w:rFonts w:ascii="仿宋_GB2312" w:eastAsia="仿宋_GB2312" w:hAnsi="仿宋_GB2312" w:cs="仿宋_GB2312" w:hint="eastAsia"/>
          <w:sz w:val="30"/>
          <w:szCs w:val="30"/>
        </w:rPr>
        <w:t xml:space="preserve">项适宜技术。 </w:t>
      </w:r>
    </w:p>
    <w:p w:rsidR="007276EE" w:rsidRPr="007276EE" w:rsidRDefault="007276EE" w:rsidP="000A3365">
      <w:pPr>
        <w:pStyle w:val="a6"/>
        <w:widowControl w:val="0"/>
        <w:spacing w:before="0" w:beforeAutospacing="0" w:after="0" w:afterAutospacing="0" w:line="580" w:lineRule="exact"/>
        <w:ind w:firstLine="420"/>
        <w:contextualSpacing/>
        <w:rPr>
          <w:rFonts w:ascii="仿宋_GB2312" w:eastAsia="仿宋_GB2312" w:hAnsi="仿宋_GB2312" w:cs="仿宋_GB2312"/>
          <w:sz w:val="30"/>
          <w:szCs w:val="30"/>
        </w:rPr>
      </w:pPr>
      <w:r w:rsidRPr="007276EE">
        <w:rPr>
          <w:rFonts w:ascii="仿宋_GB2312" w:eastAsia="仿宋_GB2312" w:hAnsi="仿宋_GB2312" w:cs="仿宋_GB2312" w:hint="eastAsia"/>
          <w:sz w:val="30"/>
          <w:szCs w:val="30"/>
        </w:rPr>
        <w:t xml:space="preserve"> </w:t>
      </w:r>
      <w:r w:rsidRPr="007276EE">
        <w:rPr>
          <w:rFonts w:ascii="仿宋_GB2312" w:eastAsia="仿宋_GB2312" w:hAnsi="仿宋_GB2312" w:cs="仿宋_GB2312" w:hint="eastAsia"/>
          <w:b/>
          <w:bCs/>
          <w:sz w:val="30"/>
          <w:szCs w:val="30"/>
        </w:rPr>
        <w:t>（四）促进医务人员合理流动。</w:t>
      </w:r>
      <w:r w:rsidRPr="007276EE">
        <w:rPr>
          <w:rFonts w:ascii="仿宋_GB2312" w:eastAsia="仿宋_GB2312" w:hAnsi="仿宋_GB2312" w:cs="仿宋_GB2312" w:hint="eastAsia"/>
          <w:sz w:val="30"/>
          <w:szCs w:val="30"/>
        </w:rPr>
        <w:t xml:space="preserve">完善市区二、三级医院和市级公共卫生机构支援基层医疗卫生机构制度。实施并完善医师多点执业、卫生专业技术职称全行业管理等有利于卫生专业技术人员流动的政策，探索通过兼职、退休返聘、购买服务等形式弥补紧缺岗位的不足。完善医疗卫生机构的收入分配制度，适当向一线、紧缺和关键岗位倾斜。 </w:t>
      </w:r>
    </w:p>
    <w:p w:rsidR="007276EE" w:rsidRPr="007276EE" w:rsidRDefault="007276EE" w:rsidP="000A3365">
      <w:pPr>
        <w:pStyle w:val="a6"/>
        <w:widowControl w:val="0"/>
        <w:spacing w:before="0" w:beforeAutospacing="0" w:after="0" w:afterAutospacing="0" w:line="580" w:lineRule="exact"/>
        <w:ind w:firstLine="420"/>
        <w:contextualSpacing/>
        <w:rPr>
          <w:rFonts w:ascii="Times New Roman" w:eastAsia="仿宋_GB2312" w:hAnsi="Times New Roman"/>
          <w:sz w:val="30"/>
          <w:szCs w:val="30"/>
        </w:rPr>
      </w:pPr>
      <w:r w:rsidRPr="007276EE">
        <w:rPr>
          <w:rFonts w:ascii="Times New Roman" w:eastAsia="华文楷体" w:hAnsi="Times New Roman"/>
          <w:b/>
          <w:bCs/>
          <w:sz w:val="30"/>
          <w:szCs w:val="30"/>
        </w:rPr>
        <w:t xml:space="preserve"> </w:t>
      </w:r>
      <w:r w:rsidRPr="007276EE">
        <w:rPr>
          <w:rFonts w:ascii="Times New Roman" w:eastAsia="华文楷体" w:hAnsi="Times New Roman"/>
          <w:sz w:val="30"/>
          <w:szCs w:val="30"/>
        </w:rPr>
        <w:t xml:space="preserve"> </w:t>
      </w:r>
      <w:r w:rsidRPr="007276EE">
        <w:rPr>
          <w:rFonts w:ascii="Times New Roman" w:eastAsia="华文楷体" w:hAnsi="Times New Roman"/>
          <w:sz w:val="30"/>
          <w:szCs w:val="30"/>
        </w:rPr>
        <w:t>三、资源规模上升能级、建中心</w:t>
      </w:r>
      <w:r w:rsidRPr="007276EE">
        <w:rPr>
          <w:rFonts w:ascii="Times New Roman" w:eastAsia="仿宋_GB2312" w:hAnsi="Times New Roman"/>
          <w:sz w:val="30"/>
          <w:szCs w:val="30"/>
        </w:rPr>
        <w:t xml:space="preserve"> </w:t>
      </w:r>
    </w:p>
    <w:p w:rsidR="007276EE" w:rsidRPr="007276EE" w:rsidRDefault="007276EE" w:rsidP="000A3365">
      <w:pPr>
        <w:pStyle w:val="a6"/>
        <w:widowControl w:val="0"/>
        <w:spacing w:before="0" w:beforeAutospacing="0" w:after="0" w:afterAutospacing="0" w:line="580" w:lineRule="exact"/>
        <w:ind w:firstLine="420"/>
        <w:contextualSpacing/>
        <w:rPr>
          <w:rFonts w:ascii="仿宋_GB2312" w:eastAsia="仿宋_GB2312" w:hAnsi="仿宋_GB2312" w:cs="仿宋_GB2312"/>
          <w:sz w:val="30"/>
          <w:szCs w:val="30"/>
        </w:rPr>
      </w:pPr>
      <w:r w:rsidRPr="007276EE">
        <w:rPr>
          <w:rFonts w:ascii="仿宋_GB2312" w:eastAsia="仿宋_GB2312" w:hAnsi="仿宋_GB2312" w:cs="仿宋_GB2312" w:hint="eastAsia"/>
          <w:sz w:val="30"/>
          <w:szCs w:val="30"/>
        </w:rPr>
        <w:lastRenderedPageBreak/>
        <w:t xml:space="preserve"> </w:t>
      </w:r>
      <w:r w:rsidRPr="007276EE">
        <w:rPr>
          <w:rFonts w:ascii="仿宋_GB2312" w:eastAsia="仿宋_GB2312" w:hAnsi="仿宋_GB2312" w:cs="仿宋_GB2312" w:hint="eastAsia"/>
          <w:b/>
          <w:bCs/>
          <w:sz w:val="30"/>
          <w:szCs w:val="30"/>
        </w:rPr>
        <w:t>（一）积极推进组建各级医联体、医共体、医疗集团、医疗连锁体。</w:t>
      </w:r>
      <w:r w:rsidRPr="007276EE">
        <w:rPr>
          <w:rFonts w:ascii="仿宋_GB2312" w:eastAsia="仿宋_GB2312" w:hAnsi="仿宋_GB2312" w:cs="仿宋_GB2312" w:hint="eastAsia"/>
          <w:sz w:val="30"/>
          <w:szCs w:val="30"/>
        </w:rPr>
        <w:t xml:space="preserve">各三级医院、县人民医院，要适应新形势、新常态，树立新理念、新战略，打好主动仗。推动市中心医院集团、医专医疗集团、市中医院医联体、市一院医联体、市二院医联体、新华医疗南阳集团、南石医院集团、油田总医院集团等八大集团。市中心医院集团主要包括中心医院、妇幼保健院、肿瘤医院、新区医院，统一管理，做大做强，切实发挥龙头作用。医专三个附属医院要切实发挥协同作用。市中医院要充分发挥中医药特色，积极争取政策支持，大胆改革创新，力争早日探索出一条新路子。市一院、二院要发挥区域优势，走特色路子。新华医疗南阳集团、南石医院医疗集团要充分发挥上市公司、民营医疗、香港医疗等机制优势，出奇制胜。各县级人民医院和其他医院要积极改革创新，发挥自身优势，走创新之路。 </w:t>
      </w:r>
    </w:p>
    <w:p w:rsidR="007276EE" w:rsidRPr="007276EE" w:rsidRDefault="007276EE" w:rsidP="000A3365">
      <w:pPr>
        <w:pStyle w:val="a6"/>
        <w:widowControl w:val="0"/>
        <w:spacing w:before="0" w:beforeAutospacing="0" w:after="0" w:afterAutospacing="0" w:line="580" w:lineRule="exact"/>
        <w:ind w:firstLine="420"/>
        <w:contextualSpacing/>
        <w:rPr>
          <w:rFonts w:ascii="仿宋_GB2312" w:eastAsia="仿宋_GB2312" w:hAnsi="仿宋_GB2312" w:cs="仿宋_GB2312"/>
          <w:sz w:val="30"/>
          <w:szCs w:val="30"/>
        </w:rPr>
      </w:pPr>
      <w:r w:rsidRPr="007276EE">
        <w:rPr>
          <w:rFonts w:ascii="仿宋_GB2312" w:eastAsia="仿宋_GB2312" w:hAnsi="仿宋_GB2312" w:cs="仿宋_GB2312" w:hint="eastAsia"/>
          <w:sz w:val="30"/>
          <w:szCs w:val="30"/>
        </w:rPr>
        <w:t xml:space="preserve"> </w:t>
      </w:r>
      <w:r w:rsidRPr="007276EE">
        <w:rPr>
          <w:rFonts w:ascii="仿宋_GB2312" w:eastAsia="仿宋_GB2312" w:hAnsi="仿宋_GB2312" w:cs="仿宋_GB2312" w:hint="eastAsia"/>
          <w:b/>
          <w:bCs/>
          <w:sz w:val="30"/>
          <w:szCs w:val="30"/>
        </w:rPr>
        <w:t>（二）营造有利于现代医疗卫生服务业发展的环境。</w:t>
      </w:r>
      <w:r w:rsidRPr="007276EE">
        <w:rPr>
          <w:rFonts w:ascii="仿宋_GB2312" w:eastAsia="仿宋_GB2312" w:hAnsi="仿宋_GB2312" w:cs="仿宋_GB2312" w:hint="eastAsia"/>
          <w:sz w:val="30"/>
          <w:szCs w:val="30"/>
        </w:rPr>
        <w:t xml:space="preserve">进一步规范和简化社会办医审批流程，完善土地、税收和政府购买服务的支持政策。建立社会办医疗机构的评审评价体系，推动社会办医疗机构管理和质量的持续改进。引进国内医学高端人才，为现代医疗卫生服务业发展提供人力资源保障。以提升公共卫生技术支撑能力为核心，推动公共卫生技术服务社会化，加强第三方卫生检验、检测和评价机构的建设。 </w:t>
      </w:r>
    </w:p>
    <w:p w:rsidR="007276EE" w:rsidRPr="007276EE" w:rsidRDefault="007276EE" w:rsidP="000A3365">
      <w:pPr>
        <w:pStyle w:val="a6"/>
        <w:widowControl w:val="0"/>
        <w:spacing w:before="0" w:beforeAutospacing="0" w:after="0" w:afterAutospacing="0" w:line="580" w:lineRule="exact"/>
        <w:ind w:firstLine="420"/>
        <w:contextualSpacing/>
        <w:rPr>
          <w:rFonts w:ascii="仿宋_GB2312" w:eastAsia="仿宋_GB2312" w:hAnsi="仿宋_GB2312" w:cs="仿宋_GB2312"/>
          <w:sz w:val="30"/>
          <w:szCs w:val="30"/>
        </w:rPr>
      </w:pPr>
      <w:r w:rsidRPr="007276EE">
        <w:rPr>
          <w:rFonts w:ascii="仿宋_GB2312" w:eastAsia="仿宋_GB2312" w:hAnsi="仿宋_GB2312" w:cs="仿宋_GB2312" w:hint="eastAsia"/>
          <w:sz w:val="30"/>
          <w:szCs w:val="30"/>
        </w:rPr>
        <w:t>（三）</w:t>
      </w:r>
      <w:r w:rsidRPr="007276EE">
        <w:rPr>
          <w:rFonts w:ascii="仿宋_GB2312" w:eastAsia="仿宋_GB2312" w:hAnsi="仿宋_GB2312" w:cs="仿宋_GB2312" w:hint="eastAsia"/>
          <w:b/>
          <w:bCs/>
          <w:sz w:val="30"/>
          <w:szCs w:val="30"/>
        </w:rPr>
        <w:t>加强优质医疗资源培育。</w:t>
      </w:r>
      <w:r w:rsidRPr="007276EE">
        <w:rPr>
          <w:rFonts w:ascii="仿宋_GB2312" w:eastAsia="仿宋_GB2312" w:hAnsi="仿宋_GB2312" w:cs="仿宋_GB2312" w:hint="eastAsia"/>
          <w:sz w:val="30"/>
          <w:szCs w:val="30"/>
        </w:rPr>
        <w:t>重点建设南阳市中心医院新区医院、南阳市口腔医院迁建项目、南阳市骨科医院迁建项目、南阳市眼科医院迁建项目、南石医院综合能力提升建设项目、第三方医学检验检测</w:t>
      </w:r>
      <w:r w:rsidRPr="007276EE">
        <w:rPr>
          <w:rFonts w:ascii="仿宋_GB2312" w:eastAsia="仿宋_GB2312" w:hAnsi="仿宋_GB2312" w:cs="仿宋_GB2312" w:hint="eastAsia"/>
          <w:sz w:val="30"/>
          <w:szCs w:val="30"/>
        </w:rPr>
        <w:lastRenderedPageBreak/>
        <w:t xml:space="preserve">中心项目等，加强优质医疗资源培育，吸引国内外一流医疗技术落户南阳。 </w:t>
      </w:r>
    </w:p>
    <w:p w:rsidR="007276EE" w:rsidRPr="007276EE" w:rsidRDefault="007276EE" w:rsidP="000A3365">
      <w:pPr>
        <w:pStyle w:val="a6"/>
        <w:widowControl w:val="0"/>
        <w:spacing w:beforeLines="50" w:beforeAutospacing="0" w:afterLines="50" w:afterAutospacing="0" w:line="580" w:lineRule="exact"/>
        <w:ind w:firstLineChars="179" w:firstLine="537"/>
        <w:contextualSpacing/>
        <w:jc w:val="center"/>
        <w:rPr>
          <w:rFonts w:ascii="Times New Roman" w:eastAsia="华文楷体" w:hAnsi="Times New Roman"/>
          <w:b/>
          <w:bCs/>
          <w:sz w:val="30"/>
          <w:szCs w:val="30"/>
        </w:rPr>
      </w:pPr>
      <w:r w:rsidRPr="007276EE">
        <w:rPr>
          <w:rFonts w:ascii="黑体" w:eastAsia="黑体" w:hAnsi="黑体" w:cs="黑体" w:hint="eastAsia"/>
          <w:sz w:val="30"/>
          <w:szCs w:val="30"/>
        </w:rPr>
        <w:t>第四节  资源配置标准和要求</w:t>
      </w:r>
    </w:p>
    <w:p w:rsidR="007276EE" w:rsidRPr="007276EE" w:rsidRDefault="007276EE" w:rsidP="000A3365">
      <w:pPr>
        <w:pStyle w:val="a6"/>
        <w:widowControl w:val="0"/>
        <w:spacing w:before="0" w:beforeAutospacing="0" w:after="0" w:afterAutospacing="0" w:line="580" w:lineRule="exact"/>
        <w:ind w:firstLineChars="180" w:firstLine="540"/>
        <w:contextualSpacing/>
        <w:rPr>
          <w:rFonts w:ascii="Times New Roman" w:eastAsia="华文楷体" w:hAnsi="Times New Roman"/>
          <w:bCs/>
          <w:sz w:val="30"/>
          <w:szCs w:val="30"/>
        </w:rPr>
      </w:pPr>
      <w:r w:rsidRPr="007276EE">
        <w:rPr>
          <w:rFonts w:ascii="Times New Roman" w:eastAsia="华文楷体" w:hAnsi="Times New Roman"/>
          <w:bCs/>
          <w:sz w:val="30"/>
          <w:szCs w:val="30"/>
        </w:rPr>
        <w:t>一、各级各类机构设置</w:t>
      </w:r>
    </w:p>
    <w:p w:rsidR="007276EE" w:rsidRPr="007276EE" w:rsidRDefault="007276EE" w:rsidP="000A3365">
      <w:pPr>
        <w:pStyle w:val="a6"/>
        <w:widowControl w:val="0"/>
        <w:spacing w:before="0" w:beforeAutospacing="0" w:after="0" w:afterAutospacing="0" w:line="580" w:lineRule="exact"/>
        <w:ind w:firstLine="420"/>
        <w:contextualSpacing/>
        <w:rPr>
          <w:rFonts w:ascii="仿宋_GB2312" w:eastAsia="仿宋_GB2312" w:hAnsi="仿宋_GB2312" w:cs="仿宋_GB2312"/>
          <w:b/>
          <w:bCs/>
          <w:sz w:val="30"/>
          <w:szCs w:val="30"/>
        </w:rPr>
      </w:pPr>
      <w:r w:rsidRPr="007276EE">
        <w:rPr>
          <w:rFonts w:ascii="仿宋_GB2312" w:eastAsia="仿宋_GB2312" w:hAnsi="仿宋_GB2312" w:cs="仿宋_GB2312" w:hint="eastAsia"/>
          <w:b/>
          <w:bCs/>
          <w:sz w:val="30"/>
          <w:szCs w:val="30"/>
        </w:rPr>
        <w:t>（一）医院</w:t>
      </w:r>
      <w:bookmarkStart w:id="0" w:name="_Toc3658"/>
    </w:p>
    <w:p w:rsidR="007276EE" w:rsidRPr="007276EE" w:rsidRDefault="007276EE" w:rsidP="000A3365">
      <w:pPr>
        <w:pStyle w:val="a6"/>
        <w:widowControl w:val="0"/>
        <w:spacing w:before="0" w:beforeAutospacing="0" w:after="0" w:afterAutospacing="0" w:line="580" w:lineRule="exact"/>
        <w:ind w:firstLine="420"/>
        <w:contextualSpacing/>
        <w:rPr>
          <w:rFonts w:ascii="仿宋_GB2312" w:eastAsia="仿宋_GB2312" w:hAnsi="仿宋_GB2312" w:cs="仿宋_GB2312"/>
          <w:b/>
          <w:bCs/>
          <w:sz w:val="30"/>
          <w:szCs w:val="30"/>
        </w:rPr>
      </w:pPr>
      <w:r w:rsidRPr="007276EE">
        <w:rPr>
          <w:rFonts w:ascii="仿宋_GB2312" w:eastAsia="仿宋_GB2312" w:hAnsi="仿宋_GB2312" w:cs="仿宋_GB2312" w:hint="eastAsia"/>
          <w:b/>
          <w:bCs/>
          <w:sz w:val="30"/>
          <w:szCs w:val="30"/>
        </w:rPr>
        <w:t xml:space="preserve"> 1.公立医院设置</w:t>
      </w:r>
      <w:bookmarkEnd w:id="0"/>
    </w:p>
    <w:p w:rsidR="007276EE" w:rsidRPr="007276EE" w:rsidRDefault="007276EE" w:rsidP="000A3365">
      <w:pPr>
        <w:pStyle w:val="a6"/>
        <w:widowControl w:val="0"/>
        <w:spacing w:before="0" w:beforeAutospacing="0" w:after="0" w:afterAutospacing="0" w:line="580" w:lineRule="exact"/>
        <w:ind w:firstLineChars="200" w:firstLine="600"/>
        <w:contextualSpacing/>
        <w:rPr>
          <w:rFonts w:ascii="仿宋_GB2312" w:eastAsia="仿宋_GB2312" w:hAnsi="仿宋_GB2312" w:cs="仿宋_GB2312"/>
          <w:sz w:val="30"/>
          <w:szCs w:val="30"/>
          <w:shd w:val="clear" w:color="auto" w:fill="FFFFFF"/>
        </w:rPr>
      </w:pPr>
      <w:r w:rsidRPr="007276EE">
        <w:rPr>
          <w:rFonts w:ascii="仿宋_GB2312" w:eastAsia="仿宋_GB2312" w:hAnsi="仿宋_GB2312" w:cs="仿宋_GB2312" w:hint="eastAsia"/>
          <w:kern w:val="2"/>
          <w:sz w:val="30"/>
          <w:szCs w:val="30"/>
          <w:shd w:val="clear" w:color="auto" w:fill="FFFFFF"/>
        </w:rPr>
        <w:t>公立医院是我市医疗服务体系的主体，应当坚持维护公益性，充分发挥其在基本医疗服务提供、急危重症和疑难病症诊疗等方面的骨干作用，承担医疗卫生机构人才培养、医学科研等任务，承担法定和政府指定的公共卫生服务、突发事件紧急医疗救援、援外、国防卫生动员、支农、支边和支援社区等任务。</w:t>
      </w:r>
    </w:p>
    <w:p w:rsidR="007276EE" w:rsidRPr="007276EE" w:rsidRDefault="007276EE" w:rsidP="000A3365">
      <w:pPr>
        <w:spacing w:line="580" w:lineRule="exact"/>
        <w:ind w:firstLine="560"/>
        <w:contextualSpacing/>
        <w:rPr>
          <w:rFonts w:ascii="仿宋_GB2312" w:hAnsi="仿宋_GB2312" w:cs="仿宋_GB2312"/>
          <w:sz w:val="30"/>
          <w:szCs w:val="30"/>
          <w:shd w:val="clear" w:color="auto" w:fill="FFFFFF"/>
        </w:rPr>
      </w:pPr>
      <w:r w:rsidRPr="007276EE">
        <w:rPr>
          <w:rFonts w:ascii="仿宋_GB2312" w:hAnsi="仿宋_GB2312" w:cs="仿宋_GB2312" w:hint="eastAsia"/>
          <w:sz w:val="30"/>
          <w:szCs w:val="30"/>
          <w:shd w:val="clear" w:color="auto" w:fill="FFFFFF"/>
        </w:rPr>
        <w:t>公立医院的设置要根据南阳的实际情况，综合考虑城镇化、人口分布、地理交通环境、疾病谱等因素合理布局。合理控制公立综合性医院的数量和规模，对于需求量大的专科医疗服务，可以根据具体情况设立相应的专科医院。</w:t>
      </w:r>
    </w:p>
    <w:p w:rsidR="007276EE" w:rsidRPr="007276EE" w:rsidRDefault="007276EE" w:rsidP="000A3365">
      <w:pPr>
        <w:spacing w:line="580" w:lineRule="exact"/>
        <w:ind w:firstLine="560"/>
        <w:contextualSpacing/>
        <w:rPr>
          <w:rFonts w:ascii="仿宋_GB2312" w:hAnsi="仿宋_GB2312" w:cs="仿宋_GB2312"/>
          <w:sz w:val="30"/>
          <w:szCs w:val="30"/>
          <w:shd w:val="clear" w:color="auto" w:fill="FFFFFF"/>
        </w:rPr>
      </w:pPr>
      <w:r w:rsidRPr="007276EE">
        <w:rPr>
          <w:rFonts w:ascii="仿宋_GB2312" w:hAnsi="仿宋_GB2312" w:cs="仿宋_GB2312" w:hint="eastAsia"/>
          <w:sz w:val="30"/>
          <w:szCs w:val="30"/>
          <w:shd w:val="clear" w:color="auto" w:fill="FFFFFF"/>
        </w:rPr>
        <w:t>引导市办、县（区）办医院在新建功能区、郊区等医疗资源薄弱区域，利用社会资本建设分院或进行迁建，合理优化结构，调整资源布局。</w:t>
      </w:r>
    </w:p>
    <w:p w:rsidR="007276EE" w:rsidRPr="007276EE" w:rsidRDefault="007276EE" w:rsidP="000A3365">
      <w:pPr>
        <w:spacing w:line="580" w:lineRule="exact"/>
        <w:ind w:firstLine="560"/>
        <w:contextualSpacing/>
        <w:rPr>
          <w:rFonts w:ascii="仿宋_GB2312" w:hAnsi="仿宋_GB2312" w:cs="仿宋_GB2312"/>
          <w:sz w:val="30"/>
          <w:szCs w:val="30"/>
          <w:shd w:val="clear" w:color="auto" w:fill="FFFFFF"/>
        </w:rPr>
      </w:pPr>
      <w:r w:rsidRPr="007276EE">
        <w:rPr>
          <w:rFonts w:ascii="仿宋_GB2312" w:hAnsi="仿宋_GB2312" w:cs="仿宋_GB2312" w:hint="eastAsia"/>
          <w:b/>
          <w:bCs/>
          <w:sz w:val="30"/>
          <w:szCs w:val="30"/>
          <w:shd w:val="clear" w:color="auto" w:fill="FFFFFF"/>
        </w:rPr>
        <w:t xml:space="preserve">（1）市级医院设置 </w:t>
      </w:r>
      <w:r w:rsidRPr="007276EE">
        <w:rPr>
          <w:rFonts w:ascii="仿宋_GB2312" w:hAnsi="仿宋_GB2312" w:cs="仿宋_GB2312" w:hint="eastAsia"/>
          <w:sz w:val="30"/>
          <w:szCs w:val="30"/>
          <w:shd w:val="clear" w:color="auto" w:fill="FFFFFF"/>
        </w:rPr>
        <w:t xml:space="preserve"> </w:t>
      </w:r>
    </w:p>
    <w:p w:rsidR="007276EE" w:rsidRPr="007276EE" w:rsidRDefault="007276EE" w:rsidP="000A3365">
      <w:pPr>
        <w:spacing w:line="580" w:lineRule="exact"/>
        <w:ind w:firstLine="560"/>
        <w:contextualSpacing/>
        <w:rPr>
          <w:rFonts w:ascii="仿宋_GB2312" w:hAnsi="仿宋_GB2312" w:cs="仿宋_GB2312"/>
          <w:sz w:val="30"/>
          <w:szCs w:val="30"/>
          <w:shd w:val="clear" w:color="auto" w:fill="FFFFFF"/>
        </w:rPr>
      </w:pPr>
      <w:r w:rsidRPr="007276EE">
        <w:rPr>
          <w:rFonts w:ascii="仿宋_GB2312" w:hAnsi="仿宋_GB2312" w:cs="仿宋_GB2312" w:hint="eastAsia"/>
          <w:sz w:val="30"/>
          <w:szCs w:val="30"/>
          <w:shd w:val="clear" w:color="auto" w:fill="FFFFFF"/>
        </w:rPr>
        <w:t xml:space="preserve"> 功能定位：市办医院主要向市级区域内居民提供代表本区域高水平的综合性或专科医疗服务，接受下级医院转诊，并承担人才培养和一定的科研任务以及相应公共卫生和突发事件紧急医疗救援任务。南</w:t>
      </w:r>
      <w:r w:rsidRPr="007276EE">
        <w:rPr>
          <w:rFonts w:ascii="仿宋_GB2312" w:hAnsi="仿宋_GB2312" w:cs="仿宋_GB2312" w:hint="eastAsia"/>
          <w:sz w:val="30"/>
          <w:szCs w:val="30"/>
          <w:shd w:val="clear" w:color="auto" w:fill="FFFFFF"/>
        </w:rPr>
        <w:lastRenderedPageBreak/>
        <w:t>阳市市办医院主要包括市中心医院、市中医院、市第三人民医院、市精神病医院、市传染病医院、市口腔医院、市骨科医院、市眼科医院、市肿瘤医院、市八院、市九院、医专一附院、医专二附院、医专三附院、市中心医院示范区医院、南阳石油勘探局医院等。</w:t>
      </w:r>
    </w:p>
    <w:p w:rsidR="007276EE" w:rsidRPr="007276EE" w:rsidRDefault="007276EE" w:rsidP="000A3365">
      <w:pPr>
        <w:spacing w:line="580" w:lineRule="exact"/>
        <w:ind w:firstLine="640"/>
        <w:contextualSpacing/>
        <w:rPr>
          <w:rFonts w:ascii="仿宋_GB2312" w:hAnsi="仿宋_GB2312" w:cs="仿宋_GB2312"/>
          <w:sz w:val="30"/>
          <w:szCs w:val="30"/>
          <w:shd w:val="clear" w:color="auto" w:fill="FFFFFF"/>
        </w:rPr>
      </w:pPr>
      <w:r w:rsidRPr="007276EE">
        <w:rPr>
          <w:rFonts w:ascii="仿宋_GB2312" w:hAnsi="仿宋_GB2312" w:cs="仿宋_GB2312" w:hint="eastAsia"/>
          <w:sz w:val="30"/>
          <w:szCs w:val="30"/>
          <w:shd w:val="clear" w:color="auto" w:fill="FFFFFF"/>
        </w:rPr>
        <w:t>配置标准：到2020年，南阳市总人口预计达到1050万。目前，市办医院床位使用率均在95％以上，有的高达150％以上。原则上不再增加市级医院设置，可将现有市级医院规模进行扩充（含中医类医院，下同），服务半径涵盖全市。市级区域设置2个市办三级中医类医院（市中医院、医专附属中医院）。在市级区域规划设置儿童、精神、妇产、口腔、骨科、眼科、肿瘤、心血管、传染病、康复等市办专科医院，含中医类专科医院。口腔、骨科、眼科、肿瘤、康复等市级优质专科医疗机构可以利用社会资本，适当扩大医院规模，扩充优质医疗资源。市级综合医院可以在高新区、示范区、鸭河、官庄4个功能区及中心城区周边设置分院和社区卫生服务中心（站）。市级专科医院可以在4个功能区进行迁建和社区卫生服务中心（站）。</w:t>
      </w:r>
      <w:r w:rsidRPr="007276EE">
        <w:rPr>
          <w:rFonts w:ascii="仿宋_GB2312" w:hAnsi="仿宋_GB2312" w:cs="仿宋_GB2312" w:hint="eastAsia"/>
          <w:sz w:val="30"/>
          <w:szCs w:val="30"/>
        </w:rPr>
        <w:t>鼓励通过迁建、合并、转型等多种形式，推动优质医疗资源从配置富余地区向配置短缺地区转移。</w:t>
      </w:r>
    </w:p>
    <w:p w:rsidR="007276EE" w:rsidRPr="007276EE" w:rsidRDefault="007276EE" w:rsidP="000A3365">
      <w:pPr>
        <w:spacing w:line="580" w:lineRule="exact"/>
        <w:ind w:firstLine="640"/>
        <w:contextualSpacing/>
        <w:rPr>
          <w:rFonts w:ascii="仿宋_GB2312" w:hAnsi="仿宋_GB2312" w:cs="仿宋_GB2312"/>
          <w:b/>
          <w:bCs/>
          <w:sz w:val="30"/>
          <w:szCs w:val="30"/>
          <w:shd w:val="clear" w:color="auto" w:fill="FFFFFF"/>
        </w:rPr>
      </w:pPr>
      <w:r w:rsidRPr="007276EE">
        <w:rPr>
          <w:rFonts w:ascii="仿宋_GB2312" w:hAnsi="仿宋_GB2312" w:cs="仿宋_GB2312" w:hint="eastAsia"/>
          <w:b/>
          <w:bCs/>
          <w:sz w:val="30"/>
          <w:szCs w:val="30"/>
          <w:shd w:val="clear" w:color="auto" w:fill="FFFFFF"/>
        </w:rPr>
        <w:t>（2）县级医院设置</w:t>
      </w:r>
    </w:p>
    <w:p w:rsidR="007276EE" w:rsidRPr="007276EE" w:rsidRDefault="007276EE" w:rsidP="000A3365">
      <w:pPr>
        <w:spacing w:line="580" w:lineRule="exact"/>
        <w:ind w:firstLine="640"/>
        <w:contextualSpacing/>
        <w:rPr>
          <w:rFonts w:ascii="仿宋_GB2312" w:hAnsi="仿宋_GB2312" w:cs="仿宋_GB2312"/>
          <w:sz w:val="30"/>
          <w:szCs w:val="30"/>
          <w:shd w:val="clear" w:color="auto" w:fill="FFFFFF"/>
        </w:rPr>
      </w:pPr>
      <w:r w:rsidRPr="007276EE">
        <w:rPr>
          <w:rFonts w:ascii="仿宋_GB2312" w:hAnsi="仿宋_GB2312" w:cs="仿宋_GB2312" w:hint="eastAsia"/>
          <w:sz w:val="30"/>
          <w:szCs w:val="30"/>
          <w:shd w:val="clear" w:color="auto" w:fill="FFFFFF"/>
        </w:rPr>
        <w:t xml:space="preserve"> 功能定位：县办医院是政府向县级区域内居民提供基本医疗卫生服务的重要载体，主要承担县级区域内居民的常见病、多发病诊疗，急危重症抢救与疑难病转诊，以及传染病、精神病、急诊急救、重症医学、肾脏内科（血液透析）、妇产科、儿科、中医、康复等临床任</w:t>
      </w:r>
      <w:r w:rsidRPr="007276EE">
        <w:rPr>
          <w:rFonts w:ascii="仿宋_GB2312" w:hAnsi="仿宋_GB2312" w:cs="仿宋_GB2312" w:hint="eastAsia"/>
          <w:sz w:val="30"/>
          <w:szCs w:val="30"/>
          <w:shd w:val="clear" w:color="auto" w:fill="FFFFFF"/>
        </w:rPr>
        <w:lastRenderedPageBreak/>
        <w:t>务，培训和指导基层医疗卫生机构人员，承担相应公共卫生服务职能以及突发事件紧急医疗救援等工作。</w:t>
      </w:r>
    </w:p>
    <w:p w:rsidR="007276EE" w:rsidRPr="007276EE" w:rsidRDefault="007276EE" w:rsidP="000A3365">
      <w:pPr>
        <w:spacing w:line="580" w:lineRule="exact"/>
        <w:contextualSpacing/>
        <w:rPr>
          <w:rFonts w:ascii="仿宋_GB2312" w:hAnsi="仿宋_GB2312" w:cs="仿宋_GB2312"/>
          <w:sz w:val="30"/>
          <w:szCs w:val="30"/>
          <w:shd w:val="clear" w:color="auto" w:fill="FFFFFF"/>
        </w:rPr>
      </w:pPr>
      <w:r w:rsidRPr="007276EE">
        <w:rPr>
          <w:rFonts w:ascii="仿宋_GB2312" w:hAnsi="仿宋_GB2312" w:cs="仿宋_GB2312" w:hint="eastAsia"/>
          <w:sz w:val="30"/>
          <w:szCs w:val="30"/>
          <w:shd w:val="clear" w:color="auto" w:fill="FFFFFF"/>
        </w:rPr>
        <w:t xml:space="preserve">    配置标准：在县级区域依据常住人口数，原则上设置1个县办综合医院和1个县办中医类医院（含中医、中西医结合等），如，县人民医院、县中医院。常住人口在50万以上特别是100万以上的县，可适当增加公立医院数量或建设县级医院分院，如，唐河县、方城县、镇平县。</w:t>
      </w:r>
    </w:p>
    <w:p w:rsidR="007276EE" w:rsidRPr="007276EE" w:rsidRDefault="007276EE" w:rsidP="000A3365">
      <w:pPr>
        <w:pStyle w:val="3"/>
        <w:spacing w:line="580" w:lineRule="exact"/>
        <w:ind w:firstLine="643"/>
        <w:contextualSpacing/>
        <w:rPr>
          <w:rFonts w:ascii="仿宋_GB2312" w:hAnsi="仿宋_GB2312" w:cs="仿宋_GB2312"/>
          <w:sz w:val="30"/>
          <w:szCs w:val="30"/>
        </w:rPr>
      </w:pPr>
      <w:bookmarkStart w:id="1" w:name="_Toc10143"/>
      <w:r w:rsidRPr="007276EE">
        <w:rPr>
          <w:rFonts w:ascii="仿宋_GB2312" w:hAnsi="仿宋_GB2312" w:cs="仿宋_GB2312" w:hint="eastAsia"/>
          <w:sz w:val="30"/>
          <w:szCs w:val="30"/>
        </w:rPr>
        <w:t>2.社会办医院设置</w:t>
      </w:r>
      <w:bookmarkEnd w:id="1"/>
    </w:p>
    <w:p w:rsidR="007276EE" w:rsidRPr="007276EE" w:rsidRDefault="007276EE" w:rsidP="000A3365">
      <w:pPr>
        <w:spacing w:line="580" w:lineRule="exact"/>
        <w:ind w:firstLine="640"/>
        <w:contextualSpacing/>
        <w:rPr>
          <w:rFonts w:ascii="仿宋_GB2312" w:hAnsi="仿宋_GB2312" w:cs="仿宋_GB2312"/>
          <w:sz w:val="30"/>
          <w:szCs w:val="30"/>
          <w:shd w:val="clear" w:color="auto" w:fill="FFFFFF"/>
        </w:rPr>
      </w:pPr>
      <w:r w:rsidRPr="007276EE">
        <w:rPr>
          <w:rFonts w:ascii="仿宋_GB2312" w:hAnsi="仿宋_GB2312" w:cs="仿宋_GB2312" w:hint="eastAsia"/>
          <w:sz w:val="30"/>
          <w:szCs w:val="30"/>
          <w:shd w:val="clear" w:color="auto" w:fill="FFFFFF"/>
        </w:rPr>
        <w:t>功能定位：社会办医院是医疗卫生服务体系不可或缺的重要组成部分，是满足人民群众多层次、多元化医疗服务需求的有效途径。社会办医院可以提供基本医疗服务，与公立医院形成有序竞争；可以提供高端服务，满足非基本医疗需求；可以提供康复、老年护理等紧缺医疗服务，对公立医院形成补充，引导社会办医院向高水平、规模化方向发展，发展专业性医院管理集团；完善配套支持政策，支持社会办医院纳入医保定点范围。</w:t>
      </w:r>
    </w:p>
    <w:p w:rsidR="007276EE" w:rsidRPr="007276EE" w:rsidRDefault="007276EE" w:rsidP="000A3365">
      <w:pPr>
        <w:pStyle w:val="a6"/>
        <w:widowControl w:val="0"/>
        <w:spacing w:before="0" w:beforeAutospacing="0" w:after="0" w:afterAutospacing="0" w:line="580" w:lineRule="exact"/>
        <w:ind w:firstLine="420"/>
        <w:contextualSpacing/>
        <w:rPr>
          <w:rFonts w:ascii="仿宋_GB2312" w:eastAsia="仿宋_GB2312" w:hAnsi="仿宋_GB2312" w:cs="仿宋_GB2312"/>
          <w:sz w:val="30"/>
          <w:szCs w:val="30"/>
          <w:shd w:val="clear" w:color="auto" w:fill="FFFFFF"/>
        </w:rPr>
      </w:pPr>
      <w:r w:rsidRPr="007276EE">
        <w:rPr>
          <w:rFonts w:ascii="仿宋_GB2312" w:eastAsia="仿宋_GB2312" w:hAnsi="仿宋_GB2312" w:cs="仿宋_GB2312" w:hint="eastAsia"/>
          <w:sz w:val="30"/>
          <w:szCs w:val="30"/>
          <w:shd w:val="clear" w:color="auto" w:fill="FFFFFF"/>
        </w:rPr>
        <w:t xml:space="preserve"> 配置标准：到2020年，按照每千常住人口不低于1.5张床位为社会办医院预留规划空间，同步预留诊疗科目设置和大型医用设备配置空间。</w:t>
      </w:r>
    </w:p>
    <w:p w:rsidR="007276EE" w:rsidRPr="007276EE" w:rsidRDefault="007276EE" w:rsidP="000A3365">
      <w:pPr>
        <w:pStyle w:val="3"/>
        <w:spacing w:line="580" w:lineRule="exact"/>
        <w:ind w:firstLine="643"/>
        <w:contextualSpacing/>
        <w:rPr>
          <w:rFonts w:ascii="仿宋_GB2312" w:hAnsi="仿宋_GB2312" w:cs="仿宋_GB2312"/>
          <w:sz w:val="30"/>
          <w:szCs w:val="30"/>
        </w:rPr>
      </w:pPr>
      <w:r w:rsidRPr="007276EE">
        <w:rPr>
          <w:rFonts w:ascii="仿宋_GB2312" w:hAnsi="仿宋_GB2312" w:cs="仿宋_GB2312" w:hint="eastAsia"/>
          <w:sz w:val="30"/>
          <w:szCs w:val="30"/>
        </w:rPr>
        <w:t>（二）基层医疗卫生机构设置</w:t>
      </w:r>
    </w:p>
    <w:p w:rsidR="007276EE" w:rsidRPr="007276EE" w:rsidRDefault="007276EE" w:rsidP="000A3365">
      <w:pPr>
        <w:spacing w:line="580" w:lineRule="exact"/>
        <w:ind w:firstLine="640"/>
        <w:contextualSpacing/>
        <w:rPr>
          <w:rFonts w:ascii="仿宋_GB2312" w:hAnsi="仿宋_GB2312" w:cs="仿宋_GB2312"/>
          <w:sz w:val="30"/>
          <w:szCs w:val="30"/>
          <w:shd w:val="clear" w:color="auto" w:fill="FFFFFF"/>
        </w:rPr>
      </w:pPr>
      <w:r w:rsidRPr="007276EE">
        <w:rPr>
          <w:rFonts w:ascii="仿宋_GB2312" w:hAnsi="仿宋_GB2312" w:cs="仿宋_GB2312" w:hint="eastAsia"/>
          <w:sz w:val="30"/>
          <w:szCs w:val="30"/>
          <w:shd w:val="clear" w:color="auto" w:fill="FFFFFF"/>
        </w:rPr>
        <w:t>基层医疗卫生机构的主要职责是提供预防、保健、健康教育、计划生育等基本公共卫生服务，常见病、多发病的诊疗服务，为诊断明确、病情稳定的慢性病患者、康复期患者、老年病患者、晚期肿瘤患</w:t>
      </w:r>
      <w:r w:rsidRPr="007276EE">
        <w:rPr>
          <w:rFonts w:ascii="仿宋_GB2312" w:hAnsi="仿宋_GB2312" w:cs="仿宋_GB2312" w:hint="eastAsia"/>
          <w:sz w:val="30"/>
          <w:szCs w:val="30"/>
          <w:shd w:val="clear" w:color="auto" w:fill="FFFFFF"/>
        </w:rPr>
        <w:lastRenderedPageBreak/>
        <w:t>者等提供治疗、康复、护理服务，向医院转诊超出自身服务能力的危急和疑难重症病人。基层医疗卫生机构主要包括乡镇卫生院、社区卫生服务中心（站）、村卫生室、医务室、门诊部等。</w:t>
      </w:r>
    </w:p>
    <w:p w:rsidR="007276EE" w:rsidRPr="007276EE" w:rsidRDefault="007276EE" w:rsidP="000A3365">
      <w:pPr>
        <w:pStyle w:val="3"/>
        <w:spacing w:line="580" w:lineRule="exact"/>
        <w:ind w:firstLine="643"/>
        <w:contextualSpacing/>
        <w:rPr>
          <w:rFonts w:ascii="仿宋_GB2312" w:hAnsi="仿宋_GB2312" w:cs="仿宋_GB2312"/>
          <w:sz w:val="30"/>
          <w:szCs w:val="30"/>
        </w:rPr>
      </w:pPr>
      <w:bookmarkStart w:id="2" w:name="_Toc27092"/>
      <w:r w:rsidRPr="007276EE">
        <w:rPr>
          <w:rFonts w:ascii="仿宋_GB2312" w:hAnsi="仿宋_GB2312" w:cs="仿宋_GB2312" w:hint="eastAsia"/>
          <w:sz w:val="30"/>
          <w:szCs w:val="30"/>
        </w:rPr>
        <w:t>1.乡镇卫生院和社区卫生服务中心</w:t>
      </w:r>
      <w:bookmarkEnd w:id="2"/>
    </w:p>
    <w:p w:rsidR="007276EE" w:rsidRPr="007276EE" w:rsidRDefault="007276EE" w:rsidP="000A3365">
      <w:pPr>
        <w:spacing w:line="580" w:lineRule="exact"/>
        <w:contextualSpacing/>
        <w:rPr>
          <w:rFonts w:ascii="仿宋_GB2312" w:hAnsi="仿宋_GB2312" w:cs="仿宋_GB2312"/>
          <w:sz w:val="30"/>
          <w:szCs w:val="30"/>
          <w:shd w:val="clear" w:color="auto" w:fill="FFFFFF"/>
        </w:rPr>
      </w:pPr>
      <w:r w:rsidRPr="007276EE">
        <w:rPr>
          <w:rFonts w:ascii="仿宋_GB2312" w:hAnsi="仿宋_GB2312" w:cs="仿宋_GB2312" w:hint="eastAsia"/>
          <w:sz w:val="30"/>
          <w:szCs w:val="30"/>
          <w:shd w:val="clear" w:color="auto" w:fill="FFFFFF"/>
        </w:rPr>
        <w:t xml:space="preserve">    功能定位：乡镇卫生院和社区卫生服务中心负责提供基本公共卫生服务，以及常见病、多发病的诊疗护理、康复治疗、康复训练等综合服务，并受上级卫生计生行政部门委托，承担辖区内的公共卫生管理工作，负责对村卫生室、社区卫生服务站的综合管理、技术指导和乡村医生的培训等。乡镇卫生院分为中心乡镇卫生院和一般乡镇卫生院，承担急诊抢救、二级以下常规手术、正常分娩、高危孕产妇筛查、儿科等医疗服务。中心乡镇卫生院着重强化医疗服务能力并承担周边区域内一般乡镇卫生院的技术指导工作。 </w:t>
      </w:r>
    </w:p>
    <w:p w:rsidR="007276EE" w:rsidRPr="007276EE" w:rsidRDefault="007276EE" w:rsidP="000A3365">
      <w:pPr>
        <w:spacing w:line="580" w:lineRule="exact"/>
        <w:ind w:firstLine="560"/>
        <w:contextualSpacing/>
        <w:rPr>
          <w:rFonts w:ascii="仿宋_GB2312" w:hAnsi="仿宋_GB2312" w:cs="仿宋_GB2312"/>
          <w:sz w:val="30"/>
          <w:szCs w:val="30"/>
          <w:shd w:val="clear" w:color="auto" w:fill="FFFFFF"/>
        </w:rPr>
      </w:pPr>
      <w:r w:rsidRPr="007276EE">
        <w:rPr>
          <w:rFonts w:ascii="仿宋_GB2312" w:hAnsi="仿宋_GB2312" w:cs="仿宋_GB2312" w:hint="eastAsia"/>
          <w:sz w:val="30"/>
          <w:szCs w:val="30"/>
          <w:shd w:val="clear" w:color="auto" w:fill="FFFFFF"/>
        </w:rPr>
        <w:t>配置标准：乡镇卫生院、社区卫生服务中心按照乡镇、街道办事处行政区划或一定服务人口进行设置。到2020年，实现政府在每个乡镇办好1所标准化建设的乡镇卫生院，在每个街道办事处范围或每3—10万居民规划设置1所社区卫生服务中心。全面提升乡镇卫生院服务能力和水平，综合考虑城镇化、地理位置、人口聚集程度等因素，可以选择1/3左右的乡镇卫生院提升服务能力和水平，建设中心乡镇卫生院。有条件的中心乡镇卫生院可以建设成为县办医院分院。市级综合医院和市级专科医院可以在中心城区周边及4个功能区设置社区卫生服务中心。县级综合医院和县级专科医院可以在城区和周边以及新建功能区设置社区卫生服务中心，县域城关镇撤并的原卫生院，可</w:t>
      </w:r>
      <w:r w:rsidRPr="007276EE">
        <w:rPr>
          <w:rFonts w:ascii="仿宋_GB2312" w:hAnsi="仿宋_GB2312" w:cs="仿宋_GB2312" w:hint="eastAsia"/>
          <w:sz w:val="30"/>
          <w:szCs w:val="30"/>
          <w:shd w:val="clear" w:color="auto" w:fill="FFFFFF"/>
        </w:rPr>
        <w:lastRenderedPageBreak/>
        <w:t>以整体转型为社区卫生服务中心或县级医院分院。</w:t>
      </w:r>
      <w:bookmarkStart w:id="3" w:name="_Toc22922"/>
    </w:p>
    <w:p w:rsidR="007276EE" w:rsidRPr="007276EE" w:rsidRDefault="007276EE" w:rsidP="000A3365">
      <w:pPr>
        <w:spacing w:line="580" w:lineRule="exact"/>
        <w:ind w:firstLine="560"/>
        <w:contextualSpacing/>
        <w:rPr>
          <w:rFonts w:ascii="仿宋_GB2312" w:hAnsi="仿宋_GB2312" w:cs="仿宋_GB2312"/>
          <w:b/>
          <w:bCs/>
          <w:kern w:val="0"/>
          <w:sz w:val="30"/>
          <w:szCs w:val="30"/>
        </w:rPr>
      </w:pPr>
      <w:r w:rsidRPr="007276EE">
        <w:rPr>
          <w:rFonts w:ascii="仿宋_GB2312" w:hAnsi="仿宋_GB2312" w:cs="仿宋_GB2312" w:hint="eastAsia"/>
          <w:b/>
          <w:bCs/>
          <w:kern w:val="0"/>
          <w:sz w:val="30"/>
          <w:szCs w:val="30"/>
        </w:rPr>
        <w:t>2.村卫生室和社区卫生服务站</w:t>
      </w:r>
      <w:bookmarkEnd w:id="3"/>
    </w:p>
    <w:p w:rsidR="007276EE" w:rsidRPr="007276EE" w:rsidRDefault="007276EE" w:rsidP="000A3365">
      <w:pPr>
        <w:pStyle w:val="3"/>
        <w:spacing w:line="580" w:lineRule="exact"/>
        <w:contextualSpacing/>
        <w:rPr>
          <w:rFonts w:ascii="仿宋_GB2312" w:hAnsi="仿宋_GB2312" w:cs="仿宋_GB2312"/>
          <w:b w:val="0"/>
          <w:bCs w:val="0"/>
          <w:kern w:val="2"/>
          <w:sz w:val="30"/>
          <w:szCs w:val="30"/>
          <w:shd w:val="clear" w:color="auto" w:fill="FFFFFF"/>
        </w:rPr>
      </w:pPr>
      <w:r w:rsidRPr="007276EE">
        <w:rPr>
          <w:rFonts w:ascii="仿宋_GB2312" w:hAnsi="仿宋_GB2312" w:cs="仿宋_GB2312" w:hint="eastAsia"/>
          <w:b w:val="0"/>
          <w:bCs w:val="0"/>
          <w:kern w:val="2"/>
          <w:sz w:val="30"/>
          <w:szCs w:val="30"/>
          <w:shd w:val="clear" w:color="auto" w:fill="FFFFFF"/>
        </w:rPr>
        <w:t xml:space="preserve">  功能定位：村卫生室、社区卫生服务站在乡镇卫生院和社区卫生服务中心的统一管理和指导下，承担行政村、居委会范围内人群的基本公共卫生服务和普通常见病、多发病的初级诊治、康复等工作。</w:t>
      </w:r>
    </w:p>
    <w:p w:rsidR="007276EE" w:rsidRPr="007276EE" w:rsidRDefault="007276EE" w:rsidP="000A3365">
      <w:pPr>
        <w:spacing w:line="580" w:lineRule="exact"/>
        <w:ind w:firstLine="640"/>
        <w:contextualSpacing/>
        <w:rPr>
          <w:rFonts w:ascii="仿宋_GB2312" w:hAnsi="仿宋_GB2312" w:cs="仿宋_GB2312"/>
          <w:sz w:val="30"/>
          <w:szCs w:val="30"/>
          <w:shd w:val="clear" w:color="auto" w:fill="FFFFFF"/>
        </w:rPr>
      </w:pPr>
      <w:r w:rsidRPr="007276EE">
        <w:rPr>
          <w:rFonts w:ascii="仿宋_GB2312" w:hAnsi="仿宋_GB2312" w:cs="仿宋_GB2312" w:hint="eastAsia"/>
          <w:sz w:val="30"/>
          <w:szCs w:val="30"/>
          <w:shd w:val="clear" w:color="auto" w:fill="FFFFFF"/>
        </w:rPr>
        <w:t>配置标准：原则上每个行政村设置1所标准化村卫生室。人口较多或居住分散、居民就医不便的行政村可增设村卫生室。按照街道办事处所辖范围设置1-3所社区卫生服务站。</w:t>
      </w:r>
    </w:p>
    <w:p w:rsidR="007276EE" w:rsidRPr="007276EE" w:rsidRDefault="007276EE" w:rsidP="000A3365">
      <w:pPr>
        <w:pStyle w:val="3"/>
        <w:spacing w:line="580" w:lineRule="exact"/>
        <w:contextualSpacing/>
        <w:rPr>
          <w:rFonts w:ascii="仿宋_GB2312" w:hAnsi="仿宋_GB2312" w:cs="仿宋_GB2312"/>
          <w:sz w:val="30"/>
          <w:szCs w:val="30"/>
        </w:rPr>
      </w:pPr>
      <w:bookmarkStart w:id="4" w:name="_Toc6693"/>
      <w:bookmarkStart w:id="5" w:name="_Toc12445"/>
      <w:r w:rsidRPr="007276EE">
        <w:rPr>
          <w:rFonts w:ascii="仿宋_GB2312" w:hAnsi="仿宋_GB2312" w:cs="仿宋_GB2312" w:hint="eastAsia"/>
          <w:sz w:val="30"/>
          <w:szCs w:val="30"/>
        </w:rPr>
        <w:t xml:space="preserve">   （三）公共卫生机构设置</w:t>
      </w:r>
      <w:bookmarkEnd w:id="4"/>
      <w:bookmarkEnd w:id="5"/>
    </w:p>
    <w:p w:rsidR="007276EE" w:rsidRPr="007276EE" w:rsidRDefault="007276EE" w:rsidP="000A3365">
      <w:pPr>
        <w:spacing w:line="580" w:lineRule="exact"/>
        <w:contextualSpacing/>
        <w:rPr>
          <w:rFonts w:ascii="仿宋_GB2312" w:hAnsi="仿宋_GB2312" w:cs="仿宋_GB2312"/>
          <w:sz w:val="30"/>
          <w:szCs w:val="30"/>
          <w:shd w:val="clear" w:color="auto" w:fill="FFFFFF"/>
        </w:rPr>
      </w:pPr>
      <w:r w:rsidRPr="007276EE">
        <w:rPr>
          <w:rFonts w:ascii="仿宋_GB2312" w:hAnsi="仿宋_GB2312" w:cs="仿宋_GB2312" w:hint="eastAsia"/>
          <w:sz w:val="30"/>
          <w:szCs w:val="30"/>
          <w:shd w:val="clear" w:color="auto" w:fill="FFFFFF"/>
        </w:rPr>
        <w:t xml:space="preserve">    专业公共卫生机构是向辖区内提供专业公共卫生服务，主要包括疾病预防控制、健康教育、妇幼保健、计划生育服务、精神卫生、急救、采供血、综合监督执法、食品安全风险监测评估与标准管理、计划免疫、出生缺陷防治等，并承担相应管理工作的机构。专业公共卫生机构主要包括疾病预防控制机构、卫生监督机构、妇幼保健计划生育服务机构、急救中心（站）、血站等，原则上由政府举办。</w:t>
      </w:r>
    </w:p>
    <w:p w:rsidR="007276EE" w:rsidRPr="007276EE" w:rsidRDefault="007276EE" w:rsidP="000A3365">
      <w:pPr>
        <w:spacing w:line="580" w:lineRule="exact"/>
        <w:contextualSpacing/>
        <w:rPr>
          <w:rFonts w:ascii="仿宋_GB2312" w:hAnsi="仿宋_GB2312" w:cs="仿宋_GB2312"/>
          <w:sz w:val="30"/>
          <w:szCs w:val="30"/>
          <w:shd w:val="clear" w:color="auto" w:fill="FFFFFF"/>
        </w:rPr>
      </w:pPr>
      <w:r w:rsidRPr="007276EE">
        <w:rPr>
          <w:rFonts w:ascii="仿宋_GB2312" w:hAnsi="仿宋_GB2312" w:cs="仿宋_GB2312" w:hint="eastAsia"/>
          <w:sz w:val="30"/>
          <w:szCs w:val="30"/>
          <w:shd w:val="clear" w:color="auto" w:fill="FFFFFF"/>
        </w:rPr>
        <w:t xml:space="preserve">    专业公共卫生机构要按照辖区常住人口数、服务范围、工作量等因素合理设置专业公共卫生机构。加强区域公共卫生服务资源整合，鼓励组建综合性公共卫生服务中心。专业公共卫生机构实行按行政区划分级设置，县级及以上每个行政区划内同类专业公共卫生机构原则上只设置一个、县级以下由社区卫生服务中心（站）、乡镇卫生院（妇幼保健计划生育服务站）和村卫生室、计划生育服务室承担相关工作。</w:t>
      </w:r>
    </w:p>
    <w:p w:rsidR="007276EE" w:rsidRPr="007276EE" w:rsidRDefault="007276EE" w:rsidP="000A3365">
      <w:pPr>
        <w:pStyle w:val="3"/>
        <w:spacing w:line="580" w:lineRule="exact"/>
        <w:contextualSpacing/>
        <w:rPr>
          <w:rFonts w:ascii="仿宋_GB2312" w:hAnsi="仿宋_GB2312" w:cs="仿宋_GB2312"/>
          <w:sz w:val="30"/>
          <w:szCs w:val="30"/>
        </w:rPr>
      </w:pPr>
      <w:bookmarkStart w:id="6" w:name="_Toc5619"/>
      <w:r w:rsidRPr="007276EE">
        <w:rPr>
          <w:rFonts w:ascii="仿宋_GB2312" w:hAnsi="仿宋_GB2312" w:cs="仿宋_GB2312" w:hint="eastAsia"/>
          <w:sz w:val="30"/>
          <w:szCs w:val="30"/>
        </w:rPr>
        <w:lastRenderedPageBreak/>
        <w:t xml:space="preserve">   1.疾病预防控制机构设置</w:t>
      </w:r>
      <w:bookmarkEnd w:id="6"/>
    </w:p>
    <w:p w:rsidR="007276EE" w:rsidRPr="007276EE" w:rsidRDefault="007276EE" w:rsidP="000A3365">
      <w:pPr>
        <w:spacing w:line="580" w:lineRule="exact"/>
        <w:contextualSpacing/>
        <w:rPr>
          <w:rFonts w:ascii="仿宋_GB2312" w:hAnsi="仿宋_GB2312" w:cs="仿宋_GB2312"/>
          <w:sz w:val="30"/>
          <w:szCs w:val="30"/>
          <w:shd w:val="clear" w:color="auto" w:fill="FFFFFF"/>
        </w:rPr>
      </w:pPr>
      <w:r w:rsidRPr="007276EE">
        <w:rPr>
          <w:rFonts w:ascii="仿宋_GB2312" w:hAnsi="仿宋_GB2312" w:cs="仿宋_GB2312" w:hint="eastAsia"/>
          <w:sz w:val="30"/>
          <w:szCs w:val="30"/>
          <w:shd w:val="clear" w:color="auto" w:fill="FFFFFF"/>
        </w:rPr>
        <w:t xml:space="preserve">    市、县级每个行政区划内原则上只设1个疾病预防控制中心，不再单设置其他专病预防控制机构，即南阳市疾控中心和12个县区疾控中心。有条件的功能区可以设置疾控中心，其他设置疾控中心条件不成熟的功能区，可以由原属地管理的疾控中心代管。</w:t>
      </w:r>
    </w:p>
    <w:p w:rsidR="007276EE" w:rsidRPr="007276EE" w:rsidRDefault="007276EE" w:rsidP="000A3365">
      <w:pPr>
        <w:pStyle w:val="3"/>
        <w:spacing w:line="580" w:lineRule="exact"/>
        <w:contextualSpacing/>
        <w:rPr>
          <w:rFonts w:ascii="仿宋_GB2312" w:hAnsi="仿宋_GB2312" w:cs="仿宋_GB2312"/>
          <w:sz w:val="30"/>
          <w:szCs w:val="30"/>
        </w:rPr>
      </w:pPr>
      <w:bookmarkStart w:id="7" w:name="_Toc20148"/>
      <w:r w:rsidRPr="007276EE">
        <w:rPr>
          <w:rFonts w:ascii="仿宋_GB2312" w:hAnsi="仿宋_GB2312" w:cs="仿宋_GB2312" w:hint="eastAsia"/>
          <w:sz w:val="30"/>
          <w:szCs w:val="30"/>
        </w:rPr>
        <w:t xml:space="preserve">   2.妇幼保健机构设置</w:t>
      </w:r>
      <w:bookmarkEnd w:id="7"/>
    </w:p>
    <w:p w:rsidR="007276EE" w:rsidRPr="007276EE" w:rsidRDefault="007276EE" w:rsidP="000A3365">
      <w:pPr>
        <w:spacing w:line="580" w:lineRule="exact"/>
        <w:contextualSpacing/>
        <w:rPr>
          <w:rFonts w:ascii="仿宋_GB2312" w:hAnsi="仿宋_GB2312" w:cs="仿宋_GB2312"/>
          <w:sz w:val="30"/>
          <w:szCs w:val="30"/>
          <w:shd w:val="clear" w:color="auto" w:fill="FFFFFF"/>
        </w:rPr>
      </w:pPr>
      <w:r w:rsidRPr="007276EE">
        <w:rPr>
          <w:rFonts w:ascii="仿宋_GB2312" w:hAnsi="仿宋_GB2312" w:cs="仿宋_GB2312" w:hint="eastAsia"/>
          <w:sz w:val="30"/>
          <w:szCs w:val="30"/>
          <w:shd w:val="clear" w:color="auto" w:fill="FFFFFF"/>
        </w:rPr>
        <w:t xml:space="preserve">    市办和县办妇幼保健机构与计划生育技术服务机构原则上应当予以整合，分别成立市办、县办妇幼保健计划生育服务中心。整合乡办计划生育技术服务机构与乡（镇）卫生院的妇幼保健职能。村级保留村卫生室和村计划生育服务室，共享共用。</w:t>
      </w:r>
    </w:p>
    <w:p w:rsidR="007276EE" w:rsidRPr="007276EE" w:rsidRDefault="007276EE" w:rsidP="000A3365">
      <w:pPr>
        <w:pStyle w:val="3"/>
        <w:spacing w:line="580" w:lineRule="exact"/>
        <w:contextualSpacing/>
        <w:rPr>
          <w:rFonts w:ascii="仿宋_GB2312" w:hAnsi="仿宋_GB2312" w:cs="仿宋_GB2312"/>
          <w:sz w:val="30"/>
          <w:szCs w:val="30"/>
        </w:rPr>
      </w:pPr>
      <w:r w:rsidRPr="007276EE">
        <w:rPr>
          <w:rFonts w:ascii="仿宋_GB2312" w:hAnsi="仿宋_GB2312" w:cs="仿宋_GB2312" w:hint="eastAsia"/>
          <w:sz w:val="30"/>
          <w:szCs w:val="30"/>
        </w:rPr>
        <w:t xml:space="preserve">   3.卫生计生综合执法机构设置</w:t>
      </w:r>
    </w:p>
    <w:p w:rsidR="007276EE" w:rsidRPr="007276EE" w:rsidRDefault="007276EE" w:rsidP="000A3365">
      <w:pPr>
        <w:spacing w:line="580" w:lineRule="exact"/>
        <w:contextualSpacing/>
        <w:rPr>
          <w:rFonts w:ascii="仿宋_GB2312" w:hAnsi="仿宋_GB2312" w:cs="仿宋_GB2312"/>
          <w:sz w:val="30"/>
          <w:szCs w:val="30"/>
          <w:shd w:val="clear" w:color="auto" w:fill="FFFFFF"/>
        </w:rPr>
      </w:pPr>
      <w:r w:rsidRPr="007276EE">
        <w:rPr>
          <w:rFonts w:ascii="仿宋_GB2312" w:hAnsi="仿宋_GB2312" w:cs="仿宋_GB2312" w:hint="eastAsia"/>
          <w:sz w:val="30"/>
          <w:szCs w:val="30"/>
          <w:shd w:val="clear" w:color="auto" w:fill="FFFFFF"/>
        </w:rPr>
        <w:t xml:space="preserve">    各县（区）政府要根据工作职责，规范卫生计生综合监督执法机构的设置，由其承担卫生计生综合监督执法任务。市、县（区）均设置1所政府举办的卫生计生综合监督执法机构。</w:t>
      </w:r>
    </w:p>
    <w:p w:rsidR="007276EE" w:rsidRPr="007276EE" w:rsidRDefault="007276EE" w:rsidP="000A3365">
      <w:pPr>
        <w:pStyle w:val="3"/>
        <w:spacing w:line="580" w:lineRule="exact"/>
        <w:contextualSpacing/>
        <w:rPr>
          <w:rFonts w:ascii="仿宋_GB2312" w:hAnsi="仿宋_GB2312" w:cs="仿宋_GB2312"/>
          <w:sz w:val="30"/>
          <w:szCs w:val="30"/>
        </w:rPr>
      </w:pPr>
      <w:bookmarkStart w:id="8" w:name="_Toc20760"/>
      <w:r w:rsidRPr="007276EE">
        <w:rPr>
          <w:rFonts w:ascii="仿宋_GB2312" w:hAnsi="仿宋_GB2312" w:cs="仿宋_GB2312" w:hint="eastAsia"/>
          <w:sz w:val="30"/>
          <w:szCs w:val="30"/>
        </w:rPr>
        <w:t xml:space="preserve">   4.卫生应急医疗救治机构设置</w:t>
      </w:r>
      <w:bookmarkEnd w:id="8"/>
    </w:p>
    <w:p w:rsidR="007276EE" w:rsidRPr="007276EE" w:rsidRDefault="007276EE" w:rsidP="000A3365">
      <w:pPr>
        <w:spacing w:line="580" w:lineRule="exact"/>
        <w:contextualSpacing/>
        <w:rPr>
          <w:rFonts w:ascii="仿宋_GB2312" w:hAnsi="仿宋_GB2312" w:cs="仿宋_GB2312"/>
          <w:sz w:val="30"/>
          <w:szCs w:val="30"/>
          <w:shd w:val="clear" w:color="auto" w:fill="FFFFFF"/>
        </w:rPr>
      </w:pPr>
      <w:r w:rsidRPr="007276EE">
        <w:rPr>
          <w:rFonts w:ascii="仿宋_GB2312" w:hAnsi="仿宋_GB2312" w:cs="仿宋_GB2312" w:hint="eastAsia"/>
          <w:sz w:val="30"/>
          <w:szCs w:val="30"/>
          <w:shd w:val="clear" w:color="auto" w:fill="FFFFFF"/>
        </w:rPr>
        <w:t xml:space="preserve">    以南阳市120急救指挥中心为龙头，10个县120急救指挥中心和院前急救网络医院（站）共同建成比较完善的、独立运行的、覆盖全南阳市的120急救指挥网络。宛城、卧龙和4个功能区以及南阳市新能源产业集聚区等可根据实际情况，依托有实力的二级以上医院建设院前急救站，在南阳市120急救指挥中心的统一调度下，形成中心城区院前急救指挥网络。</w:t>
      </w:r>
    </w:p>
    <w:p w:rsidR="007276EE" w:rsidRPr="007276EE" w:rsidRDefault="007276EE" w:rsidP="000A3365">
      <w:pPr>
        <w:pStyle w:val="3"/>
        <w:spacing w:line="580" w:lineRule="exact"/>
        <w:contextualSpacing/>
        <w:rPr>
          <w:rFonts w:ascii="仿宋_GB2312" w:hAnsi="仿宋_GB2312" w:cs="仿宋_GB2312"/>
          <w:sz w:val="30"/>
          <w:szCs w:val="30"/>
        </w:rPr>
      </w:pPr>
      <w:bookmarkStart w:id="9" w:name="_Toc6267"/>
      <w:r w:rsidRPr="007276EE">
        <w:rPr>
          <w:rFonts w:ascii="仿宋_GB2312" w:hAnsi="仿宋_GB2312" w:cs="仿宋_GB2312" w:hint="eastAsia"/>
          <w:sz w:val="30"/>
          <w:szCs w:val="30"/>
        </w:rPr>
        <w:lastRenderedPageBreak/>
        <w:t xml:space="preserve">   5.精神卫生防治中心机构设置</w:t>
      </w:r>
      <w:bookmarkEnd w:id="9"/>
    </w:p>
    <w:p w:rsidR="007276EE" w:rsidRPr="007276EE" w:rsidRDefault="007276EE" w:rsidP="000A3365">
      <w:pPr>
        <w:spacing w:line="580" w:lineRule="exact"/>
        <w:contextualSpacing/>
        <w:rPr>
          <w:rFonts w:ascii="仿宋_GB2312" w:hAnsi="仿宋_GB2312" w:cs="仿宋_GB2312"/>
          <w:sz w:val="30"/>
          <w:szCs w:val="30"/>
          <w:shd w:val="clear" w:color="auto" w:fill="FFFFFF"/>
        </w:rPr>
      </w:pPr>
      <w:r w:rsidRPr="007276EE">
        <w:rPr>
          <w:rFonts w:ascii="仿宋_GB2312" w:hAnsi="仿宋_GB2312" w:cs="仿宋_GB2312" w:hint="eastAsia"/>
          <w:sz w:val="30"/>
          <w:szCs w:val="30"/>
          <w:shd w:val="clear" w:color="auto" w:fill="FFFFFF"/>
        </w:rPr>
        <w:t xml:space="preserve">    以专业精神卫生机构为主体、综合性医院精神科为辅助、基层医疗卫生机构和精神疾病社区康复机构为基础，重点加强县级精神卫生专业机构和精神障碍社区康复机构服务能力建设，建立健全精神卫生服务体系和网络，完善各级精神卫生综合管理协调机制。市级设置1所精神卫生防治中心---南阳市精神病医院；12个县区根据实际情况，设置1所精神卫生防治机构或在综合医院设置精神病防治专科，支持百万人口以上精神卫生资源空白的人口大县新建精神专科医院，或依托有精神专科特长的综合医院建设精神病区。</w:t>
      </w:r>
    </w:p>
    <w:p w:rsidR="007276EE" w:rsidRPr="007276EE" w:rsidRDefault="007276EE" w:rsidP="000A3365">
      <w:pPr>
        <w:pStyle w:val="3"/>
        <w:spacing w:line="580" w:lineRule="exact"/>
        <w:contextualSpacing/>
        <w:rPr>
          <w:rFonts w:ascii="仿宋_GB2312" w:hAnsi="仿宋_GB2312" w:cs="仿宋_GB2312"/>
          <w:sz w:val="30"/>
          <w:szCs w:val="30"/>
        </w:rPr>
      </w:pPr>
      <w:bookmarkStart w:id="10" w:name="_Toc5486"/>
      <w:r w:rsidRPr="007276EE">
        <w:rPr>
          <w:rFonts w:ascii="仿宋_GB2312" w:hAnsi="仿宋_GB2312" w:cs="仿宋_GB2312" w:hint="eastAsia"/>
          <w:sz w:val="30"/>
          <w:szCs w:val="30"/>
        </w:rPr>
        <w:t xml:space="preserve">   6.采供血机构设置</w:t>
      </w:r>
      <w:bookmarkEnd w:id="10"/>
    </w:p>
    <w:p w:rsidR="007276EE" w:rsidRPr="007276EE" w:rsidRDefault="007276EE" w:rsidP="000A3365">
      <w:pPr>
        <w:pStyle w:val="a6"/>
        <w:widowControl w:val="0"/>
        <w:spacing w:before="0" w:beforeAutospacing="0" w:after="0" w:afterAutospacing="0" w:line="580" w:lineRule="exact"/>
        <w:ind w:firstLine="420"/>
        <w:contextualSpacing/>
        <w:rPr>
          <w:rFonts w:ascii="仿宋_GB2312" w:eastAsia="仿宋_GB2312" w:hAnsi="仿宋_GB2312" w:cs="仿宋_GB2312"/>
          <w:sz w:val="30"/>
          <w:szCs w:val="30"/>
        </w:rPr>
      </w:pPr>
      <w:r w:rsidRPr="007276EE">
        <w:rPr>
          <w:rFonts w:ascii="仿宋_GB2312" w:eastAsia="仿宋_GB2312" w:hAnsi="仿宋_GB2312" w:cs="仿宋_GB2312" w:hint="eastAsia"/>
          <w:sz w:val="30"/>
          <w:szCs w:val="30"/>
          <w:shd w:val="clear" w:color="auto" w:fill="FFFFFF"/>
        </w:rPr>
        <w:t xml:space="preserve"> </w:t>
      </w:r>
      <w:r w:rsidRPr="007276EE">
        <w:rPr>
          <w:rFonts w:ascii="仿宋_GB2312" w:eastAsia="仿宋_GB2312" w:hAnsi="仿宋_GB2312" w:cs="仿宋_GB2312" w:hint="eastAsia"/>
          <w:sz w:val="30"/>
          <w:szCs w:val="30"/>
        </w:rPr>
        <w:t>市级设置1所中心血站---南阳市中心血站，负责辖区内无偿献血的招募、血液的采集与制备、血液检测及统计信息、临床用血供应、医疗临床用血的业务指导以及辖区的血液质量控制。中心血站根据服务区域实际需要，可以设置分站和固定采供血点（不得进行检测）。13个县市区（含邓州市）可依托县市区办综合医院规划设置1个储血点，负责辖区内或市卫生行政部门指定区域的供血任务。</w:t>
      </w:r>
    </w:p>
    <w:p w:rsidR="007276EE" w:rsidRPr="007276EE" w:rsidRDefault="007276EE" w:rsidP="000A3365">
      <w:pPr>
        <w:pStyle w:val="a6"/>
        <w:widowControl w:val="0"/>
        <w:spacing w:before="0" w:beforeAutospacing="0" w:after="0" w:afterAutospacing="0" w:line="580" w:lineRule="exact"/>
        <w:ind w:left="420"/>
        <w:contextualSpacing/>
        <w:rPr>
          <w:rFonts w:ascii="仿宋_GB2312" w:eastAsia="仿宋_GB2312" w:hAnsi="仿宋_GB2312" w:cs="仿宋_GB2312"/>
          <w:b/>
          <w:bCs/>
          <w:sz w:val="30"/>
          <w:szCs w:val="30"/>
        </w:rPr>
      </w:pPr>
      <w:r w:rsidRPr="007276EE">
        <w:rPr>
          <w:rFonts w:ascii="仿宋_GB2312" w:eastAsia="仿宋_GB2312" w:hAnsi="仿宋_GB2312" w:cs="仿宋_GB2312" w:hint="eastAsia"/>
          <w:b/>
          <w:bCs/>
          <w:sz w:val="30"/>
          <w:szCs w:val="30"/>
        </w:rPr>
        <w:t xml:space="preserve"> （四）中医医疗服务体系</w:t>
      </w:r>
    </w:p>
    <w:p w:rsidR="007276EE" w:rsidRPr="007276EE" w:rsidRDefault="007276EE" w:rsidP="000A3365">
      <w:pPr>
        <w:pStyle w:val="a6"/>
        <w:widowControl w:val="0"/>
        <w:spacing w:before="0" w:beforeAutospacing="0" w:after="0" w:afterAutospacing="0" w:line="580" w:lineRule="exact"/>
        <w:contextualSpacing/>
        <w:rPr>
          <w:rFonts w:ascii="仿宋_GB2312" w:eastAsia="仿宋_GB2312" w:hAnsi="仿宋_GB2312" w:cs="仿宋_GB2312"/>
          <w:sz w:val="30"/>
          <w:szCs w:val="30"/>
        </w:rPr>
      </w:pPr>
      <w:r w:rsidRPr="007276EE">
        <w:rPr>
          <w:rFonts w:ascii="仿宋_GB2312" w:eastAsia="仿宋_GB2312" w:hAnsi="仿宋_GB2312" w:cs="仿宋_GB2312" w:hint="eastAsia"/>
          <w:sz w:val="30"/>
          <w:szCs w:val="30"/>
        </w:rPr>
        <w:t xml:space="preserve">    实现南阳市城乡中医药服务网络的全覆盖。探索利用社会多元办医模式，发展门诊部、诊所等多种中医药服务形态。提升南阳市中医院服务能级，加强“十二五”期间中央投资项目未扶持建设的县区中医院建设。加快卧龙区中医院迁建。在中医医疗资源薄弱区域，建设由二级中医医院负责管理的中医门诊部，促进中医优质医疗资源均衡</w:t>
      </w:r>
      <w:r w:rsidRPr="007276EE">
        <w:rPr>
          <w:rFonts w:ascii="仿宋_GB2312" w:eastAsia="仿宋_GB2312" w:hAnsi="仿宋_GB2312" w:cs="仿宋_GB2312" w:hint="eastAsia"/>
          <w:sz w:val="30"/>
          <w:szCs w:val="30"/>
        </w:rPr>
        <w:lastRenderedPageBreak/>
        <w:t>化。开展综合医院和社区卫生服务中心中医科的标准化建设。促进中医医疗资源整合，探索建立以三级中医医院为核心，由若干中医医疗机构及社区卫生服务中心组成的中医医疗联合体。改造提升市中医院、建设完善南阳医专附属中医院、宛西张仲景医院，使中心城区达到3个三级甲等中医医院标准。12个县区中医院达到二级甲等标准。全部乡镇卫生院和社区卫生服务中心建成“中医堂”，80%的村卫生室具备中医药服务能力，鼓励零售药店提供中医坐堂诊疗服务，基层中医药服务量达到总服务量的30%以上。培育20家具有一定规模和市场竞争力的中医药服务贸易骨干企业（机构），3—5家中医药服务贸易示范园区（基地）。完善中医药事业发展政策和机制。大力提升中医医疗服务能力，探索改进中医医院服务模式。深入开展中医“治未病”服务，积极促进中医药养生保健、康复、健康管理、健康养老、健康旅游等特色服务。建立完善中医医疗质量控制体系和评审评价体系。推进中医药文化传承与中药产业发展。加快中医药科技进步，加强中医药国际交流与合作。建立健全现代中药材产业体系。</w:t>
      </w:r>
    </w:p>
    <w:p w:rsidR="007276EE" w:rsidRPr="007276EE" w:rsidRDefault="007276EE" w:rsidP="000A3365">
      <w:pPr>
        <w:pStyle w:val="a6"/>
        <w:widowControl w:val="0"/>
        <w:spacing w:before="0" w:beforeAutospacing="0" w:after="0" w:afterAutospacing="0" w:line="580" w:lineRule="exact"/>
        <w:contextualSpacing/>
        <w:rPr>
          <w:rFonts w:ascii="仿宋_GB2312" w:eastAsia="仿宋_GB2312" w:hAnsi="仿宋_GB2312" w:cs="仿宋_GB2312"/>
          <w:b/>
          <w:bCs/>
          <w:sz w:val="30"/>
          <w:szCs w:val="30"/>
        </w:rPr>
      </w:pPr>
      <w:r w:rsidRPr="007276EE">
        <w:rPr>
          <w:rFonts w:ascii="仿宋_GB2312" w:eastAsia="仿宋_GB2312" w:hAnsi="仿宋_GB2312" w:cs="仿宋_GB2312" w:hint="eastAsia"/>
          <w:b/>
          <w:bCs/>
          <w:sz w:val="30"/>
          <w:szCs w:val="30"/>
        </w:rPr>
        <w:t xml:space="preserve">    （五）医疗养老护理服务体系</w:t>
      </w:r>
    </w:p>
    <w:p w:rsidR="007276EE" w:rsidRPr="007276EE" w:rsidRDefault="007276EE" w:rsidP="000A3365">
      <w:pPr>
        <w:spacing w:line="580" w:lineRule="exact"/>
        <w:contextualSpacing/>
        <w:rPr>
          <w:rFonts w:ascii="仿宋_GB2312" w:hAnsi="仿宋_GB2312" w:cs="仿宋_GB2312"/>
          <w:sz w:val="30"/>
          <w:szCs w:val="30"/>
          <w:shd w:val="clear" w:color="auto" w:fill="FFFFFF"/>
        </w:rPr>
      </w:pPr>
      <w:r w:rsidRPr="007276EE">
        <w:rPr>
          <w:rFonts w:ascii="仿宋_GB2312" w:hAnsi="仿宋_GB2312" w:cs="仿宋_GB2312" w:hint="eastAsia"/>
          <w:kern w:val="0"/>
          <w:sz w:val="30"/>
          <w:szCs w:val="30"/>
          <w:shd w:val="clear" w:color="auto" w:fill="FFFFFF"/>
        </w:rPr>
        <w:t xml:space="preserve">    鼓励建设医疗和养老机构结合体，建立“医中有养、养中有医”发展模式。支持有条件的医疗机构设置养老床位。各区县按照每千常住人口1.1张护理床位的标准，完善老年护理院设置布局，盘活现有社会办医疗机构存量资源，鼓励社会办医疗机构转型为老年护理院。鼓励有条件的县区整合和扩增现有资源，成立区域老年护理中心。推动二级以上医院与老年病医院、老年护理院、康复疗养机构、养老机</w:t>
      </w:r>
      <w:r w:rsidRPr="007276EE">
        <w:rPr>
          <w:rFonts w:ascii="仿宋_GB2312" w:hAnsi="仿宋_GB2312" w:cs="仿宋_GB2312" w:hint="eastAsia"/>
          <w:kern w:val="0"/>
          <w:sz w:val="30"/>
          <w:szCs w:val="30"/>
          <w:shd w:val="clear" w:color="auto" w:fill="FFFFFF"/>
        </w:rPr>
        <w:lastRenderedPageBreak/>
        <w:t>构内设医疗机构等之间的转诊与合作。在养老服务中充分融入健康理念，加强医疗卫生服务支撑。支持有条件的养老机构设置医疗机构。统筹医疗服务与养老服务资源，合理布局养老机构与老年病医院、老年护理院、康复疗养机构等，形成规模适宜、功能互补、安全便捷的健康养老服务网络。</w:t>
      </w:r>
    </w:p>
    <w:p w:rsidR="007276EE" w:rsidRPr="007276EE" w:rsidRDefault="007276EE" w:rsidP="000A3365">
      <w:pPr>
        <w:pStyle w:val="a6"/>
        <w:widowControl w:val="0"/>
        <w:spacing w:before="0" w:beforeAutospacing="0" w:after="0" w:afterAutospacing="0" w:line="580" w:lineRule="exact"/>
        <w:ind w:firstLine="420"/>
        <w:contextualSpacing/>
        <w:rPr>
          <w:rFonts w:ascii="Times New Roman" w:eastAsia="仿宋_GB2312" w:hAnsi="Times New Roman"/>
          <w:sz w:val="30"/>
          <w:szCs w:val="30"/>
        </w:rPr>
      </w:pPr>
      <w:r w:rsidRPr="007276EE">
        <w:rPr>
          <w:rFonts w:ascii="Times New Roman" w:eastAsia="仿宋_GB2312" w:hAnsi="Times New Roman"/>
          <w:sz w:val="30"/>
          <w:szCs w:val="30"/>
        </w:rPr>
        <w:t xml:space="preserve"> </w:t>
      </w:r>
      <w:r w:rsidRPr="007276EE">
        <w:rPr>
          <w:rFonts w:ascii="Times New Roman" w:eastAsia="仿宋_GB2312" w:hAnsi="Times New Roman" w:hint="eastAsia"/>
          <w:sz w:val="30"/>
          <w:szCs w:val="30"/>
        </w:rPr>
        <w:t xml:space="preserve"> </w:t>
      </w:r>
      <w:r w:rsidRPr="007276EE">
        <w:rPr>
          <w:rFonts w:ascii="Times New Roman" w:eastAsia="华文楷体" w:hAnsi="Times New Roman"/>
          <w:sz w:val="30"/>
          <w:szCs w:val="30"/>
        </w:rPr>
        <w:t>二、各级各类床位配置</w:t>
      </w:r>
      <w:r w:rsidRPr="007276EE">
        <w:rPr>
          <w:rFonts w:ascii="Times New Roman" w:eastAsia="仿宋_GB2312" w:hAnsi="Times New Roman"/>
          <w:sz w:val="30"/>
          <w:szCs w:val="30"/>
        </w:rPr>
        <w:t xml:space="preserve"> </w:t>
      </w:r>
    </w:p>
    <w:p w:rsidR="007276EE" w:rsidRPr="007276EE" w:rsidRDefault="007276EE" w:rsidP="000A3365">
      <w:pPr>
        <w:pStyle w:val="a6"/>
        <w:widowControl w:val="0"/>
        <w:spacing w:before="0" w:beforeAutospacing="0" w:after="0" w:afterAutospacing="0" w:line="580" w:lineRule="exact"/>
        <w:ind w:firstLine="420"/>
        <w:contextualSpacing/>
        <w:rPr>
          <w:rFonts w:ascii="仿宋_GB2312" w:eastAsia="仿宋_GB2312" w:hAnsi="仿宋_GB2312" w:cs="仿宋_GB2312"/>
          <w:sz w:val="30"/>
          <w:szCs w:val="30"/>
        </w:rPr>
      </w:pPr>
      <w:r w:rsidRPr="007276EE">
        <w:rPr>
          <w:rFonts w:ascii="仿宋_GB2312" w:eastAsia="仿宋_GB2312" w:hAnsi="仿宋_GB2312" w:cs="仿宋_GB2312" w:hint="eastAsia"/>
          <w:sz w:val="30"/>
          <w:szCs w:val="30"/>
        </w:rPr>
        <w:t xml:space="preserve"> </w:t>
      </w:r>
      <w:r w:rsidRPr="007276EE">
        <w:rPr>
          <w:rFonts w:ascii="仿宋_GB2312" w:eastAsia="仿宋_GB2312" w:hAnsi="仿宋_GB2312" w:cs="仿宋_GB2312" w:hint="eastAsia"/>
          <w:b/>
          <w:bCs/>
          <w:sz w:val="30"/>
          <w:szCs w:val="30"/>
        </w:rPr>
        <w:t>（一）总体要求</w:t>
      </w:r>
      <w:r w:rsidRPr="007276EE">
        <w:rPr>
          <w:rFonts w:ascii="仿宋_GB2312" w:eastAsia="仿宋_GB2312" w:hAnsi="仿宋_GB2312" w:cs="仿宋_GB2312" w:hint="eastAsia"/>
          <w:sz w:val="30"/>
          <w:szCs w:val="30"/>
        </w:rPr>
        <w:t xml:space="preserve"> </w:t>
      </w:r>
    </w:p>
    <w:p w:rsidR="007276EE" w:rsidRPr="007276EE" w:rsidRDefault="007276EE" w:rsidP="000A3365">
      <w:pPr>
        <w:spacing w:line="580" w:lineRule="exact"/>
        <w:contextualSpacing/>
        <w:rPr>
          <w:rFonts w:ascii="仿宋_GB2312" w:hAnsi="仿宋_GB2312" w:cs="仿宋_GB2312"/>
          <w:kern w:val="0"/>
          <w:sz w:val="30"/>
          <w:szCs w:val="30"/>
        </w:rPr>
      </w:pPr>
      <w:r w:rsidRPr="007276EE">
        <w:rPr>
          <w:rFonts w:ascii="仿宋_GB2312" w:hAnsi="仿宋_GB2312" w:cs="仿宋_GB2312" w:hint="eastAsia"/>
          <w:kern w:val="0"/>
          <w:sz w:val="30"/>
          <w:szCs w:val="30"/>
        </w:rPr>
        <w:t xml:space="preserve">    按照“调整结构、能级对应、有保有控、分类指导”的原则调整配置全市卫生资源。一是促进资源总量适度扩增。进一步缩小我市每千常住人口床位、执业（助理）医师、注册护士等主要医疗卫生资源指标与全省平均水平的差距。加强区域医疗中心建设，强化优质资源供给，提升区域内急危重症和疑难病症诊疗水平。二是促进区域均衡发展。宛城区、卧龙区等资源丰富的区域，重在结构调整、内涵发展；西峡县等资源相对丰富的区域，保持适度发展，不断优化结构；桐柏、淅川、内乡、南召、镇平、唐河、方城、新野、社旗等资源薄弱区域要加快发展，增加服务供给；控制中心城区资源，优先布局新兴人口密集区域。三是促进资源配置结构优化。从严控制公立医院扩张，扩大社会办医规模；适度控制县（区）办以上综合医院数量，加强中医、儿科、妇科、心脑血管、肿瘤、精神科等薄弱领域服务能力建设。四是促进整体服务能力提升。加强功能整合和分工协作，发挥医疗卫生资源的综合效能，提升整体服务能力。</w:t>
      </w:r>
    </w:p>
    <w:p w:rsidR="007276EE" w:rsidRPr="007276EE" w:rsidRDefault="007276EE" w:rsidP="000A3365">
      <w:pPr>
        <w:pStyle w:val="a6"/>
        <w:widowControl w:val="0"/>
        <w:spacing w:before="0" w:beforeAutospacing="0" w:after="0" w:afterAutospacing="0" w:line="580" w:lineRule="exact"/>
        <w:ind w:firstLine="420"/>
        <w:contextualSpacing/>
        <w:rPr>
          <w:rFonts w:ascii="Times New Roman" w:eastAsia="仿宋_GB2312" w:hAnsi="Times New Roman"/>
          <w:sz w:val="30"/>
          <w:szCs w:val="30"/>
        </w:rPr>
      </w:pPr>
      <w:r w:rsidRPr="007276EE">
        <w:rPr>
          <w:rFonts w:ascii="仿宋_GB2312" w:eastAsia="仿宋_GB2312" w:hAnsi="仿宋_GB2312" w:cs="仿宋_GB2312" w:hint="eastAsia"/>
          <w:sz w:val="30"/>
          <w:szCs w:val="30"/>
        </w:rPr>
        <w:t xml:space="preserve"> 到2020年，南阳市医疗机构总床位控制在千人口6张，其中，医</w:t>
      </w:r>
      <w:r w:rsidRPr="007276EE">
        <w:rPr>
          <w:rFonts w:ascii="仿宋_GB2312" w:eastAsia="仿宋_GB2312" w:hAnsi="仿宋_GB2312" w:cs="仿宋_GB2312" w:hint="eastAsia"/>
          <w:sz w:val="30"/>
          <w:szCs w:val="30"/>
        </w:rPr>
        <w:lastRenderedPageBreak/>
        <w:t>院床位数4.6张，基层医疗卫生机构床位数1.4张。在医院床位中，公立医院床位数3.1张，按照每千常住人口不低于1.50张为社会办医院预留规划空间。在公立医院床位中，市办医院为1.2张，县办医院为1.8张，其他公立医院为0.10张。中医类医院床位数可以按照每千常住人口0.55张另行配置。同时，可以按照15%公立医院床位比例设置公立专科医院。儿科床位数可根据国家卫计委、国家发改委等6部委联合下发的《关于印发加强儿童医疗卫生服务改革与发展意见的通知》精神，按照每千名儿童床位数2.2张设置。基层医疗卫生机构重点加强护理、康复病床设置。床位增量优先配置在床位配置水平较低区域，以及康复、护理等短缺资源和社会办医领域。全市平均病床使用率保持在85%以上，二级以上综合医院治疗床位平均住院天数降至8天以内。见表1。</w:t>
      </w:r>
      <w:r w:rsidRPr="007276EE">
        <w:rPr>
          <w:rFonts w:ascii="Times New Roman" w:eastAsia="仿宋_GB2312" w:hAnsi="Times New Roman"/>
          <w:sz w:val="30"/>
          <w:szCs w:val="30"/>
        </w:rPr>
        <w:t xml:space="preserve"> </w:t>
      </w:r>
    </w:p>
    <w:p w:rsidR="007276EE" w:rsidRPr="007276EE" w:rsidRDefault="007276EE" w:rsidP="000A3365">
      <w:pPr>
        <w:spacing w:beforeLines="50" w:afterLines="50" w:line="600" w:lineRule="exact"/>
        <w:ind w:firstLine="562"/>
        <w:contextualSpacing/>
        <w:jc w:val="center"/>
        <w:rPr>
          <w:rFonts w:ascii="黑体" w:eastAsia="黑体"/>
          <w:bCs/>
          <w:sz w:val="30"/>
          <w:szCs w:val="30"/>
        </w:rPr>
      </w:pPr>
      <w:r w:rsidRPr="007276EE">
        <w:rPr>
          <w:rFonts w:ascii="黑体" w:eastAsia="黑体" w:hint="eastAsia"/>
          <w:bCs/>
          <w:sz w:val="30"/>
          <w:szCs w:val="30"/>
        </w:rPr>
        <w:t>表1  南阳市床位资源配置主要指标</w:t>
      </w:r>
    </w:p>
    <w:tbl>
      <w:tblPr>
        <w:tblW w:w="0" w:type="auto"/>
        <w:jc w:val="center"/>
        <w:tblLayout w:type="fixed"/>
        <w:tblLook w:val="0000"/>
      </w:tblPr>
      <w:tblGrid>
        <w:gridCol w:w="4540"/>
        <w:gridCol w:w="1520"/>
        <w:gridCol w:w="1520"/>
        <w:gridCol w:w="1520"/>
      </w:tblGrid>
      <w:tr w:rsidR="007276EE" w:rsidRPr="007276EE" w:rsidTr="007276EE">
        <w:trPr>
          <w:trHeight w:val="340"/>
          <w:jc w:val="center"/>
        </w:trPr>
        <w:tc>
          <w:tcPr>
            <w:tcW w:w="4540" w:type="dxa"/>
            <w:tcBorders>
              <w:top w:val="single" w:sz="4" w:space="0" w:color="auto"/>
              <w:left w:val="single" w:sz="4" w:space="0" w:color="auto"/>
              <w:bottom w:val="single" w:sz="4" w:space="0" w:color="auto"/>
              <w:right w:val="single" w:sz="4" w:space="0" w:color="auto"/>
            </w:tcBorders>
            <w:vAlign w:val="center"/>
          </w:tcPr>
          <w:p w:rsidR="007276EE" w:rsidRPr="007276EE" w:rsidRDefault="007276EE" w:rsidP="007276EE">
            <w:pPr>
              <w:spacing w:line="280" w:lineRule="exact"/>
              <w:ind w:firstLine="640"/>
              <w:contextualSpacing/>
              <w:jc w:val="center"/>
              <w:rPr>
                <w:rFonts w:eastAsia="黑体"/>
                <w:kern w:val="0"/>
                <w:sz w:val="24"/>
                <w:szCs w:val="24"/>
              </w:rPr>
            </w:pPr>
            <w:r w:rsidRPr="007276EE">
              <w:rPr>
                <w:rFonts w:eastAsia="黑体"/>
                <w:kern w:val="0"/>
                <w:sz w:val="24"/>
                <w:szCs w:val="24"/>
              </w:rPr>
              <w:t>主要指标</w:t>
            </w:r>
          </w:p>
        </w:tc>
        <w:tc>
          <w:tcPr>
            <w:tcW w:w="1520" w:type="dxa"/>
            <w:tcBorders>
              <w:top w:val="single" w:sz="4" w:space="0" w:color="auto"/>
              <w:left w:val="nil"/>
              <w:bottom w:val="single" w:sz="4" w:space="0" w:color="auto"/>
              <w:right w:val="single" w:sz="4" w:space="0" w:color="auto"/>
            </w:tcBorders>
            <w:vAlign w:val="center"/>
          </w:tcPr>
          <w:p w:rsidR="007276EE" w:rsidRPr="007276EE" w:rsidRDefault="007276EE" w:rsidP="007276EE">
            <w:pPr>
              <w:spacing w:line="280" w:lineRule="exact"/>
              <w:contextualSpacing/>
              <w:jc w:val="center"/>
              <w:rPr>
                <w:kern w:val="0"/>
                <w:sz w:val="24"/>
                <w:szCs w:val="24"/>
              </w:rPr>
            </w:pPr>
            <w:r w:rsidRPr="007276EE">
              <w:rPr>
                <w:kern w:val="0"/>
                <w:sz w:val="24"/>
                <w:szCs w:val="24"/>
              </w:rPr>
              <w:t>2020</w:t>
            </w:r>
            <w:r w:rsidRPr="007276EE">
              <w:rPr>
                <w:rFonts w:eastAsia="黑体"/>
                <w:kern w:val="0"/>
                <w:sz w:val="24"/>
                <w:szCs w:val="24"/>
              </w:rPr>
              <w:t>年目标</w:t>
            </w:r>
          </w:p>
        </w:tc>
        <w:tc>
          <w:tcPr>
            <w:tcW w:w="1520" w:type="dxa"/>
            <w:tcBorders>
              <w:top w:val="single" w:sz="4" w:space="0" w:color="auto"/>
              <w:left w:val="nil"/>
              <w:bottom w:val="single" w:sz="4" w:space="0" w:color="auto"/>
              <w:right w:val="single" w:sz="4" w:space="0" w:color="auto"/>
            </w:tcBorders>
            <w:vAlign w:val="center"/>
          </w:tcPr>
          <w:p w:rsidR="007276EE" w:rsidRPr="007276EE" w:rsidRDefault="007276EE" w:rsidP="007276EE">
            <w:pPr>
              <w:spacing w:line="280" w:lineRule="exact"/>
              <w:contextualSpacing/>
              <w:jc w:val="center"/>
              <w:rPr>
                <w:kern w:val="0"/>
                <w:sz w:val="24"/>
                <w:szCs w:val="24"/>
              </w:rPr>
            </w:pPr>
            <w:r w:rsidRPr="007276EE">
              <w:rPr>
                <w:kern w:val="0"/>
                <w:sz w:val="24"/>
                <w:szCs w:val="24"/>
              </w:rPr>
              <w:t>2015</w:t>
            </w:r>
            <w:r w:rsidRPr="007276EE">
              <w:rPr>
                <w:rFonts w:eastAsia="黑体"/>
                <w:kern w:val="0"/>
                <w:sz w:val="24"/>
                <w:szCs w:val="24"/>
              </w:rPr>
              <w:t>年现状</w:t>
            </w:r>
          </w:p>
        </w:tc>
        <w:tc>
          <w:tcPr>
            <w:tcW w:w="1520" w:type="dxa"/>
            <w:tcBorders>
              <w:top w:val="single" w:sz="4" w:space="0" w:color="auto"/>
              <w:left w:val="nil"/>
              <w:bottom w:val="single" w:sz="4" w:space="0" w:color="auto"/>
              <w:right w:val="single" w:sz="4" w:space="0" w:color="auto"/>
            </w:tcBorders>
            <w:vAlign w:val="center"/>
          </w:tcPr>
          <w:p w:rsidR="007276EE" w:rsidRPr="007276EE" w:rsidRDefault="007276EE" w:rsidP="007276EE">
            <w:pPr>
              <w:spacing w:line="280" w:lineRule="exact"/>
              <w:contextualSpacing/>
              <w:jc w:val="center"/>
              <w:rPr>
                <w:rFonts w:eastAsia="黑体"/>
                <w:kern w:val="0"/>
                <w:sz w:val="24"/>
                <w:szCs w:val="24"/>
              </w:rPr>
            </w:pPr>
            <w:r w:rsidRPr="007276EE">
              <w:rPr>
                <w:rFonts w:eastAsia="黑体"/>
                <w:kern w:val="0"/>
                <w:sz w:val="24"/>
                <w:szCs w:val="24"/>
              </w:rPr>
              <w:t>指标性质</w:t>
            </w:r>
          </w:p>
        </w:tc>
      </w:tr>
      <w:tr w:rsidR="007276EE" w:rsidRPr="007276EE" w:rsidTr="007276EE">
        <w:trPr>
          <w:trHeight w:val="340"/>
          <w:jc w:val="center"/>
        </w:trPr>
        <w:tc>
          <w:tcPr>
            <w:tcW w:w="4540" w:type="dxa"/>
            <w:tcBorders>
              <w:top w:val="nil"/>
              <w:left w:val="single" w:sz="4" w:space="0" w:color="auto"/>
              <w:bottom w:val="single" w:sz="4" w:space="0" w:color="auto"/>
              <w:right w:val="single" w:sz="4" w:space="0" w:color="auto"/>
            </w:tcBorders>
            <w:vAlign w:val="center"/>
          </w:tcPr>
          <w:p w:rsidR="007276EE" w:rsidRPr="007276EE" w:rsidRDefault="007276EE" w:rsidP="007276EE">
            <w:pPr>
              <w:spacing w:line="280" w:lineRule="exact"/>
              <w:contextualSpacing/>
              <w:rPr>
                <w:kern w:val="0"/>
                <w:sz w:val="24"/>
                <w:szCs w:val="24"/>
              </w:rPr>
            </w:pPr>
            <w:r w:rsidRPr="007276EE">
              <w:rPr>
                <w:kern w:val="0"/>
                <w:sz w:val="24"/>
                <w:szCs w:val="24"/>
              </w:rPr>
              <w:t>每千常住人口医疗卫生机构床位数（张）</w:t>
            </w:r>
          </w:p>
        </w:tc>
        <w:tc>
          <w:tcPr>
            <w:tcW w:w="1520" w:type="dxa"/>
            <w:tcBorders>
              <w:top w:val="nil"/>
              <w:left w:val="nil"/>
              <w:bottom w:val="single" w:sz="4" w:space="0" w:color="auto"/>
              <w:right w:val="single" w:sz="4" w:space="0" w:color="auto"/>
            </w:tcBorders>
            <w:vAlign w:val="center"/>
          </w:tcPr>
          <w:p w:rsidR="007276EE" w:rsidRPr="007276EE" w:rsidRDefault="007276EE" w:rsidP="007276EE">
            <w:pPr>
              <w:spacing w:line="280" w:lineRule="exact"/>
              <w:contextualSpacing/>
              <w:jc w:val="center"/>
              <w:rPr>
                <w:kern w:val="0"/>
                <w:sz w:val="24"/>
                <w:szCs w:val="24"/>
              </w:rPr>
            </w:pPr>
            <w:r w:rsidRPr="007276EE">
              <w:rPr>
                <w:kern w:val="0"/>
                <w:sz w:val="24"/>
                <w:szCs w:val="24"/>
              </w:rPr>
              <w:t>6</w:t>
            </w:r>
          </w:p>
        </w:tc>
        <w:tc>
          <w:tcPr>
            <w:tcW w:w="1520" w:type="dxa"/>
            <w:tcBorders>
              <w:top w:val="nil"/>
              <w:left w:val="nil"/>
              <w:bottom w:val="single" w:sz="4" w:space="0" w:color="auto"/>
              <w:right w:val="single" w:sz="4" w:space="0" w:color="auto"/>
            </w:tcBorders>
            <w:vAlign w:val="center"/>
          </w:tcPr>
          <w:p w:rsidR="007276EE" w:rsidRPr="007276EE" w:rsidRDefault="007276EE" w:rsidP="007276EE">
            <w:pPr>
              <w:spacing w:line="280" w:lineRule="exact"/>
              <w:contextualSpacing/>
              <w:jc w:val="center"/>
              <w:rPr>
                <w:kern w:val="0"/>
                <w:sz w:val="24"/>
                <w:szCs w:val="24"/>
              </w:rPr>
            </w:pPr>
            <w:r w:rsidRPr="007276EE">
              <w:rPr>
                <w:kern w:val="0"/>
                <w:sz w:val="24"/>
                <w:szCs w:val="24"/>
              </w:rPr>
              <w:t>4.09</w:t>
            </w:r>
          </w:p>
        </w:tc>
        <w:tc>
          <w:tcPr>
            <w:tcW w:w="1520" w:type="dxa"/>
            <w:tcBorders>
              <w:top w:val="nil"/>
              <w:left w:val="nil"/>
              <w:bottom w:val="single" w:sz="4" w:space="0" w:color="auto"/>
              <w:right w:val="single" w:sz="4" w:space="0" w:color="auto"/>
            </w:tcBorders>
            <w:vAlign w:val="center"/>
          </w:tcPr>
          <w:p w:rsidR="007276EE" w:rsidRPr="007276EE" w:rsidRDefault="007276EE" w:rsidP="007276EE">
            <w:pPr>
              <w:spacing w:line="280" w:lineRule="exact"/>
              <w:contextualSpacing/>
              <w:jc w:val="center"/>
              <w:rPr>
                <w:kern w:val="0"/>
                <w:sz w:val="24"/>
                <w:szCs w:val="24"/>
              </w:rPr>
            </w:pPr>
            <w:r w:rsidRPr="007276EE">
              <w:rPr>
                <w:kern w:val="0"/>
                <w:sz w:val="24"/>
                <w:szCs w:val="24"/>
              </w:rPr>
              <w:t>指导性</w:t>
            </w:r>
          </w:p>
        </w:tc>
      </w:tr>
      <w:tr w:rsidR="007276EE" w:rsidRPr="007276EE" w:rsidTr="007276EE">
        <w:trPr>
          <w:trHeight w:val="340"/>
          <w:jc w:val="center"/>
        </w:trPr>
        <w:tc>
          <w:tcPr>
            <w:tcW w:w="4540" w:type="dxa"/>
            <w:tcBorders>
              <w:top w:val="nil"/>
              <w:left w:val="single" w:sz="4" w:space="0" w:color="auto"/>
              <w:bottom w:val="single" w:sz="4" w:space="0" w:color="auto"/>
              <w:right w:val="single" w:sz="4" w:space="0" w:color="auto"/>
            </w:tcBorders>
            <w:vAlign w:val="center"/>
          </w:tcPr>
          <w:p w:rsidR="007276EE" w:rsidRPr="007276EE" w:rsidRDefault="007276EE" w:rsidP="007276EE">
            <w:pPr>
              <w:tabs>
                <w:tab w:val="left" w:pos="492"/>
                <w:tab w:val="left" w:pos="852"/>
              </w:tabs>
              <w:spacing w:line="280" w:lineRule="exact"/>
              <w:contextualSpacing/>
              <w:rPr>
                <w:kern w:val="0"/>
                <w:sz w:val="24"/>
                <w:szCs w:val="24"/>
              </w:rPr>
            </w:pPr>
            <w:r w:rsidRPr="007276EE">
              <w:rPr>
                <w:kern w:val="0"/>
                <w:sz w:val="24"/>
                <w:szCs w:val="24"/>
              </w:rPr>
              <w:t xml:space="preserve">   </w:t>
            </w:r>
            <w:r w:rsidRPr="007276EE">
              <w:rPr>
                <w:kern w:val="0"/>
                <w:sz w:val="24"/>
                <w:szCs w:val="24"/>
              </w:rPr>
              <w:t>医院（张）</w:t>
            </w:r>
          </w:p>
        </w:tc>
        <w:tc>
          <w:tcPr>
            <w:tcW w:w="1520" w:type="dxa"/>
            <w:tcBorders>
              <w:top w:val="nil"/>
              <w:left w:val="nil"/>
              <w:bottom w:val="single" w:sz="4" w:space="0" w:color="auto"/>
              <w:right w:val="single" w:sz="4" w:space="0" w:color="auto"/>
            </w:tcBorders>
            <w:vAlign w:val="center"/>
          </w:tcPr>
          <w:p w:rsidR="007276EE" w:rsidRPr="007276EE" w:rsidRDefault="007276EE" w:rsidP="007276EE">
            <w:pPr>
              <w:spacing w:line="280" w:lineRule="exact"/>
              <w:contextualSpacing/>
              <w:jc w:val="center"/>
              <w:rPr>
                <w:kern w:val="0"/>
                <w:sz w:val="24"/>
                <w:szCs w:val="24"/>
              </w:rPr>
            </w:pPr>
            <w:r w:rsidRPr="007276EE">
              <w:rPr>
                <w:kern w:val="0"/>
                <w:sz w:val="24"/>
                <w:szCs w:val="24"/>
              </w:rPr>
              <w:t>4.6</w:t>
            </w:r>
          </w:p>
        </w:tc>
        <w:tc>
          <w:tcPr>
            <w:tcW w:w="1520" w:type="dxa"/>
            <w:tcBorders>
              <w:top w:val="nil"/>
              <w:left w:val="nil"/>
              <w:bottom w:val="single" w:sz="4" w:space="0" w:color="auto"/>
              <w:right w:val="single" w:sz="4" w:space="0" w:color="auto"/>
            </w:tcBorders>
            <w:vAlign w:val="center"/>
          </w:tcPr>
          <w:p w:rsidR="007276EE" w:rsidRPr="007276EE" w:rsidRDefault="007276EE" w:rsidP="007276EE">
            <w:pPr>
              <w:spacing w:line="280" w:lineRule="exact"/>
              <w:contextualSpacing/>
              <w:jc w:val="center"/>
              <w:rPr>
                <w:kern w:val="0"/>
                <w:sz w:val="24"/>
                <w:szCs w:val="24"/>
              </w:rPr>
            </w:pPr>
            <w:r w:rsidRPr="007276EE">
              <w:rPr>
                <w:kern w:val="0"/>
                <w:sz w:val="24"/>
                <w:szCs w:val="24"/>
              </w:rPr>
              <w:t>3.30</w:t>
            </w:r>
          </w:p>
        </w:tc>
        <w:tc>
          <w:tcPr>
            <w:tcW w:w="1520" w:type="dxa"/>
            <w:tcBorders>
              <w:top w:val="nil"/>
              <w:left w:val="nil"/>
              <w:bottom w:val="single" w:sz="4" w:space="0" w:color="auto"/>
              <w:right w:val="single" w:sz="4" w:space="0" w:color="auto"/>
            </w:tcBorders>
            <w:vAlign w:val="center"/>
          </w:tcPr>
          <w:p w:rsidR="007276EE" w:rsidRPr="007276EE" w:rsidRDefault="007276EE" w:rsidP="007276EE">
            <w:pPr>
              <w:spacing w:line="280" w:lineRule="exact"/>
              <w:contextualSpacing/>
              <w:jc w:val="center"/>
              <w:rPr>
                <w:kern w:val="0"/>
                <w:sz w:val="24"/>
                <w:szCs w:val="24"/>
              </w:rPr>
            </w:pPr>
            <w:r w:rsidRPr="007276EE">
              <w:rPr>
                <w:kern w:val="0"/>
                <w:sz w:val="24"/>
                <w:szCs w:val="24"/>
              </w:rPr>
              <w:t>指导性</w:t>
            </w:r>
          </w:p>
        </w:tc>
      </w:tr>
      <w:tr w:rsidR="007276EE" w:rsidRPr="007276EE" w:rsidTr="007276EE">
        <w:trPr>
          <w:trHeight w:val="340"/>
          <w:jc w:val="center"/>
        </w:trPr>
        <w:tc>
          <w:tcPr>
            <w:tcW w:w="4540" w:type="dxa"/>
            <w:tcBorders>
              <w:top w:val="nil"/>
              <w:left w:val="single" w:sz="4" w:space="0" w:color="auto"/>
              <w:bottom w:val="single" w:sz="4" w:space="0" w:color="auto"/>
              <w:right w:val="single" w:sz="4" w:space="0" w:color="auto"/>
            </w:tcBorders>
            <w:vAlign w:val="center"/>
          </w:tcPr>
          <w:p w:rsidR="007276EE" w:rsidRPr="007276EE" w:rsidRDefault="007276EE" w:rsidP="007276EE">
            <w:pPr>
              <w:tabs>
                <w:tab w:val="left" w:pos="1032"/>
              </w:tabs>
              <w:spacing w:line="280" w:lineRule="exact"/>
              <w:contextualSpacing/>
              <w:rPr>
                <w:kern w:val="0"/>
                <w:sz w:val="24"/>
                <w:szCs w:val="24"/>
              </w:rPr>
            </w:pPr>
            <w:r w:rsidRPr="007276EE">
              <w:rPr>
                <w:kern w:val="0"/>
                <w:sz w:val="24"/>
                <w:szCs w:val="24"/>
              </w:rPr>
              <w:t>公立医院（张）</w:t>
            </w:r>
          </w:p>
        </w:tc>
        <w:tc>
          <w:tcPr>
            <w:tcW w:w="1520" w:type="dxa"/>
            <w:tcBorders>
              <w:top w:val="nil"/>
              <w:left w:val="nil"/>
              <w:bottom w:val="single" w:sz="4" w:space="0" w:color="auto"/>
              <w:right w:val="single" w:sz="4" w:space="0" w:color="auto"/>
            </w:tcBorders>
            <w:vAlign w:val="center"/>
          </w:tcPr>
          <w:p w:rsidR="007276EE" w:rsidRPr="007276EE" w:rsidRDefault="007276EE" w:rsidP="007276EE">
            <w:pPr>
              <w:spacing w:line="280" w:lineRule="exact"/>
              <w:contextualSpacing/>
              <w:jc w:val="center"/>
              <w:rPr>
                <w:kern w:val="0"/>
                <w:sz w:val="24"/>
                <w:szCs w:val="24"/>
              </w:rPr>
            </w:pPr>
            <w:r w:rsidRPr="007276EE">
              <w:rPr>
                <w:kern w:val="0"/>
                <w:sz w:val="24"/>
                <w:szCs w:val="24"/>
              </w:rPr>
              <w:t>3.1</w:t>
            </w:r>
          </w:p>
        </w:tc>
        <w:tc>
          <w:tcPr>
            <w:tcW w:w="1520" w:type="dxa"/>
            <w:tcBorders>
              <w:top w:val="nil"/>
              <w:left w:val="nil"/>
              <w:bottom w:val="single" w:sz="4" w:space="0" w:color="auto"/>
              <w:right w:val="single" w:sz="4" w:space="0" w:color="auto"/>
            </w:tcBorders>
            <w:vAlign w:val="center"/>
          </w:tcPr>
          <w:p w:rsidR="007276EE" w:rsidRPr="007276EE" w:rsidRDefault="007276EE" w:rsidP="007276EE">
            <w:pPr>
              <w:spacing w:line="280" w:lineRule="exact"/>
              <w:contextualSpacing/>
              <w:jc w:val="center"/>
              <w:rPr>
                <w:kern w:val="0"/>
                <w:sz w:val="24"/>
                <w:szCs w:val="24"/>
              </w:rPr>
            </w:pPr>
            <w:r w:rsidRPr="007276EE">
              <w:rPr>
                <w:kern w:val="0"/>
                <w:sz w:val="24"/>
                <w:szCs w:val="24"/>
              </w:rPr>
              <w:t>2.68</w:t>
            </w:r>
          </w:p>
        </w:tc>
        <w:tc>
          <w:tcPr>
            <w:tcW w:w="1520" w:type="dxa"/>
            <w:tcBorders>
              <w:top w:val="nil"/>
              <w:left w:val="nil"/>
              <w:bottom w:val="single" w:sz="4" w:space="0" w:color="auto"/>
              <w:right w:val="single" w:sz="4" w:space="0" w:color="auto"/>
            </w:tcBorders>
            <w:vAlign w:val="center"/>
          </w:tcPr>
          <w:p w:rsidR="007276EE" w:rsidRPr="007276EE" w:rsidRDefault="007276EE" w:rsidP="007276EE">
            <w:pPr>
              <w:spacing w:line="280" w:lineRule="exact"/>
              <w:contextualSpacing/>
              <w:jc w:val="center"/>
              <w:rPr>
                <w:kern w:val="0"/>
                <w:sz w:val="24"/>
                <w:szCs w:val="24"/>
              </w:rPr>
            </w:pPr>
            <w:r w:rsidRPr="007276EE">
              <w:rPr>
                <w:kern w:val="0"/>
                <w:sz w:val="24"/>
                <w:szCs w:val="24"/>
              </w:rPr>
              <w:t>指导性</w:t>
            </w:r>
          </w:p>
        </w:tc>
      </w:tr>
      <w:tr w:rsidR="007276EE" w:rsidRPr="007276EE" w:rsidTr="007276EE">
        <w:trPr>
          <w:trHeight w:val="340"/>
          <w:jc w:val="center"/>
        </w:trPr>
        <w:tc>
          <w:tcPr>
            <w:tcW w:w="4540" w:type="dxa"/>
            <w:tcBorders>
              <w:top w:val="nil"/>
              <w:left w:val="single" w:sz="4" w:space="0" w:color="auto"/>
              <w:bottom w:val="single" w:sz="4" w:space="0" w:color="auto"/>
              <w:right w:val="single" w:sz="4" w:space="0" w:color="auto"/>
            </w:tcBorders>
            <w:vAlign w:val="center"/>
          </w:tcPr>
          <w:p w:rsidR="007276EE" w:rsidRPr="007276EE" w:rsidRDefault="007276EE" w:rsidP="007276EE">
            <w:pPr>
              <w:spacing w:line="280" w:lineRule="exact"/>
              <w:contextualSpacing/>
              <w:rPr>
                <w:kern w:val="0"/>
                <w:sz w:val="24"/>
                <w:szCs w:val="24"/>
              </w:rPr>
            </w:pPr>
            <w:r w:rsidRPr="007276EE">
              <w:rPr>
                <w:kern w:val="0"/>
                <w:sz w:val="24"/>
                <w:szCs w:val="24"/>
              </w:rPr>
              <w:t>其中：市办医院</w:t>
            </w:r>
          </w:p>
        </w:tc>
        <w:tc>
          <w:tcPr>
            <w:tcW w:w="1520" w:type="dxa"/>
            <w:tcBorders>
              <w:top w:val="nil"/>
              <w:left w:val="nil"/>
              <w:bottom w:val="single" w:sz="4" w:space="0" w:color="auto"/>
              <w:right w:val="single" w:sz="4" w:space="0" w:color="auto"/>
            </w:tcBorders>
            <w:vAlign w:val="center"/>
          </w:tcPr>
          <w:p w:rsidR="007276EE" w:rsidRPr="007276EE" w:rsidRDefault="007276EE" w:rsidP="007276EE">
            <w:pPr>
              <w:spacing w:line="280" w:lineRule="exact"/>
              <w:contextualSpacing/>
              <w:jc w:val="center"/>
              <w:rPr>
                <w:kern w:val="0"/>
                <w:sz w:val="24"/>
                <w:szCs w:val="24"/>
              </w:rPr>
            </w:pPr>
            <w:r w:rsidRPr="007276EE">
              <w:rPr>
                <w:kern w:val="0"/>
                <w:sz w:val="24"/>
                <w:szCs w:val="24"/>
              </w:rPr>
              <w:t>1.2</w:t>
            </w:r>
          </w:p>
        </w:tc>
        <w:tc>
          <w:tcPr>
            <w:tcW w:w="1520" w:type="dxa"/>
            <w:tcBorders>
              <w:top w:val="nil"/>
              <w:left w:val="nil"/>
              <w:bottom w:val="single" w:sz="4" w:space="0" w:color="auto"/>
              <w:right w:val="single" w:sz="4" w:space="0" w:color="auto"/>
            </w:tcBorders>
            <w:vAlign w:val="center"/>
          </w:tcPr>
          <w:p w:rsidR="007276EE" w:rsidRPr="007276EE" w:rsidRDefault="007276EE" w:rsidP="007276EE">
            <w:pPr>
              <w:spacing w:line="280" w:lineRule="exact"/>
              <w:contextualSpacing/>
              <w:jc w:val="center"/>
              <w:rPr>
                <w:kern w:val="0"/>
                <w:sz w:val="24"/>
                <w:szCs w:val="24"/>
              </w:rPr>
            </w:pPr>
            <w:r w:rsidRPr="007276EE">
              <w:rPr>
                <w:kern w:val="0"/>
                <w:sz w:val="24"/>
                <w:szCs w:val="24"/>
              </w:rPr>
              <w:t>0.66</w:t>
            </w:r>
          </w:p>
        </w:tc>
        <w:tc>
          <w:tcPr>
            <w:tcW w:w="1520" w:type="dxa"/>
            <w:tcBorders>
              <w:top w:val="nil"/>
              <w:left w:val="nil"/>
              <w:bottom w:val="single" w:sz="4" w:space="0" w:color="auto"/>
              <w:right w:val="single" w:sz="4" w:space="0" w:color="auto"/>
            </w:tcBorders>
            <w:vAlign w:val="center"/>
          </w:tcPr>
          <w:p w:rsidR="007276EE" w:rsidRPr="007276EE" w:rsidRDefault="007276EE" w:rsidP="007276EE">
            <w:pPr>
              <w:spacing w:line="280" w:lineRule="exact"/>
              <w:contextualSpacing/>
              <w:jc w:val="center"/>
              <w:rPr>
                <w:kern w:val="0"/>
                <w:sz w:val="24"/>
                <w:szCs w:val="24"/>
              </w:rPr>
            </w:pPr>
            <w:r w:rsidRPr="007276EE">
              <w:rPr>
                <w:kern w:val="0"/>
                <w:sz w:val="24"/>
                <w:szCs w:val="24"/>
              </w:rPr>
              <w:t>指导性</w:t>
            </w:r>
          </w:p>
        </w:tc>
      </w:tr>
      <w:tr w:rsidR="007276EE" w:rsidRPr="007276EE" w:rsidTr="007276EE">
        <w:trPr>
          <w:trHeight w:val="340"/>
          <w:jc w:val="center"/>
        </w:trPr>
        <w:tc>
          <w:tcPr>
            <w:tcW w:w="4540" w:type="dxa"/>
            <w:tcBorders>
              <w:top w:val="nil"/>
              <w:left w:val="single" w:sz="4" w:space="0" w:color="auto"/>
              <w:bottom w:val="single" w:sz="4" w:space="0" w:color="auto"/>
              <w:right w:val="single" w:sz="4" w:space="0" w:color="auto"/>
            </w:tcBorders>
            <w:vAlign w:val="center"/>
          </w:tcPr>
          <w:p w:rsidR="007276EE" w:rsidRPr="007276EE" w:rsidRDefault="007276EE" w:rsidP="007276EE">
            <w:pPr>
              <w:spacing w:line="280" w:lineRule="exact"/>
              <w:contextualSpacing/>
              <w:rPr>
                <w:kern w:val="0"/>
                <w:sz w:val="24"/>
                <w:szCs w:val="24"/>
              </w:rPr>
            </w:pPr>
            <w:r w:rsidRPr="007276EE">
              <w:rPr>
                <w:kern w:val="0"/>
                <w:sz w:val="24"/>
                <w:szCs w:val="24"/>
              </w:rPr>
              <w:t>县办医院</w:t>
            </w:r>
          </w:p>
        </w:tc>
        <w:tc>
          <w:tcPr>
            <w:tcW w:w="1520" w:type="dxa"/>
            <w:tcBorders>
              <w:top w:val="nil"/>
              <w:left w:val="nil"/>
              <w:bottom w:val="single" w:sz="4" w:space="0" w:color="auto"/>
              <w:right w:val="single" w:sz="4" w:space="0" w:color="auto"/>
            </w:tcBorders>
            <w:vAlign w:val="center"/>
          </w:tcPr>
          <w:p w:rsidR="007276EE" w:rsidRPr="007276EE" w:rsidRDefault="007276EE" w:rsidP="007276EE">
            <w:pPr>
              <w:spacing w:line="280" w:lineRule="exact"/>
              <w:contextualSpacing/>
              <w:jc w:val="center"/>
              <w:rPr>
                <w:kern w:val="0"/>
                <w:sz w:val="24"/>
                <w:szCs w:val="24"/>
              </w:rPr>
            </w:pPr>
            <w:r w:rsidRPr="007276EE">
              <w:rPr>
                <w:kern w:val="0"/>
                <w:sz w:val="24"/>
                <w:szCs w:val="24"/>
              </w:rPr>
              <w:t>1.8</w:t>
            </w:r>
          </w:p>
        </w:tc>
        <w:tc>
          <w:tcPr>
            <w:tcW w:w="1520" w:type="dxa"/>
            <w:tcBorders>
              <w:top w:val="nil"/>
              <w:left w:val="nil"/>
              <w:bottom w:val="single" w:sz="4" w:space="0" w:color="auto"/>
              <w:right w:val="single" w:sz="4" w:space="0" w:color="auto"/>
            </w:tcBorders>
            <w:vAlign w:val="center"/>
          </w:tcPr>
          <w:p w:rsidR="007276EE" w:rsidRPr="007276EE" w:rsidRDefault="007276EE" w:rsidP="007276EE">
            <w:pPr>
              <w:spacing w:line="280" w:lineRule="exact"/>
              <w:contextualSpacing/>
              <w:jc w:val="center"/>
              <w:rPr>
                <w:kern w:val="0"/>
                <w:sz w:val="24"/>
                <w:szCs w:val="24"/>
              </w:rPr>
            </w:pPr>
            <w:r w:rsidRPr="007276EE">
              <w:rPr>
                <w:kern w:val="0"/>
                <w:sz w:val="24"/>
                <w:szCs w:val="24"/>
              </w:rPr>
              <w:t>1.66</w:t>
            </w:r>
          </w:p>
        </w:tc>
        <w:tc>
          <w:tcPr>
            <w:tcW w:w="1520" w:type="dxa"/>
            <w:tcBorders>
              <w:top w:val="nil"/>
              <w:left w:val="nil"/>
              <w:bottom w:val="single" w:sz="4" w:space="0" w:color="auto"/>
              <w:right w:val="single" w:sz="4" w:space="0" w:color="auto"/>
            </w:tcBorders>
            <w:vAlign w:val="center"/>
          </w:tcPr>
          <w:p w:rsidR="007276EE" w:rsidRPr="007276EE" w:rsidRDefault="007276EE" w:rsidP="007276EE">
            <w:pPr>
              <w:spacing w:line="280" w:lineRule="exact"/>
              <w:contextualSpacing/>
              <w:jc w:val="center"/>
              <w:rPr>
                <w:kern w:val="0"/>
                <w:sz w:val="24"/>
                <w:szCs w:val="24"/>
              </w:rPr>
            </w:pPr>
            <w:r w:rsidRPr="007276EE">
              <w:rPr>
                <w:kern w:val="0"/>
                <w:sz w:val="24"/>
                <w:szCs w:val="24"/>
              </w:rPr>
              <w:t>指导性</w:t>
            </w:r>
          </w:p>
        </w:tc>
      </w:tr>
      <w:tr w:rsidR="007276EE" w:rsidRPr="007276EE" w:rsidTr="007276EE">
        <w:trPr>
          <w:trHeight w:val="340"/>
          <w:jc w:val="center"/>
        </w:trPr>
        <w:tc>
          <w:tcPr>
            <w:tcW w:w="4540" w:type="dxa"/>
            <w:tcBorders>
              <w:top w:val="nil"/>
              <w:left w:val="single" w:sz="4" w:space="0" w:color="auto"/>
              <w:bottom w:val="single" w:sz="4" w:space="0" w:color="auto"/>
              <w:right w:val="single" w:sz="4" w:space="0" w:color="auto"/>
            </w:tcBorders>
            <w:vAlign w:val="center"/>
          </w:tcPr>
          <w:p w:rsidR="007276EE" w:rsidRPr="007276EE" w:rsidRDefault="007276EE" w:rsidP="007276EE">
            <w:pPr>
              <w:tabs>
                <w:tab w:val="left" w:pos="912"/>
              </w:tabs>
              <w:spacing w:line="280" w:lineRule="exact"/>
              <w:contextualSpacing/>
              <w:rPr>
                <w:kern w:val="0"/>
                <w:sz w:val="24"/>
                <w:szCs w:val="24"/>
              </w:rPr>
            </w:pPr>
            <w:r w:rsidRPr="007276EE">
              <w:rPr>
                <w:kern w:val="0"/>
                <w:sz w:val="24"/>
                <w:szCs w:val="24"/>
              </w:rPr>
              <w:t>其他公立医院</w:t>
            </w:r>
          </w:p>
        </w:tc>
        <w:tc>
          <w:tcPr>
            <w:tcW w:w="1520" w:type="dxa"/>
            <w:tcBorders>
              <w:top w:val="nil"/>
              <w:left w:val="nil"/>
              <w:bottom w:val="single" w:sz="4" w:space="0" w:color="auto"/>
              <w:right w:val="single" w:sz="4" w:space="0" w:color="auto"/>
            </w:tcBorders>
            <w:vAlign w:val="center"/>
          </w:tcPr>
          <w:p w:rsidR="007276EE" w:rsidRPr="007276EE" w:rsidRDefault="007276EE" w:rsidP="007276EE">
            <w:pPr>
              <w:spacing w:line="280" w:lineRule="exact"/>
              <w:contextualSpacing/>
              <w:jc w:val="center"/>
              <w:rPr>
                <w:kern w:val="0"/>
                <w:sz w:val="24"/>
                <w:szCs w:val="24"/>
              </w:rPr>
            </w:pPr>
            <w:r w:rsidRPr="007276EE">
              <w:rPr>
                <w:kern w:val="0"/>
                <w:sz w:val="24"/>
                <w:szCs w:val="24"/>
              </w:rPr>
              <w:t>0.10</w:t>
            </w:r>
          </w:p>
        </w:tc>
        <w:tc>
          <w:tcPr>
            <w:tcW w:w="1520" w:type="dxa"/>
            <w:tcBorders>
              <w:top w:val="nil"/>
              <w:left w:val="nil"/>
              <w:bottom w:val="single" w:sz="4" w:space="0" w:color="auto"/>
              <w:right w:val="single" w:sz="4" w:space="0" w:color="auto"/>
            </w:tcBorders>
            <w:vAlign w:val="center"/>
          </w:tcPr>
          <w:p w:rsidR="007276EE" w:rsidRPr="007276EE" w:rsidRDefault="007276EE" w:rsidP="007276EE">
            <w:pPr>
              <w:spacing w:line="280" w:lineRule="exact"/>
              <w:contextualSpacing/>
              <w:jc w:val="center"/>
              <w:rPr>
                <w:kern w:val="0"/>
                <w:sz w:val="24"/>
                <w:szCs w:val="24"/>
              </w:rPr>
            </w:pPr>
            <w:r w:rsidRPr="007276EE">
              <w:rPr>
                <w:kern w:val="0"/>
                <w:sz w:val="24"/>
                <w:szCs w:val="24"/>
              </w:rPr>
              <w:t>0.36</w:t>
            </w:r>
          </w:p>
        </w:tc>
        <w:tc>
          <w:tcPr>
            <w:tcW w:w="1520" w:type="dxa"/>
            <w:tcBorders>
              <w:top w:val="nil"/>
              <w:left w:val="nil"/>
              <w:bottom w:val="single" w:sz="4" w:space="0" w:color="auto"/>
              <w:right w:val="single" w:sz="4" w:space="0" w:color="auto"/>
            </w:tcBorders>
            <w:vAlign w:val="center"/>
          </w:tcPr>
          <w:p w:rsidR="007276EE" w:rsidRPr="007276EE" w:rsidRDefault="007276EE" w:rsidP="007276EE">
            <w:pPr>
              <w:spacing w:line="280" w:lineRule="exact"/>
              <w:contextualSpacing/>
              <w:jc w:val="center"/>
              <w:rPr>
                <w:kern w:val="0"/>
                <w:sz w:val="24"/>
                <w:szCs w:val="24"/>
              </w:rPr>
            </w:pPr>
            <w:r w:rsidRPr="007276EE">
              <w:rPr>
                <w:kern w:val="0"/>
                <w:sz w:val="24"/>
                <w:szCs w:val="24"/>
              </w:rPr>
              <w:t>指导性</w:t>
            </w:r>
          </w:p>
        </w:tc>
      </w:tr>
      <w:tr w:rsidR="007276EE" w:rsidRPr="007276EE" w:rsidTr="007276EE">
        <w:trPr>
          <w:trHeight w:val="340"/>
          <w:jc w:val="center"/>
        </w:trPr>
        <w:tc>
          <w:tcPr>
            <w:tcW w:w="4540" w:type="dxa"/>
            <w:tcBorders>
              <w:top w:val="nil"/>
              <w:left w:val="single" w:sz="4" w:space="0" w:color="auto"/>
              <w:bottom w:val="single" w:sz="4" w:space="0" w:color="auto"/>
              <w:right w:val="single" w:sz="4" w:space="0" w:color="auto"/>
            </w:tcBorders>
            <w:vAlign w:val="center"/>
          </w:tcPr>
          <w:p w:rsidR="007276EE" w:rsidRPr="007276EE" w:rsidRDefault="007276EE" w:rsidP="007276EE">
            <w:pPr>
              <w:tabs>
                <w:tab w:val="left" w:pos="462"/>
                <w:tab w:val="left" w:pos="657"/>
                <w:tab w:val="left" w:pos="912"/>
                <w:tab w:val="left" w:pos="1332"/>
                <w:tab w:val="left" w:pos="1662"/>
              </w:tabs>
              <w:spacing w:line="280" w:lineRule="exact"/>
              <w:contextualSpacing/>
              <w:rPr>
                <w:kern w:val="0"/>
                <w:sz w:val="24"/>
                <w:szCs w:val="24"/>
              </w:rPr>
            </w:pPr>
            <w:r w:rsidRPr="007276EE">
              <w:rPr>
                <w:kern w:val="0"/>
                <w:sz w:val="24"/>
                <w:szCs w:val="24"/>
              </w:rPr>
              <w:t>社会办医院</w:t>
            </w:r>
          </w:p>
        </w:tc>
        <w:tc>
          <w:tcPr>
            <w:tcW w:w="1520" w:type="dxa"/>
            <w:tcBorders>
              <w:top w:val="nil"/>
              <w:left w:val="nil"/>
              <w:bottom w:val="single" w:sz="4" w:space="0" w:color="auto"/>
              <w:right w:val="single" w:sz="4" w:space="0" w:color="auto"/>
            </w:tcBorders>
            <w:vAlign w:val="center"/>
          </w:tcPr>
          <w:p w:rsidR="007276EE" w:rsidRPr="007276EE" w:rsidRDefault="007276EE" w:rsidP="007276EE">
            <w:pPr>
              <w:spacing w:line="280" w:lineRule="exact"/>
              <w:contextualSpacing/>
              <w:jc w:val="center"/>
              <w:rPr>
                <w:kern w:val="0"/>
                <w:sz w:val="24"/>
                <w:szCs w:val="24"/>
              </w:rPr>
            </w:pPr>
            <w:r w:rsidRPr="007276EE">
              <w:rPr>
                <w:kern w:val="0"/>
                <w:sz w:val="24"/>
                <w:szCs w:val="24"/>
              </w:rPr>
              <w:t>1.5</w:t>
            </w:r>
          </w:p>
        </w:tc>
        <w:tc>
          <w:tcPr>
            <w:tcW w:w="1520" w:type="dxa"/>
            <w:tcBorders>
              <w:top w:val="nil"/>
              <w:left w:val="nil"/>
              <w:bottom w:val="single" w:sz="4" w:space="0" w:color="auto"/>
              <w:right w:val="single" w:sz="4" w:space="0" w:color="auto"/>
            </w:tcBorders>
            <w:vAlign w:val="center"/>
          </w:tcPr>
          <w:p w:rsidR="007276EE" w:rsidRPr="007276EE" w:rsidRDefault="007276EE" w:rsidP="007276EE">
            <w:pPr>
              <w:spacing w:line="280" w:lineRule="exact"/>
              <w:contextualSpacing/>
              <w:jc w:val="center"/>
              <w:rPr>
                <w:kern w:val="0"/>
                <w:sz w:val="24"/>
                <w:szCs w:val="24"/>
              </w:rPr>
            </w:pPr>
            <w:r w:rsidRPr="007276EE">
              <w:rPr>
                <w:kern w:val="0"/>
                <w:sz w:val="24"/>
                <w:szCs w:val="24"/>
              </w:rPr>
              <w:t>0.62</w:t>
            </w:r>
          </w:p>
        </w:tc>
        <w:tc>
          <w:tcPr>
            <w:tcW w:w="1520" w:type="dxa"/>
            <w:tcBorders>
              <w:top w:val="nil"/>
              <w:left w:val="nil"/>
              <w:bottom w:val="single" w:sz="4" w:space="0" w:color="auto"/>
              <w:right w:val="single" w:sz="4" w:space="0" w:color="auto"/>
            </w:tcBorders>
            <w:vAlign w:val="center"/>
          </w:tcPr>
          <w:p w:rsidR="007276EE" w:rsidRPr="007276EE" w:rsidRDefault="007276EE" w:rsidP="007276EE">
            <w:pPr>
              <w:spacing w:line="280" w:lineRule="exact"/>
              <w:contextualSpacing/>
              <w:jc w:val="center"/>
              <w:rPr>
                <w:kern w:val="0"/>
                <w:sz w:val="24"/>
                <w:szCs w:val="24"/>
              </w:rPr>
            </w:pPr>
            <w:r w:rsidRPr="007276EE">
              <w:rPr>
                <w:kern w:val="0"/>
                <w:sz w:val="24"/>
                <w:szCs w:val="24"/>
              </w:rPr>
              <w:t>指导性</w:t>
            </w:r>
          </w:p>
        </w:tc>
      </w:tr>
      <w:tr w:rsidR="007276EE" w:rsidRPr="007276EE" w:rsidTr="007276EE">
        <w:trPr>
          <w:trHeight w:val="340"/>
          <w:jc w:val="center"/>
        </w:trPr>
        <w:tc>
          <w:tcPr>
            <w:tcW w:w="4540" w:type="dxa"/>
            <w:tcBorders>
              <w:top w:val="nil"/>
              <w:left w:val="single" w:sz="4" w:space="0" w:color="auto"/>
              <w:bottom w:val="single" w:sz="4" w:space="0" w:color="auto"/>
              <w:right w:val="single" w:sz="4" w:space="0" w:color="auto"/>
            </w:tcBorders>
            <w:vAlign w:val="center"/>
          </w:tcPr>
          <w:p w:rsidR="007276EE" w:rsidRPr="007276EE" w:rsidRDefault="007276EE" w:rsidP="007276EE">
            <w:pPr>
              <w:spacing w:line="280" w:lineRule="exact"/>
              <w:contextualSpacing/>
              <w:rPr>
                <w:kern w:val="0"/>
                <w:sz w:val="24"/>
                <w:szCs w:val="24"/>
              </w:rPr>
            </w:pPr>
            <w:r w:rsidRPr="007276EE">
              <w:rPr>
                <w:kern w:val="0"/>
                <w:sz w:val="24"/>
                <w:szCs w:val="24"/>
              </w:rPr>
              <w:t>基层医疗卫生机构（张）</w:t>
            </w:r>
          </w:p>
        </w:tc>
        <w:tc>
          <w:tcPr>
            <w:tcW w:w="1520" w:type="dxa"/>
            <w:tcBorders>
              <w:top w:val="nil"/>
              <w:left w:val="nil"/>
              <w:bottom w:val="single" w:sz="4" w:space="0" w:color="auto"/>
              <w:right w:val="single" w:sz="4" w:space="0" w:color="auto"/>
            </w:tcBorders>
            <w:vAlign w:val="center"/>
          </w:tcPr>
          <w:p w:rsidR="007276EE" w:rsidRPr="007276EE" w:rsidRDefault="007276EE" w:rsidP="007276EE">
            <w:pPr>
              <w:spacing w:line="280" w:lineRule="exact"/>
              <w:contextualSpacing/>
              <w:jc w:val="center"/>
              <w:rPr>
                <w:kern w:val="0"/>
                <w:sz w:val="24"/>
                <w:szCs w:val="24"/>
              </w:rPr>
            </w:pPr>
            <w:r w:rsidRPr="007276EE">
              <w:rPr>
                <w:kern w:val="0"/>
                <w:sz w:val="24"/>
                <w:szCs w:val="24"/>
              </w:rPr>
              <w:t>1.4</w:t>
            </w:r>
          </w:p>
        </w:tc>
        <w:tc>
          <w:tcPr>
            <w:tcW w:w="1520" w:type="dxa"/>
            <w:tcBorders>
              <w:top w:val="nil"/>
              <w:left w:val="nil"/>
              <w:bottom w:val="single" w:sz="4" w:space="0" w:color="auto"/>
              <w:right w:val="single" w:sz="4" w:space="0" w:color="auto"/>
            </w:tcBorders>
            <w:vAlign w:val="center"/>
          </w:tcPr>
          <w:p w:rsidR="007276EE" w:rsidRPr="007276EE" w:rsidRDefault="007276EE" w:rsidP="007276EE">
            <w:pPr>
              <w:spacing w:line="280" w:lineRule="exact"/>
              <w:contextualSpacing/>
              <w:jc w:val="center"/>
              <w:rPr>
                <w:kern w:val="0"/>
                <w:sz w:val="24"/>
                <w:szCs w:val="24"/>
              </w:rPr>
            </w:pPr>
            <w:r w:rsidRPr="007276EE">
              <w:rPr>
                <w:kern w:val="0"/>
                <w:sz w:val="24"/>
                <w:szCs w:val="24"/>
              </w:rPr>
              <w:t>0.79</w:t>
            </w:r>
          </w:p>
        </w:tc>
        <w:tc>
          <w:tcPr>
            <w:tcW w:w="1520" w:type="dxa"/>
            <w:tcBorders>
              <w:top w:val="nil"/>
              <w:left w:val="nil"/>
              <w:bottom w:val="single" w:sz="4" w:space="0" w:color="auto"/>
              <w:right w:val="single" w:sz="4" w:space="0" w:color="auto"/>
            </w:tcBorders>
            <w:vAlign w:val="center"/>
          </w:tcPr>
          <w:p w:rsidR="007276EE" w:rsidRPr="007276EE" w:rsidRDefault="007276EE" w:rsidP="007276EE">
            <w:pPr>
              <w:spacing w:line="280" w:lineRule="exact"/>
              <w:contextualSpacing/>
              <w:jc w:val="center"/>
              <w:rPr>
                <w:kern w:val="0"/>
                <w:sz w:val="24"/>
                <w:szCs w:val="24"/>
              </w:rPr>
            </w:pPr>
            <w:r w:rsidRPr="007276EE">
              <w:rPr>
                <w:kern w:val="0"/>
                <w:sz w:val="24"/>
                <w:szCs w:val="24"/>
              </w:rPr>
              <w:t>指导性</w:t>
            </w:r>
          </w:p>
        </w:tc>
      </w:tr>
    </w:tbl>
    <w:p w:rsidR="007276EE" w:rsidRPr="007276EE" w:rsidRDefault="007276EE" w:rsidP="007276EE">
      <w:pPr>
        <w:spacing w:line="600" w:lineRule="exact"/>
        <w:contextualSpacing/>
        <w:jc w:val="left"/>
        <w:rPr>
          <w:sz w:val="24"/>
          <w:szCs w:val="24"/>
        </w:rPr>
      </w:pPr>
      <w:r w:rsidRPr="007276EE">
        <w:rPr>
          <w:sz w:val="24"/>
          <w:szCs w:val="24"/>
        </w:rPr>
        <w:t>注：县办包括县、市辖行政区举办。</w:t>
      </w:r>
      <w:r w:rsidRPr="007276EE">
        <w:rPr>
          <w:sz w:val="24"/>
          <w:szCs w:val="24"/>
        </w:rPr>
        <w:t xml:space="preserve"> </w:t>
      </w:r>
    </w:p>
    <w:p w:rsidR="007276EE" w:rsidRPr="007276EE" w:rsidRDefault="007276EE" w:rsidP="007276EE">
      <w:pPr>
        <w:pStyle w:val="a6"/>
        <w:widowControl w:val="0"/>
        <w:spacing w:before="0" w:beforeAutospacing="0" w:after="0" w:afterAutospacing="0" w:line="600" w:lineRule="exact"/>
        <w:ind w:firstLine="420"/>
        <w:contextualSpacing/>
        <w:rPr>
          <w:rFonts w:ascii="仿宋_GB2312" w:eastAsia="仿宋_GB2312" w:hAnsi="仿宋_GB2312" w:cs="仿宋_GB2312"/>
          <w:sz w:val="30"/>
          <w:szCs w:val="30"/>
        </w:rPr>
      </w:pPr>
      <w:r w:rsidRPr="007276EE">
        <w:rPr>
          <w:rFonts w:ascii="仿宋_GB2312" w:eastAsia="仿宋_GB2312" w:hAnsi="仿宋_GB2312" w:cs="仿宋_GB2312" w:hint="eastAsia"/>
          <w:sz w:val="30"/>
          <w:szCs w:val="30"/>
        </w:rPr>
        <w:t xml:space="preserve"> </w:t>
      </w:r>
      <w:r w:rsidRPr="007276EE">
        <w:rPr>
          <w:rFonts w:ascii="仿宋_GB2312" w:eastAsia="仿宋_GB2312" w:hAnsi="仿宋_GB2312" w:cs="仿宋_GB2312" w:hint="eastAsia"/>
          <w:b/>
          <w:bCs/>
          <w:sz w:val="30"/>
          <w:szCs w:val="30"/>
        </w:rPr>
        <w:t>（二）县区床位调控标准</w:t>
      </w:r>
      <w:r w:rsidRPr="007276EE">
        <w:rPr>
          <w:rFonts w:ascii="仿宋_GB2312" w:eastAsia="仿宋_GB2312" w:hAnsi="仿宋_GB2312" w:cs="仿宋_GB2312" w:hint="eastAsia"/>
          <w:sz w:val="30"/>
          <w:szCs w:val="30"/>
        </w:rPr>
        <w:t xml:space="preserve"> </w:t>
      </w:r>
    </w:p>
    <w:p w:rsidR="007276EE" w:rsidRPr="007276EE" w:rsidRDefault="007276EE" w:rsidP="007276EE">
      <w:pPr>
        <w:pStyle w:val="a6"/>
        <w:widowControl w:val="0"/>
        <w:spacing w:before="0" w:beforeAutospacing="0" w:after="0" w:afterAutospacing="0" w:line="600" w:lineRule="exact"/>
        <w:ind w:firstLine="420"/>
        <w:contextualSpacing/>
        <w:rPr>
          <w:rFonts w:ascii="仿宋_GB2312" w:eastAsia="仿宋_GB2312" w:hAnsi="仿宋_GB2312" w:cs="仿宋_GB2312"/>
          <w:sz w:val="30"/>
          <w:szCs w:val="30"/>
        </w:rPr>
      </w:pPr>
      <w:r w:rsidRPr="007276EE">
        <w:rPr>
          <w:rFonts w:ascii="仿宋_GB2312" w:eastAsia="仿宋_GB2312" w:hAnsi="仿宋_GB2312" w:cs="仿宋_GB2312" w:hint="eastAsia"/>
          <w:sz w:val="30"/>
          <w:szCs w:val="30"/>
        </w:rPr>
        <w:t xml:space="preserve"> 按照每千人口“县区办医院床位数1.8张”合理配置公立医院床</w:t>
      </w:r>
      <w:r w:rsidRPr="007276EE">
        <w:rPr>
          <w:rFonts w:ascii="仿宋_GB2312" w:eastAsia="仿宋_GB2312" w:hAnsi="仿宋_GB2312" w:cs="仿宋_GB2312" w:hint="eastAsia"/>
          <w:sz w:val="30"/>
          <w:szCs w:val="30"/>
        </w:rPr>
        <w:lastRenderedPageBreak/>
        <w:t>位规模，严格控制公立医院单体（单个执业点）床位规模的不合理增长，市办综合性医院床位数一般以800张左右为宜，县办综合性医院床位数一般以500张左右为宜。严格控制综合性医疗机构的床位增量，通过调整现有床位的结构，增加康复、养老医疗护理、精神卫生、妇儿等紧缺专科的床位配置，并完善治疗、康复、护理床位比例结构。超过1000张的医院，建议转型200张床位；超过1500张的医院，建议转型400张，均用于康复、护理、保健等健康服务。专科医院的床位规模要根据实际需要合理设置。经市政府同意增设的医学园区床位，不计入县区床位标准内，纳入全市统筹平衡。见表2。</w:t>
      </w:r>
    </w:p>
    <w:p w:rsidR="007276EE" w:rsidRPr="007276EE" w:rsidRDefault="007276EE" w:rsidP="000A3365">
      <w:pPr>
        <w:spacing w:beforeLines="50" w:afterLines="50" w:line="600" w:lineRule="exact"/>
        <w:contextualSpacing/>
        <w:jc w:val="center"/>
        <w:rPr>
          <w:rFonts w:ascii="黑体" w:eastAsia="黑体"/>
          <w:bCs/>
          <w:sz w:val="30"/>
          <w:szCs w:val="30"/>
        </w:rPr>
      </w:pPr>
      <w:r w:rsidRPr="007276EE">
        <w:rPr>
          <w:rFonts w:ascii="黑体" w:eastAsia="黑体" w:hint="eastAsia"/>
          <w:bCs/>
          <w:sz w:val="30"/>
          <w:szCs w:val="30"/>
        </w:rPr>
        <w:t>表2   2020年中心城区及各县千常住人口床位配置</w:t>
      </w:r>
    </w:p>
    <w:tbl>
      <w:tblPr>
        <w:tblW w:w="5000" w:type="pct"/>
        <w:jc w:val="center"/>
        <w:tblLook w:val="0000"/>
      </w:tblPr>
      <w:tblGrid>
        <w:gridCol w:w="918"/>
        <w:gridCol w:w="876"/>
        <w:gridCol w:w="696"/>
        <w:gridCol w:w="816"/>
        <w:gridCol w:w="696"/>
        <w:gridCol w:w="816"/>
        <w:gridCol w:w="874"/>
        <w:gridCol w:w="787"/>
        <w:gridCol w:w="719"/>
        <w:gridCol w:w="696"/>
        <w:gridCol w:w="696"/>
        <w:gridCol w:w="696"/>
      </w:tblGrid>
      <w:tr w:rsidR="007276EE" w:rsidRPr="007276EE" w:rsidTr="000A3365">
        <w:trPr>
          <w:trHeight w:val="680"/>
          <w:jc w:val="center"/>
        </w:trPr>
        <w:tc>
          <w:tcPr>
            <w:tcW w:w="516" w:type="pct"/>
            <w:tcBorders>
              <w:top w:val="single" w:sz="4" w:space="0" w:color="auto"/>
              <w:left w:val="single" w:sz="4" w:space="0" w:color="auto"/>
              <w:bottom w:val="single" w:sz="4" w:space="0" w:color="auto"/>
              <w:right w:val="single" w:sz="4" w:space="0" w:color="auto"/>
            </w:tcBorders>
            <w:vAlign w:val="center"/>
          </w:tcPr>
          <w:p w:rsidR="007276EE" w:rsidRPr="007276EE" w:rsidRDefault="007276EE" w:rsidP="007276EE">
            <w:pPr>
              <w:snapToGrid w:val="0"/>
              <w:spacing w:line="280" w:lineRule="exact"/>
              <w:contextualSpacing/>
              <w:jc w:val="center"/>
              <w:rPr>
                <w:rFonts w:eastAsia="黑体"/>
                <w:kern w:val="0"/>
                <w:sz w:val="24"/>
                <w:szCs w:val="24"/>
              </w:rPr>
            </w:pPr>
            <w:r w:rsidRPr="007276EE">
              <w:rPr>
                <w:rFonts w:eastAsia="黑体"/>
                <w:kern w:val="0"/>
                <w:sz w:val="24"/>
                <w:szCs w:val="24"/>
              </w:rPr>
              <w:t>地区</w:t>
            </w:r>
          </w:p>
        </w:tc>
        <w:tc>
          <w:tcPr>
            <w:tcW w:w="483" w:type="pct"/>
            <w:tcBorders>
              <w:top w:val="single" w:sz="4" w:space="0" w:color="auto"/>
              <w:left w:val="nil"/>
              <w:bottom w:val="single" w:sz="4" w:space="0" w:color="auto"/>
              <w:right w:val="single" w:sz="4" w:space="0" w:color="auto"/>
            </w:tcBorders>
            <w:vAlign w:val="center"/>
          </w:tcPr>
          <w:p w:rsidR="007276EE" w:rsidRPr="007276EE" w:rsidRDefault="007276EE" w:rsidP="007276EE">
            <w:pPr>
              <w:snapToGrid w:val="0"/>
              <w:spacing w:line="280" w:lineRule="exact"/>
              <w:contextualSpacing/>
              <w:jc w:val="center"/>
              <w:rPr>
                <w:kern w:val="0"/>
                <w:sz w:val="24"/>
                <w:szCs w:val="24"/>
              </w:rPr>
            </w:pPr>
            <w:r w:rsidRPr="007276EE">
              <w:rPr>
                <w:rFonts w:eastAsia="黑体"/>
                <w:kern w:val="0"/>
                <w:sz w:val="24"/>
                <w:szCs w:val="24"/>
              </w:rPr>
              <w:t>辖区人口数（万人）</w:t>
            </w:r>
          </w:p>
        </w:tc>
        <w:tc>
          <w:tcPr>
            <w:tcW w:w="398" w:type="pct"/>
            <w:tcBorders>
              <w:top w:val="single" w:sz="4" w:space="0" w:color="auto"/>
              <w:left w:val="nil"/>
              <w:bottom w:val="single" w:sz="4" w:space="0" w:color="auto"/>
              <w:right w:val="single" w:sz="4" w:space="0" w:color="auto"/>
            </w:tcBorders>
            <w:vAlign w:val="center"/>
          </w:tcPr>
          <w:p w:rsidR="007276EE" w:rsidRPr="007276EE" w:rsidRDefault="007276EE" w:rsidP="007276EE">
            <w:pPr>
              <w:snapToGrid w:val="0"/>
              <w:spacing w:line="280" w:lineRule="exact"/>
              <w:contextualSpacing/>
              <w:jc w:val="center"/>
              <w:rPr>
                <w:sz w:val="24"/>
                <w:szCs w:val="24"/>
              </w:rPr>
            </w:pPr>
            <w:r w:rsidRPr="007276EE">
              <w:rPr>
                <w:kern w:val="0"/>
                <w:sz w:val="24"/>
                <w:szCs w:val="24"/>
              </w:rPr>
              <w:t>2015</w:t>
            </w:r>
            <w:r w:rsidRPr="007276EE">
              <w:rPr>
                <w:rFonts w:eastAsia="黑体"/>
                <w:kern w:val="0"/>
                <w:sz w:val="24"/>
                <w:szCs w:val="24"/>
              </w:rPr>
              <w:t>年千人口床位数</w:t>
            </w:r>
          </w:p>
        </w:tc>
        <w:tc>
          <w:tcPr>
            <w:tcW w:w="435" w:type="pct"/>
            <w:tcBorders>
              <w:top w:val="single" w:sz="4" w:space="0" w:color="auto"/>
              <w:left w:val="nil"/>
              <w:bottom w:val="single" w:sz="4" w:space="0" w:color="auto"/>
              <w:right w:val="single" w:sz="4" w:space="0" w:color="auto"/>
            </w:tcBorders>
            <w:vAlign w:val="center"/>
          </w:tcPr>
          <w:p w:rsidR="007276EE" w:rsidRPr="007276EE" w:rsidRDefault="007276EE" w:rsidP="007276EE">
            <w:pPr>
              <w:snapToGrid w:val="0"/>
              <w:spacing w:line="280" w:lineRule="exact"/>
              <w:contextualSpacing/>
              <w:jc w:val="center"/>
              <w:rPr>
                <w:sz w:val="24"/>
                <w:szCs w:val="24"/>
              </w:rPr>
            </w:pPr>
            <w:r w:rsidRPr="007276EE">
              <w:rPr>
                <w:kern w:val="0"/>
                <w:sz w:val="24"/>
                <w:szCs w:val="24"/>
              </w:rPr>
              <w:t>2015</w:t>
            </w:r>
            <w:r w:rsidRPr="007276EE">
              <w:rPr>
                <w:rFonts w:eastAsia="黑体"/>
                <w:kern w:val="0"/>
                <w:sz w:val="24"/>
                <w:szCs w:val="24"/>
              </w:rPr>
              <w:t>年床位总数</w:t>
            </w:r>
          </w:p>
        </w:tc>
        <w:tc>
          <w:tcPr>
            <w:tcW w:w="336" w:type="pct"/>
            <w:tcBorders>
              <w:top w:val="single" w:sz="4" w:space="0" w:color="auto"/>
              <w:left w:val="nil"/>
              <w:bottom w:val="single" w:sz="4" w:space="0" w:color="auto"/>
              <w:right w:val="single" w:sz="4" w:space="0" w:color="auto"/>
            </w:tcBorders>
            <w:vAlign w:val="center"/>
          </w:tcPr>
          <w:p w:rsidR="007276EE" w:rsidRPr="007276EE" w:rsidRDefault="007276EE" w:rsidP="007276EE">
            <w:pPr>
              <w:snapToGrid w:val="0"/>
              <w:spacing w:line="280" w:lineRule="exact"/>
              <w:contextualSpacing/>
              <w:jc w:val="center"/>
              <w:rPr>
                <w:sz w:val="24"/>
                <w:szCs w:val="24"/>
              </w:rPr>
            </w:pPr>
            <w:r w:rsidRPr="007276EE">
              <w:rPr>
                <w:kern w:val="0"/>
                <w:sz w:val="24"/>
                <w:szCs w:val="24"/>
              </w:rPr>
              <w:t>2020</w:t>
            </w:r>
            <w:r w:rsidRPr="007276EE">
              <w:rPr>
                <w:rFonts w:eastAsia="黑体"/>
                <w:kern w:val="0"/>
                <w:sz w:val="24"/>
                <w:szCs w:val="24"/>
              </w:rPr>
              <w:t>年千人口床位数</w:t>
            </w:r>
          </w:p>
        </w:tc>
        <w:tc>
          <w:tcPr>
            <w:tcW w:w="420" w:type="pct"/>
            <w:tcBorders>
              <w:top w:val="single" w:sz="4" w:space="0" w:color="auto"/>
              <w:left w:val="nil"/>
              <w:bottom w:val="single" w:sz="4" w:space="0" w:color="auto"/>
              <w:right w:val="single" w:sz="4" w:space="0" w:color="auto"/>
            </w:tcBorders>
            <w:vAlign w:val="center"/>
          </w:tcPr>
          <w:p w:rsidR="007276EE" w:rsidRPr="007276EE" w:rsidRDefault="007276EE" w:rsidP="007276EE">
            <w:pPr>
              <w:snapToGrid w:val="0"/>
              <w:spacing w:line="280" w:lineRule="exact"/>
              <w:contextualSpacing/>
              <w:jc w:val="center"/>
              <w:rPr>
                <w:sz w:val="24"/>
                <w:szCs w:val="24"/>
              </w:rPr>
            </w:pPr>
            <w:r w:rsidRPr="007276EE">
              <w:rPr>
                <w:kern w:val="0"/>
                <w:sz w:val="24"/>
                <w:szCs w:val="24"/>
              </w:rPr>
              <w:t>2020</w:t>
            </w:r>
            <w:r w:rsidRPr="007276EE">
              <w:rPr>
                <w:rFonts w:eastAsia="黑体"/>
                <w:kern w:val="0"/>
                <w:sz w:val="24"/>
                <w:szCs w:val="24"/>
              </w:rPr>
              <w:t>年床位总数</w:t>
            </w:r>
          </w:p>
        </w:tc>
        <w:tc>
          <w:tcPr>
            <w:tcW w:w="501" w:type="pct"/>
            <w:tcBorders>
              <w:top w:val="single" w:sz="4" w:space="0" w:color="auto"/>
              <w:left w:val="nil"/>
              <w:bottom w:val="single" w:sz="4" w:space="0" w:color="auto"/>
              <w:right w:val="single" w:sz="4" w:space="0" w:color="auto"/>
            </w:tcBorders>
            <w:vAlign w:val="center"/>
          </w:tcPr>
          <w:p w:rsidR="007276EE" w:rsidRPr="007276EE" w:rsidRDefault="007276EE" w:rsidP="007276EE">
            <w:pPr>
              <w:snapToGrid w:val="0"/>
              <w:spacing w:line="280" w:lineRule="exact"/>
              <w:contextualSpacing/>
              <w:jc w:val="center"/>
              <w:rPr>
                <w:sz w:val="24"/>
                <w:szCs w:val="24"/>
              </w:rPr>
            </w:pPr>
            <w:r w:rsidRPr="007276EE">
              <w:rPr>
                <w:rFonts w:eastAsia="黑体"/>
                <w:kern w:val="0"/>
                <w:sz w:val="24"/>
                <w:szCs w:val="24"/>
              </w:rPr>
              <w:t>地区</w:t>
            </w:r>
          </w:p>
        </w:tc>
        <w:tc>
          <w:tcPr>
            <w:tcW w:w="445" w:type="pct"/>
            <w:tcBorders>
              <w:top w:val="single" w:sz="4" w:space="0" w:color="auto"/>
              <w:left w:val="nil"/>
              <w:bottom w:val="single" w:sz="4" w:space="0" w:color="auto"/>
              <w:right w:val="single" w:sz="4" w:space="0" w:color="auto"/>
            </w:tcBorders>
            <w:vAlign w:val="center"/>
          </w:tcPr>
          <w:p w:rsidR="007276EE" w:rsidRPr="007276EE" w:rsidRDefault="007276EE" w:rsidP="007276EE">
            <w:pPr>
              <w:snapToGrid w:val="0"/>
              <w:spacing w:line="280" w:lineRule="exact"/>
              <w:contextualSpacing/>
              <w:jc w:val="center"/>
              <w:rPr>
                <w:kern w:val="0"/>
                <w:sz w:val="24"/>
                <w:szCs w:val="24"/>
              </w:rPr>
            </w:pPr>
            <w:r w:rsidRPr="007276EE">
              <w:rPr>
                <w:rFonts w:eastAsia="黑体"/>
                <w:kern w:val="0"/>
                <w:sz w:val="24"/>
                <w:szCs w:val="24"/>
              </w:rPr>
              <w:t>辖区人口数（万人）</w:t>
            </w:r>
          </w:p>
        </w:tc>
        <w:tc>
          <w:tcPr>
            <w:tcW w:w="408" w:type="pct"/>
            <w:tcBorders>
              <w:top w:val="single" w:sz="4" w:space="0" w:color="auto"/>
              <w:left w:val="nil"/>
              <w:bottom w:val="single" w:sz="4" w:space="0" w:color="auto"/>
              <w:right w:val="single" w:sz="4" w:space="0" w:color="auto"/>
            </w:tcBorders>
            <w:vAlign w:val="center"/>
          </w:tcPr>
          <w:p w:rsidR="007276EE" w:rsidRPr="007276EE" w:rsidRDefault="007276EE" w:rsidP="007276EE">
            <w:pPr>
              <w:snapToGrid w:val="0"/>
              <w:spacing w:line="280" w:lineRule="exact"/>
              <w:contextualSpacing/>
              <w:jc w:val="center"/>
              <w:rPr>
                <w:sz w:val="24"/>
                <w:szCs w:val="24"/>
              </w:rPr>
            </w:pPr>
            <w:r w:rsidRPr="007276EE">
              <w:rPr>
                <w:kern w:val="0"/>
                <w:sz w:val="24"/>
                <w:szCs w:val="24"/>
              </w:rPr>
              <w:t>2015</w:t>
            </w:r>
            <w:r w:rsidRPr="007276EE">
              <w:rPr>
                <w:rFonts w:eastAsia="黑体"/>
                <w:kern w:val="0"/>
                <w:sz w:val="24"/>
                <w:szCs w:val="24"/>
              </w:rPr>
              <w:t>年千人口床位数</w:t>
            </w:r>
          </w:p>
        </w:tc>
        <w:tc>
          <w:tcPr>
            <w:tcW w:w="338" w:type="pct"/>
            <w:tcBorders>
              <w:top w:val="single" w:sz="4" w:space="0" w:color="auto"/>
              <w:left w:val="nil"/>
              <w:bottom w:val="single" w:sz="4" w:space="0" w:color="auto"/>
              <w:right w:val="single" w:sz="4" w:space="0" w:color="auto"/>
            </w:tcBorders>
            <w:vAlign w:val="center"/>
          </w:tcPr>
          <w:p w:rsidR="007276EE" w:rsidRPr="007276EE" w:rsidRDefault="007276EE" w:rsidP="007276EE">
            <w:pPr>
              <w:snapToGrid w:val="0"/>
              <w:spacing w:line="280" w:lineRule="exact"/>
              <w:contextualSpacing/>
              <w:jc w:val="center"/>
              <w:rPr>
                <w:sz w:val="24"/>
                <w:szCs w:val="24"/>
              </w:rPr>
            </w:pPr>
            <w:r w:rsidRPr="007276EE">
              <w:rPr>
                <w:kern w:val="0"/>
                <w:sz w:val="24"/>
                <w:szCs w:val="24"/>
              </w:rPr>
              <w:t>2015</w:t>
            </w:r>
            <w:r w:rsidRPr="007276EE">
              <w:rPr>
                <w:rFonts w:eastAsia="黑体"/>
                <w:kern w:val="0"/>
                <w:sz w:val="24"/>
                <w:szCs w:val="24"/>
              </w:rPr>
              <w:t>年床位总数</w:t>
            </w:r>
          </w:p>
        </w:tc>
        <w:tc>
          <w:tcPr>
            <w:tcW w:w="375" w:type="pct"/>
            <w:tcBorders>
              <w:top w:val="single" w:sz="4" w:space="0" w:color="auto"/>
              <w:left w:val="nil"/>
              <w:bottom w:val="single" w:sz="4" w:space="0" w:color="auto"/>
              <w:right w:val="single" w:sz="4" w:space="0" w:color="auto"/>
            </w:tcBorders>
            <w:vAlign w:val="center"/>
          </w:tcPr>
          <w:p w:rsidR="007276EE" w:rsidRPr="007276EE" w:rsidRDefault="007276EE" w:rsidP="007276EE">
            <w:pPr>
              <w:snapToGrid w:val="0"/>
              <w:spacing w:line="280" w:lineRule="exact"/>
              <w:contextualSpacing/>
              <w:jc w:val="center"/>
              <w:rPr>
                <w:sz w:val="24"/>
                <w:szCs w:val="24"/>
              </w:rPr>
            </w:pPr>
            <w:r w:rsidRPr="007276EE">
              <w:rPr>
                <w:kern w:val="0"/>
                <w:sz w:val="24"/>
                <w:szCs w:val="24"/>
              </w:rPr>
              <w:t>2020</w:t>
            </w:r>
            <w:r w:rsidRPr="007276EE">
              <w:rPr>
                <w:rFonts w:eastAsia="黑体"/>
                <w:kern w:val="0"/>
                <w:sz w:val="24"/>
                <w:szCs w:val="24"/>
              </w:rPr>
              <w:t>年千人口床位数</w:t>
            </w:r>
          </w:p>
        </w:tc>
        <w:tc>
          <w:tcPr>
            <w:tcW w:w="345" w:type="pct"/>
            <w:tcBorders>
              <w:top w:val="single" w:sz="4" w:space="0" w:color="auto"/>
              <w:left w:val="nil"/>
              <w:bottom w:val="single" w:sz="4" w:space="0" w:color="auto"/>
              <w:right w:val="single" w:sz="4" w:space="0" w:color="auto"/>
            </w:tcBorders>
            <w:vAlign w:val="center"/>
          </w:tcPr>
          <w:p w:rsidR="007276EE" w:rsidRPr="007276EE" w:rsidRDefault="007276EE" w:rsidP="007276EE">
            <w:pPr>
              <w:snapToGrid w:val="0"/>
              <w:spacing w:line="280" w:lineRule="exact"/>
              <w:contextualSpacing/>
              <w:jc w:val="center"/>
              <w:rPr>
                <w:sz w:val="24"/>
                <w:szCs w:val="24"/>
              </w:rPr>
            </w:pPr>
            <w:r w:rsidRPr="007276EE">
              <w:rPr>
                <w:kern w:val="0"/>
                <w:sz w:val="24"/>
                <w:szCs w:val="24"/>
              </w:rPr>
              <w:t>2020</w:t>
            </w:r>
            <w:r w:rsidRPr="007276EE">
              <w:rPr>
                <w:rFonts w:eastAsia="黑体"/>
                <w:kern w:val="0"/>
                <w:sz w:val="24"/>
                <w:szCs w:val="24"/>
              </w:rPr>
              <w:t>年床位总数</w:t>
            </w:r>
          </w:p>
        </w:tc>
      </w:tr>
      <w:tr w:rsidR="007276EE" w:rsidRPr="007276EE" w:rsidTr="000A3365">
        <w:trPr>
          <w:trHeight w:val="680"/>
          <w:jc w:val="center"/>
        </w:trPr>
        <w:tc>
          <w:tcPr>
            <w:tcW w:w="516" w:type="pct"/>
            <w:tcBorders>
              <w:top w:val="nil"/>
              <w:left w:val="single" w:sz="4" w:space="0" w:color="auto"/>
              <w:bottom w:val="single" w:sz="4" w:space="0" w:color="auto"/>
              <w:right w:val="single" w:sz="4" w:space="0" w:color="auto"/>
            </w:tcBorders>
            <w:vAlign w:val="center"/>
          </w:tcPr>
          <w:p w:rsidR="007276EE" w:rsidRPr="007276EE" w:rsidRDefault="007276EE" w:rsidP="007276EE">
            <w:pPr>
              <w:spacing w:line="280" w:lineRule="exact"/>
              <w:contextualSpacing/>
              <w:jc w:val="center"/>
              <w:rPr>
                <w:b/>
                <w:bCs/>
                <w:kern w:val="0"/>
                <w:sz w:val="24"/>
                <w:szCs w:val="24"/>
              </w:rPr>
            </w:pPr>
            <w:r w:rsidRPr="007276EE">
              <w:rPr>
                <w:kern w:val="0"/>
                <w:sz w:val="24"/>
                <w:szCs w:val="24"/>
              </w:rPr>
              <w:t>南阳市</w:t>
            </w:r>
          </w:p>
        </w:tc>
        <w:tc>
          <w:tcPr>
            <w:tcW w:w="483" w:type="pct"/>
            <w:tcBorders>
              <w:top w:val="nil"/>
              <w:left w:val="nil"/>
              <w:bottom w:val="single" w:sz="4" w:space="0" w:color="auto"/>
              <w:right w:val="single" w:sz="4" w:space="0" w:color="auto"/>
            </w:tcBorders>
            <w:vAlign w:val="center"/>
          </w:tcPr>
          <w:p w:rsidR="007276EE" w:rsidRPr="007276EE" w:rsidRDefault="007276EE" w:rsidP="007276EE">
            <w:pPr>
              <w:spacing w:line="280" w:lineRule="exact"/>
              <w:contextualSpacing/>
              <w:jc w:val="center"/>
              <w:rPr>
                <w:kern w:val="0"/>
                <w:sz w:val="24"/>
                <w:szCs w:val="24"/>
              </w:rPr>
            </w:pPr>
            <w:r w:rsidRPr="007276EE">
              <w:rPr>
                <w:kern w:val="0"/>
                <w:sz w:val="24"/>
                <w:szCs w:val="24"/>
              </w:rPr>
              <w:t>1005.7</w:t>
            </w:r>
          </w:p>
        </w:tc>
        <w:tc>
          <w:tcPr>
            <w:tcW w:w="398" w:type="pct"/>
            <w:tcBorders>
              <w:top w:val="nil"/>
              <w:left w:val="nil"/>
              <w:bottom w:val="single" w:sz="4" w:space="0" w:color="auto"/>
              <w:right w:val="single" w:sz="4" w:space="0" w:color="auto"/>
            </w:tcBorders>
            <w:vAlign w:val="center"/>
          </w:tcPr>
          <w:p w:rsidR="007276EE" w:rsidRPr="007276EE" w:rsidRDefault="007276EE" w:rsidP="007276EE">
            <w:pPr>
              <w:spacing w:line="280" w:lineRule="exact"/>
              <w:contextualSpacing/>
              <w:jc w:val="center"/>
              <w:rPr>
                <w:sz w:val="24"/>
                <w:szCs w:val="24"/>
              </w:rPr>
            </w:pPr>
            <w:r w:rsidRPr="007276EE">
              <w:rPr>
                <w:kern w:val="0"/>
                <w:sz w:val="24"/>
                <w:szCs w:val="24"/>
              </w:rPr>
              <w:t>4.09</w:t>
            </w:r>
          </w:p>
        </w:tc>
        <w:tc>
          <w:tcPr>
            <w:tcW w:w="435" w:type="pct"/>
            <w:tcBorders>
              <w:top w:val="nil"/>
              <w:left w:val="nil"/>
              <w:bottom w:val="single" w:sz="4" w:space="0" w:color="auto"/>
              <w:right w:val="single" w:sz="4" w:space="0" w:color="auto"/>
            </w:tcBorders>
            <w:vAlign w:val="center"/>
          </w:tcPr>
          <w:p w:rsidR="007276EE" w:rsidRPr="007276EE" w:rsidRDefault="007276EE" w:rsidP="007276EE">
            <w:pPr>
              <w:spacing w:line="280" w:lineRule="exact"/>
              <w:contextualSpacing/>
              <w:jc w:val="center"/>
              <w:rPr>
                <w:sz w:val="24"/>
                <w:szCs w:val="24"/>
              </w:rPr>
            </w:pPr>
            <w:r w:rsidRPr="007276EE">
              <w:rPr>
                <w:kern w:val="0"/>
                <w:sz w:val="24"/>
                <w:szCs w:val="24"/>
              </w:rPr>
              <w:t>41084</w:t>
            </w:r>
          </w:p>
        </w:tc>
        <w:tc>
          <w:tcPr>
            <w:tcW w:w="336" w:type="pct"/>
            <w:tcBorders>
              <w:top w:val="nil"/>
              <w:left w:val="nil"/>
              <w:bottom w:val="single" w:sz="4" w:space="0" w:color="auto"/>
              <w:right w:val="single" w:sz="4" w:space="0" w:color="auto"/>
            </w:tcBorders>
            <w:vAlign w:val="center"/>
          </w:tcPr>
          <w:p w:rsidR="007276EE" w:rsidRPr="007276EE" w:rsidRDefault="007276EE" w:rsidP="007276EE">
            <w:pPr>
              <w:spacing w:line="280" w:lineRule="exact"/>
              <w:contextualSpacing/>
              <w:jc w:val="center"/>
              <w:rPr>
                <w:sz w:val="24"/>
                <w:szCs w:val="24"/>
              </w:rPr>
            </w:pPr>
            <w:r w:rsidRPr="007276EE">
              <w:rPr>
                <w:kern w:val="0"/>
                <w:sz w:val="24"/>
                <w:szCs w:val="24"/>
              </w:rPr>
              <w:t>6</w:t>
            </w:r>
            <w:r w:rsidRPr="007276EE">
              <w:rPr>
                <w:b/>
                <w:bCs/>
                <w:kern w:val="0"/>
                <w:sz w:val="24"/>
                <w:szCs w:val="24"/>
              </w:rPr>
              <w:t xml:space="preserve">　</w:t>
            </w:r>
          </w:p>
        </w:tc>
        <w:tc>
          <w:tcPr>
            <w:tcW w:w="420" w:type="pct"/>
            <w:tcBorders>
              <w:top w:val="nil"/>
              <w:left w:val="nil"/>
              <w:bottom w:val="single" w:sz="4" w:space="0" w:color="auto"/>
              <w:right w:val="single" w:sz="4" w:space="0" w:color="auto"/>
            </w:tcBorders>
            <w:vAlign w:val="center"/>
          </w:tcPr>
          <w:p w:rsidR="007276EE" w:rsidRPr="007276EE" w:rsidRDefault="007276EE" w:rsidP="007276EE">
            <w:pPr>
              <w:spacing w:line="280" w:lineRule="exact"/>
              <w:contextualSpacing/>
              <w:jc w:val="center"/>
              <w:rPr>
                <w:sz w:val="24"/>
                <w:szCs w:val="24"/>
              </w:rPr>
            </w:pPr>
            <w:r w:rsidRPr="007276EE">
              <w:rPr>
                <w:kern w:val="0"/>
                <w:sz w:val="24"/>
                <w:szCs w:val="24"/>
              </w:rPr>
              <w:t>60342</w:t>
            </w:r>
          </w:p>
        </w:tc>
        <w:tc>
          <w:tcPr>
            <w:tcW w:w="501" w:type="pct"/>
            <w:tcBorders>
              <w:top w:val="nil"/>
              <w:left w:val="nil"/>
              <w:bottom w:val="single" w:sz="4" w:space="0" w:color="auto"/>
              <w:right w:val="single" w:sz="4" w:space="0" w:color="auto"/>
            </w:tcBorders>
            <w:vAlign w:val="center"/>
          </w:tcPr>
          <w:p w:rsidR="007276EE" w:rsidRPr="007276EE" w:rsidRDefault="007276EE" w:rsidP="007276EE">
            <w:pPr>
              <w:spacing w:line="280" w:lineRule="exact"/>
              <w:contextualSpacing/>
              <w:jc w:val="center"/>
              <w:rPr>
                <w:sz w:val="24"/>
                <w:szCs w:val="24"/>
              </w:rPr>
            </w:pPr>
            <w:r w:rsidRPr="007276EE">
              <w:rPr>
                <w:kern w:val="0"/>
                <w:sz w:val="24"/>
                <w:szCs w:val="24"/>
              </w:rPr>
              <w:t>南召县</w:t>
            </w:r>
          </w:p>
        </w:tc>
        <w:tc>
          <w:tcPr>
            <w:tcW w:w="445" w:type="pct"/>
            <w:tcBorders>
              <w:top w:val="nil"/>
              <w:left w:val="nil"/>
              <w:bottom w:val="single" w:sz="4" w:space="0" w:color="auto"/>
              <w:right w:val="single" w:sz="4" w:space="0" w:color="auto"/>
            </w:tcBorders>
            <w:vAlign w:val="center"/>
          </w:tcPr>
          <w:p w:rsidR="007276EE" w:rsidRPr="007276EE" w:rsidRDefault="007276EE" w:rsidP="007276EE">
            <w:pPr>
              <w:spacing w:line="280" w:lineRule="exact"/>
              <w:contextualSpacing/>
              <w:jc w:val="center"/>
              <w:rPr>
                <w:kern w:val="0"/>
                <w:sz w:val="24"/>
                <w:szCs w:val="24"/>
              </w:rPr>
            </w:pPr>
            <w:r w:rsidRPr="007276EE">
              <w:rPr>
                <w:kern w:val="0"/>
                <w:sz w:val="24"/>
                <w:szCs w:val="24"/>
              </w:rPr>
              <w:t>64.9</w:t>
            </w:r>
          </w:p>
        </w:tc>
        <w:tc>
          <w:tcPr>
            <w:tcW w:w="408" w:type="pct"/>
            <w:tcBorders>
              <w:top w:val="nil"/>
              <w:left w:val="nil"/>
              <w:bottom w:val="single" w:sz="4" w:space="0" w:color="auto"/>
              <w:right w:val="single" w:sz="4" w:space="0" w:color="auto"/>
            </w:tcBorders>
            <w:vAlign w:val="center"/>
          </w:tcPr>
          <w:p w:rsidR="007276EE" w:rsidRPr="007276EE" w:rsidRDefault="007276EE" w:rsidP="007276EE">
            <w:pPr>
              <w:spacing w:line="280" w:lineRule="exact"/>
              <w:contextualSpacing/>
              <w:jc w:val="center"/>
              <w:rPr>
                <w:sz w:val="24"/>
                <w:szCs w:val="24"/>
              </w:rPr>
            </w:pPr>
            <w:r w:rsidRPr="007276EE">
              <w:rPr>
                <w:kern w:val="0"/>
                <w:sz w:val="24"/>
                <w:szCs w:val="24"/>
              </w:rPr>
              <w:t>2.83</w:t>
            </w:r>
          </w:p>
        </w:tc>
        <w:tc>
          <w:tcPr>
            <w:tcW w:w="338" w:type="pct"/>
            <w:tcBorders>
              <w:top w:val="nil"/>
              <w:left w:val="nil"/>
              <w:bottom w:val="single" w:sz="4" w:space="0" w:color="auto"/>
              <w:right w:val="single" w:sz="4" w:space="0" w:color="auto"/>
            </w:tcBorders>
            <w:vAlign w:val="center"/>
          </w:tcPr>
          <w:p w:rsidR="007276EE" w:rsidRPr="007276EE" w:rsidRDefault="007276EE" w:rsidP="007276EE">
            <w:pPr>
              <w:spacing w:line="280" w:lineRule="exact"/>
              <w:contextualSpacing/>
              <w:jc w:val="center"/>
              <w:rPr>
                <w:sz w:val="24"/>
                <w:szCs w:val="24"/>
              </w:rPr>
            </w:pPr>
            <w:r w:rsidRPr="007276EE">
              <w:rPr>
                <w:kern w:val="0"/>
                <w:sz w:val="24"/>
                <w:szCs w:val="24"/>
              </w:rPr>
              <w:t>1853</w:t>
            </w:r>
          </w:p>
        </w:tc>
        <w:tc>
          <w:tcPr>
            <w:tcW w:w="375" w:type="pct"/>
            <w:tcBorders>
              <w:top w:val="nil"/>
              <w:left w:val="nil"/>
              <w:bottom w:val="single" w:sz="4" w:space="0" w:color="auto"/>
              <w:right w:val="single" w:sz="4" w:space="0" w:color="auto"/>
            </w:tcBorders>
            <w:vAlign w:val="center"/>
          </w:tcPr>
          <w:p w:rsidR="007276EE" w:rsidRPr="007276EE" w:rsidRDefault="007276EE" w:rsidP="007276EE">
            <w:pPr>
              <w:spacing w:line="280" w:lineRule="exact"/>
              <w:contextualSpacing/>
              <w:jc w:val="center"/>
              <w:rPr>
                <w:sz w:val="24"/>
                <w:szCs w:val="24"/>
              </w:rPr>
            </w:pPr>
            <w:r w:rsidRPr="007276EE">
              <w:rPr>
                <w:kern w:val="0"/>
                <w:sz w:val="24"/>
                <w:szCs w:val="24"/>
              </w:rPr>
              <w:t>4.48</w:t>
            </w:r>
          </w:p>
        </w:tc>
        <w:tc>
          <w:tcPr>
            <w:tcW w:w="345" w:type="pct"/>
            <w:tcBorders>
              <w:top w:val="nil"/>
              <w:left w:val="nil"/>
              <w:bottom w:val="single" w:sz="4" w:space="0" w:color="auto"/>
              <w:right w:val="single" w:sz="4" w:space="0" w:color="auto"/>
            </w:tcBorders>
            <w:vAlign w:val="center"/>
          </w:tcPr>
          <w:p w:rsidR="007276EE" w:rsidRPr="007276EE" w:rsidRDefault="007276EE" w:rsidP="007276EE">
            <w:pPr>
              <w:spacing w:line="280" w:lineRule="exact"/>
              <w:contextualSpacing/>
              <w:jc w:val="center"/>
              <w:rPr>
                <w:kern w:val="0"/>
                <w:sz w:val="24"/>
                <w:szCs w:val="24"/>
              </w:rPr>
            </w:pPr>
            <w:r w:rsidRPr="007276EE">
              <w:rPr>
                <w:kern w:val="0"/>
                <w:sz w:val="24"/>
                <w:szCs w:val="24"/>
              </w:rPr>
              <w:t>2908</w:t>
            </w:r>
          </w:p>
        </w:tc>
      </w:tr>
      <w:tr w:rsidR="007276EE" w:rsidRPr="007276EE" w:rsidTr="000A3365">
        <w:trPr>
          <w:trHeight w:val="680"/>
          <w:jc w:val="center"/>
        </w:trPr>
        <w:tc>
          <w:tcPr>
            <w:tcW w:w="516" w:type="pct"/>
            <w:tcBorders>
              <w:top w:val="nil"/>
              <w:left w:val="single" w:sz="4" w:space="0" w:color="auto"/>
              <w:bottom w:val="single" w:sz="4" w:space="0" w:color="auto"/>
              <w:right w:val="single" w:sz="4" w:space="0" w:color="auto"/>
            </w:tcBorders>
            <w:vAlign w:val="center"/>
          </w:tcPr>
          <w:p w:rsidR="007276EE" w:rsidRPr="007276EE" w:rsidRDefault="007276EE" w:rsidP="007276EE">
            <w:pPr>
              <w:spacing w:line="280" w:lineRule="exact"/>
              <w:contextualSpacing/>
              <w:jc w:val="center"/>
              <w:rPr>
                <w:kern w:val="0"/>
                <w:sz w:val="24"/>
                <w:szCs w:val="24"/>
              </w:rPr>
            </w:pPr>
            <w:r w:rsidRPr="007276EE">
              <w:rPr>
                <w:kern w:val="0"/>
                <w:sz w:val="24"/>
                <w:szCs w:val="24"/>
              </w:rPr>
              <w:t>中心城区</w:t>
            </w:r>
          </w:p>
        </w:tc>
        <w:tc>
          <w:tcPr>
            <w:tcW w:w="483" w:type="pct"/>
            <w:tcBorders>
              <w:top w:val="nil"/>
              <w:left w:val="nil"/>
              <w:bottom w:val="single" w:sz="4" w:space="0" w:color="auto"/>
              <w:right w:val="single" w:sz="4" w:space="0" w:color="auto"/>
            </w:tcBorders>
            <w:vAlign w:val="center"/>
          </w:tcPr>
          <w:p w:rsidR="007276EE" w:rsidRPr="007276EE" w:rsidRDefault="007276EE" w:rsidP="007276EE">
            <w:pPr>
              <w:spacing w:line="280" w:lineRule="exact"/>
              <w:contextualSpacing/>
              <w:jc w:val="center"/>
              <w:rPr>
                <w:kern w:val="0"/>
                <w:sz w:val="24"/>
                <w:szCs w:val="24"/>
              </w:rPr>
            </w:pPr>
            <w:r w:rsidRPr="007276EE">
              <w:rPr>
                <w:kern w:val="0"/>
                <w:sz w:val="24"/>
                <w:szCs w:val="24"/>
              </w:rPr>
              <w:t>186.9</w:t>
            </w:r>
          </w:p>
        </w:tc>
        <w:tc>
          <w:tcPr>
            <w:tcW w:w="398" w:type="pct"/>
            <w:tcBorders>
              <w:top w:val="nil"/>
              <w:left w:val="nil"/>
              <w:bottom w:val="single" w:sz="4" w:space="0" w:color="auto"/>
              <w:right w:val="single" w:sz="4" w:space="0" w:color="auto"/>
            </w:tcBorders>
            <w:vAlign w:val="center"/>
          </w:tcPr>
          <w:p w:rsidR="007276EE" w:rsidRPr="007276EE" w:rsidRDefault="007276EE" w:rsidP="007276EE">
            <w:pPr>
              <w:spacing w:line="280" w:lineRule="exact"/>
              <w:contextualSpacing/>
              <w:jc w:val="center"/>
              <w:rPr>
                <w:sz w:val="24"/>
                <w:szCs w:val="24"/>
              </w:rPr>
            </w:pPr>
            <w:r w:rsidRPr="007276EE">
              <w:rPr>
                <w:kern w:val="0"/>
                <w:sz w:val="24"/>
                <w:szCs w:val="24"/>
              </w:rPr>
              <w:t>8.79</w:t>
            </w:r>
          </w:p>
        </w:tc>
        <w:tc>
          <w:tcPr>
            <w:tcW w:w="435" w:type="pct"/>
            <w:tcBorders>
              <w:top w:val="nil"/>
              <w:left w:val="nil"/>
              <w:bottom w:val="single" w:sz="4" w:space="0" w:color="auto"/>
              <w:right w:val="single" w:sz="4" w:space="0" w:color="auto"/>
            </w:tcBorders>
            <w:vAlign w:val="center"/>
          </w:tcPr>
          <w:p w:rsidR="007276EE" w:rsidRPr="007276EE" w:rsidRDefault="007276EE" w:rsidP="007276EE">
            <w:pPr>
              <w:spacing w:line="280" w:lineRule="exact"/>
              <w:contextualSpacing/>
              <w:jc w:val="center"/>
              <w:rPr>
                <w:sz w:val="24"/>
                <w:szCs w:val="24"/>
              </w:rPr>
            </w:pPr>
            <w:r w:rsidRPr="007276EE">
              <w:rPr>
                <w:kern w:val="0"/>
                <w:sz w:val="24"/>
                <w:szCs w:val="24"/>
              </w:rPr>
              <w:t>16422</w:t>
            </w:r>
          </w:p>
        </w:tc>
        <w:tc>
          <w:tcPr>
            <w:tcW w:w="336" w:type="pct"/>
            <w:tcBorders>
              <w:top w:val="nil"/>
              <w:left w:val="nil"/>
              <w:bottom w:val="single" w:sz="4" w:space="0" w:color="auto"/>
              <w:right w:val="single" w:sz="4" w:space="0" w:color="auto"/>
            </w:tcBorders>
            <w:vAlign w:val="center"/>
          </w:tcPr>
          <w:p w:rsidR="007276EE" w:rsidRPr="007276EE" w:rsidRDefault="007276EE" w:rsidP="007276EE">
            <w:pPr>
              <w:spacing w:line="280" w:lineRule="exact"/>
              <w:contextualSpacing/>
              <w:jc w:val="center"/>
              <w:rPr>
                <w:sz w:val="24"/>
                <w:szCs w:val="24"/>
              </w:rPr>
            </w:pPr>
            <w:r w:rsidRPr="007276EE">
              <w:rPr>
                <w:kern w:val="0"/>
                <w:sz w:val="24"/>
                <w:szCs w:val="24"/>
              </w:rPr>
              <w:t>12</w:t>
            </w:r>
          </w:p>
        </w:tc>
        <w:tc>
          <w:tcPr>
            <w:tcW w:w="420" w:type="pct"/>
            <w:tcBorders>
              <w:top w:val="nil"/>
              <w:left w:val="nil"/>
              <w:bottom w:val="single" w:sz="4" w:space="0" w:color="auto"/>
              <w:right w:val="single" w:sz="4" w:space="0" w:color="auto"/>
            </w:tcBorders>
            <w:vAlign w:val="center"/>
          </w:tcPr>
          <w:p w:rsidR="007276EE" w:rsidRPr="007276EE" w:rsidRDefault="007276EE" w:rsidP="007276EE">
            <w:pPr>
              <w:spacing w:line="280" w:lineRule="exact"/>
              <w:contextualSpacing/>
              <w:jc w:val="center"/>
              <w:rPr>
                <w:sz w:val="24"/>
                <w:szCs w:val="24"/>
              </w:rPr>
            </w:pPr>
            <w:r w:rsidRPr="007276EE">
              <w:rPr>
                <w:kern w:val="0"/>
                <w:sz w:val="24"/>
                <w:szCs w:val="24"/>
              </w:rPr>
              <w:t>22428</w:t>
            </w:r>
          </w:p>
        </w:tc>
        <w:tc>
          <w:tcPr>
            <w:tcW w:w="501" w:type="pct"/>
            <w:tcBorders>
              <w:top w:val="nil"/>
              <w:left w:val="nil"/>
              <w:bottom w:val="single" w:sz="4" w:space="0" w:color="auto"/>
              <w:right w:val="single" w:sz="4" w:space="0" w:color="auto"/>
            </w:tcBorders>
            <w:vAlign w:val="center"/>
          </w:tcPr>
          <w:p w:rsidR="007276EE" w:rsidRPr="007276EE" w:rsidRDefault="007276EE" w:rsidP="007276EE">
            <w:pPr>
              <w:spacing w:line="280" w:lineRule="exact"/>
              <w:contextualSpacing/>
              <w:jc w:val="center"/>
              <w:rPr>
                <w:sz w:val="24"/>
                <w:szCs w:val="24"/>
              </w:rPr>
            </w:pPr>
            <w:r w:rsidRPr="007276EE">
              <w:rPr>
                <w:kern w:val="0"/>
                <w:sz w:val="24"/>
                <w:szCs w:val="24"/>
              </w:rPr>
              <w:t>内乡县</w:t>
            </w:r>
          </w:p>
        </w:tc>
        <w:tc>
          <w:tcPr>
            <w:tcW w:w="445" w:type="pct"/>
            <w:tcBorders>
              <w:top w:val="nil"/>
              <w:left w:val="nil"/>
              <w:bottom w:val="single" w:sz="4" w:space="0" w:color="auto"/>
              <w:right w:val="single" w:sz="4" w:space="0" w:color="auto"/>
            </w:tcBorders>
            <w:vAlign w:val="center"/>
          </w:tcPr>
          <w:p w:rsidR="007276EE" w:rsidRPr="007276EE" w:rsidRDefault="007276EE" w:rsidP="007276EE">
            <w:pPr>
              <w:spacing w:line="280" w:lineRule="exact"/>
              <w:contextualSpacing/>
              <w:jc w:val="center"/>
              <w:rPr>
                <w:kern w:val="0"/>
                <w:sz w:val="24"/>
                <w:szCs w:val="24"/>
              </w:rPr>
            </w:pPr>
            <w:r w:rsidRPr="007276EE">
              <w:rPr>
                <w:kern w:val="0"/>
                <w:sz w:val="24"/>
                <w:szCs w:val="24"/>
              </w:rPr>
              <w:t>71.5</w:t>
            </w:r>
          </w:p>
        </w:tc>
        <w:tc>
          <w:tcPr>
            <w:tcW w:w="408" w:type="pct"/>
            <w:tcBorders>
              <w:top w:val="nil"/>
              <w:left w:val="nil"/>
              <w:bottom w:val="single" w:sz="4" w:space="0" w:color="auto"/>
              <w:right w:val="single" w:sz="4" w:space="0" w:color="auto"/>
            </w:tcBorders>
            <w:vAlign w:val="center"/>
          </w:tcPr>
          <w:p w:rsidR="007276EE" w:rsidRPr="007276EE" w:rsidRDefault="007276EE" w:rsidP="007276EE">
            <w:pPr>
              <w:spacing w:line="280" w:lineRule="exact"/>
              <w:contextualSpacing/>
              <w:jc w:val="center"/>
              <w:rPr>
                <w:sz w:val="24"/>
                <w:szCs w:val="24"/>
              </w:rPr>
            </w:pPr>
            <w:r w:rsidRPr="007276EE">
              <w:rPr>
                <w:kern w:val="0"/>
                <w:sz w:val="24"/>
                <w:szCs w:val="24"/>
              </w:rPr>
              <w:t>3.42</w:t>
            </w:r>
          </w:p>
        </w:tc>
        <w:tc>
          <w:tcPr>
            <w:tcW w:w="338" w:type="pct"/>
            <w:tcBorders>
              <w:top w:val="nil"/>
              <w:left w:val="nil"/>
              <w:bottom w:val="single" w:sz="4" w:space="0" w:color="auto"/>
              <w:right w:val="single" w:sz="4" w:space="0" w:color="auto"/>
            </w:tcBorders>
            <w:vAlign w:val="center"/>
          </w:tcPr>
          <w:p w:rsidR="007276EE" w:rsidRPr="007276EE" w:rsidRDefault="007276EE" w:rsidP="007276EE">
            <w:pPr>
              <w:spacing w:line="280" w:lineRule="exact"/>
              <w:contextualSpacing/>
              <w:jc w:val="center"/>
              <w:rPr>
                <w:sz w:val="24"/>
                <w:szCs w:val="24"/>
              </w:rPr>
            </w:pPr>
            <w:r w:rsidRPr="007276EE">
              <w:rPr>
                <w:kern w:val="0"/>
                <w:sz w:val="24"/>
                <w:szCs w:val="24"/>
              </w:rPr>
              <w:t>2445</w:t>
            </w:r>
          </w:p>
        </w:tc>
        <w:tc>
          <w:tcPr>
            <w:tcW w:w="375" w:type="pct"/>
            <w:tcBorders>
              <w:top w:val="nil"/>
              <w:left w:val="nil"/>
              <w:bottom w:val="single" w:sz="4" w:space="0" w:color="auto"/>
              <w:right w:val="single" w:sz="4" w:space="0" w:color="auto"/>
            </w:tcBorders>
            <w:vAlign w:val="center"/>
          </w:tcPr>
          <w:p w:rsidR="007276EE" w:rsidRPr="007276EE" w:rsidRDefault="007276EE" w:rsidP="007276EE">
            <w:pPr>
              <w:spacing w:line="280" w:lineRule="exact"/>
              <w:contextualSpacing/>
              <w:jc w:val="center"/>
              <w:rPr>
                <w:sz w:val="24"/>
                <w:szCs w:val="24"/>
              </w:rPr>
            </w:pPr>
            <w:r w:rsidRPr="007276EE">
              <w:rPr>
                <w:kern w:val="0"/>
                <w:sz w:val="24"/>
                <w:szCs w:val="24"/>
              </w:rPr>
              <w:t xml:space="preserve">5.05 </w:t>
            </w:r>
          </w:p>
        </w:tc>
        <w:tc>
          <w:tcPr>
            <w:tcW w:w="345" w:type="pct"/>
            <w:tcBorders>
              <w:top w:val="nil"/>
              <w:left w:val="nil"/>
              <w:bottom w:val="single" w:sz="4" w:space="0" w:color="auto"/>
              <w:right w:val="single" w:sz="4" w:space="0" w:color="auto"/>
            </w:tcBorders>
            <w:vAlign w:val="center"/>
          </w:tcPr>
          <w:p w:rsidR="007276EE" w:rsidRPr="007276EE" w:rsidRDefault="007276EE" w:rsidP="007276EE">
            <w:pPr>
              <w:spacing w:line="280" w:lineRule="exact"/>
              <w:contextualSpacing/>
              <w:jc w:val="center"/>
              <w:rPr>
                <w:kern w:val="0"/>
                <w:sz w:val="24"/>
                <w:szCs w:val="24"/>
              </w:rPr>
            </w:pPr>
            <w:r w:rsidRPr="007276EE">
              <w:rPr>
                <w:kern w:val="0"/>
                <w:sz w:val="24"/>
                <w:szCs w:val="24"/>
              </w:rPr>
              <w:t>3611</w:t>
            </w:r>
          </w:p>
        </w:tc>
      </w:tr>
      <w:tr w:rsidR="007276EE" w:rsidRPr="007276EE" w:rsidTr="000A3365">
        <w:trPr>
          <w:trHeight w:val="680"/>
          <w:jc w:val="center"/>
        </w:trPr>
        <w:tc>
          <w:tcPr>
            <w:tcW w:w="516" w:type="pct"/>
            <w:tcBorders>
              <w:top w:val="nil"/>
              <w:left w:val="single" w:sz="4" w:space="0" w:color="auto"/>
              <w:bottom w:val="single" w:sz="4" w:space="0" w:color="auto"/>
              <w:right w:val="single" w:sz="4" w:space="0" w:color="auto"/>
            </w:tcBorders>
            <w:vAlign w:val="center"/>
          </w:tcPr>
          <w:p w:rsidR="007276EE" w:rsidRPr="007276EE" w:rsidRDefault="007276EE" w:rsidP="007276EE">
            <w:pPr>
              <w:spacing w:line="280" w:lineRule="exact"/>
              <w:contextualSpacing/>
              <w:jc w:val="center"/>
              <w:rPr>
                <w:kern w:val="0"/>
                <w:sz w:val="24"/>
                <w:szCs w:val="24"/>
              </w:rPr>
            </w:pPr>
            <w:r w:rsidRPr="007276EE">
              <w:rPr>
                <w:kern w:val="0"/>
                <w:sz w:val="24"/>
                <w:szCs w:val="24"/>
              </w:rPr>
              <w:t>唐河县</w:t>
            </w:r>
          </w:p>
        </w:tc>
        <w:tc>
          <w:tcPr>
            <w:tcW w:w="483" w:type="pct"/>
            <w:tcBorders>
              <w:top w:val="nil"/>
              <w:left w:val="nil"/>
              <w:bottom w:val="single" w:sz="4" w:space="0" w:color="auto"/>
              <w:right w:val="single" w:sz="4" w:space="0" w:color="auto"/>
            </w:tcBorders>
            <w:vAlign w:val="center"/>
          </w:tcPr>
          <w:p w:rsidR="007276EE" w:rsidRPr="007276EE" w:rsidRDefault="007276EE" w:rsidP="007276EE">
            <w:pPr>
              <w:spacing w:line="280" w:lineRule="exact"/>
              <w:contextualSpacing/>
              <w:jc w:val="center"/>
              <w:rPr>
                <w:kern w:val="0"/>
                <w:sz w:val="24"/>
                <w:szCs w:val="24"/>
              </w:rPr>
            </w:pPr>
            <w:r w:rsidRPr="007276EE">
              <w:rPr>
                <w:kern w:val="0"/>
                <w:sz w:val="24"/>
                <w:szCs w:val="24"/>
              </w:rPr>
              <w:t>144.1</w:t>
            </w:r>
          </w:p>
        </w:tc>
        <w:tc>
          <w:tcPr>
            <w:tcW w:w="398" w:type="pct"/>
            <w:tcBorders>
              <w:top w:val="nil"/>
              <w:left w:val="nil"/>
              <w:bottom w:val="single" w:sz="4" w:space="0" w:color="auto"/>
              <w:right w:val="single" w:sz="4" w:space="0" w:color="auto"/>
            </w:tcBorders>
            <w:vAlign w:val="center"/>
          </w:tcPr>
          <w:p w:rsidR="007276EE" w:rsidRPr="007276EE" w:rsidRDefault="007276EE" w:rsidP="007276EE">
            <w:pPr>
              <w:spacing w:line="280" w:lineRule="exact"/>
              <w:contextualSpacing/>
              <w:jc w:val="center"/>
              <w:rPr>
                <w:sz w:val="24"/>
                <w:szCs w:val="24"/>
              </w:rPr>
            </w:pPr>
            <w:r w:rsidRPr="007276EE">
              <w:rPr>
                <w:kern w:val="0"/>
                <w:sz w:val="24"/>
                <w:szCs w:val="24"/>
              </w:rPr>
              <w:t>2.8</w:t>
            </w:r>
          </w:p>
        </w:tc>
        <w:tc>
          <w:tcPr>
            <w:tcW w:w="435" w:type="pct"/>
            <w:tcBorders>
              <w:top w:val="nil"/>
              <w:left w:val="nil"/>
              <w:bottom w:val="single" w:sz="4" w:space="0" w:color="auto"/>
              <w:right w:val="single" w:sz="4" w:space="0" w:color="auto"/>
            </w:tcBorders>
            <w:vAlign w:val="center"/>
          </w:tcPr>
          <w:p w:rsidR="007276EE" w:rsidRPr="007276EE" w:rsidRDefault="007276EE" w:rsidP="007276EE">
            <w:pPr>
              <w:spacing w:line="280" w:lineRule="exact"/>
              <w:contextualSpacing/>
              <w:jc w:val="center"/>
              <w:rPr>
                <w:sz w:val="24"/>
                <w:szCs w:val="24"/>
              </w:rPr>
            </w:pPr>
            <w:r w:rsidRPr="007276EE">
              <w:rPr>
                <w:kern w:val="0"/>
                <w:sz w:val="24"/>
                <w:szCs w:val="24"/>
              </w:rPr>
              <w:t>3300</w:t>
            </w:r>
          </w:p>
        </w:tc>
        <w:tc>
          <w:tcPr>
            <w:tcW w:w="336" w:type="pct"/>
            <w:tcBorders>
              <w:top w:val="nil"/>
              <w:left w:val="nil"/>
              <w:bottom w:val="single" w:sz="4" w:space="0" w:color="auto"/>
              <w:right w:val="single" w:sz="4" w:space="0" w:color="auto"/>
            </w:tcBorders>
            <w:vAlign w:val="center"/>
          </w:tcPr>
          <w:p w:rsidR="007276EE" w:rsidRPr="007276EE" w:rsidRDefault="007276EE" w:rsidP="007276EE">
            <w:pPr>
              <w:spacing w:line="280" w:lineRule="exact"/>
              <w:contextualSpacing/>
              <w:jc w:val="center"/>
              <w:rPr>
                <w:sz w:val="24"/>
                <w:szCs w:val="24"/>
              </w:rPr>
            </w:pPr>
            <w:r w:rsidRPr="007276EE">
              <w:rPr>
                <w:kern w:val="0"/>
                <w:sz w:val="24"/>
                <w:szCs w:val="24"/>
              </w:rPr>
              <w:t xml:space="preserve">3.92 </w:t>
            </w:r>
          </w:p>
        </w:tc>
        <w:tc>
          <w:tcPr>
            <w:tcW w:w="420" w:type="pct"/>
            <w:tcBorders>
              <w:top w:val="nil"/>
              <w:left w:val="nil"/>
              <w:bottom w:val="single" w:sz="4" w:space="0" w:color="auto"/>
              <w:right w:val="single" w:sz="4" w:space="0" w:color="auto"/>
            </w:tcBorders>
            <w:vAlign w:val="center"/>
          </w:tcPr>
          <w:p w:rsidR="007276EE" w:rsidRPr="007276EE" w:rsidRDefault="007276EE" w:rsidP="007276EE">
            <w:pPr>
              <w:spacing w:line="280" w:lineRule="exact"/>
              <w:contextualSpacing/>
              <w:jc w:val="center"/>
              <w:rPr>
                <w:kern w:val="0"/>
                <w:sz w:val="24"/>
                <w:szCs w:val="24"/>
              </w:rPr>
            </w:pPr>
            <w:r w:rsidRPr="007276EE">
              <w:rPr>
                <w:kern w:val="0"/>
                <w:sz w:val="24"/>
                <w:szCs w:val="24"/>
              </w:rPr>
              <w:t>5649</w:t>
            </w:r>
          </w:p>
        </w:tc>
        <w:tc>
          <w:tcPr>
            <w:tcW w:w="501" w:type="pct"/>
            <w:tcBorders>
              <w:top w:val="nil"/>
              <w:left w:val="nil"/>
              <w:bottom w:val="single" w:sz="4" w:space="0" w:color="auto"/>
              <w:right w:val="single" w:sz="4" w:space="0" w:color="auto"/>
            </w:tcBorders>
            <w:vAlign w:val="center"/>
          </w:tcPr>
          <w:p w:rsidR="007276EE" w:rsidRPr="007276EE" w:rsidRDefault="007276EE" w:rsidP="007276EE">
            <w:pPr>
              <w:spacing w:line="280" w:lineRule="exact"/>
              <w:contextualSpacing/>
              <w:jc w:val="center"/>
              <w:rPr>
                <w:sz w:val="24"/>
                <w:szCs w:val="24"/>
              </w:rPr>
            </w:pPr>
            <w:r w:rsidRPr="007276EE">
              <w:rPr>
                <w:kern w:val="0"/>
                <w:sz w:val="24"/>
                <w:szCs w:val="24"/>
              </w:rPr>
              <w:t>社旗县</w:t>
            </w:r>
          </w:p>
        </w:tc>
        <w:tc>
          <w:tcPr>
            <w:tcW w:w="445" w:type="pct"/>
            <w:tcBorders>
              <w:top w:val="nil"/>
              <w:left w:val="nil"/>
              <w:bottom w:val="single" w:sz="4" w:space="0" w:color="auto"/>
              <w:right w:val="single" w:sz="4" w:space="0" w:color="auto"/>
            </w:tcBorders>
            <w:vAlign w:val="center"/>
          </w:tcPr>
          <w:p w:rsidR="007276EE" w:rsidRPr="007276EE" w:rsidRDefault="007276EE" w:rsidP="007276EE">
            <w:pPr>
              <w:spacing w:line="280" w:lineRule="exact"/>
              <w:contextualSpacing/>
              <w:jc w:val="center"/>
              <w:rPr>
                <w:kern w:val="0"/>
                <w:sz w:val="24"/>
                <w:szCs w:val="24"/>
              </w:rPr>
            </w:pPr>
            <w:r w:rsidRPr="007276EE">
              <w:rPr>
                <w:kern w:val="0"/>
                <w:sz w:val="24"/>
                <w:szCs w:val="24"/>
              </w:rPr>
              <w:t>73.3</w:t>
            </w:r>
          </w:p>
        </w:tc>
        <w:tc>
          <w:tcPr>
            <w:tcW w:w="408" w:type="pct"/>
            <w:tcBorders>
              <w:top w:val="nil"/>
              <w:left w:val="nil"/>
              <w:bottom w:val="single" w:sz="4" w:space="0" w:color="auto"/>
              <w:right w:val="single" w:sz="4" w:space="0" w:color="auto"/>
            </w:tcBorders>
            <w:vAlign w:val="center"/>
          </w:tcPr>
          <w:p w:rsidR="007276EE" w:rsidRPr="007276EE" w:rsidRDefault="007276EE" w:rsidP="007276EE">
            <w:pPr>
              <w:spacing w:line="280" w:lineRule="exact"/>
              <w:contextualSpacing/>
              <w:jc w:val="center"/>
              <w:rPr>
                <w:sz w:val="24"/>
                <w:szCs w:val="24"/>
              </w:rPr>
            </w:pPr>
            <w:r w:rsidRPr="007276EE">
              <w:rPr>
                <w:kern w:val="0"/>
                <w:sz w:val="24"/>
                <w:szCs w:val="24"/>
              </w:rPr>
              <w:t>4.59</w:t>
            </w:r>
          </w:p>
        </w:tc>
        <w:tc>
          <w:tcPr>
            <w:tcW w:w="338" w:type="pct"/>
            <w:tcBorders>
              <w:top w:val="nil"/>
              <w:left w:val="nil"/>
              <w:bottom w:val="single" w:sz="4" w:space="0" w:color="auto"/>
              <w:right w:val="single" w:sz="4" w:space="0" w:color="auto"/>
            </w:tcBorders>
            <w:vAlign w:val="center"/>
          </w:tcPr>
          <w:p w:rsidR="007276EE" w:rsidRPr="007276EE" w:rsidRDefault="007276EE" w:rsidP="007276EE">
            <w:pPr>
              <w:spacing w:line="280" w:lineRule="exact"/>
              <w:contextualSpacing/>
              <w:jc w:val="center"/>
              <w:rPr>
                <w:sz w:val="24"/>
                <w:szCs w:val="24"/>
              </w:rPr>
            </w:pPr>
            <w:r w:rsidRPr="007276EE">
              <w:rPr>
                <w:kern w:val="0"/>
                <w:sz w:val="24"/>
                <w:szCs w:val="24"/>
              </w:rPr>
              <w:t>3367</w:t>
            </w:r>
          </w:p>
        </w:tc>
        <w:tc>
          <w:tcPr>
            <w:tcW w:w="375" w:type="pct"/>
            <w:tcBorders>
              <w:top w:val="nil"/>
              <w:left w:val="nil"/>
              <w:bottom w:val="single" w:sz="4" w:space="0" w:color="auto"/>
              <w:right w:val="single" w:sz="4" w:space="0" w:color="auto"/>
            </w:tcBorders>
            <w:vAlign w:val="center"/>
          </w:tcPr>
          <w:p w:rsidR="007276EE" w:rsidRPr="007276EE" w:rsidRDefault="007276EE" w:rsidP="007276EE">
            <w:pPr>
              <w:spacing w:line="280" w:lineRule="exact"/>
              <w:contextualSpacing/>
              <w:jc w:val="center"/>
              <w:rPr>
                <w:sz w:val="24"/>
                <w:szCs w:val="24"/>
              </w:rPr>
            </w:pPr>
            <w:r w:rsidRPr="007276EE">
              <w:rPr>
                <w:kern w:val="0"/>
                <w:sz w:val="24"/>
                <w:szCs w:val="24"/>
              </w:rPr>
              <w:t>6.22</w:t>
            </w:r>
          </w:p>
        </w:tc>
        <w:tc>
          <w:tcPr>
            <w:tcW w:w="345" w:type="pct"/>
            <w:tcBorders>
              <w:top w:val="nil"/>
              <w:left w:val="nil"/>
              <w:bottom w:val="single" w:sz="4" w:space="0" w:color="auto"/>
              <w:right w:val="single" w:sz="4" w:space="0" w:color="auto"/>
            </w:tcBorders>
            <w:vAlign w:val="center"/>
          </w:tcPr>
          <w:p w:rsidR="007276EE" w:rsidRPr="007276EE" w:rsidRDefault="007276EE" w:rsidP="007276EE">
            <w:pPr>
              <w:spacing w:line="280" w:lineRule="exact"/>
              <w:contextualSpacing/>
              <w:jc w:val="center"/>
              <w:rPr>
                <w:kern w:val="0"/>
                <w:sz w:val="24"/>
                <w:szCs w:val="24"/>
              </w:rPr>
            </w:pPr>
            <w:r w:rsidRPr="007276EE">
              <w:rPr>
                <w:kern w:val="0"/>
                <w:sz w:val="24"/>
                <w:szCs w:val="24"/>
              </w:rPr>
              <w:t>4559</w:t>
            </w:r>
          </w:p>
        </w:tc>
      </w:tr>
      <w:tr w:rsidR="007276EE" w:rsidRPr="007276EE" w:rsidTr="000A3365">
        <w:trPr>
          <w:trHeight w:val="680"/>
          <w:jc w:val="center"/>
        </w:trPr>
        <w:tc>
          <w:tcPr>
            <w:tcW w:w="516" w:type="pct"/>
            <w:tcBorders>
              <w:top w:val="nil"/>
              <w:left w:val="single" w:sz="4" w:space="0" w:color="auto"/>
              <w:bottom w:val="single" w:sz="4" w:space="0" w:color="auto"/>
              <w:right w:val="single" w:sz="4" w:space="0" w:color="auto"/>
            </w:tcBorders>
            <w:vAlign w:val="center"/>
          </w:tcPr>
          <w:p w:rsidR="007276EE" w:rsidRPr="007276EE" w:rsidRDefault="007276EE" w:rsidP="007276EE">
            <w:pPr>
              <w:spacing w:line="280" w:lineRule="exact"/>
              <w:contextualSpacing/>
              <w:jc w:val="center"/>
              <w:rPr>
                <w:kern w:val="0"/>
                <w:sz w:val="24"/>
                <w:szCs w:val="24"/>
              </w:rPr>
            </w:pPr>
            <w:r w:rsidRPr="007276EE">
              <w:rPr>
                <w:kern w:val="0"/>
                <w:sz w:val="24"/>
                <w:szCs w:val="24"/>
              </w:rPr>
              <w:t>方城县</w:t>
            </w:r>
          </w:p>
        </w:tc>
        <w:tc>
          <w:tcPr>
            <w:tcW w:w="483" w:type="pct"/>
            <w:tcBorders>
              <w:top w:val="nil"/>
              <w:left w:val="nil"/>
              <w:bottom w:val="single" w:sz="4" w:space="0" w:color="auto"/>
              <w:right w:val="single" w:sz="4" w:space="0" w:color="auto"/>
            </w:tcBorders>
            <w:vAlign w:val="center"/>
          </w:tcPr>
          <w:p w:rsidR="007276EE" w:rsidRPr="007276EE" w:rsidRDefault="007276EE" w:rsidP="007276EE">
            <w:pPr>
              <w:spacing w:line="280" w:lineRule="exact"/>
              <w:contextualSpacing/>
              <w:jc w:val="center"/>
              <w:rPr>
                <w:kern w:val="0"/>
                <w:sz w:val="24"/>
                <w:szCs w:val="24"/>
              </w:rPr>
            </w:pPr>
            <w:r w:rsidRPr="007276EE">
              <w:rPr>
                <w:kern w:val="0"/>
                <w:sz w:val="24"/>
                <w:szCs w:val="24"/>
              </w:rPr>
              <w:t>108.5</w:t>
            </w:r>
          </w:p>
        </w:tc>
        <w:tc>
          <w:tcPr>
            <w:tcW w:w="398" w:type="pct"/>
            <w:tcBorders>
              <w:top w:val="nil"/>
              <w:left w:val="nil"/>
              <w:bottom w:val="single" w:sz="4" w:space="0" w:color="auto"/>
              <w:right w:val="single" w:sz="4" w:space="0" w:color="auto"/>
            </w:tcBorders>
            <w:vAlign w:val="center"/>
          </w:tcPr>
          <w:p w:rsidR="007276EE" w:rsidRPr="007276EE" w:rsidRDefault="007276EE" w:rsidP="007276EE">
            <w:pPr>
              <w:spacing w:line="280" w:lineRule="exact"/>
              <w:contextualSpacing/>
              <w:jc w:val="center"/>
              <w:rPr>
                <w:sz w:val="24"/>
                <w:szCs w:val="24"/>
              </w:rPr>
            </w:pPr>
            <w:r w:rsidRPr="007276EE">
              <w:rPr>
                <w:kern w:val="0"/>
                <w:sz w:val="24"/>
                <w:szCs w:val="24"/>
              </w:rPr>
              <w:t>2.83</w:t>
            </w:r>
          </w:p>
        </w:tc>
        <w:tc>
          <w:tcPr>
            <w:tcW w:w="435" w:type="pct"/>
            <w:tcBorders>
              <w:top w:val="nil"/>
              <w:left w:val="nil"/>
              <w:bottom w:val="single" w:sz="4" w:space="0" w:color="auto"/>
              <w:right w:val="single" w:sz="4" w:space="0" w:color="auto"/>
            </w:tcBorders>
            <w:vAlign w:val="center"/>
          </w:tcPr>
          <w:p w:rsidR="007276EE" w:rsidRPr="007276EE" w:rsidRDefault="007276EE" w:rsidP="007276EE">
            <w:pPr>
              <w:spacing w:line="280" w:lineRule="exact"/>
              <w:contextualSpacing/>
              <w:jc w:val="center"/>
              <w:rPr>
                <w:sz w:val="24"/>
                <w:szCs w:val="24"/>
              </w:rPr>
            </w:pPr>
            <w:r w:rsidRPr="007276EE">
              <w:rPr>
                <w:kern w:val="0"/>
                <w:sz w:val="24"/>
                <w:szCs w:val="24"/>
              </w:rPr>
              <w:t>2984</w:t>
            </w:r>
          </w:p>
        </w:tc>
        <w:tc>
          <w:tcPr>
            <w:tcW w:w="336" w:type="pct"/>
            <w:tcBorders>
              <w:top w:val="nil"/>
              <w:left w:val="nil"/>
              <w:bottom w:val="single" w:sz="4" w:space="0" w:color="auto"/>
              <w:right w:val="single" w:sz="4" w:space="0" w:color="auto"/>
            </w:tcBorders>
            <w:vAlign w:val="center"/>
          </w:tcPr>
          <w:p w:rsidR="007276EE" w:rsidRPr="007276EE" w:rsidRDefault="007276EE" w:rsidP="007276EE">
            <w:pPr>
              <w:spacing w:line="280" w:lineRule="exact"/>
              <w:contextualSpacing/>
              <w:jc w:val="center"/>
              <w:rPr>
                <w:sz w:val="24"/>
                <w:szCs w:val="24"/>
              </w:rPr>
            </w:pPr>
            <w:r w:rsidRPr="007276EE">
              <w:rPr>
                <w:kern w:val="0"/>
                <w:sz w:val="24"/>
                <w:szCs w:val="24"/>
              </w:rPr>
              <w:t>4.38</w:t>
            </w:r>
          </w:p>
        </w:tc>
        <w:tc>
          <w:tcPr>
            <w:tcW w:w="420" w:type="pct"/>
            <w:tcBorders>
              <w:top w:val="nil"/>
              <w:left w:val="nil"/>
              <w:bottom w:val="single" w:sz="4" w:space="0" w:color="auto"/>
              <w:right w:val="single" w:sz="4" w:space="0" w:color="auto"/>
            </w:tcBorders>
            <w:vAlign w:val="center"/>
          </w:tcPr>
          <w:p w:rsidR="007276EE" w:rsidRPr="007276EE" w:rsidRDefault="007276EE" w:rsidP="007276EE">
            <w:pPr>
              <w:spacing w:line="280" w:lineRule="exact"/>
              <w:contextualSpacing/>
              <w:jc w:val="center"/>
              <w:rPr>
                <w:kern w:val="0"/>
                <w:sz w:val="24"/>
                <w:szCs w:val="24"/>
              </w:rPr>
            </w:pPr>
            <w:r w:rsidRPr="007276EE">
              <w:rPr>
                <w:kern w:val="0"/>
                <w:sz w:val="24"/>
                <w:szCs w:val="24"/>
              </w:rPr>
              <w:t>4752</w:t>
            </w:r>
          </w:p>
        </w:tc>
        <w:tc>
          <w:tcPr>
            <w:tcW w:w="501" w:type="pct"/>
            <w:tcBorders>
              <w:top w:val="nil"/>
              <w:left w:val="nil"/>
              <w:bottom w:val="single" w:sz="4" w:space="0" w:color="auto"/>
              <w:right w:val="single" w:sz="4" w:space="0" w:color="auto"/>
            </w:tcBorders>
            <w:vAlign w:val="center"/>
          </w:tcPr>
          <w:p w:rsidR="007276EE" w:rsidRPr="007276EE" w:rsidRDefault="007276EE" w:rsidP="007276EE">
            <w:pPr>
              <w:spacing w:line="280" w:lineRule="exact"/>
              <w:contextualSpacing/>
              <w:jc w:val="center"/>
              <w:rPr>
                <w:sz w:val="24"/>
                <w:szCs w:val="24"/>
              </w:rPr>
            </w:pPr>
            <w:r w:rsidRPr="007276EE">
              <w:rPr>
                <w:kern w:val="0"/>
                <w:sz w:val="24"/>
                <w:szCs w:val="24"/>
              </w:rPr>
              <w:t>淅川县</w:t>
            </w:r>
          </w:p>
        </w:tc>
        <w:tc>
          <w:tcPr>
            <w:tcW w:w="445" w:type="pct"/>
            <w:tcBorders>
              <w:top w:val="nil"/>
              <w:left w:val="nil"/>
              <w:bottom w:val="single" w:sz="4" w:space="0" w:color="auto"/>
              <w:right w:val="single" w:sz="4" w:space="0" w:color="auto"/>
            </w:tcBorders>
            <w:vAlign w:val="center"/>
          </w:tcPr>
          <w:p w:rsidR="007276EE" w:rsidRPr="007276EE" w:rsidRDefault="007276EE" w:rsidP="007276EE">
            <w:pPr>
              <w:spacing w:line="280" w:lineRule="exact"/>
              <w:contextualSpacing/>
              <w:jc w:val="center"/>
              <w:rPr>
                <w:kern w:val="0"/>
                <w:sz w:val="24"/>
                <w:szCs w:val="24"/>
              </w:rPr>
            </w:pPr>
            <w:r w:rsidRPr="007276EE">
              <w:rPr>
                <w:kern w:val="0"/>
                <w:sz w:val="24"/>
                <w:szCs w:val="24"/>
              </w:rPr>
              <w:t>71.2</w:t>
            </w:r>
          </w:p>
        </w:tc>
        <w:tc>
          <w:tcPr>
            <w:tcW w:w="408" w:type="pct"/>
            <w:tcBorders>
              <w:top w:val="nil"/>
              <w:left w:val="nil"/>
              <w:bottom w:val="single" w:sz="4" w:space="0" w:color="auto"/>
              <w:right w:val="single" w:sz="4" w:space="0" w:color="auto"/>
            </w:tcBorders>
            <w:vAlign w:val="center"/>
          </w:tcPr>
          <w:p w:rsidR="007276EE" w:rsidRPr="007276EE" w:rsidRDefault="007276EE" w:rsidP="007276EE">
            <w:pPr>
              <w:spacing w:line="280" w:lineRule="exact"/>
              <w:contextualSpacing/>
              <w:jc w:val="center"/>
              <w:rPr>
                <w:sz w:val="24"/>
                <w:szCs w:val="24"/>
              </w:rPr>
            </w:pPr>
            <w:r w:rsidRPr="007276EE">
              <w:rPr>
                <w:kern w:val="0"/>
                <w:sz w:val="24"/>
                <w:szCs w:val="24"/>
              </w:rPr>
              <w:t>3.26</w:t>
            </w:r>
          </w:p>
        </w:tc>
        <w:tc>
          <w:tcPr>
            <w:tcW w:w="338" w:type="pct"/>
            <w:tcBorders>
              <w:top w:val="nil"/>
              <w:left w:val="nil"/>
              <w:bottom w:val="single" w:sz="4" w:space="0" w:color="auto"/>
              <w:right w:val="single" w:sz="4" w:space="0" w:color="auto"/>
            </w:tcBorders>
            <w:vAlign w:val="center"/>
          </w:tcPr>
          <w:p w:rsidR="007276EE" w:rsidRPr="007276EE" w:rsidRDefault="007276EE" w:rsidP="007276EE">
            <w:pPr>
              <w:spacing w:line="280" w:lineRule="exact"/>
              <w:contextualSpacing/>
              <w:jc w:val="center"/>
              <w:rPr>
                <w:sz w:val="24"/>
                <w:szCs w:val="24"/>
              </w:rPr>
            </w:pPr>
            <w:r w:rsidRPr="007276EE">
              <w:rPr>
                <w:kern w:val="0"/>
                <w:sz w:val="24"/>
                <w:szCs w:val="24"/>
              </w:rPr>
              <w:t>2191</w:t>
            </w:r>
          </w:p>
        </w:tc>
        <w:tc>
          <w:tcPr>
            <w:tcW w:w="375" w:type="pct"/>
            <w:tcBorders>
              <w:top w:val="nil"/>
              <w:left w:val="nil"/>
              <w:bottom w:val="single" w:sz="4" w:space="0" w:color="auto"/>
              <w:right w:val="single" w:sz="4" w:space="0" w:color="auto"/>
            </w:tcBorders>
            <w:vAlign w:val="center"/>
          </w:tcPr>
          <w:p w:rsidR="007276EE" w:rsidRPr="007276EE" w:rsidRDefault="007276EE" w:rsidP="007276EE">
            <w:pPr>
              <w:spacing w:line="280" w:lineRule="exact"/>
              <w:contextualSpacing/>
              <w:jc w:val="center"/>
              <w:rPr>
                <w:sz w:val="24"/>
                <w:szCs w:val="24"/>
              </w:rPr>
            </w:pPr>
            <w:r w:rsidRPr="007276EE">
              <w:rPr>
                <w:kern w:val="0"/>
                <w:sz w:val="24"/>
                <w:szCs w:val="24"/>
              </w:rPr>
              <w:t>4.71</w:t>
            </w:r>
          </w:p>
        </w:tc>
        <w:tc>
          <w:tcPr>
            <w:tcW w:w="345" w:type="pct"/>
            <w:tcBorders>
              <w:top w:val="nil"/>
              <w:left w:val="nil"/>
              <w:bottom w:val="single" w:sz="4" w:space="0" w:color="auto"/>
              <w:right w:val="single" w:sz="4" w:space="0" w:color="auto"/>
            </w:tcBorders>
            <w:vAlign w:val="center"/>
          </w:tcPr>
          <w:p w:rsidR="007276EE" w:rsidRPr="007276EE" w:rsidRDefault="007276EE" w:rsidP="007276EE">
            <w:pPr>
              <w:spacing w:line="280" w:lineRule="exact"/>
              <w:contextualSpacing/>
              <w:jc w:val="center"/>
              <w:rPr>
                <w:kern w:val="0"/>
                <w:sz w:val="24"/>
                <w:szCs w:val="24"/>
              </w:rPr>
            </w:pPr>
            <w:r w:rsidRPr="007276EE">
              <w:rPr>
                <w:kern w:val="0"/>
                <w:sz w:val="24"/>
                <w:szCs w:val="24"/>
              </w:rPr>
              <w:t>3354</w:t>
            </w:r>
          </w:p>
        </w:tc>
      </w:tr>
      <w:tr w:rsidR="007276EE" w:rsidRPr="007276EE" w:rsidTr="000A3365">
        <w:trPr>
          <w:trHeight w:val="680"/>
          <w:jc w:val="center"/>
        </w:trPr>
        <w:tc>
          <w:tcPr>
            <w:tcW w:w="516" w:type="pct"/>
            <w:tcBorders>
              <w:top w:val="nil"/>
              <w:left w:val="single" w:sz="4" w:space="0" w:color="auto"/>
              <w:bottom w:val="single" w:sz="4" w:space="0" w:color="auto"/>
              <w:right w:val="single" w:sz="4" w:space="0" w:color="auto"/>
            </w:tcBorders>
            <w:vAlign w:val="center"/>
          </w:tcPr>
          <w:p w:rsidR="007276EE" w:rsidRPr="007276EE" w:rsidRDefault="007276EE" w:rsidP="007276EE">
            <w:pPr>
              <w:spacing w:line="280" w:lineRule="exact"/>
              <w:contextualSpacing/>
              <w:jc w:val="center"/>
              <w:rPr>
                <w:kern w:val="0"/>
                <w:sz w:val="24"/>
                <w:szCs w:val="24"/>
              </w:rPr>
            </w:pPr>
            <w:r w:rsidRPr="007276EE">
              <w:rPr>
                <w:kern w:val="0"/>
                <w:sz w:val="24"/>
                <w:szCs w:val="24"/>
              </w:rPr>
              <w:t>镇平县</w:t>
            </w:r>
          </w:p>
        </w:tc>
        <w:tc>
          <w:tcPr>
            <w:tcW w:w="483" w:type="pct"/>
            <w:tcBorders>
              <w:top w:val="nil"/>
              <w:left w:val="nil"/>
              <w:bottom w:val="single" w:sz="4" w:space="0" w:color="auto"/>
              <w:right w:val="single" w:sz="4" w:space="0" w:color="auto"/>
            </w:tcBorders>
            <w:vAlign w:val="center"/>
          </w:tcPr>
          <w:p w:rsidR="007276EE" w:rsidRPr="007276EE" w:rsidRDefault="007276EE" w:rsidP="007276EE">
            <w:pPr>
              <w:spacing w:line="280" w:lineRule="exact"/>
              <w:contextualSpacing/>
              <w:jc w:val="center"/>
              <w:rPr>
                <w:kern w:val="0"/>
                <w:sz w:val="24"/>
                <w:szCs w:val="24"/>
              </w:rPr>
            </w:pPr>
            <w:r w:rsidRPr="007276EE">
              <w:rPr>
                <w:kern w:val="0"/>
                <w:sz w:val="24"/>
                <w:szCs w:val="24"/>
              </w:rPr>
              <w:t>103</w:t>
            </w:r>
          </w:p>
        </w:tc>
        <w:tc>
          <w:tcPr>
            <w:tcW w:w="398" w:type="pct"/>
            <w:tcBorders>
              <w:top w:val="nil"/>
              <w:left w:val="nil"/>
              <w:bottom w:val="single" w:sz="4" w:space="0" w:color="auto"/>
              <w:right w:val="single" w:sz="4" w:space="0" w:color="auto"/>
            </w:tcBorders>
            <w:vAlign w:val="center"/>
          </w:tcPr>
          <w:p w:rsidR="007276EE" w:rsidRPr="007276EE" w:rsidRDefault="007276EE" w:rsidP="007276EE">
            <w:pPr>
              <w:spacing w:line="280" w:lineRule="exact"/>
              <w:contextualSpacing/>
              <w:jc w:val="center"/>
              <w:rPr>
                <w:sz w:val="24"/>
                <w:szCs w:val="24"/>
              </w:rPr>
            </w:pPr>
            <w:r w:rsidRPr="007276EE">
              <w:rPr>
                <w:kern w:val="0"/>
                <w:sz w:val="24"/>
                <w:szCs w:val="24"/>
              </w:rPr>
              <w:t>2.53</w:t>
            </w:r>
          </w:p>
        </w:tc>
        <w:tc>
          <w:tcPr>
            <w:tcW w:w="435" w:type="pct"/>
            <w:tcBorders>
              <w:top w:val="nil"/>
              <w:left w:val="nil"/>
              <w:bottom w:val="single" w:sz="4" w:space="0" w:color="auto"/>
              <w:right w:val="single" w:sz="4" w:space="0" w:color="auto"/>
            </w:tcBorders>
            <w:vAlign w:val="center"/>
          </w:tcPr>
          <w:p w:rsidR="007276EE" w:rsidRPr="007276EE" w:rsidRDefault="007276EE" w:rsidP="007276EE">
            <w:pPr>
              <w:spacing w:line="280" w:lineRule="exact"/>
              <w:contextualSpacing/>
              <w:jc w:val="center"/>
              <w:rPr>
                <w:sz w:val="24"/>
                <w:szCs w:val="24"/>
              </w:rPr>
            </w:pPr>
            <w:r w:rsidRPr="007276EE">
              <w:rPr>
                <w:kern w:val="0"/>
                <w:sz w:val="24"/>
                <w:szCs w:val="24"/>
              </w:rPr>
              <w:t>2604</w:t>
            </w:r>
          </w:p>
        </w:tc>
        <w:tc>
          <w:tcPr>
            <w:tcW w:w="336" w:type="pct"/>
            <w:tcBorders>
              <w:top w:val="nil"/>
              <w:left w:val="nil"/>
              <w:bottom w:val="single" w:sz="4" w:space="0" w:color="auto"/>
              <w:right w:val="single" w:sz="4" w:space="0" w:color="auto"/>
            </w:tcBorders>
            <w:vAlign w:val="center"/>
          </w:tcPr>
          <w:p w:rsidR="007276EE" w:rsidRPr="007276EE" w:rsidRDefault="007276EE" w:rsidP="007276EE">
            <w:pPr>
              <w:spacing w:line="280" w:lineRule="exact"/>
              <w:contextualSpacing/>
              <w:jc w:val="center"/>
              <w:rPr>
                <w:sz w:val="24"/>
                <w:szCs w:val="24"/>
              </w:rPr>
            </w:pPr>
            <w:r w:rsidRPr="007276EE">
              <w:rPr>
                <w:kern w:val="0"/>
                <w:sz w:val="24"/>
                <w:szCs w:val="24"/>
              </w:rPr>
              <w:t>4.16</w:t>
            </w:r>
          </w:p>
        </w:tc>
        <w:tc>
          <w:tcPr>
            <w:tcW w:w="420" w:type="pct"/>
            <w:tcBorders>
              <w:top w:val="nil"/>
              <w:left w:val="nil"/>
              <w:bottom w:val="single" w:sz="4" w:space="0" w:color="auto"/>
              <w:right w:val="single" w:sz="4" w:space="0" w:color="auto"/>
            </w:tcBorders>
            <w:vAlign w:val="center"/>
          </w:tcPr>
          <w:p w:rsidR="007276EE" w:rsidRPr="007276EE" w:rsidRDefault="007276EE" w:rsidP="007276EE">
            <w:pPr>
              <w:spacing w:line="280" w:lineRule="exact"/>
              <w:contextualSpacing/>
              <w:jc w:val="center"/>
              <w:rPr>
                <w:kern w:val="0"/>
                <w:sz w:val="24"/>
                <w:szCs w:val="24"/>
              </w:rPr>
            </w:pPr>
            <w:r w:rsidRPr="007276EE">
              <w:rPr>
                <w:kern w:val="0"/>
                <w:sz w:val="24"/>
                <w:szCs w:val="24"/>
              </w:rPr>
              <w:t>4285</w:t>
            </w:r>
          </w:p>
        </w:tc>
        <w:tc>
          <w:tcPr>
            <w:tcW w:w="501" w:type="pct"/>
            <w:tcBorders>
              <w:top w:val="nil"/>
              <w:left w:val="nil"/>
              <w:bottom w:val="single" w:sz="4" w:space="0" w:color="auto"/>
              <w:right w:val="single" w:sz="4" w:space="0" w:color="auto"/>
            </w:tcBorders>
            <w:vAlign w:val="center"/>
          </w:tcPr>
          <w:p w:rsidR="007276EE" w:rsidRPr="007276EE" w:rsidRDefault="007276EE" w:rsidP="007276EE">
            <w:pPr>
              <w:spacing w:line="280" w:lineRule="exact"/>
              <w:contextualSpacing/>
              <w:jc w:val="center"/>
              <w:rPr>
                <w:sz w:val="24"/>
                <w:szCs w:val="24"/>
              </w:rPr>
            </w:pPr>
            <w:r w:rsidRPr="007276EE">
              <w:rPr>
                <w:kern w:val="0"/>
                <w:sz w:val="24"/>
                <w:szCs w:val="24"/>
              </w:rPr>
              <w:t>桐柏县</w:t>
            </w:r>
          </w:p>
        </w:tc>
        <w:tc>
          <w:tcPr>
            <w:tcW w:w="445" w:type="pct"/>
            <w:tcBorders>
              <w:top w:val="nil"/>
              <w:left w:val="nil"/>
              <w:bottom w:val="single" w:sz="4" w:space="0" w:color="auto"/>
              <w:right w:val="single" w:sz="4" w:space="0" w:color="auto"/>
            </w:tcBorders>
            <w:vAlign w:val="center"/>
          </w:tcPr>
          <w:p w:rsidR="007276EE" w:rsidRPr="007276EE" w:rsidRDefault="007276EE" w:rsidP="007276EE">
            <w:pPr>
              <w:spacing w:line="280" w:lineRule="exact"/>
              <w:contextualSpacing/>
              <w:jc w:val="center"/>
              <w:rPr>
                <w:kern w:val="0"/>
                <w:sz w:val="24"/>
                <w:szCs w:val="24"/>
              </w:rPr>
            </w:pPr>
            <w:r w:rsidRPr="007276EE">
              <w:rPr>
                <w:kern w:val="0"/>
                <w:sz w:val="24"/>
                <w:szCs w:val="24"/>
              </w:rPr>
              <w:t>47.5</w:t>
            </w:r>
          </w:p>
        </w:tc>
        <w:tc>
          <w:tcPr>
            <w:tcW w:w="408" w:type="pct"/>
            <w:tcBorders>
              <w:top w:val="nil"/>
              <w:left w:val="nil"/>
              <w:bottom w:val="single" w:sz="4" w:space="0" w:color="auto"/>
              <w:right w:val="single" w:sz="4" w:space="0" w:color="auto"/>
            </w:tcBorders>
            <w:vAlign w:val="center"/>
          </w:tcPr>
          <w:p w:rsidR="007276EE" w:rsidRPr="007276EE" w:rsidRDefault="007276EE" w:rsidP="007276EE">
            <w:pPr>
              <w:spacing w:line="280" w:lineRule="exact"/>
              <w:contextualSpacing/>
              <w:jc w:val="center"/>
              <w:rPr>
                <w:sz w:val="24"/>
                <w:szCs w:val="24"/>
              </w:rPr>
            </w:pPr>
            <w:r w:rsidRPr="007276EE">
              <w:rPr>
                <w:kern w:val="0"/>
                <w:sz w:val="24"/>
                <w:szCs w:val="24"/>
              </w:rPr>
              <w:t>3.05</w:t>
            </w:r>
            <w:r w:rsidRPr="007276EE">
              <w:rPr>
                <w:kern w:val="0"/>
                <w:sz w:val="24"/>
                <w:szCs w:val="24"/>
              </w:rPr>
              <w:t xml:space="preserve">　</w:t>
            </w:r>
          </w:p>
        </w:tc>
        <w:tc>
          <w:tcPr>
            <w:tcW w:w="338" w:type="pct"/>
            <w:tcBorders>
              <w:top w:val="nil"/>
              <w:left w:val="nil"/>
              <w:bottom w:val="single" w:sz="4" w:space="0" w:color="auto"/>
              <w:right w:val="single" w:sz="4" w:space="0" w:color="auto"/>
            </w:tcBorders>
            <w:vAlign w:val="center"/>
          </w:tcPr>
          <w:p w:rsidR="007276EE" w:rsidRPr="007276EE" w:rsidRDefault="007276EE" w:rsidP="007276EE">
            <w:pPr>
              <w:spacing w:line="280" w:lineRule="exact"/>
              <w:contextualSpacing/>
              <w:jc w:val="center"/>
              <w:rPr>
                <w:sz w:val="24"/>
                <w:szCs w:val="24"/>
              </w:rPr>
            </w:pPr>
            <w:r w:rsidRPr="007276EE">
              <w:rPr>
                <w:kern w:val="0"/>
                <w:sz w:val="24"/>
                <w:szCs w:val="24"/>
              </w:rPr>
              <w:t>1449</w:t>
            </w:r>
          </w:p>
        </w:tc>
        <w:tc>
          <w:tcPr>
            <w:tcW w:w="375" w:type="pct"/>
            <w:tcBorders>
              <w:top w:val="nil"/>
              <w:left w:val="nil"/>
              <w:bottom w:val="single" w:sz="4" w:space="0" w:color="auto"/>
              <w:right w:val="single" w:sz="4" w:space="0" w:color="auto"/>
            </w:tcBorders>
            <w:vAlign w:val="center"/>
          </w:tcPr>
          <w:p w:rsidR="007276EE" w:rsidRPr="007276EE" w:rsidRDefault="007276EE" w:rsidP="007276EE">
            <w:pPr>
              <w:spacing w:line="280" w:lineRule="exact"/>
              <w:contextualSpacing/>
              <w:jc w:val="center"/>
              <w:rPr>
                <w:sz w:val="24"/>
                <w:szCs w:val="24"/>
              </w:rPr>
            </w:pPr>
            <w:r w:rsidRPr="007276EE">
              <w:rPr>
                <w:kern w:val="0"/>
                <w:sz w:val="24"/>
                <w:szCs w:val="24"/>
              </w:rPr>
              <w:t>4.68</w:t>
            </w:r>
            <w:r w:rsidRPr="007276EE">
              <w:rPr>
                <w:kern w:val="0"/>
                <w:sz w:val="24"/>
                <w:szCs w:val="24"/>
              </w:rPr>
              <w:t xml:space="preserve">　</w:t>
            </w:r>
          </w:p>
        </w:tc>
        <w:tc>
          <w:tcPr>
            <w:tcW w:w="345" w:type="pct"/>
            <w:tcBorders>
              <w:top w:val="nil"/>
              <w:left w:val="nil"/>
              <w:bottom w:val="single" w:sz="4" w:space="0" w:color="auto"/>
              <w:right w:val="single" w:sz="4" w:space="0" w:color="auto"/>
            </w:tcBorders>
            <w:vAlign w:val="center"/>
          </w:tcPr>
          <w:p w:rsidR="007276EE" w:rsidRPr="007276EE" w:rsidRDefault="007276EE" w:rsidP="007276EE">
            <w:pPr>
              <w:spacing w:line="280" w:lineRule="exact"/>
              <w:contextualSpacing/>
              <w:jc w:val="center"/>
              <w:rPr>
                <w:kern w:val="0"/>
                <w:sz w:val="24"/>
                <w:szCs w:val="24"/>
              </w:rPr>
            </w:pPr>
            <w:r w:rsidRPr="007276EE">
              <w:rPr>
                <w:kern w:val="0"/>
                <w:sz w:val="24"/>
                <w:szCs w:val="24"/>
              </w:rPr>
              <w:t>2223</w:t>
            </w:r>
          </w:p>
        </w:tc>
      </w:tr>
      <w:tr w:rsidR="007276EE" w:rsidRPr="007276EE" w:rsidTr="000A3365">
        <w:trPr>
          <w:trHeight w:val="680"/>
          <w:jc w:val="center"/>
        </w:trPr>
        <w:tc>
          <w:tcPr>
            <w:tcW w:w="516" w:type="pct"/>
            <w:tcBorders>
              <w:top w:val="nil"/>
              <w:left w:val="single" w:sz="4" w:space="0" w:color="auto"/>
              <w:bottom w:val="single" w:sz="4" w:space="0" w:color="auto"/>
              <w:right w:val="single" w:sz="4" w:space="0" w:color="auto"/>
            </w:tcBorders>
            <w:vAlign w:val="center"/>
          </w:tcPr>
          <w:p w:rsidR="007276EE" w:rsidRPr="007276EE" w:rsidRDefault="007276EE" w:rsidP="007276EE">
            <w:pPr>
              <w:spacing w:line="280" w:lineRule="exact"/>
              <w:contextualSpacing/>
              <w:jc w:val="center"/>
              <w:rPr>
                <w:kern w:val="0"/>
                <w:sz w:val="24"/>
                <w:szCs w:val="24"/>
              </w:rPr>
            </w:pPr>
            <w:r w:rsidRPr="007276EE">
              <w:rPr>
                <w:kern w:val="0"/>
                <w:sz w:val="24"/>
                <w:szCs w:val="24"/>
              </w:rPr>
              <w:t>新野县</w:t>
            </w:r>
          </w:p>
        </w:tc>
        <w:tc>
          <w:tcPr>
            <w:tcW w:w="483" w:type="pct"/>
            <w:tcBorders>
              <w:top w:val="nil"/>
              <w:left w:val="nil"/>
              <w:bottom w:val="single" w:sz="4" w:space="0" w:color="auto"/>
              <w:right w:val="single" w:sz="4" w:space="0" w:color="auto"/>
            </w:tcBorders>
            <w:vAlign w:val="center"/>
          </w:tcPr>
          <w:p w:rsidR="007276EE" w:rsidRPr="007276EE" w:rsidRDefault="007276EE" w:rsidP="007276EE">
            <w:pPr>
              <w:spacing w:line="280" w:lineRule="exact"/>
              <w:contextualSpacing/>
              <w:jc w:val="center"/>
              <w:rPr>
                <w:kern w:val="0"/>
                <w:sz w:val="24"/>
                <w:szCs w:val="24"/>
              </w:rPr>
            </w:pPr>
            <w:r w:rsidRPr="007276EE">
              <w:rPr>
                <w:kern w:val="0"/>
                <w:sz w:val="24"/>
                <w:szCs w:val="24"/>
              </w:rPr>
              <w:t>83.1</w:t>
            </w:r>
          </w:p>
        </w:tc>
        <w:tc>
          <w:tcPr>
            <w:tcW w:w="398" w:type="pct"/>
            <w:tcBorders>
              <w:top w:val="nil"/>
              <w:left w:val="nil"/>
              <w:bottom w:val="single" w:sz="4" w:space="0" w:color="auto"/>
              <w:right w:val="single" w:sz="4" w:space="0" w:color="auto"/>
            </w:tcBorders>
            <w:vAlign w:val="center"/>
          </w:tcPr>
          <w:p w:rsidR="007276EE" w:rsidRPr="007276EE" w:rsidRDefault="007276EE" w:rsidP="007276EE">
            <w:pPr>
              <w:spacing w:line="280" w:lineRule="exact"/>
              <w:contextualSpacing/>
              <w:jc w:val="center"/>
              <w:rPr>
                <w:sz w:val="24"/>
                <w:szCs w:val="24"/>
              </w:rPr>
            </w:pPr>
            <w:r w:rsidRPr="007276EE">
              <w:rPr>
                <w:kern w:val="0"/>
                <w:sz w:val="24"/>
                <w:szCs w:val="24"/>
              </w:rPr>
              <w:t>2.17</w:t>
            </w:r>
          </w:p>
        </w:tc>
        <w:tc>
          <w:tcPr>
            <w:tcW w:w="435" w:type="pct"/>
            <w:tcBorders>
              <w:top w:val="nil"/>
              <w:left w:val="nil"/>
              <w:bottom w:val="single" w:sz="4" w:space="0" w:color="auto"/>
              <w:right w:val="single" w:sz="4" w:space="0" w:color="auto"/>
            </w:tcBorders>
            <w:vAlign w:val="center"/>
          </w:tcPr>
          <w:p w:rsidR="007276EE" w:rsidRPr="007276EE" w:rsidRDefault="007276EE" w:rsidP="007276EE">
            <w:pPr>
              <w:spacing w:line="280" w:lineRule="exact"/>
              <w:contextualSpacing/>
              <w:jc w:val="center"/>
              <w:rPr>
                <w:sz w:val="24"/>
                <w:szCs w:val="24"/>
              </w:rPr>
            </w:pPr>
            <w:r w:rsidRPr="007276EE">
              <w:rPr>
                <w:kern w:val="0"/>
                <w:sz w:val="24"/>
                <w:szCs w:val="24"/>
              </w:rPr>
              <w:t>1926</w:t>
            </w:r>
          </w:p>
        </w:tc>
        <w:tc>
          <w:tcPr>
            <w:tcW w:w="336" w:type="pct"/>
            <w:tcBorders>
              <w:top w:val="nil"/>
              <w:left w:val="nil"/>
              <w:bottom w:val="single" w:sz="4" w:space="0" w:color="auto"/>
              <w:right w:val="single" w:sz="4" w:space="0" w:color="auto"/>
            </w:tcBorders>
            <w:vAlign w:val="center"/>
          </w:tcPr>
          <w:p w:rsidR="007276EE" w:rsidRPr="007276EE" w:rsidRDefault="007276EE" w:rsidP="007276EE">
            <w:pPr>
              <w:spacing w:line="280" w:lineRule="exact"/>
              <w:contextualSpacing/>
              <w:jc w:val="center"/>
              <w:rPr>
                <w:sz w:val="24"/>
                <w:szCs w:val="24"/>
              </w:rPr>
            </w:pPr>
            <w:r w:rsidRPr="007276EE">
              <w:rPr>
                <w:kern w:val="0"/>
                <w:sz w:val="24"/>
                <w:szCs w:val="24"/>
              </w:rPr>
              <w:t>3.95</w:t>
            </w:r>
          </w:p>
        </w:tc>
        <w:tc>
          <w:tcPr>
            <w:tcW w:w="420" w:type="pct"/>
            <w:tcBorders>
              <w:top w:val="nil"/>
              <w:left w:val="nil"/>
              <w:bottom w:val="single" w:sz="4" w:space="0" w:color="auto"/>
              <w:right w:val="single" w:sz="4" w:space="0" w:color="auto"/>
            </w:tcBorders>
            <w:vAlign w:val="center"/>
          </w:tcPr>
          <w:p w:rsidR="007276EE" w:rsidRPr="007276EE" w:rsidRDefault="007276EE" w:rsidP="007276EE">
            <w:pPr>
              <w:spacing w:line="280" w:lineRule="exact"/>
              <w:contextualSpacing/>
              <w:jc w:val="center"/>
              <w:rPr>
                <w:kern w:val="0"/>
                <w:sz w:val="24"/>
                <w:szCs w:val="24"/>
              </w:rPr>
            </w:pPr>
            <w:r w:rsidRPr="007276EE">
              <w:rPr>
                <w:kern w:val="0"/>
                <w:sz w:val="24"/>
                <w:szCs w:val="24"/>
              </w:rPr>
              <w:t>3282</w:t>
            </w:r>
          </w:p>
        </w:tc>
        <w:tc>
          <w:tcPr>
            <w:tcW w:w="501" w:type="pct"/>
            <w:tcBorders>
              <w:top w:val="nil"/>
              <w:left w:val="nil"/>
              <w:bottom w:val="single" w:sz="4" w:space="0" w:color="auto"/>
              <w:right w:val="single" w:sz="4" w:space="0" w:color="auto"/>
            </w:tcBorders>
            <w:vAlign w:val="center"/>
          </w:tcPr>
          <w:p w:rsidR="007276EE" w:rsidRPr="007276EE" w:rsidRDefault="007276EE" w:rsidP="007276EE">
            <w:pPr>
              <w:spacing w:line="280" w:lineRule="exact"/>
              <w:contextualSpacing/>
              <w:jc w:val="center"/>
              <w:rPr>
                <w:sz w:val="24"/>
                <w:szCs w:val="24"/>
              </w:rPr>
            </w:pPr>
            <w:r w:rsidRPr="007276EE">
              <w:rPr>
                <w:kern w:val="0"/>
                <w:sz w:val="24"/>
                <w:szCs w:val="24"/>
              </w:rPr>
              <w:t>西峡县</w:t>
            </w:r>
          </w:p>
        </w:tc>
        <w:tc>
          <w:tcPr>
            <w:tcW w:w="445" w:type="pct"/>
            <w:tcBorders>
              <w:top w:val="nil"/>
              <w:left w:val="nil"/>
              <w:bottom w:val="single" w:sz="4" w:space="0" w:color="auto"/>
              <w:right w:val="single" w:sz="4" w:space="0" w:color="auto"/>
            </w:tcBorders>
            <w:vAlign w:val="center"/>
          </w:tcPr>
          <w:p w:rsidR="007276EE" w:rsidRPr="007276EE" w:rsidRDefault="007276EE" w:rsidP="007276EE">
            <w:pPr>
              <w:spacing w:line="280" w:lineRule="exact"/>
              <w:contextualSpacing/>
              <w:jc w:val="center"/>
              <w:rPr>
                <w:kern w:val="0"/>
                <w:sz w:val="24"/>
                <w:szCs w:val="24"/>
              </w:rPr>
            </w:pPr>
            <w:r w:rsidRPr="007276EE">
              <w:rPr>
                <w:kern w:val="0"/>
                <w:sz w:val="24"/>
                <w:szCs w:val="24"/>
              </w:rPr>
              <w:t>46.8</w:t>
            </w:r>
          </w:p>
        </w:tc>
        <w:tc>
          <w:tcPr>
            <w:tcW w:w="408" w:type="pct"/>
            <w:tcBorders>
              <w:top w:val="nil"/>
              <w:left w:val="nil"/>
              <w:bottom w:val="single" w:sz="4" w:space="0" w:color="auto"/>
              <w:right w:val="single" w:sz="4" w:space="0" w:color="auto"/>
            </w:tcBorders>
            <w:vAlign w:val="center"/>
          </w:tcPr>
          <w:p w:rsidR="007276EE" w:rsidRPr="007276EE" w:rsidRDefault="007276EE" w:rsidP="007276EE">
            <w:pPr>
              <w:spacing w:line="280" w:lineRule="exact"/>
              <w:contextualSpacing/>
              <w:jc w:val="center"/>
              <w:rPr>
                <w:sz w:val="24"/>
                <w:szCs w:val="24"/>
              </w:rPr>
            </w:pPr>
            <w:r w:rsidRPr="007276EE">
              <w:rPr>
                <w:kern w:val="0"/>
                <w:sz w:val="24"/>
                <w:szCs w:val="24"/>
              </w:rPr>
              <w:t>5.43</w:t>
            </w:r>
          </w:p>
        </w:tc>
        <w:tc>
          <w:tcPr>
            <w:tcW w:w="338" w:type="pct"/>
            <w:tcBorders>
              <w:top w:val="nil"/>
              <w:left w:val="nil"/>
              <w:bottom w:val="single" w:sz="4" w:space="0" w:color="auto"/>
              <w:right w:val="single" w:sz="4" w:space="0" w:color="auto"/>
            </w:tcBorders>
            <w:vAlign w:val="center"/>
          </w:tcPr>
          <w:p w:rsidR="007276EE" w:rsidRPr="007276EE" w:rsidRDefault="007276EE" w:rsidP="007276EE">
            <w:pPr>
              <w:spacing w:line="280" w:lineRule="exact"/>
              <w:contextualSpacing/>
              <w:jc w:val="center"/>
              <w:rPr>
                <w:sz w:val="24"/>
                <w:szCs w:val="24"/>
              </w:rPr>
            </w:pPr>
            <w:r w:rsidRPr="007276EE">
              <w:rPr>
                <w:kern w:val="0"/>
                <w:sz w:val="24"/>
                <w:szCs w:val="24"/>
              </w:rPr>
              <w:t>2543</w:t>
            </w:r>
          </w:p>
        </w:tc>
        <w:tc>
          <w:tcPr>
            <w:tcW w:w="375" w:type="pct"/>
            <w:tcBorders>
              <w:top w:val="nil"/>
              <w:left w:val="nil"/>
              <w:bottom w:val="single" w:sz="4" w:space="0" w:color="auto"/>
              <w:right w:val="single" w:sz="4" w:space="0" w:color="auto"/>
            </w:tcBorders>
            <w:vAlign w:val="center"/>
          </w:tcPr>
          <w:p w:rsidR="007276EE" w:rsidRPr="007276EE" w:rsidRDefault="007276EE" w:rsidP="007276EE">
            <w:pPr>
              <w:spacing w:line="280" w:lineRule="exact"/>
              <w:contextualSpacing/>
              <w:jc w:val="center"/>
              <w:rPr>
                <w:sz w:val="24"/>
                <w:szCs w:val="24"/>
              </w:rPr>
            </w:pPr>
            <w:r w:rsidRPr="007276EE">
              <w:rPr>
                <w:kern w:val="0"/>
                <w:sz w:val="24"/>
                <w:szCs w:val="24"/>
              </w:rPr>
              <w:t>7.03</w:t>
            </w:r>
          </w:p>
        </w:tc>
        <w:tc>
          <w:tcPr>
            <w:tcW w:w="345" w:type="pct"/>
            <w:tcBorders>
              <w:top w:val="nil"/>
              <w:left w:val="nil"/>
              <w:bottom w:val="single" w:sz="4" w:space="0" w:color="auto"/>
              <w:right w:val="single" w:sz="4" w:space="0" w:color="auto"/>
            </w:tcBorders>
            <w:vAlign w:val="center"/>
          </w:tcPr>
          <w:p w:rsidR="007276EE" w:rsidRPr="007276EE" w:rsidRDefault="007276EE" w:rsidP="007276EE">
            <w:pPr>
              <w:spacing w:line="280" w:lineRule="exact"/>
              <w:contextualSpacing/>
              <w:jc w:val="center"/>
              <w:rPr>
                <w:kern w:val="0"/>
                <w:sz w:val="24"/>
                <w:szCs w:val="24"/>
              </w:rPr>
            </w:pPr>
            <w:r w:rsidRPr="007276EE">
              <w:rPr>
                <w:kern w:val="0"/>
                <w:sz w:val="24"/>
                <w:szCs w:val="24"/>
              </w:rPr>
              <w:t>3291</w:t>
            </w:r>
          </w:p>
        </w:tc>
      </w:tr>
    </w:tbl>
    <w:p w:rsidR="007276EE" w:rsidRPr="007276EE" w:rsidRDefault="007276EE" w:rsidP="007276EE">
      <w:pPr>
        <w:spacing w:line="600" w:lineRule="exact"/>
        <w:contextualSpacing/>
        <w:jc w:val="left"/>
        <w:rPr>
          <w:sz w:val="24"/>
          <w:szCs w:val="24"/>
        </w:rPr>
      </w:pPr>
      <w:r w:rsidRPr="007276EE">
        <w:rPr>
          <w:sz w:val="24"/>
          <w:szCs w:val="24"/>
        </w:rPr>
        <w:t>备注：中心城区含宛城区、卧龙区和高新区、示范区、官庄</w:t>
      </w:r>
      <w:r w:rsidRPr="007276EE">
        <w:rPr>
          <w:rFonts w:hint="eastAsia"/>
          <w:sz w:val="24"/>
          <w:szCs w:val="24"/>
        </w:rPr>
        <w:t>工区、</w:t>
      </w:r>
      <w:r w:rsidRPr="007276EE">
        <w:rPr>
          <w:sz w:val="24"/>
          <w:szCs w:val="24"/>
        </w:rPr>
        <w:t>鸭河工区</w:t>
      </w:r>
      <w:r w:rsidRPr="007276EE">
        <w:rPr>
          <w:sz w:val="24"/>
          <w:szCs w:val="24"/>
        </w:rPr>
        <w:t>4</w:t>
      </w:r>
      <w:r w:rsidRPr="007276EE">
        <w:rPr>
          <w:sz w:val="24"/>
          <w:szCs w:val="24"/>
        </w:rPr>
        <w:t>个功能区。</w:t>
      </w:r>
    </w:p>
    <w:p w:rsidR="007276EE" w:rsidRPr="007276EE" w:rsidRDefault="007276EE" w:rsidP="007276EE">
      <w:pPr>
        <w:spacing w:line="600" w:lineRule="exact"/>
        <w:ind w:firstLine="562"/>
        <w:contextualSpacing/>
        <w:jc w:val="left"/>
        <w:rPr>
          <w:rFonts w:ascii="仿宋_GB2312" w:hAnsi="仿宋_GB2312" w:cs="仿宋_GB2312"/>
          <w:b/>
          <w:bCs/>
          <w:kern w:val="0"/>
          <w:sz w:val="30"/>
          <w:szCs w:val="30"/>
        </w:rPr>
      </w:pPr>
      <w:r w:rsidRPr="007276EE">
        <w:rPr>
          <w:rFonts w:ascii="仿宋_GB2312" w:hAnsi="仿宋_GB2312" w:cs="仿宋_GB2312" w:hint="eastAsia"/>
          <w:b/>
          <w:bCs/>
          <w:kern w:val="0"/>
          <w:sz w:val="30"/>
          <w:szCs w:val="30"/>
        </w:rPr>
        <w:lastRenderedPageBreak/>
        <w:t>（三）床位增加主要支撑项目</w:t>
      </w:r>
    </w:p>
    <w:p w:rsidR="007276EE" w:rsidRPr="007276EE" w:rsidRDefault="007276EE" w:rsidP="007276EE">
      <w:pPr>
        <w:spacing w:line="600" w:lineRule="exact"/>
        <w:ind w:firstLine="562"/>
        <w:contextualSpacing/>
        <w:jc w:val="left"/>
        <w:rPr>
          <w:rFonts w:ascii="仿宋_GB2312" w:hAnsi="仿宋_GB2312" w:cs="仿宋_GB2312"/>
          <w:kern w:val="0"/>
          <w:sz w:val="30"/>
          <w:szCs w:val="30"/>
        </w:rPr>
      </w:pPr>
      <w:r w:rsidRPr="007276EE">
        <w:rPr>
          <w:rFonts w:ascii="仿宋_GB2312" w:hAnsi="仿宋_GB2312" w:cs="仿宋_GB2312" w:hint="eastAsia"/>
          <w:b/>
          <w:bCs/>
          <w:kern w:val="0"/>
          <w:sz w:val="30"/>
          <w:szCs w:val="30"/>
        </w:rPr>
        <w:t>中央投资建设项目：</w:t>
      </w:r>
      <w:r w:rsidRPr="007276EE">
        <w:rPr>
          <w:rFonts w:ascii="仿宋_GB2312" w:hAnsi="仿宋_GB2312" w:cs="仿宋_GB2312" w:hint="eastAsia"/>
          <w:kern w:val="0"/>
          <w:sz w:val="30"/>
          <w:szCs w:val="30"/>
        </w:rPr>
        <w:t>中心医院三合一建设项目、市二院儿童专项综合病房楼建设项目、医专二附院迁建项目、西峡县医院迁建项目、淅川县医院迁建项目、淅川县中医院病房楼建设项目、方城县中医院综合病房楼建设项目、方城县医院综合病房楼建设项目、南召县医院综合病房楼建设项目、南召县中医院迁建项目、卧龙区中医院新建项目、宛城区中医院迁建项目、社旗县中医院综合病房楼建设项目、社旗县医院二期工程建设项目、新野县医院迁建项目、新野县中医院综合病房楼建设项目、镇平县医院迁建项目、唐河县中医院迁建项目、唐河县医院部分迁建项目、桐柏县中心医院迁建项目以及唐河县等7个县级妇幼保健院建设项目，共27个迁建或扩建项目，床位增加在1万张以上。</w:t>
      </w:r>
    </w:p>
    <w:p w:rsidR="007276EE" w:rsidRPr="007276EE" w:rsidRDefault="007276EE" w:rsidP="007276EE">
      <w:pPr>
        <w:spacing w:line="600" w:lineRule="exact"/>
        <w:ind w:firstLine="562"/>
        <w:contextualSpacing/>
        <w:jc w:val="left"/>
        <w:rPr>
          <w:rFonts w:ascii="仿宋_GB2312" w:hAnsi="仿宋_GB2312" w:cs="仿宋_GB2312"/>
          <w:b/>
          <w:bCs/>
          <w:kern w:val="0"/>
          <w:sz w:val="30"/>
          <w:szCs w:val="30"/>
        </w:rPr>
      </w:pPr>
      <w:r w:rsidRPr="007276EE">
        <w:rPr>
          <w:rFonts w:ascii="仿宋_GB2312" w:hAnsi="仿宋_GB2312" w:cs="仿宋_GB2312" w:hint="eastAsia"/>
          <w:b/>
          <w:bCs/>
          <w:kern w:val="0"/>
          <w:sz w:val="30"/>
          <w:szCs w:val="30"/>
        </w:rPr>
        <w:t>社会资本投入合资合作建设项目：</w:t>
      </w:r>
      <w:r w:rsidRPr="007276EE">
        <w:rPr>
          <w:rFonts w:ascii="仿宋_GB2312" w:hAnsi="仿宋_GB2312" w:cs="仿宋_GB2312" w:hint="eastAsia"/>
          <w:kern w:val="0"/>
          <w:sz w:val="30"/>
          <w:szCs w:val="30"/>
        </w:rPr>
        <w:t>市口腔医院迁建项目、市骨科医院迁建项目、市眼科医院迁建项目、南阳市高新区医院迁建项目、南阳医专二附院迁建项目、市中心医院新区医院、南阳市张仲景医院迁建项目、南石医院扩建项目、南阳医专三附院扩建项目、市第三人民医院迁建项目以及市肿瘤医院、市第九人民医院迁建共12个引进社会资本、合资合作建设项目。床位增加在1万张以上。</w:t>
      </w:r>
    </w:p>
    <w:p w:rsidR="007276EE" w:rsidRPr="007276EE" w:rsidRDefault="007276EE" w:rsidP="007276EE">
      <w:pPr>
        <w:pStyle w:val="a6"/>
        <w:widowControl w:val="0"/>
        <w:spacing w:before="0" w:beforeAutospacing="0" w:after="0" w:afterAutospacing="0" w:line="600" w:lineRule="exact"/>
        <w:ind w:firstLine="420"/>
        <w:contextualSpacing/>
        <w:rPr>
          <w:rFonts w:ascii="Times New Roman" w:eastAsia="仿宋_GB2312" w:hAnsi="Times New Roman"/>
          <w:sz w:val="30"/>
          <w:szCs w:val="30"/>
        </w:rPr>
      </w:pPr>
      <w:r w:rsidRPr="007276EE">
        <w:rPr>
          <w:rFonts w:ascii="Times New Roman" w:eastAsia="仿宋_GB2312" w:hAnsi="Times New Roman"/>
          <w:b/>
          <w:bCs/>
          <w:sz w:val="30"/>
          <w:szCs w:val="30"/>
        </w:rPr>
        <w:t xml:space="preserve"> </w:t>
      </w:r>
      <w:r w:rsidRPr="007276EE">
        <w:rPr>
          <w:rFonts w:ascii="Times New Roman" w:eastAsia="仿宋_GB2312" w:hAnsi="Times New Roman" w:hint="eastAsia"/>
          <w:sz w:val="30"/>
          <w:szCs w:val="30"/>
        </w:rPr>
        <w:t xml:space="preserve"> </w:t>
      </w:r>
      <w:r w:rsidRPr="007276EE">
        <w:rPr>
          <w:rFonts w:ascii="Times New Roman" w:eastAsia="华文楷体" w:hAnsi="Times New Roman"/>
          <w:sz w:val="30"/>
          <w:szCs w:val="30"/>
        </w:rPr>
        <w:t>三、卫生人力资源配置</w:t>
      </w:r>
      <w:r w:rsidRPr="007276EE">
        <w:rPr>
          <w:rFonts w:ascii="Times New Roman" w:eastAsia="华文楷体" w:hAnsi="Times New Roman"/>
          <w:sz w:val="30"/>
          <w:szCs w:val="30"/>
        </w:rPr>
        <w:t xml:space="preserve"> </w:t>
      </w:r>
    </w:p>
    <w:p w:rsidR="007276EE" w:rsidRPr="007276EE" w:rsidRDefault="007276EE" w:rsidP="007276EE">
      <w:pPr>
        <w:pStyle w:val="a6"/>
        <w:widowControl w:val="0"/>
        <w:spacing w:before="0" w:beforeAutospacing="0" w:after="0" w:afterAutospacing="0" w:line="600" w:lineRule="exact"/>
        <w:ind w:firstLine="420"/>
        <w:contextualSpacing/>
        <w:rPr>
          <w:rFonts w:ascii="仿宋_GB2312" w:eastAsia="仿宋_GB2312" w:hAnsi="仿宋_GB2312" w:cs="仿宋_GB2312"/>
          <w:b/>
          <w:bCs/>
          <w:sz w:val="30"/>
          <w:szCs w:val="30"/>
        </w:rPr>
      </w:pPr>
      <w:r w:rsidRPr="007276EE">
        <w:rPr>
          <w:rFonts w:ascii="Times New Roman" w:eastAsia="华文楷体" w:hAnsi="Times New Roman"/>
          <w:b/>
          <w:bCs/>
          <w:sz w:val="30"/>
          <w:szCs w:val="30"/>
        </w:rPr>
        <w:t xml:space="preserve"> </w:t>
      </w:r>
      <w:r w:rsidRPr="007276EE">
        <w:rPr>
          <w:rFonts w:ascii="仿宋_GB2312" w:eastAsia="仿宋_GB2312" w:hAnsi="仿宋_GB2312" w:cs="仿宋_GB2312" w:hint="eastAsia"/>
          <w:b/>
          <w:bCs/>
          <w:sz w:val="30"/>
          <w:szCs w:val="30"/>
        </w:rPr>
        <w:t>（一）医疗机构</w:t>
      </w:r>
    </w:p>
    <w:p w:rsidR="007276EE" w:rsidRPr="007276EE" w:rsidRDefault="007276EE" w:rsidP="007276EE">
      <w:pPr>
        <w:pStyle w:val="a6"/>
        <w:widowControl w:val="0"/>
        <w:spacing w:before="0" w:beforeAutospacing="0" w:after="0" w:afterAutospacing="0" w:line="600" w:lineRule="exact"/>
        <w:ind w:firstLine="420"/>
        <w:contextualSpacing/>
        <w:rPr>
          <w:rFonts w:ascii="仿宋_GB2312" w:eastAsia="仿宋_GB2312" w:hAnsi="仿宋_GB2312" w:cs="仿宋_GB2312"/>
          <w:sz w:val="30"/>
          <w:szCs w:val="30"/>
        </w:rPr>
      </w:pPr>
      <w:r w:rsidRPr="007276EE">
        <w:rPr>
          <w:rFonts w:ascii="仿宋_GB2312" w:eastAsia="仿宋_GB2312" w:hAnsi="仿宋_GB2312" w:cs="仿宋_GB2312" w:hint="eastAsia"/>
          <w:sz w:val="30"/>
          <w:szCs w:val="30"/>
        </w:rPr>
        <w:t xml:space="preserve"> 2015年，千人口执业（助理）医师数2.06，千人口注册护士数1.78，</w:t>
      </w:r>
      <w:r w:rsidRPr="007276EE">
        <w:rPr>
          <w:rFonts w:ascii="仿宋_GB2312" w:eastAsia="仿宋_GB2312" w:hAnsi="仿宋_GB2312" w:cs="仿宋_GB2312" w:hint="eastAsia"/>
          <w:sz w:val="30"/>
          <w:szCs w:val="30"/>
        </w:rPr>
        <w:lastRenderedPageBreak/>
        <w:t>医护比1：0.86，床护比1：0.44；到2020年，千人口执业（助理）医师数达到2.12，千人口注册护士数达到2.6，医护比1：0.98。床护比1：0.43，市级及以上医院床护比不低于1：0.6。按照医院级别与功能任务的需要确定床位与人员配比。承担临床教学、带教实习、支援基层、援外医疗、应急救援、医学科研等任务的医疗卫生机构可以适当增加人员配置。见表3。</w:t>
      </w:r>
    </w:p>
    <w:p w:rsidR="007276EE" w:rsidRPr="007276EE" w:rsidRDefault="007276EE" w:rsidP="000A3365">
      <w:pPr>
        <w:spacing w:beforeLines="50" w:afterLines="50" w:line="600" w:lineRule="exact"/>
        <w:ind w:firstLine="562"/>
        <w:contextualSpacing/>
        <w:jc w:val="center"/>
        <w:rPr>
          <w:rFonts w:ascii="黑体" w:eastAsia="黑体"/>
          <w:bCs/>
          <w:sz w:val="30"/>
          <w:szCs w:val="30"/>
        </w:rPr>
      </w:pPr>
      <w:r w:rsidRPr="007276EE">
        <w:rPr>
          <w:rFonts w:ascii="黑体" w:eastAsia="黑体" w:hint="eastAsia"/>
          <w:bCs/>
          <w:sz w:val="30"/>
          <w:szCs w:val="30"/>
        </w:rPr>
        <w:t>表3  南阳市医疗卫生服务体系资源要素配置主要指标</w:t>
      </w:r>
    </w:p>
    <w:tbl>
      <w:tblPr>
        <w:tblW w:w="5000" w:type="pct"/>
        <w:jc w:val="center"/>
        <w:tblLook w:val="0000"/>
      </w:tblPr>
      <w:tblGrid>
        <w:gridCol w:w="4633"/>
        <w:gridCol w:w="1551"/>
        <w:gridCol w:w="1551"/>
        <w:gridCol w:w="1551"/>
      </w:tblGrid>
      <w:tr w:rsidR="007276EE" w:rsidRPr="007276EE" w:rsidTr="000A3365">
        <w:trPr>
          <w:trHeight w:val="567"/>
          <w:jc w:val="center"/>
        </w:trPr>
        <w:tc>
          <w:tcPr>
            <w:tcW w:w="2495" w:type="pct"/>
            <w:tcBorders>
              <w:top w:val="single" w:sz="4" w:space="0" w:color="auto"/>
              <w:left w:val="single" w:sz="4" w:space="0" w:color="auto"/>
              <w:bottom w:val="single" w:sz="4" w:space="0" w:color="auto"/>
              <w:right w:val="single" w:sz="4" w:space="0" w:color="auto"/>
            </w:tcBorders>
            <w:vAlign w:val="center"/>
          </w:tcPr>
          <w:p w:rsidR="007276EE" w:rsidRPr="007276EE" w:rsidRDefault="007276EE" w:rsidP="007276EE">
            <w:pPr>
              <w:snapToGrid w:val="0"/>
              <w:spacing w:line="280" w:lineRule="exact"/>
              <w:ind w:firstLine="640"/>
              <w:contextualSpacing/>
              <w:jc w:val="center"/>
              <w:rPr>
                <w:rFonts w:eastAsia="黑体"/>
                <w:kern w:val="0"/>
                <w:sz w:val="24"/>
                <w:szCs w:val="24"/>
              </w:rPr>
            </w:pPr>
            <w:r w:rsidRPr="007276EE">
              <w:rPr>
                <w:rFonts w:eastAsia="黑体"/>
                <w:kern w:val="0"/>
                <w:sz w:val="24"/>
                <w:szCs w:val="24"/>
              </w:rPr>
              <w:t>主要指标</w:t>
            </w:r>
          </w:p>
        </w:tc>
        <w:tc>
          <w:tcPr>
            <w:tcW w:w="835" w:type="pct"/>
            <w:tcBorders>
              <w:top w:val="single" w:sz="4" w:space="0" w:color="auto"/>
              <w:left w:val="nil"/>
              <w:bottom w:val="single" w:sz="4" w:space="0" w:color="auto"/>
              <w:right w:val="single" w:sz="4" w:space="0" w:color="auto"/>
            </w:tcBorders>
            <w:vAlign w:val="center"/>
          </w:tcPr>
          <w:p w:rsidR="007276EE" w:rsidRPr="007276EE" w:rsidRDefault="007276EE" w:rsidP="007276EE">
            <w:pPr>
              <w:snapToGrid w:val="0"/>
              <w:spacing w:line="280" w:lineRule="exact"/>
              <w:contextualSpacing/>
              <w:jc w:val="center"/>
              <w:rPr>
                <w:kern w:val="0"/>
                <w:sz w:val="24"/>
                <w:szCs w:val="24"/>
              </w:rPr>
            </w:pPr>
            <w:r w:rsidRPr="007276EE">
              <w:rPr>
                <w:kern w:val="0"/>
                <w:sz w:val="24"/>
                <w:szCs w:val="24"/>
              </w:rPr>
              <w:t>2020</w:t>
            </w:r>
            <w:r w:rsidRPr="007276EE">
              <w:rPr>
                <w:rFonts w:eastAsia="黑体"/>
                <w:kern w:val="0"/>
                <w:sz w:val="24"/>
                <w:szCs w:val="24"/>
              </w:rPr>
              <w:t>年目标</w:t>
            </w:r>
          </w:p>
        </w:tc>
        <w:tc>
          <w:tcPr>
            <w:tcW w:w="835" w:type="pct"/>
            <w:tcBorders>
              <w:top w:val="single" w:sz="4" w:space="0" w:color="auto"/>
              <w:left w:val="nil"/>
              <w:bottom w:val="single" w:sz="4" w:space="0" w:color="auto"/>
              <w:right w:val="single" w:sz="4" w:space="0" w:color="auto"/>
            </w:tcBorders>
            <w:vAlign w:val="center"/>
          </w:tcPr>
          <w:p w:rsidR="007276EE" w:rsidRPr="007276EE" w:rsidRDefault="007276EE" w:rsidP="007276EE">
            <w:pPr>
              <w:snapToGrid w:val="0"/>
              <w:spacing w:line="280" w:lineRule="exact"/>
              <w:contextualSpacing/>
              <w:jc w:val="center"/>
              <w:rPr>
                <w:kern w:val="0"/>
                <w:sz w:val="24"/>
                <w:szCs w:val="24"/>
              </w:rPr>
            </w:pPr>
            <w:r w:rsidRPr="007276EE">
              <w:rPr>
                <w:kern w:val="0"/>
                <w:sz w:val="24"/>
                <w:szCs w:val="24"/>
              </w:rPr>
              <w:t>2015</w:t>
            </w:r>
            <w:r w:rsidRPr="007276EE">
              <w:rPr>
                <w:rFonts w:eastAsia="黑体"/>
                <w:kern w:val="0"/>
                <w:sz w:val="24"/>
                <w:szCs w:val="24"/>
              </w:rPr>
              <w:t>年现状</w:t>
            </w:r>
          </w:p>
        </w:tc>
        <w:tc>
          <w:tcPr>
            <w:tcW w:w="835" w:type="pct"/>
            <w:tcBorders>
              <w:top w:val="single" w:sz="4" w:space="0" w:color="auto"/>
              <w:left w:val="nil"/>
              <w:bottom w:val="single" w:sz="4" w:space="0" w:color="auto"/>
              <w:right w:val="single" w:sz="4" w:space="0" w:color="auto"/>
            </w:tcBorders>
            <w:vAlign w:val="center"/>
          </w:tcPr>
          <w:p w:rsidR="007276EE" w:rsidRPr="007276EE" w:rsidRDefault="007276EE" w:rsidP="007276EE">
            <w:pPr>
              <w:snapToGrid w:val="0"/>
              <w:spacing w:line="280" w:lineRule="exact"/>
              <w:contextualSpacing/>
              <w:jc w:val="center"/>
              <w:rPr>
                <w:rFonts w:eastAsia="黑体"/>
                <w:kern w:val="0"/>
                <w:sz w:val="24"/>
                <w:szCs w:val="24"/>
              </w:rPr>
            </w:pPr>
            <w:r w:rsidRPr="007276EE">
              <w:rPr>
                <w:rFonts w:eastAsia="黑体"/>
                <w:kern w:val="0"/>
                <w:sz w:val="24"/>
                <w:szCs w:val="24"/>
              </w:rPr>
              <w:t>指标性质</w:t>
            </w:r>
          </w:p>
        </w:tc>
      </w:tr>
      <w:tr w:rsidR="007276EE" w:rsidRPr="007276EE" w:rsidTr="000A3365">
        <w:trPr>
          <w:trHeight w:val="567"/>
          <w:jc w:val="center"/>
        </w:trPr>
        <w:tc>
          <w:tcPr>
            <w:tcW w:w="2495" w:type="pct"/>
            <w:tcBorders>
              <w:top w:val="nil"/>
              <w:left w:val="single" w:sz="4" w:space="0" w:color="auto"/>
              <w:bottom w:val="single" w:sz="4" w:space="0" w:color="auto"/>
              <w:right w:val="single" w:sz="4" w:space="0" w:color="auto"/>
            </w:tcBorders>
            <w:vAlign w:val="center"/>
          </w:tcPr>
          <w:p w:rsidR="007276EE" w:rsidRPr="007276EE" w:rsidRDefault="007276EE" w:rsidP="007276EE">
            <w:pPr>
              <w:spacing w:line="280" w:lineRule="exact"/>
              <w:contextualSpacing/>
              <w:rPr>
                <w:kern w:val="0"/>
                <w:sz w:val="24"/>
                <w:szCs w:val="24"/>
              </w:rPr>
            </w:pPr>
            <w:r w:rsidRPr="007276EE">
              <w:rPr>
                <w:kern w:val="0"/>
                <w:sz w:val="24"/>
                <w:szCs w:val="24"/>
              </w:rPr>
              <w:t>每千常住人口执业（助理）医师数（人）</w:t>
            </w:r>
          </w:p>
        </w:tc>
        <w:tc>
          <w:tcPr>
            <w:tcW w:w="835" w:type="pct"/>
            <w:tcBorders>
              <w:top w:val="nil"/>
              <w:left w:val="nil"/>
              <w:bottom w:val="single" w:sz="4" w:space="0" w:color="auto"/>
              <w:right w:val="single" w:sz="4" w:space="0" w:color="auto"/>
            </w:tcBorders>
            <w:vAlign w:val="center"/>
          </w:tcPr>
          <w:p w:rsidR="007276EE" w:rsidRPr="007276EE" w:rsidRDefault="007276EE" w:rsidP="007276EE">
            <w:pPr>
              <w:spacing w:line="280" w:lineRule="exact"/>
              <w:contextualSpacing/>
              <w:jc w:val="center"/>
              <w:rPr>
                <w:kern w:val="0"/>
                <w:sz w:val="24"/>
                <w:szCs w:val="24"/>
              </w:rPr>
            </w:pPr>
            <w:r w:rsidRPr="007276EE">
              <w:rPr>
                <w:kern w:val="0"/>
                <w:sz w:val="24"/>
                <w:szCs w:val="24"/>
              </w:rPr>
              <w:t>2.12</w:t>
            </w:r>
          </w:p>
        </w:tc>
        <w:tc>
          <w:tcPr>
            <w:tcW w:w="835" w:type="pct"/>
            <w:tcBorders>
              <w:top w:val="nil"/>
              <w:left w:val="nil"/>
              <w:bottom w:val="single" w:sz="4" w:space="0" w:color="auto"/>
              <w:right w:val="single" w:sz="4" w:space="0" w:color="auto"/>
            </w:tcBorders>
            <w:vAlign w:val="center"/>
          </w:tcPr>
          <w:p w:rsidR="007276EE" w:rsidRPr="007276EE" w:rsidRDefault="007276EE" w:rsidP="007276EE">
            <w:pPr>
              <w:spacing w:line="280" w:lineRule="exact"/>
              <w:contextualSpacing/>
              <w:jc w:val="center"/>
              <w:rPr>
                <w:kern w:val="0"/>
                <w:sz w:val="24"/>
                <w:szCs w:val="24"/>
              </w:rPr>
            </w:pPr>
            <w:r w:rsidRPr="007276EE">
              <w:rPr>
                <w:kern w:val="0"/>
                <w:sz w:val="24"/>
                <w:szCs w:val="24"/>
              </w:rPr>
              <w:t>2.06</w:t>
            </w:r>
          </w:p>
        </w:tc>
        <w:tc>
          <w:tcPr>
            <w:tcW w:w="835" w:type="pct"/>
            <w:tcBorders>
              <w:top w:val="nil"/>
              <w:left w:val="nil"/>
              <w:bottom w:val="single" w:sz="4" w:space="0" w:color="auto"/>
              <w:right w:val="single" w:sz="4" w:space="0" w:color="auto"/>
            </w:tcBorders>
            <w:vAlign w:val="center"/>
          </w:tcPr>
          <w:p w:rsidR="007276EE" w:rsidRPr="007276EE" w:rsidRDefault="007276EE" w:rsidP="007276EE">
            <w:pPr>
              <w:spacing w:line="280" w:lineRule="exact"/>
              <w:contextualSpacing/>
              <w:jc w:val="center"/>
              <w:rPr>
                <w:kern w:val="0"/>
                <w:sz w:val="24"/>
                <w:szCs w:val="24"/>
              </w:rPr>
            </w:pPr>
            <w:r w:rsidRPr="007276EE">
              <w:rPr>
                <w:kern w:val="0"/>
                <w:sz w:val="24"/>
                <w:szCs w:val="24"/>
              </w:rPr>
              <w:t>指导性</w:t>
            </w:r>
          </w:p>
        </w:tc>
      </w:tr>
      <w:tr w:rsidR="007276EE" w:rsidRPr="007276EE" w:rsidTr="000A3365">
        <w:trPr>
          <w:trHeight w:val="567"/>
          <w:jc w:val="center"/>
        </w:trPr>
        <w:tc>
          <w:tcPr>
            <w:tcW w:w="2495" w:type="pct"/>
            <w:tcBorders>
              <w:top w:val="nil"/>
              <w:left w:val="single" w:sz="4" w:space="0" w:color="auto"/>
              <w:bottom w:val="single" w:sz="4" w:space="0" w:color="auto"/>
              <w:right w:val="single" w:sz="4" w:space="0" w:color="auto"/>
            </w:tcBorders>
            <w:vAlign w:val="center"/>
          </w:tcPr>
          <w:p w:rsidR="007276EE" w:rsidRPr="007276EE" w:rsidRDefault="007276EE" w:rsidP="007276EE">
            <w:pPr>
              <w:spacing w:line="280" w:lineRule="exact"/>
              <w:contextualSpacing/>
              <w:rPr>
                <w:kern w:val="0"/>
                <w:sz w:val="24"/>
                <w:szCs w:val="24"/>
              </w:rPr>
            </w:pPr>
            <w:r w:rsidRPr="007276EE">
              <w:rPr>
                <w:kern w:val="0"/>
                <w:sz w:val="24"/>
                <w:szCs w:val="24"/>
              </w:rPr>
              <w:t>每千常住人口注册护士数（人）</w:t>
            </w:r>
          </w:p>
        </w:tc>
        <w:tc>
          <w:tcPr>
            <w:tcW w:w="835" w:type="pct"/>
            <w:tcBorders>
              <w:top w:val="nil"/>
              <w:left w:val="nil"/>
              <w:bottom w:val="single" w:sz="4" w:space="0" w:color="auto"/>
              <w:right w:val="single" w:sz="4" w:space="0" w:color="auto"/>
            </w:tcBorders>
            <w:vAlign w:val="center"/>
          </w:tcPr>
          <w:p w:rsidR="007276EE" w:rsidRPr="007276EE" w:rsidRDefault="007276EE" w:rsidP="007276EE">
            <w:pPr>
              <w:spacing w:line="280" w:lineRule="exact"/>
              <w:contextualSpacing/>
              <w:jc w:val="center"/>
              <w:rPr>
                <w:kern w:val="0"/>
                <w:sz w:val="24"/>
                <w:szCs w:val="24"/>
              </w:rPr>
            </w:pPr>
            <w:r w:rsidRPr="007276EE">
              <w:rPr>
                <w:kern w:val="0"/>
                <w:sz w:val="24"/>
                <w:szCs w:val="24"/>
              </w:rPr>
              <w:t>2.6</w:t>
            </w:r>
          </w:p>
        </w:tc>
        <w:tc>
          <w:tcPr>
            <w:tcW w:w="835" w:type="pct"/>
            <w:tcBorders>
              <w:top w:val="nil"/>
              <w:left w:val="nil"/>
              <w:bottom w:val="single" w:sz="4" w:space="0" w:color="auto"/>
              <w:right w:val="single" w:sz="4" w:space="0" w:color="auto"/>
            </w:tcBorders>
            <w:vAlign w:val="center"/>
          </w:tcPr>
          <w:p w:rsidR="007276EE" w:rsidRPr="007276EE" w:rsidRDefault="007276EE" w:rsidP="007276EE">
            <w:pPr>
              <w:spacing w:line="280" w:lineRule="exact"/>
              <w:contextualSpacing/>
              <w:jc w:val="center"/>
              <w:rPr>
                <w:kern w:val="0"/>
                <w:sz w:val="24"/>
                <w:szCs w:val="24"/>
              </w:rPr>
            </w:pPr>
            <w:r w:rsidRPr="007276EE">
              <w:rPr>
                <w:kern w:val="0"/>
                <w:sz w:val="24"/>
                <w:szCs w:val="24"/>
              </w:rPr>
              <w:t>1.78</w:t>
            </w:r>
          </w:p>
        </w:tc>
        <w:tc>
          <w:tcPr>
            <w:tcW w:w="835" w:type="pct"/>
            <w:tcBorders>
              <w:top w:val="nil"/>
              <w:left w:val="nil"/>
              <w:bottom w:val="single" w:sz="4" w:space="0" w:color="auto"/>
              <w:right w:val="single" w:sz="4" w:space="0" w:color="auto"/>
            </w:tcBorders>
            <w:vAlign w:val="center"/>
          </w:tcPr>
          <w:p w:rsidR="007276EE" w:rsidRPr="007276EE" w:rsidRDefault="007276EE" w:rsidP="007276EE">
            <w:pPr>
              <w:spacing w:line="280" w:lineRule="exact"/>
              <w:contextualSpacing/>
              <w:jc w:val="center"/>
              <w:rPr>
                <w:kern w:val="0"/>
                <w:sz w:val="24"/>
                <w:szCs w:val="24"/>
              </w:rPr>
            </w:pPr>
            <w:r w:rsidRPr="007276EE">
              <w:rPr>
                <w:kern w:val="0"/>
                <w:sz w:val="24"/>
                <w:szCs w:val="24"/>
              </w:rPr>
              <w:t>指导性</w:t>
            </w:r>
          </w:p>
        </w:tc>
      </w:tr>
      <w:tr w:rsidR="007276EE" w:rsidRPr="007276EE" w:rsidTr="000A3365">
        <w:trPr>
          <w:trHeight w:val="567"/>
          <w:jc w:val="center"/>
        </w:trPr>
        <w:tc>
          <w:tcPr>
            <w:tcW w:w="2495" w:type="pct"/>
            <w:tcBorders>
              <w:top w:val="nil"/>
              <w:left w:val="single" w:sz="4" w:space="0" w:color="auto"/>
              <w:bottom w:val="single" w:sz="4" w:space="0" w:color="auto"/>
              <w:right w:val="single" w:sz="4" w:space="0" w:color="auto"/>
            </w:tcBorders>
            <w:vAlign w:val="center"/>
          </w:tcPr>
          <w:p w:rsidR="007276EE" w:rsidRPr="007276EE" w:rsidRDefault="007276EE" w:rsidP="007276EE">
            <w:pPr>
              <w:spacing w:line="280" w:lineRule="exact"/>
              <w:contextualSpacing/>
              <w:rPr>
                <w:kern w:val="0"/>
                <w:sz w:val="24"/>
                <w:szCs w:val="24"/>
              </w:rPr>
            </w:pPr>
            <w:r w:rsidRPr="007276EE">
              <w:rPr>
                <w:kern w:val="0"/>
                <w:sz w:val="24"/>
                <w:szCs w:val="24"/>
              </w:rPr>
              <w:t>每千常住人口公共卫生人员数（人）</w:t>
            </w:r>
          </w:p>
        </w:tc>
        <w:tc>
          <w:tcPr>
            <w:tcW w:w="835" w:type="pct"/>
            <w:tcBorders>
              <w:top w:val="nil"/>
              <w:left w:val="nil"/>
              <w:bottom w:val="single" w:sz="4" w:space="0" w:color="auto"/>
              <w:right w:val="single" w:sz="4" w:space="0" w:color="auto"/>
            </w:tcBorders>
            <w:vAlign w:val="center"/>
          </w:tcPr>
          <w:p w:rsidR="007276EE" w:rsidRPr="007276EE" w:rsidRDefault="007276EE" w:rsidP="007276EE">
            <w:pPr>
              <w:spacing w:line="280" w:lineRule="exact"/>
              <w:contextualSpacing/>
              <w:jc w:val="center"/>
              <w:rPr>
                <w:kern w:val="0"/>
                <w:sz w:val="24"/>
                <w:szCs w:val="24"/>
              </w:rPr>
            </w:pPr>
            <w:r w:rsidRPr="007276EE">
              <w:rPr>
                <w:kern w:val="0"/>
                <w:sz w:val="24"/>
                <w:szCs w:val="24"/>
              </w:rPr>
              <w:t>0.83</w:t>
            </w:r>
          </w:p>
        </w:tc>
        <w:tc>
          <w:tcPr>
            <w:tcW w:w="835" w:type="pct"/>
            <w:tcBorders>
              <w:top w:val="nil"/>
              <w:left w:val="nil"/>
              <w:bottom w:val="single" w:sz="4" w:space="0" w:color="auto"/>
              <w:right w:val="single" w:sz="4" w:space="0" w:color="auto"/>
            </w:tcBorders>
            <w:vAlign w:val="center"/>
          </w:tcPr>
          <w:p w:rsidR="007276EE" w:rsidRPr="007276EE" w:rsidRDefault="007276EE" w:rsidP="007276EE">
            <w:pPr>
              <w:spacing w:line="280" w:lineRule="exact"/>
              <w:contextualSpacing/>
              <w:jc w:val="center"/>
              <w:rPr>
                <w:kern w:val="0"/>
                <w:sz w:val="24"/>
                <w:szCs w:val="24"/>
              </w:rPr>
            </w:pPr>
            <w:r w:rsidRPr="007276EE">
              <w:rPr>
                <w:kern w:val="0"/>
                <w:sz w:val="24"/>
                <w:szCs w:val="24"/>
              </w:rPr>
              <w:t>0.7</w:t>
            </w:r>
          </w:p>
        </w:tc>
        <w:tc>
          <w:tcPr>
            <w:tcW w:w="835" w:type="pct"/>
            <w:tcBorders>
              <w:top w:val="nil"/>
              <w:left w:val="nil"/>
              <w:bottom w:val="single" w:sz="4" w:space="0" w:color="auto"/>
              <w:right w:val="single" w:sz="4" w:space="0" w:color="auto"/>
            </w:tcBorders>
            <w:vAlign w:val="center"/>
          </w:tcPr>
          <w:p w:rsidR="007276EE" w:rsidRPr="007276EE" w:rsidRDefault="007276EE" w:rsidP="007276EE">
            <w:pPr>
              <w:spacing w:line="280" w:lineRule="exact"/>
              <w:contextualSpacing/>
              <w:jc w:val="center"/>
              <w:rPr>
                <w:kern w:val="0"/>
                <w:sz w:val="24"/>
                <w:szCs w:val="24"/>
              </w:rPr>
            </w:pPr>
            <w:r w:rsidRPr="007276EE">
              <w:rPr>
                <w:kern w:val="0"/>
                <w:sz w:val="24"/>
                <w:szCs w:val="24"/>
              </w:rPr>
              <w:t>指导性</w:t>
            </w:r>
          </w:p>
        </w:tc>
      </w:tr>
      <w:tr w:rsidR="007276EE" w:rsidRPr="007276EE" w:rsidTr="000A3365">
        <w:trPr>
          <w:trHeight w:val="567"/>
          <w:jc w:val="center"/>
        </w:trPr>
        <w:tc>
          <w:tcPr>
            <w:tcW w:w="2495" w:type="pct"/>
            <w:tcBorders>
              <w:top w:val="nil"/>
              <w:left w:val="single" w:sz="4" w:space="0" w:color="auto"/>
              <w:bottom w:val="single" w:sz="4" w:space="0" w:color="auto"/>
              <w:right w:val="single" w:sz="4" w:space="0" w:color="auto"/>
            </w:tcBorders>
            <w:vAlign w:val="center"/>
          </w:tcPr>
          <w:p w:rsidR="007276EE" w:rsidRPr="007276EE" w:rsidRDefault="007276EE" w:rsidP="007276EE">
            <w:pPr>
              <w:spacing w:line="280" w:lineRule="exact"/>
              <w:contextualSpacing/>
              <w:rPr>
                <w:kern w:val="0"/>
                <w:sz w:val="24"/>
                <w:szCs w:val="24"/>
              </w:rPr>
            </w:pPr>
            <w:r w:rsidRPr="007276EE">
              <w:rPr>
                <w:kern w:val="0"/>
                <w:sz w:val="24"/>
                <w:szCs w:val="24"/>
              </w:rPr>
              <w:t>每万常住人口全科医生数（人）</w:t>
            </w:r>
          </w:p>
        </w:tc>
        <w:tc>
          <w:tcPr>
            <w:tcW w:w="835" w:type="pct"/>
            <w:tcBorders>
              <w:top w:val="nil"/>
              <w:left w:val="nil"/>
              <w:bottom w:val="single" w:sz="4" w:space="0" w:color="auto"/>
              <w:right w:val="single" w:sz="4" w:space="0" w:color="auto"/>
            </w:tcBorders>
            <w:vAlign w:val="center"/>
          </w:tcPr>
          <w:p w:rsidR="007276EE" w:rsidRPr="007276EE" w:rsidRDefault="007276EE" w:rsidP="007276EE">
            <w:pPr>
              <w:spacing w:line="280" w:lineRule="exact"/>
              <w:contextualSpacing/>
              <w:jc w:val="center"/>
              <w:rPr>
                <w:kern w:val="0"/>
                <w:sz w:val="24"/>
                <w:szCs w:val="24"/>
              </w:rPr>
            </w:pPr>
            <w:r w:rsidRPr="007276EE">
              <w:rPr>
                <w:kern w:val="0"/>
                <w:sz w:val="24"/>
                <w:szCs w:val="24"/>
              </w:rPr>
              <w:t>0.83</w:t>
            </w:r>
          </w:p>
        </w:tc>
        <w:tc>
          <w:tcPr>
            <w:tcW w:w="835" w:type="pct"/>
            <w:tcBorders>
              <w:top w:val="nil"/>
              <w:left w:val="nil"/>
              <w:bottom w:val="single" w:sz="4" w:space="0" w:color="auto"/>
              <w:right w:val="single" w:sz="4" w:space="0" w:color="auto"/>
            </w:tcBorders>
            <w:vAlign w:val="center"/>
          </w:tcPr>
          <w:p w:rsidR="007276EE" w:rsidRPr="007276EE" w:rsidRDefault="007276EE" w:rsidP="007276EE">
            <w:pPr>
              <w:spacing w:line="280" w:lineRule="exact"/>
              <w:contextualSpacing/>
              <w:jc w:val="center"/>
              <w:rPr>
                <w:kern w:val="0"/>
                <w:sz w:val="24"/>
                <w:szCs w:val="24"/>
              </w:rPr>
            </w:pPr>
            <w:r w:rsidRPr="007276EE">
              <w:rPr>
                <w:kern w:val="0"/>
                <w:sz w:val="24"/>
                <w:szCs w:val="24"/>
              </w:rPr>
              <w:t>0.25</w:t>
            </w:r>
          </w:p>
        </w:tc>
        <w:tc>
          <w:tcPr>
            <w:tcW w:w="835" w:type="pct"/>
            <w:tcBorders>
              <w:top w:val="nil"/>
              <w:left w:val="nil"/>
              <w:bottom w:val="single" w:sz="4" w:space="0" w:color="auto"/>
              <w:right w:val="single" w:sz="4" w:space="0" w:color="auto"/>
            </w:tcBorders>
            <w:vAlign w:val="center"/>
          </w:tcPr>
          <w:p w:rsidR="007276EE" w:rsidRPr="007276EE" w:rsidRDefault="007276EE" w:rsidP="007276EE">
            <w:pPr>
              <w:spacing w:line="280" w:lineRule="exact"/>
              <w:contextualSpacing/>
              <w:jc w:val="center"/>
              <w:rPr>
                <w:kern w:val="0"/>
                <w:sz w:val="24"/>
                <w:szCs w:val="24"/>
              </w:rPr>
            </w:pPr>
            <w:r w:rsidRPr="007276EE">
              <w:rPr>
                <w:kern w:val="0"/>
                <w:sz w:val="24"/>
                <w:szCs w:val="24"/>
              </w:rPr>
              <w:t>约束性</w:t>
            </w:r>
          </w:p>
        </w:tc>
      </w:tr>
      <w:tr w:rsidR="007276EE" w:rsidRPr="007276EE" w:rsidTr="000A3365">
        <w:trPr>
          <w:trHeight w:val="567"/>
          <w:jc w:val="center"/>
        </w:trPr>
        <w:tc>
          <w:tcPr>
            <w:tcW w:w="2495" w:type="pct"/>
            <w:tcBorders>
              <w:top w:val="nil"/>
              <w:left w:val="single" w:sz="4" w:space="0" w:color="auto"/>
              <w:bottom w:val="single" w:sz="4" w:space="0" w:color="auto"/>
              <w:right w:val="single" w:sz="4" w:space="0" w:color="auto"/>
            </w:tcBorders>
            <w:vAlign w:val="center"/>
          </w:tcPr>
          <w:p w:rsidR="007276EE" w:rsidRPr="007276EE" w:rsidRDefault="007276EE" w:rsidP="007276EE">
            <w:pPr>
              <w:spacing w:line="280" w:lineRule="exact"/>
              <w:contextualSpacing/>
              <w:rPr>
                <w:kern w:val="0"/>
                <w:sz w:val="24"/>
                <w:szCs w:val="24"/>
              </w:rPr>
            </w:pPr>
            <w:r w:rsidRPr="007276EE">
              <w:rPr>
                <w:kern w:val="0"/>
                <w:sz w:val="24"/>
                <w:szCs w:val="24"/>
              </w:rPr>
              <w:t>医护比</w:t>
            </w:r>
          </w:p>
        </w:tc>
        <w:tc>
          <w:tcPr>
            <w:tcW w:w="835" w:type="pct"/>
            <w:tcBorders>
              <w:top w:val="nil"/>
              <w:left w:val="nil"/>
              <w:bottom w:val="single" w:sz="4" w:space="0" w:color="auto"/>
              <w:right w:val="single" w:sz="4" w:space="0" w:color="auto"/>
            </w:tcBorders>
            <w:vAlign w:val="center"/>
          </w:tcPr>
          <w:p w:rsidR="007276EE" w:rsidRPr="007276EE" w:rsidRDefault="007276EE" w:rsidP="007276EE">
            <w:pPr>
              <w:spacing w:line="280" w:lineRule="exact"/>
              <w:contextualSpacing/>
              <w:jc w:val="center"/>
              <w:rPr>
                <w:kern w:val="0"/>
                <w:sz w:val="24"/>
                <w:szCs w:val="24"/>
              </w:rPr>
            </w:pPr>
            <w:r w:rsidRPr="007276EE">
              <w:rPr>
                <w:kern w:val="0"/>
                <w:sz w:val="24"/>
                <w:szCs w:val="24"/>
              </w:rPr>
              <w:t>1:0.98</w:t>
            </w:r>
          </w:p>
        </w:tc>
        <w:tc>
          <w:tcPr>
            <w:tcW w:w="835" w:type="pct"/>
            <w:tcBorders>
              <w:top w:val="nil"/>
              <w:left w:val="nil"/>
              <w:bottom w:val="single" w:sz="4" w:space="0" w:color="auto"/>
              <w:right w:val="single" w:sz="4" w:space="0" w:color="auto"/>
            </w:tcBorders>
            <w:vAlign w:val="center"/>
          </w:tcPr>
          <w:p w:rsidR="007276EE" w:rsidRPr="007276EE" w:rsidRDefault="007276EE" w:rsidP="007276EE">
            <w:pPr>
              <w:spacing w:line="280" w:lineRule="exact"/>
              <w:contextualSpacing/>
              <w:jc w:val="center"/>
              <w:rPr>
                <w:kern w:val="0"/>
                <w:sz w:val="24"/>
                <w:szCs w:val="24"/>
              </w:rPr>
            </w:pPr>
            <w:r w:rsidRPr="007276EE">
              <w:rPr>
                <w:kern w:val="0"/>
                <w:sz w:val="24"/>
                <w:szCs w:val="24"/>
              </w:rPr>
              <w:t>1:0.86</w:t>
            </w:r>
          </w:p>
        </w:tc>
        <w:tc>
          <w:tcPr>
            <w:tcW w:w="835" w:type="pct"/>
            <w:tcBorders>
              <w:top w:val="nil"/>
              <w:left w:val="nil"/>
              <w:bottom w:val="single" w:sz="4" w:space="0" w:color="auto"/>
              <w:right w:val="single" w:sz="4" w:space="0" w:color="auto"/>
            </w:tcBorders>
            <w:vAlign w:val="center"/>
          </w:tcPr>
          <w:p w:rsidR="007276EE" w:rsidRPr="007276EE" w:rsidRDefault="007276EE" w:rsidP="007276EE">
            <w:pPr>
              <w:spacing w:line="280" w:lineRule="exact"/>
              <w:contextualSpacing/>
              <w:jc w:val="center"/>
              <w:rPr>
                <w:kern w:val="0"/>
                <w:sz w:val="24"/>
                <w:szCs w:val="24"/>
              </w:rPr>
            </w:pPr>
            <w:r w:rsidRPr="007276EE">
              <w:rPr>
                <w:kern w:val="0"/>
                <w:sz w:val="24"/>
                <w:szCs w:val="24"/>
              </w:rPr>
              <w:t>指导性</w:t>
            </w:r>
          </w:p>
        </w:tc>
      </w:tr>
      <w:tr w:rsidR="007276EE" w:rsidRPr="007276EE" w:rsidTr="000A3365">
        <w:trPr>
          <w:trHeight w:val="567"/>
          <w:jc w:val="center"/>
        </w:trPr>
        <w:tc>
          <w:tcPr>
            <w:tcW w:w="2495" w:type="pct"/>
            <w:tcBorders>
              <w:top w:val="nil"/>
              <w:left w:val="single" w:sz="4" w:space="0" w:color="auto"/>
              <w:bottom w:val="single" w:sz="4" w:space="0" w:color="auto"/>
              <w:right w:val="single" w:sz="4" w:space="0" w:color="auto"/>
            </w:tcBorders>
            <w:vAlign w:val="center"/>
          </w:tcPr>
          <w:p w:rsidR="007276EE" w:rsidRPr="007276EE" w:rsidRDefault="007276EE" w:rsidP="007276EE">
            <w:pPr>
              <w:spacing w:line="280" w:lineRule="exact"/>
              <w:contextualSpacing/>
              <w:rPr>
                <w:kern w:val="0"/>
                <w:sz w:val="24"/>
                <w:szCs w:val="24"/>
              </w:rPr>
            </w:pPr>
            <w:r w:rsidRPr="007276EE">
              <w:rPr>
                <w:kern w:val="0"/>
                <w:sz w:val="24"/>
                <w:szCs w:val="24"/>
              </w:rPr>
              <w:t>市办及以上医院床护比</w:t>
            </w:r>
          </w:p>
        </w:tc>
        <w:tc>
          <w:tcPr>
            <w:tcW w:w="835" w:type="pct"/>
            <w:tcBorders>
              <w:top w:val="nil"/>
              <w:left w:val="nil"/>
              <w:bottom w:val="single" w:sz="4" w:space="0" w:color="auto"/>
              <w:right w:val="single" w:sz="4" w:space="0" w:color="auto"/>
            </w:tcBorders>
            <w:vAlign w:val="center"/>
          </w:tcPr>
          <w:p w:rsidR="007276EE" w:rsidRPr="007276EE" w:rsidRDefault="007276EE" w:rsidP="007276EE">
            <w:pPr>
              <w:spacing w:line="280" w:lineRule="exact"/>
              <w:contextualSpacing/>
              <w:jc w:val="center"/>
              <w:rPr>
                <w:kern w:val="0"/>
                <w:sz w:val="24"/>
                <w:szCs w:val="24"/>
              </w:rPr>
            </w:pPr>
            <w:r w:rsidRPr="007276EE">
              <w:rPr>
                <w:kern w:val="0"/>
                <w:sz w:val="24"/>
                <w:szCs w:val="24"/>
              </w:rPr>
              <w:t>1:0.6</w:t>
            </w:r>
          </w:p>
        </w:tc>
        <w:tc>
          <w:tcPr>
            <w:tcW w:w="835" w:type="pct"/>
            <w:tcBorders>
              <w:top w:val="nil"/>
              <w:left w:val="nil"/>
              <w:bottom w:val="single" w:sz="4" w:space="0" w:color="auto"/>
              <w:right w:val="single" w:sz="4" w:space="0" w:color="auto"/>
            </w:tcBorders>
            <w:vAlign w:val="center"/>
          </w:tcPr>
          <w:p w:rsidR="007276EE" w:rsidRPr="007276EE" w:rsidRDefault="007276EE" w:rsidP="007276EE">
            <w:pPr>
              <w:spacing w:line="280" w:lineRule="exact"/>
              <w:contextualSpacing/>
              <w:jc w:val="center"/>
              <w:rPr>
                <w:kern w:val="0"/>
                <w:sz w:val="24"/>
                <w:szCs w:val="24"/>
              </w:rPr>
            </w:pPr>
            <w:r w:rsidRPr="007276EE">
              <w:rPr>
                <w:kern w:val="0"/>
                <w:sz w:val="24"/>
                <w:szCs w:val="24"/>
              </w:rPr>
              <w:t>1:0.44</w:t>
            </w:r>
          </w:p>
        </w:tc>
        <w:tc>
          <w:tcPr>
            <w:tcW w:w="835" w:type="pct"/>
            <w:tcBorders>
              <w:top w:val="nil"/>
              <w:left w:val="nil"/>
              <w:bottom w:val="single" w:sz="4" w:space="0" w:color="auto"/>
              <w:right w:val="single" w:sz="4" w:space="0" w:color="auto"/>
            </w:tcBorders>
            <w:vAlign w:val="center"/>
          </w:tcPr>
          <w:p w:rsidR="007276EE" w:rsidRPr="007276EE" w:rsidRDefault="007276EE" w:rsidP="007276EE">
            <w:pPr>
              <w:spacing w:line="280" w:lineRule="exact"/>
              <w:contextualSpacing/>
              <w:jc w:val="center"/>
              <w:rPr>
                <w:kern w:val="0"/>
                <w:sz w:val="24"/>
                <w:szCs w:val="24"/>
              </w:rPr>
            </w:pPr>
            <w:r w:rsidRPr="007276EE">
              <w:rPr>
                <w:kern w:val="0"/>
                <w:sz w:val="24"/>
                <w:szCs w:val="24"/>
              </w:rPr>
              <w:t>指导性</w:t>
            </w:r>
          </w:p>
        </w:tc>
      </w:tr>
      <w:tr w:rsidR="007276EE" w:rsidRPr="007276EE" w:rsidTr="000A3365">
        <w:trPr>
          <w:trHeight w:val="567"/>
          <w:jc w:val="center"/>
        </w:trPr>
        <w:tc>
          <w:tcPr>
            <w:tcW w:w="2495" w:type="pct"/>
            <w:tcBorders>
              <w:top w:val="nil"/>
              <w:left w:val="single" w:sz="4" w:space="0" w:color="auto"/>
              <w:bottom w:val="single" w:sz="4" w:space="0" w:color="auto"/>
              <w:right w:val="single" w:sz="4" w:space="0" w:color="auto"/>
            </w:tcBorders>
            <w:vAlign w:val="center"/>
          </w:tcPr>
          <w:p w:rsidR="007276EE" w:rsidRPr="007276EE" w:rsidRDefault="007276EE" w:rsidP="007276EE">
            <w:pPr>
              <w:spacing w:line="280" w:lineRule="exact"/>
              <w:contextualSpacing/>
              <w:rPr>
                <w:kern w:val="0"/>
                <w:sz w:val="24"/>
                <w:szCs w:val="24"/>
              </w:rPr>
            </w:pPr>
            <w:r w:rsidRPr="007276EE">
              <w:rPr>
                <w:kern w:val="0"/>
                <w:sz w:val="24"/>
                <w:szCs w:val="24"/>
              </w:rPr>
              <w:t>县办综合性医院适宜床位规模（张）</w:t>
            </w:r>
          </w:p>
        </w:tc>
        <w:tc>
          <w:tcPr>
            <w:tcW w:w="835" w:type="pct"/>
            <w:tcBorders>
              <w:top w:val="nil"/>
              <w:left w:val="nil"/>
              <w:bottom w:val="single" w:sz="4" w:space="0" w:color="auto"/>
              <w:right w:val="single" w:sz="4" w:space="0" w:color="auto"/>
            </w:tcBorders>
            <w:vAlign w:val="center"/>
          </w:tcPr>
          <w:p w:rsidR="007276EE" w:rsidRPr="007276EE" w:rsidRDefault="007276EE" w:rsidP="007276EE">
            <w:pPr>
              <w:spacing w:line="280" w:lineRule="exact"/>
              <w:contextualSpacing/>
              <w:jc w:val="center"/>
              <w:rPr>
                <w:kern w:val="0"/>
                <w:sz w:val="24"/>
                <w:szCs w:val="24"/>
              </w:rPr>
            </w:pPr>
            <w:r w:rsidRPr="007276EE">
              <w:rPr>
                <w:kern w:val="0"/>
                <w:sz w:val="24"/>
                <w:szCs w:val="24"/>
              </w:rPr>
              <w:t>800</w:t>
            </w:r>
          </w:p>
        </w:tc>
        <w:tc>
          <w:tcPr>
            <w:tcW w:w="835" w:type="pct"/>
            <w:tcBorders>
              <w:top w:val="nil"/>
              <w:left w:val="nil"/>
              <w:bottom w:val="single" w:sz="4" w:space="0" w:color="auto"/>
              <w:right w:val="single" w:sz="4" w:space="0" w:color="auto"/>
            </w:tcBorders>
            <w:vAlign w:val="center"/>
          </w:tcPr>
          <w:p w:rsidR="007276EE" w:rsidRPr="007276EE" w:rsidRDefault="007276EE" w:rsidP="007276EE">
            <w:pPr>
              <w:spacing w:line="280" w:lineRule="exact"/>
              <w:contextualSpacing/>
              <w:jc w:val="center"/>
              <w:rPr>
                <w:kern w:val="0"/>
                <w:sz w:val="24"/>
                <w:szCs w:val="24"/>
              </w:rPr>
            </w:pPr>
            <w:r w:rsidRPr="007276EE">
              <w:rPr>
                <w:kern w:val="0"/>
                <w:sz w:val="24"/>
                <w:szCs w:val="24"/>
              </w:rPr>
              <w:t>500</w:t>
            </w:r>
          </w:p>
        </w:tc>
        <w:tc>
          <w:tcPr>
            <w:tcW w:w="835" w:type="pct"/>
            <w:tcBorders>
              <w:top w:val="nil"/>
              <w:left w:val="nil"/>
              <w:bottom w:val="single" w:sz="4" w:space="0" w:color="auto"/>
              <w:right w:val="single" w:sz="4" w:space="0" w:color="auto"/>
            </w:tcBorders>
            <w:vAlign w:val="center"/>
          </w:tcPr>
          <w:p w:rsidR="007276EE" w:rsidRPr="007276EE" w:rsidRDefault="007276EE" w:rsidP="007276EE">
            <w:pPr>
              <w:spacing w:line="280" w:lineRule="exact"/>
              <w:contextualSpacing/>
              <w:jc w:val="center"/>
              <w:rPr>
                <w:kern w:val="0"/>
                <w:sz w:val="24"/>
                <w:szCs w:val="24"/>
              </w:rPr>
            </w:pPr>
            <w:r w:rsidRPr="007276EE">
              <w:rPr>
                <w:kern w:val="0"/>
                <w:sz w:val="24"/>
                <w:szCs w:val="24"/>
              </w:rPr>
              <w:t>指导性</w:t>
            </w:r>
          </w:p>
        </w:tc>
      </w:tr>
    </w:tbl>
    <w:p w:rsidR="007276EE" w:rsidRPr="007276EE" w:rsidRDefault="007276EE" w:rsidP="007276EE">
      <w:pPr>
        <w:pStyle w:val="3"/>
        <w:spacing w:line="600" w:lineRule="exact"/>
        <w:ind w:firstLine="643"/>
        <w:contextualSpacing/>
        <w:rPr>
          <w:rFonts w:ascii="仿宋_GB2312" w:hAnsi="仿宋_GB2312" w:cs="仿宋_GB2312"/>
          <w:sz w:val="30"/>
          <w:szCs w:val="30"/>
        </w:rPr>
      </w:pPr>
      <w:bookmarkStart w:id="11" w:name="_Toc451792310"/>
      <w:r w:rsidRPr="007276EE">
        <w:rPr>
          <w:rFonts w:ascii="仿宋_GB2312" w:hAnsi="仿宋_GB2312" w:cs="仿宋_GB2312" w:hint="eastAsia"/>
          <w:sz w:val="30"/>
          <w:szCs w:val="30"/>
        </w:rPr>
        <w:t>（二）基层医疗卫生机构</w:t>
      </w:r>
      <w:bookmarkEnd w:id="11"/>
    </w:p>
    <w:p w:rsidR="007276EE" w:rsidRDefault="007276EE" w:rsidP="007276EE">
      <w:pPr>
        <w:pStyle w:val="a6"/>
        <w:widowControl w:val="0"/>
        <w:spacing w:before="0" w:beforeAutospacing="0" w:after="0" w:afterAutospacing="0" w:line="600" w:lineRule="exact"/>
        <w:ind w:firstLine="420"/>
        <w:contextualSpacing/>
        <w:rPr>
          <w:rFonts w:ascii="仿宋_GB2312" w:eastAsia="仿宋_GB2312" w:hAnsi="仿宋_GB2312" w:cs="仿宋_GB2312" w:hint="eastAsia"/>
          <w:sz w:val="30"/>
          <w:szCs w:val="30"/>
        </w:rPr>
      </w:pPr>
      <w:r w:rsidRPr="007276EE">
        <w:rPr>
          <w:rFonts w:ascii="仿宋_GB2312" w:eastAsia="仿宋_GB2312" w:hAnsi="仿宋_GB2312" w:cs="仿宋_GB2312" w:hint="eastAsia"/>
          <w:sz w:val="30"/>
          <w:szCs w:val="30"/>
        </w:rPr>
        <w:t xml:space="preserve"> 到2020年，每千常住人口基层卫生人员数达到3.5人以上，基本实现城乡每万名居民有2名合格的全科医生。力争实现让每个家庭拥有一名合格的签约医生。原则上按照每千户籍人口1-1.2名的标准配备乡村医生。每所村卫生室至少有1名乡村医生执业。见表4。</w:t>
      </w:r>
    </w:p>
    <w:p w:rsidR="000A3365" w:rsidRDefault="000A3365" w:rsidP="007276EE">
      <w:pPr>
        <w:pStyle w:val="a6"/>
        <w:widowControl w:val="0"/>
        <w:spacing w:before="0" w:beforeAutospacing="0" w:after="0" w:afterAutospacing="0" w:line="600" w:lineRule="exact"/>
        <w:ind w:firstLine="420"/>
        <w:contextualSpacing/>
        <w:rPr>
          <w:rFonts w:ascii="仿宋_GB2312" w:eastAsia="仿宋_GB2312" w:hAnsi="仿宋_GB2312" w:cs="仿宋_GB2312"/>
          <w:sz w:val="30"/>
          <w:szCs w:val="30"/>
        </w:rPr>
      </w:pPr>
    </w:p>
    <w:p w:rsidR="007276EE" w:rsidRPr="007276EE" w:rsidRDefault="007276EE" w:rsidP="007276EE">
      <w:pPr>
        <w:spacing w:line="600" w:lineRule="exact"/>
        <w:contextualSpacing/>
        <w:jc w:val="center"/>
        <w:rPr>
          <w:rFonts w:ascii="黑体" w:eastAsia="黑体"/>
          <w:bCs/>
          <w:sz w:val="30"/>
          <w:szCs w:val="30"/>
        </w:rPr>
      </w:pPr>
      <w:r w:rsidRPr="007276EE">
        <w:rPr>
          <w:rFonts w:ascii="黑体" w:eastAsia="黑体" w:hint="eastAsia"/>
          <w:bCs/>
          <w:sz w:val="30"/>
          <w:szCs w:val="30"/>
        </w:rPr>
        <w:lastRenderedPageBreak/>
        <w:t>表4  2020年各县（区）执业（助理）医师和注册护士配置</w:t>
      </w:r>
    </w:p>
    <w:tbl>
      <w:tblPr>
        <w:tblW w:w="0" w:type="auto"/>
        <w:jc w:val="center"/>
        <w:tblLayout w:type="fixed"/>
        <w:tblLook w:val="0000"/>
      </w:tblPr>
      <w:tblGrid>
        <w:gridCol w:w="1520"/>
        <w:gridCol w:w="1760"/>
        <w:gridCol w:w="1760"/>
        <w:gridCol w:w="1760"/>
        <w:gridCol w:w="1760"/>
      </w:tblGrid>
      <w:tr w:rsidR="007276EE" w:rsidRPr="007276EE" w:rsidTr="00D434B3">
        <w:trPr>
          <w:trHeight w:val="340"/>
          <w:jc w:val="center"/>
        </w:trPr>
        <w:tc>
          <w:tcPr>
            <w:tcW w:w="1520" w:type="dxa"/>
            <w:vMerge w:val="restart"/>
            <w:tcBorders>
              <w:top w:val="single" w:sz="4" w:space="0" w:color="auto"/>
              <w:left w:val="single" w:sz="4" w:space="0" w:color="auto"/>
              <w:bottom w:val="single" w:sz="4" w:space="0" w:color="auto"/>
              <w:right w:val="single" w:sz="4" w:space="0" w:color="auto"/>
            </w:tcBorders>
            <w:vAlign w:val="center"/>
          </w:tcPr>
          <w:p w:rsidR="007276EE" w:rsidRPr="007276EE" w:rsidRDefault="007276EE" w:rsidP="007276EE">
            <w:pPr>
              <w:snapToGrid w:val="0"/>
              <w:spacing w:line="280" w:lineRule="exact"/>
              <w:contextualSpacing/>
              <w:jc w:val="center"/>
              <w:rPr>
                <w:rFonts w:eastAsia="黑体"/>
                <w:kern w:val="0"/>
                <w:sz w:val="24"/>
                <w:szCs w:val="24"/>
              </w:rPr>
            </w:pPr>
            <w:r w:rsidRPr="007276EE">
              <w:rPr>
                <w:rFonts w:eastAsia="黑体"/>
                <w:kern w:val="0"/>
                <w:sz w:val="24"/>
                <w:szCs w:val="24"/>
              </w:rPr>
              <w:t>地区</w:t>
            </w:r>
          </w:p>
        </w:tc>
        <w:tc>
          <w:tcPr>
            <w:tcW w:w="3520" w:type="dxa"/>
            <w:gridSpan w:val="2"/>
            <w:tcBorders>
              <w:top w:val="single" w:sz="4" w:space="0" w:color="auto"/>
              <w:left w:val="nil"/>
              <w:bottom w:val="single" w:sz="4" w:space="0" w:color="auto"/>
              <w:right w:val="single" w:sz="4" w:space="0" w:color="auto"/>
            </w:tcBorders>
            <w:vAlign w:val="center"/>
          </w:tcPr>
          <w:p w:rsidR="007276EE" w:rsidRPr="007276EE" w:rsidRDefault="007276EE" w:rsidP="007276EE">
            <w:pPr>
              <w:snapToGrid w:val="0"/>
              <w:spacing w:line="280" w:lineRule="exact"/>
              <w:contextualSpacing/>
              <w:jc w:val="center"/>
              <w:rPr>
                <w:rFonts w:eastAsia="黑体"/>
                <w:kern w:val="0"/>
                <w:sz w:val="24"/>
                <w:szCs w:val="24"/>
              </w:rPr>
            </w:pPr>
            <w:r w:rsidRPr="007276EE">
              <w:rPr>
                <w:rFonts w:eastAsia="黑体"/>
                <w:kern w:val="0"/>
                <w:sz w:val="24"/>
                <w:szCs w:val="24"/>
              </w:rPr>
              <w:t>千人口执业（助理）医师数</w:t>
            </w:r>
          </w:p>
        </w:tc>
        <w:tc>
          <w:tcPr>
            <w:tcW w:w="3520" w:type="dxa"/>
            <w:gridSpan w:val="2"/>
            <w:tcBorders>
              <w:top w:val="single" w:sz="4" w:space="0" w:color="auto"/>
              <w:left w:val="nil"/>
              <w:bottom w:val="single" w:sz="4" w:space="0" w:color="auto"/>
              <w:right w:val="single" w:sz="4" w:space="0" w:color="auto"/>
            </w:tcBorders>
            <w:vAlign w:val="center"/>
          </w:tcPr>
          <w:p w:rsidR="007276EE" w:rsidRPr="007276EE" w:rsidRDefault="007276EE" w:rsidP="007276EE">
            <w:pPr>
              <w:snapToGrid w:val="0"/>
              <w:spacing w:line="280" w:lineRule="exact"/>
              <w:contextualSpacing/>
              <w:jc w:val="center"/>
              <w:rPr>
                <w:rFonts w:eastAsia="黑体"/>
                <w:kern w:val="0"/>
                <w:sz w:val="24"/>
                <w:szCs w:val="24"/>
              </w:rPr>
            </w:pPr>
            <w:r w:rsidRPr="007276EE">
              <w:rPr>
                <w:rFonts w:eastAsia="黑体"/>
                <w:kern w:val="0"/>
                <w:sz w:val="24"/>
                <w:szCs w:val="24"/>
              </w:rPr>
              <w:t>千人口注册护士数</w:t>
            </w:r>
          </w:p>
        </w:tc>
      </w:tr>
      <w:tr w:rsidR="007276EE" w:rsidRPr="007276EE" w:rsidTr="00D434B3">
        <w:trPr>
          <w:trHeight w:val="340"/>
          <w:jc w:val="center"/>
        </w:trPr>
        <w:tc>
          <w:tcPr>
            <w:tcW w:w="1520" w:type="dxa"/>
            <w:vMerge/>
            <w:tcBorders>
              <w:top w:val="single" w:sz="4" w:space="0" w:color="auto"/>
              <w:left w:val="single" w:sz="4" w:space="0" w:color="auto"/>
              <w:bottom w:val="single" w:sz="4" w:space="0" w:color="auto"/>
              <w:right w:val="single" w:sz="4" w:space="0" w:color="auto"/>
            </w:tcBorders>
            <w:vAlign w:val="center"/>
          </w:tcPr>
          <w:p w:rsidR="007276EE" w:rsidRPr="007276EE" w:rsidRDefault="007276EE" w:rsidP="007276EE">
            <w:pPr>
              <w:spacing w:line="280" w:lineRule="exact"/>
              <w:contextualSpacing/>
              <w:jc w:val="left"/>
              <w:rPr>
                <w:rFonts w:eastAsia="黑体"/>
                <w:kern w:val="0"/>
                <w:sz w:val="24"/>
                <w:szCs w:val="24"/>
              </w:rPr>
            </w:pPr>
          </w:p>
        </w:tc>
        <w:tc>
          <w:tcPr>
            <w:tcW w:w="1760" w:type="dxa"/>
            <w:tcBorders>
              <w:top w:val="nil"/>
              <w:left w:val="nil"/>
              <w:bottom w:val="single" w:sz="4" w:space="0" w:color="auto"/>
              <w:right w:val="single" w:sz="4" w:space="0" w:color="auto"/>
            </w:tcBorders>
            <w:vAlign w:val="center"/>
          </w:tcPr>
          <w:p w:rsidR="007276EE" w:rsidRPr="007276EE" w:rsidRDefault="007276EE" w:rsidP="007276EE">
            <w:pPr>
              <w:spacing w:line="280" w:lineRule="exact"/>
              <w:contextualSpacing/>
              <w:jc w:val="center"/>
              <w:rPr>
                <w:kern w:val="0"/>
                <w:sz w:val="24"/>
                <w:szCs w:val="24"/>
              </w:rPr>
            </w:pPr>
            <w:r w:rsidRPr="007276EE">
              <w:rPr>
                <w:kern w:val="0"/>
                <w:sz w:val="24"/>
                <w:szCs w:val="24"/>
              </w:rPr>
              <w:t>2015</w:t>
            </w:r>
            <w:r w:rsidRPr="007276EE">
              <w:rPr>
                <w:kern w:val="0"/>
                <w:sz w:val="24"/>
                <w:szCs w:val="24"/>
              </w:rPr>
              <w:t>年</w:t>
            </w:r>
          </w:p>
        </w:tc>
        <w:tc>
          <w:tcPr>
            <w:tcW w:w="1760" w:type="dxa"/>
            <w:tcBorders>
              <w:top w:val="nil"/>
              <w:left w:val="nil"/>
              <w:bottom w:val="single" w:sz="4" w:space="0" w:color="auto"/>
              <w:right w:val="single" w:sz="4" w:space="0" w:color="auto"/>
            </w:tcBorders>
            <w:vAlign w:val="center"/>
          </w:tcPr>
          <w:p w:rsidR="007276EE" w:rsidRPr="007276EE" w:rsidRDefault="007276EE" w:rsidP="007276EE">
            <w:pPr>
              <w:spacing w:line="280" w:lineRule="exact"/>
              <w:contextualSpacing/>
              <w:jc w:val="center"/>
              <w:rPr>
                <w:kern w:val="0"/>
                <w:sz w:val="24"/>
                <w:szCs w:val="24"/>
              </w:rPr>
            </w:pPr>
            <w:r w:rsidRPr="007276EE">
              <w:rPr>
                <w:kern w:val="0"/>
                <w:sz w:val="24"/>
                <w:szCs w:val="24"/>
              </w:rPr>
              <w:t>2020</w:t>
            </w:r>
            <w:r w:rsidRPr="007276EE">
              <w:rPr>
                <w:kern w:val="0"/>
                <w:sz w:val="24"/>
                <w:szCs w:val="24"/>
              </w:rPr>
              <w:t>年</w:t>
            </w:r>
          </w:p>
        </w:tc>
        <w:tc>
          <w:tcPr>
            <w:tcW w:w="1760" w:type="dxa"/>
            <w:tcBorders>
              <w:top w:val="nil"/>
              <w:left w:val="nil"/>
              <w:bottom w:val="single" w:sz="4" w:space="0" w:color="auto"/>
              <w:right w:val="single" w:sz="4" w:space="0" w:color="auto"/>
            </w:tcBorders>
            <w:vAlign w:val="center"/>
          </w:tcPr>
          <w:p w:rsidR="007276EE" w:rsidRPr="007276EE" w:rsidRDefault="007276EE" w:rsidP="007276EE">
            <w:pPr>
              <w:spacing w:line="280" w:lineRule="exact"/>
              <w:contextualSpacing/>
              <w:jc w:val="center"/>
              <w:rPr>
                <w:kern w:val="0"/>
                <w:sz w:val="24"/>
                <w:szCs w:val="24"/>
              </w:rPr>
            </w:pPr>
            <w:r w:rsidRPr="007276EE">
              <w:rPr>
                <w:kern w:val="0"/>
                <w:sz w:val="24"/>
                <w:szCs w:val="24"/>
              </w:rPr>
              <w:t>2015</w:t>
            </w:r>
            <w:r w:rsidRPr="007276EE">
              <w:rPr>
                <w:kern w:val="0"/>
                <w:sz w:val="24"/>
                <w:szCs w:val="24"/>
              </w:rPr>
              <w:t>年</w:t>
            </w:r>
          </w:p>
        </w:tc>
        <w:tc>
          <w:tcPr>
            <w:tcW w:w="1760" w:type="dxa"/>
            <w:tcBorders>
              <w:top w:val="nil"/>
              <w:left w:val="nil"/>
              <w:bottom w:val="single" w:sz="4" w:space="0" w:color="auto"/>
              <w:right w:val="single" w:sz="4" w:space="0" w:color="auto"/>
            </w:tcBorders>
            <w:vAlign w:val="center"/>
          </w:tcPr>
          <w:p w:rsidR="007276EE" w:rsidRPr="007276EE" w:rsidRDefault="007276EE" w:rsidP="007276EE">
            <w:pPr>
              <w:spacing w:line="280" w:lineRule="exact"/>
              <w:contextualSpacing/>
              <w:jc w:val="center"/>
              <w:rPr>
                <w:kern w:val="0"/>
                <w:sz w:val="24"/>
                <w:szCs w:val="24"/>
              </w:rPr>
            </w:pPr>
            <w:r w:rsidRPr="007276EE">
              <w:rPr>
                <w:kern w:val="0"/>
                <w:sz w:val="24"/>
                <w:szCs w:val="24"/>
              </w:rPr>
              <w:t>2020</w:t>
            </w:r>
            <w:r w:rsidRPr="007276EE">
              <w:rPr>
                <w:kern w:val="0"/>
                <w:sz w:val="24"/>
                <w:szCs w:val="24"/>
              </w:rPr>
              <w:t>年</w:t>
            </w:r>
          </w:p>
        </w:tc>
      </w:tr>
      <w:tr w:rsidR="007276EE" w:rsidRPr="007276EE" w:rsidTr="00D434B3">
        <w:trPr>
          <w:trHeight w:val="340"/>
          <w:jc w:val="center"/>
        </w:trPr>
        <w:tc>
          <w:tcPr>
            <w:tcW w:w="1520" w:type="dxa"/>
            <w:tcBorders>
              <w:top w:val="nil"/>
              <w:left w:val="single" w:sz="4" w:space="0" w:color="auto"/>
              <w:bottom w:val="single" w:sz="4" w:space="0" w:color="auto"/>
              <w:right w:val="single" w:sz="4" w:space="0" w:color="auto"/>
            </w:tcBorders>
            <w:shd w:val="clear" w:color="auto" w:fill="auto"/>
            <w:vAlign w:val="center"/>
          </w:tcPr>
          <w:p w:rsidR="007276EE" w:rsidRPr="007276EE" w:rsidRDefault="007276EE" w:rsidP="007276EE">
            <w:pPr>
              <w:spacing w:line="280" w:lineRule="exact"/>
              <w:contextualSpacing/>
              <w:jc w:val="center"/>
              <w:rPr>
                <w:b/>
                <w:bCs/>
                <w:kern w:val="0"/>
                <w:sz w:val="24"/>
                <w:szCs w:val="24"/>
              </w:rPr>
            </w:pPr>
            <w:r w:rsidRPr="007276EE">
              <w:rPr>
                <w:b/>
                <w:bCs/>
                <w:kern w:val="0"/>
                <w:sz w:val="24"/>
                <w:szCs w:val="24"/>
              </w:rPr>
              <w:t>南阳市</w:t>
            </w:r>
          </w:p>
        </w:tc>
        <w:tc>
          <w:tcPr>
            <w:tcW w:w="1760" w:type="dxa"/>
            <w:tcBorders>
              <w:top w:val="nil"/>
              <w:left w:val="nil"/>
              <w:bottom w:val="single" w:sz="4" w:space="0" w:color="auto"/>
              <w:right w:val="single" w:sz="4" w:space="0" w:color="auto"/>
            </w:tcBorders>
            <w:shd w:val="clear" w:color="000000" w:fill="FFFFFF"/>
            <w:vAlign w:val="center"/>
          </w:tcPr>
          <w:p w:rsidR="007276EE" w:rsidRPr="007276EE" w:rsidRDefault="007276EE" w:rsidP="007276EE">
            <w:pPr>
              <w:spacing w:line="280" w:lineRule="exact"/>
              <w:contextualSpacing/>
              <w:jc w:val="center"/>
              <w:rPr>
                <w:b/>
                <w:bCs/>
                <w:kern w:val="0"/>
                <w:sz w:val="24"/>
                <w:szCs w:val="24"/>
              </w:rPr>
            </w:pPr>
            <w:r w:rsidRPr="007276EE">
              <w:rPr>
                <w:b/>
                <w:bCs/>
                <w:kern w:val="0"/>
                <w:sz w:val="24"/>
                <w:szCs w:val="24"/>
              </w:rPr>
              <w:t>2.06</w:t>
            </w:r>
          </w:p>
        </w:tc>
        <w:tc>
          <w:tcPr>
            <w:tcW w:w="1760" w:type="dxa"/>
            <w:tcBorders>
              <w:top w:val="nil"/>
              <w:left w:val="nil"/>
              <w:bottom w:val="single" w:sz="4" w:space="0" w:color="auto"/>
              <w:right w:val="single" w:sz="4" w:space="0" w:color="auto"/>
            </w:tcBorders>
            <w:vAlign w:val="center"/>
          </w:tcPr>
          <w:p w:rsidR="007276EE" w:rsidRPr="007276EE" w:rsidRDefault="007276EE" w:rsidP="007276EE">
            <w:pPr>
              <w:spacing w:line="280" w:lineRule="exact"/>
              <w:contextualSpacing/>
              <w:jc w:val="center"/>
              <w:rPr>
                <w:b/>
                <w:bCs/>
                <w:kern w:val="0"/>
                <w:sz w:val="24"/>
                <w:szCs w:val="24"/>
              </w:rPr>
            </w:pPr>
            <w:r w:rsidRPr="007276EE">
              <w:rPr>
                <w:b/>
                <w:bCs/>
                <w:kern w:val="0"/>
                <w:sz w:val="24"/>
                <w:szCs w:val="24"/>
              </w:rPr>
              <w:t xml:space="preserve">2.12 </w:t>
            </w:r>
          </w:p>
        </w:tc>
        <w:tc>
          <w:tcPr>
            <w:tcW w:w="1760" w:type="dxa"/>
            <w:tcBorders>
              <w:top w:val="nil"/>
              <w:left w:val="nil"/>
              <w:bottom w:val="single" w:sz="4" w:space="0" w:color="auto"/>
              <w:right w:val="single" w:sz="4" w:space="0" w:color="auto"/>
            </w:tcBorders>
            <w:vAlign w:val="center"/>
          </w:tcPr>
          <w:p w:rsidR="007276EE" w:rsidRPr="007276EE" w:rsidRDefault="007276EE" w:rsidP="007276EE">
            <w:pPr>
              <w:spacing w:line="280" w:lineRule="exact"/>
              <w:contextualSpacing/>
              <w:jc w:val="center"/>
              <w:rPr>
                <w:b/>
                <w:bCs/>
                <w:kern w:val="0"/>
                <w:sz w:val="24"/>
                <w:szCs w:val="24"/>
              </w:rPr>
            </w:pPr>
            <w:r w:rsidRPr="007276EE">
              <w:rPr>
                <w:b/>
                <w:bCs/>
                <w:kern w:val="0"/>
                <w:sz w:val="24"/>
                <w:szCs w:val="24"/>
              </w:rPr>
              <w:t>1.78</w:t>
            </w:r>
          </w:p>
        </w:tc>
        <w:tc>
          <w:tcPr>
            <w:tcW w:w="1760" w:type="dxa"/>
            <w:tcBorders>
              <w:top w:val="nil"/>
              <w:left w:val="nil"/>
              <w:bottom w:val="single" w:sz="4" w:space="0" w:color="auto"/>
              <w:right w:val="single" w:sz="4" w:space="0" w:color="auto"/>
            </w:tcBorders>
            <w:vAlign w:val="center"/>
          </w:tcPr>
          <w:p w:rsidR="007276EE" w:rsidRPr="007276EE" w:rsidRDefault="007276EE" w:rsidP="007276EE">
            <w:pPr>
              <w:spacing w:line="280" w:lineRule="exact"/>
              <w:contextualSpacing/>
              <w:jc w:val="center"/>
              <w:rPr>
                <w:b/>
                <w:bCs/>
                <w:kern w:val="0"/>
                <w:sz w:val="24"/>
                <w:szCs w:val="24"/>
              </w:rPr>
            </w:pPr>
            <w:r w:rsidRPr="007276EE">
              <w:rPr>
                <w:b/>
                <w:bCs/>
                <w:kern w:val="0"/>
                <w:sz w:val="24"/>
                <w:szCs w:val="24"/>
              </w:rPr>
              <w:t xml:space="preserve">2.60 </w:t>
            </w:r>
          </w:p>
        </w:tc>
      </w:tr>
      <w:tr w:rsidR="007276EE" w:rsidRPr="007276EE" w:rsidTr="00D434B3">
        <w:trPr>
          <w:trHeight w:val="340"/>
          <w:jc w:val="center"/>
        </w:trPr>
        <w:tc>
          <w:tcPr>
            <w:tcW w:w="1520" w:type="dxa"/>
            <w:tcBorders>
              <w:top w:val="nil"/>
              <w:left w:val="single" w:sz="4" w:space="0" w:color="auto"/>
              <w:bottom w:val="single" w:sz="4" w:space="0" w:color="auto"/>
              <w:right w:val="single" w:sz="4" w:space="0" w:color="auto"/>
            </w:tcBorders>
            <w:vAlign w:val="center"/>
          </w:tcPr>
          <w:p w:rsidR="007276EE" w:rsidRPr="007276EE" w:rsidRDefault="007276EE" w:rsidP="007276EE">
            <w:pPr>
              <w:spacing w:line="280" w:lineRule="exact"/>
              <w:contextualSpacing/>
              <w:jc w:val="center"/>
              <w:rPr>
                <w:b/>
                <w:bCs/>
                <w:kern w:val="0"/>
                <w:sz w:val="24"/>
                <w:szCs w:val="24"/>
              </w:rPr>
            </w:pPr>
            <w:r w:rsidRPr="007276EE">
              <w:rPr>
                <w:kern w:val="0"/>
                <w:sz w:val="24"/>
                <w:szCs w:val="24"/>
              </w:rPr>
              <w:t>中心城区</w:t>
            </w:r>
          </w:p>
        </w:tc>
        <w:tc>
          <w:tcPr>
            <w:tcW w:w="1760" w:type="dxa"/>
            <w:tcBorders>
              <w:top w:val="nil"/>
              <w:left w:val="nil"/>
              <w:bottom w:val="single" w:sz="4" w:space="0" w:color="auto"/>
              <w:right w:val="single" w:sz="4" w:space="0" w:color="auto"/>
            </w:tcBorders>
            <w:vAlign w:val="center"/>
          </w:tcPr>
          <w:p w:rsidR="007276EE" w:rsidRPr="007276EE" w:rsidRDefault="007276EE" w:rsidP="007276EE">
            <w:pPr>
              <w:spacing w:line="280" w:lineRule="exact"/>
              <w:contextualSpacing/>
              <w:jc w:val="center"/>
              <w:rPr>
                <w:kern w:val="0"/>
                <w:sz w:val="24"/>
                <w:szCs w:val="24"/>
              </w:rPr>
            </w:pPr>
            <w:r w:rsidRPr="007276EE">
              <w:rPr>
                <w:kern w:val="0"/>
                <w:sz w:val="24"/>
                <w:szCs w:val="24"/>
              </w:rPr>
              <w:t>7.06</w:t>
            </w:r>
            <w:r w:rsidRPr="007276EE">
              <w:rPr>
                <w:kern w:val="0"/>
                <w:sz w:val="24"/>
                <w:szCs w:val="24"/>
              </w:rPr>
              <w:t xml:space="preserve">　</w:t>
            </w:r>
          </w:p>
        </w:tc>
        <w:tc>
          <w:tcPr>
            <w:tcW w:w="1760" w:type="dxa"/>
            <w:tcBorders>
              <w:top w:val="nil"/>
              <w:left w:val="nil"/>
              <w:bottom w:val="single" w:sz="4" w:space="0" w:color="auto"/>
              <w:right w:val="single" w:sz="4" w:space="0" w:color="auto"/>
            </w:tcBorders>
            <w:vAlign w:val="center"/>
          </w:tcPr>
          <w:p w:rsidR="007276EE" w:rsidRPr="007276EE" w:rsidRDefault="007276EE" w:rsidP="007276EE">
            <w:pPr>
              <w:spacing w:line="280" w:lineRule="exact"/>
              <w:contextualSpacing/>
              <w:jc w:val="center"/>
              <w:rPr>
                <w:kern w:val="0"/>
                <w:sz w:val="24"/>
                <w:szCs w:val="24"/>
              </w:rPr>
            </w:pPr>
            <w:r w:rsidRPr="007276EE">
              <w:rPr>
                <w:kern w:val="0"/>
                <w:sz w:val="24"/>
                <w:szCs w:val="24"/>
              </w:rPr>
              <w:t>5.59</w:t>
            </w:r>
          </w:p>
        </w:tc>
        <w:tc>
          <w:tcPr>
            <w:tcW w:w="1760" w:type="dxa"/>
            <w:tcBorders>
              <w:top w:val="nil"/>
              <w:left w:val="nil"/>
              <w:bottom w:val="single" w:sz="4" w:space="0" w:color="auto"/>
              <w:right w:val="single" w:sz="4" w:space="0" w:color="auto"/>
            </w:tcBorders>
            <w:vAlign w:val="center"/>
          </w:tcPr>
          <w:p w:rsidR="007276EE" w:rsidRPr="007276EE" w:rsidRDefault="007276EE" w:rsidP="007276EE">
            <w:pPr>
              <w:spacing w:line="280" w:lineRule="exact"/>
              <w:contextualSpacing/>
              <w:jc w:val="center"/>
              <w:rPr>
                <w:kern w:val="0"/>
                <w:sz w:val="24"/>
                <w:szCs w:val="24"/>
              </w:rPr>
            </w:pPr>
            <w:r w:rsidRPr="007276EE">
              <w:rPr>
                <w:kern w:val="0"/>
                <w:sz w:val="24"/>
                <w:szCs w:val="24"/>
              </w:rPr>
              <w:t>5.28</w:t>
            </w:r>
            <w:r w:rsidRPr="007276EE">
              <w:rPr>
                <w:kern w:val="0"/>
                <w:sz w:val="24"/>
                <w:szCs w:val="24"/>
              </w:rPr>
              <w:t xml:space="preserve">　</w:t>
            </w:r>
          </w:p>
        </w:tc>
        <w:tc>
          <w:tcPr>
            <w:tcW w:w="1760" w:type="dxa"/>
            <w:tcBorders>
              <w:top w:val="nil"/>
              <w:left w:val="nil"/>
              <w:bottom w:val="single" w:sz="4" w:space="0" w:color="auto"/>
              <w:right w:val="single" w:sz="4" w:space="0" w:color="auto"/>
            </w:tcBorders>
            <w:vAlign w:val="center"/>
          </w:tcPr>
          <w:p w:rsidR="007276EE" w:rsidRPr="007276EE" w:rsidRDefault="007276EE" w:rsidP="007276EE">
            <w:pPr>
              <w:spacing w:line="280" w:lineRule="exact"/>
              <w:contextualSpacing/>
              <w:jc w:val="center"/>
              <w:rPr>
                <w:kern w:val="0"/>
                <w:sz w:val="24"/>
                <w:szCs w:val="24"/>
              </w:rPr>
            </w:pPr>
            <w:r w:rsidRPr="007276EE">
              <w:rPr>
                <w:kern w:val="0"/>
                <w:sz w:val="24"/>
                <w:szCs w:val="24"/>
              </w:rPr>
              <w:t>5.39</w:t>
            </w:r>
            <w:r w:rsidRPr="007276EE">
              <w:rPr>
                <w:kern w:val="0"/>
                <w:sz w:val="24"/>
                <w:szCs w:val="24"/>
              </w:rPr>
              <w:t xml:space="preserve">　</w:t>
            </w:r>
          </w:p>
        </w:tc>
      </w:tr>
      <w:tr w:rsidR="007276EE" w:rsidRPr="007276EE" w:rsidTr="00D434B3">
        <w:trPr>
          <w:trHeight w:val="340"/>
          <w:jc w:val="center"/>
        </w:trPr>
        <w:tc>
          <w:tcPr>
            <w:tcW w:w="1520" w:type="dxa"/>
            <w:tcBorders>
              <w:top w:val="nil"/>
              <w:left w:val="single" w:sz="4" w:space="0" w:color="auto"/>
              <w:bottom w:val="single" w:sz="4" w:space="0" w:color="auto"/>
              <w:right w:val="single" w:sz="4" w:space="0" w:color="auto"/>
            </w:tcBorders>
            <w:vAlign w:val="center"/>
          </w:tcPr>
          <w:p w:rsidR="007276EE" w:rsidRPr="007276EE" w:rsidRDefault="007276EE" w:rsidP="007276EE">
            <w:pPr>
              <w:spacing w:line="280" w:lineRule="exact"/>
              <w:contextualSpacing/>
              <w:jc w:val="center"/>
              <w:rPr>
                <w:kern w:val="0"/>
                <w:sz w:val="24"/>
                <w:szCs w:val="24"/>
              </w:rPr>
            </w:pPr>
            <w:r w:rsidRPr="007276EE">
              <w:rPr>
                <w:kern w:val="0"/>
                <w:sz w:val="24"/>
                <w:szCs w:val="24"/>
              </w:rPr>
              <w:t>唐河县</w:t>
            </w:r>
          </w:p>
        </w:tc>
        <w:tc>
          <w:tcPr>
            <w:tcW w:w="1760" w:type="dxa"/>
            <w:tcBorders>
              <w:top w:val="nil"/>
              <w:left w:val="nil"/>
              <w:bottom w:val="single" w:sz="4" w:space="0" w:color="auto"/>
              <w:right w:val="single" w:sz="4" w:space="0" w:color="auto"/>
            </w:tcBorders>
            <w:vAlign w:val="center"/>
          </w:tcPr>
          <w:p w:rsidR="007276EE" w:rsidRPr="007276EE" w:rsidRDefault="007276EE" w:rsidP="007276EE">
            <w:pPr>
              <w:spacing w:line="280" w:lineRule="exact"/>
              <w:contextualSpacing/>
              <w:jc w:val="center"/>
              <w:rPr>
                <w:kern w:val="0"/>
                <w:sz w:val="24"/>
                <w:szCs w:val="24"/>
              </w:rPr>
            </w:pPr>
            <w:r w:rsidRPr="007276EE">
              <w:rPr>
                <w:kern w:val="0"/>
                <w:sz w:val="24"/>
                <w:szCs w:val="24"/>
              </w:rPr>
              <w:t>1.25</w:t>
            </w:r>
          </w:p>
        </w:tc>
        <w:tc>
          <w:tcPr>
            <w:tcW w:w="1760" w:type="dxa"/>
            <w:tcBorders>
              <w:top w:val="nil"/>
              <w:left w:val="nil"/>
              <w:bottom w:val="single" w:sz="4" w:space="0" w:color="auto"/>
              <w:right w:val="single" w:sz="4" w:space="0" w:color="auto"/>
            </w:tcBorders>
            <w:vAlign w:val="center"/>
          </w:tcPr>
          <w:p w:rsidR="007276EE" w:rsidRPr="007276EE" w:rsidRDefault="007276EE" w:rsidP="007276EE">
            <w:pPr>
              <w:spacing w:line="280" w:lineRule="exact"/>
              <w:contextualSpacing/>
              <w:jc w:val="center"/>
              <w:rPr>
                <w:kern w:val="0"/>
                <w:sz w:val="24"/>
                <w:szCs w:val="24"/>
              </w:rPr>
            </w:pPr>
            <w:r w:rsidRPr="007276EE">
              <w:rPr>
                <w:kern w:val="0"/>
                <w:sz w:val="24"/>
                <w:szCs w:val="24"/>
              </w:rPr>
              <w:t>1.45</w:t>
            </w:r>
          </w:p>
        </w:tc>
        <w:tc>
          <w:tcPr>
            <w:tcW w:w="1760" w:type="dxa"/>
            <w:tcBorders>
              <w:top w:val="nil"/>
              <w:left w:val="nil"/>
              <w:bottom w:val="single" w:sz="4" w:space="0" w:color="auto"/>
              <w:right w:val="single" w:sz="4" w:space="0" w:color="auto"/>
            </w:tcBorders>
            <w:vAlign w:val="center"/>
          </w:tcPr>
          <w:p w:rsidR="007276EE" w:rsidRPr="007276EE" w:rsidRDefault="007276EE" w:rsidP="007276EE">
            <w:pPr>
              <w:spacing w:line="280" w:lineRule="exact"/>
              <w:contextualSpacing/>
              <w:jc w:val="center"/>
              <w:rPr>
                <w:kern w:val="0"/>
                <w:sz w:val="24"/>
                <w:szCs w:val="24"/>
              </w:rPr>
            </w:pPr>
            <w:r w:rsidRPr="007276EE">
              <w:rPr>
                <w:kern w:val="0"/>
                <w:sz w:val="24"/>
                <w:szCs w:val="24"/>
              </w:rPr>
              <w:t>0.95</w:t>
            </w:r>
          </w:p>
        </w:tc>
        <w:tc>
          <w:tcPr>
            <w:tcW w:w="1760" w:type="dxa"/>
            <w:tcBorders>
              <w:top w:val="nil"/>
              <w:left w:val="nil"/>
              <w:bottom w:val="single" w:sz="4" w:space="0" w:color="auto"/>
              <w:right w:val="single" w:sz="4" w:space="0" w:color="auto"/>
            </w:tcBorders>
            <w:vAlign w:val="center"/>
          </w:tcPr>
          <w:p w:rsidR="007276EE" w:rsidRPr="007276EE" w:rsidRDefault="007276EE" w:rsidP="007276EE">
            <w:pPr>
              <w:spacing w:line="280" w:lineRule="exact"/>
              <w:contextualSpacing/>
              <w:jc w:val="center"/>
              <w:rPr>
                <w:kern w:val="0"/>
                <w:sz w:val="24"/>
                <w:szCs w:val="24"/>
              </w:rPr>
            </w:pPr>
            <w:r w:rsidRPr="007276EE">
              <w:rPr>
                <w:kern w:val="0"/>
                <w:sz w:val="24"/>
                <w:szCs w:val="24"/>
              </w:rPr>
              <w:t xml:space="preserve">1.27 </w:t>
            </w:r>
          </w:p>
        </w:tc>
      </w:tr>
      <w:tr w:rsidR="007276EE" w:rsidRPr="007276EE" w:rsidTr="00D434B3">
        <w:trPr>
          <w:trHeight w:val="340"/>
          <w:jc w:val="center"/>
        </w:trPr>
        <w:tc>
          <w:tcPr>
            <w:tcW w:w="1520" w:type="dxa"/>
            <w:tcBorders>
              <w:top w:val="nil"/>
              <w:left w:val="single" w:sz="4" w:space="0" w:color="auto"/>
              <w:bottom w:val="single" w:sz="4" w:space="0" w:color="auto"/>
              <w:right w:val="single" w:sz="4" w:space="0" w:color="auto"/>
            </w:tcBorders>
            <w:vAlign w:val="center"/>
          </w:tcPr>
          <w:p w:rsidR="007276EE" w:rsidRPr="007276EE" w:rsidRDefault="007276EE" w:rsidP="007276EE">
            <w:pPr>
              <w:spacing w:line="280" w:lineRule="exact"/>
              <w:contextualSpacing/>
              <w:jc w:val="center"/>
              <w:rPr>
                <w:kern w:val="0"/>
                <w:sz w:val="24"/>
                <w:szCs w:val="24"/>
              </w:rPr>
            </w:pPr>
            <w:r w:rsidRPr="007276EE">
              <w:rPr>
                <w:kern w:val="0"/>
                <w:sz w:val="24"/>
                <w:szCs w:val="24"/>
              </w:rPr>
              <w:t>方城县</w:t>
            </w:r>
          </w:p>
        </w:tc>
        <w:tc>
          <w:tcPr>
            <w:tcW w:w="1760" w:type="dxa"/>
            <w:tcBorders>
              <w:top w:val="nil"/>
              <w:left w:val="nil"/>
              <w:bottom w:val="single" w:sz="4" w:space="0" w:color="auto"/>
              <w:right w:val="single" w:sz="4" w:space="0" w:color="auto"/>
            </w:tcBorders>
            <w:vAlign w:val="center"/>
          </w:tcPr>
          <w:p w:rsidR="007276EE" w:rsidRPr="007276EE" w:rsidRDefault="007276EE" w:rsidP="007276EE">
            <w:pPr>
              <w:spacing w:line="280" w:lineRule="exact"/>
              <w:contextualSpacing/>
              <w:jc w:val="center"/>
              <w:rPr>
                <w:kern w:val="0"/>
                <w:sz w:val="24"/>
                <w:szCs w:val="24"/>
              </w:rPr>
            </w:pPr>
            <w:r w:rsidRPr="007276EE">
              <w:rPr>
                <w:kern w:val="0"/>
                <w:sz w:val="24"/>
                <w:szCs w:val="24"/>
              </w:rPr>
              <w:t>1.47</w:t>
            </w:r>
          </w:p>
        </w:tc>
        <w:tc>
          <w:tcPr>
            <w:tcW w:w="1760" w:type="dxa"/>
            <w:tcBorders>
              <w:top w:val="nil"/>
              <w:left w:val="nil"/>
              <w:bottom w:val="single" w:sz="4" w:space="0" w:color="auto"/>
              <w:right w:val="single" w:sz="4" w:space="0" w:color="auto"/>
            </w:tcBorders>
            <w:vAlign w:val="center"/>
          </w:tcPr>
          <w:p w:rsidR="007276EE" w:rsidRPr="007276EE" w:rsidRDefault="007276EE" w:rsidP="007276EE">
            <w:pPr>
              <w:spacing w:line="280" w:lineRule="exact"/>
              <w:contextualSpacing/>
              <w:jc w:val="center"/>
              <w:rPr>
                <w:kern w:val="0"/>
                <w:sz w:val="24"/>
                <w:szCs w:val="24"/>
              </w:rPr>
            </w:pPr>
            <w:r w:rsidRPr="007276EE">
              <w:rPr>
                <w:kern w:val="0"/>
                <w:sz w:val="24"/>
                <w:szCs w:val="24"/>
              </w:rPr>
              <w:t xml:space="preserve">1.59 </w:t>
            </w:r>
          </w:p>
        </w:tc>
        <w:tc>
          <w:tcPr>
            <w:tcW w:w="1760" w:type="dxa"/>
            <w:tcBorders>
              <w:top w:val="nil"/>
              <w:left w:val="nil"/>
              <w:bottom w:val="single" w:sz="4" w:space="0" w:color="auto"/>
              <w:right w:val="single" w:sz="4" w:space="0" w:color="auto"/>
            </w:tcBorders>
            <w:vAlign w:val="center"/>
          </w:tcPr>
          <w:p w:rsidR="007276EE" w:rsidRPr="007276EE" w:rsidRDefault="007276EE" w:rsidP="007276EE">
            <w:pPr>
              <w:spacing w:line="280" w:lineRule="exact"/>
              <w:contextualSpacing/>
              <w:jc w:val="center"/>
              <w:rPr>
                <w:kern w:val="0"/>
                <w:sz w:val="24"/>
                <w:szCs w:val="24"/>
              </w:rPr>
            </w:pPr>
            <w:r w:rsidRPr="007276EE">
              <w:rPr>
                <w:kern w:val="0"/>
                <w:sz w:val="24"/>
                <w:szCs w:val="24"/>
              </w:rPr>
              <w:t>1.02</w:t>
            </w:r>
          </w:p>
        </w:tc>
        <w:tc>
          <w:tcPr>
            <w:tcW w:w="1760" w:type="dxa"/>
            <w:tcBorders>
              <w:top w:val="nil"/>
              <w:left w:val="nil"/>
              <w:bottom w:val="single" w:sz="4" w:space="0" w:color="auto"/>
              <w:right w:val="single" w:sz="4" w:space="0" w:color="auto"/>
            </w:tcBorders>
            <w:vAlign w:val="center"/>
          </w:tcPr>
          <w:p w:rsidR="007276EE" w:rsidRPr="007276EE" w:rsidRDefault="007276EE" w:rsidP="007276EE">
            <w:pPr>
              <w:spacing w:line="280" w:lineRule="exact"/>
              <w:contextualSpacing/>
              <w:jc w:val="center"/>
              <w:rPr>
                <w:kern w:val="0"/>
                <w:sz w:val="24"/>
                <w:szCs w:val="24"/>
              </w:rPr>
            </w:pPr>
            <w:r w:rsidRPr="007276EE">
              <w:rPr>
                <w:kern w:val="0"/>
                <w:sz w:val="24"/>
                <w:szCs w:val="24"/>
              </w:rPr>
              <w:t xml:space="preserve">1.37 </w:t>
            </w:r>
          </w:p>
        </w:tc>
      </w:tr>
      <w:tr w:rsidR="007276EE" w:rsidRPr="007276EE" w:rsidTr="00D434B3">
        <w:trPr>
          <w:trHeight w:val="340"/>
          <w:jc w:val="center"/>
        </w:trPr>
        <w:tc>
          <w:tcPr>
            <w:tcW w:w="1520" w:type="dxa"/>
            <w:tcBorders>
              <w:top w:val="nil"/>
              <w:left w:val="single" w:sz="4" w:space="0" w:color="auto"/>
              <w:bottom w:val="single" w:sz="4" w:space="0" w:color="auto"/>
              <w:right w:val="single" w:sz="4" w:space="0" w:color="auto"/>
            </w:tcBorders>
            <w:vAlign w:val="center"/>
          </w:tcPr>
          <w:p w:rsidR="007276EE" w:rsidRPr="007276EE" w:rsidRDefault="007276EE" w:rsidP="007276EE">
            <w:pPr>
              <w:spacing w:line="280" w:lineRule="exact"/>
              <w:contextualSpacing/>
              <w:jc w:val="center"/>
              <w:rPr>
                <w:kern w:val="0"/>
                <w:sz w:val="24"/>
                <w:szCs w:val="24"/>
              </w:rPr>
            </w:pPr>
            <w:r w:rsidRPr="007276EE">
              <w:rPr>
                <w:kern w:val="0"/>
                <w:sz w:val="24"/>
                <w:szCs w:val="24"/>
              </w:rPr>
              <w:t>镇平县</w:t>
            </w:r>
          </w:p>
        </w:tc>
        <w:tc>
          <w:tcPr>
            <w:tcW w:w="1760" w:type="dxa"/>
            <w:tcBorders>
              <w:top w:val="nil"/>
              <w:left w:val="nil"/>
              <w:bottom w:val="single" w:sz="4" w:space="0" w:color="auto"/>
              <w:right w:val="single" w:sz="4" w:space="0" w:color="auto"/>
            </w:tcBorders>
            <w:vAlign w:val="center"/>
          </w:tcPr>
          <w:p w:rsidR="007276EE" w:rsidRPr="007276EE" w:rsidRDefault="007276EE" w:rsidP="007276EE">
            <w:pPr>
              <w:spacing w:line="280" w:lineRule="exact"/>
              <w:contextualSpacing/>
              <w:jc w:val="center"/>
              <w:rPr>
                <w:kern w:val="0"/>
                <w:sz w:val="24"/>
                <w:szCs w:val="24"/>
              </w:rPr>
            </w:pPr>
            <w:r w:rsidRPr="007276EE">
              <w:rPr>
                <w:kern w:val="0"/>
                <w:sz w:val="24"/>
                <w:szCs w:val="24"/>
              </w:rPr>
              <w:t>1.30</w:t>
            </w:r>
          </w:p>
        </w:tc>
        <w:tc>
          <w:tcPr>
            <w:tcW w:w="1760" w:type="dxa"/>
            <w:tcBorders>
              <w:top w:val="nil"/>
              <w:left w:val="nil"/>
              <w:bottom w:val="single" w:sz="4" w:space="0" w:color="auto"/>
              <w:right w:val="single" w:sz="4" w:space="0" w:color="auto"/>
            </w:tcBorders>
            <w:vAlign w:val="center"/>
          </w:tcPr>
          <w:p w:rsidR="007276EE" w:rsidRPr="007276EE" w:rsidRDefault="007276EE" w:rsidP="007276EE">
            <w:pPr>
              <w:spacing w:line="280" w:lineRule="exact"/>
              <w:contextualSpacing/>
              <w:jc w:val="center"/>
              <w:rPr>
                <w:kern w:val="0"/>
                <w:sz w:val="24"/>
                <w:szCs w:val="24"/>
              </w:rPr>
            </w:pPr>
            <w:r w:rsidRPr="007276EE">
              <w:rPr>
                <w:kern w:val="0"/>
                <w:sz w:val="24"/>
                <w:szCs w:val="24"/>
              </w:rPr>
              <w:t>1.61</w:t>
            </w:r>
          </w:p>
        </w:tc>
        <w:tc>
          <w:tcPr>
            <w:tcW w:w="1760" w:type="dxa"/>
            <w:tcBorders>
              <w:top w:val="nil"/>
              <w:left w:val="nil"/>
              <w:bottom w:val="single" w:sz="4" w:space="0" w:color="auto"/>
              <w:right w:val="single" w:sz="4" w:space="0" w:color="auto"/>
            </w:tcBorders>
            <w:vAlign w:val="center"/>
          </w:tcPr>
          <w:p w:rsidR="007276EE" w:rsidRPr="007276EE" w:rsidRDefault="007276EE" w:rsidP="007276EE">
            <w:pPr>
              <w:spacing w:line="280" w:lineRule="exact"/>
              <w:contextualSpacing/>
              <w:jc w:val="center"/>
              <w:rPr>
                <w:kern w:val="0"/>
                <w:sz w:val="24"/>
                <w:szCs w:val="24"/>
              </w:rPr>
            </w:pPr>
            <w:r w:rsidRPr="007276EE">
              <w:rPr>
                <w:kern w:val="0"/>
                <w:sz w:val="24"/>
                <w:szCs w:val="24"/>
              </w:rPr>
              <w:t>0.94</w:t>
            </w:r>
          </w:p>
        </w:tc>
        <w:tc>
          <w:tcPr>
            <w:tcW w:w="1760" w:type="dxa"/>
            <w:tcBorders>
              <w:top w:val="nil"/>
              <w:left w:val="nil"/>
              <w:bottom w:val="single" w:sz="4" w:space="0" w:color="auto"/>
              <w:right w:val="single" w:sz="4" w:space="0" w:color="auto"/>
            </w:tcBorders>
            <w:vAlign w:val="center"/>
          </w:tcPr>
          <w:p w:rsidR="007276EE" w:rsidRPr="007276EE" w:rsidRDefault="007276EE" w:rsidP="007276EE">
            <w:pPr>
              <w:spacing w:line="280" w:lineRule="exact"/>
              <w:contextualSpacing/>
              <w:jc w:val="center"/>
              <w:rPr>
                <w:kern w:val="0"/>
                <w:sz w:val="24"/>
                <w:szCs w:val="24"/>
              </w:rPr>
            </w:pPr>
            <w:r w:rsidRPr="007276EE">
              <w:rPr>
                <w:kern w:val="0"/>
                <w:sz w:val="24"/>
                <w:szCs w:val="24"/>
              </w:rPr>
              <w:t xml:space="preserve">1.15 </w:t>
            </w:r>
          </w:p>
        </w:tc>
      </w:tr>
      <w:tr w:rsidR="007276EE" w:rsidRPr="007276EE" w:rsidTr="00D434B3">
        <w:trPr>
          <w:trHeight w:val="340"/>
          <w:jc w:val="center"/>
        </w:trPr>
        <w:tc>
          <w:tcPr>
            <w:tcW w:w="1520" w:type="dxa"/>
            <w:tcBorders>
              <w:top w:val="nil"/>
              <w:left w:val="single" w:sz="4" w:space="0" w:color="auto"/>
              <w:bottom w:val="single" w:sz="4" w:space="0" w:color="auto"/>
              <w:right w:val="single" w:sz="4" w:space="0" w:color="auto"/>
            </w:tcBorders>
            <w:vAlign w:val="center"/>
          </w:tcPr>
          <w:p w:rsidR="007276EE" w:rsidRPr="007276EE" w:rsidRDefault="007276EE" w:rsidP="007276EE">
            <w:pPr>
              <w:spacing w:line="280" w:lineRule="exact"/>
              <w:contextualSpacing/>
              <w:jc w:val="center"/>
              <w:rPr>
                <w:kern w:val="0"/>
                <w:sz w:val="24"/>
                <w:szCs w:val="24"/>
              </w:rPr>
            </w:pPr>
            <w:r w:rsidRPr="007276EE">
              <w:rPr>
                <w:kern w:val="0"/>
                <w:sz w:val="24"/>
                <w:szCs w:val="24"/>
              </w:rPr>
              <w:t>新野县</w:t>
            </w:r>
          </w:p>
        </w:tc>
        <w:tc>
          <w:tcPr>
            <w:tcW w:w="1760" w:type="dxa"/>
            <w:tcBorders>
              <w:top w:val="nil"/>
              <w:left w:val="nil"/>
              <w:bottom w:val="single" w:sz="4" w:space="0" w:color="auto"/>
              <w:right w:val="single" w:sz="4" w:space="0" w:color="auto"/>
            </w:tcBorders>
            <w:vAlign w:val="center"/>
          </w:tcPr>
          <w:p w:rsidR="007276EE" w:rsidRPr="007276EE" w:rsidRDefault="007276EE" w:rsidP="007276EE">
            <w:pPr>
              <w:spacing w:line="280" w:lineRule="exact"/>
              <w:contextualSpacing/>
              <w:jc w:val="center"/>
              <w:rPr>
                <w:kern w:val="0"/>
                <w:sz w:val="24"/>
                <w:szCs w:val="24"/>
              </w:rPr>
            </w:pPr>
            <w:r w:rsidRPr="007276EE">
              <w:rPr>
                <w:kern w:val="0"/>
                <w:sz w:val="24"/>
                <w:szCs w:val="24"/>
              </w:rPr>
              <w:t>0.95</w:t>
            </w:r>
          </w:p>
        </w:tc>
        <w:tc>
          <w:tcPr>
            <w:tcW w:w="1760" w:type="dxa"/>
            <w:tcBorders>
              <w:top w:val="nil"/>
              <w:left w:val="nil"/>
              <w:bottom w:val="single" w:sz="4" w:space="0" w:color="auto"/>
              <w:right w:val="single" w:sz="4" w:space="0" w:color="auto"/>
            </w:tcBorders>
            <w:vAlign w:val="center"/>
          </w:tcPr>
          <w:p w:rsidR="007276EE" w:rsidRPr="007276EE" w:rsidRDefault="007276EE" w:rsidP="007276EE">
            <w:pPr>
              <w:spacing w:line="280" w:lineRule="exact"/>
              <w:contextualSpacing/>
              <w:jc w:val="center"/>
              <w:rPr>
                <w:kern w:val="0"/>
                <w:sz w:val="24"/>
                <w:szCs w:val="24"/>
              </w:rPr>
            </w:pPr>
            <w:r w:rsidRPr="007276EE">
              <w:rPr>
                <w:kern w:val="0"/>
                <w:sz w:val="24"/>
                <w:szCs w:val="24"/>
              </w:rPr>
              <w:t xml:space="preserve">1.28 </w:t>
            </w:r>
          </w:p>
        </w:tc>
        <w:tc>
          <w:tcPr>
            <w:tcW w:w="1760" w:type="dxa"/>
            <w:tcBorders>
              <w:top w:val="nil"/>
              <w:left w:val="nil"/>
              <w:bottom w:val="single" w:sz="4" w:space="0" w:color="auto"/>
              <w:right w:val="single" w:sz="4" w:space="0" w:color="auto"/>
            </w:tcBorders>
            <w:vAlign w:val="center"/>
          </w:tcPr>
          <w:p w:rsidR="007276EE" w:rsidRPr="007276EE" w:rsidRDefault="007276EE" w:rsidP="007276EE">
            <w:pPr>
              <w:spacing w:line="280" w:lineRule="exact"/>
              <w:contextualSpacing/>
              <w:jc w:val="center"/>
              <w:rPr>
                <w:kern w:val="0"/>
                <w:sz w:val="24"/>
                <w:szCs w:val="24"/>
              </w:rPr>
            </w:pPr>
            <w:r w:rsidRPr="007276EE">
              <w:rPr>
                <w:kern w:val="0"/>
                <w:sz w:val="24"/>
                <w:szCs w:val="24"/>
              </w:rPr>
              <w:t>0.95</w:t>
            </w:r>
          </w:p>
        </w:tc>
        <w:tc>
          <w:tcPr>
            <w:tcW w:w="1760" w:type="dxa"/>
            <w:tcBorders>
              <w:top w:val="nil"/>
              <w:left w:val="nil"/>
              <w:bottom w:val="single" w:sz="4" w:space="0" w:color="auto"/>
              <w:right w:val="single" w:sz="4" w:space="0" w:color="auto"/>
            </w:tcBorders>
            <w:vAlign w:val="center"/>
          </w:tcPr>
          <w:p w:rsidR="007276EE" w:rsidRPr="007276EE" w:rsidRDefault="007276EE" w:rsidP="007276EE">
            <w:pPr>
              <w:spacing w:line="280" w:lineRule="exact"/>
              <w:contextualSpacing/>
              <w:jc w:val="center"/>
              <w:rPr>
                <w:kern w:val="0"/>
                <w:sz w:val="24"/>
                <w:szCs w:val="24"/>
              </w:rPr>
            </w:pPr>
            <w:r w:rsidRPr="007276EE">
              <w:rPr>
                <w:kern w:val="0"/>
                <w:sz w:val="24"/>
                <w:szCs w:val="24"/>
              </w:rPr>
              <w:t xml:space="preserve">1.27 </w:t>
            </w:r>
          </w:p>
        </w:tc>
      </w:tr>
      <w:tr w:rsidR="007276EE" w:rsidRPr="007276EE" w:rsidTr="00D434B3">
        <w:trPr>
          <w:trHeight w:val="340"/>
          <w:jc w:val="center"/>
        </w:trPr>
        <w:tc>
          <w:tcPr>
            <w:tcW w:w="1520" w:type="dxa"/>
            <w:tcBorders>
              <w:top w:val="nil"/>
              <w:left w:val="single" w:sz="4" w:space="0" w:color="auto"/>
              <w:bottom w:val="single" w:sz="4" w:space="0" w:color="auto"/>
              <w:right w:val="single" w:sz="4" w:space="0" w:color="auto"/>
            </w:tcBorders>
            <w:vAlign w:val="center"/>
          </w:tcPr>
          <w:p w:rsidR="007276EE" w:rsidRPr="007276EE" w:rsidRDefault="007276EE" w:rsidP="007276EE">
            <w:pPr>
              <w:spacing w:line="280" w:lineRule="exact"/>
              <w:contextualSpacing/>
              <w:jc w:val="center"/>
              <w:rPr>
                <w:kern w:val="0"/>
                <w:sz w:val="24"/>
                <w:szCs w:val="24"/>
              </w:rPr>
            </w:pPr>
            <w:r w:rsidRPr="007276EE">
              <w:rPr>
                <w:kern w:val="0"/>
                <w:sz w:val="24"/>
                <w:szCs w:val="24"/>
              </w:rPr>
              <w:t>南召县</w:t>
            </w:r>
          </w:p>
        </w:tc>
        <w:tc>
          <w:tcPr>
            <w:tcW w:w="1760" w:type="dxa"/>
            <w:tcBorders>
              <w:top w:val="nil"/>
              <w:left w:val="nil"/>
              <w:bottom w:val="single" w:sz="4" w:space="0" w:color="auto"/>
              <w:right w:val="single" w:sz="4" w:space="0" w:color="auto"/>
            </w:tcBorders>
            <w:vAlign w:val="center"/>
          </w:tcPr>
          <w:p w:rsidR="007276EE" w:rsidRPr="007276EE" w:rsidRDefault="007276EE" w:rsidP="007276EE">
            <w:pPr>
              <w:spacing w:line="280" w:lineRule="exact"/>
              <w:contextualSpacing/>
              <w:jc w:val="center"/>
              <w:rPr>
                <w:kern w:val="0"/>
                <w:sz w:val="24"/>
                <w:szCs w:val="24"/>
              </w:rPr>
            </w:pPr>
            <w:r w:rsidRPr="007276EE">
              <w:rPr>
                <w:kern w:val="0"/>
                <w:sz w:val="24"/>
                <w:szCs w:val="24"/>
              </w:rPr>
              <w:t>1.94</w:t>
            </w:r>
          </w:p>
        </w:tc>
        <w:tc>
          <w:tcPr>
            <w:tcW w:w="1760" w:type="dxa"/>
            <w:tcBorders>
              <w:top w:val="nil"/>
              <w:left w:val="nil"/>
              <w:bottom w:val="single" w:sz="4" w:space="0" w:color="auto"/>
              <w:right w:val="single" w:sz="4" w:space="0" w:color="auto"/>
            </w:tcBorders>
            <w:vAlign w:val="center"/>
          </w:tcPr>
          <w:p w:rsidR="007276EE" w:rsidRPr="007276EE" w:rsidRDefault="007276EE" w:rsidP="007276EE">
            <w:pPr>
              <w:spacing w:line="280" w:lineRule="exact"/>
              <w:contextualSpacing/>
              <w:jc w:val="center"/>
              <w:rPr>
                <w:kern w:val="0"/>
                <w:sz w:val="24"/>
                <w:szCs w:val="24"/>
              </w:rPr>
            </w:pPr>
            <w:r w:rsidRPr="007276EE">
              <w:rPr>
                <w:kern w:val="0"/>
                <w:sz w:val="24"/>
                <w:szCs w:val="24"/>
              </w:rPr>
              <w:t>2.23</w:t>
            </w:r>
          </w:p>
        </w:tc>
        <w:tc>
          <w:tcPr>
            <w:tcW w:w="1760" w:type="dxa"/>
            <w:tcBorders>
              <w:top w:val="nil"/>
              <w:left w:val="nil"/>
              <w:bottom w:val="single" w:sz="4" w:space="0" w:color="auto"/>
              <w:right w:val="single" w:sz="4" w:space="0" w:color="auto"/>
            </w:tcBorders>
            <w:vAlign w:val="center"/>
          </w:tcPr>
          <w:p w:rsidR="007276EE" w:rsidRPr="007276EE" w:rsidRDefault="007276EE" w:rsidP="007276EE">
            <w:pPr>
              <w:spacing w:line="280" w:lineRule="exact"/>
              <w:contextualSpacing/>
              <w:jc w:val="center"/>
              <w:rPr>
                <w:kern w:val="0"/>
                <w:sz w:val="24"/>
                <w:szCs w:val="24"/>
              </w:rPr>
            </w:pPr>
            <w:r w:rsidRPr="007276EE">
              <w:rPr>
                <w:kern w:val="0"/>
                <w:sz w:val="24"/>
                <w:szCs w:val="24"/>
              </w:rPr>
              <w:t>1.43</w:t>
            </w:r>
          </w:p>
        </w:tc>
        <w:tc>
          <w:tcPr>
            <w:tcW w:w="1760" w:type="dxa"/>
            <w:tcBorders>
              <w:top w:val="nil"/>
              <w:left w:val="nil"/>
              <w:bottom w:val="single" w:sz="4" w:space="0" w:color="auto"/>
              <w:right w:val="single" w:sz="4" w:space="0" w:color="auto"/>
            </w:tcBorders>
            <w:vAlign w:val="center"/>
          </w:tcPr>
          <w:p w:rsidR="007276EE" w:rsidRPr="007276EE" w:rsidRDefault="007276EE" w:rsidP="007276EE">
            <w:pPr>
              <w:spacing w:line="280" w:lineRule="exact"/>
              <w:contextualSpacing/>
              <w:jc w:val="center"/>
              <w:rPr>
                <w:kern w:val="0"/>
                <w:sz w:val="24"/>
                <w:szCs w:val="24"/>
              </w:rPr>
            </w:pPr>
            <w:r w:rsidRPr="007276EE">
              <w:rPr>
                <w:kern w:val="0"/>
                <w:sz w:val="24"/>
                <w:szCs w:val="24"/>
              </w:rPr>
              <w:t xml:space="preserve"> 2.08</w:t>
            </w:r>
          </w:p>
        </w:tc>
      </w:tr>
      <w:tr w:rsidR="007276EE" w:rsidRPr="007276EE" w:rsidTr="00D434B3">
        <w:trPr>
          <w:trHeight w:val="340"/>
          <w:jc w:val="center"/>
        </w:trPr>
        <w:tc>
          <w:tcPr>
            <w:tcW w:w="1520" w:type="dxa"/>
            <w:tcBorders>
              <w:top w:val="nil"/>
              <w:left w:val="single" w:sz="4" w:space="0" w:color="auto"/>
              <w:bottom w:val="single" w:sz="4" w:space="0" w:color="auto"/>
              <w:right w:val="single" w:sz="4" w:space="0" w:color="auto"/>
            </w:tcBorders>
            <w:vAlign w:val="center"/>
          </w:tcPr>
          <w:p w:rsidR="007276EE" w:rsidRPr="007276EE" w:rsidRDefault="007276EE" w:rsidP="007276EE">
            <w:pPr>
              <w:spacing w:line="280" w:lineRule="exact"/>
              <w:contextualSpacing/>
              <w:jc w:val="center"/>
              <w:rPr>
                <w:kern w:val="0"/>
                <w:sz w:val="24"/>
                <w:szCs w:val="24"/>
              </w:rPr>
            </w:pPr>
            <w:r w:rsidRPr="007276EE">
              <w:rPr>
                <w:kern w:val="0"/>
                <w:sz w:val="24"/>
                <w:szCs w:val="24"/>
              </w:rPr>
              <w:t>内乡县</w:t>
            </w:r>
          </w:p>
        </w:tc>
        <w:tc>
          <w:tcPr>
            <w:tcW w:w="1760" w:type="dxa"/>
            <w:tcBorders>
              <w:top w:val="nil"/>
              <w:left w:val="nil"/>
              <w:bottom w:val="single" w:sz="4" w:space="0" w:color="auto"/>
              <w:right w:val="single" w:sz="4" w:space="0" w:color="auto"/>
            </w:tcBorders>
            <w:vAlign w:val="center"/>
          </w:tcPr>
          <w:p w:rsidR="007276EE" w:rsidRPr="007276EE" w:rsidRDefault="007276EE" w:rsidP="007276EE">
            <w:pPr>
              <w:spacing w:line="280" w:lineRule="exact"/>
              <w:contextualSpacing/>
              <w:jc w:val="center"/>
              <w:rPr>
                <w:kern w:val="0"/>
                <w:sz w:val="24"/>
                <w:szCs w:val="24"/>
              </w:rPr>
            </w:pPr>
            <w:r w:rsidRPr="007276EE">
              <w:rPr>
                <w:kern w:val="0"/>
                <w:sz w:val="24"/>
                <w:szCs w:val="24"/>
              </w:rPr>
              <w:t>1.36</w:t>
            </w:r>
          </w:p>
        </w:tc>
        <w:tc>
          <w:tcPr>
            <w:tcW w:w="1760" w:type="dxa"/>
            <w:tcBorders>
              <w:top w:val="nil"/>
              <w:left w:val="nil"/>
              <w:bottom w:val="single" w:sz="4" w:space="0" w:color="auto"/>
              <w:right w:val="single" w:sz="4" w:space="0" w:color="auto"/>
            </w:tcBorders>
            <w:vAlign w:val="center"/>
          </w:tcPr>
          <w:p w:rsidR="007276EE" w:rsidRPr="007276EE" w:rsidRDefault="007276EE" w:rsidP="007276EE">
            <w:pPr>
              <w:spacing w:line="280" w:lineRule="exact"/>
              <w:contextualSpacing/>
              <w:jc w:val="center"/>
              <w:rPr>
                <w:kern w:val="0"/>
                <w:sz w:val="24"/>
                <w:szCs w:val="24"/>
              </w:rPr>
            </w:pPr>
            <w:r w:rsidRPr="007276EE">
              <w:rPr>
                <w:kern w:val="0"/>
                <w:sz w:val="24"/>
                <w:szCs w:val="24"/>
              </w:rPr>
              <w:t xml:space="preserve">1.67 </w:t>
            </w:r>
          </w:p>
        </w:tc>
        <w:tc>
          <w:tcPr>
            <w:tcW w:w="1760" w:type="dxa"/>
            <w:tcBorders>
              <w:top w:val="nil"/>
              <w:left w:val="nil"/>
              <w:bottom w:val="single" w:sz="4" w:space="0" w:color="auto"/>
              <w:right w:val="single" w:sz="4" w:space="0" w:color="auto"/>
            </w:tcBorders>
            <w:vAlign w:val="center"/>
          </w:tcPr>
          <w:p w:rsidR="007276EE" w:rsidRPr="007276EE" w:rsidRDefault="007276EE" w:rsidP="007276EE">
            <w:pPr>
              <w:spacing w:line="280" w:lineRule="exact"/>
              <w:contextualSpacing/>
              <w:jc w:val="center"/>
              <w:rPr>
                <w:kern w:val="0"/>
                <w:sz w:val="24"/>
                <w:szCs w:val="24"/>
              </w:rPr>
            </w:pPr>
            <w:r w:rsidRPr="007276EE">
              <w:rPr>
                <w:kern w:val="0"/>
                <w:sz w:val="24"/>
                <w:szCs w:val="24"/>
              </w:rPr>
              <w:t>1.07</w:t>
            </w:r>
          </w:p>
        </w:tc>
        <w:tc>
          <w:tcPr>
            <w:tcW w:w="1760" w:type="dxa"/>
            <w:tcBorders>
              <w:top w:val="nil"/>
              <w:left w:val="nil"/>
              <w:bottom w:val="single" w:sz="4" w:space="0" w:color="auto"/>
              <w:right w:val="single" w:sz="4" w:space="0" w:color="auto"/>
            </w:tcBorders>
            <w:vAlign w:val="center"/>
          </w:tcPr>
          <w:p w:rsidR="007276EE" w:rsidRPr="007276EE" w:rsidRDefault="007276EE" w:rsidP="007276EE">
            <w:pPr>
              <w:spacing w:line="280" w:lineRule="exact"/>
              <w:contextualSpacing/>
              <w:jc w:val="center"/>
              <w:rPr>
                <w:kern w:val="0"/>
                <w:sz w:val="24"/>
                <w:szCs w:val="24"/>
              </w:rPr>
            </w:pPr>
            <w:r w:rsidRPr="007276EE">
              <w:rPr>
                <w:kern w:val="0"/>
                <w:sz w:val="24"/>
                <w:szCs w:val="24"/>
              </w:rPr>
              <w:t>1.47</w:t>
            </w:r>
          </w:p>
        </w:tc>
      </w:tr>
      <w:tr w:rsidR="007276EE" w:rsidRPr="007276EE" w:rsidTr="00D434B3">
        <w:trPr>
          <w:trHeight w:val="340"/>
          <w:jc w:val="center"/>
        </w:trPr>
        <w:tc>
          <w:tcPr>
            <w:tcW w:w="1520" w:type="dxa"/>
            <w:tcBorders>
              <w:top w:val="nil"/>
              <w:left w:val="single" w:sz="4" w:space="0" w:color="auto"/>
              <w:bottom w:val="single" w:sz="4" w:space="0" w:color="auto"/>
              <w:right w:val="single" w:sz="4" w:space="0" w:color="auto"/>
            </w:tcBorders>
            <w:vAlign w:val="center"/>
          </w:tcPr>
          <w:p w:rsidR="007276EE" w:rsidRPr="007276EE" w:rsidRDefault="007276EE" w:rsidP="007276EE">
            <w:pPr>
              <w:spacing w:line="280" w:lineRule="exact"/>
              <w:contextualSpacing/>
              <w:jc w:val="center"/>
              <w:rPr>
                <w:kern w:val="0"/>
                <w:sz w:val="24"/>
                <w:szCs w:val="24"/>
              </w:rPr>
            </w:pPr>
            <w:r w:rsidRPr="007276EE">
              <w:rPr>
                <w:kern w:val="0"/>
                <w:sz w:val="24"/>
                <w:szCs w:val="24"/>
              </w:rPr>
              <w:t>社旗县</w:t>
            </w:r>
          </w:p>
        </w:tc>
        <w:tc>
          <w:tcPr>
            <w:tcW w:w="1760" w:type="dxa"/>
            <w:tcBorders>
              <w:top w:val="nil"/>
              <w:left w:val="nil"/>
              <w:bottom w:val="single" w:sz="4" w:space="0" w:color="auto"/>
              <w:right w:val="single" w:sz="4" w:space="0" w:color="auto"/>
            </w:tcBorders>
            <w:vAlign w:val="center"/>
          </w:tcPr>
          <w:p w:rsidR="007276EE" w:rsidRPr="007276EE" w:rsidRDefault="007276EE" w:rsidP="007276EE">
            <w:pPr>
              <w:spacing w:line="280" w:lineRule="exact"/>
              <w:contextualSpacing/>
              <w:jc w:val="center"/>
              <w:rPr>
                <w:kern w:val="0"/>
                <w:sz w:val="24"/>
                <w:szCs w:val="24"/>
              </w:rPr>
            </w:pPr>
            <w:r w:rsidRPr="007276EE">
              <w:rPr>
                <w:kern w:val="0"/>
                <w:sz w:val="24"/>
                <w:szCs w:val="24"/>
              </w:rPr>
              <w:t>1.46</w:t>
            </w:r>
          </w:p>
        </w:tc>
        <w:tc>
          <w:tcPr>
            <w:tcW w:w="1760" w:type="dxa"/>
            <w:tcBorders>
              <w:top w:val="nil"/>
              <w:left w:val="nil"/>
              <w:bottom w:val="single" w:sz="4" w:space="0" w:color="auto"/>
              <w:right w:val="single" w:sz="4" w:space="0" w:color="auto"/>
            </w:tcBorders>
            <w:vAlign w:val="center"/>
          </w:tcPr>
          <w:p w:rsidR="007276EE" w:rsidRPr="007276EE" w:rsidRDefault="007276EE" w:rsidP="007276EE">
            <w:pPr>
              <w:spacing w:line="280" w:lineRule="exact"/>
              <w:contextualSpacing/>
              <w:jc w:val="center"/>
              <w:rPr>
                <w:kern w:val="0"/>
                <w:sz w:val="24"/>
                <w:szCs w:val="24"/>
              </w:rPr>
            </w:pPr>
            <w:r w:rsidRPr="007276EE">
              <w:rPr>
                <w:kern w:val="0"/>
                <w:sz w:val="24"/>
                <w:szCs w:val="24"/>
              </w:rPr>
              <w:t xml:space="preserve">1.85 </w:t>
            </w:r>
          </w:p>
        </w:tc>
        <w:tc>
          <w:tcPr>
            <w:tcW w:w="1760" w:type="dxa"/>
            <w:tcBorders>
              <w:top w:val="nil"/>
              <w:left w:val="nil"/>
              <w:bottom w:val="single" w:sz="4" w:space="0" w:color="auto"/>
              <w:right w:val="single" w:sz="4" w:space="0" w:color="auto"/>
            </w:tcBorders>
            <w:vAlign w:val="center"/>
          </w:tcPr>
          <w:p w:rsidR="007276EE" w:rsidRPr="007276EE" w:rsidRDefault="007276EE" w:rsidP="007276EE">
            <w:pPr>
              <w:spacing w:line="280" w:lineRule="exact"/>
              <w:contextualSpacing/>
              <w:jc w:val="center"/>
              <w:rPr>
                <w:kern w:val="0"/>
                <w:sz w:val="24"/>
                <w:szCs w:val="24"/>
              </w:rPr>
            </w:pPr>
            <w:r w:rsidRPr="007276EE">
              <w:rPr>
                <w:kern w:val="0"/>
                <w:sz w:val="24"/>
                <w:szCs w:val="24"/>
              </w:rPr>
              <w:t>0.84</w:t>
            </w:r>
          </w:p>
        </w:tc>
        <w:tc>
          <w:tcPr>
            <w:tcW w:w="1760" w:type="dxa"/>
            <w:tcBorders>
              <w:top w:val="nil"/>
              <w:left w:val="nil"/>
              <w:bottom w:val="single" w:sz="4" w:space="0" w:color="auto"/>
              <w:right w:val="single" w:sz="4" w:space="0" w:color="auto"/>
            </w:tcBorders>
            <w:vAlign w:val="center"/>
          </w:tcPr>
          <w:p w:rsidR="007276EE" w:rsidRPr="007276EE" w:rsidRDefault="007276EE" w:rsidP="007276EE">
            <w:pPr>
              <w:spacing w:line="280" w:lineRule="exact"/>
              <w:contextualSpacing/>
              <w:jc w:val="center"/>
              <w:rPr>
                <w:kern w:val="0"/>
                <w:sz w:val="24"/>
                <w:szCs w:val="24"/>
              </w:rPr>
            </w:pPr>
            <w:r w:rsidRPr="007276EE">
              <w:rPr>
                <w:kern w:val="0"/>
                <w:sz w:val="24"/>
                <w:szCs w:val="24"/>
              </w:rPr>
              <w:t xml:space="preserve"> 1.22</w:t>
            </w:r>
          </w:p>
        </w:tc>
      </w:tr>
      <w:tr w:rsidR="007276EE" w:rsidRPr="007276EE" w:rsidTr="00D434B3">
        <w:trPr>
          <w:trHeight w:val="340"/>
          <w:jc w:val="center"/>
        </w:trPr>
        <w:tc>
          <w:tcPr>
            <w:tcW w:w="1520" w:type="dxa"/>
            <w:tcBorders>
              <w:top w:val="nil"/>
              <w:left w:val="single" w:sz="4" w:space="0" w:color="auto"/>
              <w:bottom w:val="single" w:sz="4" w:space="0" w:color="auto"/>
              <w:right w:val="single" w:sz="4" w:space="0" w:color="auto"/>
            </w:tcBorders>
            <w:vAlign w:val="center"/>
          </w:tcPr>
          <w:p w:rsidR="007276EE" w:rsidRPr="007276EE" w:rsidRDefault="007276EE" w:rsidP="007276EE">
            <w:pPr>
              <w:spacing w:line="280" w:lineRule="exact"/>
              <w:contextualSpacing/>
              <w:jc w:val="center"/>
              <w:rPr>
                <w:kern w:val="0"/>
                <w:sz w:val="24"/>
                <w:szCs w:val="24"/>
              </w:rPr>
            </w:pPr>
            <w:r w:rsidRPr="007276EE">
              <w:rPr>
                <w:kern w:val="0"/>
                <w:sz w:val="24"/>
                <w:szCs w:val="24"/>
              </w:rPr>
              <w:t>淅川县</w:t>
            </w:r>
          </w:p>
        </w:tc>
        <w:tc>
          <w:tcPr>
            <w:tcW w:w="1760" w:type="dxa"/>
            <w:tcBorders>
              <w:top w:val="nil"/>
              <w:left w:val="nil"/>
              <w:bottom w:val="single" w:sz="4" w:space="0" w:color="auto"/>
              <w:right w:val="single" w:sz="4" w:space="0" w:color="auto"/>
            </w:tcBorders>
            <w:vAlign w:val="center"/>
          </w:tcPr>
          <w:p w:rsidR="007276EE" w:rsidRPr="007276EE" w:rsidRDefault="007276EE" w:rsidP="007276EE">
            <w:pPr>
              <w:spacing w:line="280" w:lineRule="exact"/>
              <w:contextualSpacing/>
              <w:jc w:val="center"/>
              <w:rPr>
                <w:kern w:val="0"/>
                <w:sz w:val="24"/>
                <w:szCs w:val="24"/>
              </w:rPr>
            </w:pPr>
            <w:r w:rsidRPr="007276EE">
              <w:rPr>
                <w:kern w:val="0"/>
                <w:sz w:val="24"/>
                <w:szCs w:val="24"/>
              </w:rPr>
              <w:t>1.27</w:t>
            </w:r>
          </w:p>
        </w:tc>
        <w:tc>
          <w:tcPr>
            <w:tcW w:w="1760" w:type="dxa"/>
            <w:tcBorders>
              <w:top w:val="nil"/>
              <w:left w:val="nil"/>
              <w:bottom w:val="single" w:sz="4" w:space="0" w:color="auto"/>
              <w:right w:val="single" w:sz="4" w:space="0" w:color="auto"/>
            </w:tcBorders>
            <w:vAlign w:val="center"/>
          </w:tcPr>
          <w:p w:rsidR="007276EE" w:rsidRPr="007276EE" w:rsidRDefault="007276EE" w:rsidP="007276EE">
            <w:pPr>
              <w:spacing w:line="280" w:lineRule="exact"/>
              <w:contextualSpacing/>
              <w:jc w:val="center"/>
              <w:rPr>
                <w:kern w:val="0"/>
                <w:sz w:val="24"/>
                <w:szCs w:val="24"/>
              </w:rPr>
            </w:pPr>
            <w:r w:rsidRPr="007276EE">
              <w:rPr>
                <w:kern w:val="0"/>
                <w:sz w:val="24"/>
                <w:szCs w:val="24"/>
              </w:rPr>
              <w:t xml:space="preserve">1.67 </w:t>
            </w:r>
          </w:p>
        </w:tc>
        <w:tc>
          <w:tcPr>
            <w:tcW w:w="1760" w:type="dxa"/>
            <w:tcBorders>
              <w:top w:val="nil"/>
              <w:left w:val="nil"/>
              <w:bottom w:val="single" w:sz="4" w:space="0" w:color="auto"/>
              <w:right w:val="single" w:sz="4" w:space="0" w:color="auto"/>
            </w:tcBorders>
            <w:vAlign w:val="center"/>
          </w:tcPr>
          <w:p w:rsidR="007276EE" w:rsidRPr="007276EE" w:rsidRDefault="007276EE" w:rsidP="007276EE">
            <w:pPr>
              <w:spacing w:line="280" w:lineRule="exact"/>
              <w:contextualSpacing/>
              <w:jc w:val="center"/>
              <w:rPr>
                <w:kern w:val="0"/>
                <w:sz w:val="24"/>
                <w:szCs w:val="24"/>
              </w:rPr>
            </w:pPr>
            <w:r w:rsidRPr="007276EE">
              <w:rPr>
                <w:kern w:val="0"/>
                <w:sz w:val="24"/>
                <w:szCs w:val="24"/>
              </w:rPr>
              <w:t>1.36</w:t>
            </w:r>
          </w:p>
        </w:tc>
        <w:tc>
          <w:tcPr>
            <w:tcW w:w="1760" w:type="dxa"/>
            <w:tcBorders>
              <w:top w:val="nil"/>
              <w:left w:val="nil"/>
              <w:bottom w:val="single" w:sz="4" w:space="0" w:color="auto"/>
              <w:right w:val="single" w:sz="4" w:space="0" w:color="auto"/>
            </w:tcBorders>
            <w:vAlign w:val="center"/>
          </w:tcPr>
          <w:p w:rsidR="007276EE" w:rsidRPr="007276EE" w:rsidRDefault="007276EE" w:rsidP="007276EE">
            <w:pPr>
              <w:spacing w:line="280" w:lineRule="exact"/>
              <w:contextualSpacing/>
              <w:jc w:val="center"/>
              <w:rPr>
                <w:kern w:val="0"/>
                <w:sz w:val="24"/>
                <w:szCs w:val="24"/>
              </w:rPr>
            </w:pPr>
            <w:r w:rsidRPr="007276EE">
              <w:rPr>
                <w:kern w:val="0"/>
                <w:sz w:val="24"/>
                <w:szCs w:val="24"/>
              </w:rPr>
              <w:t xml:space="preserve"> 1.78</w:t>
            </w:r>
          </w:p>
        </w:tc>
      </w:tr>
      <w:tr w:rsidR="007276EE" w:rsidRPr="007276EE" w:rsidTr="00D434B3">
        <w:trPr>
          <w:trHeight w:val="340"/>
          <w:jc w:val="center"/>
        </w:trPr>
        <w:tc>
          <w:tcPr>
            <w:tcW w:w="1520" w:type="dxa"/>
            <w:tcBorders>
              <w:top w:val="nil"/>
              <w:left w:val="single" w:sz="4" w:space="0" w:color="auto"/>
              <w:bottom w:val="single" w:sz="4" w:space="0" w:color="auto"/>
              <w:right w:val="single" w:sz="4" w:space="0" w:color="auto"/>
            </w:tcBorders>
            <w:vAlign w:val="center"/>
          </w:tcPr>
          <w:p w:rsidR="007276EE" w:rsidRPr="007276EE" w:rsidRDefault="007276EE" w:rsidP="007276EE">
            <w:pPr>
              <w:spacing w:line="280" w:lineRule="exact"/>
              <w:contextualSpacing/>
              <w:jc w:val="center"/>
              <w:rPr>
                <w:kern w:val="0"/>
                <w:sz w:val="24"/>
                <w:szCs w:val="24"/>
              </w:rPr>
            </w:pPr>
            <w:r w:rsidRPr="007276EE">
              <w:rPr>
                <w:kern w:val="0"/>
                <w:sz w:val="24"/>
                <w:szCs w:val="24"/>
              </w:rPr>
              <w:t>桐柏县</w:t>
            </w:r>
          </w:p>
        </w:tc>
        <w:tc>
          <w:tcPr>
            <w:tcW w:w="1760" w:type="dxa"/>
            <w:tcBorders>
              <w:top w:val="nil"/>
              <w:left w:val="nil"/>
              <w:bottom w:val="single" w:sz="4" w:space="0" w:color="auto"/>
              <w:right w:val="single" w:sz="4" w:space="0" w:color="auto"/>
            </w:tcBorders>
            <w:vAlign w:val="center"/>
          </w:tcPr>
          <w:p w:rsidR="007276EE" w:rsidRPr="007276EE" w:rsidRDefault="007276EE" w:rsidP="007276EE">
            <w:pPr>
              <w:spacing w:line="280" w:lineRule="exact"/>
              <w:contextualSpacing/>
              <w:jc w:val="center"/>
              <w:rPr>
                <w:kern w:val="0"/>
                <w:sz w:val="24"/>
                <w:szCs w:val="24"/>
              </w:rPr>
            </w:pPr>
            <w:r w:rsidRPr="007276EE">
              <w:rPr>
                <w:kern w:val="0"/>
                <w:sz w:val="24"/>
                <w:szCs w:val="24"/>
              </w:rPr>
              <w:t>1.39</w:t>
            </w:r>
          </w:p>
        </w:tc>
        <w:tc>
          <w:tcPr>
            <w:tcW w:w="1760" w:type="dxa"/>
            <w:tcBorders>
              <w:top w:val="nil"/>
              <w:left w:val="nil"/>
              <w:bottom w:val="single" w:sz="4" w:space="0" w:color="auto"/>
              <w:right w:val="single" w:sz="4" w:space="0" w:color="auto"/>
            </w:tcBorders>
            <w:vAlign w:val="center"/>
          </w:tcPr>
          <w:p w:rsidR="007276EE" w:rsidRPr="007276EE" w:rsidRDefault="007276EE" w:rsidP="007276EE">
            <w:pPr>
              <w:spacing w:line="280" w:lineRule="exact"/>
              <w:contextualSpacing/>
              <w:jc w:val="center"/>
              <w:rPr>
                <w:kern w:val="0"/>
                <w:sz w:val="24"/>
                <w:szCs w:val="24"/>
              </w:rPr>
            </w:pPr>
            <w:r w:rsidRPr="007276EE">
              <w:rPr>
                <w:kern w:val="0"/>
                <w:sz w:val="24"/>
                <w:szCs w:val="24"/>
              </w:rPr>
              <w:t xml:space="preserve">1.96 </w:t>
            </w:r>
          </w:p>
        </w:tc>
        <w:tc>
          <w:tcPr>
            <w:tcW w:w="1760" w:type="dxa"/>
            <w:tcBorders>
              <w:top w:val="nil"/>
              <w:left w:val="nil"/>
              <w:bottom w:val="single" w:sz="4" w:space="0" w:color="auto"/>
              <w:right w:val="single" w:sz="4" w:space="0" w:color="auto"/>
            </w:tcBorders>
            <w:vAlign w:val="center"/>
          </w:tcPr>
          <w:p w:rsidR="007276EE" w:rsidRPr="007276EE" w:rsidRDefault="007276EE" w:rsidP="007276EE">
            <w:pPr>
              <w:spacing w:line="280" w:lineRule="exact"/>
              <w:contextualSpacing/>
              <w:jc w:val="center"/>
              <w:rPr>
                <w:kern w:val="0"/>
                <w:sz w:val="24"/>
                <w:szCs w:val="24"/>
              </w:rPr>
            </w:pPr>
            <w:r w:rsidRPr="007276EE">
              <w:rPr>
                <w:kern w:val="0"/>
                <w:sz w:val="24"/>
                <w:szCs w:val="24"/>
              </w:rPr>
              <w:t>0.95</w:t>
            </w:r>
          </w:p>
        </w:tc>
        <w:tc>
          <w:tcPr>
            <w:tcW w:w="1760" w:type="dxa"/>
            <w:tcBorders>
              <w:top w:val="nil"/>
              <w:left w:val="nil"/>
              <w:bottom w:val="single" w:sz="4" w:space="0" w:color="auto"/>
              <w:right w:val="single" w:sz="4" w:space="0" w:color="auto"/>
            </w:tcBorders>
            <w:vAlign w:val="center"/>
          </w:tcPr>
          <w:p w:rsidR="007276EE" w:rsidRPr="007276EE" w:rsidRDefault="007276EE" w:rsidP="007276EE">
            <w:pPr>
              <w:spacing w:line="280" w:lineRule="exact"/>
              <w:contextualSpacing/>
              <w:jc w:val="center"/>
              <w:rPr>
                <w:kern w:val="0"/>
                <w:sz w:val="24"/>
                <w:szCs w:val="24"/>
              </w:rPr>
            </w:pPr>
            <w:r w:rsidRPr="007276EE">
              <w:rPr>
                <w:kern w:val="0"/>
                <w:sz w:val="24"/>
                <w:szCs w:val="24"/>
              </w:rPr>
              <w:t>1.37</w:t>
            </w:r>
          </w:p>
        </w:tc>
      </w:tr>
      <w:tr w:rsidR="007276EE" w:rsidRPr="007276EE" w:rsidTr="00D434B3">
        <w:trPr>
          <w:trHeight w:val="340"/>
          <w:jc w:val="center"/>
        </w:trPr>
        <w:tc>
          <w:tcPr>
            <w:tcW w:w="1520" w:type="dxa"/>
            <w:tcBorders>
              <w:top w:val="nil"/>
              <w:left w:val="single" w:sz="4" w:space="0" w:color="auto"/>
              <w:bottom w:val="single" w:sz="4" w:space="0" w:color="auto"/>
              <w:right w:val="single" w:sz="4" w:space="0" w:color="auto"/>
            </w:tcBorders>
            <w:vAlign w:val="center"/>
          </w:tcPr>
          <w:p w:rsidR="007276EE" w:rsidRPr="007276EE" w:rsidRDefault="007276EE" w:rsidP="007276EE">
            <w:pPr>
              <w:spacing w:line="280" w:lineRule="exact"/>
              <w:contextualSpacing/>
              <w:jc w:val="center"/>
              <w:rPr>
                <w:kern w:val="0"/>
                <w:sz w:val="24"/>
                <w:szCs w:val="24"/>
              </w:rPr>
            </w:pPr>
            <w:r w:rsidRPr="007276EE">
              <w:rPr>
                <w:kern w:val="0"/>
                <w:sz w:val="24"/>
                <w:szCs w:val="24"/>
              </w:rPr>
              <w:t>西峡县</w:t>
            </w:r>
          </w:p>
        </w:tc>
        <w:tc>
          <w:tcPr>
            <w:tcW w:w="1760" w:type="dxa"/>
            <w:tcBorders>
              <w:top w:val="nil"/>
              <w:left w:val="nil"/>
              <w:bottom w:val="single" w:sz="4" w:space="0" w:color="auto"/>
              <w:right w:val="single" w:sz="4" w:space="0" w:color="auto"/>
            </w:tcBorders>
            <w:vAlign w:val="center"/>
          </w:tcPr>
          <w:p w:rsidR="007276EE" w:rsidRPr="007276EE" w:rsidRDefault="007276EE" w:rsidP="007276EE">
            <w:pPr>
              <w:spacing w:line="280" w:lineRule="exact"/>
              <w:contextualSpacing/>
              <w:jc w:val="center"/>
              <w:rPr>
                <w:kern w:val="0"/>
                <w:sz w:val="24"/>
                <w:szCs w:val="24"/>
              </w:rPr>
            </w:pPr>
            <w:r w:rsidRPr="007276EE">
              <w:rPr>
                <w:kern w:val="0"/>
                <w:sz w:val="24"/>
                <w:szCs w:val="24"/>
              </w:rPr>
              <w:t>1.78</w:t>
            </w:r>
          </w:p>
        </w:tc>
        <w:tc>
          <w:tcPr>
            <w:tcW w:w="1760" w:type="dxa"/>
            <w:tcBorders>
              <w:top w:val="nil"/>
              <w:left w:val="nil"/>
              <w:bottom w:val="single" w:sz="4" w:space="0" w:color="auto"/>
              <w:right w:val="single" w:sz="4" w:space="0" w:color="auto"/>
            </w:tcBorders>
            <w:vAlign w:val="center"/>
          </w:tcPr>
          <w:p w:rsidR="007276EE" w:rsidRPr="007276EE" w:rsidRDefault="007276EE" w:rsidP="007276EE">
            <w:pPr>
              <w:spacing w:line="280" w:lineRule="exact"/>
              <w:contextualSpacing/>
              <w:jc w:val="center"/>
              <w:rPr>
                <w:kern w:val="0"/>
                <w:sz w:val="24"/>
                <w:szCs w:val="24"/>
              </w:rPr>
            </w:pPr>
            <w:r w:rsidRPr="007276EE">
              <w:rPr>
                <w:kern w:val="0"/>
                <w:sz w:val="24"/>
                <w:szCs w:val="24"/>
              </w:rPr>
              <w:t xml:space="preserve"> 2.54</w:t>
            </w:r>
          </w:p>
        </w:tc>
        <w:tc>
          <w:tcPr>
            <w:tcW w:w="1760" w:type="dxa"/>
            <w:tcBorders>
              <w:top w:val="nil"/>
              <w:left w:val="nil"/>
              <w:bottom w:val="single" w:sz="4" w:space="0" w:color="auto"/>
              <w:right w:val="single" w:sz="4" w:space="0" w:color="auto"/>
            </w:tcBorders>
            <w:vAlign w:val="center"/>
          </w:tcPr>
          <w:p w:rsidR="007276EE" w:rsidRPr="007276EE" w:rsidRDefault="007276EE" w:rsidP="007276EE">
            <w:pPr>
              <w:spacing w:line="280" w:lineRule="exact"/>
              <w:contextualSpacing/>
              <w:jc w:val="center"/>
              <w:rPr>
                <w:kern w:val="0"/>
                <w:sz w:val="24"/>
                <w:szCs w:val="24"/>
              </w:rPr>
            </w:pPr>
            <w:r w:rsidRPr="007276EE">
              <w:rPr>
                <w:kern w:val="0"/>
                <w:sz w:val="24"/>
                <w:szCs w:val="24"/>
              </w:rPr>
              <w:t>2.01</w:t>
            </w:r>
          </w:p>
        </w:tc>
        <w:tc>
          <w:tcPr>
            <w:tcW w:w="1760" w:type="dxa"/>
            <w:tcBorders>
              <w:top w:val="nil"/>
              <w:left w:val="nil"/>
              <w:bottom w:val="single" w:sz="4" w:space="0" w:color="auto"/>
              <w:right w:val="single" w:sz="4" w:space="0" w:color="auto"/>
            </w:tcBorders>
            <w:vAlign w:val="center"/>
          </w:tcPr>
          <w:p w:rsidR="007276EE" w:rsidRPr="007276EE" w:rsidRDefault="007276EE" w:rsidP="007276EE">
            <w:pPr>
              <w:spacing w:line="280" w:lineRule="exact"/>
              <w:contextualSpacing/>
              <w:jc w:val="center"/>
              <w:rPr>
                <w:kern w:val="0"/>
                <w:sz w:val="24"/>
                <w:szCs w:val="24"/>
              </w:rPr>
            </w:pPr>
            <w:r w:rsidRPr="007276EE">
              <w:rPr>
                <w:kern w:val="0"/>
                <w:sz w:val="24"/>
                <w:szCs w:val="24"/>
              </w:rPr>
              <w:t xml:space="preserve"> 2.49</w:t>
            </w:r>
          </w:p>
        </w:tc>
      </w:tr>
    </w:tbl>
    <w:p w:rsidR="007276EE" w:rsidRPr="007276EE" w:rsidRDefault="007276EE" w:rsidP="00D434B3">
      <w:pPr>
        <w:pStyle w:val="3"/>
        <w:spacing w:line="580" w:lineRule="exact"/>
        <w:ind w:firstLine="643"/>
        <w:contextualSpacing/>
        <w:rPr>
          <w:rFonts w:ascii="仿宋_GB2312" w:hAnsi="仿宋_GB2312" w:cs="仿宋_GB2312"/>
          <w:sz w:val="30"/>
          <w:szCs w:val="30"/>
        </w:rPr>
      </w:pPr>
      <w:bookmarkStart w:id="12" w:name="_Toc451792311"/>
      <w:bookmarkStart w:id="13" w:name="_Toc446317213"/>
      <w:bookmarkStart w:id="14" w:name="_Toc445472332"/>
      <w:r w:rsidRPr="007276EE">
        <w:rPr>
          <w:rFonts w:ascii="仿宋_GB2312" w:hAnsi="仿宋_GB2312" w:cs="仿宋_GB2312" w:hint="eastAsia"/>
          <w:sz w:val="30"/>
          <w:szCs w:val="30"/>
        </w:rPr>
        <w:t>（三）专业公共卫生机构</w:t>
      </w:r>
      <w:bookmarkEnd w:id="12"/>
      <w:bookmarkEnd w:id="13"/>
      <w:bookmarkEnd w:id="14"/>
    </w:p>
    <w:p w:rsidR="007276EE" w:rsidRPr="007276EE" w:rsidRDefault="007276EE" w:rsidP="00D434B3">
      <w:pPr>
        <w:spacing w:line="580" w:lineRule="exact"/>
        <w:ind w:firstLine="640"/>
        <w:contextualSpacing/>
        <w:rPr>
          <w:rFonts w:ascii="仿宋_GB2312" w:hAnsi="仿宋_GB2312" w:cs="仿宋_GB2312"/>
          <w:kern w:val="0"/>
          <w:sz w:val="30"/>
          <w:szCs w:val="30"/>
        </w:rPr>
      </w:pPr>
      <w:r w:rsidRPr="007276EE">
        <w:rPr>
          <w:rFonts w:ascii="仿宋_GB2312" w:hAnsi="仿宋_GB2312" w:cs="仿宋_GB2312" w:hint="eastAsia"/>
          <w:kern w:val="0"/>
          <w:sz w:val="30"/>
          <w:szCs w:val="30"/>
        </w:rPr>
        <w:t>到2020年，每千常住人口公共卫生人员数达到全省平均水平，各级各类公共卫生人力能够基本满足工作需要。</w:t>
      </w:r>
    </w:p>
    <w:p w:rsidR="007276EE" w:rsidRPr="007276EE" w:rsidRDefault="007276EE" w:rsidP="00D434B3">
      <w:pPr>
        <w:spacing w:line="580" w:lineRule="exact"/>
        <w:ind w:firstLine="640"/>
        <w:contextualSpacing/>
        <w:rPr>
          <w:rFonts w:ascii="仿宋_GB2312" w:hAnsi="仿宋_GB2312" w:cs="仿宋_GB2312"/>
          <w:kern w:val="0"/>
          <w:sz w:val="30"/>
          <w:szCs w:val="30"/>
        </w:rPr>
      </w:pPr>
      <w:r w:rsidRPr="007276EE">
        <w:rPr>
          <w:rFonts w:ascii="仿宋_GB2312" w:hAnsi="仿宋_GB2312" w:cs="仿宋_GB2312" w:hint="eastAsia"/>
          <w:kern w:val="0"/>
          <w:sz w:val="30"/>
          <w:szCs w:val="30"/>
        </w:rPr>
        <w:t>疾病预防控制中心人员原则上按照常住人口1.75名/万人的比例核定，其中专业技术人员占编制总额的比例不得低于85%，卫生技术人员不得低于70%。</w:t>
      </w:r>
    </w:p>
    <w:p w:rsidR="007276EE" w:rsidRPr="007276EE" w:rsidRDefault="007276EE" w:rsidP="00D434B3">
      <w:pPr>
        <w:spacing w:line="580" w:lineRule="exact"/>
        <w:ind w:firstLine="640"/>
        <w:contextualSpacing/>
        <w:rPr>
          <w:rFonts w:ascii="仿宋_GB2312" w:hAnsi="仿宋_GB2312" w:cs="仿宋_GB2312"/>
          <w:kern w:val="0"/>
          <w:sz w:val="30"/>
          <w:szCs w:val="30"/>
        </w:rPr>
      </w:pPr>
      <w:r w:rsidRPr="007276EE">
        <w:rPr>
          <w:rFonts w:ascii="仿宋_GB2312" w:hAnsi="仿宋_GB2312" w:cs="仿宋_GB2312" w:hint="eastAsia"/>
          <w:kern w:val="0"/>
          <w:sz w:val="30"/>
          <w:szCs w:val="30"/>
        </w:rPr>
        <w:t>专业精神卫生机构应当按照区域内人口数及承担的精神卫生防治任务配置公共卫生人员。精神卫生专业人员每10万人口精神科执业(助理)医师不低于2.8名，基层医疗卫生机构普遍配备专职或兼职精神卫生防治人员。</w:t>
      </w:r>
    </w:p>
    <w:p w:rsidR="007276EE" w:rsidRPr="007276EE" w:rsidRDefault="007276EE" w:rsidP="00D434B3">
      <w:pPr>
        <w:spacing w:line="580" w:lineRule="exact"/>
        <w:ind w:firstLine="640"/>
        <w:contextualSpacing/>
        <w:rPr>
          <w:rFonts w:ascii="仿宋_GB2312" w:hAnsi="仿宋_GB2312" w:cs="仿宋_GB2312"/>
          <w:kern w:val="0"/>
          <w:sz w:val="30"/>
          <w:szCs w:val="30"/>
        </w:rPr>
      </w:pPr>
      <w:r w:rsidRPr="007276EE">
        <w:rPr>
          <w:rFonts w:ascii="仿宋_GB2312" w:hAnsi="仿宋_GB2312" w:cs="仿宋_GB2312" w:hint="eastAsia"/>
          <w:kern w:val="0"/>
          <w:sz w:val="30"/>
          <w:szCs w:val="30"/>
        </w:rPr>
        <w:t>妇幼保健计划生育服务机构应当根据当地服务人口、社会需求、交通状况、区域卫生和计划生育事业发展规划以及承担的功能任务等</w:t>
      </w:r>
      <w:r w:rsidRPr="007276EE">
        <w:rPr>
          <w:rFonts w:ascii="仿宋_GB2312" w:hAnsi="仿宋_GB2312" w:cs="仿宋_GB2312" w:hint="eastAsia"/>
          <w:kern w:val="0"/>
          <w:sz w:val="30"/>
          <w:szCs w:val="30"/>
        </w:rPr>
        <w:lastRenderedPageBreak/>
        <w:t>合理配备人员。市、县、乡级妇幼保健计划生育服务机构中卫生技术人员比例应当不低于机构总人数的80%。</w:t>
      </w:r>
    </w:p>
    <w:p w:rsidR="007276EE" w:rsidRPr="007276EE" w:rsidRDefault="007276EE" w:rsidP="00D434B3">
      <w:pPr>
        <w:spacing w:line="580" w:lineRule="exact"/>
        <w:ind w:firstLine="640"/>
        <w:contextualSpacing/>
        <w:rPr>
          <w:rFonts w:ascii="仿宋_GB2312" w:hAnsi="仿宋_GB2312" w:cs="仿宋_GB2312"/>
          <w:kern w:val="0"/>
          <w:sz w:val="30"/>
          <w:szCs w:val="30"/>
        </w:rPr>
      </w:pPr>
      <w:r w:rsidRPr="007276EE">
        <w:rPr>
          <w:rFonts w:ascii="仿宋_GB2312" w:hAnsi="仿宋_GB2312" w:cs="仿宋_GB2312" w:hint="eastAsia"/>
          <w:kern w:val="0"/>
          <w:sz w:val="30"/>
          <w:szCs w:val="30"/>
        </w:rPr>
        <w:t>市级卫生监督机构按编制人数不少于40人配置；县级卫生监督机构原则上按编制人数不少于30人配置；卫生监督员人数不低于在岗在编人数的85%，市级卫生监督机构大专及以上学历人员数占比达到95%以上，县级达到80%以上。</w:t>
      </w:r>
    </w:p>
    <w:p w:rsidR="007276EE" w:rsidRPr="007276EE" w:rsidRDefault="007276EE" w:rsidP="00D434B3">
      <w:pPr>
        <w:spacing w:line="580" w:lineRule="exact"/>
        <w:ind w:firstLine="640"/>
        <w:contextualSpacing/>
        <w:rPr>
          <w:rFonts w:ascii="仿宋_GB2312" w:hAnsi="仿宋_GB2312" w:cs="仿宋_GB2312"/>
          <w:kern w:val="0"/>
          <w:sz w:val="30"/>
          <w:szCs w:val="30"/>
        </w:rPr>
      </w:pPr>
      <w:r w:rsidRPr="007276EE">
        <w:rPr>
          <w:rFonts w:ascii="仿宋_GB2312" w:hAnsi="仿宋_GB2312" w:cs="仿宋_GB2312" w:hint="eastAsia"/>
          <w:kern w:val="0"/>
          <w:sz w:val="30"/>
          <w:szCs w:val="30"/>
        </w:rPr>
        <w:t>血液中心、中心血站卫生技术人员数量应当根据年采供血等业务量进行配备。</w:t>
      </w:r>
    </w:p>
    <w:p w:rsidR="007276EE" w:rsidRPr="007276EE" w:rsidRDefault="007276EE" w:rsidP="00D434B3">
      <w:pPr>
        <w:spacing w:line="580" w:lineRule="exact"/>
        <w:ind w:firstLine="640"/>
        <w:contextualSpacing/>
        <w:rPr>
          <w:rFonts w:ascii="仿宋_GB2312" w:hAnsi="仿宋_GB2312" w:cs="仿宋_GB2312"/>
          <w:kern w:val="0"/>
          <w:sz w:val="30"/>
          <w:szCs w:val="30"/>
        </w:rPr>
      </w:pPr>
      <w:r w:rsidRPr="007276EE">
        <w:rPr>
          <w:rFonts w:ascii="仿宋_GB2312" w:hAnsi="仿宋_GB2312" w:cs="仿宋_GB2312" w:hint="eastAsia"/>
          <w:kern w:val="0"/>
          <w:sz w:val="30"/>
          <w:szCs w:val="30"/>
        </w:rPr>
        <w:t xml:space="preserve">急救中心人员数量应当根据服务人口、年业务量等进行配备。 </w:t>
      </w:r>
    </w:p>
    <w:p w:rsidR="007276EE" w:rsidRPr="007276EE" w:rsidRDefault="007276EE" w:rsidP="00D434B3">
      <w:pPr>
        <w:pStyle w:val="a6"/>
        <w:widowControl w:val="0"/>
        <w:spacing w:before="0" w:beforeAutospacing="0" w:after="0" w:afterAutospacing="0" w:line="580" w:lineRule="exact"/>
        <w:ind w:firstLine="420"/>
        <w:contextualSpacing/>
        <w:rPr>
          <w:rFonts w:ascii="仿宋_GB2312" w:eastAsia="仿宋_GB2312" w:hAnsi="仿宋_GB2312" w:cs="仿宋_GB2312"/>
          <w:sz w:val="30"/>
          <w:szCs w:val="30"/>
        </w:rPr>
      </w:pPr>
      <w:r w:rsidRPr="007276EE">
        <w:rPr>
          <w:rFonts w:ascii="仿宋_GB2312" w:eastAsia="仿宋_GB2312" w:hAnsi="仿宋_GB2312" w:cs="仿宋_GB2312" w:hint="eastAsia"/>
          <w:sz w:val="30"/>
          <w:szCs w:val="30"/>
        </w:rPr>
        <w:t xml:space="preserve">  适应社区开展家庭医生制服务要求，社区按每万名居民配备2名全科医师，中医类别全科医师占社区全科医师配备比例达到20%，逐步配备一定数量的康复师、营养师等专业人员。护士按与全科医师1∶1的标准配备。</w:t>
      </w:r>
    </w:p>
    <w:p w:rsidR="007276EE" w:rsidRPr="007276EE" w:rsidRDefault="007276EE" w:rsidP="00D434B3">
      <w:pPr>
        <w:spacing w:line="580" w:lineRule="exact"/>
        <w:ind w:firstLine="643"/>
        <w:contextualSpacing/>
        <w:rPr>
          <w:rFonts w:ascii="仿宋_GB2312" w:hAnsi="仿宋_GB2312" w:cs="仿宋_GB2312"/>
          <w:b/>
          <w:bCs/>
          <w:kern w:val="0"/>
          <w:sz w:val="30"/>
          <w:szCs w:val="30"/>
        </w:rPr>
      </w:pPr>
      <w:r w:rsidRPr="007276EE">
        <w:rPr>
          <w:rFonts w:ascii="仿宋_GB2312" w:hAnsi="仿宋_GB2312" w:cs="仿宋_GB2312" w:hint="eastAsia"/>
          <w:b/>
          <w:bCs/>
          <w:kern w:val="0"/>
          <w:sz w:val="30"/>
          <w:szCs w:val="30"/>
        </w:rPr>
        <w:t>（四）人才培养与使用</w:t>
      </w:r>
    </w:p>
    <w:p w:rsidR="007276EE" w:rsidRPr="007276EE" w:rsidRDefault="007276EE" w:rsidP="00D434B3">
      <w:pPr>
        <w:spacing w:line="580" w:lineRule="exact"/>
        <w:ind w:firstLine="640"/>
        <w:contextualSpacing/>
        <w:rPr>
          <w:rFonts w:ascii="仿宋_GB2312" w:hAnsi="仿宋_GB2312" w:cs="仿宋_GB2312"/>
          <w:kern w:val="0"/>
          <w:sz w:val="30"/>
          <w:szCs w:val="30"/>
        </w:rPr>
      </w:pPr>
      <w:r w:rsidRPr="007276EE">
        <w:rPr>
          <w:rFonts w:ascii="仿宋_GB2312" w:hAnsi="仿宋_GB2312" w:cs="仿宋_GB2312" w:hint="eastAsia"/>
          <w:kern w:val="0"/>
          <w:sz w:val="30"/>
          <w:szCs w:val="30"/>
        </w:rPr>
        <w:t>建立住院医师和专科医师规范化培训制度，加快实施以“5+3”（5年临床医学本科教育+3年住院医师规范化培训或3年临床医学硕士专业学位研究生教育）为主体、以“3+2”（3年临床医学专科教育+2年助理全科医生培训）为补充的临床医学人才培养体系，推动完善毕业后医学教育体系，改革完善继续医学教育制度。实施医学领军人才、优秀学科带头人培养计划，打造一批名医大家和在国内外具有重要影响力的学术带头人。加强中青年人才队伍的建设，实施优秀青年医学人才培养计划。积极引进海外高层次卫生人才，为海外人员创造较好</w:t>
      </w:r>
      <w:r w:rsidRPr="007276EE">
        <w:rPr>
          <w:rFonts w:ascii="仿宋_GB2312" w:hAnsi="仿宋_GB2312" w:cs="仿宋_GB2312" w:hint="eastAsia"/>
          <w:kern w:val="0"/>
          <w:sz w:val="30"/>
          <w:szCs w:val="30"/>
        </w:rPr>
        <w:lastRenderedPageBreak/>
        <w:t>的生活、工作条件。大力开展护理、儿科、精神科等急需紧缺专门人才培养。加强以全科医生为重点的基层医疗卫生队伍建设，全面实施实施基层卫生人才工程（“369人才工程”），为县、乡两级医疗机构培养一批下得去、用得好、留得住的优秀医疗卫生人才。健全在岗培训制度，鼓励乡村医生参加学历教育。</w:t>
      </w:r>
    </w:p>
    <w:p w:rsidR="007276EE" w:rsidRPr="007276EE" w:rsidRDefault="007276EE" w:rsidP="00D434B3">
      <w:pPr>
        <w:spacing w:line="580" w:lineRule="exact"/>
        <w:ind w:firstLine="640"/>
        <w:contextualSpacing/>
        <w:rPr>
          <w:rFonts w:ascii="仿宋_GB2312" w:hAnsi="仿宋_GB2312" w:cs="仿宋_GB2312"/>
          <w:b/>
          <w:bCs/>
          <w:sz w:val="30"/>
          <w:szCs w:val="30"/>
        </w:rPr>
      </w:pPr>
      <w:r w:rsidRPr="007276EE">
        <w:rPr>
          <w:rFonts w:ascii="仿宋_GB2312" w:hAnsi="仿宋_GB2312" w:cs="仿宋_GB2312" w:hint="eastAsia"/>
          <w:kern w:val="0"/>
          <w:sz w:val="30"/>
          <w:szCs w:val="30"/>
        </w:rPr>
        <w:t>健全以聘用制度和岗位管理制度为主要内容的事业单位用人制度，完善岗位设置管理，保证专业技术岗位占主体（原则上不低于80%），推行公开招聘和竞聘上岗。健全以岗位职责要求为基础，以品德、能力、业绩为导向，符合卫生人才特点的科学化、社会化评价机制，完善专业技术职称评定制度。推进医师合理流动，鼓励医师到有人力资源需求的医疗机构工作，为基层医疗卫生机构、非公立医院人才使用创造环境。</w:t>
      </w:r>
      <w:bookmarkStart w:id="15" w:name="_Toc3301"/>
      <w:bookmarkEnd w:id="15"/>
      <w:r w:rsidRPr="007276EE">
        <w:rPr>
          <w:rFonts w:ascii="仿宋_GB2312" w:hAnsi="仿宋_GB2312" w:cs="仿宋_GB2312" w:hint="eastAsia"/>
          <w:kern w:val="0"/>
          <w:sz w:val="30"/>
          <w:szCs w:val="30"/>
        </w:rPr>
        <w:t>深化收入分配制度改革，建立以服务质量、服务数量和服务对象满意度为核心、以岗位职责和绩效为基础的考核和激励机制。</w:t>
      </w:r>
    </w:p>
    <w:p w:rsidR="007276EE" w:rsidRPr="007276EE" w:rsidRDefault="007276EE" w:rsidP="00D434B3">
      <w:pPr>
        <w:pStyle w:val="a6"/>
        <w:widowControl w:val="0"/>
        <w:spacing w:before="0" w:beforeAutospacing="0" w:after="0" w:afterAutospacing="0" w:line="580" w:lineRule="exact"/>
        <w:contextualSpacing/>
        <w:rPr>
          <w:rFonts w:ascii="Times New Roman" w:eastAsia="仿宋_GB2312" w:hAnsi="Times New Roman"/>
          <w:sz w:val="30"/>
          <w:szCs w:val="30"/>
        </w:rPr>
      </w:pPr>
      <w:r w:rsidRPr="007276EE">
        <w:rPr>
          <w:rFonts w:ascii="Times New Roman" w:eastAsia="华文楷体" w:hAnsi="Times New Roman"/>
          <w:b/>
          <w:bCs/>
          <w:sz w:val="30"/>
          <w:szCs w:val="30"/>
        </w:rPr>
        <w:t xml:space="preserve">   </w:t>
      </w:r>
      <w:r w:rsidRPr="007276EE">
        <w:rPr>
          <w:rFonts w:ascii="Times New Roman" w:eastAsia="华文楷体" w:hAnsi="Times New Roman"/>
          <w:sz w:val="30"/>
          <w:szCs w:val="30"/>
        </w:rPr>
        <w:t xml:space="preserve"> </w:t>
      </w:r>
      <w:r w:rsidRPr="007276EE">
        <w:rPr>
          <w:rFonts w:ascii="Times New Roman" w:eastAsia="华文楷体" w:hAnsi="Times New Roman"/>
          <w:sz w:val="30"/>
          <w:szCs w:val="30"/>
        </w:rPr>
        <w:t>四、大型设备配置</w:t>
      </w:r>
      <w:r w:rsidRPr="007276EE">
        <w:rPr>
          <w:rFonts w:ascii="Times New Roman" w:eastAsia="仿宋_GB2312" w:hAnsi="Times New Roman"/>
          <w:sz w:val="30"/>
          <w:szCs w:val="30"/>
        </w:rPr>
        <w:t xml:space="preserve"> </w:t>
      </w:r>
    </w:p>
    <w:p w:rsidR="007276EE" w:rsidRPr="007276EE" w:rsidRDefault="007276EE" w:rsidP="00D434B3">
      <w:pPr>
        <w:spacing w:line="580" w:lineRule="exact"/>
        <w:contextualSpacing/>
        <w:rPr>
          <w:kern w:val="0"/>
          <w:sz w:val="30"/>
          <w:szCs w:val="30"/>
        </w:rPr>
      </w:pPr>
      <w:r w:rsidRPr="007276EE">
        <w:rPr>
          <w:kern w:val="0"/>
          <w:sz w:val="30"/>
          <w:szCs w:val="30"/>
        </w:rPr>
        <w:t xml:space="preserve">    </w:t>
      </w:r>
      <w:r w:rsidRPr="007276EE">
        <w:rPr>
          <w:kern w:val="0"/>
          <w:sz w:val="30"/>
          <w:szCs w:val="30"/>
        </w:rPr>
        <w:t>乙类大型医用设备包括</w:t>
      </w:r>
      <w:r w:rsidRPr="007276EE">
        <w:rPr>
          <w:kern w:val="0"/>
          <w:sz w:val="30"/>
          <w:szCs w:val="30"/>
        </w:rPr>
        <w:t>X</w:t>
      </w:r>
      <w:r w:rsidRPr="007276EE">
        <w:rPr>
          <w:kern w:val="0"/>
          <w:sz w:val="30"/>
          <w:szCs w:val="30"/>
        </w:rPr>
        <w:t>线电子计算机断层扫描装置（</w:t>
      </w:r>
      <w:r w:rsidRPr="007276EE">
        <w:rPr>
          <w:kern w:val="0"/>
          <w:sz w:val="30"/>
          <w:szCs w:val="30"/>
        </w:rPr>
        <w:t>CT</w:t>
      </w:r>
      <w:r w:rsidRPr="007276EE">
        <w:rPr>
          <w:kern w:val="0"/>
          <w:sz w:val="30"/>
          <w:szCs w:val="30"/>
        </w:rPr>
        <w:t>）、磁共振成像装置（</w:t>
      </w:r>
      <w:r w:rsidRPr="007276EE">
        <w:rPr>
          <w:kern w:val="0"/>
          <w:sz w:val="30"/>
          <w:szCs w:val="30"/>
        </w:rPr>
        <w:t>MRI</w:t>
      </w:r>
      <w:r w:rsidRPr="007276EE">
        <w:rPr>
          <w:kern w:val="0"/>
          <w:sz w:val="30"/>
          <w:szCs w:val="30"/>
        </w:rPr>
        <w:t>）、</w:t>
      </w:r>
      <w:r w:rsidRPr="007276EE">
        <w:rPr>
          <w:kern w:val="0"/>
          <w:sz w:val="30"/>
          <w:szCs w:val="30"/>
        </w:rPr>
        <w:t>800</w:t>
      </w:r>
      <w:r w:rsidRPr="007276EE">
        <w:rPr>
          <w:kern w:val="0"/>
          <w:sz w:val="30"/>
          <w:szCs w:val="30"/>
        </w:rPr>
        <w:t>毫安以上数字减影血管造影</w:t>
      </w:r>
      <w:r w:rsidRPr="007276EE">
        <w:rPr>
          <w:kern w:val="0"/>
          <w:sz w:val="30"/>
          <w:szCs w:val="30"/>
        </w:rPr>
        <w:t>X</w:t>
      </w:r>
      <w:r w:rsidRPr="007276EE">
        <w:rPr>
          <w:kern w:val="0"/>
          <w:sz w:val="30"/>
          <w:szCs w:val="30"/>
        </w:rPr>
        <w:t>线机（</w:t>
      </w:r>
      <w:r w:rsidRPr="007276EE">
        <w:rPr>
          <w:kern w:val="0"/>
          <w:sz w:val="30"/>
          <w:szCs w:val="30"/>
        </w:rPr>
        <w:t>DSA</w:t>
      </w:r>
      <w:r w:rsidRPr="007276EE">
        <w:rPr>
          <w:kern w:val="0"/>
          <w:sz w:val="30"/>
          <w:szCs w:val="30"/>
        </w:rPr>
        <w:t>）、单光子发射型电子计算机断层扫描仪（</w:t>
      </w:r>
      <w:r w:rsidRPr="007276EE">
        <w:rPr>
          <w:kern w:val="0"/>
          <w:sz w:val="30"/>
          <w:szCs w:val="30"/>
        </w:rPr>
        <w:t>SPECT</w:t>
      </w:r>
      <w:r w:rsidRPr="007276EE">
        <w:rPr>
          <w:kern w:val="0"/>
          <w:sz w:val="30"/>
          <w:szCs w:val="30"/>
        </w:rPr>
        <w:t>）、医用直线加速器（</w:t>
      </w:r>
      <w:r w:rsidRPr="007276EE">
        <w:rPr>
          <w:kern w:val="0"/>
          <w:sz w:val="30"/>
          <w:szCs w:val="30"/>
        </w:rPr>
        <w:t>LA</w:t>
      </w:r>
      <w:r w:rsidRPr="007276EE">
        <w:rPr>
          <w:kern w:val="0"/>
          <w:sz w:val="30"/>
          <w:szCs w:val="30"/>
        </w:rPr>
        <w:t>）五种。</w:t>
      </w:r>
    </w:p>
    <w:p w:rsidR="007276EE" w:rsidRPr="007276EE" w:rsidRDefault="007276EE" w:rsidP="00D434B3">
      <w:pPr>
        <w:spacing w:line="580" w:lineRule="exact"/>
        <w:contextualSpacing/>
        <w:rPr>
          <w:kern w:val="0"/>
          <w:sz w:val="30"/>
          <w:szCs w:val="30"/>
        </w:rPr>
      </w:pPr>
      <w:r w:rsidRPr="007276EE">
        <w:rPr>
          <w:kern w:val="0"/>
          <w:sz w:val="30"/>
          <w:szCs w:val="30"/>
        </w:rPr>
        <w:t xml:space="preserve">    </w:t>
      </w:r>
      <w:r w:rsidRPr="007276EE">
        <w:rPr>
          <w:kern w:val="0"/>
          <w:sz w:val="30"/>
          <w:szCs w:val="30"/>
        </w:rPr>
        <w:t>综合考虑社会经济发展水平，居民健康状况，医疗服务的需求和利用情况，医疗机构的功能级别、资源和利用、覆盖人口等，对医疗机构的大型医用设备配置实行统一规划、统一准入、统一监管，以优化资源配置和控制医疗费用不合理增长为重点，统筹规划大型医用设</w:t>
      </w:r>
      <w:r w:rsidRPr="007276EE">
        <w:rPr>
          <w:kern w:val="0"/>
          <w:sz w:val="30"/>
          <w:szCs w:val="30"/>
        </w:rPr>
        <w:lastRenderedPageBreak/>
        <w:t>备配置，提高资源配置效率。引导医疗机构合理配置功能适用、技术适宜、节能环保的设备。可建立区域性医学影像中心，促进资源共享。新增设备鼓励优先考虑国产设备。要充分考虑非公立医疗机构的发展需要，合理预留规划配置空间，支持非公立医疗机构按照批准的执业范围、医院等级、服务人口数量等，合理配置大型医用设备。</w:t>
      </w:r>
    </w:p>
    <w:p w:rsidR="007276EE" w:rsidRPr="007276EE" w:rsidRDefault="007276EE" w:rsidP="00D434B3">
      <w:pPr>
        <w:pStyle w:val="a6"/>
        <w:widowControl w:val="0"/>
        <w:spacing w:before="0" w:beforeAutospacing="0" w:after="0" w:afterAutospacing="0" w:line="580" w:lineRule="exact"/>
        <w:ind w:firstLine="420"/>
        <w:contextualSpacing/>
        <w:rPr>
          <w:rFonts w:ascii="Times New Roman" w:eastAsia="仿宋_GB2312" w:hAnsi="Times New Roman"/>
          <w:sz w:val="30"/>
          <w:szCs w:val="30"/>
        </w:rPr>
      </w:pPr>
      <w:r w:rsidRPr="007276EE">
        <w:rPr>
          <w:rFonts w:ascii="Times New Roman" w:eastAsia="仿宋_GB2312" w:hAnsi="Times New Roman"/>
          <w:sz w:val="30"/>
          <w:szCs w:val="30"/>
        </w:rPr>
        <w:t xml:space="preserve"> </w:t>
      </w:r>
      <w:r w:rsidRPr="007276EE">
        <w:rPr>
          <w:rFonts w:ascii="Times New Roman" w:eastAsia="华文楷体" w:hAnsi="Times New Roman"/>
          <w:sz w:val="30"/>
          <w:szCs w:val="30"/>
        </w:rPr>
        <w:t>五、学科</w:t>
      </w:r>
      <w:r w:rsidRPr="007276EE">
        <w:rPr>
          <w:rFonts w:ascii="Times New Roman" w:eastAsia="仿宋_GB2312" w:hAnsi="Times New Roman"/>
          <w:sz w:val="30"/>
          <w:szCs w:val="30"/>
        </w:rPr>
        <w:t xml:space="preserve"> </w:t>
      </w:r>
    </w:p>
    <w:p w:rsidR="007276EE" w:rsidRPr="007276EE" w:rsidRDefault="007276EE" w:rsidP="00D434B3">
      <w:pPr>
        <w:pStyle w:val="a6"/>
        <w:widowControl w:val="0"/>
        <w:spacing w:before="0" w:beforeAutospacing="0" w:after="0" w:afterAutospacing="0" w:line="580" w:lineRule="exact"/>
        <w:ind w:firstLine="420"/>
        <w:contextualSpacing/>
        <w:rPr>
          <w:rFonts w:ascii="Times New Roman" w:eastAsia="仿宋_GB2312" w:hAnsi="Times New Roman"/>
          <w:sz w:val="30"/>
          <w:szCs w:val="30"/>
        </w:rPr>
      </w:pPr>
      <w:r w:rsidRPr="007276EE">
        <w:rPr>
          <w:rFonts w:ascii="Times New Roman" w:eastAsia="仿宋_GB2312" w:hAnsi="Times New Roman"/>
          <w:sz w:val="30"/>
          <w:szCs w:val="30"/>
        </w:rPr>
        <w:t xml:space="preserve"> </w:t>
      </w:r>
      <w:r w:rsidRPr="007276EE">
        <w:rPr>
          <w:rFonts w:ascii="Times New Roman" w:eastAsia="仿宋_GB2312" w:hAnsi="Times New Roman"/>
          <w:sz w:val="30"/>
          <w:szCs w:val="30"/>
        </w:rPr>
        <w:t>对南阳市三级医院，依托临床医学中心和重点学科项目建设，建成一批省内领先、具有一定国内知名度的临床中心和特色优势学科。对县区医疗机构，依托重点专科项目建设，结合所在县区特点，在心脑血管、肿瘤、妇产科、消化病学、呼吸病学等常见病、多发病领域加强建设，形成区域特色明显、实力均衡的优势专科，提升区域卫生软实力。扶持重要而薄弱学科建设，通过学科、人才、项目和成果四位一体联动发展，逐步强化临床病理学、临床口腔骨科眼科学、临床护理学、老年医学、康复医学、精神病与精神卫生学、公共卫生等学科。</w:t>
      </w:r>
      <w:r w:rsidRPr="007276EE">
        <w:rPr>
          <w:rFonts w:ascii="Times New Roman" w:eastAsia="仿宋_GB2312" w:hAnsi="Times New Roman"/>
          <w:sz w:val="30"/>
          <w:szCs w:val="30"/>
        </w:rPr>
        <w:t xml:space="preserve"> </w:t>
      </w:r>
    </w:p>
    <w:p w:rsidR="007276EE" w:rsidRPr="007276EE" w:rsidRDefault="007276EE" w:rsidP="00D434B3">
      <w:pPr>
        <w:pStyle w:val="a6"/>
        <w:widowControl w:val="0"/>
        <w:spacing w:before="0" w:beforeAutospacing="0" w:after="0" w:afterAutospacing="0" w:line="580" w:lineRule="exact"/>
        <w:ind w:firstLine="420"/>
        <w:contextualSpacing/>
        <w:rPr>
          <w:rFonts w:ascii="Times New Roman" w:eastAsia="仿宋_GB2312" w:hAnsi="Times New Roman"/>
          <w:sz w:val="30"/>
          <w:szCs w:val="30"/>
        </w:rPr>
      </w:pPr>
      <w:r w:rsidRPr="007276EE">
        <w:rPr>
          <w:rFonts w:ascii="Times New Roman" w:eastAsia="仿宋_GB2312" w:hAnsi="Times New Roman"/>
          <w:sz w:val="30"/>
          <w:szCs w:val="30"/>
        </w:rPr>
        <w:t xml:space="preserve"> </w:t>
      </w:r>
      <w:r w:rsidRPr="007276EE">
        <w:rPr>
          <w:rFonts w:ascii="Times New Roman" w:eastAsia="华文楷体" w:hAnsi="Times New Roman"/>
          <w:sz w:val="30"/>
          <w:szCs w:val="30"/>
        </w:rPr>
        <w:t>六、卫生信息化</w:t>
      </w:r>
      <w:r w:rsidRPr="007276EE">
        <w:rPr>
          <w:rFonts w:ascii="Times New Roman" w:eastAsia="仿宋_GB2312" w:hAnsi="Times New Roman"/>
          <w:sz w:val="30"/>
          <w:szCs w:val="30"/>
        </w:rPr>
        <w:t xml:space="preserve"> </w:t>
      </w:r>
    </w:p>
    <w:p w:rsidR="007276EE" w:rsidRPr="007276EE" w:rsidRDefault="007276EE" w:rsidP="00D434B3">
      <w:pPr>
        <w:pStyle w:val="a6"/>
        <w:widowControl w:val="0"/>
        <w:spacing w:before="0" w:beforeAutospacing="0" w:after="0" w:afterAutospacing="0" w:line="580" w:lineRule="exact"/>
        <w:ind w:firstLine="420"/>
        <w:contextualSpacing/>
        <w:rPr>
          <w:rFonts w:ascii="Times New Roman" w:eastAsia="仿宋_GB2312" w:hAnsi="Times New Roman"/>
          <w:sz w:val="30"/>
          <w:szCs w:val="30"/>
        </w:rPr>
      </w:pPr>
      <w:r w:rsidRPr="007276EE">
        <w:rPr>
          <w:rFonts w:ascii="Times New Roman" w:eastAsia="仿宋_GB2312" w:hAnsi="Times New Roman"/>
          <w:sz w:val="30"/>
          <w:szCs w:val="30"/>
        </w:rPr>
        <w:t xml:space="preserve"> </w:t>
      </w:r>
      <w:r w:rsidRPr="007276EE">
        <w:rPr>
          <w:rFonts w:ascii="Times New Roman" w:eastAsia="仿宋_GB2312" w:hAnsi="Times New Roman"/>
          <w:sz w:val="30"/>
          <w:szCs w:val="30"/>
        </w:rPr>
        <w:t>积极应用移动互联网、物联网、云计算、可穿戴设备等新技术，推动惠及全市居民的健康信息服务和智慧医疗服务，推动健康大数据的应用，逐步转变服务模式，提高服务能力和管理水平。加强人口健康信息化建设，到</w:t>
      </w:r>
      <w:r w:rsidRPr="007276EE">
        <w:rPr>
          <w:rFonts w:ascii="Times New Roman" w:eastAsia="仿宋_GB2312" w:hAnsi="Times New Roman"/>
          <w:sz w:val="30"/>
          <w:szCs w:val="30"/>
        </w:rPr>
        <w:t>2020</w:t>
      </w:r>
      <w:r w:rsidRPr="007276EE">
        <w:rPr>
          <w:rFonts w:ascii="Times New Roman" w:eastAsia="仿宋_GB2312" w:hAnsi="Times New Roman"/>
          <w:sz w:val="30"/>
          <w:szCs w:val="30"/>
        </w:rPr>
        <w:t>年，实现全员人口信息、电子健康档案和电子病历三大数据库基本覆盖全市人口并信息动态更新。全面建成互联互通的市、县人口健康信息平台，实现公共卫生、计划生育、医疗服务、</w:t>
      </w:r>
      <w:r w:rsidRPr="007276EE">
        <w:rPr>
          <w:rFonts w:ascii="Times New Roman" w:eastAsia="仿宋_GB2312" w:hAnsi="Times New Roman"/>
          <w:sz w:val="30"/>
          <w:szCs w:val="30"/>
        </w:rPr>
        <w:lastRenderedPageBreak/>
        <w:t>医疗保障、药品供应、综合管理等六大业务应用系统的互联互通和业务协同。积极推动移动互联网、远程医疗服务等发展。普及应用居民健康卡，积极推进居民健康卡与社会保障卡、金融</w:t>
      </w:r>
      <w:r w:rsidRPr="007276EE">
        <w:rPr>
          <w:rFonts w:ascii="Times New Roman" w:eastAsia="仿宋_GB2312" w:hAnsi="Times New Roman"/>
          <w:sz w:val="30"/>
          <w:szCs w:val="30"/>
        </w:rPr>
        <w:t>IC</w:t>
      </w:r>
      <w:r w:rsidRPr="007276EE">
        <w:rPr>
          <w:rFonts w:ascii="Times New Roman" w:eastAsia="仿宋_GB2312" w:hAnsi="Times New Roman"/>
          <w:sz w:val="30"/>
          <w:szCs w:val="30"/>
        </w:rPr>
        <w:t>卡、市民服务卡等公共服务卡的应用集成，实现就医</w:t>
      </w:r>
      <w:r w:rsidRPr="007276EE">
        <w:rPr>
          <w:rFonts w:ascii="Times New Roman" w:eastAsia="仿宋_GB2312" w:hAnsi="Times New Roman"/>
          <w:sz w:val="30"/>
          <w:szCs w:val="30"/>
        </w:rPr>
        <w:t>“</w:t>
      </w:r>
      <w:r w:rsidRPr="007276EE">
        <w:rPr>
          <w:rFonts w:ascii="Times New Roman" w:eastAsia="仿宋_GB2312" w:hAnsi="Times New Roman"/>
          <w:sz w:val="30"/>
          <w:szCs w:val="30"/>
        </w:rPr>
        <w:t>一卡通</w:t>
      </w:r>
      <w:r w:rsidRPr="007276EE">
        <w:rPr>
          <w:rFonts w:ascii="Times New Roman" w:eastAsia="仿宋_GB2312" w:hAnsi="Times New Roman"/>
          <w:sz w:val="30"/>
          <w:szCs w:val="30"/>
        </w:rPr>
        <w:t>”</w:t>
      </w:r>
      <w:r w:rsidRPr="007276EE">
        <w:rPr>
          <w:rFonts w:ascii="Times New Roman" w:eastAsia="仿宋_GB2312" w:hAnsi="Times New Roman"/>
          <w:sz w:val="30"/>
          <w:szCs w:val="30"/>
        </w:rPr>
        <w:t>。建立完善人口健康信息化标准规范体系。加强信息安全防护体系建设。实现各级医疗服务、医疗保障与公共卫生服务的信息共享与业务协同。</w:t>
      </w:r>
    </w:p>
    <w:p w:rsidR="007276EE" w:rsidRPr="007276EE" w:rsidRDefault="007276EE" w:rsidP="000A3365">
      <w:pPr>
        <w:pStyle w:val="a6"/>
        <w:widowControl w:val="0"/>
        <w:spacing w:beforeLines="50" w:beforeAutospacing="0" w:afterLines="50" w:afterAutospacing="0" w:line="580" w:lineRule="exact"/>
        <w:ind w:firstLine="420"/>
        <w:contextualSpacing/>
        <w:jc w:val="center"/>
        <w:rPr>
          <w:rFonts w:ascii="黑体" w:eastAsia="黑体" w:hAnsi="黑体" w:cs="黑体"/>
          <w:sz w:val="30"/>
          <w:szCs w:val="30"/>
        </w:rPr>
      </w:pPr>
      <w:r w:rsidRPr="007276EE">
        <w:rPr>
          <w:rFonts w:ascii="黑体" w:eastAsia="黑体" w:hAnsi="黑体" w:cs="黑体" w:hint="eastAsia"/>
          <w:sz w:val="30"/>
          <w:szCs w:val="30"/>
        </w:rPr>
        <w:t>第五节   政策保障和组织实施</w:t>
      </w:r>
    </w:p>
    <w:p w:rsidR="007276EE" w:rsidRPr="007276EE" w:rsidRDefault="007276EE" w:rsidP="00D434B3">
      <w:pPr>
        <w:pStyle w:val="a6"/>
        <w:widowControl w:val="0"/>
        <w:spacing w:before="0" w:beforeAutospacing="0" w:after="0" w:afterAutospacing="0" w:line="580" w:lineRule="exact"/>
        <w:ind w:firstLine="420"/>
        <w:contextualSpacing/>
        <w:rPr>
          <w:rFonts w:ascii="Times New Roman" w:eastAsia="华文楷体" w:hAnsi="Times New Roman"/>
          <w:sz w:val="30"/>
          <w:szCs w:val="30"/>
        </w:rPr>
      </w:pPr>
      <w:r w:rsidRPr="007276EE">
        <w:rPr>
          <w:rFonts w:ascii="Times New Roman" w:eastAsia="华文楷体" w:hAnsi="Times New Roman"/>
          <w:sz w:val="30"/>
          <w:szCs w:val="30"/>
        </w:rPr>
        <w:t xml:space="preserve">  </w:t>
      </w:r>
      <w:r w:rsidRPr="007276EE">
        <w:rPr>
          <w:rFonts w:ascii="Times New Roman" w:eastAsia="华文楷体" w:hAnsi="Times New Roman"/>
          <w:sz w:val="30"/>
          <w:szCs w:val="30"/>
        </w:rPr>
        <w:t>一、政策保障</w:t>
      </w:r>
      <w:r w:rsidRPr="007276EE">
        <w:rPr>
          <w:rFonts w:ascii="Times New Roman" w:eastAsia="华文楷体" w:hAnsi="Times New Roman"/>
          <w:sz w:val="30"/>
          <w:szCs w:val="30"/>
        </w:rPr>
        <w:t xml:space="preserve"> </w:t>
      </w:r>
    </w:p>
    <w:p w:rsidR="007276EE" w:rsidRPr="007276EE" w:rsidRDefault="007276EE" w:rsidP="00D434B3">
      <w:pPr>
        <w:pStyle w:val="a6"/>
        <w:widowControl w:val="0"/>
        <w:spacing w:before="0" w:beforeAutospacing="0" w:after="0" w:afterAutospacing="0" w:line="580" w:lineRule="exact"/>
        <w:ind w:firstLine="420"/>
        <w:contextualSpacing/>
        <w:rPr>
          <w:rFonts w:ascii="仿宋_GB2312" w:eastAsia="仿宋_GB2312" w:hAnsi="仿宋_GB2312" w:cs="仿宋_GB2312"/>
          <w:sz w:val="30"/>
          <w:szCs w:val="30"/>
        </w:rPr>
      </w:pPr>
      <w:r w:rsidRPr="007276EE">
        <w:rPr>
          <w:rFonts w:ascii="Times New Roman" w:eastAsia="仿宋_GB2312" w:hAnsi="Times New Roman"/>
          <w:sz w:val="30"/>
          <w:szCs w:val="30"/>
        </w:rPr>
        <w:t xml:space="preserve">  </w:t>
      </w:r>
      <w:r w:rsidRPr="007276EE">
        <w:rPr>
          <w:rFonts w:ascii="仿宋_GB2312" w:eastAsia="仿宋_GB2312" w:hAnsi="仿宋_GB2312" w:cs="仿宋_GB2312" w:hint="eastAsia"/>
          <w:b/>
          <w:bCs/>
          <w:sz w:val="30"/>
          <w:szCs w:val="30"/>
        </w:rPr>
        <w:t>（一）完善政府主导的多元卫生投入机制。</w:t>
      </w:r>
      <w:r w:rsidRPr="007276EE">
        <w:rPr>
          <w:rFonts w:ascii="仿宋_GB2312" w:eastAsia="仿宋_GB2312" w:hAnsi="仿宋_GB2312" w:cs="仿宋_GB2312" w:hint="eastAsia"/>
          <w:sz w:val="30"/>
          <w:szCs w:val="30"/>
        </w:rPr>
        <w:t xml:space="preserve">明确政府在提供公共卫生和基本医疗服务中的主导地位，政府卫生投入增长幅度高于财政经常性支出的增长幅度，加大对公共卫生机构、基础医疗服务网络及其他基本医疗卫生服务、医学科研和人才建设等投入力度，对符合规划的公立医疗卫生机构的建设调整予以重点保障，对资源短缺的养老医疗护理、康复、精神卫生等在投入政策上予以适当倾斜。落实税收优惠政策，发挥相关基金会作用，鼓励和引导社会资本发展医疗卫生事业，形成投入主体多元化、投入方式多样化的办医格局。规划期内，逐步提高政府投入占卫生总费用的比例，合理控制个人支出占卫生总费用比例。 </w:t>
      </w:r>
    </w:p>
    <w:p w:rsidR="007276EE" w:rsidRPr="007276EE" w:rsidRDefault="007276EE" w:rsidP="00D434B3">
      <w:pPr>
        <w:pStyle w:val="a6"/>
        <w:widowControl w:val="0"/>
        <w:spacing w:before="0" w:beforeAutospacing="0" w:after="0" w:afterAutospacing="0" w:line="580" w:lineRule="exact"/>
        <w:ind w:firstLine="420"/>
        <w:contextualSpacing/>
        <w:rPr>
          <w:rFonts w:ascii="仿宋_GB2312" w:eastAsia="仿宋_GB2312" w:hAnsi="仿宋_GB2312" w:cs="仿宋_GB2312"/>
          <w:sz w:val="30"/>
          <w:szCs w:val="30"/>
        </w:rPr>
      </w:pPr>
      <w:r w:rsidRPr="007276EE">
        <w:rPr>
          <w:rFonts w:ascii="仿宋_GB2312" w:eastAsia="仿宋_GB2312" w:hAnsi="仿宋_GB2312" w:cs="仿宋_GB2312" w:hint="eastAsia"/>
          <w:sz w:val="30"/>
          <w:szCs w:val="30"/>
        </w:rPr>
        <w:t xml:space="preserve"> </w:t>
      </w:r>
      <w:r w:rsidRPr="007276EE">
        <w:rPr>
          <w:rFonts w:ascii="仿宋_GB2312" w:eastAsia="仿宋_GB2312" w:hAnsi="仿宋_GB2312" w:cs="仿宋_GB2312" w:hint="eastAsia"/>
          <w:b/>
          <w:bCs/>
          <w:sz w:val="30"/>
          <w:szCs w:val="30"/>
        </w:rPr>
        <w:t>（二）发挥城乡医保管理及医疗服务定价等政策调节作用。</w:t>
      </w:r>
      <w:r w:rsidRPr="007276EE">
        <w:rPr>
          <w:rFonts w:ascii="仿宋_GB2312" w:eastAsia="仿宋_GB2312" w:hAnsi="仿宋_GB2312" w:cs="仿宋_GB2312" w:hint="eastAsia"/>
          <w:sz w:val="30"/>
          <w:szCs w:val="30"/>
        </w:rPr>
        <w:t>通过完善城乡医保支付方式，加强对医疗服务供需双方行为调控，提高资源整体配置效率。完善城乡医保总额预付，科学核定预付总额，探索对医疗联合体的整体总额预付。推进单病种付费。进一步拉开在不同</w:t>
      </w:r>
      <w:r w:rsidRPr="007276EE">
        <w:rPr>
          <w:rFonts w:ascii="仿宋_GB2312" w:eastAsia="仿宋_GB2312" w:hAnsi="仿宋_GB2312" w:cs="仿宋_GB2312" w:hint="eastAsia"/>
          <w:sz w:val="30"/>
          <w:szCs w:val="30"/>
        </w:rPr>
        <w:lastRenderedPageBreak/>
        <w:t xml:space="preserve">级别医疗机构就医的报销比例差距，探索按住院时长梯度支付。在非营利性医疗机构的医疗服务价格实行最高指导价管理的基础上，实行分级定价，适当拉开不同级别医疗机构和不同职级医师的服务价格，提高和增加康复、中医等有关项目收费，通过价格杠杆促进相关专业发展，引导合理就医。实施对治疗、康复、护理床位医保支付和服务定价的分类管理。 </w:t>
      </w:r>
    </w:p>
    <w:p w:rsidR="007276EE" w:rsidRPr="007276EE" w:rsidRDefault="007276EE" w:rsidP="00D434B3">
      <w:pPr>
        <w:pStyle w:val="a6"/>
        <w:widowControl w:val="0"/>
        <w:spacing w:before="0" w:beforeAutospacing="0" w:after="0" w:afterAutospacing="0" w:line="580" w:lineRule="exact"/>
        <w:ind w:firstLine="420"/>
        <w:contextualSpacing/>
        <w:rPr>
          <w:rFonts w:ascii="仿宋_GB2312" w:eastAsia="仿宋_GB2312" w:hAnsi="仿宋_GB2312" w:cs="仿宋_GB2312"/>
          <w:sz w:val="30"/>
          <w:szCs w:val="30"/>
        </w:rPr>
      </w:pPr>
      <w:r w:rsidRPr="007276EE">
        <w:rPr>
          <w:rFonts w:ascii="仿宋_GB2312" w:eastAsia="仿宋_GB2312" w:hAnsi="仿宋_GB2312" w:cs="仿宋_GB2312" w:hint="eastAsia"/>
          <w:sz w:val="30"/>
          <w:szCs w:val="30"/>
        </w:rPr>
        <w:t xml:space="preserve"> </w:t>
      </w:r>
      <w:r w:rsidRPr="007276EE">
        <w:rPr>
          <w:rFonts w:ascii="仿宋_GB2312" w:eastAsia="仿宋_GB2312" w:hAnsi="仿宋_GB2312" w:cs="仿宋_GB2312" w:hint="eastAsia"/>
          <w:b/>
          <w:bCs/>
          <w:sz w:val="30"/>
          <w:szCs w:val="30"/>
        </w:rPr>
        <w:t>（三）建立高效规范的医疗卫生机构运行机制。</w:t>
      </w:r>
      <w:r w:rsidRPr="007276EE">
        <w:rPr>
          <w:rFonts w:ascii="仿宋_GB2312" w:eastAsia="仿宋_GB2312" w:hAnsi="仿宋_GB2312" w:cs="仿宋_GB2312" w:hint="eastAsia"/>
          <w:sz w:val="30"/>
          <w:szCs w:val="30"/>
        </w:rPr>
        <w:t xml:space="preserve">完善医院法人治理结构，实现所有权和经营权的适度分离，建立对经营者履行职责的激励和约束机制。以激活医疗机构微观运行效率、调动医务人员积极性为核心，推动公立医院机制创新。建立以公益性为导向的公立医院综合评价体系，加强绩效考核。严格控制公立医院建设规模、标准，放开民营医院发展。建立公共卫生机构综合评价体系，以履行政府公共卫生职能为导向，推进公共卫生绩效考核。 </w:t>
      </w:r>
    </w:p>
    <w:p w:rsidR="007276EE" w:rsidRPr="007276EE" w:rsidRDefault="007276EE" w:rsidP="00D434B3">
      <w:pPr>
        <w:pStyle w:val="a6"/>
        <w:widowControl w:val="0"/>
        <w:spacing w:before="0" w:beforeAutospacing="0" w:after="0" w:afterAutospacing="0" w:line="580" w:lineRule="exact"/>
        <w:ind w:firstLine="420"/>
        <w:contextualSpacing/>
        <w:rPr>
          <w:rFonts w:ascii="仿宋_GB2312" w:eastAsia="仿宋_GB2312" w:hAnsi="仿宋_GB2312" w:cs="仿宋_GB2312"/>
          <w:sz w:val="30"/>
          <w:szCs w:val="30"/>
        </w:rPr>
      </w:pPr>
      <w:r w:rsidRPr="007276EE">
        <w:rPr>
          <w:rFonts w:ascii="仿宋_GB2312" w:eastAsia="仿宋_GB2312" w:hAnsi="仿宋_GB2312" w:cs="仿宋_GB2312" w:hint="eastAsia"/>
          <w:sz w:val="30"/>
          <w:szCs w:val="30"/>
        </w:rPr>
        <w:t xml:space="preserve"> </w:t>
      </w:r>
      <w:r w:rsidRPr="007276EE">
        <w:rPr>
          <w:rFonts w:ascii="仿宋_GB2312" w:eastAsia="仿宋_GB2312" w:hAnsi="仿宋_GB2312" w:cs="仿宋_GB2312" w:hint="eastAsia"/>
          <w:b/>
          <w:bCs/>
          <w:sz w:val="30"/>
          <w:szCs w:val="30"/>
        </w:rPr>
        <w:t>（四）加强卫生法制建设和行业管理。</w:t>
      </w:r>
      <w:r w:rsidRPr="007276EE">
        <w:rPr>
          <w:rFonts w:ascii="仿宋_GB2312" w:eastAsia="仿宋_GB2312" w:hAnsi="仿宋_GB2312" w:cs="仿宋_GB2312" w:hint="eastAsia"/>
          <w:sz w:val="30"/>
          <w:szCs w:val="30"/>
        </w:rPr>
        <w:t>完善地方卫生</w:t>
      </w:r>
      <w:hyperlink r:id="rId8" w:tgtFrame="http://www.chinalawedu.com/new/201303/_blank" w:tooltip="法规" w:history="1">
        <w:r w:rsidRPr="007276EE">
          <w:rPr>
            <w:rStyle w:val="a3"/>
            <w:rFonts w:ascii="仿宋_GB2312" w:eastAsia="仿宋_GB2312" w:hAnsi="仿宋_GB2312" w:cs="仿宋_GB2312" w:hint="eastAsia"/>
            <w:color w:val="auto"/>
            <w:sz w:val="30"/>
            <w:szCs w:val="30"/>
          </w:rPr>
          <w:t>法规</w:t>
        </w:r>
      </w:hyperlink>
      <w:r w:rsidRPr="007276EE">
        <w:rPr>
          <w:rFonts w:ascii="仿宋_GB2312" w:eastAsia="仿宋_GB2312" w:hAnsi="仿宋_GB2312" w:cs="仿宋_GB2312" w:hint="eastAsia"/>
          <w:sz w:val="30"/>
          <w:szCs w:val="30"/>
        </w:rPr>
        <w:t xml:space="preserve">体系，加强卫生行政规范性文件制订。全面落实本规划提出的配置要求，细化相应的卫生标准。严格规范机构、床位、人员、设备、技术的许可准入，新增各类卫生资源，应提供论证报告，以证明符合本规划的要求和标准。加强医院等级评审和复核，健全医疗服务监测网络，完善医疗机构和医务人员不良执业积分和校验制度。完善诊疗常规和公共卫生服务规范，加强医疗卫生服务质控管理，规范医疗卫生服务行为。发展卫生行业协会、学会等第三方组织，通过购买服务和加强对第三方组织的管理，发挥在行业管理中的重要作用。 </w:t>
      </w:r>
    </w:p>
    <w:p w:rsidR="007276EE" w:rsidRPr="007276EE" w:rsidRDefault="007276EE" w:rsidP="00D434B3">
      <w:pPr>
        <w:pStyle w:val="a6"/>
        <w:widowControl w:val="0"/>
        <w:spacing w:before="0" w:beforeAutospacing="0" w:after="0" w:afterAutospacing="0" w:line="580" w:lineRule="exact"/>
        <w:ind w:firstLine="420"/>
        <w:contextualSpacing/>
        <w:rPr>
          <w:rFonts w:ascii="Times New Roman" w:eastAsia="华文楷体" w:hAnsi="Times New Roman"/>
          <w:b/>
          <w:bCs/>
          <w:sz w:val="30"/>
          <w:szCs w:val="30"/>
        </w:rPr>
      </w:pPr>
      <w:r w:rsidRPr="007276EE">
        <w:rPr>
          <w:rFonts w:ascii="Times New Roman" w:eastAsia="仿宋_GB2312" w:hAnsi="Times New Roman"/>
          <w:sz w:val="30"/>
          <w:szCs w:val="30"/>
        </w:rPr>
        <w:lastRenderedPageBreak/>
        <w:t xml:space="preserve"> </w:t>
      </w:r>
      <w:r w:rsidRPr="007276EE">
        <w:rPr>
          <w:rFonts w:ascii="Times New Roman" w:eastAsia="仿宋_GB2312" w:hAnsi="Times New Roman" w:hint="eastAsia"/>
          <w:sz w:val="30"/>
          <w:szCs w:val="30"/>
        </w:rPr>
        <w:t xml:space="preserve"> </w:t>
      </w:r>
      <w:r w:rsidRPr="007276EE">
        <w:rPr>
          <w:rFonts w:ascii="Times New Roman" w:eastAsia="华文楷体" w:hAnsi="Times New Roman"/>
          <w:sz w:val="30"/>
          <w:szCs w:val="30"/>
        </w:rPr>
        <w:t>二、组织实施</w:t>
      </w:r>
      <w:r w:rsidRPr="007276EE">
        <w:rPr>
          <w:rFonts w:ascii="Times New Roman" w:eastAsia="华文楷体" w:hAnsi="Times New Roman"/>
          <w:sz w:val="30"/>
          <w:szCs w:val="30"/>
        </w:rPr>
        <w:t xml:space="preserve"> </w:t>
      </w:r>
    </w:p>
    <w:p w:rsidR="007276EE" w:rsidRPr="007276EE" w:rsidRDefault="007276EE" w:rsidP="00D434B3">
      <w:pPr>
        <w:pStyle w:val="a6"/>
        <w:widowControl w:val="0"/>
        <w:spacing w:before="0" w:beforeAutospacing="0" w:after="0" w:afterAutospacing="0" w:line="580" w:lineRule="exact"/>
        <w:ind w:firstLine="420"/>
        <w:contextualSpacing/>
        <w:rPr>
          <w:rFonts w:ascii="仿宋_GB2312" w:eastAsia="仿宋_GB2312" w:hAnsi="仿宋_GB2312" w:cs="仿宋_GB2312"/>
          <w:b/>
          <w:bCs/>
          <w:sz w:val="30"/>
          <w:szCs w:val="30"/>
        </w:rPr>
      </w:pPr>
      <w:r w:rsidRPr="007276EE">
        <w:rPr>
          <w:rFonts w:ascii="仿宋_GB2312" w:eastAsia="仿宋_GB2312" w:hAnsi="仿宋_GB2312" w:cs="仿宋_GB2312" w:hint="eastAsia"/>
          <w:b/>
          <w:bCs/>
          <w:sz w:val="30"/>
          <w:szCs w:val="30"/>
        </w:rPr>
        <w:t xml:space="preserve"> （一）加强组织领导 </w:t>
      </w:r>
    </w:p>
    <w:p w:rsidR="007276EE" w:rsidRPr="007276EE" w:rsidRDefault="007276EE" w:rsidP="00D434B3">
      <w:pPr>
        <w:spacing w:line="580" w:lineRule="exact"/>
        <w:contextualSpacing/>
        <w:rPr>
          <w:rFonts w:ascii="仿宋_GB2312" w:hAnsi="仿宋_GB2312" w:cs="仿宋_GB2312"/>
          <w:sz w:val="30"/>
          <w:szCs w:val="30"/>
        </w:rPr>
      </w:pPr>
      <w:r w:rsidRPr="007276EE">
        <w:rPr>
          <w:rFonts w:ascii="仿宋_GB2312" w:hAnsi="仿宋_GB2312" w:cs="仿宋_GB2312" w:hint="eastAsia"/>
          <w:kern w:val="0"/>
          <w:sz w:val="30"/>
          <w:szCs w:val="30"/>
        </w:rPr>
        <w:t xml:space="preserve">    区域卫生规划是政府对卫生事业进行宏观调控的重要手段，要切实加强对区域卫生规划工作的领导，把区域卫生规划工作提上重要议事日程，列入政府的工作目标和考核目标，建立问责制。明确相关部门职责，卫生计生、发展改革、财政、城乡规划、人力资源社会保障、机构编制和中医药等部门要认真履行职责，协调一致地推进区域卫生规划工作。</w:t>
      </w:r>
    </w:p>
    <w:p w:rsidR="007276EE" w:rsidRPr="007276EE" w:rsidRDefault="007276EE" w:rsidP="00D434B3">
      <w:pPr>
        <w:pStyle w:val="a6"/>
        <w:widowControl w:val="0"/>
        <w:spacing w:before="0" w:beforeAutospacing="0" w:after="0" w:afterAutospacing="0" w:line="580" w:lineRule="exact"/>
        <w:ind w:firstLine="420"/>
        <w:contextualSpacing/>
        <w:rPr>
          <w:rFonts w:ascii="仿宋_GB2312" w:eastAsia="仿宋_GB2312" w:hAnsi="仿宋_GB2312" w:cs="仿宋_GB2312"/>
          <w:sz w:val="30"/>
          <w:szCs w:val="30"/>
        </w:rPr>
      </w:pPr>
      <w:r w:rsidRPr="007276EE">
        <w:rPr>
          <w:rFonts w:ascii="仿宋_GB2312" w:eastAsia="仿宋_GB2312" w:hAnsi="仿宋_GB2312" w:cs="仿宋_GB2312" w:hint="eastAsia"/>
          <w:sz w:val="30"/>
          <w:szCs w:val="30"/>
        </w:rPr>
        <w:t xml:space="preserve">  </w:t>
      </w:r>
      <w:r w:rsidRPr="007276EE">
        <w:rPr>
          <w:rFonts w:ascii="仿宋_GB2312" w:eastAsia="仿宋_GB2312" w:hAnsi="仿宋_GB2312" w:cs="仿宋_GB2312" w:hint="eastAsia"/>
          <w:b/>
          <w:bCs/>
          <w:sz w:val="30"/>
          <w:szCs w:val="30"/>
        </w:rPr>
        <w:t>（二）强化机构间分工协作</w:t>
      </w:r>
      <w:r w:rsidRPr="007276EE">
        <w:rPr>
          <w:rFonts w:ascii="仿宋_GB2312" w:eastAsia="仿宋_GB2312" w:hAnsi="仿宋_GB2312" w:cs="仿宋_GB2312" w:hint="eastAsia"/>
          <w:sz w:val="30"/>
          <w:szCs w:val="30"/>
        </w:rPr>
        <w:t xml:space="preserve"> </w:t>
      </w:r>
    </w:p>
    <w:p w:rsidR="007276EE" w:rsidRPr="007276EE" w:rsidRDefault="007276EE" w:rsidP="00D434B3">
      <w:pPr>
        <w:spacing w:line="580" w:lineRule="exact"/>
        <w:ind w:firstLine="640"/>
        <w:contextualSpacing/>
        <w:rPr>
          <w:rFonts w:ascii="仿宋_GB2312" w:hAnsi="仿宋_GB2312" w:cs="仿宋_GB2312"/>
          <w:kern w:val="0"/>
          <w:sz w:val="30"/>
          <w:szCs w:val="30"/>
        </w:rPr>
      </w:pPr>
      <w:r w:rsidRPr="007276EE">
        <w:rPr>
          <w:rFonts w:ascii="仿宋_GB2312" w:hAnsi="仿宋_GB2312" w:cs="仿宋_GB2312" w:hint="eastAsia"/>
          <w:kern w:val="0"/>
          <w:sz w:val="30"/>
          <w:szCs w:val="30"/>
        </w:rPr>
        <w:t>防治结合。专业公共卫生机构要对公立医院、基层医疗卫生机构和社会办医院开展公共卫生服务加强指导、培训和考核，建立信息共享与互联互通等协作机制。监督部门加强对医疗机构的监督检查。建立医疗机构承担公共卫生任务的补偿机制和服务购买机制。进一步拓展基层医疗卫生机构的功能，确保各项公共卫生任务落实到位。</w:t>
      </w:r>
    </w:p>
    <w:p w:rsidR="007276EE" w:rsidRPr="007276EE" w:rsidRDefault="007276EE" w:rsidP="00D434B3">
      <w:pPr>
        <w:spacing w:line="580" w:lineRule="exact"/>
        <w:contextualSpacing/>
        <w:jc w:val="left"/>
        <w:rPr>
          <w:rFonts w:ascii="仿宋_GB2312" w:hAnsi="仿宋_GB2312" w:cs="仿宋_GB2312"/>
          <w:kern w:val="0"/>
          <w:sz w:val="30"/>
          <w:szCs w:val="30"/>
        </w:rPr>
      </w:pPr>
      <w:r w:rsidRPr="007276EE">
        <w:rPr>
          <w:rFonts w:ascii="仿宋_GB2312" w:hAnsi="仿宋_GB2312" w:cs="仿宋_GB2312" w:hint="eastAsia"/>
          <w:kern w:val="0"/>
          <w:sz w:val="30"/>
          <w:szCs w:val="30"/>
        </w:rPr>
        <w:t xml:space="preserve">    上下联动。建立并完善分级诊疗模式，综合运用医保支付、价格杠杆等措施，建立不同级别医院之间，医院与基层医疗卫生机构、接续性医疗机构之间的分工协作机制，健全城乡基层医疗卫生服务网络化运行机制，逐步实现基层首诊、双向转诊、上下联动、急慢分治的分级诊疗秩序。逐步形成完善治疗—康复—长期护理服务链，发展和加强康复、老年长期护理、慢性病管理、临终关怀等接续性医疗机构。</w:t>
      </w:r>
    </w:p>
    <w:p w:rsidR="007276EE" w:rsidRPr="007276EE" w:rsidRDefault="007276EE" w:rsidP="00D434B3">
      <w:pPr>
        <w:spacing w:line="580" w:lineRule="exact"/>
        <w:contextualSpacing/>
        <w:jc w:val="left"/>
        <w:rPr>
          <w:rFonts w:ascii="仿宋_GB2312" w:hAnsi="仿宋_GB2312" w:cs="仿宋_GB2312"/>
          <w:kern w:val="0"/>
          <w:sz w:val="30"/>
          <w:szCs w:val="30"/>
        </w:rPr>
      </w:pPr>
      <w:r w:rsidRPr="007276EE">
        <w:rPr>
          <w:rFonts w:ascii="仿宋_GB2312" w:hAnsi="仿宋_GB2312" w:cs="仿宋_GB2312" w:hint="eastAsia"/>
          <w:kern w:val="0"/>
          <w:sz w:val="30"/>
          <w:szCs w:val="30"/>
        </w:rPr>
        <w:t xml:space="preserve">    中西医并重。坚持中西医并重方针，以积极、科学、合理、高效为原则，做好中医医疗服务资源配置。加强综合医院、专科医院中医</w:t>
      </w:r>
      <w:r w:rsidRPr="007276EE">
        <w:rPr>
          <w:rFonts w:ascii="仿宋_GB2312" w:hAnsi="仿宋_GB2312" w:cs="仿宋_GB2312" w:hint="eastAsia"/>
          <w:kern w:val="0"/>
          <w:sz w:val="30"/>
          <w:szCs w:val="30"/>
        </w:rPr>
        <w:lastRenderedPageBreak/>
        <w:t>临床科室和中药房设置，增强中医科室服务能力。</w:t>
      </w:r>
    </w:p>
    <w:p w:rsidR="007276EE" w:rsidRPr="007276EE" w:rsidRDefault="007276EE" w:rsidP="00D434B3">
      <w:pPr>
        <w:spacing w:line="580" w:lineRule="exact"/>
        <w:contextualSpacing/>
        <w:rPr>
          <w:rFonts w:ascii="仿宋_GB2312" w:hAnsi="仿宋_GB2312" w:cs="仿宋_GB2312"/>
          <w:kern w:val="0"/>
          <w:sz w:val="30"/>
          <w:szCs w:val="30"/>
        </w:rPr>
      </w:pPr>
      <w:r w:rsidRPr="007276EE">
        <w:rPr>
          <w:rFonts w:ascii="仿宋_GB2312" w:hAnsi="仿宋_GB2312" w:cs="仿宋_GB2312" w:hint="eastAsia"/>
          <w:kern w:val="0"/>
          <w:sz w:val="30"/>
          <w:szCs w:val="30"/>
        </w:rPr>
        <w:t xml:space="preserve">    多元发展。加强社会办医疗机构与公立医疗卫生机构的协同发展，提高医疗卫生资源的整体效率，社会力量可以直接投向资源稀缺及满足多元需求的服务领域，也可以多种形式参与国有企业所办医疗机构等部分公立医院改制重组。鼓励社会资本走专业化、高端化、精细化路子，重点发展专科医院和高端医疗，与公立医院实现优势互补、错位发展。鼓励社会资本做大做强，举办高水平、规模化的大型医疗机构或医院集团。社会办医院医疗服务价格实行市场调节价。鼓励政府购买社会办医院提供的服务。社会力量要加强自身管理，不断强化自身能力，与专业公共卫生机构密切合作，确保公共卫生工作顺利开展。</w:t>
      </w:r>
    </w:p>
    <w:p w:rsidR="007276EE" w:rsidRPr="007276EE" w:rsidRDefault="007276EE" w:rsidP="00D434B3">
      <w:pPr>
        <w:pStyle w:val="a6"/>
        <w:widowControl w:val="0"/>
        <w:spacing w:before="0" w:beforeAutospacing="0" w:after="0" w:afterAutospacing="0" w:line="580" w:lineRule="exact"/>
        <w:ind w:firstLine="420"/>
        <w:contextualSpacing/>
        <w:rPr>
          <w:rFonts w:ascii="仿宋_GB2312" w:eastAsia="仿宋_GB2312" w:hAnsi="仿宋_GB2312" w:cs="仿宋_GB2312"/>
          <w:sz w:val="30"/>
          <w:szCs w:val="30"/>
        </w:rPr>
      </w:pPr>
      <w:r w:rsidRPr="007276EE">
        <w:rPr>
          <w:rFonts w:ascii="仿宋_GB2312" w:eastAsia="仿宋_GB2312" w:hAnsi="仿宋_GB2312" w:cs="仿宋_GB2312" w:hint="eastAsia"/>
          <w:sz w:val="30"/>
          <w:szCs w:val="30"/>
        </w:rPr>
        <w:t xml:space="preserve"> 医养结合。鼓励建设医疗和养老机构结合体。支持有条件的医疗机构设置养老床位。推动二级以上医院与老年病医院、老年护理院、康复疗养机构、养老机构内设医疗机构等之间的转诊与合作。 </w:t>
      </w:r>
    </w:p>
    <w:p w:rsidR="007276EE" w:rsidRPr="007276EE" w:rsidRDefault="007276EE" w:rsidP="00D434B3">
      <w:pPr>
        <w:pStyle w:val="a6"/>
        <w:widowControl w:val="0"/>
        <w:spacing w:before="0" w:beforeAutospacing="0" w:after="0" w:afterAutospacing="0" w:line="580" w:lineRule="exact"/>
        <w:ind w:firstLine="420"/>
        <w:contextualSpacing/>
        <w:rPr>
          <w:rFonts w:ascii="仿宋_GB2312" w:eastAsia="仿宋_GB2312" w:hAnsi="仿宋_GB2312" w:cs="仿宋_GB2312"/>
          <w:sz w:val="30"/>
          <w:szCs w:val="30"/>
        </w:rPr>
      </w:pPr>
      <w:r w:rsidRPr="007276EE">
        <w:rPr>
          <w:rFonts w:ascii="仿宋_GB2312" w:eastAsia="仿宋_GB2312" w:hAnsi="仿宋_GB2312" w:cs="仿宋_GB2312" w:hint="eastAsia"/>
          <w:sz w:val="30"/>
          <w:szCs w:val="30"/>
        </w:rPr>
        <w:t xml:space="preserve"> </w:t>
      </w:r>
      <w:r w:rsidRPr="007276EE">
        <w:rPr>
          <w:rFonts w:ascii="仿宋_GB2312" w:eastAsia="仿宋_GB2312" w:hAnsi="仿宋_GB2312" w:cs="仿宋_GB2312" w:hint="eastAsia"/>
          <w:b/>
          <w:bCs/>
          <w:sz w:val="30"/>
          <w:szCs w:val="30"/>
        </w:rPr>
        <w:t>（三）加强考核评价</w:t>
      </w:r>
      <w:r w:rsidRPr="007276EE">
        <w:rPr>
          <w:rFonts w:ascii="仿宋_GB2312" w:eastAsia="仿宋_GB2312" w:hAnsi="仿宋_GB2312" w:cs="仿宋_GB2312" w:hint="eastAsia"/>
          <w:sz w:val="30"/>
          <w:szCs w:val="30"/>
        </w:rPr>
        <w:t xml:space="preserve"> </w:t>
      </w:r>
    </w:p>
    <w:p w:rsidR="009567C4" w:rsidRPr="007276EE" w:rsidRDefault="007276EE" w:rsidP="000A3365">
      <w:pPr>
        <w:pStyle w:val="a6"/>
        <w:widowControl w:val="0"/>
        <w:spacing w:before="0" w:beforeAutospacing="0" w:after="0" w:afterAutospacing="0" w:line="580" w:lineRule="exact"/>
        <w:ind w:firstLine="420"/>
        <w:contextualSpacing/>
      </w:pPr>
      <w:r w:rsidRPr="007276EE">
        <w:rPr>
          <w:rFonts w:ascii="仿宋_GB2312" w:eastAsia="仿宋_GB2312" w:hAnsi="仿宋_GB2312" w:cs="仿宋_GB2312" w:hint="eastAsia"/>
          <w:sz w:val="30"/>
          <w:szCs w:val="30"/>
        </w:rPr>
        <w:t xml:space="preserve"> 加强规划管理，维护规划的指导性、权威性和严肃性，完善工作机制，确保规划顺利实施。建立规划实施监测机制，科学设定监测目标，逐步建立规划实施动态监测体系。建立规划实施评估机制，完善评价体系和评价办法，拓宽民主评议渠道，加强规划实施中期和末期评估。建立规划动态调整机制，根据评估发现的规划实施中存在的问题以及不确定因素，按照规定的程序及时调整规划内容。建立规划评价激励机制，对在评价、评估工作中做出突出成绩的单位进行表彰。建立规划实施问责制度，加强绩效考核，落实工作责任。 </w:t>
      </w:r>
    </w:p>
    <w:sectPr w:rsidR="009567C4" w:rsidRPr="007276EE" w:rsidSect="00CA68B5">
      <w:footerReference w:type="even" r:id="rId9"/>
      <w:footerReference w:type="default" r:id="rId10"/>
      <w:pgSz w:w="11906" w:h="16838" w:code="9"/>
      <w:pgMar w:top="1985" w:right="1418" w:bottom="1985" w:left="1418" w:header="851" w:footer="1361" w:gutter="0"/>
      <w:pgNumType w:fmt="numberInDash" w:start="2"/>
      <w:cols w:space="720"/>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3632" w:rsidRDefault="00F43632">
      <w:r>
        <w:separator/>
      </w:r>
    </w:p>
  </w:endnote>
  <w:endnote w:type="continuationSeparator" w:id="1">
    <w:p w:rsidR="00F43632" w:rsidRDefault="00F436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B9F" w:rsidRPr="000D21DD" w:rsidRDefault="00EB3050" w:rsidP="008F3B9F">
    <w:pPr>
      <w:pStyle w:val="a5"/>
      <w:rPr>
        <w:rFonts w:ascii="仿宋_GB2312" w:eastAsia="仿宋_GB2312"/>
        <w:sz w:val="28"/>
        <w:szCs w:val="28"/>
      </w:rPr>
    </w:pPr>
    <w:r w:rsidRPr="000D21DD">
      <w:rPr>
        <w:rFonts w:ascii="仿宋_GB2312" w:eastAsia="仿宋_GB2312" w:hint="eastAsia"/>
        <w:sz w:val="28"/>
        <w:szCs w:val="28"/>
      </w:rPr>
      <w:fldChar w:fldCharType="begin"/>
    </w:r>
    <w:r w:rsidR="008F3B9F" w:rsidRPr="000D21DD">
      <w:rPr>
        <w:rFonts w:ascii="仿宋_GB2312" w:eastAsia="仿宋_GB2312" w:hint="eastAsia"/>
        <w:sz w:val="28"/>
        <w:szCs w:val="28"/>
      </w:rPr>
      <w:instrText xml:space="preserve"> PAGE   \* MERGEFORMAT </w:instrText>
    </w:r>
    <w:r w:rsidRPr="000D21DD">
      <w:rPr>
        <w:rFonts w:ascii="仿宋_GB2312" w:eastAsia="仿宋_GB2312" w:hint="eastAsia"/>
        <w:sz w:val="28"/>
        <w:szCs w:val="28"/>
      </w:rPr>
      <w:fldChar w:fldCharType="separate"/>
    </w:r>
    <w:r w:rsidR="000A3365" w:rsidRPr="000A3365">
      <w:rPr>
        <w:rFonts w:ascii="仿宋_GB2312" w:eastAsia="仿宋_GB2312"/>
        <w:noProof/>
        <w:sz w:val="28"/>
        <w:szCs w:val="28"/>
        <w:lang w:val="zh-CN"/>
      </w:rPr>
      <w:t>-</w:t>
    </w:r>
    <w:r w:rsidR="000A3365">
      <w:rPr>
        <w:rFonts w:ascii="仿宋_GB2312" w:eastAsia="仿宋_GB2312"/>
        <w:noProof/>
        <w:sz w:val="28"/>
        <w:szCs w:val="28"/>
      </w:rPr>
      <w:t xml:space="preserve"> 36 -</w:t>
    </w:r>
    <w:r w:rsidRPr="000D21DD">
      <w:rPr>
        <w:rFonts w:ascii="仿宋_GB2312" w:eastAsia="仿宋_GB2312" w:hint="eastAsia"/>
        <w:sz w:val="28"/>
        <w:szCs w:val="28"/>
      </w:rPr>
      <w:fldChar w:fldCharType="end"/>
    </w:r>
  </w:p>
  <w:p w:rsidR="00BB2ABA" w:rsidRPr="008F3B9F" w:rsidRDefault="00BB2ABA" w:rsidP="008F3B9F">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B9F" w:rsidRPr="000D21DD" w:rsidRDefault="00EB3050" w:rsidP="008F3B9F">
    <w:pPr>
      <w:pStyle w:val="a5"/>
      <w:jc w:val="right"/>
      <w:rPr>
        <w:rFonts w:ascii="仿宋_GB2312" w:eastAsia="仿宋_GB2312"/>
        <w:sz w:val="28"/>
        <w:szCs w:val="28"/>
      </w:rPr>
    </w:pPr>
    <w:r w:rsidRPr="000D21DD">
      <w:rPr>
        <w:rFonts w:ascii="仿宋_GB2312" w:eastAsia="仿宋_GB2312" w:hint="eastAsia"/>
        <w:sz w:val="28"/>
        <w:szCs w:val="28"/>
      </w:rPr>
      <w:fldChar w:fldCharType="begin"/>
    </w:r>
    <w:r w:rsidR="008F3B9F" w:rsidRPr="000D21DD">
      <w:rPr>
        <w:rFonts w:ascii="仿宋_GB2312" w:eastAsia="仿宋_GB2312" w:hint="eastAsia"/>
        <w:sz w:val="28"/>
        <w:szCs w:val="28"/>
      </w:rPr>
      <w:instrText xml:space="preserve"> PAGE   \* MERGEFORMAT </w:instrText>
    </w:r>
    <w:r w:rsidRPr="000D21DD">
      <w:rPr>
        <w:rFonts w:ascii="仿宋_GB2312" w:eastAsia="仿宋_GB2312" w:hint="eastAsia"/>
        <w:sz w:val="28"/>
        <w:szCs w:val="28"/>
      </w:rPr>
      <w:fldChar w:fldCharType="separate"/>
    </w:r>
    <w:r w:rsidR="000A3365" w:rsidRPr="000A3365">
      <w:rPr>
        <w:rFonts w:ascii="仿宋_GB2312" w:eastAsia="仿宋_GB2312"/>
        <w:noProof/>
        <w:sz w:val="28"/>
        <w:szCs w:val="28"/>
        <w:lang w:val="zh-CN"/>
      </w:rPr>
      <w:t>-</w:t>
    </w:r>
    <w:r w:rsidR="000A3365">
      <w:rPr>
        <w:rFonts w:ascii="仿宋_GB2312" w:eastAsia="仿宋_GB2312"/>
        <w:noProof/>
        <w:sz w:val="28"/>
        <w:szCs w:val="28"/>
      </w:rPr>
      <w:t xml:space="preserve"> 37 -</w:t>
    </w:r>
    <w:r w:rsidRPr="000D21DD">
      <w:rPr>
        <w:rFonts w:ascii="仿宋_GB2312" w:eastAsia="仿宋_GB2312" w:hint="eastAsia"/>
        <w:sz w:val="28"/>
        <w:szCs w:val="28"/>
      </w:rPr>
      <w:fldChar w:fldCharType="end"/>
    </w:r>
  </w:p>
  <w:p w:rsidR="003304E7" w:rsidRDefault="003304E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3632" w:rsidRDefault="00F43632">
      <w:r>
        <w:separator/>
      </w:r>
    </w:p>
  </w:footnote>
  <w:footnote w:type="continuationSeparator" w:id="1">
    <w:p w:rsidR="00F43632" w:rsidRDefault="00F4363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A561A2"/>
    <w:multiLevelType w:val="singleLevel"/>
    <w:tmpl w:val="58A561A2"/>
    <w:lvl w:ilvl="0">
      <w:start w:val="2"/>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attachedTemplate r:id="rId1"/>
  <w:stylePaneFormatFilter w:val="3F01"/>
  <w:defaultTabStop w:val="420"/>
  <w:evenAndOddHeaders/>
  <w:drawingGridHorizontalSpacing w:val="160"/>
  <w:drawingGridVerticalSpacing w:val="435"/>
  <w:displayHorizontalDrawingGridEvery w:val="2"/>
  <w:noPunctuationKerning/>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00123E16"/>
    <w:rsid w:val="000009E2"/>
    <w:rsid w:val="0000376D"/>
    <w:rsid w:val="00003DEE"/>
    <w:rsid w:val="000048A0"/>
    <w:rsid w:val="000102A9"/>
    <w:rsid w:val="00010E38"/>
    <w:rsid w:val="000142A8"/>
    <w:rsid w:val="000167A1"/>
    <w:rsid w:val="000176B5"/>
    <w:rsid w:val="0002499D"/>
    <w:rsid w:val="00025012"/>
    <w:rsid w:val="00030845"/>
    <w:rsid w:val="0003385C"/>
    <w:rsid w:val="00037572"/>
    <w:rsid w:val="00037E2F"/>
    <w:rsid w:val="000408F6"/>
    <w:rsid w:val="00044012"/>
    <w:rsid w:val="00047E2D"/>
    <w:rsid w:val="00053358"/>
    <w:rsid w:val="0005656E"/>
    <w:rsid w:val="00056894"/>
    <w:rsid w:val="00060063"/>
    <w:rsid w:val="0006025C"/>
    <w:rsid w:val="000628A5"/>
    <w:rsid w:val="00067672"/>
    <w:rsid w:val="000706D8"/>
    <w:rsid w:val="000773EE"/>
    <w:rsid w:val="0008096F"/>
    <w:rsid w:val="00082562"/>
    <w:rsid w:val="00085652"/>
    <w:rsid w:val="0009162A"/>
    <w:rsid w:val="00092860"/>
    <w:rsid w:val="00094217"/>
    <w:rsid w:val="00095288"/>
    <w:rsid w:val="000969D9"/>
    <w:rsid w:val="000A049A"/>
    <w:rsid w:val="000A1051"/>
    <w:rsid w:val="000A3365"/>
    <w:rsid w:val="000B223E"/>
    <w:rsid w:val="000B4A06"/>
    <w:rsid w:val="000B5975"/>
    <w:rsid w:val="000B61EE"/>
    <w:rsid w:val="000B68C0"/>
    <w:rsid w:val="000B6F63"/>
    <w:rsid w:val="000B7E5C"/>
    <w:rsid w:val="000C0528"/>
    <w:rsid w:val="000C0EFD"/>
    <w:rsid w:val="000C1FB6"/>
    <w:rsid w:val="000C56BF"/>
    <w:rsid w:val="000C57DF"/>
    <w:rsid w:val="000D21DD"/>
    <w:rsid w:val="000E2C67"/>
    <w:rsid w:val="000F19D5"/>
    <w:rsid w:val="000F58F5"/>
    <w:rsid w:val="000F6DE0"/>
    <w:rsid w:val="000F7141"/>
    <w:rsid w:val="0010415A"/>
    <w:rsid w:val="00105B3F"/>
    <w:rsid w:val="00106F21"/>
    <w:rsid w:val="00110BA4"/>
    <w:rsid w:val="0011586F"/>
    <w:rsid w:val="0012099B"/>
    <w:rsid w:val="00120FC9"/>
    <w:rsid w:val="001213C5"/>
    <w:rsid w:val="00123984"/>
    <w:rsid w:val="00123E16"/>
    <w:rsid w:val="00130ADD"/>
    <w:rsid w:val="00133102"/>
    <w:rsid w:val="00133877"/>
    <w:rsid w:val="00135AD9"/>
    <w:rsid w:val="00137207"/>
    <w:rsid w:val="00137683"/>
    <w:rsid w:val="001432C2"/>
    <w:rsid w:val="00145798"/>
    <w:rsid w:val="001509BB"/>
    <w:rsid w:val="001539FC"/>
    <w:rsid w:val="0016002E"/>
    <w:rsid w:val="001629C6"/>
    <w:rsid w:val="00164F24"/>
    <w:rsid w:val="00166F90"/>
    <w:rsid w:val="00171BDA"/>
    <w:rsid w:val="00171FE7"/>
    <w:rsid w:val="0017276E"/>
    <w:rsid w:val="00173035"/>
    <w:rsid w:val="00174E6A"/>
    <w:rsid w:val="00176B6C"/>
    <w:rsid w:val="00181C59"/>
    <w:rsid w:val="001829CF"/>
    <w:rsid w:val="0018315C"/>
    <w:rsid w:val="00183ECB"/>
    <w:rsid w:val="00187D75"/>
    <w:rsid w:val="00190101"/>
    <w:rsid w:val="001913C3"/>
    <w:rsid w:val="00193AF2"/>
    <w:rsid w:val="001A38A8"/>
    <w:rsid w:val="001A63B7"/>
    <w:rsid w:val="001A772E"/>
    <w:rsid w:val="001B103F"/>
    <w:rsid w:val="001B11E7"/>
    <w:rsid w:val="001B36D2"/>
    <w:rsid w:val="001B3B3E"/>
    <w:rsid w:val="001B4388"/>
    <w:rsid w:val="001B6875"/>
    <w:rsid w:val="001C0374"/>
    <w:rsid w:val="001C2A76"/>
    <w:rsid w:val="001C2FCF"/>
    <w:rsid w:val="001C5404"/>
    <w:rsid w:val="001C549A"/>
    <w:rsid w:val="001C58E4"/>
    <w:rsid w:val="001C5F7D"/>
    <w:rsid w:val="001C7E32"/>
    <w:rsid w:val="001D136B"/>
    <w:rsid w:val="001D1483"/>
    <w:rsid w:val="001D22B9"/>
    <w:rsid w:val="001D2EC0"/>
    <w:rsid w:val="001D48CD"/>
    <w:rsid w:val="001D4B02"/>
    <w:rsid w:val="001D75B8"/>
    <w:rsid w:val="001E1F9F"/>
    <w:rsid w:val="001E2FDE"/>
    <w:rsid w:val="001E355A"/>
    <w:rsid w:val="001E3735"/>
    <w:rsid w:val="001E4880"/>
    <w:rsid w:val="001E4949"/>
    <w:rsid w:val="001E7A5D"/>
    <w:rsid w:val="001F0794"/>
    <w:rsid w:val="001F3245"/>
    <w:rsid w:val="001F4156"/>
    <w:rsid w:val="001F498E"/>
    <w:rsid w:val="001F709E"/>
    <w:rsid w:val="001F74D1"/>
    <w:rsid w:val="0020480B"/>
    <w:rsid w:val="002058EC"/>
    <w:rsid w:val="00206A73"/>
    <w:rsid w:val="00210E23"/>
    <w:rsid w:val="002116B8"/>
    <w:rsid w:val="00212E52"/>
    <w:rsid w:val="002150E3"/>
    <w:rsid w:val="0022503A"/>
    <w:rsid w:val="00227854"/>
    <w:rsid w:val="00233716"/>
    <w:rsid w:val="00242293"/>
    <w:rsid w:val="00244CE6"/>
    <w:rsid w:val="002500AF"/>
    <w:rsid w:val="0025057A"/>
    <w:rsid w:val="0025075F"/>
    <w:rsid w:val="002523E2"/>
    <w:rsid w:val="00252ED2"/>
    <w:rsid w:val="002554E3"/>
    <w:rsid w:val="00255A96"/>
    <w:rsid w:val="00256A7E"/>
    <w:rsid w:val="002612F1"/>
    <w:rsid w:val="00262ABE"/>
    <w:rsid w:val="00264239"/>
    <w:rsid w:val="00276882"/>
    <w:rsid w:val="00280CEB"/>
    <w:rsid w:val="00281384"/>
    <w:rsid w:val="00283090"/>
    <w:rsid w:val="00284563"/>
    <w:rsid w:val="002906C8"/>
    <w:rsid w:val="00291F44"/>
    <w:rsid w:val="00291FFD"/>
    <w:rsid w:val="002A07B7"/>
    <w:rsid w:val="002A0D68"/>
    <w:rsid w:val="002A2E20"/>
    <w:rsid w:val="002A3EB1"/>
    <w:rsid w:val="002A425B"/>
    <w:rsid w:val="002A79C2"/>
    <w:rsid w:val="002B0473"/>
    <w:rsid w:val="002B2AFF"/>
    <w:rsid w:val="002B2FA5"/>
    <w:rsid w:val="002B4D2C"/>
    <w:rsid w:val="002B54B8"/>
    <w:rsid w:val="002B71DE"/>
    <w:rsid w:val="002C118B"/>
    <w:rsid w:val="002C6AD3"/>
    <w:rsid w:val="002C76F4"/>
    <w:rsid w:val="002D07A7"/>
    <w:rsid w:val="002D22EE"/>
    <w:rsid w:val="002D3E81"/>
    <w:rsid w:val="002D43A2"/>
    <w:rsid w:val="002D4914"/>
    <w:rsid w:val="002D7054"/>
    <w:rsid w:val="002E1516"/>
    <w:rsid w:val="002E1626"/>
    <w:rsid w:val="002E1983"/>
    <w:rsid w:val="002E3A88"/>
    <w:rsid w:val="002E677E"/>
    <w:rsid w:val="002E73E7"/>
    <w:rsid w:val="002F48B9"/>
    <w:rsid w:val="002F4ADA"/>
    <w:rsid w:val="002F73AF"/>
    <w:rsid w:val="00304E8D"/>
    <w:rsid w:val="00305030"/>
    <w:rsid w:val="00305D55"/>
    <w:rsid w:val="00306D04"/>
    <w:rsid w:val="00312206"/>
    <w:rsid w:val="00313A56"/>
    <w:rsid w:val="00315BDF"/>
    <w:rsid w:val="00315C26"/>
    <w:rsid w:val="00317901"/>
    <w:rsid w:val="003216E6"/>
    <w:rsid w:val="00323DAA"/>
    <w:rsid w:val="00327A75"/>
    <w:rsid w:val="003304E7"/>
    <w:rsid w:val="00331771"/>
    <w:rsid w:val="0033351A"/>
    <w:rsid w:val="00333ACE"/>
    <w:rsid w:val="00333DF5"/>
    <w:rsid w:val="003433DB"/>
    <w:rsid w:val="00347A5E"/>
    <w:rsid w:val="00347BCA"/>
    <w:rsid w:val="003526C8"/>
    <w:rsid w:val="00353A4E"/>
    <w:rsid w:val="003555EF"/>
    <w:rsid w:val="003564BA"/>
    <w:rsid w:val="00362D2F"/>
    <w:rsid w:val="00366B3C"/>
    <w:rsid w:val="003704AE"/>
    <w:rsid w:val="003714D8"/>
    <w:rsid w:val="003715B4"/>
    <w:rsid w:val="00373764"/>
    <w:rsid w:val="00374153"/>
    <w:rsid w:val="003741B4"/>
    <w:rsid w:val="003748ED"/>
    <w:rsid w:val="00377D42"/>
    <w:rsid w:val="00377F4C"/>
    <w:rsid w:val="003810FC"/>
    <w:rsid w:val="00381569"/>
    <w:rsid w:val="00382119"/>
    <w:rsid w:val="00382652"/>
    <w:rsid w:val="0038654B"/>
    <w:rsid w:val="003901B9"/>
    <w:rsid w:val="003963EA"/>
    <w:rsid w:val="00396D12"/>
    <w:rsid w:val="003970E9"/>
    <w:rsid w:val="003A1D91"/>
    <w:rsid w:val="003A3750"/>
    <w:rsid w:val="003A7982"/>
    <w:rsid w:val="003B0715"/>
    <w:rsid w:val="003B1A05"/>
    <w:rsid w:val="003B3E5C"/>
    <w:rsid w:val="003B7183"/>
    <w:rsid w:val="003C1DAF"/>
    <w:rsid w:val="003C2445"/>
    <w:rsid w:val="003C3D6C"/>
    <w:rsid w:val="003C6E22"/>
    <w:rsid w:val="003D156E"/>
    <w:rsid w:val="003D21DA"/>
    <w:rsid w:val="003D66C5"/>
    <w:rsid w:val="003E00DA"/>
    <w:rsid w:val="003E131C"/>
    <w:rsid w:val="003E314A"/>
    <w:rsid w:val="003E53D2"/>
    <w:rsid w:val="003E7237"/>
    <w:rsid w:val="003F1738"/>
    <w:rsid w:val="003F3E66"/>
    <w:rsid w:val="003F5F6B"/>
    <w:rsid w:val="004019A3"/>
    <w:rsid w:val="004076BB"/>
    <w:rsid w:val="00411060"/>
    <w:rsid w:val="0042336D"/>
    <w:rsid w:val="004276E9"/>
    <w:rsid w:val="00431CC1"/>
    <w:rsid w:val="00433991"/>
    <w:rsid w:val="0043627D"/>
    <w:rsid w:val="0043669F"/>
    <w:rsid w:val="004422D9"/>
    <w:rsid w:val="0044427C"/>
    <w:rsid w:val="00445754"/>
    <w:rsid w:val="00450E26"/>
    <w:rsid w:val="00453500"/>
    <w:rsid w:val="00453604"/>
    <w:rsid w:val="0045561E"/>
    <w:rsid w:val="004573D1"/>
    <w:rsid w:val="004633D6"/>
    <w:rsid w:val="0046384C"/>
    <w:rsid w:val="00463EE7"/>
    <w:rsid w:val="00471505"/>
    <w:rsid w:val="004758CB"/>
    <w:rsid w:val="00480590"/>
    <w:rsid w:val="00482563"/>
    <w:rsid w:val="00483A3A"/>
    <w:rsid w:val="00483F19"/>
    <w:rsid w:val="004840FE"/>
    <w:rsid w:val="00484BAB"/>
    <w:rsid w:val="00486E5C"/>
    <w:rsid w:val="00487B5C"/>
    <w:rsid w:val="00491BBB"/>
    <w:rsid w:val="00495B30"/>
    <w:rsid w:val="004A5192"/>
    <w:rsid w:val="004A52DC"/>
    <w:rsid w:val="004B21EA"/>
    <w:rsid w:val="004B281D"/>
    <w:rsid w:val="004B44C7"/>
    <w:rsid w:val="004B494E"/>
    <w:rsid w:val="004B56DD"/>
    <w:rsid w:val="004C02A6"/>
    <w:rsid w:val="004C3A9D"/>
    <w:rsid w:val="004C3BEC"/>
    <w:rsid w:val="004D2169"/>
    <w:rsid w:val="004D52BE"/>
    <w:rsid w:val="004D6218"/>
    <w:rsid w:val="004D798B"/>
    <w:rsid w:val="004E740E"/>
    <w:rsid w:val="004F06EC"/>
    <w:rsid w:val="004F0841"/>
    <w:rsid w:val="004F1D1C"/>
    <w:rsid w:val="004F4CB2"/>
    <w:rsid w:val="004F6444"/>
    <w:rsid w:val="005007B9"/>
    <w:rsid w:val="00501A9B"/>
    <w:rsid w:val="0050402A"/>
    <w:rsid w:val="0051737B"/>
    <w:rsid w:val="005268EB"/>
    <w:rsid w:val="00530B6D"/>
    <w:rsid w:val="00533F04"/>
    <w:rsid w:val="00535074"/>
    <w:rsid w:val="0054027C"/>
    <w:rsid w:val="005450A8"/>
    <w:rsid w:val="005455B2"/>
    <w:rsid w:val="00547FC9"/>
    <w:rsid w:val="005503A6"/>
    <w:rsid w:val="00550F7E"/>
    <w:rsid w:val="00557795"/>
    <w:rsid w:val="00557F6E"/>
    <w:rsid w:val="00560FC6"/>
    <w:rsid w:val="005614B2"/>
    <w:rsid w:val="0056340B"/>
    <w:rsid w:val="00564609"/>
    <w:rsid w:val="005724C4"/>
    <w:rsid w:val="00576160"/>
    <w:rsid w:val="00576B23"/>
    <w:rsid w:val="00581A35"/>
    <w:rsid w:val="0058484C"/>
    <w:rsid w:val="0058675E"/>
    <w:rsid w:val="005872BE"/>
    <w:rsid w:val="005904F5"/>
    <w:rsid w:val="00593C30"/>
    <w:rsid w:val="00594123"/>
    <w:rsid w:val="005A4DBF"/>
    <w:rsid w:val="005B02FD"/>
    <w:rsid w:val="005B09E1"/>
    <w:rsid w:val="005B5078"/>
    <w:rsid w:val="005B794E"/>
    <w:rsid w:val="005C3342"/>
    <w:rsid w:val="005C3521"/>
    <w:rsid w:val="005C3BFC"/>
    <w:rsid w:val="005C4745"/>
    <w:rsid w:val="005C47F8"/>
    <w:rsid w:val="005C6928"/>
    <w:rsid w:val="005C7C53"/>
    <w:rsid w:val="005D044C"/>
    <w:rsid w:val="005D1C4D"/>
    <w:rsid w:val="005D31E8"/>
    <w:rsid w:val="005D60F2"/>
    <w:rsid w:val="005D6C7B"/>
    <w:rsid w:val="005D7CBC"/>
    <w:rsid w:val="005E0195"/>
    <w:rsid w:val="005E18FD"/>
    <w:rsid w:val="005E66D1"/>
    <w:rsid w:val="005E72B4"/>
    <w:rsid w:val="005E7498"/>
    <w:rsid w:val="005F0907"/>
    <w:rsid w:val="005F2778"/>
    <w:rsid w:val="005F3510"/>
    <w:rsid w:val="005F3C16"/>
    <w:rsid w:val="005F5056"/>
    <w:rsid w:val="005F5C6C"/>
    <w:rsid w:val="005F6102"/>
    <w:rsid w:val="0060001F"/>
    <w:rsid w:val="00605591"/>
    <w:rsid w:val="00606EA1"/>
    <w:rsid w:val="006111F1"/>
    <w:rsid w:val="00611C03"/>
    <w:rsid w:val="00611D54"/>
    <w:rsid w:val="00612043"/>
    <w:rsid w:val="00613E4D"/>
    <w:rsid w:val="00614061"/>
    <w:rsid w:val="00620EA7"/>
    <w:rsid w:val="006301D9"/>
    <w:rsid w:val="00630EB0"/>
    <w:rsid w:val="006333D7"/>
    <w:rsid w:val="00636407"/>
    <w:rsid w:val="00637AE3"/>
    <w:rsid w:val="00642C6D"/>
    <w:rsid w:val="00643BE4"/>
    <w:rsid w:val="006463A3"/>
    <w:rsid w:val="00646DB2"/>
    <w:rsid w:val="00650B95"/>
    <w:rsid w:val="006615F0"/>
    <w:rsid w:val="0066619D"/>
    <w:rsid w:val="006665F5"/>
    <w:rsid w:val="00671BD2"/>
    <w:rsid w:val="00672597"/>
    <w:rsid w:val="00672646"/>
    <w:rsid w:val="006754B4"/>
    <w:rsid w:val="00675909"/>
    <w:rsid w:val="006833FC"/>
    <w:rsid w:val="00687DBE"/>
    <w:rsid w:val="00694273"/>
    <w:rsid w:val="00696AA4"/>
    <w:rsid w:val="006A6F46"/>
    <w:rsid w:val="006A7284"/>
    <w:rsid w:val="006B0068"/>
    <w:rsid w:val="006B2C38"/>
    <w:rsid w:val="006B389F"/>
    <w:rsid w:val="006B52D0"/>
    <w:rsid w:val="006B7BFB"/>
    <w:rsid w:val="006C0168"/>
    <w:rsid w:val="006C7736"/>
    <w:rsid w:val="006D1657"/>
    <w:rsid w:val="006D1805"/>
    <w:rsid w:val="006D4488"/>
    <w:rsid w:val="006D4827"/>
    <w:rsid w:val="006E5969"/>
    <w:rsid w:val="006F068F"/>
    <w:rsid w:val="006F0D9A"/>
    <w:rsid w:val="006F51FE"/>
    <w:rsid w:val="006F7960"/>
    <w:rsid w:val="00700F9A"/>
    <w:rsid w:val="007012C7"/>
    <w:rsid w:val="00710101"/>
    <w:rsid w:val="00710AEB"/>
    <w:rsid w:val="00713228"/>
    <w:rsid w:val="00714A1D"/>
    <w:rsid w:val="00715381"/>
    <w:rsid w:val="00715E1E"/>
    <w:rsid w:val="007177FF"/>
    <w:rsid w:val="0072390D"/>
    <w:rsid w:val="00724298"/>
    <w:rsid w:val="007269E9"/>
    <w:rsid w:val="007274C2"/>
    <w:rsid w:val="007276EE"/>
    <w:rsid w:val="007354E3"/>
    <w:rsid w:val="00736D39"/>
    <w:rsid w:val="007403DF"/>
    <w:rsid w:val="007458DD"/>
    <w:rsid w:val="0074701B"/>
    <w:rsid w:val="007510E3"/>
    <w:rsid w:val="00751140"/>
    <w:rsid w:val="0075690E"/>
    <w:rsid w:val="00757696"/>
    <w:rsid w:val="00761232"/>
    <w:rsid w:val="00763E32"/>
    <w:rsid w:val="00763F0D"/>
    <w:rsid w:val="00765DFC"/>
    <w:rsid w:val="00774409"/>
    <w:rsid w:val="00782628"/>
    <w:rsid w:val="00783F2D"/>
    <w:rsid w:val="0078452B"/>
    <w:rsid w:val="0078666F"/>
    <w:rsid w:val="00791F73"/>
    <w:rsid w:val="00792599"/>
    <w:rsid w:val="0079301A"/>
    <w:rsid w:val="00794FCB"/>
    <w:rsid w:val="007A0099"/>
    <w:rsid w:val="007A05AF"/>
    <w:rsid w:val="007A4633"/>
    <w:rsid w:val="007B0F64"/>
    <w:rsid w:val="007B383F"/>
    <w:rsid w:val="007B69B9"/>
    <w:rsid w:val="007C43CA"/>
    <w:rsid w:val="007C7AE1"/>
    <w:rsid w:val="007D0C17"/>
    <w:rsid w:val="007D2440"/>
    <w:rsid w:val="007D2633"/>
    <w:rsid w:val="007D5DBA"/>
    <w:rsid w:val="007E108E"/>
    <w:rsid w:val="007E2025"/>
    <w:rsid w:val="007E2CCE"/>
    <w:rsid w:val="007E4075"/>
    <w:rsid w:val="007F5A88"/>
    <w:rsid w:val="007F64D3"/>
    <w:rsid w:val="00804AE3"/>
    <w:rsid w:val="0080500F"/>
    <w:rsid w:val="00805F68"/>
    <w:rsid w:val="008079DE"/>
    <w:rsid w:val="00811E5B"/>
    <w:rsid w:val="00813019"/>
    <w:rsid w:val="0081322E"/>
    <w:rsid w:val="00815F59"/>
    <w:rsid w:val="00816690"/>
    <w:rsid w:val="0082169E"/>
    <w:rsid w:val="008226FC"/>
    <w:rsid w:val="00822B0B"/>
    <w:rsid w:val="00825323"/>
    <w:rsid w:val="00827FFC"/>
    <w:rsid w:val="00831619"/>
    <w:rsid w:val="008332CD"/>
    <w:rsid w:val="00834A9B"/>
    <w:rsid w:val="00834ECB"/>
    <w:rsid w:val="00835A96"/>
    <w:rsid w:val="00835ECD"/>
    <w:rsid w:val="00840EFA"/>
    <w:rsid w:val="0084432D"/>
    <w:rsid w:val="00847967"/>
    <w:rsid w:val="00847BA7"/>
    <w:rsid w:val="00851724"/>
    <w:rsid w:val="008523C4"/>
    <w:rsid w:val="00860029"/>
    <w:rsid w:val="00864044"/>
    <w:rsid w:val="0086537B"/>
    <w:rsid w:val="00872FD1"/>
    <w:rsid w:val="0088103F"/>
    <w:rsid w:val="0088279C"/>
    <w:rsid w:val="008828AE"/>
    <w:rsid w:val="008878F3"/>
    <w:rsid w:val="00887F53"/>
    <w:rsid w:val="00891467"/>
    <w:rsid w:val="0089585B"/>
    <w:rsid w:val="008978A0"/>
    <w:rsid w:val="008A0B30"/>
    <w:rsid w:val="008A1F3E"/>
    <w:rsid w:val="008A3077"/>
    <w:rsid w:val="008A34A0"/>
    <w:rsid w:val="008A4766"/>
    <w:rsid w:val="008A57FC"/>
    <w:rsid w:val="008B034B"/>
    <w:rsid w:val="008B180B"/>
    <w:rsid w:val="008B3F54"/>
    <w:rsid w:val="008B5914"/>
    <w:rsid w:val="008B7AD9"/>
    <w:rsid w:val="008B7DF4"/>
    <w:rsid w:val="008C0E15"/>
    <w:rsid w:val="008C28FB"/>
    <w:rsid w:val="008C2CFD"/>
    <w:rsid w:val="008C3CDC"/>
    <w:rsid w:val="008C4862"/>
    <w:rsid w:val="008C55E2"/>
    <w:rsid w:val="008C6A6B"/>
    <w:rsid w:val="008D2A06"/>
    <w:rsid w:val="008E4CE7"/>
    <w:rsid w:val="008E7F2A"/>
    <w:rsid w:val="008F3B9F"/>
    <w:rsid w:val="008F5A20"/>
    <w:rsid w:val="00900F55"/>
    <w:rsid w:val="00902FCF"/>
    <w:rsid w:val="00903E10"/>
    <w:rsid w:val="00904854"/>
    <w:rsid w:val="0090668A"/>
    <w:rsid w:val="00913A11"/>
    <w:rsid w:val="00920326"/>
    <w:rsid w:val="00924FD5"/>
    <w:rsid w:val="009252BF"/>
    <w:rsid w:val="00934E9A"/>
    <w:rsid w:val="00936BF0"/>
    <w:rsid w:val="00941577"/>
    <w:rsid w:val="009516CE"/>
    <w:rsid w:val="0095489A"/>
    <w:rsid w:val="00955394"/>
    <w:rsid w:val="009567C4"/>
    <w:rsid w:val="00956A82"/>
    <w:rsid w:val="00962EC3"/>
    <w:rsid w:val="00966C3A"/>
    <w:rsid w:val="00971874"/>
    <w:rsid w:val="009751B2"/>
    <w:rsid w:val="009765D4"/>
    <w:rsid w:val="009800C6"/>
    <w:rsid w:val="00985CC9"/>
    <w:rsid w:val="00987F02"/>
    <w:rsid w:val="00995E65"/>
    <w:rsid w:val="009A10C5"/>
    <w:rsid w:val="009A14D9"/>
    <w:rsid w:val="009A6F72"/>
    <w:rsid w:val="009B06E2"/>
    <w:rsid w:val="009B101E"/>
    <w:rsid w:val="009B18D5"/>
    <w:rsid w:val="009B5370"/>
    <w:rsid w:val="009B7AA3"/>
    <w:rsid w:val="009C0FAB"/>
    <w:rsid w:val="009C50B0"/>
    <w:rsid w:val="009C75BA"/>
    <w:rsid w:val="009D356F"/>
    <w:rsid w:val="009D36AD"/>
    <w:rsid w:val="009D5783"/>
    <w:rsid w:val="009D6EFB"/>
    <w:rsid w:val="009E2A9B"/>
    <w:rsid w:val="009E4C62"/>
    <w:rsid w:val="009E4DE5"/>
    <w:rsid w:val="009E4FCA"/>
    <w:rsid w:val="009E50E8"/>
    <w:rsid w:val="009E6559"/>
    <w:rsid w:val="009F7F37"/>
    <w:rsid w:val="00A01D6A"/>
    <w:rsid w:val="00A03D6F"/>
    <w:rsid w:val="00A04549"/>
    <w:rsid w:val="00A066D6"/>
    <w:rsid w:val="00A06FFE"/>
    <w:rsid w:val="00A07D52"/>
    <w:rsid w:val="00A10568"/>
    <w:rsid w:val="00A11902"/>
    <w:rsid w:val="00A137C0"/>
    <w:rsid w:val="00A144FA"/>
    <w:rsid w:val="00A26F05"/>
    <w:rsid w:val="00A31543"/>
    <w:rsid w:val="00A35A2F"/>
    <w:rsid w:val="00A407F8"/>
    <w:rsid w:val="00A44BA3"/>
    <w:rsid w:val="00A46C9B"/>
    <w:rsid w:val="00A5434F"/>
    <w:rsid w:val="00A63897"/>
    <w:rsid w:val="00A67ADD"/>
    <w:rsid w:val="00A67C05"/>
    <w:rsid w:val="00A67EAC"/>
    <w:rsid w:val="00A70388"/>
    <w:rsid w:val="00A718A0"/>
    <w:rsid w:val="00A740AE"/>
    <w:rsid w:val="00A76D65"/>
    <w:rsid w:val="00A80165"/>
    <w:rsid w:val="00A80F6B"/>
    <w:rsid w:val="00A84004"/>
    <w:rsid w:val="00A91E58"/>
    <w:rsid w:val="00A9361A"/>
    <w:rsid w:val="00A93992"/>
    <w:rsid w:val="00AA21AA"/>
    <w:rsid w:val="00AA3811"/>
    <w:rsid w:val="00AA7BE3"/>
    <w:rsid w:val="00AB1356"/>
    <w:rsid w:val="00AB28AA"/>
    <w:rsid w:val="00AB5D93"/>
    <w:rsid w:val="00AB6ADA"/>
    <w:rsid w:val="00AC06C2"/>
    <w:rsid w:val="00AC1B8C"/>
    <w:rsid w:val="00AC3CAE"/>
    <w:rsid w:val="00AC4DE9"/>
    <w:rsid w:val="00AC614A"/>
    <w:rsid w:val="00AD0B67"/>
    <w:rsid w:val="00AD16D8"/>
    <w:rsid w:val="00AD7068"/>
    <w:rsid w:val="00AE16CA"/>
    <w:rsid w:val="00AE29D1"/>
    <w:rsid w:val="00AF1BCF"/>
    <w:rsid w:val="00AF26E9"/>
    <w:rsid w:val="00AF28EC"/>
    <w:rsid w:val="00AF3363"/>
    <w:rsid w:val="00B04A03"/>
    <w:rsid w:val="00B06015"/>
    <w:rsid w:val="00B07F0E"/>
    <w:rsid w:val="00B07F94"/>
    <w:rsid w:val="00B119C9"/>
    <w:rsid w:val="00B134E2"/>
    <w:rsid w:val="00B140B3"/>
    <w:rsid w:val="00B15AFB"/>
    <w:rsid w:val="00B219A0"/>
    <w:rsid w:val="00B23860"/>
    <w:rsid w:val="00B24E48"/>
    <w:rsid w:val="00B303E2"/>
    <w:rsid w:val="00B375C3"/>
    <w:rsid w:val="00B50BFC"/>
    <w:rsid w:val="00B54BC0"/>
    <w:rsid w:val="00B5618D"/>
    <w:rsid w:val="00B60971"/>
    <w:rsid w:val="00B63694"/>
    <w:rsid w:val="00B66C47"/>
    <w:rsid w:val="00B728AC"/>
    <w:rsid w:val="00B76534"/>
    <w:rsid w:val="00B82A88"/>
    <w:rsid w:val="00B84A43"/>
    <w:rsid w:val="00B857B3"/>
    <w:rsid w:val="00B93791"/>
    <w:rsid w:val="00B95366"/>
    <w:rsid w:val="00B978EA"/>
    <w:rsid w:val="00BA65AF"/>
    <w:rsid w:val="00BA7319"/>
    <w:rsid w:val="00BB1F61"/>
    <w:rsid w:val="00BB2ABA"/>
    <w:rsid w:val="00BB4B6B"/>
    <w:rsid w:val="00BB4D5B"/>
    <w:rsid w:val="00BC1F96"/>
    <w:rsid w:val="00BC346C"/>
    <w:rsid w:val="00BC371C"/>
    <w:rsid w:val="00BC5F3B"/>
    <w:rsid w:val="00BC66B9"/>
    <w:rsid w:val="00BD5C84"/>
    <w:rsid w:val="00BD647B"/>
    <w:rsid w:val="00BE074C"/>
    <w:rsid w:val="00BE0A6D"/>
    <w:rsid w:val="00BE12EE"/>
    <w:rsid w:val="00BE710A"/>
    <w:rsid w:val="00BE78C6"/>
    <w:rsid w:val="00BE7AC8"/>
    <w:rsid w:val="00BF4B9A"/>
    <w:rsid w:val="00BF6621"/>
    <w:rsid w:val="00BF778D"/>
    <w:rsid w:val="00C0703C"/>
    <w:rsid w:val="00C11A3C"/>
    <w:rsid w:val="00C16D4B"/>
    <w:rsid w:val="00C210B8"/>
    <w:rsid w:val="00C215ED"/>
    <w:rsid w:val="00C25C54"/>
    <w:rsid w:val="00C25D3B"/>
    <w:rsid w:val="00C30B24"/>
    <w:rsid w:val="00C31031"/>
    <w:rsid w:val="00C36B50"/>
    <w:rsid w:val="00C408EE"/>
    <w:rsid w:val="00C40F0A"/>
    <w:rsid w:val="00C4276E"/>
    <w:rsid w:val="00C44041"/>
    <w:rsid w:val="00C458BC"/>
    <w:rsid w:val="00C52B89"/>
    <w:rsid w:val="00C541B2"/>
    <w:rsid w:val="00C57666"/>
    <w:rsid w:val="00C601D6"/>
    <w:rsid w:val="00C61456"/>
    <w:rsid w:val="00C61F06"/>
    <w:rsid w:val="00C62EA2"/>
    <w:rsid w:val="00C63441"/>
    <w:rsid w:val="00C75884"/>
    <w:rsid w:val="00C766CA"/>
    <w:rsid w:val="00C830CB"/>
    <w:rsid w:val="00C83C63"/>
    <w:rsid w:val="00C83D41"/>
    <w:rsid w:val="00C85D7A"/>
    <w:rsid w:val="00C86CB6"/>
    <w:rsid w:val="00C90C1B"/>
    <w:rsid w:val="00C92C98"/>
    <w:rsid w:val="00CA2848"/>
    <w:rsid w:val="00CA5C94"/>
    <w:rsid w:val="00CA68B5"/>
    <w:rsid w:val="00CA6CCF"/>
    <w:rsid w:val="00CB0D01"/>
    <w:rsid w:val="00CB1B7C"/>
    <w:rsid w:val="00CB48D4"/>
    <w:rsid w:val="00CC0D70"/>
    <w:rsid w:val="00CC1104"/>
    <w:rsid w:val="00CC4D32"/>
    <w:rsid w:val="00CC6740"/>
    <w:rsid w:val="00CD1264"/>
    <w:rsid w:val="00CD1620"/>
    <w:rsid w:val="00CD31D6"/>
    <w:rsid w:val="00CD359B"/>
    <w:rsid w:val="00CD4E8A"/>
    <w:rsid w:val="00CD5C71"/>
    <w:rsid w:val="00CD5DAA"/>
    <w:rsid w:val="00CD62F6"/>
    <w:rsid w:val="00CE33D7"/>
    <w:rsid w:val="00CE3B5B"/>
    <w:rsid w:val="00CF2D3F"/>
    <w:rsid w:val="00CF35C4"/>
    <w:rsid w:val="00D02EC0"/>
    <w:rsid w:val="00D03D3A"/>
    <w:rsid w:val="00D048AE"/>
    <w:rsid w:val="00D049C2"/>
    <w:rsid w:val="00D06D9B"/>
    <w:rsid w:val="00D07906"/>
    <w:rsid w:val="00D12436"/>
    <w:rsid w:val="00D1757D"/>
    <w:rsid w:val="00D213E8"/>
    <w:rsid w:val="00D24B17"/>
    <w:rsid w:val="00D3026B"/>
    <w:rsid w:val="00D32EC9"/>
    <w:rsid w:val="00D34F3D"/>
    <w:rsid w:val="00D36108"/>
    <w:rsid w:val="00D36317"/>
    <w:rsid w:val="00D434B3"/>
    <w:rsid w:val="00D47EB5"/>
    <w:rsid w:val="00D54519"/>
    <w:rsid w:val="00D54F3C"/>
    <w:rsid w:val="00D5555D"/>
    <w:rsid w:val="00D56A0D"/>
    <w:rsid w:val="00D625DE"/>
    <w:rsid w:val="00D6464A"/>
    <w:rsid w:val="00D64D1E"/>
    <w:rsid w:val="00D65FBD"/>
    <w:rsid w:val="00D7136E"/>
    <w:rsid w:val="00D731E4"/>
    <w:rsid w:val="00D7658A"/>
    <w:rsid w:val="00D76CF7"/>
    <w:rsid w:val="00D81A7E"/>
    <w:rsid w:val="00D8271B"/>
    <w:rsid w:val="00D85053"/>
    <w:rsid w:val="00D86805"/>
    <w:rsid w:val="00D92902"/>
    <w:rsid w:val="00DA0F42"/>
    <w:rsid w:val="00DA14A0"/>
    <w:rsid w:val="00DA726F"/>
    <w:rsid w:val="00DB3D23"/>
    <w:rsid w:val="00DB7F08"/>
    <w:rsid w:val="00DC3E47"/>
    <w:rsid w:val="00DC4B70"/>
    <w:rsid w:val="00DC6CC1"/>
    <w:rsid w:val="00DC7E3B"/>
    <w:rsid w:val="00DC7EB2"/>
    <w:rsid w:val="00DD2731"/>
    <w:rsid w:val="00DD283B"/>
    <w:rsid w:val="00DD3051"/>
    <w:rsid w:val="00DD6A3B"/>
    <w:rsid w:val="00DD6D23"/>
    <w:rsid w:val="00DE0D4D"/>
    <w:rsid w:val="00DE4558"/>
    <w:rsid w:val="00DF2B81"/>
    <w:rsid w:val="00DF3E94"/>
    <w:rsid w:val="00DF41E4"/>
    <w:rsid w:val="00DF5465"/>
    <w:rsid w:val="00DF6A3F"/>
    <w:rsid w:val="00DF724F"/>
    <w:rsid w:val="00E032E3"/>
    <w:rsid w:val="00E039CD"/>
    <w:rsid w:val="00E12696"/>
    <w:rsid w:val="00E15C4A"/>
    <w:rsid w:val="00E236CE"/>
    <w:rsid w:val="00E23B67"/>
    <w:rsid w:val="00E25794"/>
    <w:rsid w:val="00E26D16"/>
    <w:rsid w:val="00E26DF0"/>
    <w:rsid w:val="00E2762A"/>
    <w:rsid w:val="00E315C4"/>
    <w:rsid w:val="00E33A57"/>
    <w:rsid w:val="00E344B4"/>
    <w:rsid w:val="00E36045"/>
    <w:rsid w:val="00E42EB0"/>
    <w:rsid w:val="00E52E46"/>
    <w:rsid w:val="00E5342A"/>
    <w:rsid w:val="00E54121"/>
    <w:rsid w:val="00E54EC6"/>
    <w:rsid w:val="00E557AA"/>
    <w:rsid w:val="00E61325"/>
    <w:rsid w:val="00E65591"/>
    <w:rsid w:val="00E6703D"/>
    <w:rsid w:val="00E75AEA"/>
    <w:rsid w:val="00E85A65"/>
    <w:rsid w:val="00E85D24"/>
    <w:rsid w:val="00E86759"/>
    <w:rsid w:val="00E9179F"/>
    <w:rsid w:val="00E9240F"/>
    <w:rsid w:val="00E93CDC"/>
    <w:rsid w:val="00EA0C5A"/>
    <w:rsid w:val="00EA2E93"/>
    <w:rsid w:val="00EA402F"/>
    <w:rsid w:val="00EB3050"/>
    <w:rsid w:val="00EB452E"/>
    <w:rsid w:val="00EB5470"/>
    <w:rsid w:val="00EB6E3E"/>
    <w:rsid w:val="00EB773B"/>
    <w:rsid w:val="00EC0EC0"/>
    <w:rsid w:val="00EC292F"/>
    <w:rsid w:val="00EC766B"/>
    <w:rsid w:val="00EE5442"/>
    <w:rsid w:val="00EE77E5"/>
    <w:rsid w:val="00EF47DE"/>
    <w:rsid w:val="00F0026E"/>
    <w:rsid w:val="00F01262"/>
    <w:rsid w:val="00F02871"/>
    <w:rsid w:val="00F06600"/>
    <w:rsid w:val="00F06D06"/>
    <w:rsid w:val="00F11714"/>
    <w:rsid w:val="00F1586D"/>
    <w:rsid w:val="00F20632"/>
    <w:rsid w:val="00F21DBD"/>
    <w:rsid w:val="00F24780"/>
    <w:rsid w:val="00F254C6"/>
    <w:rsid w:val="00F271E0"/>
    <w:rsid w:val="00F30AE3"/>
    <w:rsid w:val="00F3590D"/>
    <w:rsid w:val="00F36687"/>
    <w:rsid w:val="00F40BC6"/>
    <w:rsid w:val="00F40C8E"/>
    <w:rsid w:val="00F43632"/>
    <w:rsid w:val="00F43667"/>
    <w:rsid w:val="00F50195"/>
    <w:rsid w:val="00F519D5"/>
    <w:rsid w:val="00F5291D"/>
    <w:rsid w:val="00F52B37"/>
    <w:rsid w:val="00F53351"/>
    <w:rsid w:val="00F53D14"/>
    <w:rsid w:val="00F56117"/>
    <w:rsid w:val="00F604F6"/>
    <w:rsid w:val="00F649D3"/>
    <w:rsid w:val="00F66387"/>
    <w:rsid w:val="00F7203E"/>
    <w:rsid w:val="00F73DDA"/>
    <w:rsid w:val="00F76141"/>
    <w:rsid w:val="00F81B01"/>
    <w:rsid w:val="00F844CC"/>
    <w:rsid w:val="00F8472E"/>
    <w:rsid w:val="00F85D36"/>
    <w:rsid w:val="00F873BB"/>
    <w:rsid w:val="00F917FE"/>
    <w:rsid w:val="00F91E61"/>
    <w:rsid w:val="00F92081"/>
    <w:rsid w:val="00FA0A8D"/>
    <w:rsid w:val="00FA4300"/>
    <w:rsid w:val="00FA4BD8"/>
    <w:rsid w:val="00FA73CA"/>
    <w:rsid w:val="00FB2578"/>
    <w:rsid w:val="00FB2C5C"/>
    <w:rsid w:val="00FB4215"/>
    <w:rsid w:val="00FB53F4"/>
    <w:rsid w:val="00FB5AA3"/>
    <w:rsid w:val="00FB78DA"/>
    <w:rsid w:val="00FC328D"/>
    <w:rsid w:val="00FC353F"/>
    <w:rsid w:val="00FC397A"/>
    <w:rsid w:val="00FC3E5F"/>
    <w:rsid w:val="00FC44A1"/>
    <w:rsid w:val="00FC55E3"/>
    <w:rsid w:val="00FD3BC1"/>
    <w:rsid w:val="00FD4976"/>
    <w:rsid w:val="00FD4D6D"/>
    <w:rsid w:val="00FE42FE"/>
    <w:rsid w:val="00FE5377"/>
    <w:rsid w:val="00FE568D"/>
    <w:rsid w:val="00FE5C13"/>
    <w:rsid w:val="00FE6EF1"/>
    <w:rsid w:val="00FE7B1F"/>
    <w:rsid w:val="00FF0FC1"/>
    <w:rsid w:val="00FF406E"/>
    <w:rsid w:val="00FF5A73"/>
    <w:rsid w:val="033B4F7A"/>
    <w:rsid w:val="04BF0955"/>
    <w:rsid w:val="05901D6F"/>
    <w:rsid w:val="05C10607"/>
    <w:rsid w:val="05CE6660"/>
    <w:rsid w:val="06A21D75"/>
    <w:rsid w:val="06DE3978"/>
    <w:rsid w:val="07C249B9"/>
    <w:rsid w:val="08196EE0"/>
    <w:rsid w:val="09091F70"/>
    <w:rsid w:val="0B387ABF"/>
    <w:rsid w:val="0C3F3C4D"/>
    <w:rsid w:val="0D461516"/>
    <w:rsid w:val="0D6D4DB9"/>
    <w:rsid w:val="0DB65B35"/>
    <w:rsid w:val="0E27152D"/>
    <w:rsid w:val="0EDB5021"/>
    <w:rsid w:val="0F0C3F31"/>
    <w:rsid w:val="0F2D4517"/>
    <w:rsid w:val="0FC86E3A"/>
    <w:rsid w:val="13113701"/>
    <w:rsid w:val="13A94047"/>
    <w:rsid w:val="16691204"/>
    <w:rsid w:val="16B052A7"/>
    <w:rsid w:val="16BB6B3B"/>
    <w:rsid w:val="185F7ACA"/>
    <w:rsid w:val="1C7A76C6"/>
    <w:rsid w:val="1D381C52"/>
    <w:rsid w:val="20F218BE"/>
    <w:rsid w:val="20FC6C90"/>
    <w:rsid w:val="21E86A09"/>
    <w:rsid w:val="224268B6"/>
    <w:rsid w:val="22CB66EB"/>
    <w:rsid w:val="23BC78DD"/>
    <w:rsid w:val="25B912E6"/>
    <w:rsid w:val="26082C67"/>
    <w:rsid w:val="263B3D68"/>
    <w:rsid w:val="28DD1170"/>
    <w:rsid w:val="294F586D"/>
    <w:rsid w:val="2BC15E93"/>
    <w:rsid w:val="2C134832"/>
    <w:rsid w:val="2C5873F6"/>
    <w:rsid w:val="2E1C5670"/>
    <w:rsid w:val="2E307A29"/>
    <w:rsid w:val="2F6F7862"/>
    <w:rsid w:val="31236920"/>
    <w:rsid w:val="31CD24A4"/>
    <w:rsid w:val="32A675C3"/>
    <w:rsid w:val="34C46B9F"/>
    <w:rsid w:val="352549FC"/>
    <w:rsid w:val="35784608"/>
    <w:rsid w:val="37447C28"/>
    <w:rsid w:val="376D7D87"/>
    <w:rsid w:val="38AB6847"/>
    <w:rsid w:val="38CD18A3"/>
    <w:rsid w:val="39CF519E"/>
    <w:rsid w:val="3B041089"/>
    <w:rsid w:val="3B8B2960"/>
    <w:rsid w:val="3C0F3090"/>
    <w:rsid w:val="3CA1462B"/>
    <w:rsid w:val="3D0F7E60"/>
    <w:rsid w:val="3D890EA1"/>
    <w:rsid w:val="3DF75BCA"/>
    <w:rsid w:val="3E630049"/>
    <w:rsid w:val="3E8F1DA2"/>
    <w:rsid w:val="3ED34A8D"/>
    <w:rsid w:val="3EE2468E"/>
    <w:rsid w:val="3F8F2C54"/>
    <w:rsid w:val="41D3129C"/>
    <w:rsid w:val="443A7BE6"/>
    <w:rsid w:val="45180C5E"/>
    <w:rsid w:val="47221C5A"/>
    <w:rsid w:val="496E43C4"/>
    <w:rsid w:val="4A4A0E91"/>
    <w:rsid w:val="4A991633"/>
    <w:rsid w:val="4AA834F2"/>
    <w:rsid w:val="4ADA347F"/>
    <w:rsid w:val="4C3E5249"/>
    <w:rsid w:val="4C546EB8"/>
    <w:rsid w:val="4C7C6291"/>
    <w:rsid w:val="4E5753AD"/>
    <w:rsid w:val="5109172A"/>
    <w:rsid w:val="51B30131"/>
    <w:rsid w:val="53915E1B"/>
    <w:rsid w:val="542B6D8A"/>
    <w:rsid w:val="55CB18DF"/>
    <w:rsid w:val="58090597"/>
    <w:rsid w:val="59322159"/>
    <w:rsid w:val="59F952BA"/>
    <w:rsid w:val="5A3E0F62"/>
    <w:rsid w:val="5D4D44B5"/>
    <w:rsid w:val="5DE276E5"/>
    <w:rsid w:val="5E2A4D31"/>
    <w:rsid w:val="5EA072C0"/>
    <w:rsid w:val="62DF4287"/>
    <w:rsid w:val="63A22D05"/>
    <w:rsid w:val="65596CA1"/>
    <w:rsid w:val="66F77CE1"/>
    <w:rsid w:val="677C410A"/>
    <w:rsid w:val="68F8227F"/>
    <w:rsid w:val="6A1511F1"/>
    <w:rsid w:val="6B9F208E"/>
    <w:rsid w:val="6CA02915"/>
    <w:rsid w:val="6CC761E5"/>
    <w:rsid w:val="6D2C1770"/>
    <w:rsid w:val="6DDC0571"/>
    <w:rsid w:val="6FA81B84"/>
    <w:rsid w:val="715945C6"/>
    <w:rsid w:val="71CA3BD5"/>
    <w:rsid w:val="72201789"/>
    <w:rsid w:val="74111B6F"/>
    <w:rsid w:val="74803A6B"/>
    <w:rsid w:val="74873FFD"/>
    <w:rsid w:val="759E3CB5"/>
    <w:rsid w:val="761F13A9"/>
    <w:rsid w:val="76C73651"/>
    <w:rsid w:val="787734F4"/>
    <w:rsid w:val="7A396230"/>
    <w:rsid w:val="7A4E76F1"/>
    <w:rsid w:val="7AF70B81"/>
    <w:rsid w:val="7BC20EC9"/>
    <w:rsid w:val="7C491350"/>
    <w:rsid w:val="7CDC4AE4"/>
    <w:rsid w:val="7D3C7A7D"/>
    <w:rsid w:val="7D4E531B"/>
    <w:rsid w:val="7E1E010B"/>
    <w:rsid w:val="7E8F2BDE"/>
    <w:rsid w:val="7F26148A"/>
    <w:rsid w:val="7F68541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page number" w:uiPriority="0"/>
    <w:lsdException w:name="Title" w:semiHidden="0" w:uiPriority="10" w:unhideWhenUsed="0" w:qFormat="1"/>
    <w:lsdException w:name="Default Paragraph Font" w:semiHidden="0"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lsdException w:name="Normal Table" w:semiHidden="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68B5"/>
    <w:pPr>
      <w:widowControl w:val="0"/>
      <w:jc w:val="both"/>
    </w:pPr>
    <w:rPr>
      <w:rFonts w:eastAsia="仿宋_GB2312"/>
      <w:kern w:val="2"/>
      <w:sz w:val="32"/>
      <w:szCs w:val="32"/>
    </w:rPr>
  </w:style>
  <w:style w:type="paragraph" w:styleId="3">
    <w:name w:val="heading 3"/>
    <w:basedOn w:val="a"/>
    <w:next w:val="a"/>
    <w:link w:val="3Char"/>
    <w:uiPriority w:val="9"/>
    <w:qFormat/>
    <w:rsid w:val="007276EE"/>
    <w:pPr>
      <w:keepNext/>
      <w:keepLines/>
      <w:ind w:firstLine="200"/>
      <w:outlineLvl w:val="2"/>
    </w:pPr>
    <w:rPr>
      <w:rFonts w:ascii="Calibri" w:hAnsi="Calibri"/>
      <w:b/>
      <w:bCs/>
      <w:kern w:val="0"/>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20EA7"/>
    <w:rPr>
      <w:color w:val="0000FF"/>
      <w:u w:val="single"/>
    </w:rPr>
  </w:style>
  <w:style w:type="character" w:customStyle="1" w:styleId="Char">
    <w:name w:val="页眉 Char"/>
    <w:basedOn w:val="a0"/>
    <w:link w:val="a4"/>
    <w:uiPriority w:val="99"/>
    <w:semiHidden/>
    <w:rsid w:val="00620EA7"/>
    <w:rPr>
      <w:sz w:val="18"/>
      <w:szCs w:val="18"/>
    </w:rPr>
  </w:style>
  <w:style w:type="character" w:customStyle="1" w:styleId="Char0">
    <w:name w:val="页脚 Char"/>
    <w:basedOn w:val="a0"/>
    <w:link w:val="a5"/>
    <w:uiPriority w:val="99"/>
    <w:rsid w:val="00620EA7"/>
    <w:rPr>
      <w:sz w:val="18"/>
      <w:szCs w:val="18"/>
    </w:rPr>
  </w:style>
  <w:style w:type="paragraph" w:customStyle="1" w:styleId="p0">
    <w:name w:val="p0"/>
    <w:basedOn w:val="a"/>
    <w:rsid w:val="00620EA7"/>
    <w:pPr>
      <w:widowControl/>
    </w:pPr>
    <w:rPr>
      <w:kern w:val="0"/>
      <w:sz w:val="21"/>
      <w:szCs w:val="21"/>
    </w:rPr>
  </w:style>
  <w:style w:type="paragraph" w:styleId="a4">
    <w:name w:val="header"/>
    <w:basedOn w:val="a"/>
    <w:link w:val="Char"/>
    <w:uiPriority w:val="99"/>
    <w:unhideWhenUsed/>
    <w:rsid w:val="00620EA7"/>
    <w:pPr>
      <w:pBdr>
        <w:bottom w:val="single" w:sz="6" w:space="1" w:color="auto"/>
      </w:pBdr>
      <w:tabs>
        <w:tab w:val="center" w:pos="4153"/>
        <w:tab w:val="right" w:pos="8306"/>
      </w:tabs>
      <w:snapToGrid w:val="0"/>
      <w:jc w:val="center"/>
    </w:pPr>
    <w:rPr>
      <w:rFonts w:eastAsia="宋体"/>
      <w:sz w:val="18"/>
      <w:szCs w:val="18"/>
    </w:rPr>
  </w:style>
  <w:style w:type="paragraph" w:styleId="a6">
    <w:name w:val="Normal (Web)"/>
    <w:basedOn w:val="a"/>
    <w:uiPriority w:val="99"/>
    <w:unhideWhenUsed/>
    <w:rsid w:val="00620EA7"/>
    <w:pPr>
      <w:widowControl/>
      <w:spacing w:before="100" w:beforeAutospacing="1" w:after="100" w:afterAutospacing="1"/>
      <w:jc w:val="left"/>
    </w:pPr>
    <w:rPr>
      <w:rFonts w:ascii="宋体" w:eastAsia="宋体" w:hAnsi="宋体" w:cs="宋体"/>
      <w:kern w:val="0"/>
      <w:sz w:val="24"/>
      <w:szCs w:val="24"/>
    </w:rPr>
  </w:style>
  <w:style w:type="paragraph" w:styleId="a5">
    <w:name w:val="footer"/>
    <w:basedOn w:val="a"/>
    <w:link w:val="Char0"/>
    <w:uiPriority w:val="99"/>
    <w:unhideWhenUsed/>
    <w:rsid w:val="00620EA7"/>
    <w:pPr>
      <w:tabs>
        <w:tab w:val="center" w:pos="4153"/>
        <w:tab w:val="right" w:pos="8306"/>
      </w:tabs>
      <w:snapToGrid w:val="0"/>
      <w:jc w:val="left"/>
    </w:pPr>
    <w:rPr>
      <w:rFonts w:eastAsia="宋体"/>
      <w:sz w:val="18"/>
      <w:szCs w:val="18"/>
    </w:rPr>
  </w:style>
  <w:style w:type="paragraph" w:customStyle="1" w:styleId="Char1">
    <w:name w:val="Char"/>
    <w:basedOn w:val="a"/>
    <w:qFormat/>
    <w:rsid w:val="0095489A"/>
    <w:pPr>
      <w:widowControl/>
      <w:spacing w:after="160" w:line="240" w:lineRule="exact"/>
      <w:jc w:val="left"/>
    </w:pPr>
    <w:rPr>
      <w:rFonts w:ascii="Verdana" w:hAnsi="Verdana"/>
      <w:kern w:val="0"/>
      <w:sz w:val="24"/>
      <w:szCs w:val="20"/>
      <w:lang w:eastAsia="en-US"/>
    </w:rPr>
  </w:style>
  <w:style w:type="character" w:styleId="a7">
    <w:name w:val="page number"/>
    <w:basedOn w:val="a0"/>
    <w:rsid w:val="00BB2ABA"/>
  </w:style>
  <w:style w:type="paragraph" w:customStyle="1" w:styleId="Char2">
    <w:name w:val="Char"/>
    <w:basedOn w:val="a"/>
    <w:rsid w:val="00AD16D8"/>
    <w:pPr>
      <w:widowControl/>
      <w:spacing w:after="160" w:line="240" w:lineRule="exact"/>
      <w:jc w:val="left"/>
    </w:pPr>
    <w:rPr>
      <w:rFonts w:ascii="Verdana" w:hAnsi="Verdana"/>
      <w:kern w:val="0"/>
      <w:sz w:val="24"/>
      <w:szCs w:val="20"/>
      <w:lang w:eastAsia="en-US"/>
    </w:rPr>
  </w:style>
  <w:style w:type="character" w:customStyle="1" w:styleId="3Char">
    <w:name w:val="标题 3 Char"/>
    <w:basedOn w:val="a0"/>
    <w:link w:val="3"/>
    <w:uiPriority w:val="9"/>
    <w:rsid w:val="007276EE"/>
    <w:rPr>
      <w:rFonts w:ascii="Calibri" w:eastAsia="仿宋_GB2312" w:hAnsi="Calibri"/>
      <w:b/>
      <w:bCs/>
      <w:sz w:val="21"/>
      <w:szCs w:val="32"/>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hinalawedu.com/falvfagui/" TargetMode="External"/><Relationship Id="rId3" Type="http://schemas.openxmlformats.org/officeDocument/2006/relationships/settings" Target="settings.xml"/><Relationship Id="rId7" Type="http://schemas.openxmlformats.org/officeDocument/2006/relationships/hyperlink" Target="http://baike.baidu.com/subview/64968/13356308.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E:\KK\WORD.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WORD</Template>
  <TotalTime>18</TotalTime>
  <Pages>38</Pages>
  <Words>3549</Words>
  <Characters>20232</Characters>
  <Application>Microsoft Office Word</Application>
  <DocSecurity>0</DocSecurity>
  <PresentationFormat/>
  <Lines>168</Lines>
  <Paragraphs>47</Paragraphs>
  <Slides>0</Slides>
  <Notes>0</Notes>
  <HiddenSlides>0</HiddenSlides>
  <MMClips>0</MMClips>
  <ScaleCrop>false</ScaleCrop>
  <Manager/>
  <Company/>
  <LinksUpToDate>false</LinksUpToDate>
  <CharactersWithSpaces>23734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霍好胜同志</dc:title>
  <dc:subject/>
  <dc:creator>*</dc:creator>
  <cp:keywords/>
  <dc:description/>
  <cp:lastModifiedBy>*</cp:lastModifiedBy>
  <cp:revision>4</cp:revision>
  <cp:lastPrinted>2018-06-29T01:48:00Z</cp:lastPrinted>
  <dcterms:created xsi:type="dcterms:W3CDTF">2018-06-29T01:39:00Z</dcterms:created>
  <dcterms:modified xsi:type="dcterms:W3CDTF">2018-06-29T02:03:00Z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